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03C" w:rsidRDefault="00A2303C" w:rsidP="005A626E">
      <w:pPr>
        <w:pStyle w:val="NoSpacing"/>
      </w:pPr>
    </w:p>
    <w:p w:rsidR="00A2303C" w:rsidRDefault="00A2303C" w:rsidP="005A626E">
      <w:pPr>
        <w:pStyle w:val="NoSpacing"/>
        <w:rPr>
          <w:b/>
          <w:sz w:val="26"/>
          <w:szCs w:val="26"/>
        </w:rPr>
      </w:pPr>
    </w:p>
    <w:p w:rsidR="00A2303C" w:rsidRPr="009D7C3F" w:rsidRDefault="00A2303C" w:rsidP="005A626E">
      <w:pPr>
        <w:pStyle w:val="NoSpacing"/>
        <w:rPr>
          <w:b/>
          <w:sz w:val="26"/>
          <w:szCs w:val="26"/>
        </w:rPr>
      </w:pPr>
    </w:p>
    <w:p w:rsidR="00A2303C" w:rsidRPr="005A626E" w:rsidRDefault="00A2303C" w:rsidP="005A626E">
      <w:pPr>
        <w:pStyle w:val="NoSpacing"/>
        <w:jc w:val="center"/>
        <w:rPr>
          <w:b/>
          <w:color w:val="4F81BD"/>
          <w:sz w:val="26"/>
          <w:szCs w:val="26"/>
          <w:lang w:val="en-US"/>
        </w:rPr>
      </w:pPr>
      <w:r w:rsidRPr="005A626E">
        <w:rPr>
          <w:b/>
          <w:color w:val="4F81BD"/>
          <w:sz w:val="26"/>
          <w:szCs w:val="26"/>
          <w:lang w:val="en-US"/>
        </w:rPr>
        <w:t>Analysis of the Brazilian pension system:</w:t>
      </w:r>
    </w:p>
    <w:p w:rsidR="00A2303C" w:rsidRPr="005A626E" w:rsidRDefault="00A2303C" w:rsidP="005A626E">
      <w:pPr>
        <w:pStyle w:val="NoSpacing"/>
        <w:jc w:val="center"/>
        <w:rPr>
          <w:b/>
          <w:color w:val="4F81BD"/>
          <w:sz w:val="26"/>
          <w:szCs w:val="26"/>
          <w:lang w:val="en-US"/>
        </w:rPr>
      </w:pPr>
    </w:p>
    <w:p w:rsidR="00A2303C" w:rsidRPr="005A626E" w:rsidRDefault="00A2303C" w:rsidP="005A626E">
      <w:pPr>
        <w:pStyle w:val="NoSpacing"/>
        <w:jc w:val="center"/>
        <w:rPr>
          <w:b/>
          <w:color w:val="4F81BD"/>
          <w:sz w:val="26"/>
          <w:szCs w:val="26"/>
          <w:lang w:val="en-US"/>
        </w:rPr>
      </w:pPr>
      <w:r w:rsidRPr="005A626E">
        <w:rPr>
          <w:b/>
          <w:color w:val="4F81BD"/>
          <w:sz w:val="26"/>
          <w:szCs w:val="26"/>
          <w:lang w:val="en-US"/>
        </w:rPr>
        <w:t>Should Brazil reform its pension system according to the Chilean pension model?</w:t>
      </w:r>
    </w:p>
    <w:p w:rsidR="00A2303C" w:rsidRPr="005A626E" w:rsidRDefault="00A2303C" w:rsidP="005A626E">
      <w:pPr>
        <w:pStyle w:val="NoSpacing"/>
        <w:jc w:val="center"/>
        <w:rPr>
          <w:sz w:val="28"/>
          <w:szCs w:val="28"/>
          <w:lang w:val="en-US"/>
        </w:rPr>
      </w:pPr>
    </w:p>
    <w:p w:rsidR="00A2303C" w:rsidRPr="005A626E" w:rsidRDefault="00A2303C" w:rsidP="005A626E">
      <w:pPr>
        <w:pStyle w:val="NoSpacing"/>
        <w:jc w:val="center"/>
        <w:rPr>
          <w:sz w:val="24"/>
          <w:szCs w:val="24"/>
          <w:lang w:val="en-US"/>
        </w:rPr>
      </w:pPr>
      <w:r w:rsidRPr="005A626E">
        <w:rPr>
          <w:sz w:val="24"/>
          <w:szCs w:val="24"/>
          <w:lang w:val="en-US"/>
        </w:rPr>
        <w:t>ERASMUS UNIVERSITY ROTTERDAM</w:t>
      </w:r>
    </w:p>
    <w:p w:rsidR="00A2303C" w:rsidRPr="005A626E" w:rsidRDefault="00A2303C" w:rsidP="005A626E">
      <w:pPr>
        <w:pStyle w:val="NoSpacing"/>
        <w:jc w:val="center"/>
        <w:rPr>
          <w:sz w:val="24"/>
          <w:szCs w:val="24"/>
          <w:lang w:val="en-US"/>
        </w:rPr>
      </w:pPr>
      <w:r w:rsidRPr="005A626E">
        <w:rPr>
          <w:sz w:val="24"/>
          <w:szCs w:val="24"/>
          <w:lang w:val="en-US"/>
        </w:rPr>
        <w:t>Department of Economics</w:t>
      </w:r>
    </w:p>
    <w:p w:rsidR="00A2303C" w:rsidRPr="005A626E" w:rsidRDefault="00A2303C" w:rsidP="005A626E">
      <w:pPr>
        <w:pStyle w:val="NoSpacing"/>
        <w:jc w:val="center"/>
        <w:rPr>
          <w:sz w:val="24"/>
          <w:szCs w:val="24"/>
          <w:lang w:val="en-US"/>
        </w:rPr>
      </w:pPr>
      <w:r w:rsidRPr="005A626E">
        <w:rPr>
          <w:sz w:val="24"/>
          <w:szCs w:val="24"/>
          <w:lang w:val="en-US"/>
        </w:rPr>
        <w:t>August 2009</w:t>
      </w:r>
    </w:p>
    <w:p w:rsidR="00A2303C" w:rsidRPr="005A626E" w:rsidRDefault="00A2303C" w:rsidP="005A626E">
      <w:pPr>
        <w:pStyle w:val="NoSpacing"/>
        <w:jc w:val="center"/>
        <w:rPr>
          <w:sz w:val="24"/>
          <w:szCs w:val="24"/>
          <w:lang w:val="en-US"/>
        </w:rPr>
      </w:pPr>
    </w:p>
    <w:p w:rsidR="00A2303C" w:rsidRPr="005A626E" w:rsidRDefault="00A2303C" w:rsidP="005A626E">
      <w:pPr>
        <w:pStyle w:val="NoSpacing"/>
        <w:jc w:val="center"/>
        <w:rPr>
          <w:sz w:val="24"/>
          <w:szCs w:val="24"/>
          <w:lang w:val="en-US"/>
        </w:rPr>
      </w:pPr>
      <w:r w:rsidRPr="005A626E">
        <w:rPr>
          <w:sz w:val="24"/>
          <w:szCs w:val="24"/>
          <w:lang w:val="en-US"/>
        </w:rPr>
        <w:t>Supervisor: S.G. van der Lecq</w:t>
      </w:r>
    </w:p>
    <w:p w:rsidR="00A2303C" w:rsidRPr="005A626E" w:rsidRDefault="00A2303C" w:rsidP="005A626E">
      <w:pPr>
        <w:pStyle w:val="NoSpacing"/>
        <w:jc w:val="center"/>
        <w:rPr>
          <w:sz w:val="24"/>
          <w:szCs w:val="24"/>
          <w:lang w:val="en-US"/>
        </w:rPr>
      </w:pPr>
    </w:p>
    <w:p w:rsidR="00A2303C" w:rsidRPr="005A626E" w:rsidRDefault="00A2303C" w:rsidP="005A626E">
      <w:pPr>
        <w:pStyle w:val="NoSpacing"/>
        <w:jc w:val="center"/>
        <w:rPr>
          <w:sz w:val="24"/>
          <w:szCs w:val="24"/>
          <w:lang w:val="en-US"/>
        </w:rPr>
      </w:pPr>
      <w:r w:rsidRPr="005A626E">
        <w:rPr>
          <w:sz w:val="24"/>
          <w:szCs w:val="24"/>
          <w:lang w:val="en-US"/>
        </w:rPr>
        <w:t>Name: Johanna van Tol</w:t>
      </w:r>
    </w:p>
    <w:p w:rsidR="00A2303C" w:rsidRPr="005A626E" w:rsidRDefault="00A2303C" w:rsidP="005A626E">
      <w:pPr>
        <w:pStyle w:val="NoSpacing"/>
        <w:jc w:val="center"/>
        <w:rPr>
          <w:sz w:val="24"/>
          <w:szCs w:val="24"/>
          <w:lang w:val="en-US"/>
        </w:rPr>
      </w:pPr>
      <w:r w:rsidRPr="005A626E">
        <w:rPr>
          <w:sz w:val="24"/>
          <w:szCs w:val="24"/>
          <w:lang w:val="en-US"/>
        </w:rPr>
        <w:t>Exam number: 302692</w:t>
      </w:r>
    </w:p>
    <w:p w:rsidR="00A2303C" w:rsidRPr="005A626E" w:rsidRDefault="00A2303C" w:rsidP="005A626E">
      <w:pPr>
        <w:pStyle w:val="NoSpacing"/>
        <w:jc w:val="center"/>
        <w:rPr>
          <w:sz w:val="24"/>
          <w:szCs w:val="24"/>
          <w:lang w:val="en-US"/>
        </w:rPr>
      </w:pPr>
      <w:r w:rsidRPr="005A626E">
        <w:rPr>
          <w:sz w:val="24"/>
          <w:szCs w:val="24"/>
          <w:lang w:val="en-US"/>
        </w:rPr>
        <w:t>E-mail address: 302692jt@student.eur.nl</w:t>
      </w:r>
    </w:p>
    <w:p w:rsidR="00A2303C" w:rsidRPr="005A626E" w:rsidRDefault="00A2303C" w:rsidP="005A626E">
      <w:pPr>
        <w:pStyle w:val="NoSpacing"/>
        <w:rPr>
          <w:lang w:val="en-US"/>
        </w:rPr>
      </w:pPr>
    </w:p>
    <w:p w:rsidR="00A2303C" w:rsidRPr="005A626E" w:rsidRDefault="00A2303C" w:rsidP="005A626E">
      <w:pPr>
        <w:pStyle w:val="NoSpacing"/>
        <w:rPr>
          <w:lang w:val="en-US"/>
        </w:rPr>
      </w:pPr>
    </w:p>
    <w:p w:rsidR="00A2303C" w:rsidRPr="005A626E" w:rsidRDefault="00A2303C" w:rsidP="005A626E">
      <w:pPr>
        <w:pStyle w:val="NoSpacing"/>
        <w:rPr>
          <w:b/>
          <w:lang w:val="en-US"/>
        </w:rPr>
      </w:pPr>
    </w:p>
    <w:p w:rsidR="00A2303C" w:rsidRPr="005A626E" w:rsidRDefault="00A2303C" w:rsidP="00325AAC">
      <w:pPr>
        <w:pStyle w:val="NoSpacing"/>
        <w:spacing w:line="360" w:lineRule="auto"/>
        <w:rPr>
          <w:b/>
          <w:lang w:val="en-US"/>
        </w:rPr>
      </w:pPr>
      <w:r w:rsidRPr="005A626E">
        <w:rPr>
          <w:b/>
          <w:lang w:val="en-US"/>
        </w:rPr>
        <w:t>Abstract:</w:t>
      </w:r>
    </w:p>
    <w:p w:rsidR="00A2303C" w:rsidRPr="005A626E" w:rsidRDefault="00A2303C" w:rsidP="00325AAC">
      <w:pPr>
        <w:pStyle w:val="NoSpacing"/>
        <w:spacing w:line="360" w:lineRule="auto"/>
        <w:rPr>
          <w:lang w:val="en-US"/>
        </w:rPr>
      </w:pPr>
      <w:r>
        <w:rPr>
          <w:lang w:val="en-US"/>
        </w:rPr>
        <w:t>During the last couple of decades various countries have reformed their pension system.</w:t>
      </w:r>
      <w:r w:rsidRPr="00D516DC">
        <w:rPr>
          <w:lang w:val="en-US"/>
        </w:rPr>
        <w:t xml:space="preserve"> </w:t>
      </w:r>
      <w:r>
        <w:rPr>
          <w:lang w:val="en-US"/>
        </w:rPr>
        <w:t>Particularly Latin America has been the platform of many pension reforms during the 1980s and 1990s. Chile pioneered in making a radical change from a publicly managed Pay-As-You-Go (PAYG) system to a privatized fully funded system and it was then followed by numerous neighboring countries. However, Brazil took a different approach as it kept its PAYG system.</w:t>
      </w:r>
      <w:r w:rsidRPr="00D516DC">
        <w:rPr>
          <w:lang w:val="en-US"/>
        </w:rPr>
        <w:t xml:space="preserve"> </w:t>
      </w:r>
      <w:r>
        <w:rPr>
          <w:lang w:val="en-US"/>
        </w:rPr>
        <w:t>Currently Brazil faces several threats and challenges for the sustainability of the pension system. Examples are the ageing of the society, too generous benefits that are paid to the public workers and the increasing income inequalities. These threats and challenges lead to the question how Brazil can change its pension system in such a way that allows them to cope with problems and enhance the sustainability of the system. This paper analyses the several options a country can choose to design its pension system and lists of each the advantages and disadvantages. Subsequently it takes a closer look at the current system in Chile and the negative and positive effects of that reform. The paper continues with an examination of the problems in the Brazilian pension system. Combining the (dis)advantages of the pension design options and the characteristics of Brazil the paper finds that it would be in Brazil’s best interest to reform its system into a fully funded system like Chile. Additionally, the paper gives several recommendations on how the reform should be implemented in Brazil. The paper finishes with suggestions for further research that relate to the winners and losers of the reform and the transition and administration costs.</w:t>
      </w:r>
    </w:p>
    <w:p w:rsidR="00A2303C" w:rsidRDefault="00A2303C" w:rsidP="005A626E">
      <w:pPr>
        <w:pStyle w:val="NoSpacing"/>
        <w:rPr>
          <w:b/>
          <w:lang w:val="en-US"/>
        </w:rPr>
      </w:pPr>
    </w:p>
    <w:p w:rsidR="00A2303C" w:rsidRPr="005A626E" w:rsidRDefault="00A2303C" w:rsidP="005A626E">
      <w:pPr>
        <w:pStyle w:val="NoSpacing"/>
        <w:rPr>
          <w:lang w:val="en-US"/>
        </w:rPr>
      </w:pPr>
      <w:r w:rsidRPr="005A626E">
        <w:rPr>
          <w:b/>
          <w:lang w:val="en-US"/>
        </w:rPr>
        <w:t>Keywords:</w:t>
      </w:r>
      <w:r w:rsidRPr="005A626E">
        <w:rPr>
          <w:lang w:val="en-US"/>
        </w:rPr>
        <w:t xml:space="preserve"> pension reform, Brazil, Chile, pension system, ageing</w:t>
      </w:r>
    </w:p>
    <w:p w:rsidR="00A2303C" w:rsidRPr="005A626E" w:rsidRDefault="00A2303C" w:rsidP="005A626E">
      <w:pPr>
        <w:pStyle w:val="IntenseQuote"/>
        <w:jc w:val="center"/>
        <w:rPr>
          <w:lang w:val="en-US"/>
        </w:rPr>
      </w:pPr>
      <w:r w:rsidRPr="005A626E">
        <w:rPr>
          <w:lang w:val="en-US"/>
        </w:rPr>
        <w:t>Table of contents</w:t>
      </w:r>
    </w:p>
    <w:p w:rsidR="00A2303C" w:rsidRPr="006A4D8D" w:rsidRDefault="00A2303C" w:rsidP="005A626E">
      <w:pPr>
        <w:pStyle w:val="NoSpacing"/>
        <w:rPr>
          <w:b/>
          <w:color w:val="4F81BD"/>
          <w:lang w:val="en-US"/>
        </w:rPr>
      </w:pPr>
      <w:r w:rsidRPr="006A4D8D">
        <w:rPr>
          <w:b/>
          <w:color w:val="4F81BD"/>
          <w:lang w:val="en-US"/>
        </w:rPr>
        <w:t>1. Introduction</w:t>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t>4</w:t>
      </w:r>
    </w:p>
    <w:p w:rsidR="00A2303C" w:rsidRPr="006A4D8D" w:rsidRDefault="00A2303C" w:rsidP="005A626E">
      <w:pPr>
        <w:pStyle w:val="NoSpacing"/>
        <w:rPr>
          <w:color w:val="4F81BD"/>
          <w:lang w:val="en-US"/>
        </w:rPr>
      </w:pPr>
    </w:p>
    <w:p w:rsidR="00A2303C" w:rsidRPr="006A4D8D" w:rsidRDefault="00A2303C" w:rsidP="005A626E">
      <w:pPr>
        <w:pStyle w:val="NoSpacing"/>
        <w:rPr>
          <w:b/>
          <w:color w:val="4F81BD"/>
          <w:lang w:val="en-US"/>
        </w:rPr>
      </w:pPr>
      <w:r w:rsidRPr="006A4D8D">
        <w:rPr>
          <w:b/>
          <w:color w:val="4F81BD"/>
          <w:lang w:val="en-US"/>
        </w:rPr>
        <w:t>2. Why do pension systems exist?</w:t>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t>5</w:t>
      </w:r>
    </w:p>
    <w:p w:rsidR="00A2303C" w:rsidRPr="005A626E" w:rsidRDefault="00A2303C" w:rsidP="005A626E">
      <w:pPr>
        <w:pStyle w:val="NoSpacing"/>
        <w:ind w:left="540"/>
        <w:rPr>
          <w:lang w:val="en-US"/>
        </w:rPr>
      </w:pPr>
      <w:r w:rsidRPr="005A626E">
        <w:rPr>
          <w:lang w:val="en-US"/>
        </w:rPr>
        <w:t>2.1 What is a pension?</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5</w:t>
      </w:r>
    </w:p>
    <w:p w:rsidR="00A2303C" w:rsidRPr="005A626E" w:rsidRDefault="00A2303C" w:rsidP="005A626E">
      <w:pPr>
        <w:pStyle w:val="NoSpacing"/>
        <w:ind w:left="540"/>
        <w:rPr>
          <w:lang w:val="en-US"/>
        </w:rPr>
      </w:pPr>
      <w:r w:rsidRPr="005A626E">
        <w:rPr>
          <w:lang w:val="en-US"/>
        </w:rPr>
        <w:t>2.2 Functions of a pension system</w:t>
      </w:r>
      <w:r>
        <w:rPr>
          <w:lang w:val="en-US"/>
        </w:rPr>
        <w:tab/>
      </w:r>
      <w:r>
        <w:rPr>
          <w:lang w:val="en-US"/>
        </w:rPr>
        <w:tab/>
      </w:r>
      <w:r>
        <w:rPr>
          <w:lang w:val="en-US"/>
        </w:rPr>
        <w:tab/>
      </w:r>
      <w:r>
        <w:rPr>
          <w:lang w:val="en-US"/>
        </w:rPr>
        <w:tab/>
      </w:r>
      <w:r>
        <w:rPr>
          <w:lang w:val="en-US"/>
        </w:rPr>
        <w:tab/>
      </w:r>
      <w:r>
        <w:rPr>
          <w:lang w:val="en-US"/>
        </w:rPr>
        <w:tab/>
      </w:r>
      <w:r>
        <w:rPr>
          <w:lang w:val="en-US"/>
        </w:rPr>
        <w:tab/>
        <w:t>6</w:t>
      </w:r>
    </w:p>
    <w:p w:rsidR="00A2303C" w:rsidRPr="005A626E" w:rsidRDefault="00A2303C" w:rsidP="005A626E">
      <w:pPr>
        <w:pStyle w:val="NoSpacing"/>
        <w:ind w:left="540"/>
        <w:rPr>
          <w:lang w:val="en-US"/>
        </w:rPr>
      </w:pPr>
      <w:r w:rsidRPr="005A626E">
        <w:rPr>
          <w:lang w:val="en-US"/>
        </w:rPr>
        <w:t>2.3 Subsidiary objectives for pensions</w:t>
      </w:r>
      <w:r>
        <w:rPr>
          <w:lang w:val="en-US"/>
        </w:rPr>
        <w:tab/>
      </w:r>
      <w:r>
        <w:rPr>
          <w:lang w:val="en-US"/>
        </w:rPr>
        <w:tab/>
      </w:r>
      <w:r>
        <w:rPr>
          <w:lang w:val="en-US"/>
        </w:rPr>
        <w:tab/>
      </w:r>
      <w:r>
        <w:rPr>
          <w:lang w:val="en-US"/>
        </w:rPr>
        <w:tab/>
      </w:r>
      <w:r>
        <w:rPr>
          <w:lang w:val="en-US"/>
        </w:rPr>
        <w:tab/>
      </w:r>
      <w:r>
        <w:rPr>
          <w:lang w:val="en-US"/>
        </w:rPr>
        <w:tab/>
      </w:r>
      <w:r>
        <w:rPr>
          <w:lang w:val="en-US"/>
        </w:rPr>
        <w:tab/>
        <w:t>7</w:t>
      </w:r>
    </w:p>
    <w:p w:rsidR="00A2303C" w:rsidRPr="005A626E" w:rsidRDefault="00A2303C" w:rsidP="005A626E">
      <w:pPr>
        <w:pStyle w:val="NoSpacing"/>
        <w:rPr>
          <w:lang w:val="en-US"/>
        </w:rPr>
      </w:pPr>
    </w:p>
    <w:p w:rsidR="00A2303C" w:rsidRPr="006A4D8D" w:rsidRDefault="00A2303C" w:rsidP="005A626E">
      <w:pPr>
        <w:pStyle w:val="NoSpacing"/>
        <w:rPr>
          <w:b/>
          <w:color w:val="4F81BD"/>
          <w:lang w:val="en-US"/>
        </w:rPr>
      </w:pPr>
      <w:r w:rsidRPr="006A4D8D">
        <w:rPr>
          <w:b/>
          <w:color w:val="4F81BD"/>
          <w:lang w:val="en-US"/>
        </w:rPr>
        <w:t>3. Overview of different types of pension systems</w:t>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t>8</w:t>
      </w:r>
    </w:p>
    <w:p w:rsidR="00A2303C" w:rsidRPr="005A626E" w:rsidRDefault="00A2303C" w:rsidP="005A626E">
      <w:pPr>
        <w:pStyle w:val="NoSpacing"/>
        <w:ind w:left="540"/>
        <w:rPr>
          <w:lang w:val="en-US"/>
        </w:rPr>
      </w:pPr>
      <w:r w:rsidRPr="005A626E">
        <w:rPr>
          <w:lang w:val="en-US"/>
        </w:rPr>
        <w:t>3.1 Three pillar design</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8</w:t>
      </w:r>
    </w:p>
    <w:p w:rsidR="00A2303C" w:rsidRPr="005A626E" w:rsidRDefault="00A2303C" w:rsidP="005A626E">
      <w:pPr>
        <w:pStyle w:val="NoSpacing"/>
        <w:ind w:left="1080"/>
        <w:rPr>
          <w:lang w:val="en-US"/>
        </w:rPr>
      </w:pPr>
      <w:r w:rsidRPr="005A626E">
        <w:rPr>
          <w:lang w:val="en-US"/>
        </w:rPr>
        <w:t>3.1.1 First pillar</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9</w:t>
      </w:r>
    </w:p>
    <w:p w:rsidR="00A2303C" w:rsidRPr="005A626E" w:rsidRDefault="00A2303C" w:rsidP="005A626E">
      <w:pPr>
        <w:pStyle w:val="NoSpacing"/>
        <w:ind w:left="1080"/>
        <w:rPr>
          <w:lang w:val="en-US"/>
        </w:rPr>
      </w:pPr>
      <w:r w:rsidRPr="005A626E">
        <w:rPr>
          <w:lang w:val="en-US"/>
        </w:rPr>
        <w:t>3.1.2 Second pillar</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10</w:t>
      </w:r>
    </w:p>
    <w:p w:rsidR="00A2303C" w:rsidRPr="005A626E" w:rsidRDefault="00A2303C" w:rsidP="005A626E">
      <w:pPr>
        <w:pStyle w:val="NoSpacing"/>
        <w:ind w:left="1080"/>
        <w:rPr>
          <w:lang w:val="en-US"/>
        </w:rPr>
      </w:pPr>
      <w:r w:rsidRPr="005A626E">
        <w:rPr>
          <w:lang w:val="en-US"/>
        </w:rPr>
        <w:t>3.1.3 Third pillar</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11</w:t>
      </w:r>
    </w:p>
    <w:p w:rsidR="00A2303C" w:rsidRPr="005A626E" w:rsidRDefault="00A2303C" w:rsidP="005A626E">
      <w:pPr>
        <w:pStyle w:val="NoSpacing"/>
        <w:ind w:left="540"/>
        <w:rPr>
          <w:lang w:val="en-US"/>
        </w:rPr>
      </w:pPr>
      <w:r w:rsidRPr="005A626E">
        <w:rPr>
          <w:lang w:val="en-US"/>
        </w:rPr>
        <w:t>3.2 Pay-As-You-Go system</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11</w:t>
      </w:r>
    </w:p>
    <w:p w:rsidR="00A2303C" w:rsidRPr="005A626E" w:rsidRDefault="00A2303C" w:rsidP="005A626E">
      <w:pPr>
        <w:pStyle w:val="NoSpacing"/>
        <w:ind w:left="540"/>
        <w:rPr>
          <w:lang w:val="en-US"/>
        </w:rPr>
      </w:pPr>
      <w:r w:rsidRPr="005A626E">
        <w:rPr>
          <w:lang w:val="en-US"/>
        </w:rPr>
        <w:t>3.3 Fully funded</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12</w:t>
      </w:r>
    </w:p>
    <w:p w:rsidR="00A2303C" w:rsidRPr="005A626E" w:rsidRDefault="00A2303C" w:rsidP="005A626E">
      <w:pPr>
        <w:pStyle w:val="NoSpacing"/>
        <w:ind w:left="1080"/>
        <w:rPr>
          <w:lang w:val="en-US"/>
        </w:rPr>
      </w:pPr>
      <w:r w:rsidRPr="005A626E">
        <w:rPr>
          <w:lang w:val="en-US"/>
        </w:rPr>
        <w:t>3.3.1 Defined contribution (DC) plans</w:t>
      </w:r>
      <w:r>
        <w:rPr>
          <w:lang w:val="en-US"/>
        </w:rPr>
        <w:tab/>
      </w:r>
      <w:r>
        <w:rPr>
          <w:lang w:val="en-US"/>
        </w:rPr>
        <w:tab/>
      </w:r>
      <w:r>
        <w:rPr>
          <w:lang w:val="en-US"/>
        </w:rPr>
        <w:tab/>
      </w:r>
      <w:r>
        <w:rPr>
          <w:lang w:val="en-US"/>
        </w:rPr>
        <w:tab/>
      </w:r>
      <w:r>
        <w:rPr>
          <w:lang w:val="en-US"/>
        </w:rPr>
        <w:tab/>
      </w:r>
      <w:r>
        <w:rPr>
          <w:lang w:val="en-US"/>
        </w:rPr>
        <w:tab/>
        <w:t>12</w:t>
      </w:r>
    </w:p>
    <w:p w:rsidR="00A2303C" w:rsidRPr="005A626E" w:rsidRDefault="00A2303C" w:rsidP="005A626E">
      <w:pPr>
        <w:pStyle w:val="NoSpacing"/>
        <w:ind w:left="1080"/>
        <w:rPr>
          <w:lang w:val="en-US"/>
        </w:rPr>
      </w:pPr>
      <w:r w:rsidRPr="005A626E">
        <w:rPr>
          <w:lang w:val="en-US"/>
        </w:rPr>
        <w:t>3.3.2 Defined benefit (DB) plans</w:t>
      </w:r>
      <w:r>
        <w:rPr>
          <w:lang w:val="en-US"/>
        </w:rPr>
        <w:tab/>
      </w:r>
      <w:r>
        <w:rPr>
          <w:lang w:val="en-US"/>
        </w:rPr>
        <w:tab/>
      </w:r>
      <w:r>
        <w:rPr>
          <w:lang w:val="en-US"/>
        </w:rPr>
        <w:tab/>
      </w:r>
      <w:r>
        <w:rPr>
          <w:lang w:val="en-US"/>
        </w:rPr>
        <w:tab/>
      </w:r>
      <w:r>
        <w:rPr>
          <w:lang w:val="en-US"/>
        </w:rPr>
        <w:tab/>
      </w:r>
      <w:r>
        <w:rPr>
          <w:lang w:val="en-US"/>
        </w:rPr>
        <w:tab/>
      </w:r>
      <w:r>
        <w:rPr>
          <w:lang w:val="en-US"/>
        </w:rPr>
        <w:tab/>
        <w:t>13</w:t>
      </w:r>
    </w:p>
    <w:p w:rsidR="00A2303C" w:rsidRPr="005A626E" w:rsidRDefault="00A2303C" w:rsidP="005A626E">
      <w:pPr>
        <w:pStyle w:val="NoSpacing"/>
        <w:ind w:left="1080"/>
        <w:rPr>
          <w:lang w:val="en-US"/>
        </w:rPr>
      </w:pPr>
      <w:r w:rsidRPr="005A626E">
        <w:rPr>
          <w:lang w:val="en-US"/>
        </w:rPr>
        <w:t>3.3.3 Hybrid schemes</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13</w:t>
      </w:r>
    </w:p>
    <w:p w:rsidR="00A2303C" w:rsidRPr="005A626E" w:rsidRDefault="00A2303C" w:rsidP="005A626E">
      <w:pPr>
        <w:pStyle w:val="NoSpacing"/>
        <w:rPr>
          <w:lang w:val="en-US"/>
        </w:rPr>
      </w:pPr>
    </w:p>
    <w:p w:rsidR="00A2303C" w:rsidRPr="006A4D8D" w:rsidRDefault="00A2303C" w:rsidP="005A626E">
      <w:pPr>
        <w:pStyle w:val="NoSpacing"/>
        <w:rPr>
          <w:b/>
          <w:color w:val="4F81BD"/>
          <w:lang w:val="en-US"/>
        </w:rPr>
      </w:pPr>
      <w:r w:rsidRPr="006A4D8D">
        <w:rPr>
          <w:b/>
          <w:color w:val="4F81BD"/>
          <w:lang w:val="en-US"/>
        </w:rPr>
        <w:t>4. Advantages and disadvantages of different pension plan designs</w:t>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t>14</w:t>
      </w:r>
    </w:p>
    <w:p w:rsidR="00A2303C" w:rsidRPr="005A626E" w:rsidRDefault="00A2303C" w:rsidP="005A626E">
      <w:pPr>
        <w:pStyle w:val="NoSpacing"/>
        <w:ind w:left="540"/>
        <w:rPr>
          <w:lang w:val="en-US"/>
        </w:rPr>
      </w:pPr>
      <w:r w:rsidRPr="005A626E">
        <w:rPr>
          <w:lang w:val="en-US"/>
        </w:rPr>
        <w:t>4.1 Options to structure pension systems</w:t>
      </w:r>
      <w:r>
        <w:rPr>
          <w:lang w:val="en-US"/>
        </w:rPr>
        <w:tab/>
      </w:r>
      <w:r>
        <w:rPr>
          <w:lang w:val="en-US"/>
        </w:rPr>
        <w:tab/>
      </w:r>
      <w:r>
        <w:rPr>
          <w:lang w:val="en-US"/>
        </w:rPr>
        <w:tab/>
      </w:r>
      <w:r>
        <w:rPr>
          <w:lang w:val="en-US"/>
        </w:rPr>
        <w:tab/>
      </w:r>
      <w:r>
        <w:rPr>
          <w:lang w:val="en-US"/>
        </w:rPr>
        <w:tab/>
      </w:r>
      <w:r>
        <w:rPr>
          <w:lang w:val="en-US"/>
        </w:rPr>
        <w:tab/>
      </w:r>
      <w:r>
        <w:rPr>
          <w:lang w:val="en-US"/>
        </w:rPr>
        <w:tab/>
        <w:t>14</w:t>
      </w:r>
    </w:p>
    <w:p w:rsidR="00A2303C" w:rsidRPr="005A626E" w:rsidRDefault="00A2303C" w:rsidP="005A626E">
      <w:pPr>
        <w:pStyle w:val="NoSpacing"/>
        <w:ind w:left="1080"/>
        <w:rPr>
          <w:lang w:val="en-US"/>
        </w:rPr>
      </w:pPr>
      <w:r w:rsidRPr="005A626E">
        <w:rPr>
          <w:lang w:val="en-US"/>
        </w:rPr>
        <w:t>4.1.1 Voluntary or mandatory contributions?</w:t>
      </w:r>
      <w:r>
        <w:rPr>
          <w:lang w:val="en-US"/>
        </w:rPr>
        <w:tab/>
      </w:r>
      <w:r>
        <w:rPr>
          <w:lang w:val="en-US"/>
        </w:rPr>
        <w:tab/>
      </w:r>
      <w:r>
        <w:rPr>
          <w:lang w:val="en-US"/>
        </w:rPr>
        <w:tab/>
      </w:r>
      <w:r>
        <w:rPr>
          <w:lang w:val="en-US"/>
        </w:rPr>
        <w:tab/>
      </w:r>
      <w:r>
        <w:rPr>
          <w:lang w:val="en-US"/>
        </w:rPr>
        <w:tab/>
        <w:t>14</w:t>
      </w:r>
    </w:p>
    <w:p w:rsidR="00A2303C" w:rsidRPr="005A626E" w:rsidRDefault="00A2303C" w:rsidP="005A626E">
      <w:pPr>
        <w:pStyle w:val="NoSpacing"/>
        <w:ind w:left="1080"/>
        <w:rPr>
          <w:lang w:val="en-US"/>
        </w:rPr>
      </w:pPr>
      <w:r w:rsidRPr="005A626E">
        <w:rPr>
          <w:lang w:val="en-US"/>
        </w:rPr>
        <w:t>4.1.2 Publicly or privately managed pension system?</w:t>
      </w:r>
      <w:r>
        <w:rPr>
          <w:lang w:val="en-US"/>
        </w:rPr>
        <w:tab/>
      </w:r>
      <w:r>
        <w:rPr>
          <w:lang w:val="en-US"/>
        </w:rPr>
        <w:tab/>
      </w:r>
      <w:r>
        <w:rPr>
          <w:lang w:val="en-US"/>
        </w:rPr>
        <w:tab/>
      </w:r>
      <w:r>
        <w:rPr>
          <w:lang w:val="en-US"/>
        </w:rPr>
        <w:tab/>
        <w:t>16</w:t>
      </w:r>
    </w:p>
    <w:p w:rsidR="00A2303C" w:rsidRPr="005A626E" w:rsidRDefault="00A2303C" w:rsidP="005A626E">
      <w:pPr>
        <w:pStyle w:val="NoSpacing"/>
        <w:ind w:left="1080"/>
        <w:rPr>
          <w:lang w:val="en-US"/>
        </w:rPr>
      </w:pPr>
      <w:r w:rsidRPr="005A626E">
        <w:rPr>
          <w:lang w:val="en-US"/>
        </w:rPr>
        <w:t>4.1.3 Fully funded or PAYG?</w:t>
      </w:r>
      <w:r>
        <w:rPr>
          <w:lang w:val="en-US"/>
        </w:rPr>
        <w:tab/>
      </w:r>
      <w:r>
        <w:rPr>
          <w:lang w:val="en-US"/>
        </w:rPr>
        <w:tab/>
      </w:r>
      <w:r>
        <w:rPr>
          <w:lang w:val="en-US"/>
        </w:rPr>
        <w:tab/>
      </w:r>
      <w:r>
        <w:rPr>
          <w:lang w:val="en-US"/>
        </w:rPr>
        <w:tab/>
      </w:r>
      <w:r>
        <w:rPr>
          <w:lang w:val="en-US"/>
        </w:rPr>
        <w:tab/>
      </w:r>
      <w:r>
        <w:rPr>
          <w:lang w:val="en-US"/>
        </w:rPr>
        <w:tab/>
      </w:r>
      <w:r>
        <w:rPr>
          <w:lang w:val="en-US"/>
        </w:rPr>
        <w:tab/>
        <w:t>18</w:t>
      </w:r>
    </w:p>
    <w:p w:rsidR="00A2303C" w:rsidRPr="005A626E" w:rsidRDefault="00A2303C" w:rsidP="005A626E">
      <w:pPr>
        <w:pStyle w:val="NoSpacing"/>
        <w:ind w:left="1080"/>
        <w:rPr>
          <w:lang w:val="en-US"/>
        </w:rPr>
      </w:pPr>
      <w:r w:rsidRPr="005A626E">
        <w:rPr>
          <w:lang w:val="en-US"/>
        </w:rPr>
        <w:t>4.1.4 Defined benefit (DB) or defined contribution (DC) plan?</w:t>
      </w:r>
      <w:r>
        <w:rPr>
          <w:lang w:val="en-US"/>
        </w:rPr>
        <w:tab/>
      </w:r>
      <w:r>
        <w:rPr>
          <w:lang w:val="en-US"/>
        </w:rPr>
        <w:tab/>
      </w:r>
      <w:r>
        <w:rPr>
          <w:lang w:val="en-US"/>
        </w:rPr>
        <w:tab/>
        <w:t>20</w:t>
      </w:r>
    </w:p>
    <w:p w:rsidR="00A2303C" w:rsidRPr="005A626E" w:rsidRDefault="00A2303C" w:rsidP="005A626E">
      <w:pPr>
        <w:pStyle w:val="NoSpacing"/>
        <w:ind w:left="540"/>
        <w:rPr>
          <w:lang w:val="en-US"/>
        </w:rPr>
      </w:pPr>
      <w:r w:rsidRPr="005A626E">
        <w:rPr>
          <w:lang w:val="en-US"/>
        </w:rPr>
        <w:t>4.2 Remarks on designing pension plans</w:t>
      </w:r>
      <w:r>
        <w:rPr>
          <w:lang w:val="en-US"/>
        </w:rPr>
        <w:tab/>
      </w:r>
      <w:r>
        <w:rPr>
          <w:lang w:val="en-US"/>
        </w:rPr>
        <w:tab/>
      </w:r>
      <w:r>
        <w:rPr>
          <w:lang w:val="en-US"/>
        </w:rPr>
        <w:tab/>
      </w:r>
      <w:r>
        <w:rPr>
          <w:lang w:val="en-US"/>
        </w:rPr>
        <w:tab/>
      </w:r>
      <w:r>
        <w:rPr>
          <w:lang w:val="en-US"/>
        </w:rPr>
        <w:tab/>
      </w:r>
      <w:r>
        <w:rPr>
          <w:lang w:val="en-US"/>
        </w:rPr>
        <w:tab/>
      </w:r>
      <w:r>
        <w:rPr>
          <w:lang w:val="en-US"/>
        </w:rPr>
        <w:tab/>
        <w:t>21</w:t>
      </w:r>
    </w:p>
    <w:p w:rsidR="00A2303C" w:rsidRPr="005A626E" w:rsidRDefault="00A2303C" w:rsidP="005A626E">
      <w:pPr>
        <w:pStyle w:val="NoSpacing"/>
        <w:rPr>
          <w:lang w:val="en-US"/>
        </w:rPr>
      </w:pPr>
    </w:p>
    <w:p w:rsidR="00A2303C" w:rsidRPr="006A4D8D" w:rsidRDefault="00A2303C" w:rsidP="005A626E">
      <w:pPr>
        <w:pStyle w:val="NoSpacing"/>
        <w:rPr>
          <w:b/>
          <w:color w:val="4F81BD"/>
          <w:lang w:val="en-US"/>
        </w:rPr>
      </w:pPr>
      <w:r w:rsidRPr="006A4D8D">
        <w:rPr>
          <w:b/>
          <w:color w:val="4F81BD"/>
          <w:lang w:val="en-US"/>
        </w:rPr>
        <w:t>5. The pension system in Chile</w:t>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t>22</w:t>
      </w:r>
    </w:p>
    <w:p w:rsidR="00A2303C" w:rsidRPr="005A626E" w:rsidRDefault="00A2303C" w:rsidP="005A626E">
      <w:pPr>
        <w:pStyle w:val="NoSpacing"/>
        <w:ind w:left="540"/>
        <w:rPr>
          <w:lang w:val="en-US"/>
        </w:rPr>
      </w:pPr>
      <w:r w:rsidRPr="005A626E">
        <w:rPr>
          <w:lang w:val="en-US"/>
        </w:rPr>
        <w:t>5.1 Historical overview</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22</w:t>
      </w:r>
    </w:p>
    <w:p w:rsidR="00A2303C" w:rsidRPr="005A626E" w:rsidRDefault="00A2303C" w:rsidP="005A626E">
      <w:pPr>
        <w:pStyle w:val="NoSpacing"/>
        <w:ind w:left="540"/>
        <w:rPr>
          <w:lang w:val="en-US"/>
        </w:rPr>
      </w:pPr>
      <w:r w:rsidRPr="005A626E">
        <w:rPr>
          <w:lang w:val="en-US"/>
        </w:rPr>
        <w:t>5.2 Overview of current pension system in Chile</w:t>
      </w:r>
      <w:r>
        <w:rPr>
          <w:lang w:val="en-US"/>
        </w:rPr>
        <w:tab/>
      </w:r>
      <w:r>
        <w:rPr>
          <w:lang w:val="en-US"/>
        </w:rPr>
        <w:tab/>
      </w:r>
      <w:r>
        <w:rPr>
          <w:lang w:val="en-US"/>
        </w:rPr>
        <w:tab/>
      </w:r>
      <w:r>
        <w:rPr>
          <w:lang w:val="en-US"/>
        </w:rPr>
        <w:tab/>
      </w:r>
      <w:r>
        <w:rPr>
          <w:lang w:val="en-US"/>
        </w:rPr>
        <w:tab/>
      </w:r>
      <w:r>
        <w:rPr>
          <w:lang w:val="en-US"/>
        </w:rPr>
        <w:tab/>
        <w:t>23</w:t>
      </w:r>
    </w:p>
    <w:p w:rsidR="00A2303C" w:rsidRPr="005A626E" w:rsidRDefault="00A2303C" w:rsidP="005A626E">
      <w:pPr>
        <w:pStyle w:val="NoSpacing"/>
        <w:tabs>
          <w:tab w:val="left" w:pos="1080"/>
        </w:tabs>
        <w:ind w:left="1080"/>
        <w:rPr>
          <w:lang w:val="en-US"/>
        </w:rPr>
      </w:pPr>
      <w:r w:rsidRPr="005A626E">
        <w:rPr>
          <w:lang w:val="en-US"/>
        </w:rPr>
        <w:t>5.2.1 First pillar</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24</w:t>
      </w:r>
    </w:p>
    <w:p w:rsidR="00A2303C" w:rsidRPr="005A626E" w:rsidRDefault="00A2303C" w:rsidP="005A626E">
      <w:pPr>
        <w:pStyle w:val="NoSpacing"/>
        <w:tabs>
          <w:tab w:val="left" w:pos="1080"/>
        </w:tabs>
        <w:ind w:left="1080"/>
        <w:rPr>
          <w:lang w:val="en-US"/>
        </w:rPr>
      </w:pPr>
      <w:r w:rsidRPr="005A626E">
        <w:rPr>
          <w:lang w:val="en-US"/>
        </w:rPr>
        <w:t>5.2.2 Second pillar</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24</w:t>
      </w:r>
    </w:p>
    <w:p w:rsidR="00A2303C" w:rsidRPr="005A626E" w:rsidRDefault="00A2303C" w:rsidP="005A626E">
      <w:pPr>
        <w:pStyle w:val="NoSpacing"/>
        <w:tabs>
          <w:tab w:val="left" w:pos="1080"/>
        </w:tabs>
        <w:ind w:left="1080"/>
        <w:rPr>
          <w:lang w:val="en-US"/>
        </w:rPr>
      </w:pPr>
      <w:r w:rsidRPr="005A626E">
        <w:rPr>
          <w:lang w:val="en-US"/>
        </w:rPr>
        <w:t>5.2.3 Third pillar</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25</w:t>
      </w:r>
    </w:p>
    <w:p w:rsidR="00A2303C" w:rsidRPr="005A626E" w:rsidRDefault="00A2303C" w:rsidP="005A626E">
      <w:pPr>
        <w:pStyle w:val="NoSpacing"/>
        <w:tabs>
          <w:tab w:val="left" w:pos="1080"/>
        </w:tabs>
        <w:ind w:left="540"/>
        <w:rPr>
          <w:lang w:val="en-US"/>
        </w:rPr>
      </w:pPr>
      <w:r w:rsidRPr="005A626E">
        <w:rPr>
          <w:lang w:val="en-US"/>
        </w:rPr>
        <w:t xml:space="preserve">5.3 Other features of the reform </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25</w:t>
      </w:r>
    </w:p>
    <w:p w:rsidR="00A2303C" w:rsidRPr="005A626E" w:rsidRDefault="00A2303C" w:rsidP="005A626E">
      <w:pPr>
        <w:pStyle w:val="NoSpacing"/>
        <w:tabs>
          <w:tab w:val="left" w:pos="1080"/>
        </w:tabs>
        <w:ind w:left="1080"/>
        <w:rPr>
          <w:lang w:val="en-US"/>
        </w:rPr>
      </w:pPr>
      <w:r w:rsidRPr="005A626E">
        <w:rPr>
          <w:lang w:val="en-US"/>
        </w:rPr>
        <w:t>5.3.1 Gradual transition</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25</w:t>
      </w:r>
    </w:p>
    <w:p w:rsidR="00A2303C" w:rsidRPr="005A626E" w:rsidRDefault="00A2303C" w:rsidP="005A626E">
      <w:pPr>
        <w:pStyle w:val="NoSpacing"/>
        <w:tabs>
          <w:tab w:val="left" w:pos="1080"/>
        </w:tabs>
        <w:ind w:left="1080"/>
        <w:rPr>
          <w:lang w:val="en-US"/>
        </w:rPr>
      </w:pPr>
      <w:r w:rsidRPr="005A626E">
        <w:rPr>
          <w:lang w:val="en-US"/>
        </w:rPr>
        <w:t>5.3.2 The role of the government</w:t>
      </w:r>
      <w:r>
        <w:rPr>
          <w:lang w:val="en-US"/>
        </w:rPr>
        <w:tab/>
      </w:r>
      <w:r>
        <w:rPr>
          <w:lang w:val="en-US"/>
        </w:rPr>
        <w:tab/>
      </w:r>
      <w:r>
        <w:rPr>
          <w:lang w:val="en-US"/>
        </w:rPr>
        <w:tab/>
      </w:r>
      <w:r>
        <w:rPr>
          <w:lang w:val="en-US"/>
        </w:rPr>
        <w:tab/>
      </w:r>
      <w:r>
        <w:rPr>
          <w:lang w:val="en-US"/>
        </w:rPr>
        <w:tab/>
      </w:r>
      <w:r>
        <w:rPr>
          <w:lang w:val="en-US"/>
        </w:rPr>
        <w:tab/>
      </w:r>
      <w:r>
        <w:rPr>
          <w:lang w:val="en-US"/>
        </w:rPr>
        <w:tab/>
        <w:t>26</w:t>
      </w:r>
    </w:p>
    <w:p w:rsidR="00A2303C" w:rsidRPr="005A626E" w:rsidRDefault="00A2303C" w:rsidP="005A626E">
      <w:pPr>
        <w:pStyle w:val="NoSpacing"/>
        <w:tabs>
          <w:tab w:val="left" w:pos="1080"/>
        </w:tabs>
        <w:ind w:left="1080"/>
        <w:rPr>
          <w:lang w:val="en-US"/>
        </w:rPr>
      </w:pPr>
      <w:r w:rsidRPr="005A626E">
        <w:rPr>
          <w:lang w:val="en-US"/>
        </w:rPr>
        <w:t>5.3.3 AFPs</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26</w:t>
      </w:r>
    </w:p>
    <w:p w:rsidR="00A2303C" w:rsidRPr="00684BE3" w:rsidRDefault="00A2303C" w:rsidP="005A626E">
      <w:pPr>
        <w:pStyle w:val="NoSpacing"/>
        <w:tabs>
          <w:tab w:val="left" w:pos="1080"/>
        </w:tabs>
        <w:ind w:left="540"/>
        <w:rPr>
          <w:lang w:val="en-US"/>
        </w:rPr>
      </w:pPr>
      <w:r w:rsidRPr="00684BE3">
        <w:rPr>
          <w:lang w:val="en-US"/>
        </w:rPr>
        <w:t>5.4 Results of the pension reform</w:t>
      </w:r>
      <w:r w:rsidRPr="00684BE3">
        <w:rPr>
          <w:lang w:val="en-US"/>
        </w:rPr>
        <w:tab/>
      </w:r>
      <w:r w:rsidRPr="00684BE3">
        <w:rPr>
          <w:lang w:val="en-US"/>
        </w:rPr>
        <w:tab/>
      </w:r>
      <w:r w:rsidRPr="00684BE3">
        <w:rPr>
          <w:lang w:val="en-US"/>
        </w:rPr>
        <w:tab/>
      </w:r>
      <w:r w:rsidRPr="00684BE3">
        <w:rPr>
          <w:lang w:val="en-US"/>
        </w:rPr>
        <w:tab/>
      </w:r>
      <w:r w:rsidRPr="00684BE3">
        <w:rPr>
          <w:lang w:val="en-US"/>
        </w:rPr>
        <w:tab/>
      </w:r>
      <w:r w:rsidRPr="00684BE3">
        <w:rPr>
          <w:lang w:val="en-US"/>
        </w:rPr>
        <w:tab/>
      </w:r>
      <w:r w:rsidRPr="00684BE3">
        <w:rPr>
          <w:lang w:val="en-US"/>
        </w:rPr>
        <w:tab/>
      </w:r>
      <w:r w:rsidRPr="00684BE3">
        <w:rPr>
          <w:lang w:val="en-US"/>
        </w:rPr>
        <w:tab/>
        <w:t>27</w:t>
      </w:r>
    </w:p>
    <w:p w:rsidR="00A2303C" w:rsidRPr="005A626E" w:rsidRDefault="00A2303C" w:rsidP="005A626E">
      <w:pPr>
        <w:pStyle w:val="NoSpacing"/>
        <w:tabs>
          <w:tab w:val="left" w:pos="1080"/>
        </w:tabs>
        <w:ind w:left="1080"/>
        <w:rPr>
          <w:lang w:val="en-US"/>
        </w:rPr>
      </w:pPr>
      <w:r w:rsidRPr="005A626E">
        <w:rPr>
          <w:lang w:val="en-US"/>
        </w:rPr>
        <w:t>5.4.1 Positive effects of the reform</w:t>
      </w:r>
      <w:r>
        <w:rPr>
          <w:lang w:val="en-US"/>
        </w:rPr>
        <w:tab/>
      </w:r>
      <w:r>
        <w:rPr>
          <w:lang w:val="en-US"/>
        </w:rPr>
        <w:tab/>
      </w:r>
      <w:r>
        <w:rPr>
          <w:lang w:val="en-US"/>
        </w:rPr>
        <w:tab/>
      </w:r>
      <w:r>
        <w:rPr>
          <w:lang w:val="en-US"/>
        </w:rPr>
        <w:tab/>
      </w:r>
      <w:r>
        <w:rPr>
          <w:lang w:val="en-US"/>
        </w:rPr>
        <w:tab/>
      </w:r>
      <w:r>
        <w:rPr>
          <w:lang w:val="en-US"/>
        </w:rPr>
        <w:tab/>
      </w:r>
      <w:r>
        <w:rPr>
          <w:lang w:val="en-US"/>
        </w:rPr>
        <w:tab/>
        <w:t>27</w:t>
      </w:r>
    </w:p>
    <w:p w:rsidR="00A2303C" w:rsidRPr="005A626E" w:rsidRDefault="00A2303C" w:rsidP="005A626E">
      <w:pPr>
        <w:pStyle w:val="NoSpacing"/>
        <w:tabs>
          <w:tab w:val="left" w:pos="1080"/>
        </w:tabs>
        <w:ind w:left="1080"/>
        <w:rPr>
          <w:lang w:val="en-US"/>
        </w:rPr>
      </w:pPr>
      <w:r w:rsidRPr="005A626E">
        <w:rPr>
          <w:lang w:val="en-US"/>
        </w:rPr>
        <w:t>5.4.2 Negative effects of the reform and future challenges</w:t>
      </w:r>
      <w:r>
        <w:rPr>
          <w:lang w:val="en-US"/>
        </w:rPr>
        <w:tab/>
      </w:r>
      <w:r>
        <w:rPr>
          <w:lang w:val="en-US"/>
        </w:rPr>
        <w:tab/>
      </w:r>
      <w:r>
        <w:rPr>
          <w:lang w:val="en-US"/>
        </w:rPr>
        <w:tab/>
      </w:r>
      <w:r>
        <w:rPr>
          <w:lang w:val="en-US"/>
        </w:rPr>
        <w:tab/>
        <w:t>29</w:t>
      </w:r>
    </w:p>
    <w:p w:rsidR="00A2303C" w:rsidRPr="005A626E" w:rsidRDefault="00A2303C" w:rsidP="005A626E">
      <w:pPr>
        <w:pStyle w:val="NoSpacing"/>
        <w:tabs>
          <w:tab w:val="left" w:pos="1080"/>
        </w:tabs>
        <w:rPr>
          <w:lang w:val="en-US"/>
        </w:rPr>
      </w:pPr>
    </w:p>
    <w:p w:rsidR="00A2303C" w:rsidRPr="006A4D8D" w:rsidRDefault="00A2303C" w:rsidP="005A626E">
      <w:pPr>
        <w:pStyle w:val="NoSpacing"/>
        <w:tabs>
          <w:tab w:val="left" w:pos="1080"/>
        </w:tabs>
        <w:rPr>
          <w:b/>
          <w:color w:val="4F81BD"/>
          <w:lang w:val="en-US"/>
        </w:rPr>
      </w:pPr>
      <w:r w:rsidRPr="006A4D8D">
        <w:rPr>
          <w:b/>
          <w:color w:val="4F81BD"/>
          <w:lang w:val="en-US"/>
        </w:rPr>
        <w:t>6. The pension system in Brazil</w:t>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t>32</w:t>
      </w:r>
    </w:p>
    <w:p w:rsidR="00A2303C" w:rsidRPr="005A626E" w:rsidRDefault="00A2303C" w:rsidP="005A626E">
      <w:pPr>
        <w:pStyle w:val="NoSpacing"/>
        <w:tabs>
          <w:tab w:val="left" w:pos="1080"/>
        </w:tabs>
        <w:ind w:left="540"/>
        <w:rPr>
          <w:lang w:val="en-US"/>
        </w:rPr>
      </w:pPr>
      <w:r w:rsidRPr="005A626E">
        <w:rPr>
          <w:lang w:val="en-US"/>
        </w:rPr>
        <w:t>6.1 Historical overview</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32</w:t>
      </w:r>
    </w:p>
    <w:p w:rsidR="00A2303C" w:rsidRPr="005A626E" w:rsidRDefault="00A2303C" w:rsidP="005A626E">
      <w:pPr>
        <w:pStyle w:val="NoSpacing"/>
        <w:tabs>
          <w:tab w:val="left" w:pos="1080"/>
        </w:tabs>
        <w:ind w:left="1080"/>
        <w:rPr>
          <w:lang w:val="en-US"/>
        </w:rPr>
      </w:pPr>
      <w:r w:rsidRPr="005A626E">
        <w:rPr>
          <w:lang w:val="en-US"/>
        </w:rPr>
        <w:t>6.1.1 The origin of the Brazilian pension system</w:t>
      </w:r>
      <w:r>
        <w:rPr>
          <w:lang w:val="en-US"/>
        </w:rPr>
        <w:tab/>
      </w:r>
      <w:r>
        <w:rPr>
          <w:lang w:val="en-US"/>
        </w:rPr>
        <w:tab/>
      </w:r>
      <w:r>
        <w:rPr>
          <w:lang w:val="en-US"/>
        </w:rPr>
        <w:tab/>
      </w:r>
      <w:r>
        <w:rPr>
          <w:lang w:val="en-US"/>
        </w:rPr>
        <w:tab/>
      </w:r>
      <w:r>
        <w:rPr>
          <w:lang w:val="en-US"/>
        </w:rPr>
        <w:tab/>
        <w:t>32</w:t>
      </w:r>
    </w:p>
    <w:p w:rsidR="00A2303C" w:rsidRPr="005A626E" w:rsidRDefault="00A2303C" w:rsidP="005A626E">
      <w:pPr>
        <w:pStyle w:val="NoSpacing"/>
        <w:tabs>
          <w:tab w:val="left" w:pos="1080"/>
        </w:tabs>
        <w:ind w:left="1080"/>
        <w:rPr>
          <w:lang w:val="en-US"/>
        </w:rPr>
      </w:pPr>
      <w:r w:rsidRPr="005A626E">
        <w:rPr>
          <w:lang w:val="en-US"/>
        </w:rPr>
        <w:t>6.1.2 1988 Constitution</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33</w:t>
      </w:r>
    </w:p>
    <w:p w:rsidR="00A2303C" w:rsidRPr="005A626E" w:rsidRDefault="00A2303C" w:rsidP="005A626E">
      <w:pPr>
        <w:pStyle w:val="NoSpacing"/>
        <w:tabs>
          <w:tab w:val="left" w:pos="1080"/>
        </w:tabs>
        <w:ind w:left="540"/>
        <w:rPr>
          <w:lang w:val="en-US"/>
        </w:rPr>
      </w:pPr>
      <w:r w:rsidRPr="005A626E">
        <w:rPr>
          <w:lang w:val="en-US"/>
        </w:rPr>
        <w:t>6.2 Overview of the current pension system in Brazil</w:t>
      </w:r>
      <w:r>
        <w:rPr>
          <w:lang w:val="en-US"/>
        </w:rPr>
        <w:tab/>
      </w:r>
      <w:r>
        <w:rPr>
          <w:lang w:val="en-US"/>
        </w:rPr>
        <w:tab/>
      </w:r>
      <w:r>
        <w:rPr>
          <w:lang w:val="en-US"/>
        </w:rPr>
        <w:tab/>
      </w:r>
      <w:r>
        <w:rPr>
          <w:lang w:val="en-US"/>
        </w:rPr>
        <w:tab/>
      </w:r>
      <w:r>
        <w:rPr>
          <w:lang w:val="en-US"/>
        </w:rPr>
        <w:tab/>
        <w:t>35</w:t>
      </w:r>
    </w:p>
    <w:p w:rsidR="00A2303C" w:rsidRPr="005A626E" w:rsidRDefault="00A2303C" w:rsidP="005A626E">
      <w:pPr>
        <w:pStyle w:val="NoSpacing"/>
        <w:tabs>
          <w:tab w:val="left" w:pos="1080"/>
        </w:tabs>
        <w:ind w:left="1080"/>
        <w:rPr>
          <w:lang w:val="en-US"/>
        </w:rPr>
      </w:pPr>
      <w:r w:rsidRPr="005A626E">
        <w:rPr>
          <w:lang w:val="en-US"/>
        </w:rPr>
        <w:t>6.2.1 Zero pillar</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36</w:t>
      </w:r>
    </w:p>
    <w:p w:rsidR="00A2303C" w:rsidRPr="005A626E" w:rsidRDefault="00A2303C" w:rsidP="005A626E">
      <w:pPr>
        <w:pStyle w:val="NoSpacing"/>
        <w:tabs>
          <w:tab w:val="left" w:pos="1080"/>
        </w:tabs>
        <w:ind w:left="1080"/>
        <w:rPr>
          <w:lang w:val="en-US"/>
        </w:rPr>
      </w:pPr>
      <w:r w:rsidRPr="005A626E">
        <w:rPr>
          <w:lang w:val="en-US"/>
        </w:rPr>
        <w:t>6.2.2 First pillar</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37</w:t>
      </w:r>
    </w:p>
    <w:p w:rsidR="00A2303C" w:rsidRPr="005A626E" w:rsidRDefault="00A2303C" w:rsidP="005A626E">
      <w:pPr>
        <w:pStyle w:val="NoSpacing"/>
        <w:tabs>
          <w:tab w:val="left" w:pos="1080"/>
        </w:tabs>
        <w:ind w:left="1080"/>
        <w:rPr>
          <w:lang w:val="en-US"/>
        </w:rPr>
      </w:pPr>
      <w:r w:rsidRPr="005A626E">
        <w:rPr>
          <w:lang w:val="en-US"/>
        </w:rPr>
        <w:t>6.2.3 Second pillar</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38</w:t>
      </w:r>
    </w:p>
    <w:p w:rsidR="00A2303C" w:rsidRPr="005A626E" w:rsidRDefault="00A2303C" w:rsidP="005A626E">
      <w:pPr>
        <w:pStyle w:val="NoSpacing"/>
        <w:tabs>
          <w:tab w:val="left" w:pos="1080"/>
        </w:tabs>
        <w:ind w:left="1080"/>
        <w:rPr>
          <w:lang w:val="en-US"/>
        </w:rPr>
      </w:pPr>
      <w:r w:rsidRPr="005A626E">
        <w:rPr>
          <w:lang w:val="en-US"/>
        </w:rPr>
        <w:t>6.2.4 Third pillar</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38</w:t>
      </w:r>
    </w:p>
    <w:p w:rsidR="00A2303C" w:rsidRPr="005A626E" w:rsidRDefault="00A2303C" w:rsidP="005A626E">
      <w:pPr>
        <w:pStyle w:val="NoSpacing"/>
        <w:tabs>
          <w:tab w:val="left" w:pos="1080"/>
        </w:tabs>
        <w:ind w:left="540"/>
        <w:rPr>
          <w:lang w:val="en-US"/>
        </w:rPr>
      </w:pPr>
      <w:r w:rsidRPr="005A626E">
        <w:rPr>
          <w:lang w:val="en-US"/>
        </w:rPr>
        <w:t>6.3 Challenges ahead</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38</w:t>
      </w:r>
    </w:p>
    <w:p w:rsidR="00A2303C" w:rsidRPr="005A626E" w:rsidRDefault="00A2303C" w:rsidP="005A626E">
      <w:pPr>
        <w:pStyle w:val="NoSpacing"/>
        <w:tabs>
          <w:tab w:val="left" w:pos="1080"/>
        </w:tabs>
        <w:ind w:left="1080"/>
        <w:rPr>
          <w:lang w:val="en-US"/>
        </w:rPr>
      </w:pPr>
      <w:r w:rsidRPr="005A626E">
        <w:rPr>
          <w:lang w:val="en-US"/>
        </w:rPr>
        <w:t>6.3.1 Ageing of the society</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39</w:t>
      </w:r>
    </w:p>
    <w:p w:rsidR="00A2303C" w:rsidRPr="005A626E" w:rsidRDefault="00A2303C" w:rsidP="00F4396A">
      <w:pPr>
        <w:pStyle w:val="NoSpacing"/>
        <w:tabs>
          <w:tab w:val="left" w:pos="1080"/>
        </w:tabs>
        <w:ind w:left="1080" w:right="-198"/>
        <w:rPr>
          <w:lang w:val="en-US"/>
        </w:rPr>
      </w:pPr>
      <w:r w:rsidRPr="005A626E">
        <w:rPr>
          <w:lang w:val="en-US"/>
        </w:rPr>
        <w:t xml:space="preserve">6.3.2 Too generous benefits for public workers compared </w:t>
      </w:r>
      <w:r>
        <w:rPr>
          <w:lang w:val="en-US"/>
        </w:rPr>
        <w:t>to benefits for private workers 42</w:t>
      </w:r>
    </w:p>
    <w:p w:rsidR="00A2303C" w:rsidRPr="005A626E" w:rsidRDefault="00A2303C" w:rsidP="00F4396A">
      <w:pPr>
        <w:pStyle w:val="NoSpacing"/>
        <w:tabs>
          <w:tab w:val="left" w:pos="1080"/>
        </w:tabs>
        <w:ind w:left="1080" w:right="-198"/>
        <w:rPr>
          <w:lang w:val="en-US"/>
        </w:rPr>
      </w:pPr>
      <w:r w:rsidRPr="005A626E">
        <w:rPr>
          <w:lang w:val="en-US"/>
        </w:rPr>
        <w:t>6.3.3 Disparities in the retirement age and contribution time between men and women</w:t>
      </w:r>
      <w:r>
        <w:rPr>
          <w:lang w:val="en-US"/>
        </w:rPr>
        <w:t xml:space="preserve"> 43</w:t>
      </w:r>
    </w:p>
    <w:p w:rsidR="00A2303C" w:rsidRPr="005A626E" w:rsidRDefault="00A2303C" w:rsidP="005A626E">
      <w:pPr>
        <w:pStyle w:val="NoSpacing"/>
        <w:tabs>
          <w:tab w:val="left" w:pos="1080"/>
        </w:tabs>
        <w:ind w:left="1080"/>
        <w:rPr>
          <w:lang w:val="en-US"/>
        </w:rPr>
      </w:pPr>
      <w:r w:rsidRPr="005A626E">
        <w:rPr>
          <w:lang w:val="en-US"/>
        </w:rPr>
        <w:t>6.3.4 Income inequalities and poverty</w:t>
      </w:r>
      <w:r>
        <w:rPr>
          <w:lang w:val="en-US"/>
        </w:rPr>
        <w:tab/>
      </w:r>
      <w:r>
        <w:rPr>
          <w:lang w:val="en-US"/>
        </w:rPr>
        <w:tab/>
      </w:r>
      <w:r>
        <w:rPr>
          <w:lang w:val="en-US"/>
        </w:rPr>
        <w:tab/>
      </w:r>
      <w:r>
        <w:rPr>
          <w:lang w:val="en-US"/>
        </w:rPr>
        <w:tab/>
      </w:r>
      <w:r>
        <w:rPr>
          <w:lang w:val="en-US"/>
        </w:rPr>
        <w:tab/>
      </w:r>
      <w:r>
        <w:rPr>
          <w:lang w:val="en-US"/>
        </w:rPr>
        <w:tab/>
        <w:t>44</w:t>
      </w:r>
    </w:p>
    <w:p w:rsidR="00A2303C" w:rsidRPr="005A626E" w:rsidRDefault="00A2303C" w:rsidP="005A626E">
      <w:pPr>
        <w:pStyle w:val="NoSpacing"/>
        <w:tabs>
          <w:tab w:val="left" w:pos="1080"/>
        </w:tabs>
        <w:ind w:left="1080"/>
        <w:rPr>
          <w:lang w:val="en-US"/>
        </w:rPr>
      </w:pPr>
      <w:r w:rsidRPr="005A626E">
        <w:rPr>
          <w:lang w:val="en-US"/>
        </w:rPr>
        <w:t>6.3.5 Informality</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44</w:t>
      </w:r>
    </w:p>
    <w:p w:rsidR="00A2303C" w:rsidRPr="005A626E" w:rsidRDefault="00A2303C" w:rsidP="005A626E">
      <w:pPr>
        <w:pStyle w:val="NoSpacing"/>
        <w:tabs>
          <w:tab w:val="left" w:pos="1080"/>
        </w:tabs>
        <w:rPr>
          <w:lang w:val="en-US"/>
        </w:rPr>
      </w:pPr>
    </w:p>
    <w:p w:rsidR="00A2303C" w:rsidRPr="006A4D8D" w:rsidRDefault="00A2303C" w:rsidP="005A626E">
      <w:pPr>
        <w:pStyle w:val="NoSpacing"/>
        <w:tabs>
          <w:tab w:val="left" w:pos="1080"/>
        </w:tabs>
        <w:rPr>
          <w:b/>
          <w:color w:val="4F81BD"/>
          <w:lang w:val="en-US"/>
        </w:rPr>
      </w:pPr>
      <w:r w:rsidRPr="006A4D8D">
        <w:rPr>
          <w:b/>
          <w:color w:val="4F81BD"/>
          <w:lang w:val="en-US"/>
        </w:rPr>
        <w:t>7. Comparing the Brazilian and Chilean pension models</w:t>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r>
      <w:r w:rsidRPr="006A4D8D">
        <w:rPr>
          <w:b/>
          <w:color w:val="4F81BD"/>
          <w:lang w:val="en-US"/>
        </w:rPr>
        <w:tab/>
        <w:t>46</w:t>
      </w:r>
    </w:p>
    <w:p w:rsidR="00A2303C" w:rsidRPr="005A626E" w:rsidRDefault="00A2303C" w:rsidP="005A626E">
      <w:pPr>
        <w:pStyle w:val="NoSpacing"/>
        <w:tabs>
          <w:tab w:val="left" w:pos="1080"/>
        </w:tabs>
        <w:ind w:left="540"/>
        <w:rPr>
          <w:lang w:val="en-US"/>
        </w:rPr>
      </w:pPr>
      <w:r w:rsidRPr="005A626E">
        <w:rPr>
          <w:lang w:val="en-US"/>
        </w:rPr>
        <w:t>7.1 Comparable pension system problems</w:t>
      </w:r>
      <w:r>
        <w:rPr>
          <w:lang w:val="en-US"/>
        </w:rPr>
        <w:tab/>
      </w:r>
      <w:r>
        <w:rPr>
          <w:lang w:val="en-US"/>
        </w:rPr>
        <w:tab/>
      </w:r>
      <w:r>
        <w:rPr>
          <w:lang w:val="en-US"/>
        </w:rPr>
        <w:tab/>
      </w:r>
      <w:r>
        <w:rPr>
          <w:lang w:val="en-US"/>
        </w:rPr>
        <w:tab/>
      </w:r>
      <w:r>
        <w:rPr>
          <w:lang w:val="en-US"/>
        </w:rPr>
        <w:tab/>
      </w:r>
      <w:r>
        <w:rPr>
          <w:lang w:val="en-US"/>
        </w:rPr>
        <w:tab/>
        <w:t>46</w:t>
      </w:r>
    </w:p>
    <w:p w:rsidR="00A2303C" w:rsidRPr="005A626E" w:rsidRDefault="00A2303C" w:rsidP="005A626E">
      <w:pPr>
        <w:pStyle w:val="NoSpacing"/>
        <w:tabs>
          <w:tab w:val="left" w:pos="1080"/>
        </w:tabs>
        <w:ind w:left="1080"/>
        <w:rPr>
          <w:lang w:val="en-US"/>
        </w:rPr>
      </w:pPr>
      <w:r w:rsidRPr="005A626E">
        <w:rPr>
          <w:lang w:val="en-US"/>
        </w:rPr>
        <w:t>7.1.1 Demographic situation</w:t>
      </w:r>
      <w:r>
        <w:rPr>
          <w:lang w:val="en-US"/>
        </w:rPr>
        <w:tab/>
      </w:r>
      <w:r>
        <w:rPr>
          <w:lang w:val="en-US"/>
        </w:rPr>
        <w:tab/>
      </w:r>
      <w:r>
        <w:rPr>
          <w:lang w:val="en-US"/>
        </w:rPr>
        <w:tab/>
      </w:r>
      <w:r>
        <w:rPr>
          <w:lang w:val="en-US"/>
        </w:rPr>
        <w:tab/>
      </w:r>
      <w:r>
        <w:rPr>
          <w:lang w:val="en-US"/>
        </w:rPr>
        <w:tab/>
      </w:r>
      <w:r>
        <w:rPr>
          <w:lang w:val="en-US"/>
        </w:rPr>
        <w:tab/>
      </w:r>
      <w:r>
        <w:rPr>
          <w:lang w:val="en-US"/>
        </w:rPr>
        <w:tab/>
        <w:t>46</w:t>
      </w:r>
    </w:p>
    <w:p w:rsidR="00A2303C" w:rsidRPr="005A626E" w:rsidRDefault="00A2303C" w:rsidP="005A626E">
      <w:pPr>
        <w:pStyle w:val="NoSpacing"/>
        <w:tabs>
          <w:tab w:val="left" w:pos="1080"/>
        </w:tabs>
        <w:ind w:left="1080"/>
        <w:rPr>
          <w:lang w:val="en-US"/>
        </w:rPr>
      </w:pPr>
      <w:r w:rsidRPr="005A626E">
        <w:rPr>
          <w:lang w:val="en-US"/>
        </w:rPr>
        <w:t>7.1.2 Economic situation</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47</w:t>
      </w:r>
    </w:p>
    <w:p w:rsidR="00A2303C" w:rsidRPr="005A626E" w:rsidRDefault="00A2303C" w:rsidP="005A626E">
      <w:pPr>
        <w:pStyle w:val="NoSpacing"/>
        <w:tabs>
          <w:tab w:val="left" w:pos="1080"/>
        </w:tabs>
        <w:ind w:left="1080"/>
        <w:rPr>
          <w:lang w:val="en-US"/>
        </w:rPr>
      </w:pPr>
      <w:r w:rsidRPr="005A626E">
        <w:rPr>
          <w:lang w:val="en-US"/>
        </w:rPr>
        <w:t>7.1.3 Political situation</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48</w:t>
      </w:r>
    </w:p>
    <w:p w:rsidR="00A2303C" w:rsidRPr="005A626E" w:rsidRDefault="00A2303C" w:rsidP="005A626E">
      <w:pPr>
        <w:pStyle w:val="NoSpacing"/>
        <w:tabs>
          <w:tab w:val="left" w:pos="1080"/>
        </w:tabs>
        <w:ind w:left="1080"/>
        <w:rPr>
          <w:lang w:val="en-US"/>
        </w:rPr>
      </w:pPr>
      <w:r w:rsidRPr="005A626E">
        <w:rPr>
          <w:lang w:val="en-US"/>
        </w:rPr>
        <w:t>7.1.4 Government budget situation</w:t>
      </w:r>
      <w:r>
        <w:rPr>
          <w:lang w:val="en-US"/>
        </w:rPr>
        <w:tab/>
      </w:r>
      <w:r>
        <w:rPr>
          <w:lang w:val="en-US"/>
        </w:rPr>
        <w:tab/>
      </w:r>
      <w:r>
        <w:rPr>
          <w:lang w:val="en-US"/>
        </w:rPr>
        <w:tab/>
      </w:r>
      <w:r>
        <w:rPr>
          <w:lang w:val="en-US"/>
        </w:rPr>
        <w:tab/>
      </w:r>
      <w:r>
        <w:rPr>
          <w:lang w:val="en-US"/>
        </w:rPr>
        <w:tab/>
      </w:r>
      <w:r>
        <w:rPr>
          <w:lang w:val="en-US"/>
        </w:rPr>
        <w:tab/>
      </w:r>
      <w:r>
        <w:rPr>
          <w:lang w:val="en-US"/>
        </w:rPr>
        <w:tab/>
        <w:t>48</w:t>
      </w:r>
    </w:p>
    <w:p w:rsidR="00A2303C" w:rsidRPr="005A626E" w:rsidRDefault="00A2303C" w:rsidP="005A626E">
      <w:pPr>
        <w:pStyle w:val="NoSpacing"/>
        <w:tabs>
          <w:tab w:val="left" w:pos="1080"/>
        </w:tabs>
        <w:ind w:left="1080"/>
        <w:rPr>
          <w:lang w:val="en-US"/>
        </w:rPr>
      </w:pPr>
      <w:r w:rsidRPr="005A626E">
        <w:rPr>
          <w:lang w:val="en-US"/>
        </w:rPr>
        <w:t>7.1.5 Problems in pension systems</w:t>
      </w:r>
      <w:r>
        <w:rPr>
          <w:lang w:val="en-US"/>
        </w:rPr>
        <w:tab/>
      </w:r>
      <w:r>
        <w:rPr>
          <w:lang w:val="en-US"/>
        </w:rPr>
        <w:tab/>
      </w:r>
      <w:r>
        <w:rPr>
          <w:lang w:val="en-US"/>
        </w:rPr>
        <w:tab/>
      </w:r>
      <w:r>
        <w:rPr>
          <w:lang w:val="en-US"/>
        </w:rPr>
        <w:tab/>
      </w:r>
      <w:r>
        <w:rPr>
          <w:lang w:val="en-US"/>
        </w:rPr>
        <w:tab/>
      </w:r>
      <w:r>
        <w:rPr>
          <w:lang w:val="en-US"/>
        </w:rPr>
        <w:tab/>
      </w:r>
      <w:r>
        <w:rPr>
          <w:lang w:val="en-US"/>
        </w:rPr>
        <w:tab/>
        <w:t>48</w:t>
      </w:r>
    </w:p>
    <w:p w:rsidR="00A2303C" w:rsidRPr="005A626E" w:rsidRDefault="00A2303C" w:rsidP="005A626E">
      <w:pPr>
        <w:pStyle w:val="NoSpacing"/>
        <w:tabs>
          <w:tab w:val="left" w:pos="1080"/>
        </w:tabs>
        <w:ind w:left="540"/>
        <w:rPr>
          <w:lang w:val="en-US"/>
        </w:rPr>
      </w:pPr>
      <w:r w:rsidRPr="005A626E">
        <w:rPr>
          <w:lang w:val="en-US"/>
        </w:rPr>
        <w:t>7.2 Analysis of the options to structure the pension system</w:t>
      </w:r>
      <w:r>
        <w:rPr>
          <w:lang w:val="en-US"/>
        </w:rPr>
        <w:tab/>
      </w:r>
      <w:r>
        <w:rPr>
          <w:lang w:val="en-US"/>
        </w:rPr>
        <w:tab/>
      </w:r>
      <w:r>
        <w:rPr>
          <w:lang w:val="en-US"/>
        </w:rPr>
        <w:tab/>
      </w:r>
      <w:r>
        <w:rPr>
          <w:lang w:val="en-US"/>
        </w:rPr>
        <w:tab/>
        <w:t>48</w:t>
      </w:r>
    </w:p>
    <w:p w:rsidR="00A2303C" w:rsidRPr="005A626E" w:rsidRDefault="00A2303C" w:rsidP="005A626E">
      <w:pPr>
        <w:pStyle w:val="NoSpacing"/>
        <w:tabs>
          <w:tab w:val="left" w:pos="1080"/>
        </w:tabs>
        <w:ind w:left="1080"/>
        <w:rPr>
          <w:lang w:val="en-US"/>
        </w:rPr>
      </w:pPr>
      <w:r w:rsidRPr="005A626E">
        <w:rPr>
          <w:lang w:val="en-US"/>
        </w:rPr>
        <w:t>7.2.1 Structure choices made in Chile and Brazil</w:t>
      </w:r>
      <w:r>
        <w:rPr>
          <w:lang w:val="en-US"/>
        </w:rPr>
        <w:tab/>
      </w:r>
      <w:r>
        <w:rPr>
          <w:lang w:val="en-US"/>
        </w:rPr>
        <w:tab/>
      </w:r>
      <w:r>
        <w:rPr>
          <w:lang w:val="en-US"/>
        </w:rPr>
        <w:tab/>
      </w:r>
      <w:r>
        <w:rPr>
          <w:lang w:val="en-US"/>
        </w:rPr>
        <w:tab/>
      </w:r>
      <w:r>
        <w:rPr>
          <w:lang w:val="en-US"/>
        </w:rPr>
        <w:tab/>
        <w:t>49</w:t>
      </w:r>
    </w:p>
    <w:p w:rsidR="00A2303C" w:rsidRPr="005A626E" w:rsidRDefault="00A2303C" w:rsidP="005A626E">
      <w:pPr>
        <w:pStyle w:val="NoSpacing"/>
        <w:tabs>
          <w:tab w:val="left" w:pos="1080"/>
        </w:tabs>
        <w:ind w:left="1080"/>
        <w:rPr>
          <w:lang w:val="en-US"/>
        </w:rPr>
      </w:pPr>
      <w:r w:rsidRPr="005A626E">
        <w:rPr>
          <w:lang w:val="en-US"/>
        </w:rPr>
        <w:t>7.2.2 How should Brazil structure its pension system?</w:t>
      </w:r>
      <w:r>
        <w:rPr>
          <w:lang w:val="en-US"/>
        </w:rPr>
        <w:tab/>
      </w:r>
      <w:r>
        <w:rPr>
          <w:lang w:val="en-US"/>
        </w:rPr>
        <w:tab/>
      </w:r>
      <w:r>
        <w:rPr>
          <w:lang w:val="en-US"/>
        </w:rPr>
        <w:tab/>
      </w:r>
      <w:r>
        <w:rPr>
          <w:lang w:val="en-US"/>
        </w:rPr>
        <w:tab/>
        <w:t>49</w:t>
      </w:r>
    </w:p>
    <w:p w:rsidR="00A2303C" w:rsidRDefault="00A2303C" w:rsidP="005A626E">
      <w:pPr>
        <w:pStyle w:val="NoSpacing"/>
        <w:tabs>
          <w:tab w:val="left" w:pos="1080"/>
        </w:tabs>
        <w:ind w:left="540"/>
        <w:rPr>
          <w:lang w:val="en-US"/>
        </w:rPr>
      </w:pPr>
      <w:r w:rsidRPr="005740A1">
        <w:rPr>
          <w:lang w:val="en-US"/>
        </w:rPr>
        <w:t>7.3 Policy recommendations</w:t>
      </w:r>
      <w:r w:rsidRPr="005740A1">
        <w:rPr>
          <w:lang w:val="en-US"/>
        </w:rPr>
        <w:tab/>
      </w:r>
      <w:r w:rsidRPr="005740A1">
        <w:rPr>
          <w:lang w:val="en-US"/>
        </w:rPr>
        <w:tab/>
      </w:r>
      <w:r w:rsidRPr="005740A1">
        <w:rPr>
          <w:lang w:val="en-US"/>
        </w:rPr>
        <w:tab/>
      </w:r>
      <w:r w:rsidRPr="005740A1">
        <w:rPr>
          <w:lang w:val="en-US"/>
        </w:rPr>
        <w:tab/>
      </w:r>
      <w:r w:rsidRPr="005740A1">
        <w:rPr>
          <w:lang w:val="en-US"/>
        </w:rPr>
        <w:tab/>
      </w:r>
      <w:r w:rsidRPr="005740A1">
        <w:rPr>
          <w:lang w:val="en-US"/>
        </w:rPr>
        <w:tab/>
      </w:r>
      <w:r w:rsidRPr="005740A1">
        <w:rPr>
          <w:lang w:val="en-US"/>
        </w:rPr>
        <w:tab/>
      </w:r>
      <w:r w:rsidRPr="005740A1">
        <w:rPr>
          <w:lang w:val="en-US"/>
        </w:rPr>
        <w:tab/>
        <w:t>51</w:t>
      </w:r>
    </w:p>
    <w:p w:rsidR="00A2303C" w:rsidRPr="005740A1" w:rsidRDefault="00A2303C" w:rsidP="005A626E">
      <w:pPr>
        <w:pStyle w:val="NoSpacing"/>
        <w:tabs>
          <w:tab w:val="left" w:pos="1080"/>
        </w:tabs>
        <w:ind w:left="540"/>
        <w:rPr>
          <w:lang w:val="en-US"/>
        </w:rPr>
      </w:pPr>
      <w:r>
        <w:rPr>
          <w:lang w:val="en-US"/>
        </w:rPr>
        <w:t>7.4 Winners and losers</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52</w:t>
      </w:r>
    </w:p>
    <w:p w:rsidR="00A2303C" w:rsidRPr="005740A1" w:rsidRDefault="00A2303C" w:rsidP="005A626E">
      <w:pPr>
        <w:pStyle w:val="NoSpacing"/>
        <w:tabs>
          <w:tab w:val="left" w:pos="1080"/>
        </w:tabs>
        <w:rPr>
          <w:lang w:val="en-US"/>
        </w:rPr>
      </w:pPr>
    </w:p>
    <w:p w:rsidR="00A2303C" w:rsidRPr="005740A1" w:rsidRDefault="00A2303C" w:rsidP="005A626E">
      <w:pPr>
        <w:pStyle w:val="NoSpacing"/>
        <w:tabs>
          <w:tab w:val="left" w:pos="1080"/>
        </w:tabs>
        <w:rPr>
          <w:b/>
          <w:color w:val="4F81BD"/>
          <w:lang w:val="en-US"/>
        </w:rPr>
      </w:pPr>
      <w:r w:rsidRPr="005740A1">
        <w:rPr>
          <w:b/>
          <w:color w:val="4F81BD"/>
          <w:lang w:val="en-US"/>
        </w:rPr>
        <w:t>8. Conclusion</w:t>
      </w:r>
      <w:r w:rsidRPr="005740A1">
        <w:rPr>
          <w:b/>
          <w:color w:val="4F81BD"/>
          <w:lang w:val="en-US"/>
        </w:rPr>
        <w:tab/>
      </w:r>
      <w:r w:rsidRPr="005740A1">
        <w:rPr>
          <w:b/>
          <w:color w:val="4F81BD"/>
          <w:lang w:val="en-US"/>
        </w:rPr>
        <w:tab/>
      </w:r>
      <w:r w:rsidRPr="005740A1">
        <w:rPr>
          <w:b/>
          <w:color w:val="4F81BD"/>
          <w:lang w:val="en-US"/>
        </w:rPr>
        <w:tab/>
      </w:r>
      <w:r w:rsidRPr="005740A1">
        <w:rPr>
          <w:b/>
          <w:color w:val="4F81BD"/>
          <w:lang w:val="en-US"/>
        </w:rPr>
        <w:tab/>
      </w:r>
      <w:r w:rsidRPr="005740A1">
        <w:rPr>
          <w:b/>
          <w:color w:val="4F81BD"/>
          <w:lang w:val="en-US"/>
        </w:rPr>
        <w:tab/>
      </w:r>
      <w:r w:rsidRPr="005740A1">
        <w:rPr>
          <w:b/>
          <w:color w:val="4F81BD"/>
          <w:lang w:val="en-US"/>
        </w:rPr>
        <w:tab/>
      </w:r>
      <w:r w:rsidRPr="005740A1">
        <w:rPr>
          <w:b/>
          <w:color w:val="4F81BD"/>
          <w:lang w:val="en-US"/>
        </w:rPr>
        <w:tab/>
      </w:r>
      <w:r w:rsidRPr="005740A1">
        <w:rPr>
          <w:b/>
          <w:color w:val="4F81BD"/>
          <w:lang w:val="en-US"/>
        </w:rPr>
        <w:tab/>
      </w:r>
      <w:r w:rsidRPr="005740A1">
        <w:rPr>
          <w:b/>
          <w:color w:val="4F81BD"/>
          <w:lang w:val="en-US"/>
        </w:rPr>
        <w:tab/>
      </w:r>
      <w:r w:rsidRPr="005740A1">
        <w:rPr>
          <w:b/>
          <w:color w:val="4F81BD"/>
          <w:lang w:val="en-US"/>
        </w:rPr>
        <w:tab/>
      </w:r>
      <w:r w:rsidRPr="005740A1">
        <w:rPr>
          <w:b/>
          <w:color w:val="4F81BD"/>
          <w:lang w:val="en-US"/>
        </w:rPr>
        <w:tab/>
        <w:t>53</w:t>
      </w:r>
    </w:p>
    <w:p w:rsidR="00A2303C" w:rsidRPr="005740A1" w:rsidRDefault="00A2303C" w:rsidP="005A626E">
      <w:pPr>
        <w:pStyle w:val="NoSpacing"/>
        <w:tabs>
          <w:tab w:val="left" w:pos="1080"/>
        </w:tabs>
        <w:rPr>
          <w:b/>
          <w:lang w:val="en-US"/>
        </w:rPr>
      </w:pPr>
    </w:p>
    <w:p w:rsidR="00A2303C" w:rsidRPr="005740A1" w:rsidRDefault="00A2303C" w:rsidP="005A626E">
      <w:pPr>
        <w:pStyle w:val="NoSpacing"/>
        <w:tabs>
          <w:tab w:val="left" w:pos="1080"/>
        </w:tabs>
        <w:rPr>
          <w:b/>
          <w:color w:val="4F81BD"/>
          <w:lang w:val="en-US"/>
        </w:rPr>
      </w:pPr>
      <w:r w:rsidRPr="005740A1">
        <w:rPr>
          <w:b/>
          <w:color w:val="4F81BD"/>
          <w:lang w:val="en-US"/>
        </w:rPr>
        <w:t>9. Reference list</w:t>
      </w:r>
      <w:r w:rsidRPr="005740A1">
        <w:rPr>
          <w:b/>
          <w:color w:val="4F81BD"/>
          <w:lang w:val="en-US"/>
        </w:rPr>
        <w:tab/>
      </w:r>
      <w:r w:rsidRPr="005740A1">
        <w:rPr>
          <w:b/>
          <w:color w:val="4F81BD"/>
          <w:lang w:val="en-US"/>
        </w:rPr>
        <w:tab/>
      </w:r>
      <w:r w:rsidRPr="005740A1">
        <w:rPr>
          <w:b/>
          <w:color w:val="4F81BD"/>
          <w:lang w:val="en-US"/>
        </w:rPr>
        <w:tab/>
      </w:r>
      <w:r w:rsidRPr="005740A1">
        <w:rPr>
          <w:b/>
          <w:color w:val="4F81BD"/>
          <w:lang w:val="en-US"/>
        </w:rPr>
        <w:tab/>
      </w:r>
      <w:r w:rsidRPr="005740A1">
        <w:rPr>
          <w:b/>
          <w:color w:val="4F81BD"/>
          <w:lang w:val="en-US"/>
        </w:rPr>
        <w:tab/>
      </w:r>
      <w:r w:rsidRPr="005740A1">
        <w:rPr>
          <w:b/>
          <w:color w:val="4F81BD"/>
          <w:lang w:val="en-US"/>
        </w:rPr>
        <w:tab/>
      </w:r>
      <w:r w:rsidRPr="005740A1">
        <w:rPr>
          <w:b/>
          <w:color w:val="4F81BD"/>
          <w:lang w:val="en-US"/>
        </w:rPr>
        <w:tab/>
      </w:r>
      <w:r w:rsidRPr="005740A1">
        <w:rPr>
          <w:b/>
          <w:color w:val="4F81BD"/>
          <w:lang w:val="en-US"/>
        </w:rPr>
        <w:tab/>
      </w:r>
      <w:r w:rsidRPr="005740A1">
        <w:rPr>
          <w:b/>
          <w:color w:val="4F81BD"/>
          <w:lang w:val="en-US"/>
        </w:rPr>
        <w:tab/>
      </w:r>
      <w:r w:rsidRPr="005740A1">
        <w:rPr>
          <w:b/>
          <w:color w:val="4F81BD"/>
          <w:lang w:val="en-US"/>
        </w:rPr>
        <w:tab/>
        <w:t>55</w:t>
      </w:r>
    </w:p>
    <w:p w:rsidR="00A2303C" w:rsidRPr="005740A1" w:rsidRDefault="00A2303C" w:rsidP="005A626E">
      <w:pPr>
        <w:pStyle w:val="NoSpacing"/>
        <w:rPr>
          <w:lang w:val="en-US"/>
        </w:rPr>
      </w:pPr>
    </w:p>
    <w:p w:rsidR="00A2303C" w:rsidRPr="005740A1" w:rsidRDefault="00A2303C" w:rsidP="005A626E">
      <w:pPr>
        <w:pStyle w:val="NoSpacing"/>
        <w:rPr>
          <w:lang w:val="en-US"/>
        </w:rPr>
      </w:pPr>
    </w:p>
    <w:p w:rsidR="00A2303C" w:rsidRDefault="00A2303C" w:rsidP="003F7895">
      <w:pPr>
        <w:jc w:val="center"/>
        <w:rPr>
          <w:lang w:val="en-US"/>
        </w:rPr>
      </w:pPr>
    </w:p>
    <w:p w:rsidR="00A2303C" w:rsidRDefault="00A2303C" w:rsidP="003F7895">
      <w:pPr>
        <w:jc w:val="center"/>
        <w:rPr>
          <w:lang w:val="en-US"/>
        </w:rPr>
      </w:pPr>
    </w:p>
    <w:p w:rsidR="00A2303C" w:rsidRDefault="00A2303C" w:rsidP="003F7895">
      <w:pPr>
        <w:jc w:val="center"/>
        <w:rPr>
          <w:lang w:val="en-US"/>
        </w:rPr>
      </w:pPr>
    </w:p>
    <w:p w:rsidR="00A2303C" w:rsidRDefault="00A2303C" w:rsidP="003F7895">
      <w:pPr>
        <w:jc w:val="center"/>
        <w:rPr>
          <w:lang w:val="en-US"/>
        </w:rPr>
      </w:pPr>
    </w:p>
    <w:p w:rsidR="00A2303C" w:rsidRDefault="00A2303C" w:rsidP="003F7895">
      <w:pPr>
        <w:jc w:val="center"/>
        <w:rPr>
          <w:lang w:val="en-US"/>
        </w:rPr>
      </w:pPr>
    </w:p>
    <w:p w:rsidR="00A2303C" w:rsidRDefault="00A2303C" w:rsidP="003F7895">
      <w:pPr>
        <w:jc w:val="center"/>
        <w:rPr>
          <w:lang w:val="en-US"/>
        </w:rPr>
      </w:pPr>
    </w:p>
    <w:p w:rsidR="00A2303C" w:rsidRDefault="00A2303C" w:rsidP="003F7895">
      <w:pPr>
        <w:jc w:val="center"/>
        <w:rPr>
          <w:lang w:val="en-US"/>
        </w:rPr>
      </w:pPr>
    </w:p>
    <w:p w:rsidR="00A2303C" w:rsidRDefault="00A2303C" w:rsidP="003F7895">
      <w:pPr>
        <w:jc w:val="center"/>
        <w:rPr>
          <w:lang w:val="en-US"/>
        </w:rPr>
      </w:pPr>
    </w:p>
    <w:p w:rsidR="00A2303C" w:rsidRDefault="00A2303C" w:rsidP="003F7895">
      <w:pPr>
        <w:jc w:val="center"/>
        <w:rPr>
          <w:lang w:val="en-US"/>
        </w:rPr>
      </w:pPr>
    </w:p>
    <w:p w:rsidR="00A2303C" w:rsidRDefault="00A2303C" w:rsidP="003F7895">
      <w:pPr>
        <w:jc w:val="center"/>
        <w:rPr>
          <w:lang w:val="en-US"/>
        </w:rPr>
      </w:pPr>
    </w:p>
    <w:p w:rsidR="00A2303C" w:rsidRDefault="00A2303C" w:rsidP="003F7895">
      <w:pPr>
        <w:jc w:val="center"/>
        <w:rPr>
          <w:lang w:val="en-US"/>
        </w:rPr>
      </w:pPr>
    </w:p>
    <w:p w:rsidR="00A2303C" w:rsidRDefault="00A2303C" w:rsidP="003F7895">
      <w:pPr>
        <w:jc w:val="center"/>
        <w:rPr>
          <w:lang w:val="en-US"/>
        </w:rPr>
      </w:pPr>
    </w:p>
    <w:p w:rsidR="00A2303C" w:rsidRDefault="00A2303C" w:rsidP="003F7895">
      <w:pPr>
        <w:jc w:val="center"/>
        <w:rPr>
          <w:lang w:val="en-US"/>
        </w:rPr>
      </w:pPr>
    </w:p>
    <w:p w:rsidR="00A2303C" w:rsidRDefault="00A2303C" w:rsidP="005A626E">
      <w:pPr>
        <w:rPr>
          <w:lang w:val="en-US"/>
        </w:rPr>
      </w:pPr>
    </w:p>
    <w:p w:rsidR="00A2303C" w:rsidRPr="00E77B2A" w:rsidRDefault="00A2303C" w:rsidP="003F7895">
      <w:pPr>
        <w:pStyle w:val="IntenseQuote"/>
        <w:numPr>
          <w:ilvl w:val="0"/>
          <w:numId w:val="3"/>
        </w:numPr>
        <w:jc w:val="center"/>
        <w:rPr>
          <w:lang w:val="en-US"/>
        </w:rPr>
      </w:pPr>
      <w:r w:rsidRPr="00E77B2A">
        <w:rPr>
          <w:lang w:val="en-US"/>
        </w:rPr>
        <w:t>Introduction</w:t>
      </w:r>
    </w:p>
    <w:p w:rsidR="00A2303C" w:rsidRDefault="00A2303C" w:rsidP="003F7895">
      <w:pPr>
        <w:pStyle w:val="NoSpacing"/>
        <w:spacing w:line="360" w:lineRule="auto"/>
        <w:rPr>
          <w:lang w:val="en-US"/>
        </w:rPr>
      </w:pPr>
      <w:r>
        <w:rPr>
          <w:lang w:val="en-US"/>
        </w:rPr>
        <w:t>During the last couple of decades various countries, both developed and developing, have reformed their pension system. Possible motives for these reforms have been demographic developments (e.g. rising life expectancies and falling fertility rates), transitions in the labor market (e.g. increasing informality) or (increasing) deficits on the pension balance. Particularly Latin America has been the platform of many pension reforms during the 1980s and 1990s. Chile pioneered in making a radical change from a publicly managed Pay-As-You-Go (PAYG) system to a privatized fully funded system and was then followed by numerous neighboring countries.  In total 11 Latin American countries took the Chilean model as an example for reforming their own pension system, but Brazil took a different approach. Brazil found the political and economic implications of the reform insurmountable because of fiscal constraints. Therefore, Brazilian government decided to focus on strengthening their public PAYG system.</w:t>
      </w:r>
    </w:p>
    <w:p w:rsidR="00A2303C" w:rsidRDefault="00A2303C" w:rsidP="003F7895">
      <w:pPr>
        <w:pStyle w:val="NoSpacing"/>
        <w:spacing w:line="360" w:lineRule="auto"/>
        <w:rPr>
          <w:lang w:val="en-US"/>
        </w:rPr>
      </w:pPr>
    </w:p>
    <w:p w:rsidR="00A2303C" w:rsidRDefault="00A2303C" w:rsidP="003F7895">
      <w:pPr>
        <w:pStyle w:val="NoSpacing"/>
        <w:spacing w:line="360" w:lineRule="auto"/>
        <w:rPr>
          <w:lang w:val="en-US"/>
        </w:rPr>
      </w:pPr>
      <w:r>
        <w:rPr>
          <w:lang w:val="en-US"/>
        </w:rPr>
        <w:t xml:space="preserve">Currently Brazil faces several threats and challenges for the sustainability of the pension system. Examples are the ageing of the society due to rising life expectancies and falling fertility rates (United Nations 2008), too generous benefits that are paid to the public workers leading to large budget deficits (Ferreira Savoia 2007) and the increasing income inequalities (Besley and Burgess 2003). These threats and challenges lead to raising the question how Brazil can change its pension system that allows them to cope with problems and enhance the sustainability of the system. Is it advisable that Brazil also follows the other 19 countries worldwide that have transformed their pension system in accordance with the Chilean model? Or should the current PAYG system be adjusted in such a way that it can handle the problems? These questions lead to the main research question of this paper: </w:t>
      </w:r>
      <w:r>
        <w:rPr>
          <w:i/>
          <w:lang w:val="en-US"/>
        </w:rPr>
        <w:t>‘Should Brazil reform its pension system to the Chilean pension model?’</w:t>
      </w:r>
      <w:r>
        <w:rPr>
          <w:lang w:val="en-US"/>
        </w:rPr>
        <w:t xml:space="preserve"> </w:t>
      </w:r>
    </w:p>
    <w:p w:rsidR="00A2303C" w:rsidRDefault="00A2303C" w:rsidP="003F7895">
      <w:pPr>
        <w:pStyle w:val="NoSpacing"/>
        <w:spacing w:line="360" w:lineRule="auto"/>
        <w:rPr>
          <w:lang w:val="en-US"/>
        </w:rPr>
      </w:pPr>
    </w:p>
    <w:p w:rsidR="00A2303C" w:rsidRDefault="00A2303C" w:rsidP="003F7895">
      <w:pPr>
        <w:pStyle w:val="NoSpacing"/>
        <w:spacing w:line="360" w:lineRule="auto"/>
        <w:rPr>
          <w:lang w:val="en-US"/>
        </w:rPr>
      </w:pPr>
      <w:r>
        <w:rPr>
          <w:lang w:val="en-US"/>
        </w:rPr>
        <w:t xml:space="preserve">Previous literature has concentrated on analyzing the Chilean reform and describing the current Brazilian pension situation and the main challenges it faces. For example, Schmidt-Hebbel (1995) and Mesa-Lago (2003) assessed the Chilean reform benefits from a macroeconomic and growth perspective and outlined the accomplishments and weaknesses. Pinheiro (2004) and Medici (2004) described the historical overview of the Brazilian pensions system, explained why the Brazilian government did not reform the pension system like the other Latin American countries and how the current system operates. In addition, Bonturi (2002) and Ferreira Savoia (2007) identified five critical matters of concern for the sustainability of the current Brazil pension system. However, none of the literature gave clear suggestions on how the current problems in Brazil can be solved. No research assessed whether in particular the Chilean model would be a suitable alternative, as it has proved to be a success in other Latin American countries (Roncada 2000). </w:t>
      </w:r>
    </w:p>
    <w:p w:rsidR="00A2303C" w:rsidRDefault="00A2303C" w:rsidP="003F7895">
      <w:pPr>
        <w:pStyle w:val="NoSpacing"/>
        <w:spacing w:line="360" w:lineRule="auto"/>
        <w:rPr>
          <w:lang w:val="en-US"/>
        </w:rPr>
      </w:pPr>
    </w:p>
    <w:p w:rsidR="00A2303C" w:rsidRDefault="00A2303C" w:rsidP="003F7895">
      <w:pPr>
        <w:pStyle w:val="NoSpacing"/>
        <w:spacing w:line="360" w:lineRule="auto"/>
        <w:rPr>
          <w:lang w:val="en-US"/>
        </w:rPr>
      </w:pPr>
      <w:r>
        <w:rPr>
          <w:lang w:val="en-US"/>
        </w:rPr>
        <w:t xml:space="preserve">This paper first takes a look at the different options to design a pension system in general. Pension designers have the choices of having a mandatory or voluntary system, a publicly or privately managed system, a PAYG or fully funded system and finally Defined Benefit (DB) or Defined Contribution (DC) schemes. For each of the choices the advantages and disadvantages of the options are explained. Additionally, the current pension situation of Brazil and the Chilean reform is described. By combining the analyses of the pro’s and cons of the various options for structuring a pension system in general and the Brazilian characteristics in specific, the most suitable pension design for Brazil can be identified. The paper finds that this most optimal design for Brazil resembles the features of the Chilean pension system. However, before examining whether the Chilean pension model should actually be implemented in Brazil, it is important to ensure that the two countries face the same pension problem. After concluding that Brazil and Chile are quite similar in terms of their demographic, economic and fiscal situation, the paper gives several policy recommendations on how the Chilean model should be implemented in Brazil. Furthermore, it highlights the lessons Brazil can learn for Chile and eventually how the sustainability of the Brazilian pension system can be improved. </w:t>
      </w:r>
    </w:p>
    <w:p w:rsidR="00A2303C" w:rsidRDefault="00A2303C" w:rsidP="003F7895">
      <w:pPr>
        <w:pStyle w:val="NoSpacing"/>
        <w:spacing w:line="360" w:lineRule="auto"/>
        <w:rPr>
          <w:lang w:val="en-US"/>
        </w:rPr>
      </w:pPr>
    </w:p>
    <w:p w:rsidR="00A2303C" w:rsidRDefault="00A2303C" w:rsidP="003F7895">
      <w:pPr>
        <w:pStyle w:val="NoSpacing"/>
        <w:spacing w:line="360" w:lineRule="auto"/>
        <w:rPr>
          <w:lang w:val="en-US"/>
        </w:rPr>
      </w:pPr>
      <w:r>
        <w:rPr>
          <w:lang w:val="en-US"/>
        </w:rPr>
        <w:t xml:space="preserve">In section 2 the existence of pension systems in general is explained, followed by an overview of the different types of pension systems in section 3. Section 4 continues with the advantages and disadvantages of the different types that were described in the previous section. Sections 5 and 6 outline the pension situation in Chile and Brazil, respectively. Subsequently, section 7 makes a comparison between the two countries and answers the research question, whereas section 8 concludes.  </w:t>
      </w:r>
    </w:p>
    <w:p w:rsidR="00A2303C" w:rsidRPr="00716F8F" w:rsidRDefault="00A2303C" w:rsidP="003F7895">
      <w:pPr>
        <w:pStyle w:val="NoSpacing"/>
        <w:spacing w:line="360" w:lineRule="auto"/>
        <w:rPr>
          <w:lang w:val="en-US"/>
        </w:rPr>
      </w:pPr>
    </w:p>
    <w:p w:rsidR="00A2303C" w:rsidRPr="00E77B2A" w:rsidRDefault="00A2303C" w:rsidP="003F7895">
      <w:pPr>
        <w:pStyle w:val="IntenseQuote"/>
        <w:numPr>
          <w:ilvl w:val="0"/>
          <w:numId w:val="3"/>
        </w:numPr>
        <w:jc w:val="center"/>
        <w:rPr>
          <w:lang w:val="en-US"/>
        </w:rPr>
      </w:pPr>
      <w:r w:rsidRPr="00E77B2A">
        <w:rPr>
          <w:lang w:val="en-US"/>
        </w:rPr>
        <w:t>Why do pension systems exist?</w:t>
      </w:r>
    </w:p>
    <w:p w:rsidR="00A2303C" w:rsidRPr="00E77B2A" w:rsidRDefault="00A2303C" w:rsidP="003F7895">
      <w:pPr>
        <w:pStyle w:val="NoSpacing"/>
        <w:spacing w:line="360" w:lineRule="auto"/>
        <w:rPr>
          <w:lang w:val="en-US"/>
        </w:rPr>
      </w:pPr>
      <w:r w:rsidRPr="00E77B2A">
        <w:rPr>
          <w:lang w:val="en-US"/>
        </w:rPr>
        <w:t xml:space="preserve">This section starts by giving a definition of pension, continued by the three main functions of a pension system. Furthermore, secondary </w:t>
      </w:r>
      <w:r>
        <w:rPr>
          <w:lang w:val="en-US"/>
        </w:rPr>
        <w:t>functions of</w:t>
      </w:r>
      <w:r w:rsidRPr="00E77B2A">
        <w:rPr>
          <w:lang w:val="en-US"/>
        </w:rPr>
        <w:t xml:space="preserve"> pensions are presented, which should be given the appropriate priority as they can undermine the original </w:t>
      </w:r>
      <w:r>
        <w:rPr>
          <w:lang w:val="en-US"/>
        </w:rPr>
        <w:t>functioning of</w:t>
      </w:r>
      <w:r w:rsidRPr="00E77B2A">
        <w:rPr>
          <w:lang w:val="en-US"/>
        </w:rPr>
        <w:t xml:space="preserve"> pensions. </w:t>
      </w:r>
    </w:p>
    <w:p w:rsidR="00A2303C" w:rsidRPr="00E77B2A" w:rsidRDefault="00A2303C" w:rsidP="003F7895">
      <w:pPr>
        <w:pStyle w:val="NoSpacing"/>
        <w:spacing w:line="360" w:lineRule="auto"/>
        <w:rPr>
          <w:lang w:val="en-US"/>
        </w:rPr>
      </w:pPr>
    </w:p>
    <w:p w:rsidR="00A2303C" w:rsidRDefault="00A2303C" w:rsidP="00671CE6">
      <w:pPr>
        <w:pStyle w:val="NoSpacing"/>
        <w:numPr>
          <w:ilvl w:val="1"/>
          <w:numId w:val="3"/>
        </w:numPr>
        <w:spacing w:line="360" w:lineRule="auto"/>
        <w:ind w:hanging="1296"/>
        <w:rPr>
          <w:b/>
          <w:i/>
          <w:lang w:val="en-US"/>
        </w:rPr>
      </w:pPr>
      <w:r w:rsidRPr="00671CE6">
        <w:rPr>
          <w:b/>
          <w:i/>
          <w:lang w:val="en-US"/>
        </w:rPr>
        <w:t>What is a pension?</w:t>
      </w:r>
    </w:p>
    <w:p w:rsidR="00A2303C" w:rsidRPr="00E77B2A" w:rsidRDefault="00A2303C" w:rsidP="00C97B55">
      <w:pPr>
        <w:pStyle w:val="NoSpacing"/>
        <w:spacing w:line="360" w:lineRule="auto"/>
        <w:rPr>
          <w:lang w:val="en-US"/>
        </w:rPr>
      </w:pPr>
      <w:r>
        <w:rPr>
          <w:lang w:val="en-US"/>
        </w:rPr>
        <w:t>The concept of pensions is used</w:t>
      </w:r>
      <w:r w:rsidRPr="00E77B2A">
        <w:rPr>
          <w:lang w:val="en-US"/>
        </w:rPr>
        <w:t xml:space="preserve"> to indicate different types of benefit payments</w:t>
      </w:r>
      <w:r>
        <w:rPr>
          <w:lang w:val="en-US"/>
        </w:rPr>
        <w:t xml:space="preserve">. To define a pension, this paper uses the definition given by the World Bank. The World Bank (1994) defines a pension as: </w:t>
      </w:r>
      <w:r>
        <w:rPr>
          <w:i/>
          <w:lang w:val="en-US"/>
        </w:rPr>
        <w:t>‘Old age, retirement, survivors’, death, and invalidity-disability payments based on past contribution records plus noncontributory, flat universal, or means-tested programs specifically targeting the old.</w:t>
      </w:r>
      <w:r>
        <w:rPr>
          <w:lang w:val="en-US"/>
        </w:rPr>
        <w:t>’</w:t>
      </w:r>
    </w:p>
    <w:p w:rsidR="00A2303C" w:rsidRPr="00E77B2A" w:rsidRDefault="00A2303C" w:rsidP="00C97B55">
      <w:pPr>
        <w:pStyle w:val="NoSpacing"/>
        <w:spacing w:line="360" w:lineRule="auto"/>
        <w:rPr>
          <w:lang w:val="en-US"/>
        </w:rPr>
      </w:pPr>
    </w:p>
    <w:p w:rsidR="00A2303C" w:rsidRPr="00E77B2A" w:rsidRDefault="00A2303C" w:rsidP="00C97B55">
      <w:pPr>
        <w:pStyle w:val="NoSpacing"/>
        <w:numPr>
          <w:ilvl w:val="1"/>
          <w:numId w:val="3"/>
        </w:numPr>
        <w:spacing w:line="360" w:lineRule="auto"/>
        <w:ind w:hanging="1296"/>
        <w:rPr>
          <w:b/>
          <w:i/>
          <w:lang w:val="en-US"/>
        </w:rPr>
      </w:pPr>
      <w:r w:rsidRPr="00E77B2A">
        <w:rPr>
          <w:b/>
          <w:i/>
          <w:lang w:val="en-US"/>
        </w:rPr>
        <w:t>Functions of a pension system</w:t>
      </w:r>
    </w:p>
    <w:p w:rsidR="00A2303C" w:rsidRPr="00E77B2A" w:rsidRDefault="00A2303C" w:rsidP="00C97B55">
      <w:pPr>
        <w:pStyle w:val="NoSpacing"/>
        <w:spacing w:line="360" w:lineRule="auto"/>
        <w:rPr>
          <w:lang w:val="en-US"/>
        </w:rPr>
      </w:pPr>
      <w:r w:rsidRPr="00E77B2A">
        <w:rPr>
          <w:lang w:val="en-US"/>
        </w:rPr>
        <w:t xml:space="preserve">In designing a pension and social insurance system, particular emphasis is placed on balancing the functions of consumption smoothing, insurance and redistribution. Disparities in pension design are the result of differences in the level of solidarity and policy priorities between countries. </w:t>
      </w:r>
    </w:p>
    <w:p w:rsidR="00A2303C" w:rsidRPr="00E77B2A" w:rsidRDefault="00A2303C" w:rsidP="00C97B55">
      <w:pPr>
        <w:pStyle w:val="NoSpacing"/>
        <w:spacing w:line="360" w:lineRule="auto"/>
        <w:rPr>
          <w:lang w:val="en-US"/>
        </w:rPr>
      </w:pPr>
    </w:p>
    <w:p w:rsidR="00A2303C" w:rsidRPr="00E77B2A" w:rsidRDefault="00A2303C" w:rsidP="00C97B55">
      <w:pPr>
        <w:pStyle w:val="NoSpacing"/>
        <w:spacing w:line="360" w:lineRule="auto"/>
        <w:rPr>
          <w:lang w:val="en-US"/>
        </w:rPr>
      </w:pPr>
      <w:r w:rsidRPr="00E77B2A">
        <w:rPr>
          <w:lang w:val="en-US"/>
        </w:rPr>
        <w:t xml:space="preserve">The first key function of a pension system is to facilitate </w:t>
      </w:r>
      <w:r>
        <w:rPr>
          <w:lang w:val="en-US"/>
        </w:rPr>
        <w:t>individuals</w:t>
      </w:r>
      <w:r w:rsidRPr="00E77B2A">
        <w:rPr>
          <w:lang w:val="en-US"/>
        </w:rPr>
        <w:t xml:space="preserve"> to smooth their consumption over their lifetime. Over an individual’s life course his or her income varie</w:t>
      </w:r>
      <w:r>
        <w:rPr>
          <w:lang w:val="en-US"/>
        </w:rPr>
        <w:t>s substantially.</w:t>
      </w:r>
      <w:r w:rsidRPr="00E77B2A">
        <w:rPr>
          <w:lang w:val="en-US"/>
        </w:rPr>
        <w:t xml:space="preserve"> </w:t>
      </w:r>
      <w:r>
        <w:rPr>
          <w:lang w:val="en-US"/>
        </w:rPr>
        <w:t>T</w:t>
      </w:r>
      <w:r w:rsidRPr="00E77B2A">
        <w:rPr>
          <w:lang w:val="en-US"/>
        </w:rPr>
        <w:t xml:space="preserve">his particularly holds for individuals who are mainly dependant on </w:t>
      </w:r>
      <w:r>
        <w:rPr>
          <w:lang w:val="en-US"/>
        </w:rPr>
        <w:t>wages as means of income</w:t>
      </w:r>
      <w:r w:rsidRPr="00E77B2A">
        <w:rPr>
          <w:lang w:val="en-US"/>
        </w:rPr>
        <w:t xml:space="preserve">. Consequently, it necessitates for shielding </w:t>
      </w:r>
      <w:r>
        <w:rPr>
          <w:lang w:val="en-US"/>
        </w:rPr>
        <w:t>an individual’s</w:t>
      </w:r>
      <w:r w:rsidRPr="00E77B2A">
        <w:rPr>
          <w:lang w:val="en-US"/>
        </w:rPr>
        <w:t xml:space="preserve"> consumption from part of these fluctuations in income. If an individual saves </w:t>
      </w:r>
      <w:r>
        <w:rPr>
          <w:lang w:val="en-US"/>
        </w:rPr>
        <w:t xml:space="preserve">a </w:t>
      </w:r>
      <w:r w:rsidRPr="00E77B2A">
        <w:rPr>
          <w:lang w:val="en-US"/>
        </w:rPr>
        <w:t>part of his or her income during his or her working life, then after retirement these accumulated savings can be used to provide an adequate income. In Figure 2.1 and Figure 2.2,</w:t>
      </w:r>
      <w:r>
        <w:rPr>
          <w:lang w:val="en-US"/>
        </w:rPr>
        <w:t xml:space="preserve"> the consumption smoothing with</w:t>
      </w:r>
      <w:r w:rsidRPr="00E77B2A">
        <w:rPr>
          <w:lang w:val="en-US"/>
        </w:rPr>
        <w:t xml:space="preserve"> two scenarios is graphically illustrated. Even in the event of</w:t>
      </w:r>
      <w:r>
        <w:rPr>
          <w:lang w:val="en-US"/>
        </w:rPr>
        <w:t xml:space="preserve"> uncertainty</w:t>
      </w:r>
      <w:r w:rsidRPr="00E77B2A">
        <w:rPr>
          <w:lang w:val="en-US"/>
        </w:rPr>
        <w:t xml:space="preserve"> in terms of labor market, economic crises and cuts in social programs, consumption can still be partially shielded</w:t>
      </w:r>
      <w:r>
        <w:rPr>
          <w:lang w:val="en-US"/>
        </w:rPr>
        <w:t xml:space="preserve"> from fluctuations</w:t>
      </w:r>
      <w:r w:rsidRPr="00E77B2A">
        <w:rPr>
          <w:lang w:val="en-US"/>
        </w:rPr>
        <w:t xml:space="preserve">.  </w:t>
      </w:r>
    </w:p>
    <w:p w:rsidR="00A2303C" w:rsidRPr="00E77B2A" w:rsidRDefault="00A2303C" w:rsidP="00C97B55">
      <w:pPr>
        <w:pStyle w:val="NoSpacing"/>
        <w:spacing w:line="360" w:lineRule="auto"/>
        <w:rPr>
          <w:lang w:val="en-US"/>
        </w:rPr>
      </w:pPr>
      <w:r w:rsidRPr="00E77B2A">
        <w:rPr>
          <w:lang w:val="en-US"/>
        </w:rPr>
        <w:t xml:space="preserve">   </w:t>
      </w:r>
    </w:p>
    <w:p w:rsidR="00A2303C" w:rsidRPr="00E77B2A" w:rsidRDefault="00A2303C" w:rsidP="000E6DA4">
      <w:pPr>
        <w:pStyle w:val="NoSpacing"/>
        <w:spacing w:line="360" w:lineRule="auto"/>
        <w:ind w:firstLine="708"/>
        <w:rPr>
          <w:i/>
          <w:sz w:val="20"/>
          <w:szCs w:val="20"/>
          <w:lang w:val="en-US"/>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8" type="#_x0000_t75" style="position:absolute;left:0;text-align:left;margin-left:-29.6pt;margin-top:42.4pt;width:251.25pt;height:165pt;z-index:251653120;visibility:visible">
            <v:imagedata r:id="rId7" o:title=""/>
            <w10:wrap type="topAndBottom"/>
          </v:shape>
        </w:pict>
      </w:r>
      <w:r w:rsidRPr="00E77B2A">
        <w:rPr>
          <w:i/>
          <w:sz w:val="20"/>
          <w:szCs w:val="20"/>
          <w:lang w:val="en-US"/>
        </w:rPr>
        <w:t xml:space="preserve">Figure 2.1 Consumption smoothing </w:t>
      </w:r>
      <w:r w:rsidRPr="00E77B2A">
        <w:rPr>
          <w:i/>
          <w:sz w:val="20"/>
          <w:szCs w:val="20"/>
          <w:lang w:val="en-US"/>
        </w:rPr>
        <w:tab/>
      </w:r>
      <w:r w:rsidRPr="00E77B2A">
        <w:rPr>
          <w:i/>
          <w:sz w:val="20"/>
          <w:szCs w:val="20"/>
          <w:lang w:val="en-US"/>
        </w:rPr>
        <w:tab/>
      </w:r>
      <w:r w:rsidRPr="00E77B2A">
        <w:rPr>
          <w:i/>
          <w:sz w:val="20"/>
          <w:szCs w:val="20"/>
          <w:lang w:val="en-US"/>
        </w:rPr>
        <w:tab/>
        <w:t>Figure 2.2 Consumption smoothing</w:t>
      </w:r>
    </w:p>
    <w:p w:rsidR="00A2303C" w:rsidRPr="00E77B2A" w:rsidRDefault="00A2303C" w:rsidP="000E6DA4">
      <w:pPr>
        <w:pStyle w:val="NoSpacing"/>
        <w:spacing w:line="360" w:lineRule="auto"/>
        <w:ind w:firstLine="708"/>
        <w:rPr>
          <w:i/>
          <w:sz w:val="20"/>
          <w:szCs w:val="20"/>
          <w:lang w:val="en-US"/>
        </w:rPr>
      </w:pPr>
      <w:r>
        <w:rPr>
          <w:noProof/>
          <w:lang w:val="en-US"/>
        </w:rPr>
        <w:pict>
          <v:shape id="Picture 0" o:spid="_x0000_s1029" type="#_x0000_t75" alt="Figure 1 Consumption smoothing 2.jpg" style="position:absolute;left:0;text-align:left;margin-left:217.15pt;margin-top:22.6pt;width:258pt;height:168.75pt;z-index:251652096;visibility:visible">
            <v:imagedata r:id="rId8" o:title=""/>
            <w10:wrap type="topAndBottom"/>
          </v:shape>
        </w:pict>
      </w:r>
      <w:r w:rsidRPr="00E77B2A">
        <w:rPr>
          <w:i/>
          <w:sz w:val="20"/>
          <w:szCs w:val="20"/>
          <w:lang w:val="en-US"/>
        </w:rPr>
        <w:t>withou</w:t>
      </w:r>
      <w:r>
        <w:rPr>
          <w:i/>
          <w:sz w:val="20"/>
          <w:szCs w:val="20"/>
          <w:lang w:val="en-US"/>
        </w:rPr>
        <w:t>t uncertainty</w:t>
      </w:r>
      <w:r>
        <w:rPr>
          <w:i/>
          <w:sz w:val="20"/>
          <w:szCs w:val="20"/>
          <w:lang w:val="en-US"/>
        </w:rPr>
        <w:tab/>
      </w:r>
      <w:r>
        <w:rPr>
          <w:i/>
          <w:sz w:val="20"/>
          <w:szCs w:val="20"/>
          <w:lang w:val="en-US"/>
        </w:rPr>
        <w:tab/>
      </w:r>
      <w:r>
        <w:rPr>
          <w:i/>
          <w:sz w:val="20"/>
          <w:szCs w:val="20"/>
          <w:lang w:val="en-US"/>
        </w:rPr>
        <w:tab/>
      </w:r>
      <w:r>
        <w:rPr>
          <w:i/>
          <w:sz w:val="20"/>
          <w:szCs w:val="20"/>
          <w:lang w:val="en-US"/>
        </w:rPr>
        <w:tab/>
      </w:r>
      <w:r>
        <w:rPr>
          <w:i/>
          <w:sz w:val="20"/>
          <w:szCs w:val="20"/>
          <w:lang w:val="en-US"/>
        </w:rPr>
        <w:tab/>
        <w:t>with uncertainty</w:t>
      </w:r>
    </w:p>
    <w:p w:rsidR="00A2303C" w:rsidRPr="00E77B2A" w:rsidRDefault="00A2303C" w:rsidP="000E6DA4">
      <w:pPr>
        <w:pStyle w:val="NoSpacing"/>
        <w:spacing w:line="360" w:lineRule="auto"/>
        <w:ind w:firstLine="708"/>
        <w:rPr>
          <w:i/>
          <w:sz w:val="20"/>
          <w:szCs w:val="20"/>
          <w:lang w:val="en-US"/>
        </w:rPr>
      </w:pPr>
      <w:r w:rsidRPr="00E77B2A">
        <w:rPr>
          <w:i/>
          <w:sz w:val="20"/>
          <w:szCs w:val="20"/>
          <w:lang w:val="en-US"/>
        </w:rPr>
        <w:t xml:space="preserve">Source: </w:t>
      </w:r>
      <w:r>
        <w:rPr>
          <w:i/>
          <w:sz w:val="20"/>
          <w:szCs w:val="20"/>
          <w:lang w:val="en-US"/>
        </w:rPr>
        <w:t>Barrientos (2002)</w:t>
      </w:r>
      <w:r>
        <w:rPr>
          <w:i/>
          <w:sz w:val="20"/>
          <w:szCs w:val="20"/>
          <w:lang w:val="en-US"/>
        </w:rPr>
        <w:tab/>
      </w:r>
      <w:r>
        <w:rPr>
          <w:i/>
          <w:sz w:val="20"/>
          <w:szCs w:val="20"/>
          <w:lang w:val="en-US"/>
        </w:rPr>
        <w:tab/>
      </w:r>
      <w:r>
        <w:rPr>
          <w:i/>
          <w:sz w:val="20"/>
          <w:szCs w:val="20"/>
          <w:lang w:val="en-US"/>
        </w:rPr>
        <w:tab/>
      </w:r>
      <w:r>
        <w:rPr>
          <w:i/>
          <w:sz w:val="20"/>
          <w:szCs w:val="20"/>
          <w:lang w:val="en-US"/>
        </w:rPr>
        <w:tab/>
      </w:r>
      <w:r>
        <w:rPr>
          <w:i/>
          <w:sz w:val="20"/>
          <w:szCs w:val="20"/>
          <w:lang w:val="en-US"/>
        </w:rPr>
        <w:tab/>
      </w:r>
      <w:r w:rsidRPr="00E77B2A">
        <w:rPr>
          <w:i/>
          <w:sz w:val="20"/>
          <w:szCs w:val="20"/>
          <w:lang w:val="en-US"/>
        </w:rPr>
        <w:t>Sou</w:t>
      </w:r>
      <w:r>
        <w:rPr>
          <w:i/>
          <w:sz w:val="20"/>
          <w:szCs w:val="20"/>
          <w:lang w:val="en-US"/>
        </w:rPr>
        <w:t>rce: Barrientos (2002)</w:t>
      </w:r>
    </w:p>
    <w:p w:rsidR="00A2303C" w:rsidRPr="00E77B2A" w:rsidRDefault="00A2303C" w:rsidP="000E6DA4">
      <w:pPr>
        <w:pStyle w:val="NoSpacing"/>
        <w:spacing w:line="360" w:lineRule="auto"/>
        <w:rPr>
          <w:lang w:val="en-US"/>
        </w:rPr>
      </w:pPr>
    </w:p>
    <w:p w:rsidR="00A2303C" w:rsidRPr="00E77B2A" w:rsidRDefault="00A2303C" w:rsidP="000E6DA4">
      <w:pPr>
        <w:pStyle w:val="NoSpacing"/>
        <w:spacing w:line="360" w:lineRule="auto"/>
        <w:rPr>
          <w:lang w:val="en-US"/>
        </w:rPr>
      </w:pPr>
      <w:r w:rsidRPr="00E77B2A">
        <w:rPr>
          <w:lang w:val="en-US"/>
        </w:rPr>
        <w:t xml:space="preserve">Secondly, a pension plan operates as an insurance against several unforeseen events </w:t>
      </w:r>
      <w:r>
        <w:rPr>
          <w:lang w:val="en-US"/>
        </w:rPr>
        <w:t xml:space="preserve">or risks </w:t>
      </w:r>
      <w:r w:rsidRPr="00E77B2A">
        <w:rPr>
          <w:lang w:val="en-US"/>
        </w:rPr>
        <w:t xml:space="preserve">which could have an adverse effect on household consumption. It mainly protects against the longevity risk which is defined as the possibility that people could outlive their accumulated savings. </w:t>
      </w:r>
      <w:r>
        <w:rPr>
          <w:lang w:val="en-US"/>
        </w:rPr>
        <w:t>With rising life expectancies across the world (UN 2007), this possibility becomes more likely if the benefit formula is not adjusted accordingly</w:t>
      </w:r>
      <w:r w:rsidRPr="00E77B2A">
        <w:rPr>
          <w:lang w:val="en-US"/>
        </w:rPr>
        <w:t>. On the other hand, a pensi</w:t>
      </w:r>
      <w:r>
        <w:rPr>
          <w:lang w:val="en-US"/>
        </w:rPr>
        <w:t>on plan insures against early deaths</w:t>
      </w:r>
      <w:r w:rsidRPr="00E77B2A">
        <w:rPr>
          <w:lang w:val="en-US"/>
        </w:rPr>
        <w:t xml:space="preserve"> as well. In case of the (premature) death of the breadwinner, benefits will be paid to the dependent survivors. Moreover, factors influencing the length of the working life, for instance unemployment and disability, can be minimized. Lastly, via indexed pension benefits pension plans also limit the inflation risk. </w:t>
      </w:r>
    </w:p>
    <w:p w:rsidR="00A2303C" w:rsidRPr="00E77B2A" w:rsidRDefault="00A2303C" w:rsidP="000E6DA4">
      <w:pPr>
        <w:pStyle w:val="NoSpacing"/>
        <w:spacing w:line="360" w:lineRule="auto"/>
        <w:rPr>
          <w:lang w:val="en-US"/>
        </w:rPr>
      </w:pPr>
    </w:p>
    <w:p w:rsidR="00A2303C" w:rsidRPr="00E77B2A" w:rsidRDefault="00A2303C" w:rsidP="000E6DA4">
      <w:pPr>
        <w:pStyle w:val="NoSpacing"/>
        <w:spacing w:line="360" w:lineRule="auto"/>
        <w:rPr>
          <w:lang w:val="en-US"/>
        </w:rPr>
      </w:pPr>
      <w:r w:rsidRPr="00E77B2A">
        <w:rPr>
          <w:lang w:val="en-US"/>
        </w:rPr>
        <w:t>Thi</w:t>
      </w:r>
      <w:r>
        <w:rPr>
          <w:lang w:val="en-US"/>
        </w:rPr>
        <w:t>rdly, pension plans can serve a redistributive function, if contributions paid by workers are used to pay the benefits of the elderly</w:t>
      </w:r>
      <w:r w:rsidRPr="00E77B2A">
        <w:rPr>
          <w:lang w:val="en-US"/>
        </w:rPr>
        <w:t>. Besides redistributing income across generations, by for instance passing on income from individuals wh</w:t>
      </w:r>
      <w:r>
        <w:rPr>
          <w:lang w:val="en-US"/>
        </w:rPr>
        <w:t>o work to people who are old</w:t>
      </w:r>
      <w:r w:rsidRPr="00E77B2A">
        <w:rPr>
          <w:lang w:val="en-US"/>
        </w:rPr>
        <w:t>, pension plans can also redistribute income within generations. This can be accomplished by</w:t>
      </w:r>
      <w:r>
        <w:rPr>
          <w:lang w:val="en-US"/>
        </w:rPr>
        <w:t>,</w:t>
      </w:r>
      <w:r w:rsidRPr="00E77B2A">
        <w:rPr>
          <w:lang w:val="en-US"/>
        </w:rPr>
        <w:t xml:space="preserve"> for example</w:t>
      </w:r>
      <w:r>
        <w:rPr>
          <w:lang w:val="en-US"/>
        </w:rPr>
        <w:t>,</w:t>
      </w:r>
      <w:r w:rsidRPr="00E77B2A">
        <w:rPr>
          <w:lang w:val="en-US"/>
        </w:rPr>
        <w:t xml:space="preserve"> </w:t>
      </w:r>
      <w:r>
        <w:rPr>
          <w:lang w:val="en-US"/>
        </w:rPr>
        <w:t>a redistribution that</w:t>
      </w:r>
      <w:r w:rsidRPr="00E77B2A">
        <w:rPr>
          <w:lang w:val="en-US"/>
        </w:rPr>
        <w:t xml:space="preserve"> favors the benefits paid to women or poorer elderly. </w:t>
      </w:r>
      <w:r>
        <w:rPr>
          <w:lang w:val="en-US"/>
        </w:rPr>
        <w:t xml:space="preserve">Another, perhaps more obvious, example are the benefits paid to the disabled.  </w:t>
      </w:r>
    </w:p>
    <w:p w:rsidR="00A2303C" w:rsidRPr="00E77B2A" w:rsidRDefault="00A2303C" w:rsidP="000E6DA4">
      <w:pPr>
        <w:pStyle w:val="NoSpacing"/>
        <w:spacing w:line="360" w:lineRule="auto"/>
        <w:rPr>
          <w:lang w:val="en-US"/>
        </w:rPr>
      </w:pPr>
    </w:p>
    <w:p w:rsidR="00A2303C" w:rsidRPr="00E77B2A" w:rsidRDefault="00A2303C" w:rsidP="000E6DA4">
      <w:pPr>
        <w:pStyle w:val="NoSpacing"/>
        <w:spacing w:line="360" w:lineRule="auto"/>
        <w:rPr>
          <w:lang w:val="en-US"/>
        </w:rPr>
      </w:pPr>
      <w:r w:rsidRPr="00E77B2A">
        <w:rPr>
          <w:lang w:val="en-US"/>
        </w:rPr>
        <w:t>These three functions together attribute to the main objective of a pension system, which is to assure an adequate</w:t>
      </w:r>
      <w:r>
        <w:rPr>
          <w:lang w:val="en-US"/>
        </w:rPr>
        <w:t xml:space="preserve"> standard of living for elderly</w:t>
      </w:r>
      <w:r w:rsidRPr="00E77B2A">
        <w:rPr>
          <w:lang w:val="en-US"/>
        </w:rPr>
        <w:t xml:space="preserve"> to the highest level possible. Adequacy can be classified into three categories; relative, absolute and, partly relative and partly absolute. Relative adequacy means that the retirement benefit is adequate </w:t>
      </w:r>
      <w:r>
        <w:rPr>
          <w:lang w:val="en-US"/>
        </w:rPr>
        <w:t>relative to the individual’s previous standard of living. A</w:t>
      </w:r>
      <w:r w:rsidRPr="00E77B2A">
        <w:rPr>
          <w:lang w:val="en-US"/>
        </w:rPr>
        <w:t>bsolute adequacy</w:t>
      </w:r>
      <w:r>
        <w:rPr>
          <w:lang w:val="en-US"/>
        </w:rPr>
        <w:t>, on the other hand,</w:t>
      </w:r>
      <w:r w:rsidRPr="00E77B2A">
        <w:rPr>
          <w:lang w:val="en-US"/>
        </w:rPr>
        <w:t xml:space="preserve"> refers to a retirement benefit that results in a pension income high enough to afford a pre-specified absolute level of living. (e.g. to the nationwide poverty line) The last possibility focuses on providing a higher benefit per dollar contributed to people who have lower incomes. In designing a retirement system a country can choose which type of adequacy it wants to fulfill and</w:t>
      </w:r>
      <w:r>
        <w:rPr>
          <w:lang w:val="en-US"/>
        </w:rPr>
        <w:t xml:space="preserve"> </w:t>
      </w:r>
      <w:r w:rsidRPr="00E77B2A">
        <w:rPr>
          <w:lang w:val="en-US"/>
        </w:rPr>
        <w:t xml:space="preserve">adjust its plan accordingly. </w:t>
      </w:r>
    </w:p>
    <w:p w:rsidR="00A2303C" w:rsidRPr="00E77B2A" w:rsidRDefault="00A2303C" w:rsidP="000E6DA4">
      <w:pPr>
        <w:pStyle w:val="NoSpacing"/>
        <w:spacing w:line="360" w:lineRule="auto"/>
        <w:rPr>
          <w:lang w:val="en-US"/>
        </w:rPr>
      </w:pPr>
    </w:p>
    <w:p w:rsidR="00A2303C" w:rsidRPr="00E77B2A" w:rsidRDefault="00A2303C" w:rsidP="00C4297A">
      <w:pPr>
        <w:pStyle w:val="NoSpacing"/>
        <w:numPr>
          <w:ilvl w:val="1"/>
          <w:numId w:val="3"/>
        </w:numPr>
        <w:spacing w:line="360" w:lineRule="auto"/>
        <w:ind w:hanging="1296"/>
        <w:rPr>
          <w:b/>
          <w:i/>
          <w:lang w:val="en-US"/>
        </w:rPr>
      </w:pPr>
      <w:r>
        <w:rPr>
          <w:b/>
          <w:i/>
          <w:lang w:val="en-US"/>
        </w:rPr>
        <w:t>Subsidiary objectives</w:t>
      </w:r>
      <w:r w:rsidRPr="00E77B2A">
        <w:rPr>
          <w:b/>
          <w:i/>
          <w:lang w:val="en-US"/>
        </w:rPr>
        <w:t xml:space="preserve"> for pensions</w:t>
      </w:r>
    </w:p>
    <w:p w:rsidR="00A2303C" w:rsidRDefault="00A2303C" w:rsidP="00C4297A">
      <w:pPr>
        <w:pStyle w:val="NoSpacing"/>
        <w:spacing w:line="360" w:lineRule="auto"/>
        <w:rPr>
          <w:lang w:val="en-US"/>
        </w:rPr>
      </w:pPr>
      <w:r w:rsidRPr="00E77B2A">
        <w:rPr>
          <w:lang w:val="en-US"/>
        </w:rPr>
        <w:t>It is often found that pension systems also carry other responsibilities in addition</w:t>
      </w:r>
      <w:r>
        <w:rPr>
          <w:lang w:val="en-US"/>
        </w:rPr>
        <w:t xml:space="preserve"> to the previously described objective</w:t>
      </w:r>
      <w:r w:rsidRPr="00E77B2A">
        <w:rPr>
          <w:lang w:val="en-US"/>
        </w:rPr>
        <w:t>. Examples in Latin America can be found where the pension reforms are also intended to deepen the capital market or to stimulate the country’s economic growth. However, caution is in order as subsidiary motives can cause problems that undercut the original functioning of pensions. Additiona</w:t>
      </w:r>
      <w:r>
        <w:rPr>
          <w:lang w:val="en-US"/>
        </w:rPr>
        <w:t>lly, these secondary objectives</w:t>
      </w:r>
      <w:r w:rsidRPr="00E77B2A">
        <w:rPr>
          <w:lang w:val="en-US"/>
        </w:rPr>
        <w:t xml:space="preserve"> should not become more important </w:t>
      </w:r>
      <w:r>
        <w:rPr>
          <w:lang w:val="en-US"/>
        </w:rPr>
        <w:t>than the fundamental objective</w:t>
      </w:r>
      <w:r w:rsidRPr="00E77B2A">
        <w:rPr>
          <w:lang w:val="en-US"/>
        </w:rPr>
        <w:t xml:space="preserve">, as they could undermine rather than improve retirement income security. </w:t>
      </w:r>
    </w:p>
    <w:p w:rsidR="00A2303C" w:rsidRDefault="00A2303C" w:rsidP="00C4297A">
      <w:pPr>
        <w:pStyle w:val="NoSpacing"/>
        <w:spacing w:line="360" w:lineRule="auto"/>
        <w:rPr>
          <w:lang w:val="en-US"/>
        </w:rPr>
      </w:pPr>
    </w:p>
    <w:p w:rsidR="00A2303C" w:rsidRPr="00E77B2A" w:rsidRDefault="00A2303C" w:rsidP="00C4297A">
      <w:pPr>
        <w:pStyle w:val="NoSpacing"/>
        <w:spacing w:line="360" w:lineRule="auto"/>
        <w:rPr>
          <w:lang w:val="en-US"/>
        </w:rPr>
      </w:pPr>
    </w:p>
    <w:p w:rsidR="00A2303C" w:rsidRPr="00E77B2A" w:rsidRDefault="00A2303C" w:rsidP="0077594E">
      <w:pPr>
        <w:pStyle w:val="IntenseQuote"/>
        <w:numPr>
          <w:ilvl w:val="0"/>
          <w:numId w:val="3"/>
        </w:numPr>
        <w:jc w:val="center"/>
        <w:rPr>
          <w:lang w:val="en-US"/>
        </w:rPr>
      </w:pPr>
      <w:r w:rsidRPr="00E77B2A">
        <w:rPr>
          <w:lang w:val="en-US"/>
        </w:rPr>
        <w:t xml:space="preserve">Overview </w:t>
      </w:r>
      <w:r>
        <w:rPr>
          <w:lang w:val="en-US"/>
        </w:rPr>
        <w:t xml:space="preserve">of </w:t>
      </w:r>
      <w:r w:rsidRPr="00E77B2A">
        <w:rPr>
          <w:lang w:val="en-US"/>
        </w:rPr>
        <w:t>different types of pension systems</w:t>
      </w:r>
    </w:p>
    <w:p w:rsidR="00A2303C" w:rsidRPr="00E77B2A" w:rsidRDefault="00A2303C" w:rsidP="00C4297A">
      <w:pPr>
        <w:pStyle w:val="NoSpacing"/>
        <w:spacing w:line="360" w:lineRule="auto"/>
        <w:rPr>
          <w:lang w:val="en-US"/>
        </w:rPr>
      </w:pPr>
      <w:r w:rsidRPr="00E77B2A">
        <w:rPr>
          <w:lang w:val="en-US"/>
        </w:rPr>
        <w:t>This section will outline the general design of a pension plan, with the frequently used</w:t>
      </w:r>
      <w:r>
        <w:rPr>
          <w:lang w:val="en-US"/>
        </w:rPr>
        <w:t xml:space="preserve"> three pillars system. Each pillar</w:t>
      </w:r>
      <w:r w:rsidRPr="00E77B2A">
        <w:rPr>
          <w:lang w:val="en-US"/>
        </w:rPr>
        <w:t xml:space="preserve"> serves a particular function and is managed differently. The m</w:t>
      </w:r>
      <w:r>
        <w:rPr>
          <w:lang w:val="en-US"/>
        </w:rPr>
        <w:t>ain characteristics of each pillar</w:t>
      </w:r>
      <w:r w:rsidRPr="00E77B2A">
        <w:rPr>
          <w:lang w:val="en-US"/>
        </w:rPr>
        <w:t xml:space="preserve"> are listed and elaboration is given on funding each particular pension </w:t>
      </w:r>
      <w:r>
        <w:rPr>
          <w:lang w:val="en-US"/>
        </w:rPr>
        <w:t>pillar</w:t>
      </w:r>
      <w:r w:rsidRPr="00E77B2A">
        <w:rPr>
          <w:lang w:val="en-US"/>
        </w:rPr>
        <w:t>.</w:t>
      </w:r>
    </w:p>
    <w:p w:rsidR="00A2303C" w:rsidRPr="00E77B2A" w:rsidRDefault="00A2303C" w:rsidP="00C4297A">
      <w:pPr>
        <w:pStyle w:val="NoSpacing"/>
        <w:spacing w:line="360" w:lineRule="auto"/>
        <w:rPr>
          <w:lang w:val="en-US"/>
        </w:rPr>
      </w:pPr>
    </w:p>
    <w:p w:rsidR="00A2303C" w:rsidRPr="00E77B2A" w:rsidRDefault="00A2303C" w:rsidP="0077594E">
      <w:pPr>
        <w:pStyle w:val="NoSpacing"/>
        <w:numPr>
          <w:ilvl w:val="1"/>
          <w:numId w:val="3"/>
        </w:numPr>
        <w:spacing w:line="360" w:lineRule="auto"/>
        <w:ind w:hanging="1296"/>
        <w:rPr>
          <w:b/>
          <w:i/>
          <w:lang w:val="en-US"/>
        </w:rPr>
      </w:pPr>
      <w:r w:rsidRPr="00E77B2A">
        <w:rPr>
          <w:b/>
          <w:i/>
          <w:lang w:val="en-US"/>
        </w:rPr>
        <w:t>Three pillar design</w:t>
      </w:r>
    </w:p>
    <w:p w:rsidR="00A2303C" w:rsidRPr="00E77B2A" w:rsidRDefault="00A2303C" w:rsidP="00E45336">
      <w:pPr>
        <w:pStyle w:val="NoSpacing"/>
        <w:spacing w:line="360" w:lineRule="auto"/>
        <w:rPr>
          <w:lang w:val="en-US"/>
        </w:rPr>
      </w:pPr>
      <w:r w:rsidRPr="00E77B2A">
        <w:rPr>
          <w:lang w:val="en-US"/>
        </w:rPr>
        <w:t>Pension plan features vary considerable among cou</w:t>
      </w:r>
      <w:r>
        <w:rPr>
          <w:lang w:val="en-US"/>
        </w:rPr>
        <w:t xml:space="preserve">ntries in, for instance, </w:t>
      </w:r>
      <w:r w:rsidRPr="00E77B2A">
        <w:rPr>
          <w:lang w:val="en-US"/>
        </w:rPr>
        <w:t>who has to pay pension contribu</w:t>
      </w:r>
      <w:r>
        <w:rPr>
          <w:lang w:val="en-US"/>
        </w:rPr>
        <w:t>tions. Another issue is who receives pension benefits</w:t>
      </w:r>
      <w:r w:rsidRPr="00E77B2A">
        <w:rPr>
          <w:lang w:val="en-US"/>
        </w:rPr>
        <w:t>. Lastly, the relationship between benefits and contributions show</w:t>
      </w:r>
      <w:r>
        <w:rPr>
          <w:lang w:val="en-US"/>
        </w:rPr>
        <w:t>s</w:t>
      </w:r>
      <w:r w:rsidRPr="00E77B2A">
        <w:rPr>
          <w:lang w:val="en-US"/>
        </w:rPr>
        <w:t xml:space="preserve"> variances</w:t>
      </w:r>
      <w:r>
        <w:rPr>
          <w:lang w:val="en-US"/>
        </w:rPr>
        <w:t xml:space="preserve"> in the degree of linkage</w:t>
      </w:r>
      <w:r w:rsidRPr="00E77B2A">
        <w:rPr>
          <w:lang w:val="en-US"/>
        </w:rPr>
        <w:t xml:space="preserve"> across the world. However, a general picture of a pension system design can be drawn as in the majority of countries the system consists of three pillars</w:t>
      </w:r>
      <w:r>
        <w:rPr>
          <w:lang w:val="en-US"/>
        </w:rPr>
        <w:t xml:space="preserve"> or parts of it (World Bank 1994)</w:t>
      </w:r>
      <w:r w:rsidRPr="00E77B2A">
        <w:rPr>
          <w:lang w:val="en-US"/>
        </w:rPr>
        <w:t xml:space="preserve">. This construction can </w:t>
      </w:r>
      <w:r>
        <w:rPr>
          <w:lang w:val="en-US"/>
        </w:rPr>
        <w:t xml:space="preserve">simply </w:t>
      </w:r>
      <w:r w:rsidRPr="00E77B2A">
        <w:rPr>
          <w:lang w:val="en-US"/>
        </w:rPr>
        <w:t xml:space="preserve">be described as; </w:t>
      </w:r>
      <w:r w:rsidRPr="00E77B2A">
        <w:rPr>
          <w:i/>
          <w:iCs/>
          <w:lang w:val="en-US"/>
        </w:rPr>
        <w:t xml:space="preserve">‘Do not keep all of your eggs in one basket’. </w:t>
      </w:r>
      <w:r>
        <w:rPr>
          <w:lang w:val="en-US"/>
        </w:rPr>
        <w:t>Specifically for a pension system design</w:t>
      </w:r>
      <w:r w:rsidRPr="00E77B2A">
        <w:rPr>
          <w:lang w:val="en-US"/>
        </w:rPr>
        <w:t xml:space="preserve">, it refers to the three pillars </w:t>
      </w:r>
      <w:r>
        <w:rPr>
          <w:lang w:val="en-US"/>
        </w:rPr>
        <w:t xml:space="preserve">that </w:t>
      </w:r>
      <w:r w:rsidRPr="00E77B2A">
        <w:rPr>
          <w:lang w:val="en-US"/>
        </w:rPr>
        <w:t>are exposed to various risks and the correlation among these risks is considerably</w:t>
      </w:r>
      <w:r>
        <w:rPr>
          <w:lang w:val="en-US"/>
        </w:rPr>
        <w:t xml:space="preserve"> lower than 100 per cent</w:t>
      </w:r>
      <w:r w:rsidRPr="00E77B2A">
        <w:rPr>
          <w:lang w:val="en-US"/>
        </w:rPr>
        <w:t>. Consequently, a pension system that is built upon multiple pillars will profit from security through diversification</w:t>
      </w:r>
      <w:r>
        <w:rPr>
          <w:lang w:val="en-US"/>
        </w:rPr>
        <w:t xml:space="preserve"> (Rutkowski 2002)</w:t>
      </w:r>
      <w:r w:rsidRPr="00E77B2A">
        <w:rPr>
          <w:lang w:val="en-US"/>
        </w:rPr>
        <w:t xml:space="preserve">. </w:t>
      </w:r>
      <w:r>
        <w:rPr>
          <w:lang w:val="en-US"/>
        </w:rPr>
        <w:t>The most effective size and combination of pillars varies over time and place. This combination is partially path dependant and influenced by the nation’s pension objective and current situation. Moreover, the extent to which the financial markets are developed, the sophistication of the regulatory system and the government’s taxing ability should also be taken into account in determining the right size and combination of pillars.</w:t>
      </w:r>
    </w:p>
    <w:p w:rsidR="00A2303C" w:rsidRPr="00E77B2A" w:rsidRDefault="00A2303C" w:rsidP="00E45336">
      <w:pPr>
        <w:pStyle w:val="NoSpacing"/>
        <w:spacing w:line="360" w:lineRule="auto"/>
        <w:rPr>
          <w:lang w:val="en-US"/>
        </w:rPr>
      </w:pPr>
    </w:p>
    <w:p w:rsidR="00A2303C" w:rsidRPr="00E77B2A" w:rsidRDefault="00A2303C" w:rsidP="00E45336">
      <w:pPr>
        <w:pStyle w:val="NoSpacing"/>
        <w:spacing w:line="360" w:lineRule="auto"/>
        <w:rPr>
          <w:lang w:val="en-US"/>
        </w:rPr>
      </w:pPr>
      <w:r w:rsidRPr="00E77B2A">
        <w:rPr>
          <w:lang w:val="en-US"/>
        </w:rPr>
        <w:t>In its 1994 research report on averting the old age crisis</w:t>
      </w:r>
      <w:r>
        <w:rPr>
          <w:lang w:val="en-US"/>
        </w:rPr>
        <w:t>, referring to the threatening combination of increased life expectancies and falling fertility rates across the world</w:t>
      </w:r>
      <w:r w:rsidRPr="00E77B2A">
        <w:rPr>
          <w:lang w:val="en-US"/>
        </w:rPr>
        <w:t>, the World</w:t>
      </w:r>
      <w:r>
        <w:rPr>
          <w:lang w:val="en-US"/>
        </w:rPr>
        <w:t xml:space="preserve"> Bank concluded with the</w:t>
      </w:r>
      <w:r w:rsidRPr="00E77B2A">
        <w:rPr>
          <w:lang w:val="en-US"/>
        </w:rPr>
        <w:t xml:space="preserve"> recommendation that a nation’s </w:t>
      </w:r>
      <w:r>
        <w:rPr>
          <w:lang w:val="en-US"/>
        </w:rPr>
        <w:t>pension plan</w:t>
      </w:r>
      <w:r w:rsidRPr="00E77B2A">
        <w:rPr>
          <w:lang w:val="en-US"/>
        </w:rPr>
        <w:t xml:space="preserve"> should perform all three earlier mentioned functions. In particular, the World Bank emphasized the importance and usefulness of a multipillar system. </w:t>
      </w:r>
      <w:r>
        <w:rPr>
          <w:lang w:val="en-US"/>
        </w:rPr>
        <w:t xml:space="preserve">The World Bank (1994) argues that such a system will assist a country in several ways; this type of pension design is most likely to foster economic growth, is able to offer adequate pension benefits and the diversification lowers the risk.  </w:t>
      </w:r>
    </w:p>
    <w:p w:rsidR="00A2303C" w:rsidRPr="00E77B2A" w:rsidRDefault="00A2303C" w:rsidP="00E45336">
      <w:pPr>
        <w:pStyle w:val="NoSpacing"/>
        <w:spacing w:line="360" w:lineRule="auto"/>
        <w:rPr>
          <w:lang w:val="en-US"/>
        </w:rPr>
      </w:pPr>
    </w:p>
    <w:p w:rsidR="00A2303C" w:rsidRPr="00E77B2A" w:rsidRDefault="00A2303C" w:rsidP="00E45336">
      <w:pPr>
        <w:pStyle w:val="NoSpacing"/>
        <w:spacing w:line="360" w:lineRule="auto"/>
        <w:rPr>
          <w:lang w:val="en-US"/>
        </w:rPr>
      </w:pPr>
      <w:r w:rsidRPr="00E77B2A">
        <w:rPr>
          <w:lang w:val="en-US"/>
        </w:rPr>
        <w:t xml:space="preserve">Figure 3.1 outlines the main characteristics of each pillar, as it lists the respective type of pension it is, whether </w:t>
      </w:r>
      <w:r>
        <w:rPr>
          <w:lang w:val="en-US"/>
        </w:rPr>
        <w:t>participation is mandatory</w:t>
      </w:r>
      <w:r w:rsidRPr="00E77B2A">
        <w:rPr>
          <w:lang w:val="en-US"/>
        </w:rPr>
        <w:t>, and how it is financed, disbursed and managed.</w:t>
      </w:r>
      <w:r>
        <w:rPr>
          <w:lang w:val="en-US"/>
        </w:rPr>
        <w:t xml:space="preserve"> There is not one simple format for designing a pension plan that is applicable everywhere, since countries vary in their </w:t>
      </w:r>
      <w:r w:rsidRPr="00E77B2A">
        <w:rPr>
          <w:lang w:val="en-US"/>
        </w:rPr>
        <w:t>social, legal and economic situation</w:t>
      </w:r>
      <w:r>
        <w:rPr>
          <w:lang w:val="en-US"/>
        </w:rPr>
        <w:t>.</w:t>
      </w:r>
      <w:r w:rsidRPr="00E77B2A">
        <w:rPr>
          <w:lang w:val="en-US"/>
        </w:rPr>
        <w:t xml:space="preserve"> </w:t>
      </w:r>
      <w:r>
        <w:rPr>
          <w:lang w:val="en-US"/>
        </w:rPr>
        <w:t xml:space="preserve">Nevertheless, </w:t>
      </w:r>
      <w:r w:rsidRPr="00E77B2A">
        <w:rPr>
          <w:lang w:val="en-US"/>
        </w:rPr>
        <w:t xml:space="preserve">the three-pillar model can </w:t>
      </w:r>
      <w:r>
        <w:rPr>
          <w:lang w:val="en-US"/>
        </w:rPr>
        <w:t>be taken as a starting point in the design process and adjusted to fit the country’s characteristics</w:t>
      </w:r>
      <w:r w:rsidRPr="00E77B2A">
        <w:rPr>
          <w:lang w:val="en-US"/>
        </w:rPr>
        <w:t xml:space="preserve">. The major objectives of the </w:t>
      </w:r>
      <w:r>
        <w:rPr>
          <w:lang w:val="en-US"/>
        </w:rPr>
        <w:t>pension system</w:t>
      </w:r>
      <w:r w:rsidRPr="00E77B2A">
        <w:rPr>
          <w:lang w:val="en-US"/>
        </w:rPr>
        <w:t xml:space="preserve"> are separated into the three pillars, each having its own source of funding. The first pillar offers a social safety net to everyone </w:t>
      </w:r>
      <w:r>
        <w:rPr>
          <w:lang w:val="en-US"/>
        </w:rPr>
        <w:t xml:space="preserve">meeting the eligibility requirements </w:t>
      </w:r>
      <w:r w:rsidRPr="00E77B2A">
        <w:rPr>
          <w:lang w:val="en-US"/>
        </w:rPr>
        <w:t>(redistribution</w:t>
      </w:r>
      <w:r>
        <w:rPr>
          <w:lang w:val="en-US"/>
        </w:rPr>
        <w:t xml:space="preserve"> and insurance</w:t>
      </w:r>
      <w:r w:rsidRPr="00E77B2A">
        <w:rPr>
          <w:lang w:val="en-US"/>
        </w:rPr>
        <w:t>), the second pillar emphasizes on savings (consumption smoothing) and finally the third pillar tries to boost discretionary savings and</w:t>
      </w:r>
      <w:r>
        <w:rPr>
          <w:lang w:val="en-US"/>
        </w:rPr>
        <w:t xml:space="preserve"> serves the self-employed as they do not have a second pillar</w:t>
      </w:r>
      <w:r w:rsidRPr="00E77B2A">
        <w:rPr>
          <w:lang w:val="en-US"/>
        </w:rPr>
        <w:t xml:space="preserve">.  As the core of this paper will discuss the differences in pension designs in Brazil and Chile, it is of importance to briefly explain each pillar and the various features. Section 4 will continue with the implications and (dis)advantages of </w:t>
      </w:r>
      <w:r>
        <w:rPr>
          <w:lang w:val="en-US"/>
        </w:rPr>
        <w:t>each type of pension plan</w:t>
      </w:r>
      <w:r w:rsidRPr="00E77B2A">
        <w:rPr>
          <w:lang w:val="en-US"/>
        </w:rPr>
        <w:t xml:space="preserve">, before analyzing the situations in the two countries. </w:t>
      </w:r>
    </w:p>
    <w:p w:rsidR="00A2303C" w:rsidRPr="00E77B2A" w:rsidRDefault="00A2303C" w:rsidP="00E45336">
      <w:pPr>
        <w:pStyle w:val="NoSpacing"/>
        <w:spacing w:line="360" w:lineRule="auto"/>
        <w:rPr>
          <w:lang w:val="en-US"/>
        </w:rPr>
      </w:pPr>
    </w:p>
    <w:p w:rsidR="00A2303C" w:rsidRPr="00E77B2A" w:rsidRDefault="00A2303C" w:rsidP="003725A1">
      <w:pPr>
        <w:pStyle w:val="NoSpacing"/>
        <w:spacing w:line="360" w:lineRule="auto"/>
        <w:jc w:val="center"/>
        <w:outlineLvl w:val="0"/>
        <w:rPr>
          <w:i/>
          <w:sz w:val="20"/>
          <w:szCs w:val="20"/>
          <w:lang w:val="en-US"/>
        </w:rPr>
      </w:pPr>
      <w:r>
        <w:rPr>
          <w:noProof/>
          <w:lang w:val="en-US"/>
        </w:rPr>
        <w:pict>
          <v:shape id="Diagram 2" o:spid="_x0000_s1030" type="#_x0000_t75" style="position:absolute;left:0;text-align:left;margin-left:-39.5pt;margin-top:23.6pt;width:533.3pt;height:272.15pt;z-index:251654144;visibility:visible;mso-wrap-distance-bottom:.57pt"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">
            <v:imagedata r:id="rId9" o:title=""/>
            <o:lock v:ext="edit" aspectratio="f"/>
            <w10:wrap type="topAndBottom"/>
          </v:shape>
        </w:pict>
      </w:r>
      <w:r w:rsidRPr="00E77B2A">
        <w:rPr>
          <w:i/>
          <w:sz w:val="20"/>
          <w:szCs w:val="20"/>
          <w:lang w:val="en-US"/>
        </w:rPr>
        <w:t>Figure 3.1 Characteristics of a three pillar pension system</w:t>
      </w:r>
    </w:p>
    <w:p w:rsidR="00A2303C" w:rsidRPr="00E77B2A" w:rsidRDefault="00A2303C" w:rsidP="00E45336">
      <w:pPr>
        <w:pStyle w:val="NoSpacing"/>
        <w:spacing w:line="360" w:lineRule="auto"/>
        <w:jc w:val="center"/>
        <w:rPr>
          <w:i/>
          <w:sz w:val="20"/>
          <w:szCs w:val="20"/>
          <w:lang w:val="en-US"/>
        </w:rPr>
      </w:pPr>
      <w:r w:rsidRPr="00E77B2A">
        <w:rPr>
          <w:i/>
          <w:sz w:val="20"/>
          <w:szCs w:val="20"/>
          <w:lang w:val="en-US"/>
        </w:rPr>
        <w:t>Source: World Bank</w:t>
      </w:r>
      <w:r>
        <w:rPr>
          <w:i/>
          <w:sz w:val="20"/>
          <w:szCs w:val="20"/>
          <w:lang w:val="en-US"/>
        </w:rPr>
        <w:t xml:space="preserve"> (1994), and Blake (2006)</w:t>
      </w:r>
    </w:p>
    <w:p w:rsidR="00A2303C" w:rsidRPr="00E77B2A" w:rsidRDefault="00A2303C" w:rsidP="00E45336">
      <w:pPr>
        <w:pStyle w:val="NoSpacing"/>
        <w:spacing w:line="360" w:lineRule="auto"/>
        <w:rPr>
          <w:lang w:val="en-US"/>
        </w:rPr>
      </w:pPr>
    </w:p>
    <w:p w:rsidR="00A2303C" w:rsidRPr="00E77B2A" w:rsidRDefault="00A2303C" w:rsidP="0032551B">
      <w:pPr>
        <w:pStyle w:val="NoSpacing"/>
        <w:numPr>
          <w:ilvl w:val="2"/>
          <w:numId w:val="3"/>
        </w:numPr>
        <w:spacing w:line="360" w:lineRule="auto"/>
        <w:ind w:left="1276" w:hanging="1276"/>
        <w:rPr>
          <w:b/>
          <w:i/>
          <w:lang w:val="en-US"/>
        </w:rPr>
      </w:pPr>
      <w:r w:rsidRPr="00E77B2A">
        <w:rPr>
          <w:b/>
          <w:i/>
          <w:lang w:val="en-US"/>
        </w:rPr>
        <w:t>First pillar</w:t>
      </w:r>
    </w:p>
    <w:p w:rsidR="00A2303C" w:rsidRPr="00E77B2A" w:rsidRDefault="00A2303C" w:rsidP="00D166AD">
      <w:pPr>
        <w:pStyle w:val="NoSpacing"/>
        <w:spacing w:line="360" w:lineRule="auto"/>
        <w:rPr>
          <w:lang w:val="en-US"/>
        </w:rPr>
      </w:pPr>
      <w:r w:rsidRPr="00E77B2A">
        <w:rPr>
          <w:lang w:val="en-US"/>
        </w:rPr>
        <w:t xml:space="preserve">The first </w:t>
      </w:r>
      <w:r>
        <w:rPr>
          <w:lang w:val="en-US"/>
        </w:rPr>
        <w:t xml:space="preserve">pillar is a basic state pension offered by the government as a share of the social security system. </w:t>
      </w:r>
      <w:r w:rsidRPr="00E77B2A">
        <w:rPr>
          <w:lang w:val="en-US"/>
        </w:rPr>
        <w:t>It is undoubtedl</w:t>
      </w:r>
      <w:r>
        <w:rPr>
          <w:lang w:val="en-US"/>
        </w:rPr>
        <w:t>y the largest and most redistributive pillar in</w:t>
      </w:r>
      <w:r w:rsidRPr="00E77B2A">
        <w:rPr>
          <w:lang w:val="en-US"/>
        </w:rPr>
        <w:t xml:space="preserve"> </w:t>
      </w:r>
      <w:r>
        <w:rPr>
          <w:lang w:val="en-US"/>
        </w:rPr>
        <w:t>many countries (World Bank 1994)</w:t>
      </w:r>
      <w:r w:rsidRPr="00E77B2A">
        <w:rPr>
          <w:lang w:val="en-US"/>
        </w:rPr>
        <w:t xml:space="preserve">. Most commonly it is a flat-rate pension (means-tested or earnings-related is also possible) </w:t>
      </w:r>
      <w:r>
        <w:rPr>
          <w:lang w:val="en-US"/>
        </w:rPr>
        <w:t xml:space="preserve">for anyone above a specified age </w:t>
      </w:r>
      <w:r w:rsidRPr="00E77B2A">
        <w:rPr>
          <w:lang w:val="en-US"/>
        </w:rPr>
        <w:t>and this pillar is intended to help the elderly with at least their basic needs. Two main types of social security system exist; the Beveridgean and Bismarckian. Examples of the Beveridgean system can be found in the UK and USA, where it offers just sufficient support to kee</w:t>
      </w:r>
      <w:r>
        <w:rPr>
          <w:lang w:val="en-US"/>
        </w:rPr>
        <w:t>p people above the poverty line.</w:t>
      </w:r>
      <w:r w:rsidRPr="00E77B2A">
        <w:rPr>
          <w:lang w:val="en-US"/>
        </w:rPr>
        <w:t xml:space="preserve"> The Bismarckian system (e.g. in Italy, France and Germany), on the other hand, is more generous in providing support as it barely requires any supplementary planning.  This subsistence pension is usually financed by taxation that is part of the social security tax that governments raise. The system is </w:t>
      </w:r>
      <w:r>
        <w:rPr>
          <w:lang w:val="en-US"/>
        </w:rPr>
        <w:t xml:space="preserve">generally </w:t>
      </w:r>
      <w:r w:rsidRPr="00E77B2A">
        <w:rPr>
          <w:lang w:val="en-US"/>
        </w:rPr>
        <w:t xml:space="preserve">unfunded as benefits received </w:t>
      </w:r>
      <w:r>
        <w:rPr>
          <w:lang w:val="en-US"/>
        </w:rPr>
        <w:t>from taxpayers</w:t>
      </w:r>
      <w:r w:rsidRPr="00E77B2A">
        <w:rPr>
          <w:lang w:val="en-US"/>
        </w:rPr>
        <w:t xml:space="preserve"> are immediately paid </w:t>
      </w:r>
      <w:r>
        <w:rPr>
          <w:lang w:val="en-US"/>
        </w:rPr>
        <w:t>to the elderly</w:t>
      </w:r>
      <w:r w:rsidRPr="00E77B2A">
        <w:rPr>
          <w:lang w:val="en-US"/>
        </w:rPr>
        <w:t xml:space="preserve"> via a Pay-As-You-Go system (PAYG system), which will be explained in the next part of this section. No matter whether a person has worked and contributed to the system or not, everyone is eligible for this type of pension</w:t>
      </w:r>
      <w:r>
        <w:rPr>
          <w:lang w:val="en-US"/>
        </w:rPr>
        <w:t xml:space="preserve"> if he or she is above the retirement age</w:t>
      </w:r>
      <w:r w:rsidRPr="00E77B2A">
        <w:rPr>
          <w:lang w:val="en-US"/>
        </w:rPr>
        <w:t xml:space="preserve">. </w:t>
      </w:r>
      <w:r>
        <w:rPr>
          <w:lang w:val="en-US"/>
        </w:rPr>
        <w:t>This pillar is redistributive in the sense that transfers are made from the taxpayers to the elderly.</w:t>
      </w:r>
    </w:p>
    <w:p w:rsidR="00A2303C" w:rsidRPr="00E77B2A" w:rsidRDefault="00A2303C" w:rsidP="00D166AD">
      <w:pPr>
        <w:pStyle w:val="NoSpacing"/>
        <w:spacing w:line="360" w:lineRule="auto"/>
        <w:rPr>
          <w:lang w:val="en-US"/>
        </w:rPr>
      </w:pPr>
    </w:p>
    <w:p w:rsidR="00A2303C" w:rsidRPr="00E77B2A" w:rsidRDefault="00A2303C" w:rsidP="0032551B">
      <w:pPr>
        <w:pStyle w:val="NoSpacing"/>
        <w:numPr>
          <w:ilvl w:val="2"/>
          <w:numId w:val="3"/>
        </w:numPr>
        <w:spacing w:line="360" w:lineRule="auto"/>
        <w:ind w:left="1276" w:hanging="1276"/>
        <w:rPr>
          <w:b/>
          <w:i/>
          <w:lang w:val="en-US"/>
        </w:rPr>
      </w:pPr>
      <w:r w:rsidRPr="00E77B2A">
        <w:rPr>
          <w:b/>
          <w:i/>
          <w:lang w:val="en-US"/>
        </w:rPr>
        <w:t>Second pillar</w:t>
      </w:r>
    </w:p>
    <w:p w:rsidR="00A2303C" w:rsidRDefault="00A2303C" w:rsidP="00D166AD">
      <w:pPr>
        <w:pStyle w:val="NoSpacing"/>
        <w:spacing w:line="360" w:lineRule="auto"/>
        <w:rPr>
          <w:lang w:val="en-US"/>
        </w:rPr>
      </w:pPr>
      <w:r>
        <w:rPr>
          <w:lang w:val="en-US"/>
        </w:rPr>
        <w:t>The second pillar involves the occupational pensions.</w:t>
      </w:r>
      <w:r w:rsidRPr="00E77B2A">
        <w:rPr>
          <w:lang w:val="en-US"/>
        </w:rPr>
        <w:t xml:space="preserve"> </w:t>
      </w:r>
      <w:r>
        <w:rPr>
          <w:lang w:val="en-US"/>
        </w:rPr>
        <w:t>T</w:t>
      </w:r>
      <w:r w:rsidRPr="00E77B2A">
        <w:rPr>
          <w:lang w:val="en-US"/>
        </w:rPr>
        <w:t>his</w:t>
      </w:r>
      <w:r>
        <w:rPr>
          <w:lang w:val="en-US"/>
        </w:rPr>
        <w:t xml:space="preserve"> pension</w:t>
      </w:r>
      <w:r w:rsidRPr="00E77B2A">
        <w:rPr>
          <w:lang w:val="en-US"/>
        </w:rPr>
        <w:t xml:space="preserve"> is a form of </w:t>
      </w:r>
      <w:r>
        <w:rPr>
          <w:lang w:val="en-US"/>
        </w:rPr>
        <w:t>compensation for deferred income through forced savings</w:t>
      </w:r>
      <w:r w:rsidRPr="00E77B2A">
        <w:rPr>
          <w:lang w:val="en-US"/>
        </w:rPr>
        <w:t xml:space="preserve">. Pensions in this pillar </w:t>
      </w:r>
      <w:r>
        <w:rPr>
          <w:lang w:val="en-US"/>
        </w:rPr>
        <w:t xml:space="preserve">consist of the contributions made by employer and employee and </w:t>
      </w:r>
      <w:r w:rsidRPr="00E77B2A">
        <w:rPr>
          <w:lang w:val="en-US"/>
        </w:rPr>
        <w:t xml:space="preserve">are being accumulated by </w:t>
      </w:r>
      <w:r>
        <w:rPr>
          <w:lang w:val="en-US"/>
        </w:rPr>
        <w:t>the pension fund</w:t>
      </w:r>
      <w:r w:rsidRPr="00E77B2A">
        <w:rPr>
          <w:lang w:val="en-US"/>
        </w:rPr>
        <w:t>. Parts of the</w:t>
      </w:r>
      <w:r>
        <w:rPr>
          <w:lang w:val="en-US"/>
        </w:rPr>
        <w:t xml:space="preserve"> employee</w:t>
      </w:r>
      <w:r w:rsidRPr="00E77B2A">
        <w:rPr>
          <w:lang w:val="en-US"/>
        </w:rPr>
        <w:t xml:space="preserve">’s earnings will be </w:t>
      </w:r>
      <w:r>
        <w:rPr>
          <w:lang w:val="en-US"/>
        </w:rPr>
        <w:t>contributed to the pension fund and will be paid out once the employee retires.</w:t>
      </w:r>
      <w:r w:rsidRPr="00E77B2A">
        <w:rPr>
          <w:lang w:val="en-US"/>
        </w:rPr>
        <w:t xml:space="preserve"> </w:t>
      </w:r>
      <w:r>
        <w:rPr>
          <w:lang w:val="en-US"/>
        </w:rPr>
        <w:t>The direct linkage between contributions and benefits is a vital mechanism in this pillar. The link discourages tax evasion and encourages active participation of the labor force. Rutkowski (2002) argues that if employees realize that their contributions are not a tax, but will be used to pay out their benefits during retirement, they will be less resistant to work in the formal sector. Stating it differently; if employees refrain from paying the legally mandated contributions by, for instance, retiring early or working in the informal sector, they will receive lower pension benefits when they retire. To prevent low pension benefits, employees will be more inclined to participate in the occupational pension plan.</w:t>
      </w:r>
    </w:p>
    <w:p w:rsidR="00A2303C" w:rsidRPr="00E77B2A" w:rsidRDefault="00A2303C" w:rsidP="00D166AD">
      <w:pPr>
        <w:pStyle w:val="NoSpacing"/>
        <w:spacing w:line="360" w:lineRule="auto"/>
        <w:rPr>
          <w:lang w:val="en-US"/>
        </w:rPr>
      </w:pPr>
    </w:p>
    <w:p w:rsidR="00A2303C" w:rsidRPr="00E77B2A" w:rsidRDefault="00A2303C" w:rsidP="00D166AD">
      <w:pPr>
        <w:pStyle w:val="NoSpacing"/>
        <w:spacing w:line="360" w:lineRule="auto"/>
        <w:rPr>
          <w:lang w:val="en-US"/>
        </w:rPr>
      </w:pPr>
      <w:r>
        <w:rPr>
          <w:lang w:val="en-US"/>
        </w:rPr>
        <w:t>Even though</w:t>
      </w:r>
      <w:r w:rsidRPr="00E77B2A">
        <w:rPr>
          <w:lang w:val="en-US"/>
        </w:rPr>
        <w:t xml:space="preserve"> nearly all occupational pension schemes are funded, there is significant variation between the different types of scheme; defined benefit (DB), defined</w:t>
      </w:r>
      <w:r>
        <w:rPr>
          <w:lang w:val="en-US"/>
        </w:rPr>
        <w:t xml:space="preserve"> contribution (DC) and hybrid. An e</w:t>
      </w:r>
      <w:r w:rsidRPr="00E77B2A">
        <w:rPr>
          <w:lang w:val="en-US"/>
        </w:rPr>
        <w:t>laboration on these types of schemes can be found in section 3.3.</w:t>
      </w:r>
    </w:p>
    <w:p w:rsidR="00A2303C" w:rsidRPr="00E77B2A" w:rsidRDefault="00A2303C" w:rsidP="00D166AD">
      <w:pPr>
        <w:pStyle w:val="NoSpacing"/>
        <w:spacing w:line="360" w:lineRule="auto"/>
        <w:rPr>
          <w:lang w:val="en-US"/>
        </w:rPr>
      </w:pPr>
    </w:p>
    <w:p w:rsidR="00A2303C" w:rsidRDefault="00A2303C" w:rsidP="00D166AD">
      <w:pPr>
        <w:pStyle w:val="NoSpacing"/>
        <w:spacing w:line="360" w:lineRule="auto"/>
        <w:rPr>
          <w:lang w:val="en-US"/>
        </w:rPr>
      </w:pPr>
      <w:r>
        <w:rPr>
          <w:lang w:val="en-US"/>
        </w:rPr>
        <w:t xml:space="preserve">The redistributive function of occupational pensions might not be as easily observable as for the basic state pensions, but it does exist. For example, Gustman and Steinmeir (1990) found that if employers pay high wages, they tend to offer pensions more often than employers who pay low wages. In case that the employees of these high paying employers receive both higher wages and higher pensions than similar employees (in terms of productivity) working at other companies, then the total income distribution is tilted via pensions. In this situation it is assumed that the total income consists of a wage and nonwage element (e.g. pensions). Furthermore, pension contributions and investment income earned through the pension fund are in many countries tax deductible (World Bank 1994). The government can offset the resulting lower tax revenue via higher tax rates or providing fewer services. Thus the participants impose a cost on the taxpayers. </w:t>
      </w:r>
    </w:p>
    <w:p w:rsidR="00A2303C" w:rsidRPr="00E77B2A" w:rsidRDefault="00A2303C" w:rsidP="00D166AD">
      <w:pPr>
        <w:pStyle w:val="NoSpacing"/>
        <w:spacing w:line="360" w:lineRule="auto"/>
        <w:rPr>
          <w:lang w:val="en-US"/>
        </w:rPr>
      </w:pPr>
    </w:p>
    <w:p w:rsidR="00A2303C" w:rsidRPr="00E77B2A" w:rsidRDefault="00A2303C" w:rsidP="009B61F1">
      <w:pPr>
        <w:pStyle w:val="NoSpacing"/>
        <w:numPr>
          <w:ilvl w:val="2"/>
          <w:numId w:val="3"/>
        </w:numPr>
        <w:spacing w:line="360" w:lineRule="auto"/>
        <w:ind w:left="1276" w:hanging="1276"/>
        <w:rPr>
          <w:b/>
          <w:i/>
          <w:lang w:val="en-US"/>
        </w:rPr>
      </w:pPr>
      <w:r w:rsidRPr="00E77B2A">
        <w:rPr>
          <w:b/>
          <w:i/>
          <w:lang w:val="en-US"/>
        </w:rPr>
        <w:t>Third pillar</w:t>
      </w:r>
    </w:p>
    <w:p w:rsidR="00A2303C" w:rsidRPr="00E77B2A" w:rsidRDefault="00A2303C" w:rsidP="00513D6B">
      <w:pPr>
        <w:pStyle w:val="NoSpacing"/>
        <w:spacing w:line="360" w:lineRule="auto"/>
        <w:rPr>
          <w:lang w:val="en-US"/>
        </w:rPr>
      </w:pPr>
      <w:r w:rsidRPr="00E77B2A">
        <w:rPr>
          <w:lang w:val="en-US"/>
        </w:rPr>
        <w:t xml:space="preserve">Lastly, there is the third pillar which </w:t>
      </w:r>
      <w:r>
        <w:rPr>
          <w:lang w:val="en-US"/>
        </w:rPr>
        <w:t>predominantly</w:t>
      </w:r>
      <w:r w:rsidRPr="00E77B2A">
        <w:rPr>
          <w:lang w:val="en-US"/>
        </w:rPr>
        <w:t xml:space="preserve"> contains voluntary personal savings that are privately managed via defined contribution systems. The benefits that are eventually received by the workers depend on their contributions, return on investment and expected longevity. </w:t>
      </w:r>
      <w:r>
        <w:rPr>
          <w:lang w:val="en-US"/>
        </w:rPr>
        <w:t>Another possibility is life insurances. This pillar</w:t>
      </w:r>
      <w:r w:rsidRPr="00E77B2A">
        <w:rPr>
          <w:lang w:val="en-US"/>
        </w:rPr>
        <w:t xml:space="preserve"> is available to anyone who i</w:t>
      </w:r>
      <w:r>
        <w:rPr>
          <w:lang w:val="en-US"/>
        </w:rPr>
        <w:t>s interested in</w:t>
      </w:r>
      <w:r w:rsidRPr="00E77B2A">
        <w:rPr>
          <w:lang w:val="en-US"/>
        </w:rPr>
        <w:t xml:space="preserve"> supplement</w:t>
      </w:r>
      <w:r>
        <w:rPr>
          <w:lang w:val="en-US"/>
        </w:rPr>
        <w:t xml:space="preserve">ing his or </w:t>
      </w:r>
      <w:r w:rsidRPr="00E77B2A">
        <w:rPr>
          <w:lang w:val="en-US"/>
        </w:rPr>
        <w:t xml:space="preserve">her retirement income that is yielded by the first two pillars. </w:t>
      </w:r>
    </w:p>
    <w:p w:rsidR="00A2303C" w:rsidRDefault="00A2303C" w:rsidP="00513D6B">
      <w:pPr>
        <w:pStyle w:val="NoSpacing"/>
        <w:spacing w:line="360" w:lineRule="auto"/>
        <w:rPr>
          <w:lang w:val="en-US"/>
        </w:rPr>
      </w:pPr>
    </w:p>
    <w:p w:rsidR="00A2303C" w:rsidRPr="00E77B2A" w:rsidRDefault="00A2303C" w:rsidP="00513D6B">
      <w:pPr>
        <w:pStyle w:val="NoSpacing"/>
        <w:spacing w:line="360" w:lineRule="auto"/>
        <w:rPr>
          <w:lang w:val="en-US"/>
        </w:rPr>
      </w:pPr>
      <w:r>
        <w:rPr>
          <w:lang w:val="en-US"/>
        </w:rPr>
        <w:t>It is possible that there exist shortfalls or holes in pensions, which can emerge due to changes in employment, residence abroad or by non-participation to the labor force. Moreover, the self-employed do not have a second pillar and depend more heavily on the third pillar for accumulation of their pension. Governments who realize the existence of potential shortfalls in the funding of pension savings can become actively engaged in resolving this problem. A proposed solution is providing</w:t>
      </w:r>
      <w:r w:rsidRPr="00E77B2A">
        <w:rPr>
          <w:lang w:val="en-US"/>
        </w:rPr>
        <w:t xml:space="preserve"> incentives for voluntary savings for pillar</w:t>
      </w:r>
      <w:r>
        <w:rPr>
          <w:lang w:val="en-US"/>
        </w:rPr>
        <w:t xml:space="preserve"> three via favo</w:t>
      </w:r>
      <w:r w:rsidRPr="00E77B2A">
        <w:rPr>
          <w:lang w:val="en-US"/>
        </w:rPr>
        <w:t xml:space="preserve">rable tax treatment. </w:t>
      </w:r>
      <w:r>
        <w:rPr>
          <w:lang w:val="en-US"/>
        </w:rPr>
        <w:t xml:space="preserve">Another possibility is to increase the rate of mandatory contributions to the second pillar, if the shortfalls arise due to changes in employment. </w:t>
      </w:r>
    </w:p>
    <w:p w:rsidR="00A2303C" w:rsidRPr="00E77B2A" w:rsidRDefault="00A2303C" w:rsidP="00513D6B">
      <w:pPr>
        <w:pStyle w:val="NoSpacing"/>
        <w:spacing w:line="360" w:lineRule="auto"/>
        <w:rPr>
          <w:lang w:val="en-US"/>
        </w:rPr>
      </w:pPr>
    </w:p>
    <w:p w:rsidR="00A2303C" w:rsidRPr="00E77B2A" w:rsidRDefault="00A2303C" w:rsidP="00ED27DF">
      <w:pPr>
        <w:pStyle w:val="NoSpacing"/>
        <w:numPr>
          <w:ilvl w:val="1"/>
          <w:numId w:val="3"/>
        </w:numPr>
        <w:spacing w:line="360" w:lineRule="auto"/>
        <w:ind w:hanging="1296"/>
        <w:rPr>
          <w:b/>
          <w:i/>
          <w:lang w:val="en-US"/>
        </w:rPr>
      </w:pPr>
      <w:r w:rsidRPr="00E77B2A">
        <w:rPr>
          <w:b/>
          <w:i/>
          <w:lang w:val="en-US"/>
        </w:rPr>
        <w:t>Pay-As-You-Go system</w:t>
      </w:r>
    </w:p>
    <w:p w:rsidR="00A2303C" w:rsidRPr="00E77B2A" w:rsidRDefault="00A2303C" w:rsidP="00ED27DF">
      <w:pPr>
        <w:pStyle w:val="NoSpacing"/>
        <w:spacing w:line="360" w:lineRule="auto"/>
        <w:rPr>
          <w:lang w:val="en-US"/>
        </w:rPr>
      </w:pPr>
      <w:r w:rsidRPr="00E77B2A">
        <w:rPr>
          <w:lang w:val="en-US"/>
        </w:rPr>
        <w:t>As mentioned before, the focus of this paper will be on the differences in pension design between Brazil and Chile. Since the t</w:t>
      </w:r>
      <w:r>
        <w:rPr>
          <w:lang w:val="en-US"/>
        </w:rPr>
        <w:t>wo countries take different approaches</w:t>
      </w:r>
      <w:r w:rsidRPr="00E77B2A">
        <w:rPr>
          <w:lang w:val="en-US"/>
        </w:rPr>
        <w:t xml:space="preserve"> to fund their old age security plan, it urges for more elaboration </w:t>
      </w:r>
      <w:r>
        <w:rPr>
          <w:lang w:val="en-US"/>
        </w:rPr>
        <w:t>on these approaches; fully funded and</w:t>
      </w:r>
      <w:r w:rsidRPr="00E77B2A">
        <w:rPr>
          <w:lang w:val="en-US"/>
        </w:rPr>
        <w:t xml:space="preserve"> unfunded (PAYG).</w:t>
      </w:r>
    </w:p>
    <w:p w:rsidR="00A2303C" w:rsidRPr="00E77B2A" w:rsidRDefault="00A2303C" w:rsidP="00ED27DF">
      <w:pPr>
        <w:pStyle w:val="NoSpacing"/>
        <w:spacing w:line="360" w:lineRule="auto"/>
        <w:rPr>
          <w:lang w:val="en-US"/>
        </w:rPr>
      </w:pPr>
    </w:p>
    <w:p w:rsidR="00A2303C" w:rsidRPr="00E77B2A" w:rsidRDefault="00A2303C" w:rsidP="00ED27DF">
      <w:pPr>
        <w:pStyle w:val="NoSpacing"/>
        <w:spacing w:line="360" w:lineRule="auto"/>
        <w:rPr>
          <w:lang w:val="en-US"/>
        </w:rPr>
      </w:pPr>
      <w:r w:rsidRPr="00E77B2A">
        <w:rPr>
          <w:lang w:val="en-US"/>
        </w:rPr>
        <w:t>The PAYG system in its most basic format is essentially welfare payments to the elderly</w:t>
      </w:r>
      <w:r>
        <w:rPr>
          <w:lang w:val="en-US"/>
        </w:rPr>
        <w:t>, which are</w:t>
      </w:r>
      <w:r w:rsidRPr="00E77B2A">
        <w:rPr>
          <w:lang w:val="en-US"/>
        </w:rPr>
        <w:t xml:space="preserve"> financed by taxation. This type is mainly used in the first pillar to serve as a guaranteed minimum </w:t>
      </w:r>
      <w:r>
        <w:rPr>
          <w:lang w:val="en-US"/>
        </w:rPr>
        <w:t>income for the elderly</w:t>
      </w:r>
      <w:r w:rsidRPr="00E77B2A">
        <w:rPr>
          <w:lang w:val="en-US"/>
        </w:rPr>
        <w:t>. The state levies a mandatory tax on income, most often on wages, of the working population. The revenues are not saved, but rather use</w:t>
      </w:r>
      <w:r>
        <w:rPr>
          <w:lang w:val="en-US"/>
        </w:rPr>
        <w:t>d instantly for pension benefit of</w:t>
      </w:r>
      <w:r w:rsidRPr="00E77B2A">
        <w:rPr>
          <w:lang w:val="en-US"/>
        </w:rPr>
        <w:t xml:space="preserve"> the elderly at that time; hence the name pay-as-you-go. </w:t>
      </w:r>
      <w:r>
        <w:rPr>
          <w:lang w:val="en-US"/>
        </w:rPr>
        <w:t>Thus, today’s taxpayers</w:t>
      </w:r>
      <w:r w:rsidRPr="00E77B2A">
        <w:rPr>
          <w:lang w:val="en-US"/>
        </w:rPr>
        <w:t xml:space="preserve"> </w:t>
      </w:r>
      <w:r>
        <w:rPr>
          <w:lang w:val="en-US"/>
        </w:rPr>
        <w:t>pay pensions to today’s elderly</w:t>
      </w:r>
      <w:r w:rsidRPr="00E77B2A">
        <w:rPr>
          <w:lang w:val="en-US"/>
        </w:rPr>
        <w:t>, while expecting that their pensions wi</w:t>
      </w:r>
      <w:r>
        <w:rPr>
          <w:lang w:val="en-US"/>
        </w:rPr>
        <w:t>ll be financed by future taxpayers</w:t>
      </w:r>
      <w:r w:rsidRPr="00E77B2A">
        <w:rPr>
          <w:lang w:val="en-US"/>
        </w:rPr>
        <w:t xml:space="preserve">. </w:t>
      </w:r>
    </w:p>
    <w:p w:rsidR="00A2303C" w:rsidRPr="00E77B2A" w:rsidRDefault="00A2303C" w:rsidP="00ED27DF">
      <w:pPr>
        <w:pStyle w:val="NoSpacing"/>
        <w:spacing w:line="360" w:lineRule="auto"/>
        <w:rPr>
          <w:lang w:val="en-US"/>
        </w:rPr>
      </w:pPr>
    </w:p>
    <w:p w:rsidR="00A2303C" w:rsidRDefault="00A2303C" w:rsidP="00ED27DF">
      <w:pPr>
        <w:pStyle w:val="NoSpacing"/>
        <w:spacing w:line="360" w:lineRule="auto"/>
        <w:rPr>
          <w:lang w:val="en-US"/>
        </w:rPr>
      </w:pPr>
      <w:r w:rsidRPr="00E77B2A">
        <w:rPr>
          <w:lang w:val="en-US"/>
        </w:rPr>
        <w:t xml:space="preserve">The benefits received by </w:t>
      </w:r>
      <w:r>
        <w:rPr>
          <w:lang w:val="en-US"/>
        </w:rPr>
        <w:t xml:space="preserve">the </w:t>
      </w:r>
      <w:r w:rsidRPr="00E77B2A">
        <w:rPr>
          <w:lang w:val="en-US"/>
        </w:rPr>
        <w:t xml:space="preserve">current </w:t>
      </w:r>
      <w:r>
        <w:rPr>
          <w:lang w:val="en-US"/>
        </w:rPr>
        <w:t>elderly</w:t>
      </w:r>
      <w:r w:rsidRPr="00E77B2A">
        <w:rPr>
          <w:lang w:val="en-US"/>
        </w:rPr>
        <w:t xml:space="preserve"> will deter</w:t>
      </w:r>
      <w:r>
        <w:rPr>
          <w:lang w:val="en-US"/>
        </w:rPr>
        <w:t>mine the amount of payroll tax</w:t>
      </w:r>
      <w:r w:rsidRPr="00E77B2A">
        <w:rPr>
          <w:lang w:val="en-US"/>
        </w:rPr>
        <w:t xml:space="preserve"> payments by</w:t>
      </w:r>
      <w:r>
        <w:rPr>
          <w:lang w:val="en-US"/>
        </w:rPr>
        <w:t xml:space="preserve"> the current taxpayers</w:t>
      </w:r>
      <w:r w:rsidRPr="00E77B2A">
        <w:rPr>
          <w:lang w:val="en-US"/>
        </w:rPr>
        <w:t>. Taking it in its simplest form, the factors influencing the payroll tax rate T</w:t>
      </w:r>
      <w:r w:rsidRPr="00E77B2A">
        <w:rPr>
          <w:vertAlign w:val="subscript"/>
          <w:lang w:val="en-US"/>
        </w:rPr>
        <w:t>rate</w:t>
      </w:r>
      <w:r w:rsidRPr="00E77B2A">
        <w:rPr>
          <w:lang w:val="en-US"/>
        </w:rPr>
        <w:t xml:space="preserve"> are the benefit rate B</w:t>
      </w:r>
      <w:r w:rsidRPr="00E77B2A">
        <w:rPr>
          <w:lang w:val="en-US"/>
        </w:rPr>
        <w:softHyphen/>
      </w:r>
      <w:r w:rsidRPr="00E77B2A">
        <w:rPr>
          <w:vertAlign w:val="subscript"/>
          <w:lang w:val="en-US"/>
        </w:rPr>
        <w:t>rate</w:t>
      </w:r>
      <w:r w:rsidRPr="00E77B2A">
        <w:rPr>
          <w:lang w:val="en-US"/>
        </w:rPr>
        <w:t xml:space="preserve"> (average benefit/average wage) and the dependency ratio D</w:t>
      </w:r>
      <w:r w:rsidRPr="00E77B2A">
        <w:rPr>
          <w:vertAlign w:val="subscript"/>
          <w:lang w:val="en-US"/>
        </w:rPr>
        <w:t>ratio</w:t>
      </w:r>
      <w:r w:rsidRPr="00E77B2A">
        <w:rPr>
          <w:lang w:val="en-US"/>
        </w:rPr>
        <w:t xml:space="preserve"> (</w:t>
      </w:r>
      <w:r>
        <w:rPr>
          <w:lang w:val="en-US"/>
        </w:rPr>
        <w:t xml:space="preserve">beneficiaries/ covered employees). Thus, </w:t>
      </w:r>
      <w:r w:rsidRPr="00E77B2A">
        <w:rPr>
          <w:lang w:val="en-US"/>
        </w:rPr>
        <w:t xml:space="preserve">resulting in the equation: </w:t>
      </w:r>
    </w:p>
    <w:p w:rsidR="00A2303C" w:rsidRPr="00E77B2A" w:rsidRDefault="00A2303C" w:rsidP="00ED27DF">
      <w:pPr>
        <w:pStyle w:val="NoSpacing"/>
        <w:spacing w:line="360" w:lineRule="auto"/>
        <w:rPr>
          <w:lang w:val="en-US"/>
        </w:rPr>
      </w:pPr>
    </w:p>
    <w:p w:rsidR="00A2303C" w:rsidRPr="00E77B2A" w:rsidRDefault="00A2303C" w:rsidP="002B4E22">
      <w:pPr>
        <w:pStyle w:val="NoSpacing"/>
        <w:numPr>
          <w:ilvl w:val="0"/>
          <w:numId w:val="7"/>
        </w:numPr>
        <w:spacing w:line="360" w:lineRule="auto"/>
        <w:ind w:hanging="720"/>
        <w:rPr>
          <w:lang w:val="en-US"/>
        </w:rPr>
      </w:pPr>
      <w:r w:rsidRPr="00E77B2A">
        <w:rPr>
          <w:lang w:val="en-US"/>
        </w:rPr>
        <w:t xml:space="preserve">     </w:t>
      </w:r>
      <w:r w:rsidRPr="00E77B2A">
        <w:rPr>
          <w:lang w:val="en-US"/>
        </w:rPr>
        <w:tab/>
      </w:r>
      <w:r w:rsidRPr="008D584B">
        <w:rPr>
          <w:lang w:val="en-US"/>
        </w:rPr>
        <w:fldChar w:fldCharType="begin"/>
      </w:r>
      <w:r w:rsidRPr="008D584B">
        <w:rPr>
          <w:lang w:val="en-US"/>
        </w:rPr>
        <w:instrText xml:space="preserve"> QUOTE </w:instrText>
      </w:r>
      <w:r w:rsidRPr="008D584B">
        <w:pict>
          <v:shape id="_x0000_i1025" type="#_x0000_t75" style="width:94.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1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853A1&quot;/&gt;&lt;wsp:rsid wsp:val=&quot;00000301&quot;/&gt;&lt;wsp:rsid wsp:val=&quot;00002C2F&quot;/&gt;&lt;wsp:rsid wsp:val=&quot;00004A32&quot;/&gt;&lt;wsp:rsid wsp:val=&quot;000155C6&quot;/&gt;&lt;wsp:rsid wsp:val=&quot;00020171&quot;/&gt;&lt;wsp:rsid wsp:val=&quot;00021919&quot;/&gt;&lt;wsp:rsid wsp:val=&quot;000228C1&quot;/&gt;&lt;wsp:rsid wsp:val=&quot;000265FE&quot;/&gt;&lt;wsp:rsid wsp:val=&quot;00026B17&quot;/&gt;&lt;wsp:rsid wsp:val=&quot;00031F57&quot;/&gt;&lt;wsp:rsid wsp:val=&quot;0003255C&quot;/&gt;&lt;wsp:rsid wsp:val=&quot;00032823&quot;/&gt;&lt;wsp:rsid wsp:val=&quot;00032DB2&quot;/&gt;&lt;wsp:rsid wsp:val=&quot;00034643&quot;/&gt;&lt;wsp:rsid wsp:val=&quot;000422BE&quot;/&gt;&lt;wsp:rsid wsp:val=&quot;000423E9&quot;/&gt;&lt;wsp:rsid wsp:val=&quot;0005079E&quot;/&gt;&lt;wsp:rsid wsp:val=&quot;00052141&quot;/&gt;&lt;wsp:rsid wsp:val=&quot;00052281&quot;/&gt;&lt;wsp:rsid wsp:val=&quot;00052943&quot;/&gt;&lt;wsp:rsid wsp:val=&quot;0005326D&quot;/&gt;&lt;wsp:rsid wsp:val=&quot;00053A09&quot;/&gt;&lt;wsp:rsid wsp:val=&quot;0005633C&quot;/&gt;&lt;wsp:rsid wsp:val=&quot;00056590&quot;/&gt;&lt;wsp:rsid wsp:val=&quot;0007082F&quot;/&gt;&lt;wsp:rsid wsp:val=&quot;000758DF&quot;/&gt;&lt;wsp:rsid wsp:val=&quot;00080C2A&quot;/&gt;&lt;wsp:rsid wsp:val=&quot;000821F5&quot;/&gt;&lt;wsp:rsid wsp:val=&quot;00083BDC&quot;/&gt;&lt;wsp:rsid wsp:val=&quot;0008428E&quot;/&gt;&lt;wsp:rsid wsp:val=&quot;00092595&quot;/&gt;&lt;wsp:rsid wsp:val=&quot;0009348A&quot;/&gt;&lt;wsp:rsid wsp:val=&quot;00096499&quot;/&gt;&lt;wsp:rsid wsp:val=&quot;000977F6&quot;/&gt;&lt;wsp:rsid wsp:val=&quot;00097F68&quot;/&gt;&lt;wsp:rsid wsp:val=&quot;000A0818&quot;/&gt;&lt;wsp:rsid wsp:val=&quot;000A5D99&quot;/&gt;&lt;wsp:rsid wsp:val=&quot;000A69BA&quot;/&gt;&lt;wsp:rsid wsp:val=&quot;000A7094&quot;/&gt;&lt;wsp:rsid wsp:val=&quot;000B38BD&quot;/&gt;&lt;wsp:rsid wsp:val=&quot;000B3E22&quot;/&gt;&lt;wsp:rsid wsp:val=&quot;000B3E81&quot;/&gt;&lt;wsp:rsid wsp:val=&quot;000C407D&quot;/&gt;&lt;wsp:rsid wsp:val=&quot;000C489F&quot;/&gt;&lt;wsp:rsid wsp:val=&quot;000C49CF&quot;/&gt;&lt;wsp:rsid wsp:val=&quot;000C4F39&quot;/&gt;&lt;wsp:rsid wsp:val=&quot;000C7666&quot;/&gt;&lt;wsp:rsid wsp:val=&quot;000D6EB0&quot;/&gt;&lt;wsp:rsid wsp:val=&quot;000E0AFB&quot;/&gt;&lt;wsp:rsid wsp:val=&quot;000E5451&quot;/&gt;&lt;wsp:rsid wsp:val=&quot;000E554A&quot;/&gt;&lt;wsp:rsid wsp:val=&quot;000E6DA4&quot;/&gt;&lt;wsp:rsid wsp:val=&quot;000F4D54&quot;/&gt;&lt;wsp:rsid wsp:val=&quot;00102925&quot;/&gt;&lt;wsp:rsid wsp:val=&quot;00105B48&quot;/&gt;&lt;wsp:rsid wsp:val=&quot;0010635F&quot;/&gt;&lt;wsp:rsid wsp:val=&quot;0011088A&quot;/&gt;&lt;wsp:rsid wsp:val=&quot;00116F79&quot;/&gt;&lt;wsp:rsid wsp:val=&quot;0011793E&quot;/&gt;&lt;wsp:rsid wsp:val=&quot;00121284&quot;/&gt;&lt;wsp:rsid wsp:val=&quot;00121BAF&quot;/&gt;&lt;wsp:rsid wsp:val=&quot;0012205D&quot;/&gt;&lt;wsp:rsid wsp:val=&quot;001243F1&quot;/&gt;&lt;wsp:rsid wsp:val=&quot;00125D92&quot;/&gt;&lt;wsp:rsid wsp:val=&quot;001320C2&quot;/&gt;&lt;wsp:rsid wsp:val=&quot;001320CA&quot;/&gt;&lt;wsp:rsid wsp:val=&quot;00141C38&quot;/&gt;&lt;wsp:rsid wsp:val=&quot;0014403F&quot;/&gt;&lt;wsp:rsid wsp:val=&quot;00146977&quot;/&gt;&lt;wsp:rsid wsp:val=&quot;00150B52&quot;/&gt;&lt;wsp:rsid wsp:val=&quot;00152B4A&quot;/&gt;&lt;wsp:rsid wsp:val=&quot;00154781&quot;/&gt;&lt;wsp:rsid wsp:val=&quot;00162990&quot;/&gt;&lt;wsp:rsid wsp:val=&quot;001629A6&quot;/&gt;&lt;wsp:rsid wsp:val=&quot;001677AC&quot;/&gt;&lt;wsp:rsid wsp:val=&quot;00167A17&quot;/&gt;&lt;wsp:rsid wsp:val=&quot;00173004&quot;/&gt;&lt;wsp:rsid wsp:val=&quot;00177AA2&quot;/&gt;&lt;wsp:rsid wsp:val=&quot;0018041F&quot;/&gt;&lt;wsp:rsid wsp:val=&quot;001805D7&quot;/&gt;&lt;wsp:rsid wsp:val=&quot;00187394&quot;/&gt;&lt;wsp:rsid wsp:val=&quot;001873D3&quot;/&gt;&lt;wsp:rsid wsp:val=&quot;00187991&quot;/&gt;&lt;wsp:rsid wsp:val=&quot;00193BED&quot;/&gt;&lt;wsp:rsid wsp:val=&quot;00194C7A&quot;/&gt;&lt;wsp:rsid wsp:val=&quot;00195ABC&quot;/&gt;&lt;wsp:rsid wsp:val=&quot;00195BC9&quot;/&gt;&lt;wsp:rsid wsp:val=&quot;00196448&quot;/&gt;&lt;wsp:rsid wsp:val=&quot;001A1968&quot;/&gt;&lt;wsp:rsid wsp:val=&quot;001A1D92&quot;/&gt;&lt;wsp:rsid wsp:val=&quot;001A22AC&quot;/&gt;&lt;wsp:rsid wsp:val=&quot;001A3CF0&quot;/&gt;&lt;wsp:rsid wsp:val=&quot;001A5A8F&quot;/&gt;&lt;wsp:rsid wsp:val=&quot;001B1365&quot;/&gt;&lt;wsp:rsid wsp:val=&quot;001B1481&quot;/&gt;&lt;wsp:rsid wsp:val=&quot;001B28A6&quot;/&gt;&lt;wsp:rsid wsp:val=&quot;001B31E4&quot;/&gt;&lt;wsp:rsid wsp:val=&quot;001B6A0C&quot;/&gt;&lt;wsp:rsid wsp:val=&quot;001C0D83&quot;/&gt;&lt;wsp:rsid wsp:val=&quot;001C14D5&quot;/&gt;&lt;wsp:rsid wsp:val=&quot;001C17F6&quot;/&gt;&lt;wsp:rsid wsp:val=&quot;001C3D1E&quot;/&gt;&lt;wsp:rsid wsp:val=&quot;001C6C75&quot;/&gt;&lt;wsp:rsid wsp:val=&quot;001C6CE2&quot;/&gt;&lt;wsp:rsid wsp:val=&quot;001D146F&quot;/&gt;&lt;wsp:rsid wsp:val=&quot;001D2605&quot;/&gt;&lt;wsp:rsid wsp:val=&quot;001D2C81&quot;/&gt;&lt;wsp:rsid wsp:val=&quot;001D339E&quot;/&gt;&lt;wsp:rsid wsp:val=&quot;001D74CF&quot;/&gt;&lt;wsp:rsid wsp:val=&quot;001E21C9&quot;/&gt;&lt;wsp:rsid wsp:val=&quot;001E21DF&quot;/&gt;&lt;wsp:rsid wsp:val=&quot;001E2E2E&quot;/&gt;&lt;wsp:rsid wsp:val=&quot;001E52FA&quot;/&gt;&lt;wsp:rsid wsp:val=&quot;001E5B81&quot;/&gt;&lt;wsp:rsid wsp:val=&quot;001E75BE&quot;/&gt;&lt;wsp:rsid wsp:val=&quot;001F12C4&quot;/&gt;&lt;wsp:rsid wsp:val=&quot;001F3FC7&quot;/&gt;&lt;wsp:rsid wsp:val=&quot;001F658C&quot;/&gt;&lt;wsp:rsid wsp:val=&quot;001F6D72&quot;/&gt;&lt;wsp:rsid wsp:val=&quot;002009DA&quot;/&gt;&lt;wsp:rsid wsp:val=&quot;00201758&quot;/&gt;&lt;wsp:rsid wsp:val=&quot;00201842&quot;/&gt;&lt;wsp:rsid wsp:val=&quot;00202CDD&quot;/&gt;&lt;wsp:rsid wsp:val=&quot;002055B2&quot;/&gt;&lt;wsp:rsid wsp:val=&quot;00210D79&quot;/&gt;&lt;wsp:rsid wsp:val=&quot;002126D0&quot;/&gt;&lt;wsp:rsid wsp:val=&quot;00214101&quot;/&gt;&lt;wsp:rsid wsp:val=&quot;00216CB9&quot;/&gt;&lt;wsp:rsid wsp:val=&quot;00220CCB&quot;/&gt;&lt;wsp:rsid wsp:val=&quot;00221471&quot;/&gt;&lt;wsp:rsid wsp:val=&quot;002214F1&quot;/&gt;&lt;wsp:rsid wsp:val=&quot;002269F9&quot;/&gt;&lt;wsp:rsid wsp:val=&quot;0023031D&quot;/&gt;&lt;wsp:rsid wsp:val=&quot;00230706&quot;/&gt;&lt;wsp:rsid wsp:val=&quot;002323A3&quot;/&gt;&lt;wsp:rsid wsp:val=&quot;002327A3&quot;/&gt;&lt;wsp:rsid wsp:val=&quot;00234003&quot;/&gt;&lt;wsp:rsid wsp:val=&quot;00236F9F&quot;/&gt;&lt;wsp:rsid wsp:val=&quot;002374FC&quot;/&gt;&lt;wsp:rsid wsp:val=&quot;0024012E&quot;/&gt;&lt;wsp:rsid wsp:val=&quot;00240898&quot;/&gt;&lt;wsp:rsid wsp:val=&quot;00241B86&quot;/&gt;&lt;wsp:rsid wsp:val=&quot;0024536D&quot;/&gt;&lt;wsp:rsid wsp:val=&quot;0024679F&quot;/&gt;&lt;wsp:rsid wsp:val=&quot;00251EDF&quot;/&gt;&lt;wsp:rsid wsp:val=&quot;00252EFD&quot;/&gt;&lt;wsp:rsid wsp:val=&quot;002560D5&quot;/&gt;&lt;wsp:rsid wsp:val=&quot;002561EC&quot;/&gt;&lt;wsp:rsid wsp:val=&quot;0026144A&quot;/&gt;&lt;wsp:rsid wsp:val=&quot;002615A4&quot;/&gt;&lt;wsp:rsid wsp:val=&quot;00262F25&quot;/&gt;&lt;wsp:rsid wsp:val=&quot;002653F9&quot;/&gt;&lt;wsp:rsid wsp:val=&quot;0026619B&quot;/&gt;&lt;wsp:rsid wsp:val=&quot;002671C0&quot;/&gt;&lt;wsp:rsid wsp:val=&quot;002679A2&quot;/&gt;&lt;wsp:rsid wsp:val=&quot;00267B8B&quot;/&gt;&lt;wsp:rsid wsp:val=&quot;002703CE&quot;/&gt;&lt;wsp:rsid wsp:val=&quot;00275484&quot;/&gt;&lt;wsp:rsid wsp:val=&quot;00276AD0&quot;/&gt;&lt;wsp:rsid wsp:val=&quot;00280C46&quot;/&gt;&lt;wsp:rsid wsp:val=&quot;0028594C&quot;/&gt;&lt;wsp:rsid wsp:val=&quot;002A4DA3&quot;/&gt;&lt;wsp:rsid wsp:val=&quot;002A53D8&quot;/&gt;&lt;wsp:rsid wsp:val=&quot;002B02DB&quot;/&gt;&lt;wsp:rsid wsp:val=&quot;002B23D3&quot;/&gt;&lt;wsp:rsid wsp:val=&quot;002B2E18&quot;/&gt;&lt;wsp:rsid wsp:val=&quot;002B491C&quot;/&gt;&lt;wsp:rsid wsp:val=&quot;002B4CF3&quot;/&gt;&lt;wsp:rsid wsp:val=&quot;002B4E22&quot;/&gt;&lt;wsp:rsid wsp:val=&quot;002B56EB&quot;/&gt;&lt;wsp:rsid wsp:val=&quot;002C239E&quot;/&gt;&lt;wsp:rsid wsp:val=&quot;002C28C2&quot;/&gt;&lt;wsp:rsid wsp:val=&quot;002C3B35&quot;/&gt;&lt;wsp:rsid wsp:val=&quot;002C41B6&quot;/&gt;&lt;wsp:rsid wsp:val=&quot;002C4E6E&quot;/&gt;&lt;wsp:rsid wsp:val=&quot;002C5CFF&quot;/&gt;&lt;wsp:rsid wsp:val=&quot;002D02D6&quot;/&gt;&lt;wsp:rsid wsp:val=&quot;002D1581&quot;/&gt;&lt;wsp:rsid wsp:val=&quot;002D1802&quot;/&gt;&lt;wsp:rsid wsp:val=&quot;002D3449&quot;/&gt;&lt;wsp:rsid wsp:val=&quot;002D5B28&quot;/&gt;&lt;wsp:rsid wsp:val=&quot;002D6325&quot;/&gt;&lt;wsp:rsid wsp:val=&quot;002D6522&quot;/&gt;&lt;wsp:rsid wsp:val=&quot;002E16A9&quot;/&gt;&lt;wsp:rsid wsp:val=&quot;002E6355&quot;/&gt;&lt;wsp:rsid wsp:val=&quot;002F5310&quot;/&gt;&lt;wsp:rsid wsp:val=&quot;002F6EBB&quot;/&gt;&lt;wsp:rsid wsp:val=&quot;003019DA&quot;/&gt;&lt;wsp:rsid wsp:val=&quot;00301A96&quot;/&gt;&lt;wsp:rsid wsp:val=&quot;00306A05&quot;/&gt;&lt;wsp:rsid wsp:val=&quot;003112F9&quot;/&gt;&lt;wsp:rsid wsp:val=&quot;00315D63&quot;/&gt;&lt;wsp:rsid wsp:val=&quot;0031603D&quot;/&gt;&lt;wsp:rsid wsp:val=&quot;00320675&quot;/&gt;&lt;wsp:rsid wsp:val=&quot;0032551B&quot;/&gt;&lt;wsp:rsid wsp:val=&quot;00325AAC&quot;/&gt;&lt;wsp:rsid wsp:val=&quot;00326120&quot;/&gt;&lt;wsp:rsid wsp:val=&quot;0032738F&quot;/&gt;&lt;wsp:rsid wsp:val=&quot;00327C71&quot;/&gt;&lt;wsp:rsid wsp:val=&quot;00327DCD&quot;/&gt;&lt;wsp:rsid wsp:val=&quot;003317EE&quot;/&gt;&lt;wsp:rsid wsp:val=&quot;00336BFC&quot;/&gt;&lt;wsp:rsid wsp:val=&quot;00344FB5&quot;/&gt;&lt;wsp:rsid wsp:val=&quot;00346CBD&quot;/&gt;&lt;wsp:rsid wsp:val=&quot;003515D8&quot;/&gt;&lt;wsp:rsid wsp:val=&quot;003531F5&quot;/&gt;&lt;wsp:rsid wsp:val=&quot;0035458F&quot;/&gt;&lt;wsp:rsid wsp:val=&quot;00356AB7&quot;/&gt;&lt;wsp:rsid wsp:val=&quot;00357CA9&quot;/&gt;&lt;wsp:rsid wsp:val=&quot;00362A3C&quot;/&gt;&lt;wsp:rsid wsp:val=&quot;00365046&quot;/&gt;&lt;wsp:rsid wsp:val=&quot;00366492&quot;/&gt;&lt;wsp:rsid wsp:val=&quot;00367558&quot;/&gt;&lt;wsp:rsid wsp:val=&quot;003725A1&quot;/&gt;&lt;wsp:rsid wsp:val=&quot;003754C0&quot;/&gt;&lt;wsp:rsid wsp:val=&quot;00375BA6&quot;/&gt;&lt;wsp:rsid wsp:val=&quot;003760CE&quot;/&gt;&lt;wsp:rsid wsp:val=&quot;00377400&quot;/&gt;&lt;wsp:rsid wsp:val=&quot;00382FBE&quot;/&gt;&lt;wsp:rsid wsp:val=&quot;003833C2&quot;/&gt;&lt;wsp:rsid wsp:val=&quot;00386484&quot;/&gt;&lt;wsp:rsid wsp:val=&quot;003900AB&quot;/&gt;&lt;wsp:rsid wsp:val=&quot;00390224&quot;/&gt;&lt;wsp:rsid wsp:val=&quot;00392BF4&quot;/&gt;&lt;wsp:rsid wsp:val=&quot;00393480&quot;/&gt;&lt;wsp:rsid wsp:val=&quot;00394EA4&quot;/&gt;&lt;wsp:rsid wsp:val=&quot;0039581E&quot;/&gt;&lt;wsp:rsid wsp:val=&quot;00396F69&quot;/&gt;&lt;wsp:rsid wsp:val=&quot;003A268B&quot;/&gt;&lt;wsp:rsid wsp:val=&quot;003A3207&quot;/&gt;&lt;wsp:rsid wsp:val=&quot;003A4E86&quot;/&gt;&lt;wsp:rsid wsp:val=&quot;003B3E4F&quot;/&gt;&lt;wsp:rsid wsp:val=&quot;003B6A29&quot;/&gt;&lt;wsp:rsid wsp:val=&quot;003B7460&quot;/&gt;&lt;wsp:rsid wsp:val=&quot;003C17A2&quot;/&gt;&lt;wsp:rsid wsp:val=&quot;003C182F&quot;/&gt;&lt;wsp:rsid wsp:val=&quot;003C34F1&quot;/&gt;&lt;wsp:rsid wsp:val=&quot;003C4AEC&quot;/&gt;&lt;wsp:rsid wsp:val=&quot;003C4B5A&quot;/&gt;&lt;wsp:rsid wsp:val=&quot;003D1885&quot;/&gt;&lt;wsp:rsid wsp:val=&quot;003D254D&quot;/&gt;&lt;wsp:rsid wsp:val=&quot;003D3A9A&quot;/&gt;&lt;wsp:rsid wsp:val=&quot;003D59EA&quot;/&gt;&lt;wsp:rsid wsp:val=&quot;003D6C77&quot;/&gt;&lt;wsp:rsid wsp:val=&quot;003D75A6&quot;/&gt;&lt;wsp:rsid wsp:val=&quot;003E0984&quot;/&gt;&lt;wsp:rsid wsp:val=&quot;003E17D0&quot;/&gt;&lt;wsp:rsid wsp:val=&quot;003E1BB3&quot;/&gt;&lt;wsp:rsid wsp:val=&quot;003E236F&quot;/&gt;&lt;wsp:rsid wsp:val=&quot;003E5D96&quot;/&gt;&lt;wsp:rsid wsp:val=&quot;003E6A82&quot;/&gt;&lt;wsp:rsid wsp:val=&quot;003F07A1&quot;/&gt;&lt;wsp:rsid wsp:val=&quot;003F4466&quot;/&gt;&lt;wsp:rsid wsp:val=&quot;003F5802&quot;/&gt;&lt;wsp:rsid wsp:val=&quot;003F7895&quot;/&gt;&lt;wsp:rsid wsp:val=&quot;00400700&quot;/&gt;&lt;wsp:rsid wsp:val=&quot;00400A2E&quot;/&gt;&lt;wsp:rsid wsp:val=&quot;00405C9E&quot;/&gt;&lt;wsp:rsid wsp:val=&quot;00406DBB&quot;/&gt;&lt;wsp:rsid wsp:val=&quot;00407AA7&quot;/&gt;&lt;wsp:rsid wsp:val=&quot;00411F49&quot;/&gt;&lt;wsp:rsid wsp:val=&quot;00420CF4&quot;/&gt;&lt;wsp:rsid wsp:val=&quot;004214CB&quot;/&gt;&lt;wsp:rsid wsp:val=&quot;00421515&quot;/&gt;&lt;wsp:rsid wsp:val=&quot;00421F52&quot;/&gt;&lt;wsp:rsid wsp:val=&quot;004273C8&quot;/&gt;&lt;wsp:rsid wsp:val=&quot;004302AC&quot;/&gt;&lt;wsp:rsid wsp:val=&quot;004311E3&quot;/&gt;&lt;wsp:rsid wsp:val=&quot;00435FD3&quot;/&gt;&lt;wsp:rsid wsp:val=&quot;00436F54&quot;/&gt;&lt;wsp:rsid wsp:val=&quot;004447E8&quot;/&gt;&lt;wsp:rsid wsp:val=&quot;0044531C&quot;/&gt;&lt;wsp:rsid wsp:val=&quot;0044686E&quot;/&gt;&lt;wsp:rsid wsp:val=&quot;00446F7D&quot;/&gt;&lt;wsp:rsid wsp:val=&quot;00452A49&quot;/&gt;&lt;wsp:rsid wsp:val=&quot;00454B2F&quot;/&gt;&lt;wsp:rsid wsp:val=&quot;004579F4&quot;/&gt;&lt;wsp:rsid wsp:val=&quot;00463B09&quot;/&gt;&lt;wsp:rsid wsp:val=&quot;004763C7&quot;/&gt;&lt;wsp:rsid wsp:val=&quot;00483AEC&quot;/&gt;&lt;wsp:rsid wsp:val=&quot;00487C49&quot;/&gt;&lt;wsp:rsid wsp:val=&quot;00495826&quot;/&gt;&lt;wsp:rsid wsp:val=&quot;004A4448&quot;/&gt;&lt;wsp:rsid wsp:val=&quot;004A584C&quot;/&gt;&lt;wsp:rsid wsp:val=&quot;004A5C92&quot;/&gt;&lt;wsp:rsid wsp:val=&quot;004B1C33&quot;/&gt;&lt;wsp:rsid wsp:val=&quot;004B2974&quot;/&gt;&lt;wsp:rsid wsp:val=&quot;004B3314&quot;/&gt;&lt;wsp:rsid wsp:val=&quot;004B4255&quot;/&gt;&lt;wsp:rsid wsp:val=&quot;004B5E76&quot;/&gt;&lt;wsp:rsid wsp:val=&quot;004B613C&quot;/&gt;&lt;wsp:rsid wsp:val=&quot;004D0DAF&quot;/&gt;&lt;wsp:rsid wsp:val=&quot;004D3144&quot;/&gt;&lt;wsp:rsid wsp:val=&quot;004D4137&quot;/&gt;&lt;wsp:rsid wsp:val=&quot;004D4844&quot;/&gt;&lt;wsp:rsid wsp:val=&quot;004D6F4B&quot;/&gt;&lt;wsp:rsid wsp:val=&quot;004D7D36&quot;/&gt;&lt;wsp:rsid wsp:val=&quot;004E0760&quot;/&gt;&lt;wsp:rsid wsp:val=&quot;004E26DF&quot;/&gt;&lt;wsp:rsid wsp:val=&quot;004E382E&quot;/&gt;&lt;wsp:rsid wsp:val=&quot;004E5A3B&quot;/&gt;&lt;wsp:rsid wsp:val=&quot;004E7D63&quot;/&gt;&lt;wsp:rsid wsp:val=&quot;004F5B23&quot;/&gt;&lt;wsp:rsid wsp:val=&quot;004F6491&quot;/&gt;&lt;wsp:rsid wsp:val=&quot;004F6805&quot;/&gt;&lt;wsp:rsid wsp:val=&quot;004F75A4&quot;/&gt;&lt;wsp:rsid wsp:val=&quot;00503483&quot;/&gt;&lt;wsp:rsid wsp:val=&quot;0050674F&quot;/&gt;&lt;wsp:rsid wsp:val=&quot;0051068C&quot;/&gt;&lt;wsp:rsid wsp:val=&quot;00513D6B&quot;/&gt;&lt;wsp:rsid wsp:val=&quot;005162E5&quot;/&gt;&lt;wsp:rsid wsp:val=&quot;00521838&quot;/&gt;&lt;wsp:rsid wsp:val=&quot;00522A7B&quot;/&gt;&lt;wsp:rsid wsp:val=&quot;0053048A&quot;/&gt;&lt;wsp:rsid wsp:val=&quot;00534071&quot;/&gt;&lt;wsp:rsid wsp:val=&quot;00541220&quot;/&gt;&lt;wsp:rsid wsp:val=&quot;0054396B&quot;/&gt;&lt;wsp:rsid wsp:val=&quot;00543A56&quot;/&gt;&lt;wsp:rsid wsp:val=&quot;0054561C&quot;/&gt;&lt;wsp:rsid wsp:val=&quot;00545ABE&quot;/&gt;&lt;wsp:rsid wsp:val=&quot;00546502&quot;/&gt;&lt;wsp:rsid wsp:val=&quot;0054765B&quot;/&gt;&lt;wsp:rsid wsp:val=&quot;00547E1B&quot;/&gt;&lt;wsp:rsid wsp:val=&quot;00551463&quot;/&gt;&lt;wsp:rsid wsp:val=&quot;00553D42&quot;/&gt;&lt;wsp:rsid wsp:val=&quot;00555F78&quot;/&gt;&lt;wsp:rsid wsp:val=&quot;00556931&quot;/&gt;&lt;wsp:rsid wsp:val=&quot;0056066C&quot;/&gt;&lt;wsp:rsid wsp:val=&quot;005607E3&quot;/&gt;&lt;wsp:rsid wsp:val=&quot;00560E99&quot;/&gt;&lt;wsp:rsid wsp:val=&quot;0056183F&quot;/&gt;&lt;wsp:rsid wsp:val=&quot;005631BF&quot;/&gt;&lt;wsp:rsid wsp:val=&quot;005669FD&quot;/&gt;&lt;wsp:rsid wsp:val=&quot;0057272D&quot;/&gt;&lt;wsp:rsid wsp:val=&quot;00572BD7&quot;/&gt;&lt;wsp:rsid wsp:val=&quot;005740A1&quot;/&gt;&lt;wsp:rsid wsp:val=&quot;005741EF&quot;/&gt;&lt;wsp:rsid wsp:val=&quot;00576A85&quot;/&gt;&lt;wsp:rsid wsp:val=&quot;00577C1C&quot;/&gt;&lt;wsp:rsid wsp:val=&quot;00581D99&quot;/&gt;&lt;wsp:rsid wsp:val=&quot;00582727&quot;/&gt;&lt;wsp:rsid wsp:val=&quot;00586D51&quot;/&gt;&lt;wsp:rsid wsp:val=&quot;00591E7C&quot;/&gt;&lt;wsp:rsid wsp:val=&quot;005978F0&quot;/&gt;&lt;wsp:rsid wsp:val=&quot;005A1B5F&quot;/&gt;&lt;wsp:rsid wsp:val=&quot;005A2EA7&quot;/&gt;&lt;wsp:rsid wsp:val=&quot;005A626E&quot;/&gt;&lt;wsp:rsid wsp:val=&quot;005A7758&quot;/&gt;&lt;wsp:rsid wsp:val=&quot;005B21D7&quot;/&gt;&lt;wsp:rsid wsp:val=&quot;005C1D07&quot;/&gt;&lt;wsp:rsid wsp:val=&quot;005C1F7A&quot;/&gt;&lt;wsp:rsid wsp:val=&quot;005C2258&quot;/&gt;&lt;wsp:rsid wsp:val=&quot;005C311E&quot;/&gt;&lt;wsp:rsid wsp:val=&quot;005C4568&quot;/&gt;&lt;wsp:rsid wsp:val=&quot;005C462E&quot;/&gt;&lt;wsp:rsid wsp:val=&quot;005C4D2B&quot;/&gt;&lt;wsp:rsid wsp:val=&quot;005D32D9&quot;/&gt;&lt;wsp:rsid wsp:val=&quot;005D396B&quot;/&gt;&lt;wsp:rsid wsp:val=&quot;005D4270&quot;/&gt;&lt;wsp:rsid wsp:val=&quot;005D48F7&quot;/&gt;&lt;wsp:rsid wsp:val=&quot;005E113C&quot;/&gt;&lt;wsp:rsid wsp:val=&quot;005E1D63&quot;/&gt;&lt;wsp:rsid wsp:val=&quot;005E397A&quot;/&gt;&lt;wsp:rsid wsp:val=&quot;005F39BF&quot;/&gt;&lt;wsp:rsid wsp:val=&quot;005F4FAA&quot;/&gt;&lt;wsp:rsid wsp:val=&quot;005F6830&quot;/&gt;&lt;wsp:rsid wsp:val=&quot;00603245&quot;/&gt;&lt;wsp:rsid wsp:val=&quot;00604FA8&quot;/&gt;&lt;wsp:rsid wsp:val=&quot;00607537&quot;/&gt;&lt;wsp:rsid wsp:val=&quot;00613481&quot;/&gt;&lt;wsp:rsid wsp:val=&quot;00614BE2&quot;/&gt;&lt;wsp:rsid wsp:val=&quot;006154C6&quot;/&gt;&lt;wsp:rsid wsp:val=&quot;00615C9D&quot;/&gt;&lt;wsp:rsid wsp:val=&quot;00617E9F&quot;/&gt;&lt;wsp:rsid wsp:val=&quot;00620614&quot;/&gt;&lt;wsp:rsid wsp:val=&quot;00621484&quot;/&gt;&lt;wsp:rsid wsp:val=&quot;0062396D&quot;/&gt;&lt;wsp:rsid wsp:val=&quot;00625A8C&quot;/&gt;&lt;wsp:rsid wsp:val=&quot;00625E64&quot;/&gt;&lt;wsp:rsid wsp:val=&quot;00631330&quot;/&gt;&lt;wsp:rsid wsp:val=&quot;0063222E&quot;/&gt;&lt;wsp:rsid wsp:val=&quot;006328C7&quot;/&gt;&lt;wsp:rsid wsp:val=&quot;00632E0E&quot;/&gt;&lt;wsp:rsid wsp:val=&quot;00636A72&quot;/&gt;&lt;wsp:rsid wsp:val=&quot;00641CF0&quot;/&gt;&lt;wsp:rsid wsp:val=&quot;00643755&quot;/&gt;&lt;wsp:rsid wsp:val=&quot;00643EBB&quot;/&gt;&lt;wsp:rsid wsp:val=&quot;006448C3&quot;/&gt;&lt;wsp:rsid wsp:val=&quot;006452BD&quot;/&gt;&lt;wsp:rsid wsp:val=&quot;00646305&quot;/&gt;&lt;wsp:rsid wsp:val=&quot;00654C91&quot;/&gt;&lt;wsp:rsid wsp:val=&quot;006551E8&quot;/&gt;&lt;wsp:rsid wsp:val=&quot;00657F10&quot;/&gt;&lt;wsp:rsid wsp:val=&quot;006607EC&quot;/&gt;&lt;wsp:rsid wsp:val=&quot;0066238C&quot;/&gt;&lt;wsp:rsid wsp:val=&quot;00663110&quot;/&gt;&lt;wsp:rsid wsp:val=&quot;006664E2&quot;/&gt;&lt;wsp:rsid wsp:val=&quot;00670494&quot;/&gt;&lt;wsp:rsid wsp:val=&quot;00670D7F&quot;/&gt;&lt;wsp:rsid wsp:val=&quot;00671CE6&quot;/&gt;&lt;wsp:rsid wsp:val=&quot;006720AB&quot;/&gt;&lt;wsp:rsid wsp:val=&quot;006755F2&quot;/&gt;&lt;wsp:rsid wsp:val=&quot;0068428C&quot;/&gt;&lt;wsp:rsid wsp:val=&quot;00684BE3&quot;/&gt;&lt;wsp:rsid wsp:val=&quot;00684C17&quot;/&gt;&lt;wsp:rsid wsp:val=&quot;00686234&quot;/&gt;&lt;wsp:rsid wsp:val=&quot;00687F71&quot;/&gt;&lt;wsp:rsid wsp:val=&quot;0069367B&quot;/&gt;&lt;wsp:rsid wsp:val=&quot;0069377C&quot;/&gt;&lt;wsp:rsid wsp:val=&quot;00694D5C&quot;/&gt;&lt;wsp:rsid wsp:val=&quot;00697242&quot;/&gt;&lt;wsp:rsid wsp:val=&quot;006A1BC0&quot;/&gt;&lt;wsp:rsid wsp:val=&quot;006A4D8D&quot;/&gt;&lt;wsp:rsid wsp:val=&quot;006A6CAF&quot;/&gt;&lt;wsp:rsid wsp:val=&quot;006B030D&quot;/&gt;&lt;wsp:rsid wsp:val=&quot;006B0FEE&quot;/&gt;&lt;wsp:rsid wsp:val=&quot;006B51FF&quot;/&gt;&lt;wsp:rsid wsp:val=&quot;006B6C5D&quot;/&gt;&lt;wsp:rsid wsp:val=&quot;006C44C4&quot;/&gt;&lt;wsp:rsid wsp:val=&quot;006C589F&quot;/&gt;&lt;wsp:rsid wsp:val=&quot;006C64FC&quot;/&gt;&lt;wsp:rsid wsp:val=&quot;006C6CC7&quot;/&gt;&lt;wsp:rsid wsp:val=&quot;006C7221&quot;/&gt;&lt;wsp:rsid wsp:val=&quot;006D0ECB&quot;/&gt;&lt;wsp:rsid wsp:val=&quot;006D29CC&quot;/&gt;&lt;wsp:rsid wsp:val=&quot;006D394C&quot;/&gt;&lt;wsp:rsid wsp:val=&quot;006D5794&quot;/&gt;&lt;wsp:rsid wsp:val=&quot;006D5942&quot;/&gt;&lt;wsp:rsid wsp:val=&quot;006D763E&quot;/&gt;&lt;wsp:rsid wsp:val=&quot;006D78E8&quot;/&gt;&lt;wsp:rsid wsp:val=&quot;006E0736&quot;/&gt;&lt;wsp:rsid wsp:val=&quot;006E1798&quot;/&gt;&lt;wsp:rsid wsp:val=&quot;006E2122&quot;/&gt;&lt;wsp:rsid wsp:val=&quot;006E40F9&quot;/&gt;&lt;wsp:rsid wsp:val=&quot;006E4BCB&quot;/&gt;&lt;wsp:rsid wsp:val=&quot;006E57FE&quot;/&gt;&lt;wsp:rsid wsp:val=&quot;006E793A&quot;/&gt;&lt;wsp:rsid wsp:val=&quot;006F4191&quot;/&gt;&lt;wsp:rsid wsp:val=&quot;006F523C&quot;/&gt;&lt;wsp:rsid wsp:val=&quot;006F677A&quot;/&gt;&lt;wsp:rsid wsp:val=&quot;00700878&quot;/&gt;&lt;wsp:rsid wsp:val=&quot;00701A92&quot;/&gt;&lt;wsp:rsid wsp:val=&quot;00703315&quot;/&gt;&lt;wsp:rsid wsp:val=&quot;00704418&quot;/&gt;&lt;wsp:rsid wsp:val=&quot;00705DD0&quot;/&gt;&lt;wsp:rsid wsp:val=&quot;00711266&quot;/&gt;&lt;wsp:rsid wsp:val=&quot;0071659C&quot;/&gt;&lt;wsp:rsid wsp:val=&quot;00716F8F&quot;/&gt;&lt;wsp:rsid wsp:val=&quot;0072055A&quot;/&gt;&lt;wsp:rsid wsp:val=&quot;00721D58&quot;/&gt;&lt;wsp:rsid wsp:val=&quot;00727587&quot;/&gt;&lt;wsp:rsid wsp:val=&quot;007306E2&quot;/&gt;&lt;wsp:rsid wsp:val=&quot;007310E8&quot;/&gt;&lt;wsp:rsid wsp:val=&quot;00733210&quot;/&gt;&lt;wsp:rsid wsp:val=&quot;00734A9A&quot;/&gt;&lt;wsp:rsid wsp:val=&quot;00734FFE&quot;/&gt;&lt;wsp:rsid wsp:val=&quot;00736BE0&quot;/&gt;&lt;wsp:rsid wsp:val=&quot;007430E1&quot;/&gt;&lt;wsp:rsid wsp:val=&quot;00745209&quot;/&gt;&lt;wsp:rsid wsp:val=&quot;00745E86&quot;/&gt;&lt;wsp:rsid wsp:val=&quot;00747129&quot;/&gt;&lt;wsp:rsid wsp:val=&quot;007473E2&quot;/&gt;&lt;wsp:rsid wsp:val=&quot;00750A37&quot;/&gt;&lt;wsp:rsid wsp:val=&quot;007513E0&quot;/&gt;&lt;wsp:rsid wsp:val=&quot;0075198A&quot;/&gt;&lt;wsp:rsid wsp:val=&quot;00754841&quot;/&gt;&lt;wsp:rsid wsp:val=&quot;0075587A&quot;/&gt;&lt;wsp:rsid wsp:val=&quot;007578E5&quot;/&gt;&lt;wsp:rsid wsp:val=&quot;00762AC3&quot;/&gt;&lt;wsp:rsid wsp:val=&quot;00763AA3&quot;/&gt;&lt;wsp:rsid wsp:val=&quot;007654E6&quot;/&gt;&lt;wsp:rsid wsp:val=&quot;0076611F&quot;/&gt;&lt;wsp:rsid wsp:val=&quot;0076724F&quot;/&gt;&lt;wsp:rsid wsp:val=&quot;00771CC6&quot;/&gt;&lt;wsp:rsid wsp:val=&quot;00771D63&quot;/&gt;&lt;wsp:rsid wsp:val=&quot;007744A7&quot;/&gt;&lt;wsp:rsid wsp:val=&quot;007756FC&quot;/&gt;&lt;wsp:rsid wsp:val=&quot;0077594E&quot;/&gt;&lt;wsp:rsid wsp:val=&quot;007832BE&quot;/&gt;&lt;wsp:rsid wsp:val=&quot;0078402A&quot;/&gt;&lt;wsp:rsid wsp:val=&quot;00784E61&quot;/&gt;&lt;wsp:rsid wsp:val=&quot;00786DF1&quot;/&gt;&lt;wsp:rsid wsp:val=&quot;007875D6&quot;/&gt;&lt;wsp:rsid wsp:val=&quot;00790496&quot;/&gt;&lt;wsp:rsid wsp:val=&quot;0079396A&quot;/&gt;&lt;wsp:rsid wsp:val=&quot;00794774&quot;/&gt;&lt;wsp:rsid wsp:val=&quot;007A1697&quot;/&gt;&lt;wsp:rsid wsp:val=&quot;007A2CDC&quot;/&gt;&lt;wsp:rsid wsp:val=&quot;007A5059&quot;/&gt;&lt;wsp:rsid wsp:val=&quot;007A511B&quot;/&gt;&lt;wsp:rsid wsp:val=&quot;007A5A15&quot;/&gt;&lt;wsp:rsid wsp:val=&quot;007A6C19&quot;/&gt;&lt;wsp:rsid wsp:val=&quot;007A6E75&quot;/&gt;&lt;wsp:rsid wsp:val=&quot;007A75D7&quot;/&gt;&lt;wsp:rsid wsp:val=&quot;007B02A9&quot;/&gt;&lt;wsp:rsid wsp:val=&quot;007B086A&quot;/&gt;&lt;wsp:rsid wsp:val=&quot;007C00BA&quot;/&gt;&lt;wsp:rsid wsp:val=&quot;007C0F73&quot;/&gt;&lt;wsp:rsid wsp:val=&quot;007C143C&quot;/&gt;&lt;wsp:rsid wsp:val=&quot;007C2882&quot;/&gt;&lt;wsp:rsid wsp:val=&quot;007C2C8B&quot;/&gt;&lt;wsp:rsid wsp:val=&quot;007C2F42&quot;/&gt;&lt;wsp:rsid wsp:val=&quot;007C5272&quot;/&gt;&lt;wsp:rsid wsp:val=&quot;007C7BB4&quot;/&gt;&lt;wsp:rsid wsp:val=&quot;007D246E&quot;/&gt;&lt;wsp:rsid wsp:val=&quot;007D5DD3&quot;/&gt;&lt;wsp:rsid wsp:val=&quot;007E0767&quot;/&gt;&lt;wsp:rsid wsp:val=&quot;007E52B6&quot;/&gt;&lt;wsp:rsid wsp:val=&quot;007F331B&quot;/&gt;&lt;wsp:rsid wsp:val=&quot;007F42AF&quot;/&gt;&lt;wsp:rsid wsp:val=&quot;007F6250&quot;/&gt;&lt;wsp:rsid wsp:val=&quot;007F78A2&quot;/&gt;&lt;wsp:rsid wsp:val=&quot;007F7925&quot;/&gt;&lt;wsp:rsid wsp:val=&quot;00800422&quot;/&gt;&lt;wsp:rsid wsp:val=&quot;00802225&quot;/&gt;&lt;wsp:rsid wsp:val=&quot;00803F65&quot;/&gt;&lt;wsp:rsid wsp:val=&quot;00803FBE&quot;/&gt;&lt;wsp:rsid wsp:val=&quot;0080753A&quot;/&gt;&lt;wsp:rsid wsp:val=&quot;00813B57&quot;/&gt;&lt;wsp:rsid wsp:val=&quot;008171D0&quot;/&gt;&lt;wsp:rsid wsp:val=&quot;00821707&quot;/&gt;&lt;wsp:rsid wsp:val=&quot;00821F59&quot;/&gt;&lt;wsp:rsid wsp:val=&quot;00821FA4&quot;/&gt;&lt;wsp:rsid wsp:val=&quot;0082270E&quot;/&gt;&lt;wsp:rsid wsp:val=&quot;008234D8&quot;/&gt;&lt;wsp:rsid wsp:val=&quot;0084236C&quot;/&gt;&lt;wsp:rsid wsp:val=&quot;0084290F&quot;/&gt;&lt;wsp:rsid wsp:val=&quot;00843385&quot;/&gt;&lt;wsp:rsid wsp:val=&quot;00846723&quot;/&gt;&lt;wsp:rsid wsp:val=&quot;00847A5B&quot;/&gt;&lt;wsp:rsid wsp:val=&quot;00853895&quot;/&gt;&lt;wsp:rsid wsp:val=&quot;008550BA&quot;/&gt;&lt;wsp:rsid wsp:val=&quot;008639DF&quot;/&gt;&lt;wsp:rsid wsp:val=&quot;008709A3&quot;/&gt;&lt;wsp:rsid wsp:val=&quot;00874691&quot;/&gt;&lt;wsp:rsid wsp:val=&quot;00875E14&quot;/&gt;&lt;wsp:rsid wsp:val=&quot;00876334&quot;/&gt;&lt;wsp:rsid wsp:val=&quot;00881063&quot;/&gt;&lt;wsp:rsid wsp:val=&quot;00882866&quot;/&gt;&lt;wsp:rsid wsp:val=&quot;0088426E&quot;/&gt;&lt;wsp:rsid wsp:val=&quot;008857C2&quot;/&gt;&lt;wsp:rsid wsp:val=&quot;008877F3&quot;/&gt;&lt;wsp:rsid wsp:val=&quot;00891879&quot;/&gt;&lt;wsp:rsid wsp:val=&quot;008928B1&quot;/&gt;&lt;wsp:rsid wsp:val=&quot;0089445A&quot;/&gt;&lt;wsp:rsid wsp:val=&quot;008A5A81&quot;/&gt;&lt;wsp:rsid wsp:val=&quot;008B3464&quot;/&gt;&lt;wsp:rsid wsp:val=&quot;008B50C6&quot;/&gt;&lt;wsp:rsid wsp:val=&quot;008B5D12&quot;/&gt;&lt;wsp:rsid wsp:val=&quot;008C0DCD&quot;/&gt;&lt;wsp:rsid wsp:val=&quot;008C1ADA&quot;/&gt;&lt;wsp:rsid wsp:val=&quot;008C6EF9&quot;/&gt;&lt;wsp:rsid wsp:val=&quot;008C7096&quot;/&gt;&lt;wsp:rsid wsp:val=&quot;008D1C99&quot;/&gt;&lt;wsp:rsid wsp:val=&quot;008D6F96&quot;/&gt;&lt;wsp:rsid wsp:val=&quot;008E2F91&quot;/&gt;&lt;wsp:rsid wsp:val=&quot;008E3FE7&quot;/&gt;&lt;wsp:rsid wsp:val=&quot;008E4168&quot;/&gt;&lt;wsp:rsid wsp:val=&quot;008F26E9&quot;/&gt;&lt;wsp:rsid wsp:val=&quot;008F3F91&quot;/&gt;&lt;wsp:rsid wsp:val=&quot;008F4892&quot;/&gt;&lt;wsp:rsid wsp:val=&quot;008F7B63&quot;/&gt;&lt;wsp:rsid wsp:val=&quot;00900A53&quot;/&gt;&lt;wsp:rsid wsp:val=&quot;009016BD&quot;/&gt;&lt;wsp:rsid wsp:val=&quot;00902BD0&quot;/&gt;&lt;wsp:rsid wsp:val=&quot;00906713&quot;/&gt;&lt;wsp:rsid wsp:val=&quot;00911585&quot;/&gt;&lt;wsp:rsid wsp:val=&quot;009140BC&quot;/&gt;&lt;wsp:rsid wsp:val=&quot;009145DA&quot;/&gt;&lt;wsp:rsid wsp:val=&quot;00915375&quot;/&gt;&lt;wsp:rsid wsp:val=&quot;009172F9&quot;/&gt;&lt;wsp:rsid wsp:val=&quot;009179F0&quot;/&gt;&lt;wsp:rsid wsp:val=&quot;00917A05&quot;/&gt;&lt;wsp:rsid wsp:val=&quot;0092018F&quot;/&gt;&lt;wsp:rsid wsp:val=&quot;0092170E&quot;/&gt;&lt;wsp:rsid wsp:val=&quot;00921737&quot;/&gt;&lt;wsp:rsid wsp:val=&quot;0092190B&quot;/&gt;&lt;wsp:rsid wsp:val=&quot;00922FAA&quot;/&gt;&lt;wsp:rsid wsp:val=&quot;0092532E&quot;/&gt;&lt;wsp:rsid wsp:val=&quot;00925917&quot;/&gt;&lt;wsp:rsid wsp:val=&quot;00931A08&quot;/&gt;&lt;wsp:rsid wsp:val=&quot;00936327&quot;/&gt;&lt;wsp:rsid wsp:val=&quot;00943832&quot;/&gt;&lt;wsp:rsid wsp:val=&quot;00943F47&quot;/&gt;&lt;wsp:rsid wsp:val=&quot;00945474&quot;/&gt;&lt;wsp:rsid wsp:val=&quot;0094553E&quot;/&gt;&lt;wsp:rsid wsp:val=&quot;00952BD5&quot;/&gt;&lt;wsp:rsid wsp:val=&quot;009606C8&quot;/&gt;&lt;wsp:rsid wsp:val=&quot;009608F8&quot;/&gt;&lt;wsp:rsid wsp:val=&quot;009626F0&quot;/&gt;&lt;wsp:rsid wsp:val=&quot;00966847&quot;/&gt;&lt;wsp:rsid wsp:val=&quot;00966C62&quot;/&gt;&lt;wsp:rsid wsp:val=&quot;0097541E&quot;/&gt;&lt;wsp:rsid wsp:val=&quot;009801B8&quot;/&gt;&lt;wsp:rsid wsp:val=&quot;009812EE&quot;/&gt;&lt;wsp:rsid wsp:val=&quot;009813F6&quot;/&gt;&lt;wsp:rsid wsp:val=&quot;00982F55&quot;/&gt;&lt;wsp:rsid wsp:val=&quot;00983EF0&quot;/&gt;&lt;wsp:rsid wsp:val=&quot;00987461&quot;/&gt;&lt;wsp:rsid wsp:val=&quot;00997A83&quot;/&gt;&lt;wsp:rsid wsp:val=&quot;009A0F68&quot;/&gt;&lt;wsp:rsid wsp:val=&quot;009A291D&quot;/&gt;&lt;wsp:rsid wsp:val=&quot;009A48D3&quot;/&gt;&lt;wsp:rsid wsp:val=&quot;009A5D2D&quot;/&gt;&lt;wsp:rsid wsp:val=&quot;009A702F&quot;/&gt;&lt;wsp:rsid wsp:val=&quot;009A760F&quot;/&gt;&lt;wsp:rsid wsp:val=&quot;009B1DB5&quot;/&gt;&lt;wsp:rsid wsp:val=&quot;009B3805&quot;/&gt;&lt;wsp:rsid wsp:val=&quot;009B61F1&quot;/&gt;&lt;wsp:rsid wsp:val=&quot;009C129C&quot;/&gt;&lt;wsp:rsid wsp:val=&quot;009C2076&quot;/&gt;&lt;wsp:rsid wsp:val=&quot;009C4D33&quot;/&gt;&lt;wsp:rsid wsp:val=&quot;009C51B7&quot;/&gt;&lt;wsp:rsid wsp:val=&quot;009C6951&quot;/&gt;&lt;wsp:rsid wsp:val=&quot;009D1251&quot;/&gt;&lt;wsp:rsid wsp:val=&quot;009E0711&quot;/&gt;&lt;wsp:rsid wsp:val=&quot;009E7FFB&quot;/&gt;&lt;wsp:rsid wsp:val=&quot;009F081E&quot;/&gt;&lt;wsp:rsid wsp:val=&quot;009F169E&quot;/&gt;&lt;wsp:rsid wsp:val=&quot;009F1DED&quot;/&gt;&lt;wsp:rsid wsp:val=&quot;009F35EB&quot;/&gt;&lt;wsp:rsid wsp:val=&quot;009F451A&quot;/&gt;&lt;wsp:rsid wsp:val=&quot;009F61A4&quot;/&gt;&lt;wsp:rsid wsp:val=&quot;00A009EE&quot;/&gt;&lt;wsp:rsid wsp:val=&quot;00A01DC7&quot;/&gt;&lt;wsp:rsid wsp:val=&quot;00A13091&quot;/&gt;&lt;wsp:rsid wsp:val=&quot;00A134BF&quot;/&gt;&lt;wsp:rsid wsp:val=&quot;00A13629&quot;/&gt;&lt;wsp:rsid wsp:val=&quot;00A2199A&quot;/&gt;&lt;wsp:rsid wsp:val=&quot;00A22756&quot;/&gt;&lt;wsp:rsid wsp:val=&quot;00A228A0&quot;/&gt;&lt;wsp:rsid wsp:val=&quot;00A2483E&quot;/&gt;&lt;wsp:rsid wsp:val=&quot;00A25930&quot;/&gt;&lt;wsp:rsid wsp:val=&quot;00A2795F&quot;/&gt;&lt;wsp:rsid wsp:val=&quot;00A31470&quot;/&gt;&lt;wsp:rsid wsp:val=&quot;00A33546&quot;/&gt;&lt;wsp:rsid wsp:val=&quot;00A33ACB&quot;/&gt;&lt;wsp:rsid wsp:val=&quot;00A33DAA&quot;/&gt;&lt;wsp:rsid wsp:val=&quot;00A35CED&quot;/&gt;&lt;wsp:rsid wsp:val=&quot;00A421AB&quot;/&gt;&lt;wsp:rsid wsp:val=&quot;00A422D7&quot;/&gt;&lt;wsp:rsid wsp:val=&quot;00A43FEA&quot;/&gt;&lt;wsp:rsid wsp:val=&quot;00A45B4A&quot;/&gt;&lt;wsp:rsid wsp:val=&quot;00A51441&quot;/&gt;&lt;wsp:rsid wsp:val=&quot;00A51771&quot;/&gt;&lt;wsp:rsid wsp:val=&quot;00A52C50&quot;/&gt;&lt;wsp:rsid wsp:val=&quot;00A53A8A&quot;/&gt;&lt;wsp:rsid wsp:val=&quot;00A53ED1&quot;/&gt;&lt;wsp:rsid wsp:val=&quot;00A61EA7&quot;/&gt;&lt;wsp:rsid wsp:val=&quot;00A63461&quot;/&gt;&lt;wsp:rsid wsp:val=&quot;00A649B2&quot;/&gt;&lt;wsp:rsid wsp:val=&quot;00A66B30&quot;/&gt;&lt;wsp:rsid wsp:val=&quot;00A66B3A&quot;/&gt;&lt;wsp:rsid wsp:val=&quot;00A734FD&quot;/&gt;&lt;wsp:rsid wsp:val=&quot;00A74E23&quot;/&gt;&lt;wsp:rsid wsp:val=&quot;00A80F1F&quot;/&gt;&lt;wsp:rsid wsp:val=&quot;00A8705F&quot;/&gt;&lt;wsp:rsid wsp:val=&quot;00A90881&quot;/&gt;&lt;wsp:rsid wsp:val=&quot;00A91DF8&quot;/&gt;&lt;wsp:rsid wsp:val=&quot;00A93272&quot;/&gt;&lt;wsp:rsid wsp:val=&quot;00A96DCA&quot;/&gt;&lt;wsp:rsid wsp:val=&quot;00AA043B&quot;/&gt;&lt;wsp:rsid wsp:val=&quot;00AA2D09&quot;/&gt;&lt;wsp:rsid wsp:val=&quot;00AA54C9&quot;/&gt;&lt;wsp:rsid wsp:val=&quot;00AA701F&quot;/&gt;&lt;wsp:rsid wsp:val=&quot;00AA75A0&quot;/&gt;&lt;wsp:rsid wsp:val=&quot;00AB104F&quot;/&gt;&lt;wsp:rsid wsp:val=&quot;00AB1112&quot;/&gt;&lt;wsp:rsid wsp:val=&quot;00AB30E9&quot;/&gt;&lt;wsp:rsid wsp:val=&quot;00AB339E&quot;/&gt;&lt;wsp:rsid wsp:val=&quot;00AB3F44&quot;/&gt;&lt;wsp:rsid wsp:val=&quot;00AB616B&quot;/&gt;&lt;wsp:rsid wsp:val=&quot;00AC3098&quot;/&gt;&lt;wsp:rsid wsp:val=&quot;00AC44F5&quot;/&gt;&lt;wsp:rsid wsp:val=&quot;00AC6915&quot;/&gt;&lt;wsp:rsid wsp:val=&quot;00AC75F4&quot;/&gt;&lt;wsp:rsid wsp:val=&quot;00AD1BB2&quot;/&gt;&lt;wsp:rsid wsp:val=&quot;00AD1BFC&quot;/&gt;&lt;wsp:rsid wsp:val=&quot;00AD7D04&quot;/&gt;&lt;wsp:rsid wsp:val=&quot;00AE2110&quot;/&gt;&lt;wsp:rsid wsp:val=&quot;00AE24CD&quot;/&gt;&lt;wsp:rsid wsp:val=&quot;00AE2D18&quot;/&gt;&lt;wsp:rsid wsp:val=&quot;00AE4F43&quot;/&gt;&lt;wsp:rsid wsp:val=&quot;00AF3757&quot;/&gt;&lt;wsp:rsid wsp:val=&quot;00B00BF9&quot;/&gt;&lt;wsp:rsid wsp:val=&quot;00B0261B&quot;/&gt;&lt;wsp:rsid wsp:val=&quot;00B14C5B&quot;/&gt;&lt;wsp:rsid wsp:val=&quot;00B21CFC&quot;/&gt;&lt;wsp:rsid wsp:val=&quot;00B235B8&quot;/&gt;&lt;wsp:rsid wsp:val=&quot;00B23955&quot;/&gt;&lt;wsp:rsid wsp:val=&quot;00B23C7E&quot;/&gt;&lt;wsp:rsid wsp:val=&quot;00B25C88&quot;/&gt;&lt;wsp:rsid wsp:val=&quot;00B25D4D&quot;/&gt;&lt;wsp:rsid wsp:val=&quot;00B26ABB&quot;/&gt;&lt;wsp:rsid wsp:val=&quot;00B33223&quot;/&gt;&lt;wsp:rsid wsp:val=&quot;00B336AA&quot;/&gt;&lt;wsp:rsid wsp:val=&quot;00B33966&quot;/&gt;&lt;wsp:rsid wsp:val=&quot;00B33B73&quot;/&gt;&lt;wsp:rsid wsp:val=&quot;00B33F19&quot;/&gt;&lt;wsp:rsid wsp:val=&quot;00B362C5&quot;/&gt;&lt;wsp:rsid wsp:val=&quot;00B36ACB&quot;/&gt;&lt;wsp:rsid wsp:val=&quot;00B42BAC&quot;/&gt;&lt;wsp:rsid wsp:val=&quot;00B42D7F&quot;/&gt;&lt;wsp:rsid wsp:val=&quot;00B45F91&quot;/&gt;&lt;wsp:rsid wsp:val=&quot;00B4642C&quot;/&gt;&lt;wsp:rsid wsp:val=&quot;00B46645&quot;/&gt;&lt;wsp:rsid wsp:val=&quot;00B47188&quot;/&gt;&lt;wsp:rsid wsp:val=&quot;00B52659&quot;/&gt;&lt;wsp:rsid wsp:val=&quot;00B53F04&quot;/&gt;&lt;wsp:rsid wsp:val=&quot;00B54934&quot;/&gt;&lt;wsp:rsid wsp:val=&quot;00B55225&quot;/&gt;&lt;wsp:rsid wsp:val=&quot;00B5625F&quot;/&gt;&lt;wsp:rsid wsp:val=&quot;00B63E7C&quot;/&gt;&lt;wsp:rsid wsp:val=&quot;00B64C28&quot;/&gt;&lt;wsp:rsid wsp:val=&quot;00B72F9D&quot;/&gt;&lt;wsp:rsid wsp:val=&quot;00B73247&quot;/&gt;&lt;wsp:rsid wsp:val=&quot;00B758E4&quot;/&gt;&lt;wsp:rsid wsp:val=&quot;00B80D78&quot;/&gt;&lt;wsp:rsid wsp:val=&quot;00B83C2D&quot;/&gt;&lt;wsp:rsid wsp:val=&quot;00B85BE0&quot;/&gt;&lt;wsp:rsid wsp:val=&quot;00B862E4&quot;/&gt;&lt;wsp:rsid wsp:val=&quot;00B864AF&quot;/&gt;&lt;wsp:rsid wsp:val=&quot;00B86D6F&quot;/&gt;&lt;wsp:rsid wsp:val=&quot;00B963A2&quot;/&gt;&lt;wsp:rsid wsp:val=&quot;00B9798D&quot;/&gt;&lt;wsp:rsid wsp:val=&quot;00BA50C9&quot;/&gt;&lt;wsp:rsid wsp:val=&quot;00BA525B&quot;/&gt;&lt;wsp:rsid wsp:val=&quot;00BA6A0C&quot;/&gt;&lt;wsp:rsid wsp:val=&quot;00BA6BAF&quot;/&gt;&lt;wsp:rsid wsp:val=&quot;00BB1A1A&quot;/&gt;&lt;wsp:rsid wsp:val=&quot;00BB2956&quot;/&gt;&lt;wsp:rsid wsp:val=&quot;00BB3170&quot;/&gt;&lt;wsp:rsid wsp:val=&quot;00BB3397&quot;/&gt;&lt;wsp:rsid wsp:val=&quot;00BB526B&quot;/&gt;&lt;wsp:rsid wsp:val=&quot;00BB5B00&quot;/&gt;&lt;wsp:rsid wsp:val=&quot;00BB6566&quot;/&gt;&lt;wsp:rsid wsp:val=&quot;00BC38B9&quot;/&gt;&lt;wsp:rsid wsp:val=&quot;00BD30C9&quot;/&gt;&lt;wsp:rsid wsp:val=&quot;00BD78EC&quot;/&gt;&lt;wsp:rsid wsp:val=&quot;00BE1675&quot;/&gt;&lt;wsp:rsid wsp:val=&quot;00BE2B70&quot;/&gt;&lt;wsp:rsid wsp:val=&quot;00BF0D22&quot;/&gt;&lt;wsp:rsid wsp:val=&quot;00BF1F4E&quot;/&gt;&lt;wsp:rsid wsp:val=&quot;00BF55DE&quot;/&gt;&lt;wsp:rsid wsp:val=&quot;00BF65A4&quot;/&gt;&lt;wsp:rsid wsp:val=&quot;00C0056B&quot;/&gt;&lt;wsp:rsid wsp:val=&quot;00C048C6&quot;/&gt;&lt;wsp:rsid wsp:val=&quot;00C05139&quot;/&gt;&lt;wsp:rsid wsp:val=&quot;00C0525E&quot;/&gt;&lt;wsp:rsid wsp:val=&quot;00C10A4F&quot;/&gt;&lt;wsp:rsid wsp:val=&quot;00C10DB0&quot;/&gt;&lt;wsp:rsid wsp:val=&quot;00C1185D&quot;/&gt;&lt;wsp:rsid wsp:val=&quot;00C20424&quot;/&gt;&lt;wsp:rsid wsp:val=&quot;00C21576&quot;/&gt;&lt;wsp:rsid wsp:val=&quot;00C274D5&quot;/&gt;&lt;wsp:rsid wsp:val=&quot;00C3529F&quot;/&gt;&lt;wsp:rsid wsp:val=&quot;00C362CF&quot;/&gt;&lt;wsp:rsid wsp:val=&quot;00C368A6&quot;/&gt;&lt;wsp:rsid wsp:val=&quot;00C40B65&quot;/&gt;&lt;wsp:rsid wsp:val=&quot;00C4297A&quot;/&gt;&lt;wsp:rsid wsp:val=&quot;00C4360A&quot;/&gt;&lt;wsp:rsid wsp:val=&quot;00C445D9&quot;/&gt;&lt;wsp:rsid wsp:val=&quot;00C51DB6&quot;/&gt;&lt;wsp:rsid wsp:val=&quot;00C5748D&quot;/&gt;&lt;wsp:rsid wsp:val=&quot;00C617F2&quot;/&gt;&lt;wsp:rsid wsp:val=&quot;00C67080&quot;/&gt;&lt;wsp:rsid wsp:val=&quot;00C6784D&quot;/&gt;&lt;wsp:rsid wsp:val=&quot;00C67CF8&quot;/&gt;&lt;wsp:rsid wsp:val=&quot;00C758FE&quot;/&gt;&lt;wsp:rsid wsp:val=&quot;00C76AFA&quot;/&gt;&lt;wsp:rsid wsp:val=&quot;00C835D8&quot;/&gt;&lt;wsp:rsid wsp:val=&quot;00C97B55&quot;/&gt;&lt;wsp:rsid wsp:val=&quot;00CA0926&quot;/&gt;&lt;wsp:rsid wsp:val=&quot;00CA4711&quot;/&gt;&lt;wsp:rsid wsp:val=&quot;00CA507D&quot;/&gt;&lt;wsp:rsid wsp:val=&quot;00CA6707&quot;/&gt;&lt;wsp:rsid wsp:val=&quot;00CA7D2B&quot;/&gt;&lt;wsp:rsid wsp:val=&quot;00CB1115&quot;/&gt;&lt;wsp:rsid wsp:val=&quot;00CB3284&quot;/&gt;&lt;wsp:rsid wsp:val=&quot;00CB5D91&quot;/&gt;&lt;wsp:rsid wsp:val=&quot;00CB6372&quot;/&gt;&lt;wsp:rsid wsp:val=&quot;00CC0314&quot;/&gt;&lt;wsp:rsid wsp:val=&quot;00CC06E8&quot;/&gt;&lt;wsp:rsid wsp:val=&quot;00CC124F&quot;/&gt;&lt;wsp:rsid wsp:val=&quot;00CC42B4&quot;/&gt;&lt;wsp:rsid wsp:val=&quot;00CC6B12&quot;/&gt;&lt;wsp:rsid wsp:val=&quot;00CD2119&quot;/&gt;&lt;wsp:rsid wsp:val=&quot;00CD2177&quot;/&gt;&lt;wsp:rsid wsp:val=&quot;00CD4350&quot;/&gt;&lt;wsp:rsid wsp:val=&quot;00CD6020&quot;/&gt;&lt;wsp:rsid wsp:val=&quot;00CE36F4&quot;/&gt;&lt;wsp:rsid wsp:val=&quot;00CE4E07&quot;/&gt;&lt;wsp:rsid wsp:val=&quot;00CF078D&quot;/&gt;&lt;wsp:rsid wsp:val=&quot;00CF1DCA&quot;/&gt;&lt;wsp:rsid wsp:val=&quot;00CF65BA&quot;/&gt;&lt;wsp:rsid wsp:val=&quot;00D019AE&quot;/&gt;&lt;wsp:rsid wsp:val=&quot;00D059A8&quot;/&gt;&lt;wsp:rsid wsp:val=&quot;00D10D12&quot;/&gt;&lt;wsp:rsid wsp:val=&quot;00D1166E&quot;/&gt;&lt;wsp:rsid wsp:val=&quot;00D12265&quot;/&gt;&lt;wsp:rsid wsp:val=&quot;00D151BA&quot;/&gt;&lt;wsp:rsid wsp:val=&quot;00D15BD8&quot;/&gt;&lt;wsp:rsid wsp:val=&quot;00D166AD&quot;/&gt;&lt;wsp:rsid wsp:val=&quot;00D201FB&quot;/&gt;&lt;wsp:rsid wsp:val=&quot;00D20F5F&quot;/&gt;&lt;wsp:rsid wsp:val=&quot;00D2276D&quot;/&gt;&lt;wsp:rsid wsp:val=&quot;00D235A5&quot;/&gt;&lt;wsp:rsid wsp:val=&quot;00D23C21&quot;/&gt;&lt;wsp:rsid wsp:val=&quot;00D26E24&quot;/&gt;&lt;wsp:rsid wsp:val=&quot;00D302BF&quot;/&gt;&lt;wsp:rsid wsp:val=&quot;00D3259C&quot;/&gt;&lt;wsp:rsid wsp:val=&quot;00D36900&quot;/&gt;&lt;wsp:rsid wsp:val=&quot;00D373C6&quot;/&gt;&lt;wsp:rsid wsp:val=&quot;00D428C8&quot;/&gt;&lt;wsp:rsid wsp:val=&quot;00D50793&quot;/&gt;&lt;wsp:rsid wsp:val=&quot;00D50DC5&quot;/&gt;&lt;wsp:rsid wsp:val=&quot;00D516DC&quot;/&gt;&lt;wsp:rsid wsp:val=&quot;00D51859&quot;/&gt;&lt;wsp:rsid wsp:val=&quot;00D52970&quot;/&gt;&lt;wsp:rsid wsp:val=&quot;00D56CE8&quot;/&gt;&lt;wsp:rsid wsp:val=&quot;00D60E20&quot;/&gt;&lt;wsp:rsid wsp:val=&quot;00D61F3F&quot;/&gt;&lt;wsp:rsid wsp:val=&quot;00D627FD&quot;/&gt;&lt;wsp:rsid wsp:val=&quot;00D64B22&quot;/&gt;&lt;wsp:rsid wsp:val=&quot;00D66482&quot;/&gt;&lt;wsp:rsid wsp:val=&quot;00D712A8&quot;/&gt;&lt;wsp:rsid wsp:val=&quot;00D739B4&quot;/&gt;&lt;wsp:rsid wsp:val=&quot;00D74CE9&quot;/&gt;&lt;wsp:rsid wsp:val=&quot;00D75CAB&quot;/&gt;&lt;wsp:rsid wsp:val=&quot;00D76071&quot;/&gt;&lt;wsp:rsid wsp:val=&quot;00D76DB9&quot;/&gt;&lt;wsp:rsid wsp:val=&quot;00D8061D&quot;/&gt;&lt;wsp:rsid wsp:val=&quot;00D8209B&quot;/&gt;&lt;wsp:rsid wsp:val=&quot;00D82191&quot;/&gt;&lt;wsp:rsid wsp:val=&quot;00D853A1&quot;/&gt;&lt;wsp:rsid wsp:val=&quot;00D8705F&quot;/&gt;&lt;wsp:rsid wsp:val=&quot;00D92DD6&quot;/&gt;&lt;wsp:rsid wsp:val=&quot;00D93BCC&quot;/&gt;&lt;wsp:rsid wsp:val=&quot;00D97DC3&quot;/&gt;&lt;wsp:rsid wsp:val=&quot;00DA1AEC&quot;/&gt;&lt;wsp:rsid wsp:val=&quot;00DA298B&quot;/&gt;&lt;wsp:rsid wsp:val=&quot;00DA3CBD&quot;/&gt;&lt;wsp:rsid wsp:val=&quot;00DB0338&quot;/&gt;&lt;wsp:rsid wsp:val=&quot;00DB1195&quot;/&gt;&lt;wsp:rsid wsp:val=&quot;00DB19CE&quot;/&gt;&lt;wsp:rsid wsp:val=&quot;00DB26BF&quot;/&gt;&lt;wsp:rsid wsp:val=&quot;00DB7EED&quot;/&gt;&lt;wsp:rsid wsp:val=&quot;00DC1315&quot;/&gt;&lt;wsp:rsid wsp:val=&quot;00DC3DA9&quot;/&gt;&lt;wsp:rsid wsp:val=&quot;00DC5E14&quot;/&gt;&lt;wsp:rsid wsp:val=&quot;00DD0B7F&quot;/&gt;&lt;wsp:rsid wsp:val=&quot;00DD452A&quot;/&gt;&lt;wsp:rsid wsp:val=&quot;00DD729D&quot;/&gt;&lt;wsp:rsid wsp:val=&quot;00DE2DE3&quot;/&gt;&lt;wsp:rsid wsp:val=&quot;00DE42AC&quot;/&gt;&lt;wsp:rsid wsp:val=&quot;00DE67F9&quot;/&gt;&lt;wsp:rsid wsp:val=&quot;00DF0161&quot;/&gt;&lt;wsp:rsid wsp:val=&quot;00DF17F0&quot;/&gt;&lt;wsp:rsid wsp:val=&quot;00DF6B5C&quot;/&gt;&lt;wsp:rsid wsp:val=&quot;00DF73BF&quot;/&gt;&lt;wsp:rsid wsp:val=&quot;00DF7F54&quot;/&gt;&lt;wsp:rsid wsp:val=&quot;00E02D84&quot;/&gt;&lt;wsp:rsid wsp:val=&quot;00E12090&quot;/&gt;&lt;wsp:rsid wsp:val=&quot;00E1368B&quot;/&gt;&lt;wsp:rsid wsp:val=&quot;00E145BD&quot;/&gt;&lt;wsp:rsid wsp:val=&quot;00E14964&quot;/&gt;&lt;wsp:rsid wsp:val=&quot;00E14F00&quot;/&gt;&lt;wsp:rsid wsp:val=&quot;00E17E89&quot;/&gt;&lt;wsp:rsid wsp:val=&quot;00E17EBA&quot;/&gt;&lt;wsp:rsid wsp:val=&quot;00E2143B&quot;/&gt;&lt;wsp:rsid wsp:val=&quot;00E21CE0&quot;/&gt;&lt;wsp:rsid wsp:val=&quot;00E2528C&quot;/&gt;&lt;wsp:rsid wsp:val=&quot;00E265FC&quot;/&gt;&lt;wsp:rsid wsp:val=&quot;00E27157&quot;/&gt;&lt;wsp:rsid wsp:val=&quot;00E36D02&quot;/&gt;&lt;wsp:rsid wsp:val=&quot;00E42729&quot;/&gt;&lt;wsp:rsid wsp:val=&quot;00E429F6&quot;/&gt;&lt;wsp:rsid wsp:val=&quot;00E431DF&quot;/&gt;&lt;wsp:rsid wsp:val=&quot;00E45336&quot;/&gt;&lt;wsp:rsid wsp:val=&quot;00E4697B&quot;/&gt;&lt;wsp:rsid wsp:val=&quot;00E469CB&quot;/&gt;&lt;wsp:rsid wsp:val=&quot;00E505E5&quot;/&gt;&lt;wsp:rsid wsp:val=&quot;00E5168C&quot;/&gt;&lt;wsp:rsid wsp:val=&quot;00E53020&quot;/&gt;&lt;wsp:rsid wsp:val=&quot;00E5428B&quot;/&gt;&lt;wsp:rsid wsp:val=&quot;00E57F82&quot;/&gt;&lt;wsp:rsid wsp:val=&quot;00E601AC&quot;/&gt;&lt;wsp:rsid wsp:val=&quot;00E62666&quot;/&gt;&lt;wsp:rsid wsp:val=&quot;00E658DF&quot;/&gt;&lt;wsp:rsid wsp:val=&quot;00E65A28&quot;/&gt;&lt;wsp:rsid wsp:val=&quot;00E7233D&quot;/&gt;&lt;wsp:rsid wsp:val=&quot;00E732B9&quot;/&gt;&lt;wsp:rsid wsp:val=&quot;00E73E1E&quot;/&gt;&lt;wsp:rsid wsp:val=&quot;00E74C37&quot;/&gt;&lt;wsp:rsid wsp:val=&quot;00E76192&quot;/&gt;&lt;wsp:rsid wsp:val=&quot;00E7641D&quot;/&gt;&lt;wsp:rsid wsp:val=&quot;00E77B2A&quot;/&gt;&lt;wsp:rsid wsp:val=&quot;00E81485&quot;/&gt;&lt;wsp:rsid wsp:val=&quot;00E82258&quot;/&gt;&lt;wsp:rsid wsp:val=&quot;00E82F12&quot;/&gt;&lt;wsp:rsid wsp:val=&quot;00E82FAD&quot;/&gt;&lt;wsp:rsid wsp:val=&quot;00E83639&quot;/&gt;&lt;wsp:rsid wsp:val=&quot;00E86DDE&quot;/&gt;&lt;wsp:rsid wsp:val=&quot;00E90366&quot;/&gt;&lt;wsp:rsid wsp:val=&quot;00E90448&quot;/&gt;&lt;wsp:rsid wsp:val=&quot;00E96592&quot;/&gt;&lt;wsp:rsid wsp:val=&quot;00E97206&quot;/&gt;&lt;wsp:rsid wsp:val=&quot;00E97A81&quot;/&gt;&lt;wsp:rsid wsp:val=&quot;00E97CDF&quot;/&gt;&lt;wsp:rsid wsp:val=&quot;00EA14B4&quot;/&gt;&lt;wsp:rsid wsp:val=&quot;00EA3C1D&quot;/&gt;&lt;wsp:rsid wsp:val=&quot;00EA7232&quot;/&gt;&lt;wsp:rsid wsp:val=&quot;00EB2DF6&quot;/&gt;&lt;wsp:rsid wsp:val=&quot;00EB2F4B&quot;/&gt;&lt;wsp:rsid wsp:val=&quot;00EB33C4&quot;/&gt;&lt;wsp:rsid wsp:val=&quot;00EB59EB&quot;/&gt;&lt;wsp:rsid wsp:val=&quot;00EC2038&quot;/&gt;&lt;wsp:rsid wsp:val=&quot;00EC2C1D&quot;/&gt;&lt;wsp:rsid wsp:val=&quot;00EC3A9E&quot;/&gt;&lt;wsp:rsid wsp:val=&quot;00EC7438&quot;/&gt;&lt;wsp:rsid wsp:val=&quot;00ED192F&quot;/&gt;&lt;wsp:rsid wsp:val=&quot;00ED27DF&quot;/&gt;&lt;wsp:rsid wsp:val=&quot;00ED36AF&quot;/&gt;&lt;wsp:rsid wsp:val=&quot;00ED39CB&quot;/&gt;&lt;wsp:rsid wsp:val=&quot;00EE0561&quot;/&gt;&lt;wsp:rsid wsp:val=&quot;00EE1E02&quot;/&gt;&lt;wsp:rsid wsp:val=&quot;00EE51DD&quot;/&gt;&lt;wsp:rsid wsp:val=&quot;00EF2265&quot;/&gt;&lt;wsp:rsid wsp:val=&quot;00EF3414&quot;/&gt;&lt;wsp:rsid wsp:val=&quot;00EF4A2E&quot;/&gt;&lt;wsp:rsid wsp:val=&quot;00EF640B&quot;/&gt;&lt;wsp:rsid wsp:val=&quot;00EF7EC9&quot;/&gt;&lt;wsp:rsid wsp:val=&quot;00F05A6E&quot;/&gt;&lt;wsp:rsid wsp:val=&quot;00F1063C&quot;/&gt;&lt;wsp:rsid wsp:val=&quot;00F10A3E&quot;/&gt;&lt;wsp:rsid wsp:val=&quot;00F13FD6&quot;/&gt;&lt;wsp:rsid wsp:val=&quot;00F15653&quot;/&gt;&lt;wsp:rsid wsp:val=&quot;00F1632B&quot;/&gt;&lt;wsp:rsid wsp:val=&quot;00F221E6&quot;/&gt;&lt;wsp:rsid wsp:val=&quot;00F27E3E&quot;/&gt;&lt;wsp:rsid wsp:val=&quot;00F27EFD&quot;/&gt;&lt;wsp:rsid wsp:val=&quot;00F34501&quot;/&gt;&lt;wsp:rsid wsp:val=&quot;00F34520&quot;/&gt;&lt;wsp:rsid wsp:val=&quot;00F34821&quot;/&gt;&lt;wsp:rsid wsp:val=&quot;00F40D65&quot;/&gt;&lt;wsp:rsid wsp:val=&quot;00F42984&quot;/&gt;&lt;wsp:rsid wsp:val=&quot;00F4396A&quot;/&gt;&lt;wsp:rsid wsp:val=&quot;00F44B7B&quot;/&gt;&lt;wsp:rsid wsp:val=&quot;00F47866&quot;/&gt;&lt;wsp:rsid wsp:val=&quot;00F478BC&quot;/&gt;&lt;wsp:rsid wsp:val=&quot;00F47C2E&quot;/&gt;&lt;wsp:rsid wsp:val=&quot;00F50AC1&quot;/&gt;&lt;wsp:rsid wsp:val=&quot;00F520D8&quot;/&gt;&lt;wsp:rsid wsp:val=&quot;00F5737F&quot;/&gt;&lt;wsp:rsid wsp:val=&quot;00F70B55&quot;/&gt;&lt;wsp:rsid wsp:val=&quot;00F70D98&quot;/&gt;&lt;wsp:rsid wsp:val=&quot;00F72B0D&quot;/&gt;&lt;wsp:rsid wsp:val=&quot;00F73E6F&quot;/&gt;&lt;wsp:rsid wsp:val=&quot;00F742CC&quot;/&gt;&lt;wsp:rsid wsp:val=&quot;00F747D0&quot;/&gt;&lt;wsp:rsid wsp:val=&quot;00F76F09&quot;/&gt;&lt;wsp:rsid wsp:val=&quot;00F81FF3&quot;/&gt;&lt;wsp:rsid wsp:val=&quot;00F84C5A&quot;/&gt;&lt;wsp:rsid wsp:val=&quot;00F85331&quot;/&gt;&lt;wsp:rsid wsp:val=&quot;00F85745&quot;/&gt;&lt;wsp:rsid wsp:val=&quot;00F85FAD&quot;/&gt;&lt;wsp:rsid wsp:val=&quot;00F87993&quot;/&gt;&lt;wsp:rsid wsp:val=&quot;00FA2AED&quot;/&gt;&lt;wsp:rsid wsp:val=&quot;00FA3AEA&quot;/&gt;&lt;wsp:rsid wsp:val=&quot;00FA43F3&quot;/&gt;&lt;wsp:rsid wsp:val=&quot;00FA4D7C&quot;/&gt;&lt;wsp:rsid wsp:val=&quot;00FA5470&quot;/&gt;&lt;wsp:rsid wsp:val=&quot;00FA5F75&quot;/&gt;&lt;wsp:rsid wsp:val=&quot;00FA776A&quot;/&gt;&lt;wsp:rsid wsp:val=&quot;00FA7E7A&quot;/&gt;&lt;wsp:rsid wsp:val=&quot;00FA7FF0&quot;/&gt;&lt;wsp:rsid wsp:val=&quot;00FB0456&quot;/&gt;&lt;wsp:rsid wsp:val=&quot;00FB1DF2&quot;/&gt;&lt;wsp:rsid wsp:val=&quot;00FB4AC8&quot;/&gt;&lt;wsp:rsid wsp:val=&quot;00FB5070&quot;/&gt;&lt;wsp:rsid wsp:val=&quot;00FC0127&quot;/&gt;&lt;wsp:rsid wsp:val=&quot;00FC0C66&quot;/&gt;&lt;wsp:rsid wsp:val=&quot;00FC2027&quot;/&gt;&lt;wsp:rsid wsp:val=&quot;00FC437C&quot;/&gt;&lt;wsp:rsid wsp:val=&quot;00FC69BA&quot;/&gt;&lt;wsp:rsid wsp:val=&quot;00FC720B&quot;/&gt;&lt;wsp:rsid wsp:val=&quot;00FC7568&quot;/&gt;&lt;wsp:rsid wsp:val=&quot;00FD05EE&quot;/&gt;&lt;wsp:rsid wsp:val=&quot;00FD40AE&quot;/&gt;&lt;wsp:rsid wsp:val=&quot;00FD6EC3&quot;/&gt;&lt;wsp:rsid wsp:val=&quot;00FE3B0B&quot;/&gt;&lt;wsp:rsid wsp:val=&quot;00FE3CB8&quot;/&gt;&lt;wsp:rsid wsp:val=&quot;00FE5183&quot;/&gt;&lt;wsp:rsid wsp:val=&quot;00FE71D7&quot;/&gt;&lt;/wsp:rsids&gt;&lt;/w:docPr&gt;&lt;w:body&gt;&lt;w:p wsp:rsidR=&quot;00000000&quot; wsp:rsidRDefault=&quot;0039581E&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T&lt;/m:t&gt;&lt;/m:r&gt;&lt;/m:e&gt;&lt;m:sub&gt;&lt;m:r&gt;&lt;w:rPr&gt;&lt;w:rFonts w:ascii=&quot;Cambria Math&quot; w:h-ansi=&quot;Cambria Math&quot;/&gt;&lt;wx:font wx:val=&quot;Cambria Math&quot;/&gt;&lt;w:i/&gt;&lt;w:lang w:val=&quot;EN-US&quot;/&gt;&lt;/w:rPr&gt;&lt;m:t&gt;rate&lt;/m:t&gt;&lt;/m:r&gt;&lt;/m:sub&gt;&lt;/m:sSub&gt;&lt;m:r&gt;&lt;w:rPr&gt;&lt;w:rFonts w:ascii=&quot;Cambria Math&quot; w:h-ans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B&lt;/m:t&gt;&lt;/m:r&gt;&lt;/m:e&gt;&lt;m:sub&gt;&lt;m:r&gt;&lt;w:rPr&gt;&lt;w:rFonts w:ascii=&quot;Cambria Math&quot; w:h-ansi=&quot;Cambria Math&quot;/&gt;&lt;wx:font wx:val=&quot;Cambria Math&quot;/&gt;&lt;w:i/&gt;&lt;w:lang w:val=&quot;EN-US&quot;/&gt;&lt;/w:rPr&gt;&lt;m:t&gt;rate&lt;/m:t&gt;&lt;/m:r&gt;&lt;/m:sub&gt;&lt;/m:sSub&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D&lt;/m:t&gt;&lt;/m:r&gt;&lt;/m:e&gt;&lt;m:sub&gt;&lt;m:r&gt;&lt;w:rPr&gt;&lt;w:rFonts w:ascii=&quot;Cambria Math&quot; w:h-ansi=&quot;Cambria Math&quot;/&gt;&lt;wx:font wx:val=&quot;Cambria Math&quot;/&gt;&lt;w:i/&gt;&lt;w:lang w:val=&quot;EN-US&quot;/&gt;&lt;/w:rPr&gt;&lt;m:t&gt;ratio&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0" o:title="" chromakey="white"/>
          </v:shape>
        </w:pict>
      </w:r>
      <w:r w:rsidRPr="008D584B">
        <w:rPr>
          <w:lang w:val="en-US"/>
        </w:rPr>
        <w:instrText xml:space="preserve"> </w:instrText>
      </w:r>
      <w:r w:rsidRPr="008D584B">
        <w:rPr>
          <w:lang w:val="en-US"/>
        </w:rPr>
        <w:fldChar w:fldCharType="separate"/>
      </w:r>
      <w:r w:rsidRPr="008D584B">
        <w:pict>
          <v:shape id="_x0000_i1026" type="#_x0000_t75" style="width:94.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1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853A1&quot;/&gt;&lt;wsp:rsid wsp:val=&quot;00000301&quot;/&gt;&lt;wsp:rsid wsp:val=&quot;00002C2F&quot;/&gt;&lt;wsp:rsid wsp:val=&quot;00004A32&quot;/&gt;&lt;wsp:rsid wsp:val=&quot;000155C6&quot;/&gt;&lt;wsp:rsid wsp:val=&quot;00020171&quot;/&gt;&lt;wsp:rsid wsp:val=&quot;00021919&quot;/&gt;&lt;wsp:rsid wsp:val=&quot;000228C1&quot;/&gt;&lt;wsp:rsid wsp:val=&quot;000265FE&quot;/&gt;&lt;wsp:rsid wsp:val=&quot;00026B17&quot;/&gt;&lt;wsp:rsid wsp:val=&quot;00031F57&quot;/&gt;&lt;wsp:rsid wsp:val=&quot;0003255C&quot;/&gt;&lt;wsp:rsid wsp:val=&quot;00032823&quot;/&gt;&lt;wsp:rsid wsp:val=&quot;00032DB2&quot;/&gt;&lt;wsp:rsid wsp:val=&quot;00034643&quot;/&gt;&lt;wsp:rsid wsp:val=&quot;000422BE&quot;/&gt;&lt;wsp:rsid wsp:val=&quot;000423E9&quot;/&gt;&lt;wsp:rsid wsp:val=&quot;0005079E&quot;/&gt;&lt;wsp:rsid wsp:val=&quot;00052141&quot;/&gt;&lt;wsp:rsid wsp:val=&quot;00052281&quot;/&gt;&lt;wsp:rsid wsp:val=&quot;00052943&quot;/&gt;&lt;wsp:rsid wsp:val=&quot;0005326D&quot;/&gt;&lt;wsp:rsid wsp:val=&quot;00053A09&quot;/&gt;&lt;wsp:rsid wsp:val=&quot;0005633C&quot;/&gt;&lt;wsp:rsid wsp:val=&quot;00056590&quot;/&gt;&lt;wsp:rsid wsp:val=&quot;0007082F&quot;/&gt;&lt;wsp:rsid wsp:val=&quot;000758DF&quot;/&gt;&lt;wsp:rsid wsp:val=&quot;00080C2A&quot;/&gt;&lt;wsp:rsid wsp:val=&quot;000821F5&quot;/&gt;&lt;wsp:rsid wsp:val=&quot;00083BDC&quot;/&gt;&lt;wsp:rsid wsp:val=&quot;0008428E&quot;/&gt;&lt;wsp:rsid wsp:val=&quot;00092595&quot;/&gt;&lt;wsp:rsid wsp:val=&quot;0009348A&quot;/&gt;&lt;wsp:rsid wsp:val=&quot;00096499&quot;/&gt;&lt;wsp:rsid wsp:val=&quot;000977F6&quot;/&gt;&lt;wsp:rsid wsp:val=&quot;00097F68&quot;/&gt;&lt;wsp:rsid wsp:val=&quot;000A0818&quot;/&gt;&lt;wsp:rsid wsp:val=&quot;000A5D99&quot;/&gt;&lt;wsp:rsid wsp:val=&quot;000A69BA&quot;/&gt;&lt;wsp:rsid wsp:val=&quot;000A7094&quot;/&gt;&lt;wsp:rsid wsp:val=&quot;000B38BD&quot;/&gt;&lt;wsp:rsid wsp:val=&quot;000B3E22&quot;/&gt;&lt;wsp:rsid wsp:val=&quot;000B3E81&quot;/&gt;&lt;wsp:rsid wsp:val=&quot;000C407D&quot;/&gt;&lt;wsp:rsid wsp:val=&quot;000C489F&quot;/&gt;&lt;wsp:rsid wsp:val=&quot;000C49CF&quot;/&gt;&lt;wsp:rsid wsp:val=&quot;000C4F39&quot;/&gt;&lt;wsp:rsid wsp:val=&quot;000C7666&quot;/&gt;&lt;wsp:rsid wsp:val=&quot;000D6EB0&quot;/&gt;&lt;wsp:rsid wsp:val=&quot;000E0AFB&quot;/&gt;&lt;wsp:rsid wsp:val=&quot;000E5451&quot;/&gt;&lt;wsp:rsid wsp:val=&quot;000E554A&quot;/&gt;&lt;wsp:rsid wsp:val=&quot;000E6DA4&quot;/&gt;&lt;wsp:rsid wsp:val=&quot;000F4D54&quot;/&gt;&lt;wsp:rsid wsp:val=&quot;00102925&quot;/&gt;&lt;wsp:rsid wsp:val=&quot;00105B48&quot;/&gt;&lt;wsp:rsid wsp:val=&quot;0010635F&quot;/&gt;&lt;wsp:rsid wsp:val=&quot;0011088A&quot;/&gt;&lt;wsp:rsid wsp:val=&quot;00116F79&quot;/&gt;&lt;wsp:rsid wsp:val=&quot;0011793E&quot;/&gt;&lt;wsp:rsid wsp:val=&quot;00121284&quot;/&gt;&lt;wsp:rsid wsp:val=&quot;00121BAF&quot;/&gt;&lt;wsp:rsid wsp:val=&quot;0012205D&quot;/&gt;&lt;wsp:rsid wsp:val=&quot;001243F1&quot;/&gt;&lt;wsp:rsid wsp:val=&quot;00125D92&quot;/&gt;&lt;wsp:rsid wsp:val=&quot;001320C2&quot;/&gt;&lt;wsp:rsid wsp:val=&quot;001320CA&quot;/&gt;&lt;wsp:rsid wsp:val=&quot;00141C38&quot;/&gt;&lt;wsp:rsid wsp:val=&quot;0014403F&quot;/&gt;&lt;wsp:rsid wsp:val=&quot;00146977&quot;/&gt;&lt;wsp:rsid wsp:val=&quot;00150B52&quot;/&gt;&lt;wsp:rsid wsp:val=&quot;00152B4A&quot;/&gt;&lt;wsp:rsid wsp:val=&quot;00154781&quot;/&gt;&lt;wsp:rsid wsp:val=&quot;00162990&quot;/&gt;&lt;wsp:rsid wsp:val=&quot;001629A6&quot;/&gt;&lt;wsp:rsid wsp:val=&quot;001677AC&quot;/&gt;&lt;wsp:rsid wsp:val=&quot;00167A17&quot;/&gt;&lt;wsp:rsid wsp:val=&quot;00173004&quot;/&gt;&lt;wsp:rsid wsp:val=&quot;00177AA2&quot;/&gt;&lt;wsp:rsid wsp:val=&quot;0018041F&quot;/&gt;&lt;wsp:rsid wsp:val=&quot;001805D7&quot;/&gt;&lt;wsp:rsid wsp:val=&quot;00187394&quot;/&gt;&lt;wsp:rsid wsp:val=&quot;001873D3&quot;/&gt;&lt;wsp:rsid wsp:val=&quot;00187991&quot;/&gt;&lt;wsp:rsid wsp:val=&quot;00193BED&quot;/&gt;&lt;wsp:rsid wsp:val=&quot;00194C7A&quot;/&gt;&lt;wsp:rsid wsp:val=&quot;00195ABC&quot;/&gt;&lt;wsp:rsid wsp:val=&quot;00195BC9&quot;/&gt;&lt;wsp:rsid wsp:val=&quot;00196448&quot;/&gt;&lt;wsp:rsid wsp:val=&quot;001A1968&quot;/&gt;&lt;wsp:rsid wsp:val=&quot;001A1D92&quot;/&gt;&lt;wsp:rsid wsp:val=&quot;001A22AC&quot;/&gt;&lt;wsp:rsid wsp:val=&quot;001A3CF0&quot;/&gt;&lt;wsp:rsid wsp:val=&quot;001A5A8F&quot;/&gt;&lt;wsp:rsid wsp:val=&quot;001B1365&quot;/&gt;&lt;wsp:rsid wsp:val=&quot;001B1481&quot;/&gt;&lt;wsp:rsid wsp:val=&quot;001B28A6&quot;/&gt;&lt;wsp:rsid wsp:val=&quot;001B31E4&quot;/&gt;&lt;wsp:rsid wsp:val=&quot;001B6A0C&quot;/&gt;&lt;wsp:rsid wsp:val=&quot;001C0D83&quot;/&gt;&lt;wsp:rsid wsp:val=&quot;001C14D5&quot;/&gt;&lt;wsp:rsid wsp:val=&quot;001C17F6&quot;/&gt;&lt;wsp:rsid wsp:val=&quot;001C3D1E&quot;/&gt;&lt;wsp:rsid wsp:val=&quot;001C6C75&quot;/&gt;&lt;wsp:rsid wsp:val=&quot;001C6CE2&quot;/&gt;&lt;wsp:rsid wsp:val=&quot;001D146F&quot;/&gt;&lt;wsp:rsid wsp:val=&quot;001D2605&quot;/&gt;&lt;wsp:rsid wsp:val=&quot;001D2C81&quot;/&gt;&lt;wsp:rsid wsp:val=&quot;001D339E&quot;/&gt;&lt;wsp:rsid wsp:val=&quot;001D74CF&quot;/&gt;&lt;wsp:rsid wsp:val=&quot;001E21C9&quot;/&gt;&lt;wsp:rsid wsp:val=&quot;001E21DF&quot;/&gt;&lt;wsp:rsid wsp:val=&quot;001E2E2E&quot;/&gt;&lt;wsp:rsid wsp:val=&quot;001E52FA&quot;/&gt;&lt;wsp:rsid wsp:val=&quot;001E5B81&quot;/&gt;&lt;wsp:rsid wsp:val=&quot;001E75BE&quot;/&gt;&lt;wsp:rsid wsp:val=&quot;001F12C4&quot;/&gt;&lt;wsp:rsid wsp:val=&quot;001F3FC7&quot;/&gt;&lt;wsp:rsid wsp:val=&quot;001F658C&quot;/&gt;&lt;wsp:rsid wsp:val=&quot;001F6D72&quot;/&gt;&lt;wsp:rsid wsp:val=&quot;002009DA&quot;/&gt;&lt;wsp:rsid wsp:val=&quot;00201758&quot;/&gt;&lt;wsp:rsid wsp:val=&quot;00201842&quot;/&gt;&lt;wsp:rsid wsp:val=&quot;00202CDD&quot;/&gt;&lt;wsp:rsid wsp:val=&quot;002055B2&quot;/&gt;&lt;wsp:rsid wsp:val=&quot;00210D79&quot;/&gt;&lt;wsp:rsid wsp:val=&quot;002126D0&quot;/&gt;&lt;wsp:rsid wsp:val=&quot;00214101&quot;/&gt;&lt;wsp:rsid wsp:val=&quot;00216CB9&quot;/&gt;&lt;wsp:rsid wsp:val=&quot;00220CCB&quot;/&gt;&lt;wsp:rsid wsp:val=&quot;00221471&quot;/&gt;&lt;wsp:rsid wsp:val=&quot;002214F1&quot;/&gt;&lt;wsp:rsid wsp:val=&quot;002269F9&quot;/&gt;&lt;wsp:rsid wsp:val=&quot;0023031D&quot;/&gt;&lt;wsp:rsid wsp:val=&quot;00230706&quot;/&gt;&lt;wsp:rsid wsp:val=&quot;002323A3&quot;/&gt;&lt;wsp:rsid wsp:val=&quot;002327A3&quot;/&gt;&lt;wsp:rsid wsp:val=&quot;00234003&quot;/&gt;&lt;wsp:rsid wsp:val=&quot;00236F9F&quot;/&gt;&lt;wsp:rsid wsp:val=&quot;002374FC&quot;/&gt;&lt;wsp:rsid wsp:val=&quot;0024012E&quot;/&gt;&lt;wsp:rsid wsp:val=&quot;00240898&quot;/&gt;&lt;wsp:rsid wsp:val=&quot;00241B86&quot;/&gt;&lt;wsp:rsid wsp:val=&quot;0024536D&quot;/&gt;&lt;wsp:rsid wsp:val=&quot;0024679F&quot;/&gt;&lt;wsp:rsid wsp:val=&quot;00251EDF&quot;/&gt;&lt;wsp:rsid wsp:val=&quot;00252EFD&quot;/&gt;&lt;wsp:rsid wsp:val=&quot;002560D5&quot;/&gt;&lt;wsp:rsid wsp:val=&quot;002561EC&quot;/&gt;&lt;wsp:rsid wsp:val=&quot;0026144A&quot;/&gt;&lt;wsp:rsid wsp:val=&quot;002615A4&quot;/&gt;&lt;wsp:rsid wsp:val=&quot;00262F25&quot;/&gt;&lt;wsp:rsid wsp:val=&quot;002653F9&quot;/&gt;&lt;wsp:rsid wsp:val=&quot;0026619B&quot;/&gt;&lt;wsp:rsid wsp:val=&quot;002671C0&quot;/&gt;&lt;wsp:rsid wsp:val=&quot;002679A2&quot;/&gt;&lt;wsp:rsid wsp:val=&quot;00267B8B&quot;/&gt;&lt;wsp:rsid wsp:val=&quot;002703CE&quot;/&gt;&lt;wsp:rsid wsp:val=&quot;00275484&quot;/&gt;&lt;wsp:rsid wsp:val=&quot;00276AD0&quot;/&gt;&lt;wsp:rsid wsp:val=&quot;00280C46&quot;/&gt;&lt;wsp:rsid wsp:val=&quot;0028594C&quot;/&gt;&lt;wsp:rsid wsp:val=&quot;002A4DA3&quot;/&gt;&lt;wsp:rsid wsp:val=&quot;002A53D8&quot;/&gt;&lt;wsp:rsid wsp:val=&quot;002B02DB&quot;/&gt;&lt;wsp:rsid wsp:val=&quot;002B23D3&quot;/&gt;&lt;wsp:rsid wsp:val=&quot;002B2E18&quot;/&gt;&lt;wsp:rsid wsp:val=&quot;002B491C&quot;/&gt;&lt;wsp:rsid wsp:val=&quot;002B4CF3&quot;/&gt;&lt;wsp:rsid wsp:val=&quot;002B4E22&quot;/&gt;&lt;wsp:rsid wsp:val=&quot;002B56EB&quot;/&gt;&lt;wsp:rsid wsp:val=&quot;002C239E&quot;/&gt;&lt;wsp:rsid wsp:val=&quot;002C28C2&quot;/&gt;&lt;wsp:rsid wsp:val=&quot;002C3B35&quot;/&gt;&lt;wsp:rsid wsp:val=&quot;002C41B6&quot;/&gt;&lt;wsp:rsid wsp:val=&quot;002C4E6E&quot;/&gt;&lt;wsp:rsid wsp:val=&quot;002C5CFF&quot;/&gt;&lt;wsp:rsid wsp:val=&quot;002D02D6&quot;/&gt;&lt;wsp:rsid wsp:val=&quot;002D1581&quot;/&gt;&lt;wsp:rsid wsp:val=&quot;002D1802&quot;/&gt;&lt;wsp:rsid wsp:val=&quot;002D3449&quot;/&gt;&lt;wsp:rsid wsp:val=&quot;002D5B28&quot;/&gt;&lt;wsp:rsid wsp:val=&quot;002D6325&quot;/&gt;&lt;wsp:rsid wsp:val=&quot;002D6522&quot;/&gt;&lt;wsp:rsid wsp:val=&quot;002E16A9&quot;/&gt;&lt;wsp:rsid wsp:val=&quot;002E6355&quot;/&gt;&lt;wsp:rsid wsp:val=&quot;002F5310&quot;/&gt;&lt;wsp:rsid wsp:val=&quot;002F6EBB&quot;/&gt;&lt;wsp:rsid wsp:val=&quot;003019DA&quot;/&gt;&lt;wsp:rsid wsp:val=&quot;00301A96&quot;/&gt;&lt;wsp:rsid wsp:val=&quot;00306A05&quot;/&gt;&lt;wsp:rsid wsp:val=&quot;003112F9&quot;/&gt;&lt;wsp:rsid wsp:val=&quot;00315D63&quot;/&gt;&lt;wsp:rsid wsp:val=&quot;0031603D&quot;/&gt;&lt;wsp:rsid wsp:val=&quot;00320675&quot;/&gt;&lt;wsp:rsid wsp:val=&quot;0032551B&quot;/&gt;&lt;wsp:rsid wsp:val=&quot;00325AAC&quot;/&gt;&lt;wsp:rsid wsp:val=&quot;00326120&quot;/&gt;&lt;wsp:rsid wsp:val=&quot;0032738F&quot;/&gt;&lt;wsp:rsid wsp:val=&quot;00327C71&quot;/&gt;&lt;wsp:rsid wsp:val=&quot;00327DCD&quot;/&gt;&lt;wsp:rsid wsp:val=&quot;003317EE&quot;/&gt;&lt;wsp:rsid wsp:val=&quot;00336BFC&quot;/&gt;&lt;wsp:rsid wsp:val=&quot;00344FB5&quot;/&gt;&lt;wsp:rsid wsp:val=&quot;00346CBD&quot;/&gt;&lt;wsp:rsid wsp:val=&quot;003515D8&quot;/&gt;&lt;wsp:rsid wsp:val=&quot;003531F5&quot;/&gt;&lt;wsp:rsid wsp:val=&quot;0035458F&quot;/&gt;&lt;wsp:rsid wsp:val=&quot;00356AB7&quot;/&gt;&lt;wsp:rsid wsp:val=&quot;00357CA9&quot;/&gt;&lt;wsp:rsid wsp:val=&quot;00362A3C&quot;/&gt;&lt;wsp:rsid wsp:val=&quot;00365046&quot;/&gt;&lt;wsp:rsid wsp:val=&quot;00366492&quot;/&gt;&lt;wsp:rsid wsp:val=&quot;00367558&quot;/&gt;&lt;wsp:rsid wsp:val=&quot;003725A1&quot;/&gt;&lt;wsp:rsid wsp:val=&quot;003754C0&quot;/&gt;&lt;wsp:rsid wsp:val=&quot;00375BA6&quot;/&gt;&lt;wsp:rsid wsp:val=&quot;003760CE&quot;/&gt;&lt;wsp:rsid wsp:val=&quot;00377400&quot;/&gt;&lt;wsp:rsid wsp:val=&quot;00382FBE&quot;/&gt;&lt;wsp:rsid wsp:val=&quot;003833C2&quot;/&gt;&lt;wsp:rsid wsp:val=&quot;00386484&quot;/&gt;&lt;wsp:rsid wsp:val=&quot;003900AB&quot;/&gt;&lt;wsp:rsid wsp:val=&quot;00390224&quot;/&gt;&lt;wsp:rsid wsp:val=&quot;00392BF4&quot;/&gt;&lt;wsp:rsid wsp:val=&quot;00393480&quot;/&gt;&lt;wsp:rsid wsp:val=&quot;00394EA4&quot;/&gt;&lt;wsp:rsid wsp:val=&quot;0039581E&quot;/&gt;&lt;wsp:rsid wsp:val=&quot;00396F69&quot;/&gt;&lt;wsp:rsid wsp:val=&quot;003A268B&quot;/&gt;&lt;wsp:rsid wsp:val=&quot;003A3207&quot;/&gt;&lt;wsp:rsid wsp:val=&quot;003A4E86&quot;/&gt;&lt;wsp:rsid wsp:val=&quot;003B3E4F&quot;/&gt;&lt;wsp:rsid wsp:val=&quot;003B6A29&quot;/&gt;&lt;wsp:rsid wsp:val=&quot;003B7460&quot;/&gt;&lt;wsp:rsid wsp:val=&quot;003C17A2&quot;/&gt;&lt;wsp:rsid wsp:val=&quot;003C182F&quot;/&gt;&lt;wsp:rsid wsp:val=&quot;003C34F1&quot;/&gt;&lt;wsp:rsid wsp:val=&quot;003C4AEC&quot;/&gt;&lt;wsp:rsid wsp:val=&quot;003C4B5A&quot;/&gt;&lt;wsp:rsid wsp:val=&quot;003D1885&quot;/&gt;&lt;wsp:rsid wsp:val=&quot;003D254D&quot;/&gt;&lt;wsp:rsid wsp:val=&quot;003D3A9A&quot;/&gt;&lt;wsp:rsid wsp:val=&quot;003D59EA&quot;/&gt;&lt;wsp:rsid wsp:val=&quot;003D6C77&quot;/&gt;&lt;wsp:rsid wsp:val=&quot;003D75A6&quot;/&gt;&lt;wsp:rsid wsp:val=&quot;003E0984&quot;/&gt;&lt;wsp:rsid wsp:val=&quot;003E17D0&quot;/&gt;&lt;wsp:rsid wsp:val=&quot;003E1BB3&quot;/&gt;&lt;wsp:rsid wsp:val=&quot;003E236F&quot;/&gt;&lt;wsp:rsid wsp:val=&quot;003E5D96&quot;/&gt;&lt;wsp:rsid wsp:val=&quot;003E6A82&quot;/&gt;&lt;wsp:rsid wsp:val=&quot;003F07A1&quot;/&gt;&lt;wsp:rsid wsp:val=&quot;003F4466&quot;/&gt;&lt;wsp:rsid wsp:val=&quot;003F5802&quot;/&gt;&lt;wsp:rsid wsp:val=&quot;003F7895&quot;/&gt;&lt;wsp:rsid wsp:val=&quot;00400700&quot;/&gt;&lt;wsp:rsid wsp:val=&quot;00400A2E&quot;/&gt;&lt;wsp:rsid wsp:val=&quot;00405C9E&quot;/&gt;&lt;wsp:rsid wsp:val=&quot;00406DBB&quot;/&gt;&lt;wsp:rsid wsp:val=&quot;00407AA7&quot;/&gt;&lt;wsp:rsid wsp:val=&quot;00411F49&quot;/&gt;&lt;wsp:rsid wsp:val=&quot;00420CF4&quot;/&gt;&lt;wsp:rsid wsp:val=&quot;004214CB&quot;/&gt;&lt;wsp:rsid wsp:val=&quot;00421515&quot;/&gt;&lt;wsp:rsid wsp:val=&quot;00421F52&quot;/&gt;&lt;wsp:rsid wsp:val=&quot;004273C8&quot;/&gt;&lt;wsp:rsid wsp:val=&quot;004302AC&quot;/&gt;&lt;wsp:rsid wsp:val=&quot;004311E3&quot;/&gt;&lt;wsp:rsid wsp:val=&quot;00435FD3&quot;/&gt;&lt;wsp:rsid wsp:val=&quot;00436F54&quot;/&gt;&lt;wsp:rsid wsp:val=&quot;004447E8&quot;/&gt;&lt;wsp:rsid wsp:val=&quot;0044531C&quot;/&gt;&lt;wsp:rsid wsp:val=&quot;0044686E&quot;/&gt;&lt;wsp:rsid wsp:val=&quot;00446F7D&quot;/&gt;&lt;wsp:rsid wsp:val=&quot;00452A49&quot;/&gt;&lt;wsp:rsid wsp:val=&quot;00454B2F&quot;/&gt;&lt;wsp:rsid wsp:val=&quot;004579F4&quot;/&gt;&lt;wsp:rsid wsp:val=&quot;00463B09&quot;/&gt;&lt;wsp:rsid wsp:val=&quot;004763C7&quot;/&gt;&lt;wsp:rsid wsp:val=&quot;00483AEC&quot;/&gt;&lt;wsp:rsid wsp:val=&quot;00487C49&quot;/&gt;&lt;wsp:rsid wsp:val=&quot;00495826&quot;/&gt;&lt;wsp:rsid wsp:val=&quot;004A4448&quot;/&gt;&lt;wsp:rsid wsp:val=&quot;004A584C&quot;/&gt;&lt;wsp:rsid wsp:val=&quot;004A5C92&quot;/&gt;&lt;wsp:rsid wsp:val=&quot;004B1C33&quot;/&gt;&lt;wsp:rsid wsp:val=&quot;004B2974&quot;/&gt;&lt;wsp:rsid wsp:val=&quot;004B3314&quot;/&gt;&lt;wsp:rsid wsp:val=&quot;004B4255&quot;/&gt;&lt;wsp:rsid wsp:val=&quot;004B5E76&quot;/&gt;&lt;wsp:rsid wsp:val=&quot;004B613C&quot;/&gt;&lt;wsp:rsid wsp:val=&quot;004D0DAF&quot;/&gt;&lt;wsp:rsid wsp:val=&quot;004D3144&quot;/&gt;&lt;wsp:rsid wsp:val=&quot;004D4137&quot;/&gt;&lt;wsp:rsid wsp:val=&quot;004D4844&quot;/&gt;&lt;wsp:rsid wsp:val=&quot;004D6F4B&quot;/&gt;&lt;wsp:rsid wsp:val=&quot;004D7D36&quot;/&gt;&lt;wsp:rsid wsp:val=&quot;004E0760&quot;/&gt;&lt;wsp:rsid wsp:val=&quot;004E26DF&quot;/&gt;&lt;wsp:rsid wsp:val=&quot;004E382E&quot;/&gt;&lt;wsp:rsid wsp:val=&quot;004E5A3B&quot;/&gt;&lt;wsp:rsid wsp:val=&quot;004E7D63&quot;/&gt;&lt;wsp:rsid wsp:val=&quot;004F5B23&quot;/&gt;&lt;wsp:rsid wsp:val=&quot;004F6491&quot;/&gt;&lt;wsp:rsid wsp:val=&quot;004F6805&quot;/&gt;&lt;wsp:rsid wsp:val=&quot;004F75A4&quot;/&gt;&lt;wsp:rsid wsp:val=&quot;00503483&quot;/&gt;&lt;wsp:rsid wsp:val=&quot;0050674F&quot;/&gt;&lt;wsp:rsid wsp:val=&quot;0051068C&quot;/&gt;&lt;wsp:rsid wsp:val=&quot;00513D6B&quot;/&gt;&lt;wsp:rsid wsp:val=&quot;005162E5&quot;/&gt;&lt;wsp:rsid wsp:val=&quot;00521838&quot;/&gt;&lt;wsp:rsid wsp:val=&quot;00522A7B&quot;/&gt;&lt;wsp:rsid wsp:val=&quot;0053048A&quot;/&gt;&lt;wsp:rsid wsp:val=&quot;00534071&quot;/&gt;&lt;wsp:rsid wsp:val=&quot;00541220&quot;/&gt;&lt;wsp:rsid wsp:val=&quot;0054396B&quot;/&gt;&lt;wsp:rsid wsp:val=&quot;00543A56&quot;/&gt;&lt;wsp:rsid wsp:val=&quot;0054561C&quot;/&gt;&lt;wsp:rsid wsp:val=&quot;00545ABE&quot;/&gt;&lt;wsp:rsid wsp:val=&quot;00546502&quot;/&gt;&lt;wsp:rsid wsp:val=&quot;0054765B&quot;/&gt;&lt;wsp:rsid wsp:val=&quot;00547E1B&quot;/&gt;&lt;wsp:rsid wsp:val=&quot;00551463&quot;/&gt;&lt;wsp:rsid wsp:val=&quot;00553D42&quot;/&gt;&lt;wsp:rsid wsp:val=&quot;00555F78&quot;/&gt;&lt;wsp:rsid wsp:val=&quot;00556931&quot;/&gt;&lt;wsp:rsid wsp:val=&quot;0056066C&quot;/&gt;&lt;wsp:rsid wsp:val=&quot;005607E3&quot;/&gt;&lt;wsp:rsid wsp:val=&quot;00560E99&quot;/&gt;&lt;wsp:rsid wsp:val=&quot;0056183F&quot;/&gt;&lt;wsp:rsid wsp:val=&quot;005631BF&quot;/&gt;&lt;wsp:rsid wsp:val=&quot;005669FD&quot;/&gt;&lt;wsp:rsid wsp:val=&quot;0057272D&quot;/&gt;&lt;wsp:rsid wsp:val=&quot;00572BD7&quot;/&gt;&lt;wsp:rsid wsp:val=&quot;005740A1&quot;/&gt;&lt;wsp:rsid wsp:val=&quot;005741EF&quot;/&gt;&lt;wsp:rsid wsp:val=&quot;00576A85&quot;/&gt;&lt;wsp:rsid wsp:val=&quot;00577C1C&quot;/&gt;&lt;wsp:rsid wsp:val=&quot;00581D99&quot;/&gt;&lt;wsp:rsid wsp:val=&quot;00582727&quot;/&gt;&lt;wsp:rsid wsp:val=&quot;00586D51&quot;/&gt;&lt;wsp:rsid wsp:val=&quot;00591E7C&quot;/&gt;&lt;wsp:rsid wsp:val=&quot;005978F0&quot;/&gt;&lt;wsp:rsid wsp:val=&quot;005A1B5F&quot;/&gt;&lt;wsp:rsid wsp:val=&quot;005A2EA7&quot;/&gt;&lt;wsp:rsid wsp:val=&quot;005A626E&quot;/&gt;&lt;wsp:rsid wsp:val=&quot;005A7758&quot;/&gt;&lt;wsp:rsid wsp:val=&quot;005B21D7&quot;/&gt;&lt;wsp:rsid wsp:val=&quot;005C1D07&quot;/&gt;&lt;wsp:rsid wsp:val=&quot;005C1F7A&quot;/&gt;&lt;wsp:rsid wsp:val=&quot;005C2258&quot;/&gt;&lt;wsp:rsid wsp:val=&quot;005C311E&quot;/&gt;&lt;wsp:rsid wsp:val=&quot;005C4568&quot;/&gt;&lt;wsp:rsid wsp:val=&quot;005C462E&quot;/&gt;&lt;wsp:rsid wsp:val=&quot;005C4D2B&quot;/&gt;&lt;wsp:rsid wsp:val=&quot;005D32D9&quot;/&gt;&lt;wsp:rsid wsp:val=&quot;005D396B&quot;/&gt;&lt;wsp:rsid wsp:val=&quot;005D4270&quot;/&gt;&lt;wsp:rsid wsp:val=&quot;005D48F7&quot;/&gt;&lt;wsp:rsid wsp:val=&quot;005E113C&quot;/&gt;&lt;wsp:rsid wsp:val=&quot;005E1D63&quot;/&gt;&lt;wsp:rsid wsp:val=&quot;005E397A&quot;/&gt;&lt;wsp:rsid wsp:val=&quot;005F39BF&quot;/&gt;&lt;wsp:rsid wsp:val=&quot;005F4FAA&quot;/&gt;&lt;wsp:rsid wsp:val=&quot;005F6830&quot;/&gt;&lt;wsp:rsid wsp:val=&quot;00603245&quot;/&gt;&lt;wsp:rsid wsp:val=&quot;00604FA8&quot;/&gt;&lt;wsp:rsid wsp:val=&quot;00607537&quot;/&gt;&lt;wsp:rsid wsp:val=&quot;00613481&quot;/&gt;&lt;wsp:rsid wsp:val=&quot;00614BE2&quot;/&gt;&lt;wsp:rsid wsp:val=&quot;006154C6&quot;/&gt;&lt;wsp:rsid wsp:val=&quot;00615C9D&quot;/&gt;&lt;wsp:rsid wsp:val=&quot;00617E9F&quot;/&gt;&lt;wsp:rsid wsp:val=&quot;00620614&quot;/&gt;&lt;wsp:rsid wsp:val=&quot;00621484&quot;/&gt;&lt;wsp:rsid wsp:val=&quot;0062396D&quot;/&gt;&lt;wsp:rsid wsp:val=&quot;00625A8C&quot;/&gt;&lt;wsp:rsid wsp:val=&quot;00625E64&quot;/&gt;&lt;wsp:rsid wsp:val=&quot;00631330&quot;/&gt;&lt;wsp:rsid wsp:val=&quot;0063222E&quot;/&gt;&lt;wsp:rsid wsp:val=&quot;006328C7&quot;/&gt;&lt;wsp:rsid wsp:val=&quot;00632E0E&quot;/&gt;&lt;wsp:rsid wsp:val=&quot;00636A72&quot;/&gt;&lt;wsp:rsid wsp:val=&quot;00641CF0&quot;/&gt;&lt;wsp:rsid wsp:val=&quot;00643755&quot;/&gt;&lt;wsp:rsid wsp:val=&quot;00643EBB&quot;/&gt;&lt;wsp:rsid wsp:val=&quot;006448C3&quot;/&gt;&lt;wsp:rsid wsp:val=&quot;006452BD&quot;/&gt;&lt;wsp:rsid wsp:val=&quot;00646305&quot;/&gt;&lt;wsp:rsid wsp:val=&quot;00654C91&quot;/&gt;&lt;wsp:rsid wsp:val=&quot;006551E8&quot;/&gt;&lt;wsp:rsid wsp:val=&quot;00657F10&quot;/&gt;&lt;wsp:rsid wsp:val=&quot;006607EC&quot;/&gt;&lt;wsp:rsid wsp:val=&quot;0066238C&quot;/&gt;&lt;wsp:rsid wsp:val=&quot;00663110&quot;/&gt;&lt;wsp:rsid wsp:val=&quot;006664E2&quot;/&gt;&lt;wsp:rsid wsp:val=&quot;00670494&quot;/&gt;&lt;wsp:rsid wsp:val=&quot;00670D7F&quot;/&gt;&lt;wsp:rsid wsp:val=&quot;00671CE6&quot;/&gt;&lt;wsp:rsid wsp:val=&quot;006720AB&quot;/&gt;&lt;wsp:rsid wsp:val=&quot;006755F2&quot;/&gt;&lt;wsp:rsid wsp:val=&quot;0068428C&quot;/&gt;&lt;wsp:rsid wsp:val=&quot;00684BE3&quot;/&gt;&lt;wsp:rsid wsp:val=&quot;00684C17&quot;/&gt;&lt;wsp:rsid wsp:val=&quot;00686234&quot;/&gt;&lt;wsp:rsid wsp:val=&quot;00687F71&quot;/&gt;&lt;wsp:rsid wsp:val=&quot;0069367B&quot;/&gt;&lt;wsp:rsid wsp:val=&quot;0069377C&quot;/&gt;&lt;wsp:rsid wsp:val=&quot;00694D5C&quot;/&gt;&lt;wsp:rsid wsp:val=&quot;00697242&quot;/&gt;&lt;wsp:rsid wsp:val=&quot;006A1BC0&quot;/&gt;&lt;wsp:rsid wsp:val=&quot;006A4D8D&quot;/&gt;&lt;wsp:rsid wsp:val=&quot;006A6CAF&quot;/&gt;&lt;wsp:rsid wsp:val=&quot;006B030D&quot;/&gt;&lt;wsp:rsid wsp:val=&quot;006B0FEE&quot;/&gt;&lt;wsp:rsid wsp:val=&quot;006B51FF&quot;/&gt;&lt;wsp:rsid wsp:val=&quot;006B6C5D&quot;/&gt;&lt;wsp:rsid wsp:val=&quot;006C44C4&quot;/&gt;&lt;wsp:rsid wsp:val=&quot;006C589F&quot;/&gt;&lt;wsp:rsid wsp:val=&quot;006C64FC&quot;/&gt;&lt;wsp:rsid wsp:val=&quot;006C6CC7&quot;/&gt;&lt;wsp:rsid wsp:val=&quot;006C7221&quot;/&gt;&lt;wsp:rsid wsp:val=&quot;006D0ECB&quot;/&gt;&lt;wsp:rsid wsp:val=&quot;006D29CC&quot;/&gt;&lt;wsp:rsid wsp:val=&quot;006D394C&quot;/&gt;&lt;wsp:rsid wsp:val=&quot;006D5794&quot;/&gt;&lt;wsp:rsid wsp:val=&quot;006D5942&quot;/&gt;&lt;wsp:rsid wsp:val=&quot;006D763E&quot;/&gt;&lt;wsp:rsid wsp:val=&quot;006D78E8&quot;/&gt;&lt;wsp:rsid wsp:val=&quot;006E0736&quot;/&gt;&lt;wsp:rsid wsp:val=&quot;006E1798&quot;/&gt;&lt;wsp:rsid wsp:val=&quot;006E2122&quot;/&gt;&lt;wsp:rsid wsp:val=&quot;006E40F9&quot;/&gt;&lt;wsp:rsid wsp:val=&quot;006E4BCB&quot;/&gt;&lt;wsp:rsid wsp:val=&quot;006E57FE&quot;/&gt;&lt;wsp:rsid wsp:val=&quot;006E793A&quot;/&gt;&lt;wsp:rsid wsp:val=&quot;006F4191&quot;/&gt;&lt;wsp:rsid wsp:val=&quot;006F523C&quot;/&gt;&lt;wsp:rsid wsp:val=&quot;006F677A&quot;/&gt;&lt;wsp:rsid wsp:val=&quot;00700878&quot;/&gt;&lt;wsp:rsid wsp:val=&quot;00701A92&quot;/&gt;&lt;wsp:rsid wsp:val=&quot;00703315&quot;/&gt;&lt;wsp:rsid wsp:val=&quot;00704418&quot;/&gt;&lt;wsp:rsid wsp:val=&quot;00705DD0&quot;/&gt;&lt;wsp:rsid wsp:val=&quot;00711266&quot;/&gt;&lt;wsp:rsid wsp:val=&quot;0071659C&quot;/&gt;&lt;wsp:rsid wsp:val=&quot;00716F8F&quot;/&gt;&lt;wsp:rsid wsp:val=&quot;0072055A&quot;/&gt;&lt;wsp:rsid wsp:val=&quot;00721D58&quot;/&gt;&lt;wsp:rsid wsp:val=&quot;00727587&quot;/&gt;&lt;wsp:rsid wsp:val=&quot;007306E2&quot;/&gt;&lt;wsp:rsid wsp:val=&quot;007310E8&quot;/&gt;&lt;wsp:rsid wsp:val=&quot;00733210&quot;/&gt;&lt;wsp:rsid wsp:val=&quot;00734A9A&quot;/&gt;&lt;wsp:rsid wsp:val=&quot;00734FFE&quot;/&gt;&lt;wsp:rsid wsp:val=&quot;00736BE0&quot;/&gt;&lt;wsp:rsid wsp:val=&quot;007430E1&quot;/&gt;&lt;wsp:rsid wsp:val=&quot;00745209&quot;/&gt;&lt;wsp:rsid wsp:val=&quot;00745E86&quot;/&gt;&lt;wsp:rsid wsp:val=&quot;00747129&quot;/&gt;&lt;wsp:rsid wsp:val=&quot;007473E2&quot;/&gt;&lt;wsp:rsid wsp:val=&quot;00750A37&quot;/&gt;&lt;wsp:rsid wsp:val=&quot;007513E0&quot;/&gt;&lt;wsp:rsid wsp:val=&quot;0075198A&quot;/&gt;&lt;wsp:rsid wsp:val=&quot;00754841&quot;/&gt;&lt;wsp:rsid wsp:val=&quot;0075587A&quot;/&gt;&lt;wsp:rsid wsp:val=&quot;007578E5&quot;/&gt;&lt;wsp:rsid wsp:val=&quot;00762AC3&quot;/&gt;&lt;wsp:rsid wsp:val=&quot;00763AA3&quot;/&gt;&lt;wsp:rsid wsp:val=&quot;007654E6&quot;/&gt;&lt;wsp:rsid wsp:val=&quot;0076611F&quot;/&gt;&lt;wsp:rsid wsp:val=&quot;0076724F&quot;/&gt;&lt;wsp:rsid wsp:val=&quot;00771CC6&quot;/&gt;&lt;wsp:rsid wsp:val=&quot;00771D63&quot;/&gt;&lt;wsp:rsid wsp:val=&quot;007744A7&quot;/&gt;&lt;wsp:rsid wsp:val=&quot;007756FC&quot;/&gt;&lt;wsp:rsid wsp:val=&quot;0077594E&quot;/&gt;&lt;wsp:rsid wsp:val=&quot;007832BE&quot;/&gt;&lt;wsp:rsid wsp:val=&quot;0078402A&quot;/&gt;&lt;wsp:rsid wsp:val=&quot;00784E61&quot;/&gt;&lt;wsp:rsid wsp:val=&quot;00786DF1&quot;/&gt;&lt;wsp:rsid wsp:val=&quot;007875D6&quot;/&gt;&lt;wsp:rsid wsp:val=&quot;00790496&quot;/&gt;&lt;wsp:rsid wsp:val=&quot;0079396A&quot;/&gt;&lt;wsp:rsid wsp:val=&quot;00794774&quot;/&gt;&lt;wsp:rsid wsp:val=&quot;007A1697&quot;/&gt;&lt;wsp:rsid wsp:val=&quot;007A2CDC&quot;/&gt;&lt;wsp:rsid wsp:val=&quot;007A5059&quot;/&gt;&lt;wsp:rsid wsp:val=&quot;007A511B&quot;/&gt;&lt;wsp:rsid wsp:val=&quot;007A5A15&quot;/&gt;&lt;wsp:rsid wsp:val=&quot;007A6C19&quot;/&gt;&lt;wsp:rsid wsp:val=&quot;007A6E75&quot;/&gt;&lt;wsp:rsid wsp:val=&quot;007A75D7&quot;/&gt;&lt;wsp:rsid wsp:val=&quot;007B02A9&quot;/&gt;&lt;wsp:rsid wsp:val=&quot;007B086A&quot;/&gt;&lt;wsp:rsid wsp:val=&quot;007C00BA&quot;/&gt;&lt;wsp:rsid wsp:val=&quot;007C0F73&quot;/&gt;&lt;wsp:rsid wsp:val=&quot;007C143C&quot;/&gt;&lt;wsp:rsid wsp:val=&quot;007C2882&quot;/&gt;&lt;wsp:rsid wsp:val=&quot;007C2C8B&quot;/&gt;&lt;wsp:rsid wsp:val=&quot;007C2F42&quot;/&gt;&lt;wsp:rsid wsp:val=&quot;007C5272&quot;/&gt;&lt;wsp:rsid wsp:val=&quot;007C7BB4&quot;/&gt;&lt;wsp:rsid wsp:val=&quot;007D246E&quot;/&gt;&lt;wsp:rsid wsp:val=&quot;007D5DD3&quot;/&gt;&lt;wsp:rsid wsp:val=&quot;007E0767&quot;/&gt;&lt;wsp:rsid wsp:val=&quot;007E52B6&quot;/&gt;&lt;wsp:rsid wsp:val=&quot;007F331B&quot;/&gt;&lt;wsp:rsid wsp:val=&quot;007F42AF&quot;/&gt;&lt;wsp:rsid wsp:val=&quot;007F6250&quot;/&gt;&lt;wsp:rsid wsp:val=&quot;007F78A2&quot;/&gt;&lt;wsp:rsid wsp:val=&quot;007F7925&quot;/&gt;&lt;wsp:rsid wsp:val=&quot;00800422&quot;/&gt;&lt;wsp:rsid wsp:val=&quot;00802225&quot;/&gt;&lt;wsp:rsid wsp:val=&quot;00803F65&quot;/&gt;&lt;wsp:rsid wsp:val=&quot;00803FBE&quot;/&gt;&lt;wsp:rsid wsp:val=&quot;0080753A&quot;/&gt;&lt;wsp:rsid wsp:val=&quot;00813B57&quot;/&gt;&lt;wsp:rsid wsp:val=&quot;008171D0&quot;/&gt;&lt;wsp:rsid wsp:val=&quot;00821707&quot;/&gt;&lt;wsp:rsid wsp:val=&quot;00821F59&quot;/&gt;&lt;wsp:rsid wsp:val=&quot;00821FA4&quot;/&gt;&lt;wsp:rsid wsp:val=&quot;0082270E&quot;/&gt;&lt;wsp:rsid wsp:val=&quot;008234D8&quot;/&gt;&lt;wsp:rsid wsp:val=&quot;0084236C&quot;/&gt;&lt;wsp:rsid wsp:val=&quot;0084290F&quot;/&gt;&lt;wsp:rsid wsp:val=&quot;00843385&quot;/&gt;&lt;wsp:rsid wsp:val=&quot;00846723&quot;/&gt;&lt;wsp:rsid wsp:val=&quot;00847A5B&quot;/&gt;&lt;wsp:rsid wsp:val=&quot;00853895&quot;/&gt;&lt;wsp:rsid wsp:val=&quot;008550BA&quot;/&gt;&lt;wsp:rsid wsp:val=&quot;008639DF&quot;/&gt;&lt;wsp:rsid wsp:val=&quot;008709A3&quot;/&gt;&lt;wsp:rsid wsp:val=&quot;00874691&quot;/&gt;&lt;wsp:rsid wsp:val=&quot;00875E14&quot;/&gt;&lt;wsp:rsid wsp:val=&quot;00876334&quot;/&gt;&lt;wsp:rsid wsp:val=&quot;00881063&quot;/&gt;&lt;wsp:rsid wsp:val=&quot;00882866&quot;/&gt;&lt;wsp:rsid wsp:val=&quot;0088426E&quot;/&gt;&lt;wsp:rsid wsp:val=&quot;008857C2&quot;/&gt;&lt;wsp:rsid wsp:val=&quot;008877F3&quot;/&gt;&lt;wsp:rsid wsp:val=&quot;00891879&quot;/&gt;&lt;wsp:rsid wsp:val=&quot;008928B1&quot;/&gt;&lt;wsp:rsid wsp:val=&quot;0089445A&quot;/&gt;&lt;wsp:rsid wsp:val=&quot;008A5A81&quot;/&gt;&lt;wsp:rsid wsp:val=&quot;008B3464&quot;/&gt;&lt;wsp:rsid wsp:val=&quot;008B50C6&quot;/&gt;&lt;wsp:rsid wsp:val=&quot;008B5D12&quot;/&gt;&lt;wsp:rsid wsp:val=&quot;008C0DCD&quot;/&gt;&lt;wsp:rsid wsp:val=&quot;008C1ADA&quot;/&gt;&lt;wsp:rsid wsp:val=&quot;008C6EF9&quot;/&gt;&lt;wsp:rsid wsp:val=&quot;008C7096&quot;/&gt;&lt;wsp:rsid wsp:val=&quot;008D1C99&quot;/&gt;&lt;wsp:rsid wsp:val=&quot;008D6F96&quot;/&gt;&lt;wsp:rsid wsp:val=&quot;008E2F91&quot;/&gt;&lt;wsp:rsid wsp:val=&quot;008E3FE7&quot;/&gt;&lt;wsp:rsid wsp:val=&quot;008E4168&quot;/&gt;&lt;wsp:rsid wsp:val=&quot;008F26E9&quot;/&gt;&lt;wsp:rsid wsp:val=&quot;008F3F91&quot;/&gt;&lt;wsp:rsid wsp:val=&quot;008F4892&quot;/&gt;&lt;wsp:rsid wsp:val=&quot;008F7B63&quot;/&gt;&lt;wsp:rsid wsp:val=&quot;00900A53&quot;/&gt;&lt;wsp:rsid wsp:val=&quot;009016BD&quot;/&gt;&lt;wsp:rsid wsp:val=&quot;00902BD0&quot;/&gt;&lt;wsp:rsid wsp:val=&quot;00906713&quot;/&gt;&lt;wsp:rsid wsp:val=&quot;00911585&quot;/&gt;&lt;wsp:rsid wsp:val=&quot;009140BC&quot;/&gt;&lt;wsp:rsid wsp:val=&quot;009145DA&quot;/&gt;&lt;wsp:rsid wsp:val=&quot;00915375&quot;/&gt;&lt;wsp:rsid wsp:val=&quot;009172F9&quot;/&gt;&lt;wsp:rsid wsp:val=&quot;009179F0&quot;/&gt;&lt;wsp:rsid wsp:val=&quot;00917A05&quot;/&gt;&lt;wsp:rsid wsp:val=&quot;0092018F&quot;/&gt;&lt;wsp:rsid wsp:val=&quot;0092170E&quot;/&gt;&lt;wsp:rsid wsp:val=&quot;00921737&quot;/&gt;&lt;wsp:rsid wsp:val=&quot;0092190B&quot;/&gt;&lt;wsp:rsid wsp:val=&quot;00922FAA&quot;/&gt;&lt;wsp:rsid wsp:val=&quot;0092532E&quot;/&gt;&lt;wsp:rsid wsp:val=&quot;00925917&quot;/&gt;&lt;wsp:rsid wsp:val=&quot;00931A08&quot;/&gt;&lt;wsp:rsid wsp:val=&quot;00936327&quot;/&gt;&lt;wsp:rsid wsp:val=&quot;00943832&quot;/&gt;&lt;wsp:rsid wsp:val=&quot;00943F47&quot;/&gt;&lt;wsp:rsid wsp:val=&quot;00945474&quot;/&gt;&lt;wsp:rsid wsp:val=&quot;0094553E&quot;/&gt;&lt;wsp:rsid wsp:val=&quot;00952BD5&quot;/&gt;&lt;wsp:rsid wsp:val=&quot;009606C8&quot;/&gt;&lt;wsp:rsid wsp:val=&quot;009608F8&quot;/&gt;&lt;wsp:rsid wsp:val=&quot;009626F0&quot;/&gt;&lt;wsp:rsid wsp:val=&quot;00966847&quot;/&gt;&lt;wsp:rsid wsp:val=&quot;00966C62&quot;/&gt;&lt;wsp:rsid wsp:val=&quot;0097541E&quot;/&gt;&lt;wsp:rsid wsp:val=&quot;009801B8&quot;/&gt;&lt;wsp:rsid wsp:val=&quot;009812EE&quot;/&gt;&lt;wsp:rsid wsp:val=&quot;009813F6&quot;/&gt;&lt;wsp:rsid wsp:val=&quot;00982F55&quot;/&gt;&lt;wsp:rsid wsp:val=&quot;00983EF0&quot;/&gt;&lt;wsp:rsid wsp:val=&quot;00987461&quot;/&gt;&lt;wsp:rsid wsp:val=&quot;00997A83&quot;/&gt;&lt;wsp:rsid wsp:val=&quot;009A0F68&quot;/&gt;&lt;wsp:rsid wsp:val=&quot;009A291D&quot;/&gt;&lt;wsp:rsid wsp:val=&quot;009A48D3&quot;/&gt;&lt;wsp:rsid wsp:val=&quot;009A5D2D&quot;/&gt;&lt;wsp:rsid wsp:val=&quot;009A702F&quot;/&gt;&lt;wsp:rsid wsp:val=&quot;009A760F&quot;/&gt;&lt;wsp:rsid wsp:val=&quot;009B1DB5&quot;/&gt;&lt;wsp:rsid wsp:val=&quot;009B3805&quot;/&gt;&lt;wsp:rsid wsp:val=&quot;009B61F1&quot;/&gt;&lt;wsp:rsid wsp:val=&quot;009C129C&quot;/&gt;&lt;wsp:rsid wsp:val=&quot;009C2076&quot;/&gt;&lt;wsp:rsid wsp:val=&quot;009C4D33&quot;/&gt;&lt;wsp:rsid wsp:val=&quot;009C51B7&quot;/&gt;&lt;wsp:rsid wsp:val=&quot;009C6951&quot;/&gt;&lt;wsp:rsid wsp:val=&quot;009D1251&quot;/&gt;&lt;wsp:rsid wsp:val=&quot;009E0711&quot;/&gt;&lt;wsp:rsid wsp:val=&quot;009E7FFB&quot;/&gt;&lt;wsp:rsid wsp:val=&quot;009F081E&quot;/&gt;&lt;wsp:rsid wsp:val=&quot;009F169E&quot;/&gt;&lt;wsp:rsid wsp:val=&quot;009F1DED&quot;/&gt;&lt;wsp:rsid wsp:val=&quot;009F35EB&quot;/&gt;&lt;wsp:rsid wsp:val=&quot;009F451A&quot;/&gt;&lt;wsp:rsid wsp:val=&quot;009F61A4&quot;/&gt;&lt;wsp:rsid wsp:val=&quot;00A009EE&quot;/&gt;&lt;wsp:rsid wsp:val=&quot;00A01DC7&quot;/&gt;&lt;wsp:rsid wsp:val=&quot;00A13091&quot;/&gt;&lt;wsp:rsid wsp:val=&quot;00A134BF&quot;/&gt;&lt;wsp:rsid wsp:val=&quot;00A13629&quot;/&gt;&lt;wsp:rsid wsp:val=&quot;00A2199A&quot;/&gt;&lt;wsp:rsid wsp:val=&quot;00A22756&quot;/&gt;&lt;wsp:rsid wsp:val=&quot;00A228A0&quot;/&gt;&lt;wsp:rsid wsp:val=&quot;00A2483E&quot;/&gt;&lt;wsp:rsid wsp:val=&quot;00A25930&quot;/&gt;&lt;wsp:rsid wsp:val=&quot;00A2795F&quot;/&gt;&lt;wsp:rsid wsp:val=&quot;00A31470&quot;/&gt;&lt;wsp:rsid wsp:val=&quot;00A33546&quot;/&gt;&lt;wsp:rsid wsp:val=&quot;00A33ACB&quot;/&gt;&lt;wsp:rsid wsp:val=&quot;00A33DAA&quot;/&gt;&lt;wsp:rsid wsp:val=&quot;00A35CED&quot;/&gt;&lt;wsp:rsid wsp:val=&quot;00A421AB&quot;/&gt;&lt;wsp:rsid wsp:val=&quot;00A422D7&quot;/&gt;&lt;wsp:rsid wsp:val=&quot;00A43FEA&quot;/&gt;&lt;wsp:rsid wsp:val=&quot;00A45B4A&quot;/&gt;&lt;wsp:rsid wsp:val=&quot;00A51441&quot;/&gt;&lt;wsp:rsid wsp:val=&quot;00A51771&quot;/&gt;&lt;wsp:rsid wsp:val=&quot;00A52C50&quot;/&gt;&lt;wsp:rsid wsp:val=&quot;00A53A8A&quot;/&gt;&lt;wsp:rsid wsp:val=&quot;00A53ED1&quot;/&gt;&lt;wsp:rsid wsp:val=&quot;00A61EA7&quot;/&gt;&lt;wsp:rsid wsp:val=&quot;00A63461&quot;/&gt;&lt;wsp:rsid wsp:val=&quot;00A649B2&quot;/&gt;&lt;wsp:rsid wsp:val=&quot;00A66B30&quot;/&gt;&lt;wsp:rsid wsp:val=&quot;00A66B3A&quot;/&gt;&lt;wsp:rsid wsp:val=&quot;00A734FD&quot;/&gt;&lt;wsp:rsid wsp:val=&quot;00A74E23&quot;/&gt;&lt;wsp:rsid wsp:val=&quot;00A80F1F&quot;/&gt;&lt;wsp:rsid wsp:val=&quot;00A8705F&quot;/&gt;&lt;wsp:rsid wsp:val=&quot;00A90881&quot;/&gt;&lt;wsp:rsid wsp:val=&quot;00A91DF8&quot;/&gt;&lt;wsp:rsid wsp:val=&quot;00A93272&quot;/&gt;&lt;wsp:rsid wsp:val=&quot;00A96DCA&quot;/&gt;&lt;wsp:rsid wsp:val=&quot;00AA043B&quot;/&gt;&lt;wsp:rsid wsp:val=&quot;00AA2D09&quot;/&gt;&lt;wsp:rsid wsp:val=&quot;00AA54C9&quot;/&gt;&lt;wsp:rsid wsp:val=&quot;00AA701F&quot;/&gt;&lt;wsp:rsid wsp:val=&quot;00AA75A0&quot;/&gt;&lt;wsp:rsid wsp:val=&quot;00AB104F&quot;/&gt;&lt;wsp:rsid wsp:val=&quot;00AB1112&quot;/&gt;&lt;wsp:rsid wsp:val=&quot;00AB30E9&quot;/&gt;&lt;wsp:rsid wsp:val=&quot;00AB339E&quot;/&gt;&lt;wsp:rsid wsp:val=&quot;00AB3F44&quot;/&gt;&lt;wsp:rsid wsp:val=&quot;00AB616B&quot;/&gt;&lt;wsp:rsid wsp:val=&quot;00AC3098&quot;/&gt;&lt;wsp:rsid wsp:val=&quot;00AC44F5&quot;/&gt;&lt;wsp:rsid wsp:val=&quot;00AC6915&quot;/&gt;&lt;wsp:rsid wsp:val=&quot;00AC75F4&quot;/&gt;&lt;wsp:rsid wsp:val=&quot;00AD1BB2&quot;/&gt;&lt;wsp:rsid wsp:val=&quot;00AD1BFC&quot;/&gt;&lt;wsp:rsid wsp:val=&quot;00AD7D04&quot;/&gt;&lt;wsp:rsid wsp:val=&quot;00AE2110&quot;/&gt;&lt;wsp:rsid wsp:val=&quot;00AE24CD&quot;/&gt;&lt;wsp:rsid wsp:val=&quot;00AE2D18&quot;/&gt;&lt;wsp:rsid wsp:val=&quot;00AE4F43&quot;/&gt;&lt;wsp:rsid wsp:val=&quot;00AF3757&quot;/&gt;&lt;wsp:rsid wsp:val=&quot;00B00BF9&quot;/&gt;&lt;wsp:rsid wsp:val=&quot;00B0261B&quot;/&gt;&lt;wsp:rsid wsp:val=&quot;00B14C5B&quot;/&gt;&lt;wsp:rsid wsp:val=&quot;00B21CFC&quot;/&gt;&lt;wsp:rsid wsp:val=&quot;00B235B8&quot;/&gt;&lt;wsp:rsid wsp:val=&quot;00B23955&quot;/&gt;&lt;wsp:rsid wsp:val=&quot;00B23C7E&quot;/&gt;&lt;wsp:rsid wsp:val=&quot;00B25C88&quot;/&gt;&lt;wsp:rsid wsp:val=&quot;00B25D4D&quot;/&gt;&lt;wsp:rsid wsp:val=&quot;00B26ABB&quot;/&gt;&lt;wsp:rsid wsp:val=&quot;00B33223&quot;/&gt;&lt;wsp:rsid wsp:val=&quot;00B336AA&quot;/&gt;&lt;wsp:rsid wsp:val=&quot;00B33966&quot;/&gt;&lt;wsp:rsid wsp:val=&quot;00B33B73&quot;/&gt;&lt;wsp:rsid wsp:val=&quot;00B33F19&quot;/&gt;&lt;wsp:rsid wsp:val=&quot;00B362C5&quot;/&gt;&lt;wsp:rsid wsp:val=&quot;00B36ACB&quot;/&gt;&lt;wsp:rsid wsp:val=&quot;00B42BAC&quot;/&gt;&lt;wsp:rsid wsp:val=&quot;00B42D7F&quot;/&gt;&lt;wsp:rsid wsp:val=&quot;00B45F91&quot;/&gt;&lt;wsp:rsid wsp:val=&quot;00B4642C&quot;/&gt;&lt;wsp:rsid wsp:val=&quot;00B46645&quot;/&gt;&lt;wsp:rsid wsp:val=&quot;00B47188&quot;/&gt;&lt;wsp:rsid wsp:val=&quot;00B52659&quot;/&gt;&lt;wsp:rsid wsp:val=&quot;00B53F04&quot;/&gt;&lt;wsp:rsid wsp:val=&quot;00B54934&quot;/&gt;&lt;wsp:rsid wsp:val=&quot;00B55225&quot;/&gt;&lt;wsp:rsid wsp:val=&quot;00B5625F&quot;/&gt;&lt;wsp:rsid wsp:val=&quot;00B63E7C&quot;/&gt;&lt;wsp:rsid wsp:val=&quot;00B64C28&quot;/&gt;&lt;wsp:rsid wsp:val=&quot;00B72F9D&quot;/&gt;&lt;wsp:rsid wsp:val=&quot;00B73247&quot;/&gt;&lt;wsp:rsid wsp:val=&quot;00B758E4&quot;/&gt;&lt;wsp:rsid wsp:val=&quot;00B80D78&quot;/&gt;&lt;wsp:rsid wsp:val=&quot;00B83C2D&quot;/&gt;&lt;wsp:rsid wsp:val=&quot;00B85BE0&quot;/&gt;&lt;wsp:rsid wsp:val=&quot;00B862E4&quot;/&gt;&lt;wsp:rsid wsp:val=&quot;00B864AF&quot;/&gt;&lt;wsp:rsid wsp:val=&quot;00B86D6F&quot;/&gt;&lt;wsp:rsid wsp:val=&quot;00B963A2&quot;/&gt;&lt;wsp:rsid wsp:val=&quot;00B9798D&quot;/&gt;&lt;wsp:rsid wsp:val=&quot;00BA50C9&quot;/&gt;&lt;wsp:rsid wsp:val=&quot;00BA525B&quot;/&gt;&lt;wsp:rsid wsp:val=&quot;00BA6A0C&quot;/&gt;&lt;wsp:rsid wsp:val=&quot;00BA6BAF&quot;/&gt;&lt;wsp:rsid wsp:val=&quot;00BB1A1A&quot;/&gt;&lt;wsp:rsid wsp:val=&quot;00BB2956&quot;/&gt;&lt;wsp:rsid wsp:val=&quot;00BB3170&quot;/&gt;&lt;wsp:rsid wsp:val=&quot;00BB3397&quot;/&gt;&lt;wsp:rsid wsp:val=&quot;00BB526B&quot;/&gt;&lt;wsp:rsid wsp:val=&quot;00BB5B00&quot;/&gt;&lt;wsp:rsid wsp:val=&quot;00BB6566&quot;/&gt;&lt;wsp:rsid wsp:val=&quot;00BC38B9&quot;/&gt;&lt;wsp:rsid wsp:val=&quot;00BD30C9&quot;/&gt;&lt;wsp:rsid wsp:val=&quot;00BD78EC&quot;/&gt;&lt;wsp:rsid wsp:val=&quot;00BE1675&quot;/&gt;&lt;wsp:rsid wsp:val=&quot;00BE2B70&quot;/&gt;&lt;wsp:rsid wsp:val=&quot;00BF0D22&quot;/&gt;&lt;wsp:rsid wsp:val=&quot;00BF1F4E&quot;/&gt;&lt;wsp:rsid wsp:val=&quot;00BF55DE&quot;/&gt;&lt;wsp:rsid wsp:val=&quot;00BF65A4&quot;/&gt;&lt;wsp:rsid wsp:val=&quot;00C0056B&quot;/&gt;&lt;wsp:rsid wsp:val=&quot;00C048C6&quot;/&gt;&lt;wsp:rsid wsp:val=&quot;00C05139&quot;/&gt;&lt;wsp:rsid wsp:val=&quot;00C0525E&quot;/&gt;&lt;wsp:rsid wsp:val=&quot;00C10A4F&quot;/&gt;&lt;wsp:rsid wsp:val=&quot;00C10DB0&quot;/&gt;&lt;wsp:rsid wsp:val=&quot;00C1185D&quot;/&gt;&lt;wsp:rsid wsp:val=&quot;00C20424&quot;/&gt;&lt;wsp:rsid wsp:val=&quot;00C21576&quot;/&gt;&lt;wsp:rsid wsp:val=&quot;00C274D5&quot;/&gt;&lt;wsp:rsid wsp:val=&quot;00C3529F&quot;/&gt;&lt;wsp:rsid wsp:val=&quot;00C362CF&quot;/&gt;&lt;wsp:rsid wsp:val=&quot;00C368A6&quot;/&gt;&lt;wsp:rsid wsp:val=&quot;00C40B65&quot;/&gt;&lt;wsp:rsid wsp:val=&quot;00C4297A&quot;/&gt;&lt;wsp:rsid wsp:val=&quot;00C4360A&quot;/&gt;&lt;wsp:rsid wsp:val=&quot;00C445D9&quot;/&gt;&lt;wsp:rsid wsp:val=&quot;00C51DB6&quot;/&gt;&lt;wsp:rsid wsp:val=&quot;00C5748D&quot;/&gt;&lt;wsp:rsid wsp:val=&quot;00C617F2&quot;/&gt;&lt;wsp:rsid wsp:val=&quot;00C67080&quot;/&gt;&lt;wsp:rsid wsp:val=&quot;00C6784D&quot;/&gt;&lt;wsp:rsid wsp:val=&quot;00C67CF8&quot;/&gt;&lt;wsp:rsid wsp:val=&quot;00C758FE&quot;/&gt;&lt;wsp:rsid wsp:val=&quot;00C76AFA&quot;/&gt;&lt;wsp:rsid wsp:val=&quot;00C835D8&quot;/&gt;&lt;wsp:rsid wsp:val=&quot;00C97B55&quot;/&gt;&lt;wsp:rsid wsp:val=&quot;00CA0926&quot;/&gt;&lt;wsp:rsid wsp:val=&quot;00CA4711&quot;/&gt;&lt;wsp:rsid wsp:val=&quot;00CA507D&quot;/&gt;&lt;wsp:rsid wsp:val=&quot;00CA6707&quot;/&gt;&lt;wsp:rsid wsp:val=&quot;00CA7D2B&quot;/&gt;&lt;wsp:rsid wsp:val=&quot;00CB1115&quot;/&gt;&lt;wsp:rsid wsp:val=&quot;00CB3284&quot;/&gt;&lt;wsp:rsid wsp:val=&quot;00CB5D91&quot;/&gt;&lt;wsp:rsid wsp:val=&quot;00CB6372&quot;/&gt;&lt;wsp:rsid wsp:val=&quot;00CC0314&quot;/&gt;&lt;wsp:rsid wsp:val=&quot;00CC06E8&quot;/&gt;&lt;wsp:rsid wsp:val=&quot;00CC124F&quot;/&gt;&lt;wsp:rsid wsp:val=&quot;00CC42B4&quot;/&gt;&lt;wsp:rsid wsp:val=&quot;00CC6B12&quot;/&gt;&lt;wsp:rsid wsp:val=&quot;00CD2119&quot;/&gt;&lt;wsp:rsid wsp:val=&quot;00CD2177&quot;/&gt;&lt;wsp:rsid wsp:val=&quot;00CD4350&quot;/&gt;&lt;wsp:rsid wsp:val=&quot;00CD6020&quot;/&gt;&lt;wsp:rsid wsp:val=&quot;00CE36F4&quot;/&gt;&lt;wsp:rsid wsp:val=&quot;00CE4E07&quot;/&gt;&lt;wsp:rsid wsp:val=&quot;00CF078D&quot;/&gt;&lt;wsp:rsid wsp:val=&quot;00CF1DCA&quot;/&gt;&lt;wsp:rsid wsp:val=&quot;00CF65BA&quot;/&gt;&lt;wsp:rsid wsp:val=&quot;00D019AE&quot;/&gt;&lt;wsp:rsid wsp:val=&quot;00D059A8&quot;/&gt;&lt;wsp:rsid wsp:val=&quot;00D10D12&quot;/&gt;&lt;wsp:rsid wsp:val=&quot;00D1166E&quot;/&gt;&lt;wsp:rsid wsp:val=&quot;00D12265&quot;/&gt;&lt;wsp:rsid wsp:val=&quot;00D151BA&quot;/&gt;&lt;wsp:rsid wsp:val=&quot;00D15BD8&quot;/&gt;&lt;wsp:rsid wsp:val=&quot;00D166AD&quot;/&gt;&lt;wsp:rsid wsp:val=&quot;00D201FB&quot;/&gt;&lt;wsp:rsid wsp:val=&quot;00D20F5F&quot;/&gt;&lt;wsp:rsid wsp:val=&quot;00D2276D&quot;/&gt;&lt;wsp:rsid wsp:val=&quot;00D235A5&quot;/&gt;&lt;wsp:rsid wsp:val=&quot;00D23C21&quot;/&gt;&lt;wsp:rsid wsp:val=&quot;00D26E24&quot;/&gt;&lt;wsp:rsid wsp:val=&quot;00D302BF&quot;/&gt;&lt;wsp:rsid wsp:val=&quot;00D3259C&quot;/&gt;&lt;wsp:rsid wsp:val=&quot;00D36900&quot;/&gt;&lt;wsp:rsid wsp:val=&quot;00D373C6&quot;/&gt;&lt;wsp:rsid wsp:val=&quot;00D428C8&quot;/&gt;&lt;wsp:rsid wsp:val=&quot;00D50793&quot;/&gt;&lt;wsp:rsid wsp:val=&quot;00D50DC5&quot;/&gt;&lt;wsp:rsid wsp:val=&quot;00D516DC&quot;/&gt;&lt;wsp:rsid wsp:val=&quot;00D51859&quot;/&gt;&lt;wsp:rsid wsp:val=&quot;00D52970&quot;/&gt;&lt;wsp:rsid wsp:val=&quot;00D56CE8&quot;/&gt;&lt;wsp:rsid wsp:val=&quot;00D60E20&quot;/&gt;&lt;wsp:rsid wsp:val=&quot;00D61F3F&quot;/&gt;&lt;wsp:rsid wsp:val=&quot;00D627FD&quot;/&gt;&lt;wsp:rsid wsp:val=&quot;00D64B22&quot;/&gt;&lt;wsp:rsid wsp:val=&quot;00D66482&quot;/&gt;&lt;wsp:rsid wsp:val=&quot;00D712A8&quot;/&gt;&lt;wsp:rsid wsp:val=&quot;00D739B4&quot;/&gt;&lt;wsp:rsid wsp:val=&quot;00D74CE9&quot;/&gt;&lt;wsp:rsid wsp:val=&quot;00D75CAB&quot;/&gt;&lt;wsp:rsid wsp:val=&quot;00D76071&quot;/&gt;&lt;wsp:rsid wsp:val=&quot;00D76DB9&quot;/&gt;&lt;wsp:rsid wsp:val=&quot;00D8061D&quot;/&gt;&lt;wsp:rsid wsp:val=&quot;00D8209B&quot;/&gt;&lt;wsp:rsid wsp:val=&quot;00D82191&quot;/&gt;&lt;wsp:rsid wsp:val=&quot;00D853A1&quot;/&gt;&lt;wsp:rsid wsp:val=&quot;00D8705F&quot;/&gt;&lt;wsp:rsid wsp:val=&quot;00D92DD6&quot;/&gt;&lt;wsp:rsid wsp:val=&quot;00D93BCC&quot;/&gt;&lt;wsp:rsid wsp:val=&quot;00D97DC3&quot;/&gt;&lt;wsp:rsid wsp:val=&quot;00DA1AEC&quot;/&gt;&lt;wsp:rsid wsp:val=&quot;00DA298B&quot;/&gt;&lt;wsp:rsid wsp:val=&quot;00DA3CBD&quot;/&gt;&lt;wsp:rsid wsp:val=&quot;00DB0338&quot;/&gt;&lt;wsp:rsid wsp:val=&quot;00DB1195&quot;/&gt;&lt;wsp:rsid wsp:val=&quot;00DB19CE&quot;/&gt;&lt;wsp:rsid wsp:val=&quot;00DB26BF&quot;/&gt;&lt;wsp:rsid wsp:val=&quot;00DB7EED&quot;/&gt;&lt;wsp:rsid wsp:val=&quot;00DC1315&quot;/&gt;&lt;wsp:rsid wsp:val=&quot;00DC3DA9&quot;/&gt;&lt;wsp:rsid wsp:val=&quot;00DC5E14&quot;/&gt;&lt;wsp:rsid wsp:val=&quot;00DD0B7F&quot;/&gt;&lt;wsp:rsid wsp:val=&quot;00DD452A&quot;/&gt;&lt;wsp:rsid wsp:val=&quot;00DD729D&quot;/&gt;&lt;wsp:rsid wsp:val=&quot;00DE2DE3&quot;/&gt;&lt;wsp:rsid wsp:val=&quot;00DE42AC&quot;/&gt;&lt;wsp:rsid wsp:val=&quot;00DE67F9&quot;/&gt;&lt;wsp:rsid wsp:val=&quot;00DF0161&quot;/&gt;&lt;wsp:rsid wsp:val=&quot;00DF17F0&quot;/&gt;&lt;wsp:rsid wsp:val=&quot;00DF6B5C&quot;/&gt;&lt;wsp:rsid wsp:val=&quot;00DF73BF&quot;/&gt;&lt;wsp:rsid wsp:val=&quot;00DF7F54&quot;/&gt;&lt;wsp:rsid wsp:val=&quot;00E02D84&quot;/&gt;&lt;wsp:rsid wsp:val=&quot;00E12090&quot;/&gt;&lt;wsp:rsid wsp:val=&quot;00E1368B&quot;/&gt;&lt;wsp:rsid wsp:val=&quot;00E145BD&quot;/&gt;&lt;wsp:rsid wsp:val=&quot;00E14964&quot;/&gt;&lt;wsp:rsid wsp:val=&quot;00E14F00&quot;/&gt;&lt;wsp:rsid wsp:val=&quot;00E17E89&quot;/&gt;&lt;wsp:rsid wsp:val=&quot;00E17EBA&quot;/&gt;&lt;wsp:rsid wsp:val=&quot;00E2143B&quot;/&gt;&lt;wsp:rsid wsp:val=&quot;00E21CE0&quot;/&gt;&lt;wsp:rsid wsp:val=&quot;00E2528C&quot;/&gt;&lt;wsp:rsid wsp:val=&quot;00E265FC&quot;/&gt;&lt;wsp:rsid wsp:val=&quot;00E27157&quot;/&gt;&lt;wsp:rsid wsp:val=&quot;00E36D02&quot;/&gt;&lt;wsp:rsid wsp:val=&quot;00E42729&quot;/&gt;&lt;wsp:rsid wsp:val=&quot;00E429F6&quot;/&gt;&lt;wsp:rsid wsp:val=&quot;00E431DF&quot;/&gt;&lt;wsp:rsid wsp:val=&quot;00E45336&quot;/&gt;&lt;wsp:rsid wsp:val=&quot;00E4697B&quot;/&gt;&lt;wsp:rsid wsp:val=&quot;00E469CB&quot;/&gt;&lt;wsp:rsid wsp:val=&quot;00E505E5&quot;/&gt;&lt;wsp:rsid wsp:val=&quot;00E5168C&quot;/&gt;&lt;wsp:rsid wsp:val=&quot;00E53020&quot;/&gt;&lt;wsp:rsid wsp:val=&quot;00E5428B&quot;/&gt;&lt;wsp:rsid wsp:val=&quot;00E57F82&quot;/&gt;&lt;wsp:rsid wsp:val=&quot;00E601AC&quot;/&gt;&lt;wsp:rsid wsp:val=&quot;00E62666&quot;/&gt;&lt;wsp:rsid wsp:val=&quot;00E658DF&quot;/&gt;&lt;wsp:rsid wsp:val=&quot;00E65A28&quot;/&gt;&lt;wsp:rsid wsp:val=&quot;00E7233D&quot;/&gt;&lt;wsp:rsid wsp:val=&quot;00E732B9&quot;/&gt;&lt;wsp:rsid wsp:val=&quot;00E73E1E&quot;/&gt;&lt;wsp:rsid wsp:val=&quot;00E74C37&quot;/&gt;&lt;wsp:rsid wsp:val=&quot;00E76192&quot;/&gt;&lt;wsp:rsid wsp:val=&quot;00E7641D&quot;/&gt;&lt;wsp:rsid wsp:val=&quot;00E77B2A&quot;/&gt;&lt;wsp:rsid wsp:val=&quot;00E81485&quot;/&gt;&lt;wsp:rsid wsp:val=&quot;00E82258&quot;/&gt;&lt;wsp:rsid wsp:val=&quot;00E82F12&quot;/&gt;&lt;wsp:rsid wsp:val=&quot;00E82FAD&quot;/&gt;&lt;wsp:rsid wsp:val=&quot;00E83639&quot;/&gt;&lt;wsp:rsid wsp:val=&quot;00E86DDE&quot;/&gt;&lt;wsp:rsid wsp:val=&quot;00E90366&quot;/&gt;&lt;wsp:rsid wsp:val=&quot;00E90448&quot;/&gt;&lt;wsp:rsid wsp:val=&quot;00E96592&quot;/&gt;&lt;wsp:rsid wsp:val=&quot;00E97206&quot;/&gt;&lt;wsp:rsid wsp:val=&quot;00E97A81&quot;/&gt;&lt;wsp:rsid wsp:val=&quot;00E97CDF&quot;/&gt;&lt;wsp:rsid wsp:val=&quot;00EA14B4&quot;/&gt;&lt;wsp:rsid wsp:val=&quot;00EA3C1D&quot;/&gt;&lt;wsp:rsid wsp:val=&quot;00EA7232&quot;/&gt;&lt;wsp:rsid wsp:val=&quot;00EB2DF6&quot;/&gt;&lt;wsp:rsid wsp:val=&quot;00EB2F4B&quot;/&gt;&lt;wsp:rsid wsp:val=&quot;00EB33C4&quot;/&gt;&lt;wsp:rsid wsp:val=&quot;00EB59EB&quot;/&gt;&lt;wsp:rsid wsp:val=&quot;00EC2038&quot;/&gt;&lt;wsp:rsid wsp:val=&quot;00EC2C1D&quot;/&gt;&lt;wsp:rsid wsp:val=&quot;00EC3A9E&quot;/&gt;&lt;wsp:rsid wsp:val=&quot;00EC7438&quot;/&gt;&lt;wsp:rsid wsp:val=&quot;00ED192F&quot;/&gt;&lt;wsp:rsid wsp:val=&quot;00ED27DF&quot;/&gt;&lt;wsp:rsid wsp:val=&quot;00ED36AF&quot;/&gt;&lt;wsp:rsid wsp:val=&quot;00ED39CB&quot;/&gt;&lt;wsp:rsid wsp:val=&quot;00EE0561&quot;/&gt;&lt;wsp:rsid wsp:val=&quot;00EE1E02&quot;/&gt;&lt;wsp:rsid wsp:val=&quot;00EE51DD&quot;/&gt;&lt;wsp:rsid wsp:val=&quot;00EF2265&quot;/&gt;&lt;wsp:rsid wsp:val=&quot;00EF3414&quot;/&gt;&lt;wsp:rsid wsp:val=&quot;00EF4A2E&quot;/&gt;&lt;wsp:rsid wsp:val=&quot;00EF640B&quot;/&gt;&lt;wsp:rsid wsp:val=&quot;00EF7EC9&quot;/&gt;&lt;wsp:rsid wsp:val=&quot;00F05A6E&quot;/&gt;&lt;wsp:rsid wsp:val=&quot;00F1063C&quot;/&gt;&lt;wsp:rsid wsp:val=&quot;00F10A3E&quot;/&gt;&lt;wsp:rsid wsp:val=&quot;00F13FD6&quot;/&gt;&lt;wsp:rsid wsp:val=&quot;00F15653&quot;/&gt;&lt;wsp:rsid wsp:val=&quot;00F1632B&quot;/&gt;&lt;wsp:rsid wsp:val=&quot;00F221E6&quot;/&gt;&lt;wsp:rsid wsp:val=&quot;00F27E3E&quot;/&gt;&lt;wsp:rsid wsp:val=&quot;00F27EFD&quot;/&gt;&lt;wsp:rsid wsp:val=&quot;00F34501&quot;/&gt;&lt;wsp:rsid wsp:val=&quot;00F34520&quot;/&gt;&lt;wsp:rsid wsp:val=&quot;00F34821&quot;/&gt;&lt;wsp:rsid wsp:val=&quot;00F40D65&quot;/&gt;&lt;wsp:rsid wsp:val=&quot;00F42984&quot;/&gt;&lt;wsp:rsid wsp:val=&quot;00F4396A&quot;/&gt;&lt;wsp:rsid wsp:val=&quot;00F44B7B&quot;/&gt;&lt;wsp:rsid wsp:val=&quot;00F47866&quot;/&gt;&lt;wsp:rsid wsp:val=&quot;00F478BC&quot;/&gt;&lt;wsp:rsid wsp:val=&quot;00F47C2E&quot;/&gt;&lt;wsp:rsid wsp:val=&quot;00F50AC1&quot;/&gt;&lt;wsp:rsid wsp:val=&quot;00F520D8&quot;/&gt;&lt;wsp:rsid wsp:val=&quot;00F5737F&quot;/&gt;&lt;wsp:rsid wsp:val=&quot;00F70B55&quot;/&gt;&lt;wsp:rsid wsp:val=&quot;00F70D98&quot;/&gt;&lt;wsp:rsid wsp:val=&quot;00F72B0D&quot;/&gt;&lt;wsp:rsid wsp:val=&quot;00F73E6F&quot;/&gt;&lt;wsp:rsid wsp:val=&quot;00F742CC&quot;/&gt;&lt;wsp:rsid wsp:val=&quot;00F747D0&quot;/&gt;&lt;wsp:rsid wsp:val=&quot;00F76F09&quot;/&gt;&lt;wsp:rsid wsp:val=&quot;00F81FF3&quot;/&gt;&lt;wsp:rsid wsp:val=&quot;00F84C5A&quot;/&gt;&lt;wsp:rsid wsp:val=&quot;00F85331&quot;/&gt;&lt;wsp:rsid wsp:val=&quot;00F85745&quot;/&gt;&lt;wsp:rsid wsp:val=&quot;00F85FAD&quot;/&gt;&lt;wsp:rsid wsp:val=&quot;00F87993&quot;/&gt;&lt;wsp:rsid wsp:val=&quot;00FA2AED&quot;/&gt;&lt;wsp:rsid wsp:val=&quot;00FA3AEA&quot;/&gt;&lt;wsp:rsid wsp:val=&quot;00FA43F3&quot;/&gt;&lt;wsp:rsid wsp:val=&quot;00FA4D7C&quot;/&gt;&lt;wsp:rsid wsp:val=&quot;00FA5470&quot;/&gt;&lt;wsp:rsid wsp:val=&quot;00FA5F75&quot;/&gt;&lt;wsp:rsid wsp:val=&quot;00FA776A&quot;/&gt;&lt;wsp:rsid wsp:val=&quot;00FA7E7A&quot;/&gt;&lt;wsp:rsid wsp:val=&quot;00FA7FF0&quot;/&gt;&lt;wsp:rsid wsp:val=&quot;00FB0456&quot;/&gt;&lt;wsp:rsid wsp:val=&quot;00FB1DF2&quot;/&gt;&lt;wsp:rsid wsp:val=&quot;00FB4AC8&quot;/&gt;&lt;wsp:rsid wsp:val=&quot;00FB5070&quot;/&gt;&lt;wsp:rsid wsp:val=&quot;00FC0127&quot;/&gt;&lt;wsp:rsid wsp:val=&quot;00FC0C66&quot;/&gt;&lt;wsp:rsid wsp:val=&quot;00FC2027&quot;/&gt;&lt;wsp:rsid wsp:val=&quot;00FC437C&quot;/&gt;&lt;wsp:rsid wsp:val=&quot;00FC69BA&quot;/&gt;&lt;wsp:rsid wsp:val=&quot;00FC720B&quot;/&gt;&lt;wsp:rsid wsp:val=&quot;00FC7568&quot;/&gt;&lt;wsp:rsid wsp:val=&quot;00FD05EE&quot;/&gt;&lt;wsp:rsid wsp:val=&quot;00FD40AE&quot;/&gt;&lt;wsp:rsid wsp:val=&quot;00FD6EC3&quot;/&gt;&lt;wsp:rsid wsp:val=&quot;00FE3B0B&quot;/&gt;&lt;wsp:rsid wsp:val=&quot;00FE3CB8&quot;/&gt;&lt;wsp:rsid wsp:val=&quot;00FE5183&quot;/&gt;&lt;wsp:rsid wsp:val=&quot;00FE71D7&quot;/&gt;&lt;/wsp:rsids&gt;&lt;/w:docPr&gt;&lt;w:body&gt;&lt;w:p wsp:rsidR=&quot;00000000&quot; wsp:rsidRDefault=&quot;0039581E&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T&lt;/m:t&gt;&lt;/m:r&gt;&lt;/m:e&gt;&lt;m:sub&gt;&lt;m:r&gt;&lt;w:rPr&gt;&lt;w:rFonts w:ascii=&quot;Cambria Math&quot; w:h-ansi=&quot;Cambria Math&quot;/&gt;&lt;wx:font wx:val=&quot;Cambria Math&quot;/&gt;&lt;w:i/&gt;&lt;w:lang w:val=&quot;EN-US&quot;/&gt;&lt;/w:rPr&gt;&lt;m:t&gt;rate&lt;/m:t&gt;&lt;/m:r&gt;&lt;/m:sub&gt;&lt;/m:sSub&gt;&lt;m:r&gt;&lt;w:rPr&gt;&lt;w:rFonts w:ascii=&quot;Cambria Math&quot; w:h-ans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B&lt;/m:t&gt;&lt;/m:r&gt;&lt;/m:e&gt;&lt;m:sub&gt;&lt;m:r&gt;&lt;w:rPr&gt;&lt;w:rFonts w:ascii=&quot;Cambria Math&quot; w:h-ansi=&quot;Cambria Math&quot;/&gt;&lt;wx:font wx:val=&quot;Cambria Math&quot;/&gt;&lt;w:i/&gt;&lt;w:lang w:val=&quot;EN-US&quot;/&gt;&lt;/w:rPr&gt;&lt;m:t&gt;rate&lt;/m:t&gt;&lt;/m:r&gt;&lt;/m:sub&gt;&lt;/m:sSub&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D&lt;/m:t&gt;&lt;/m:r&gt;&lt;/m:e&gt;&lt;m:sub&gt;&lt;m:r&gt;&lt;w:rPr&gt;&lt;w:rFonts w:ascii=&quot;Cambria Math&quot; w:h-ansi=&quot;Cambria Math&quot;/&gt;&lt;wx:font wx:val=&quot;Cambria Math&quot;/&gt;&lt;w:i/&gt;&lt;w:lang w:val=&quot;EN-US&quot;/&gt;&lt;/w:rPr&gt;&lt;m:t&gt;ratio&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0" o:title="" chromakey="white"/>
          </v:shape>
        </w:pict>
      </w:r>
      <w:r w:rsidRPr="008D584B">
        <w:rPr>
          <w:lang w:val="en-US"/>
        </w:rPr>
        <w:fldChar w:fldCharType="end"/>
      </w:r>
    </w:p>
    <w:p w:rsidR="00A2303C" w:rsidRDefault="00A2303C" w:rsidP="00ED27DF">
      <w:pPr>
        <w:pStyle w:val="NoSpacing"/>
        <w:spacing w:line="360" w:lineRule="auto"/>
        <w:rPr>
          <w:lang w:val="en-US"/>
        </w:rPr>
      </w:pPr>
    </w:p>
    <w:p w:rsidR="00A2303C" w:rsidRPr="00E77B2A" w:rsidRDefault="00A2303C" w:rsidP="00ED27DF">
      <w:pPr>
        <w:pStyle w:val="NoSpacing"/>
        <w:spacing w:line="360" w:lineRule="auto"/>
        <w:rPr>
          <w:lang w:val="en-US"/>
        </w:rPr>
      </w:pPr>
      <w:r w:rsidRPr="00E77B2A">
        <w:rPr>
          <w:lang w:val="en-US"/>
        </w:rPr>
        <w:t xml:space="preserve">However, it is important to note that influential factors such as administrative costs, unemployment, early retirement, survivors’ benefits and </w:t>
      </w:r>
      <w:r>
        <w:rPr>
          <w:lang w:val="en-US"/>
        </w:rPr>
        <w:t xml:space="preserve">tax </w:t>
      </w:r>
      <w:r w:rsidRPr="00E77B2A">
        <w:rPr>
          <w:lang w:val="en-US"/>
        </w:rPr>
        <w:t>e</w:t>
      </w:r>
      <w:r>
        <w:rPr>
          <w:lang w:val="en-US"/>
        </w:rPr>
        <w:t>vasion are omitted (World Bank</w:t>
      </w:r>
      <w:r w:rsidRPr="00E77B2A">
        <w:rPr>
          <w:lang w:val="en-US"/>
        </w:rPr>
        <w:t xml:space="preserve"> 1994)</w:t>
      </w:r>
      <w:r>
        <w:rPr>
          <w:lang w:val="en-US"/>
        </w:rPr>
        <w:t>.</w:t>
      </w:r>
      <w:r w:rsidRPr="00E77B2A">
        <w:rPr>
          <w:lang w:val="en-US"/>
        </w:rPr>
        <w:br/>
      </w:r>
      <w:r w:rsidRPr="00E77B2A">
        <w:rPr>
          <w:lang w:val="en-US"/>
        </w:rPr>
        <w:tab/>
      </w:r>
      <w:r w:rsidRPr="00E77B2A">
        <w:rPr>
          <w:lang w:val="en-US"/>
        </w:rPr>
        <w:tab/>
      </w:r>
      <w:r w:rsidRPr="00E77B2A">
        <w:rPr>
          <w:lang w:val="en-US"/>
        </w:rPr>
        <w:tab/>
      </w:r>
      <w:r w:rsidRPr="00E77B2A">
        <w:rPr>
          <w:lang w:val="en-US"/>
        </w:rPr>
        <w:tab/>
      </w:r>
      <w:r w:rsidRPr="00E77B2A">
        <w:rPr>
          <w:lang w:val="en-US"/>
        </w:rPr>
        <w:tab/>
      </w:r>
      <w:r w:rsidRPr="00E77B2A">
        <w:rPr>
          <w:lang w:val="en-US"/>
        </w:rPr>
        <w:tab/>
      </w:r>
      <w:r w:rsidRPr="00E77B2A">
        <w:rPr>
          <w:lang w:val="en-US"/>
        </w:rPr>
        <w:tab/>
      </w:r>
      <w:r w:rsidRPr="00E77B2A">
        <w:rPr>
          <w:lang w:val="en-US"/>
        </w:rPr>
        <w:tab/>
      </w:r>
      <w:r w:rsidRPr="00E77B2A">
        <w:rPr>
          <w:lang w:val="en-US"/>
        </w:rPr>
        <w:tab/>
      </w:r>
      <w:r w:rsidRPr="00E77B2A">
        <w:rPr>
          <w:lang w:val="en-US"/>
        </w:rPr>
        <w:tab/>
      </w:r>
      <w:r w:rsidRPr="00E77B2A">
        <w:rPr>
          <w:lang w:val="en-US"/>
        </w:rPr>
        <w:br/>
        <w:t xml:space="preserve">The PAYG process serves as redistribution of real income, both across and within generations. In addition, the responsibilities of mandating, financing, managing and insuring the plan are placed on the government.  </w:t>
      </w:r>
    </w:p>
    <w:p w:rsidR="00A2303C" w:rsidRPr="00E77B2A" w:rsidRDefault="00A2303C" w:rsidP="00ED27DF">
      <w:pPr>
        <w:pStyle w:val="NoSpacing"/>
        <w:spacing w:line="360" w:lineRule="auto"/>
        <w:rPr>
          <w:lang w:val="en-US"/>
        </w:rPr>
      </w:pPr>
    </w:p>
    <w:p w:rsidR="00A2303C" w:rsidRPr="00E77B2A" w:rsidRDefault="00A2303C" w:rsidP="007E52B6">
      <w:pPr>
        <w:pStyle w:val="NoSpacing"/>
        <w:numPr>
          <w:ilvl w:val="1"/>
          <w:numId w:val="3"/>
        </w:numPr>
        <w:spacing w:line="360" w:lineRule="auto"/>
        <w:ind w:hanging="1296"/>
        <w:rPr>
          <w:b/>
          <w:i/>
          <w:lang w:val="en-US"/>
        </w:rPr>
      </w:pPr>
      <w:r w:rsidRPr="00E77B2A">
        <w:rPr>
          <w:b/>
          <w:i/>
          <w:lang w:val="en-US"/>
        </w:rPr>
        <w:t>Fully funded</w:t>
      </w:r>
    </w:p>
    <w:p w:rsidR="00A2303C" w:rsidRPr="00E77B2A" w:rsidRDefault="00A2303C" w:rsidP="007E52B6">
      <w:pPr>
        <w:pStyle w:val="NoSpacing"/>
        <w:spacing w:line="360" w:lineRule="auto"/>
        <w:rPr>
          <w:lang w:val="en-US"/>
        </w:rPr>
      </w:pPr>
      <w:r w:rsidRPr="00E77B2A">
        <w:rPr>
          <w:lang w:val="en-US"/>
        </w:rPr>
        <w:t>This type of funding is particularly us</w:t>
      </w:r>
      <w:r>
        <w:rPr>
          <w:lang w:val="en-US"/>
        </w:rPr>
        <w:t>ed for the second and third pillar</w:t>
      </w:r>
      <w:r w:rsidRPr="00E77B2A">
        <w:rPr>
          <w:lang w:val="en-US"/>
        </w:rPr>
        <w:t>. A fully funded system is defined as a scheme in which a stock of capital is accu</w:t>
      </w:r>
      <w:r>
        <w:rPr>
          <w:lang w:val="en-US"/>
        </w:rPr>
        <w:t>mulated to pay out</w:t>
      </w:r>
      <w:r w:rsidRPr="00E77B2A">
        <w:rPr>
          <w:lang w:val="en-US"/>
        </w:rPr>
        <w:t xml:space="preserve"> benefits in the future. The aggregation of contributions combined with investment returns should be sufficiently high at any time, to cover the present value of the comp</w:t>
      </w:r>
      <w:r>
        <w:rPr>
          <w:lang w:val="en-US"/>
        </w:rPr>
        <w:t>lete stream of future</w:t>
      </w:r>
      <w:r w:rsidRPr="00E77B2A">
        <w:rPr>
          <w:lang w:val="en-US"/>
        </w:rPr>
        <w:t xml:space="preserve"> payouts. </w:t>
      </w:r>
      <w:r>
        <w:rPr>
          <w:lang w:val="en-US"/>
        </w:rPr>
        <w:t xml:space="preserve">Stating it differently; a person is responsible for </w:t>
      </w:r>
      <w:r w:rsidRPr="00643EBB">
        <w:rPr>
          <w:lang w:val="en-US"/>
        </w:rPr>
        <w:t>accumulating</w:t>
      </w:r>
      <w:r>
        <w:rPr>
          <w:lang w:val="en-US"/>
        </w:rPr>
        <w:t xml:space="preserve"> enough money to support him or her during old age, which for instance could be realized via contributions to pension funds.</w:t>
      </w:r>
      <w:r w:rsidRPr="00E77B2A">
        <w:rPr>
          <w:lang w:val="en-US"/>
        </w:rPr>
        <w:t xml:space="preserve"> </w:t>
      </w:r>
    </w:p>
    <w:p w:rsidR="00A2303C" w:rsidRPr="00E77B2A" w:rsidRDefault="00A2303C" w:rsidP="007E52B6">
      <w:pPr>
        <w:pStyle w:val="NoSpacing"/>
        <w:spacing w:line="360" w:lineRule="auto"/>
        <w:rPr>
          <w:lang w:val="en-US"/>
        </w:rPr>
      </w:pPr>
    </w:p>
    <w:p w:rsidR="00A2303C" w:rsidRPr="00E77B2A" w:rsidRDefault="00A2303C" w:rsidP="009B61F1">
      <w:pPr>
        <w:pStyle w:val="NoSpacing"/>
        <w:numPr>
          <w:ilvl w:val="2"/>
          <w:numId w:val="3"/>
        </w:numPr>
        <w:spacing w:line="360" w:lineRule="auto"/>
        <w:ind w:left="1276" w:hanging="1276"/>
        <w:rPr>
          <w:b/>
          <w:i/>
          <w:lang w:val="en-US"/>
        </w:rPr>
      </w:pPr>
      <w:r w:rsidRPr="00E77B2A">
        <w:rPr>
          <w:b/>
          <w:i/>
          <w:lang w:val="en-US"/>
        </w:rPr>
        <w:t>Defined contribution (DC) plans</w:t>
      </w:r>
    </w:p>
    <w:p w:rsidR="00A2303C" w:rsidRPr="00E77B2A" w:rsidRDefault="00A2303C" w:rsidP="00421F52">
      <w:pPr>
        <w:pStyle w:val="NoSpacing"/>
        <w:spacing w:line="360" w:lineRule="auto"/>
        <w:rPr>
          <w:lang w:val="en-US"/>
        </w:rPr>
      </w:pPr>
      <w:r w:rsidRPr="00E77B2A">
        <w:rPr>
          <w:lang w:val="en-US"/>
        </w:rPr>
        <w:t>By definition defined contribution plans are fully fu</w:t>
      </w:r>
      <w:r>
        <w:rPr>
          <w:lang w:val="en-US"/>
        </w:rPr>
        <w:t>nded, for the reason that participants</w:t>
      </w:r>
      <w:r w:rsidRPr="00E77B2A">
        <w:rPr>
          <w:lang w:val="en-US"/>
        </w:rPr>
        <w:t xml:space="preserve"> are only entitled to the earnings of their own individual accounts. While participants are working, the employer will make contributions, which are usually based on a percentage of the employee’s wage, on their behalf to their individual account. These payments are directly linked with the benefits that will be received upon retirement. The contributions are invested, generally by professionals, to earn a return. Depending on how well these funds are managed, the individual accoun</w:t>
      </w:r>
      <w:r>
        <w:rPr>
          <w:lang w:val="en-US"/>
        </w:rPr>
        <w:t>t will accumulate over time. In case more contributions are made (under the condition that this is allowed)</w:t>
      </w:r>
      <w:r w:rsidRPr="00E77B2A">
        <w:rPr>
          <w:lang w:val="en-US"/>
        </w:rPr>
        <w:t xml:space="preserve">, the </w:t>
      </w:r>
      <w:r>
        <w:rPr>
          <w:lang w:val="en-US"/>
        </w:rPr>
        <w:t>benefit received by the retiree upon retirement will consequently also rise</w:t>
      </w:r>
      <w:r w:rsidRPr="00E77B2A">
        <w:rPr>
          <w:lang w:val="en-US"/>
        </w:rPr>
        <w:t xml:space="preserve">. </w:t>
      </w:r>
      <w:r>
        <w:rPr>
          <w:lang w:val="en-US"/>
        </w:rPr>
        <w:t>Therefore</w:t>
      </w:r>
      <w:r w:rsidRPr="00E77B2A">
        <w:rPr>
          <w:lang w:val="en-US"/>
        </w:rPr>
        <w:t>, workers with higher wages will</w:t>
      </w:r>
      <w:r>
        <w:rPr>
          <w:lang w:val="en-US"/>
        </w:rPr>
        <w:t xml:space="preserve"> generally</w:t>
      </w:r>
      <w:r w:rsidRPr="00E77B2A">
        <w:rPr>
          <w:lang w:val="en-US"/>
        </w:rPr>
        <w:t xml:space="preserve"> contribute more to the fund and </w:t>
      </w:r>
      <w:r>
        <w:rPr>
          <w:lang w:val="en-US"/>
        </w:rPr>
        <w:t xml:space="preserve">will </w:t>
      </w:r>
      <w:r w:rsidRPr="00E77B2A">
        <w:rPr>
          <w:lang w:val="en-US"/>
        </w:rPr>
        <w:t>ultimately have higher retirement accumulations than workers with lower wages</w:t>
      </w:r>
      <w:r>
        <w:rPr>
          <w:lang w:val="en-US"/>
        </w:rPr>
        <w:t xml:space="preserve"> (ceteris paribus)</w:t>
      </w:r>
      <w:r w:rsidRPr="00E77B2A">
        <w:rPr>
          <w:lang w:val="en-US"/>
        </w:rPr>
        <w:t xml:space="preserve">. </w:t>
      </w:r>
    </w:p>
    <w:p w:rsidR="00A2303C" w:rsidRPr="00E77B2A" w:rsidRDefault="00A2303C" w:rsidP="00421F52">
      <w:pPr>
        <w:pStyle w:val="NoSpacing"/>
        <w:spacing w:line="360" w:lineRule="auto"/>
        <w:rPr>
          <w:lang w:val="en-US"/>
        </w:rPr>
      </w:pPr>
    </w:p>
    <w:p w:rsidR="00A2303C" w:rsidRDefault="00A2303C" w:rsidP="00421F52">
      <w:pPr>
        <w:pStyle w:val="NoSpacing"/>
        <w:spacing w:line="360" w:lineRule="auto"/>
        <w:rPr>
          <w:lang w:val="en-US"/>
        </w:rPr>
      </w:pPr>
      <w:r w:rsidRPr="00E77B2A">
        <w:rPr>
          <w:lang w:val="en-US"/>
        </w:rPr>
        <w:t>As the benefits are directly linked to contributions, this s</w:t>
      </w:r>
      <w:r>
        <w:rPr>
          <w:lang w:val="en-US"/>
        </w:rPr>
        <w:t>cheme usually does not</w:t>
      </w:r>
      <w:r w:rsidRPr="00E77B2A">
        <w:rPr>
          <w:lang w:val="en-US"/>
        </w:rPr>
        <w:t xml:space="preserve"> gu</w:t>
      </w:r>
      <w:r>
        <w:rPr>
          <w:lang w:val="en-US"/>
        </w:rPr>
        <w:t xml:space="preserve">arantee a minimum benefit, consequently it means that the employee bears the investment risk. Moreover, </w:t>
      </w:r>
      <w:r w:rsidRPr="00BB1A1A">
        <w:rPr>
          <w:lang w:val="en-US"/>
        </w:rPr>
        <w:t>defined contribution systems can redistribute but to a lesser extent compared to defined benefit systems.</w:t>
      </w:r>
      <w:r>
        <w:rPr>
          <w:lang w:val="en-US"/>
        </w:rPr>
        <w:t xml:space="preserve"> Reason for this is that no redistribution takes place between generations, which happens in defined benefit plans as the current employees pay the benefits of the current elderly. However, in a defined contribution plan consumption of a participant will be redistributed from his or her working life to retirement (Blake et al., 2008).</w:t>
      </w:r>
    </w:p>
    <w:p w:rsidR="00A2303C" w:rsidRDefault="00A2303C" w:rsidP="00421F52">
      <w:pPr>
        <w:pStyle w:val="NoSpacing"/>
        <w:spacing w:line="360" w:lineRule="auto"/>
        <w:rPr>
          <w:lang w:val="en-US"/>
        </w:rPr>
      </w:pPr>
    </w:p>
    <w:p w:rsidR="00A2303C" w:rsidRPr="00E77B2A" w:rsidRDefault="00A2303C" w:rsidP="00421F52">
      <w:pPr>
        <w:pStyle w:val="NoSpacing"/>
        <w:spacing w:line="360" w:lineRule="auto"/>
        <w:rPr>
          <w:lang w:val="en-US"/>
        </w:rPr>
      </w:pPr>
      <w:r w:rsidRPr="00E77B2A">
        <w:rPr>
          <w:lang w:val="en-US"/>
        </w:rPr>
        <w:t>Once a participant retires the DC benefits can be paid in two forms. On the one hand, the</w:t>
      </w:r>
      <w:r>
        <w:rPr>
          <w:lang w:val="en-US"/>
        </w:rPr>
        <w:t xml:space="preserve"> accumulated contributions can be paid as annuities</w:t>
      </w:r>
      <w:r w:rsidRPr="00E77B2A">
        <w:rPr>
          <w:lang w:val="en-US"/>
        </w:rPr>
        <w:t>, in which the person is guaranteed a steady stream of pension payments until his or her deat</w:t>
      </w:r>
      <w:r>
        <w:rPr>
          <w:lang w:val="en-US"/>
        </w:rPr>
        <w:t>h. On the other hand, the elderly could</w:t>
      </w:r>
      <w:r w:rsidRPr="00E77B2A">
        <w:rPr>
          <w:lang w:val="en-US"/>
        </w:rPr>
        <w:t xml:space="preserve"> be paid a lump sum of all </w:t>
      </w:r>
      <w:r>
        <w:rPr>
          <w:lang w:val="en-US"/>
        </w:rPr>
        <w:t>of their accumulations and another option is that one part of the accumulations is paid in lump sum and the remaining part as annuities.</w:t>
      </w:r>
    </w:p>
    <w:p w:rsidR="00A2303C" w:rsidRPr="00E77B2A" w:rsidRDefault="00A2303C" w:rsidP="00421F52">
      <w:pPr>
        <w:pStyle w:val="NoSpacing"/>
        <w:spacing w:line="360" w:lineRule="auto"/>
        <w:rPr>
          <w:lang w:val="en-US"/>
        </w:rPr>
      </w:pPr>
    </w:p>
    <w:p w:rsidR="00A2303C" w:rsidRPr="00E77B2A" w:rsidRDefault="00A2303C" w:rsidP="009B61F1">
      <w:pPr>
        <w:pStyle w:val="NoSpacing"/>
        <w:numPr>
          <w:ilvl w:val="2"/>
          <w:numId w:val="3"/>
        </w:numPr>
        <w:spacing w:line="360" w:lineRule="auto"/>
        <w:ind w:left="1276" w:hanging="1276"/>
        <w:rPr>
          <w:b/>
          <w:i/>
          <w:lang w:val="en-US"/>
        </w:rPr>
      </w:pPr>
      <w:r w:rsidRPr="00E77B2A">
        <w:rPr>
          <w:b/>
          <w:i/>
          <w:lang w:val="en-US"/>
        </w:rPr>
        <w:t>Defined benefit (DB) plans</w:t>
      </w:r>
    </w:p>
    <w:p w:rsidR="00A2303C" w:rsidRDefault="00A2303C" w:rsidP="00925917">
      <w:pPr>
        <w:pStyle w:val="NoSpacing"/>
        <w:spacing w:line="360" w:lineRule="auto"/>
        <w:rPr>
          <w:lang w:val="en-US"/>
        </w:rPr>
      </w:pPr>
      <w:r w:rsidRPr="00E77B2A">
        <w:rPr>
          <w:lang w:val="en-US"/>
        </w:rPr>
        <w:t xml:space="preserve">Another type of pension arrangement is defined benefit plans, which can both be funded and unfunded.  In principle the employees are entitled to a peculiar level of benefit that in general is based on the age, wages and length of service of the employee. For instance, a widespread used DB pension benefit formula would explain a pensioner’s annuity benefit A as a function of his or her retirement age R, a basic benefit amount B, a wage linked factor depending on the employee’s final wage </w:t>
      </w:r>
      <w:r>
        <w:rPr>
          <w:lang w:val="en-US"/>
        </w:rPr>
        <w:t xml:space="preserve">or average wage during career </w:t>
      </w:r>
      <w:r w:rsidRPr="00E77B2A">
        <w:rPr>
          <w:lang w:val="en-US"/>
        </w:rPr>
        <w:t>FW, his</w:t>
      </w:r>
      <w:r>
        <w:rPr>
          <w:lang w:val="en-US"/>
        </w:rPr>
        <w:t xml:space="preserve"> or her years of service at the</w:t>
      </w:r>
      <w:r w:rsidRPr="00E77B2A">
        <w:rPr>
          <w:lang w:val="en-US"/>
        </w:rPr>
        <w:t xml:space="preserve"> employer YS and lastly a </w:t>
      </w:r>
      <w:r w:rsidRPr="003D75A6">
        <w:rPr>
          <w:lang w:val="en-US"/>
        </w:rPr>
        <w:t>generosity factor g.</w:t>
      </w:r>
      <w:r w:rsidRPr="00E77B2A">
        <w:rPr>
          <w:lang w:val="en-US"/>
        </w:rPr>
        <w:t xml:space="preserve"> </w:t>
      </w:r>
      <w:r>
        <w:rPr>
          <w:lang w:val="en-US"/>
        </w:rPr>
        <w:t xml:space="preserve">In the private sector this factor is most often approximately 1 per cent (g=1.01) and on average a higher factor is applied in the public sector (Kaufman, 1998). </w:t>
      </w:r>
      <w:r w:rsidRPr="00E77B2A">
        <w:rPr>
          <w:lang w:val="en-US"/>
        </w:rPr>
        <w:t>Taken together the following formula arises (Mitchell et al., 1996):</w:t>
      </w:r>
    </w:p>
    <w:p w:rsidR="00A2303C" w:rsidRPr="00E77B2A" w:rsidRDefault="00A2303C" w:rsidP="00925917">
      <w:pPr>
        <w:pStyle w:val="NoSpacing"/>
        <w:spacing w:line="360" w:lineRule="auto"/>
        <w:rPr>
          <w:lang w:val="en-US"/>
        </w:rPr>
      </w:pPr>
    </w:p>
    <w:p w:rsidR="00A2303C" w:rsidRPr="00E77B2A" w:rsidRDefault="00A2303C" w:rsidP="00925917">
      <w:pPr>
        <w:pStyle w:val="NoSpacing"/>
        <w:numPr>
          <w:ilvl w:val="0"/>
          <w:numId w:val="7"/>
        </w:numPr>
        <w:spacing w:line="360" w:lineRule="auto"/>
        <w:ind w:hanging="720"/>
        <w:rPr>
          <w:lang w:val="en-US"/>
        </w:rPr>
      </w:pPr>
      <w:r w:rsidRPr="00E77B2A">
        <w:rPr>
          <w:lang w:val="en-US"/>
        </w:rPr>
        <w:t xml:space="preserve">  </w:t>
      </w:r>
      <w:r w:rsidRPr="00E77B2A">
        <w:rPr>
          <w:lang w:val="en-US"/>
        </w:rPr>
        <w:tab/>
      </w:r>
      <w:r w:rsidRPr="008D584B">
        <w:rPr>
          <w:lang w:val="en-US"/>
        </w:rPr>
        <w:fldChar w:fldCharType="begin"/>
      </w:r>
      <w:r w:rsidRPr="008D584B">
        <w:rPr>
          <w:lang w:val="en-US"/>
        </w:rPr>
        <w:instrText xml:space="preserve"> QUOTE </w:instrText>
      </w:r>
      <w:r w:rsidRPr="008D584B">
        <w:pict>
          <v:shape id="_x0000_i1027" type="#_x0000_t75" style="width:123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1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853A1&quot;/&gt;&lt;wsp:rsid wsp:val=&quot;00000301&quot;/&gt;&lt;wsp:rsid wsp:val=&quot;00002C2F&quot;/&gt;&lt;wsp:rsid wsp:val=&quot;00004A32&quot;/&gt;&lt;wsp:rsid wsp:val=&quot;000155C6&quot;/&gt;&lt;wsp:rsid wsp:val=&quot;00020171&quot;/&gt;&lt;wsp:rsid wsp:val=&quot;00021919&quot;/&gt;&lt;wsp:rsid wsp:val=&quot;000228C1&quot;/&gt;&lt;wsp:rsid wsp:val=&quot;000265FE&quot;/&gt;&lt;wsp:rsid wsp:val=&quot;00026B17&quot;/&gt;&lt;wsp:rsid wsp:val=&quot;00031F57&quot;/&gt;&lt;wsp:rsid wsp:val=&quot;0003255C&quot;/&gt;&lt;wsp:rsid wsp:val=&quot;00032823&quot;/&gt;&lt;wsp:rsid wsp:val=&quot;00032DB2&quot;/&gt;&lt;wsp:rsid wsp:val=&quot;00034643&quot;/&gt;&lt;wsp:rsid wsp:val=&quot;000422BE&quot;/&gt;&lt;wsp:rsid wsp:val=&quot;000423E9&quot;/&gt;&lt;wsp:rsid wsp:val=&quot;0005079E&quot;/&gt;&lt;wsp:rsid wsp:val=&quot;00052141&quot;/&gt;&lt;wsp:rsid wsp:val=&quot;00052281&quot;/&gt;&lt;wsp:rsid wsp:val=&quot;00052943&quot;/&gt;&lt;wsp:rsid wsp:val=&quot;0005326D&quot;/&gt;&lt;wsp:rsid wsp:val=&quot;00053A09&quot;/&gt;&lt;wsp:rsid wsp:val=&quot;0005633C&quot;/&gt;&lt;wsp:rsid wsp:val=&quot;00056590&quot;/&gt;&lt;wsp:rsid wsp:val=&quot;0007082F&quot;/&gt;&lt;wsp:rsid wsp:val=&quot;000758DF&quot;/&gt;&lt;wsp:rsid wsp:val=&quot;00080C2A&quot;/&gt;&lt;wsp:rsid wsp:val=&quot;000821F5&quot;/&gt;&lt;wsp:rsid wsp:val=&quot;00083BDC&quot;/&gt;&lt;wsp:rsid wsp:val=&quot;0008428E&quot;/&gt;&lt;wsp:rsid wsp:val=&quot;00092595&quot;/&gt;&lt;wsp:rsid wsp:val=&quot;0009348A&quot;/&gt;&lt;wsp:rsid wsp:val=&quot;00096499&quot;/&gt;&lt;wsp:rsid wsp:val=&quot;000977F6&quot;/&gt;&lt;wsp:rsid wsp:val=&quot;00097F68&quot;/&gt;&lt;wsp:rsid wsp:val=&quot;000A0818&quot;/&gt;&lt;wsp:rsid wsp:val=&quot;000A5D99&quot;/&gt;&lt;wsp:rsid wsp:val=&quot;000A69BA&quot;/&gt;&lt;wsp:rsid wsp:val=&quot;000A7094&quot;/&gt;&lt;wsp:rsid wsp:val=&quot;000B38BD&quot;/&gt;&lt;wsp:rsid wsp:val=&quot;000B3E22&quot;/&gt;&lt;wsp:rsid wsp:val=&quot;000B3E81&quot;/&gt;&lt;wsp:rsid wsp:val=&quot;000C407D&quot;/&gt;&lt;wsp:rsid wsp:val=&quot;000C489F&quot;/&gt;&lt;wsp:rsid wsp:val=&quot;000C49CF&quot;/&gt;&lt;wsp:rsid wsp:val=&quot;000C4F39&quot;/&gt;&lt;wsp:rsid wsp:val=&quot;000C7666&quot;/&gt;&lt;wsp:rsid wsp:val=&quot;000D6EB0&quot;/&gt;&lt;wsp:rsid wsp:val=&quot;000E0AFB&quot;/&gt;&lt;wsp:rsid wsp:val=&quot;000E5451&quot;/&gt;&lt;wsp:rsid wsp:val=&quot;000E554A&quot;/&gt;&lt;wsp:rsid wsp:val=&quot;000E6DA4&quot;/&gt;&lt;wsp:rsid wsp:val=&quot;000F4D54&quot;/&gt;&lt;wsp:rsid wsp:val=&quot;00102925&quot;/&gt;&lt;wsp:rsid wsp:val=&quot;00105B48&quot;/&gt;&lt;wsp:rsid wsp:val=&quot;0010635F&quot;/&gt;&lt;wsp:rsid wsp:val=&quot;0011088A&quot;/&gt;&lt;wsp:rsid wsp:val=&quot;00116F79&quot;/&gt;&lt;wsp:rsid wsp:val=&quot;0011793E&quot;/&gt;&lt;wsp:rsid wsp:val=&quot;00121284&quot;/&gt;&lt;wsp:rsid wsp:val=&quot;00121BAF&quot;/&gt;&lt;wsp:rsid wsp:val=&quot;0012205D&quot;/&gt;&lt;wsp:rsid wsp:val=&quot;001243F1&quot;/&gt;&lt;wsp:rsid wsp:val=&quot;00125D92&quot;/&gt;&lt;wsp:rsid wsp:val=&quot;001320C2&quot;/&gt;&lt;wsp:rsid wsp:val=&quot;001320CA&quot;/&gt;&lt;wsp:rsid wsp:val=&quot;00141C38&quot;/&gt;&lt;wsp:rsid wsp:val=&quot;0014403F&quot;/&gt;&lt;wsp:rsid wsp:val=&quot;00146977&quot;/&gt;&lt;wsp:rsid wsp:val=&quot;00150B52&quot;/&gt;&lt;wsp:rsid wsp:val=&quot;00152B4A&quot;/&gt;&lt;wsp:rsid wsp:val=&quot;00154781&quot;/&gt;&lt;wsp:rsid wsp:val=&quot;00162990&quot;/&gt;&lt;wsp:rsid wsp:val=&quot;001629A6&quot;/&gt;&lt;wsp:rsid wsp:val=&quot;001677AC&quot;/&gt;&lt;wsp:rsid wsp:val=&quot;00167A17&quot;/&gt;&lt;wsp:rsid wsp:val=&quot;00173004&quot;/&gt;&lt;wsp:rsid wsp:val=&quot;00177AA2&quot;/&gt;&lt;wsp:rsid wsp:val=&quot;0018041F&quot;/&gt;&lt;wsp:rsid wsp:val=&quot;001805D7&quot;/&gt;&lt;wsp:rsid wsp:val=&quot;00187394&quot;/&gt;&lt;wsp:rsid wsp:val=&quot;001873D3&quot;/&gt;&lt;wsp:rsid wsp:val=&quot;00187991&quot;/&gt;&lt;wsp:rsid wsp:val=&quot;00193BED&quot;/&gt;&lt;wsp:rsid wsp:val=&quot;00194C7A&quot;/&gt;&lt;wsp:rsid wsp:val=&quot;00195ABC&quot;/&gt;&lt;wsp:rsid wsp:val=&quot;00195BC9&quot;/&gt;&lt;wsp:rsid wsp:val=&quot;00196448&quot;/&gt;&lt;wsp:rsid wsp:val=&quot;001A1968&quot;/&gt;&lt;wsp:rsid wsp:val=&quot;001A1D92&quot;/&gt;&lt;wsp:rsid wsp:val=&quot;001A22AC&quot;/&gt;&lt;wsp:rsid wsp:val=&quot;001A3CF0&quot;/&gt;&lt;wsp:rsid wsp:val=&quot;001A5A8F&quot;/&gt;&lt;wsp:rsid wsp:val=&quot;001B1365&quot;/&gt;&lt;wsp:rsid wsp:val=&quot;001B1481&quot;/&gt;&lt;wsp:rsid wsp:val=&quot;001B28A6&quot;/&gt;&lt;wsp:rsid wsp:val=&quot;001B31E4&quot;/&gt;&lt;wsp:rsid wsp:val=&quot;001B6A0C&quot;/&gt;&lt;wsp:rsid wsp:val=&quot;001C0D83&quot;/&gt;&lt;wsp:rsid wsp:val=&quot;001C14D5&quot;/&gt;&lt;wsp:rsid wsp:val=&quot;001C17F6&quot;/&gt;&lt;wsp:rsid wsp:val=&quot;001C3D1E&quot;/&gt;&lt;wsp:rsid wsp:val=&quot;001C6C75&quot;/&gt;&lt;wsp:rsid wsp:val=&quot;001C6CE2&quot;/&gt;&lt;wsp:rsid wsp:val=&quot;001D146F&quot;/&gt;&lt;wsp:rsid wsp:val=&quot;001D2605&quot;/&gt;&lt;wsp:rsid wsp:val=&quot;001D2C81&quot;/&gt;&lt;wsp:rsid wsp:val=&quot;001D339E&quot;/&gt;&lt;wsp:rsid wsp:val=&quot;001D74CF&quot;/&gt;&lt;wsp:rsid wsp:val=&quot;001E21C9&quot;/&gt;&lt;wsp:rsid wsp:val=&quot;001E21DF&quot;/&gt;&lt;wsp:rsid wsp:val=&quot;001E2E2E&quot;/&gt;&lt;wsp:rsid wsp:val=&quot;001E52FA&quot;/&gt;&lt;wsp:rsid wsp:val=&quot;001E5B81&quot;/&gt;&lt;wsp:rsid wsp:val=&quot;001E75BE&quot;/&gt;&lt;wsp:rsid wsp:val=&quot;001F12C4&quot;/&gt;&lt;wsp:rsid wsp:val=&quot;001F3FC7&quot;/&gt;&lt;wsp:rsid wsp:val=&quot;001F658C&quot;/&gt;&lt;wsp:rsid wsp:val=&quot;001F6D72&quot;/&gt;&lt;wsp:rsid wsp:val=&quot;002009DA&quot;/&gt;&lt;wsp:rsid wsp:val=&quot;00201758&quot;/&gt;&lt;wsp:rsid wsp:val=&quot;00201842&quot;/&gt;&lt;wsp:rsid wsp:val=&quot;00202CDD&quot;/&gt;&lt;wsp:rsid wsp:val=&quot;002055B2&quot;/&gt;&lt;wsp:rsid wsp:val=&quot;00210D79&quot;/&gt;&lt;wsp:rsid wsp:val=&quot;002126D0&quot;/&gt;&lt;wsp:rsid wsp:val=&quot;00214101&quot;/&gt;&lt;wsp:rsid wsp:val=&quot;00216CB9&quot;/&gt;&lt;wsp:rsid wsp:val=&quot;00220CCB&quot;/&gt;&lt;wsp:rsid wsp:val=&quot;00221471&quot;/&gt;&lt;wsp:rsid wsp:val=&quot;002214F1&quot;/&gt;&lt;wsp:rsid wsp:val=&quot;002269F9&quot;/&gt;&lt;wsp:rsid wsp:val=&quot;0023031D&quot;/&gt;&lt;wsp:rsid wsp:val=&quot;00230706&quot;/&gt;&lt;wsp:rsid wsp:val=&quot;002323A3&quot;/&gt;&lt;wsp:rsid wsp:val=&quot;002327A3&quot;/&gt;&lt;wsp:rsid wsp:val=&quot;00234003&quot;/&gt;&lt;wsp:rsid wsp:val=&quot;00236F9F&quot;/&gt;&lt;wsp:rsid wsp:val=&quot;002374FC&quot;/&gt;&lt;wsp:rsid wsp:val=&quot;0024012E&quot;/&gt;&lt;wsp:rsid wsp:val=&quot;00240898&quot;/&gt;&lt;wsp:rsid wsp:val=&quot;00241B86&quot;/&gt;&lt;wsp:rsid wsp:val=&quot;0024536D&quot;/&gt;&lt;wsp:rsid wsp:val=&quot;0024679F&quot;/&gt;&lt;wsp:rsid wsp:val=&quot;00251EDF&quot;/&gt;&lt;wsp:rsid wsp:val=&quot;00252EFD&quot;/&gt;&lt;wsp:rsid wsp:val=&quot;002560D5&quot;/&gt;&lt;wsp:rsid wsp:val=&quot;002561EC&quot;/&gt;&lt;wsp:rsid wsp:val=&quot;0026144A&quot;/&gt;&lt;wsp:rsid wsp:val=&quot;002615A4&quot;/&gt;&lt;wsp:rsid wsp:val=&quot;00262F25&quot;/&gt;&lt;wsp:rsid wsp:val=&quot;002653F9&quot;/&gt;&lt;wsp:rsid wsp:val=&quot;0026619B&quot;/&gt;&lt;wsp:rsid wsp:val=&quot;002671C0&quot;/&gt;&lt;wsp:rsid wsp:val=&quot;002679A2&quot;/&gt;&lt;wsp:rsid wsp:val=&quot;00267B8B&quot;/&gt;&lt;wsp:rsid wsp:val=&quot;002703CE&quot;/&gt;&lt;wsp:rsid wsp:val=&quot;00275484&quot;/&gt;&lt;wsp:rsid wsp:val=&quot;00276AD0&quot;/&gt;&lt;wsp:rsid wsp:val=&quot;00280C46&quot;/&gt;&lt;wsp:rsid wsp:val=&quot;0028594C&quot;/&gt;&lt;wsp:rsid wsp:val=&quot;002A4DA3&quot;/&gt;&lt;wsp:rsid wsp:val=&quot;002A53D8&quot;/&gt;&lt;wsp:rsid wsp:val=&quot;002B02DB&quot;/&gt;&lt;wsp:rsid wsp:val=&quot;002B23D3&quot;/&gt;&lt;wsp:rsid wsp:val=&quot;002B2E18&quot;/&gt;&lt;wsp:rsid wsp:val=&quot;002B491C&quot;/&gt;&lt;wsp:rsid wsp:val=&quot;002B4CF3&quot;/&gt;&lt;wsp:rsid wsp:val=&quot;002B4E22&quot;/&gt;&lt;wsp:rsid wsp:val=&quot;002B56EB&quot;/&gt;&lt;wsp:rsid wsp:val=&quot;002C239E&quot;/&gt;&lt;wsp:rsid wsp:val=&quot;002C28C2&quot;/&gt;&lt;wsp:rsid wsp:val=&quot;002C3B35&quot;/&gt;&lt;wsp:rsid wsp:val=&quot;002C41B6&quot;/&gt;&lt;wsp:rsid wsp:val=&quot;002C4E6E&quot;/&gt;&lt;wsp:rsid wsp:val=&quot;002C5CFF&quot;/&gt;&lt;wsp:rsid wsp:val=&quot;002D02D6&quot;/&gt;&lt;wsp:rsid wsp:val=&quot;002D1581&quot;/&gt;&lt;wsp:rsid wsp:val=&quot;002D1802&quot;/&gt;&lt;wsp:rsid wsp:val=&quot;002D3449&quot;/&gt;&lt;wsp:rsid wsp:val=&quot;002D5B28&quot;/&gt;&lt;wsp:rsid wsp:val=&quot;002D6325&quot;/&gt;&lt;wsp:rsid wsp:val=&quot;002D6522&quot;/&gt;&lt;wsp:rsid wsp:val=&quot;002E16A9&quot;/&gt;&lt;wsp:rsid wsp:val=&quot;002E6355&quot;/&gt;&lt;wsp:rsid wsp:val=&quot;002F5310&quot;/&gt;&lt;wsp:rsid wsp:val=&quot;002F6EBB&quot;/&gt;&lt;wsp:rsid wsp:val=&quot;003019DA&quot;/&gt;&lt;wsp:rsid wsp:val=&quot;00301A96&quot;/&gt;&lt;wsp:rsid wsp:val=&quot;00306A05&quot;/&gt;&lt;wsp:rsid wsp:val=&quot;003112F9&quot;/&gt;&lt;wsp:rsid wsp:val=&quot;00315D63&quot;/&gt;&lt;wsp:rsid wsp:val=&quot;0031603D&quot;/&gt;&lt;wsp:rsid wsp:val=&quot;00320675&quot;/&gt;&lt;wsp:rsid wsp:val=&quot;0032551B&quot;/&gt;&lt;wsp:rsid wsp:val=&quot;00325AAC&quot;/&gt;&lt;wsp:rsid wsp:val=&quot;00326120&quot;/&gt;&lt;wsp:rsid wsp:val=&quot;0032738F&quot;/&gt;&lt;wsp:rsid wsp:val=&quot;00327C71&quot;/&gt;&lt;wsp:rsid wsp:val=&quot;00327DCD&quot;/&gt;&lt;wsp:rsid wsp:val=&quot;003317EE&quot;/&gt;&lt;wsp:rsid wsp:val=&quot;00336BFC&quot;/&gt;&lt;wsp:rsid wsp:val=&quot;00344FB5&quot;/&gt;&lt;wsp:rsid wsp:val=&quot;00346CBD&quot;/&gt;&lt;wsp:rsid wsp:val=&quot;003515D8&quot;/&gt;&lt;wsp:rsid wsp:val=&quot;003531F5&quot;/&gt;&lt;wsp:rsid wsp:val=&quot;0035458F&quot;/&gt;&lt;wsp:rsid wsp:val=&quot;00356AB7&quot;/&gt;&lt;wsp:rsid wsp:val=&quot;00357CA9&quot;/&gt;&lt;wsp:rsid wsp:val=&quot;00362A3C&quot;/&gt;&lt;wsp:rsid wsp:val=&quot;00365046&quot;/&gt;&lt;wsp:rsid wsp:val=&quot;00366492&quot;/&gt;&lt;wsp:rsid wsp:val=&quot;00367558&quot;/&gt;&lt;wsp:rsid wsp:val=&quot;003725A1&quot;/&gt;&lt;wsp:rsid wsp:val=&quot;003754C0&quot;/&gt;&lt;wsp:rsid wsp:val=&quot;00375BA6&quot;/&gt;&lt;wsp:rsid wsp:val=&quot;003760CE&quot;/&gt;&lt;wsp:rsid wsp:val=&quot;00377400&quot;/&gt;&lt;wsp:rsid wsp:val=&quot;00382FBE&quot;/&gt;&lt;wsp:rsid wsp:val=&quot;003833C2&quot;/&gt;&lt;wsp:rsid wsp:val=&quot;00386484&quot;/&gt;&lt;wsp:rsid wsp:val=&quot;003900AB&quot;/&gt;&lt;wsp:rsid wsp:val=&quot;00390224&quot;/&gt;&lt;wsp:rsid wsp:val=&quot;00392BF4&quot;/&gt;&lt;wsp:rsid wsp:val=&quot;00393480&quot;/&gt;&lt;wsp:rsid wsp:val=&quot;00394EA4&quot;/&gt;&lt;wsp:rsid wsp:val=&quot;00396F69&quot;/&gt;&lt;wsp:rsid wsp:val=&quot;003A268B&quot;/&gt;&lt;wsp:rsid wsp:val=&quot;003A3207&quot;/&gt;&lt;wsp:rsid wsp:val=&quot;003A4E86&quot;/&gt;&lt;wsp:rsid wsp:val=&quot;003B3E4F&quot;/&gt;&lt;wsp:rsid wsp:val=&quot;003B6A29&quot;/&gt;&lt;wsp:rsid wsp:val=&quot;003B7460&quot;/&gt;&lt;wsp:rsid wsp:val=&quot;003C17A2&quot;/&gt;&lt;wsp:rsid wsp:val=&quot;003C182F&quot;/&gt;&lt;wsp:rsid wsp:val=&quot;003C34F1&quot;/&gt;&lt;wsp:rsid wsp:val=&quot;003C4AEC&quot;/&gt;&lt;wsp:rsid wsp:val=&quot;003C4B5A&quot;/&gt;&lt;wsp:rsid wsp:val=&quot;003D1885&quot;/&gt;&lt;wsp:rsid wsp:val=&quot;003D254D&quot;/&gt;&lt;wsp:rsid wsp:val=&quot;003D3A9A&quot;/&gt;&lt;wsp:rsid wsp:val=&quot;003D59EA&quot;/&gt;&lt;wsp:rsid wsp:val=&quot;003D6C77&quot;/&gt;&lt;wsp:rsid wsp:val=&quot;003D75A6&quot;/&gt;&lt;wsp:rsid wsp:val=&quot;003E0984&quot;/&gt;&lt;wsp:rsid wsp:val=&quot;003E17D0&quot;/&gt;&lt;wsp:rsid wsp:val=&quot;003E1BB3&quot;/&gt;&lt;wsp:rsid wsp:val=&quot;003E236F&quot;/&gt;&lt;wsp:rsid wsp:val=&quot;003E5D96&quot;/&gt;&lt;wsp:rsid wsp:val=&quot;003E6A82&quot;/&gt;&lt;wsp:rsid wsp:val=&quot;003F07A1&quot;/&gt;&lt;wsp:rsid wsp:val=&quot;003F4466&quot;/&gt;&lt;wsp:rsid wsp:val=&quot;003F5802&quot;/&gt;&lt;wsp:rsid wsp:val=&quot;003F7895&quot;/&gt;&lt;wsp:rsid wsp:val=&quot;00400700&quot;/&gt;&lt;wsp:rsid wsp:val=&quot;00400A2E&quot;/&gt;&lt;wsp:rsid wsp:val=&quot;00405C9E&quot;/&gt;&lt;wsp:rsid wsp:val=&quot;00406DBB&quot;/&gt;&lt;wsp:rsid wsp:val=&quot;00407AA7&quot;/&gt;&lt;wsp:rsid wsp:val=&quot;00411F49&quot;/&gt;&lt;wsp:rsid wsp:val=&quot;00420CF4&quot;/&gt;&lt;wsp:rsid wsp:val=&quot;004214CB&quot;/&gt;&lt;wsp:rsid wsp:val=&quot;00421515&quot;/&gt;&lt;wsp:rsid wsp:val=&quot;00421F52&quot;/&gt;&lt;wsp:rsid wsp:val=&quot;004273C8&quot;/&gt;&lt;wsp:rsid wsp:val=&quot;004302AC&quot;/&gt;&lt;wsp:rsid wsp:val=&quot;004311E3&quot;/&gt;&lt;wsp:rsid wsp:val=&quot;00435FD3&quot;/&gt;&lt;wsp:rsid wsp:val=&quot;00436F54&quot;/&gt;&lt;wsp:rsid wsp:val=&quot;004447E8&quot;/&gt;&lt;wsp:rsid wsp:val=&quot;0044531C&quot;/&gt;&lt;wsp:rsid wsp:val=&quot;0044686E&quot;/&gt;&lt;wsp:rsid wsp:val=&quot;00446F7D&quot;/&gt;&lt;wsp:rsid wsp:val=&quot;00452A49&quot;/&gt;&lt;wsp:rsid wsp:val=&quot;00454B2F&quot;/&gt;&lt;wsp:rsid wsp:val=&quot;004579F4&quot;/&gt;&lt;wsp:rsid wsp:val=&quot;00463B09&quot;/&gt;&lt;wsp:rsid wsp:val=&quot;004763C7&quot;/&gt;&lt;wsp:rsid wsp:val=&quot;00483AEC&quot;/&gt;&lt;wsp:rsid wsp:val=&quot;00487C49&quot;/&gt;&lt;wsp:rsid wsp:val=&quot;00495826&quot;/&gt;&lt;wsp:rsid wsp:val=&quot;004A4448&quot;/&gt;&lt;wsp:rsid wsp:val=&quot;004A584C&quot;/&gt;&lt;wsp:rsid wsp:val=&quot;004A5C92&quot;/&gt;&lt;wsp:rsid wsp:val=&quot;004B1C33&quot;/&gt;&lt;wsp:rsid wsp:val=&quot;004B2974&quot;/&gt;&lt;wsp:rsid wsp:val=&quot;004B3314&quot;/&gt;&lt;wsp:rsid wsp:val=&quot;004B4255&quot;/&gt;&lt;wsp:rsid wsp:val=&quot;004B5E76&quot;/&gt;&lt;wsp:rsid wsp:val=&quot;004B613C&quot;/&gt;&lt;wsp:rsid wsp:val=&quot;004D0DAF&quot;/&gt;&lt;wsp:rsid wsp:val=&quot;004D3144&quot;/&gt;&lt;wsp:rsid wsp:val=&quot;004D4137&quot;/&gt;&lt;wsp:rsid wsp:val=&quot;004D4844&quot;/&gt;&lt;wsp:rsid wsp:val=&quot;004D6F4B&quot;/&gt;&lt;wsp:rsid wsp:val=&quot;004D7D36&quot;/&gt;&lt;wsp:rsid wsp:val=&quot;004E0760&quot;/&gt;&lt;wsp:rsid wsp:val=&quot;004E26DF&quot;/&gt;&lt;wsp:rsid wsp:val=&quot;004E382E&quot;/&gt;&lt;wsp:rsid wsp:val=&quot;004E5A3B&quot;/&gt;&lt;wsp:rsid wsp:val=&quot;004E7D63&quot;/&gt;&lt;wsp:rsid wsp:val=&quot;004F5B23&quot;/&gt;&lt;wsp:rsid wsp:val=&quot;004F6491&quot;/&gt;&lt;wsp:rsid wsp:val=&quot;004F6805&quot;/&gt;&lt;wsp:rsid wsp:val=&quot;004F75A4&quot;/&gt;&lt;wsp:rsid wsp:val=&quot;00503483&quot;/&gt;&lt;wsp:rsid wsp:val=&quot;0050674F&quot;/&gt;&lt;wsp:rsid wsp:val=&quot;0051068C&quot;/&gt;&lt;wsp:rsid wsp:val=&quot;00513D6B&quot;/&gt;&lt;wsp:rsid wsp:val=&quot;005162E5&quot;/&gt;&lt;wsp:rsid wsp:val=&quot;00521838&quot;/&gt;&lt;wsp:rsid wsp:val=&quot;00522A7B&quot;/&gt;&lt;wsp:rsid wsp:val=&quot;0053048A&quot;/&gt;&lt;wsp:rsid wsp:val=&quot;00534071&quot;/&gt;&lt;wsp:rsid wsp:val=&quot;00541220&quot;/&gt;&lt;wsp:rsid wsp:val=&quot;0054396B&quot;/&gt;&lt;wsp:rsid wsp:val=&quot;00543A56&quot;/&gt;&lt;wsp:rsid wsp:val=&quot;0054561C&quot;/&gt;&lt;wsp:rsid wsp:val=&quot;00545ABE&quot;/&gt;&lt;wsp:rsid wsp:val=&quot;00546502&quot;/&gt;&lt;wsp:rsid wsp:val=&quot;0054765B&quot;/&gt;&lt;wsp:rsid wsp:val=&quot;00547E1B&quot;/&gt;&lt;wsp:rsid wsp:val=&quot;00551463&quot;/&gt;&lt;wsp:rsid wsp:val=&quot;00553D42&quot;/&gt;&lt;wsp:rsid wsp:val=&quot;00555F78&quot;/&gt;&lt;wsp:rsid wsp:val=&quot;00556931&quot;/&gt;&lt;wsp:rsid wsp:val=&quot;0056066C&quot;/&gt;&lt;wsp:rsid wsp:val=&quot;005607E3&quot;/&gt;&lt;wsp:rsid wsp:val=&quot;00560E99&quot;/&gt;&lt;wsp:rsid wsp:val=&quot;0056183F&quot;/&gt;&lt;wsp:rsid wsp:val=&quot;005631BF&quot;/&gt;&lt;wsp:rsid wsp:val=&quot;005669FD&quot;/&gt;&lt;wsp:rsid wsp:val=&quot;0057272D&quot;/&gt;&lt;wsp:rsid wsp:val=&quot;00572BD7&quot;/&gt;&lt;wsp:rsid wsp:val=&quot;005740A1&quot;/&gt;&lt;wsp:rsid wsp:val=&quot;005741EF&quot;/&gt;&lt;wsp:rsid wsp:val=&quot;00576A85&quot;/&gt;&lt;wsp:rsid wsp:val=&quot;00577C1C&quot;/&gt;&lt;wsp:rsid wsp:val=&quot;00581D99&quot;/&gt;&lt;wsp:rsid wsp:val=&quot;00582727&quot;/&gt;&lt;wsp:rsid wsp:val=&quot;00586D51&quot;/&gt;&lt;wsp:rsid wsp:val=&quot;00591E7C&quot;/&gt;&lt;wsp:rsid wsp:val=&quot;005978F0&quot;/&gt;&lt;wsp:rsid wsp:val=&quot;005A1B5F&quot;/&gt;&lt;wsp:rsid wsp:val=&quot;005A2EA7&quot;/&gt;&lt;wsp:rsid wsp:val=&quot;005A626E&quot;/&gt;&lt;wsp:rsid wsp:val=&quot;005A7758&quot;/&gt;&lt;wsp:rsid wsp:val=&quot;005B21D7&quot;/&gt;&lt;wsp:rsid wsp:val=&quot;005C1D07&quot;/&gt;&lt;wsp:rsid wsp:val=&quot;005C1F7A&quot;/&gt;&lt;wsp:rsid wsp:val=&quot;005C2258&quot;/&gt;&lt;wsp:rsid wsp:val=&quot;005C311E&quot;/&gt;&lt;wsp:rsid wsp:val=&quot;005C4568&quot;/&gt;&lt;wsp:rsid wsp:val=&quot;005C462E&quot;/&gt;&lt;wsp:rsid wsp:val=&quot;005C4D2B&quot;/&gt;&lt;wsp:rsid wsp:val=&quot;005D32D9&quot;/&gt;&lt;wsp:rsid wsp:val=&quot;005D396B&quot;/&gt;&lt;wsp:rsid wsp:val=&quot;005D4270&quot;/&gt;&lt;wsp:rsid wsp:val=&quot;005D48F7&quot;/&gt;&lt;wsp:rsid wsp:val=&quot;005E113C&quot;/&gt;&lt;wsp:rsid wsp:val=&quot;005E1D63&quot;/&gt;&lt;wsp:rsid wsp:val=&quot;005E397A&quot;/&gt;&lt;wsp:rsid wsp:val=&quot;005F39BF&quot;/&gt;&lt;wsp:rsid wsp:val=&quot;005F4FAA&quot;/&gt;&lt;wsp:rsid wsp:val=&quot;005F6830&quot;/&gt;&lt;wsp:rsid wsp:val=&quot;00603245&quot;/&gt;&lt;wsp:rsid wsp:val=&quot;00604FA8&quot;/&gt;&lt;wsp:rsid wsp:val=&quot;00607537&quot;/&gt;&lt;wsp:rsid wsp:val=&quot;00613481&quot;/&gt;&lt;wsp:rsid wsp:val=&quot;00614BE2&quot;/&gt;&lt;wsp:rsid wsp:val=&quot;006154C6&quot;/&gt;&lt;wsp:rsid wsp:val=&quot;00615C9D&quot;/&gt;&lt;wsp:rsid wsp:val=&quot;00617E9F&quot;/&gt;&lt;wsp:rsid wsp:val=&quot;00620614&quot;/&gt;&lt;wsp:rsid wsp:val=&quot;00621484&quot;/&gt;&lt;wsp:rsid wsp:val=&quot;0062396D&quot;/&gt;&lt;wsp:rsid wsp:val=&quot;00625A8C&quot;/&gt;&lt;wsp:rsid wsp:val=&quot;00625E64&quot;/&gt;&lt;wsp:rsid wsp:val=&quot;00631330&quot;/&gt;&lt;wsp:rsid wsp:val=&quot;0063222E&quot;/&gt;&lt;wsp:rsid wsp:val=&quot;006328C7&quot;/&gt;&lt;wsp:rsid wsp:val=&quot;00632E0E&quot;/&gt;&lt;wsp:rsid wsp:val=&quot;00636A72&quot;/&gt;&lt;wsp:rsid wsp:val=&quot;00641CF0&quot;/&gt;&lt;wsp:rsid wsp:val=&quot;00643755&quot;/&gt;&lt;wsp:rsid wsp:val=&quot;00643EBB&quot;/&gt;&lt;wsp:rsid wsp:val=&quot;006448C3&quot;/&gt;&lt;wsp:rsid wsp:val=&quot;006452BD&quot;/&gt;&lt;wsp:rsid wsp:val=&quot;00646305&quot;/&gt;&lt;wsp:rsid wsp:val=&quot;00654C91&quot;/&gt;&lt;wsp:rsid wsp:val=&quot;006551E8&quot;/&gt;&lt;wsp:rsid wsp:val=&quot;00657F10&quot;/&gt;&lt;wsp:rsid wsp:val=&quot;006607EC&quot;/&gt;&lt;wsp:rsid wsp:val=&quot;0066238C&quot;/&gt;&lt;wsp:rsid wsp:val=&quot;00663110&quot;/&gt;&lt;wsp:rsid wsp:val=&quot;006664E2&quot;/&gt;&lt;wsp:rsid wsp:val=&quot;00670494&quot;/&gt;&lt;wsp:rsid wsp:val=&quot;00670D7F&quot;/&gt;&lt;wsp:rsid wsp:val=&quot;00671CE6&quot;/&gt;&lt;wsp:rsid wsp:val=&quot;006720AB&quot;/&gt;&lt;wsp:rsid wsp:val=&quot;006755F2&quot;/&gt;&lt;wsp:rsid wsp:val=&quot;0068428C&quot;/&gt;&lt;wsp:rsid wsp:val=&quot;00684BE3&quot;/&gt;&lt;wsp:rsid wsp:val=&quot;00684C17&quot;/&gt;&lt;wsp:rsid wsp:val=&quot;00686234&quot;/&gt;&lt;wsp:rsid wsp:val=&quot;00687F71&quot;/&gt;&lt;wsp:rsid wsp:val=&quot;0069367B&quot;/&gt;&lt;wsp:rsid wsp:val=&quot;0069377C&quot;/&gt;&lt;wsp:rsid wsp:val=&quot;00694D5C&quot;/&gt;&lt;wsp:rsid wsp:val=&quot;00697242&quot;/&gt;&lt;wsp:rsid wsp:val=&quot;006A1BC0&quot;/&gt;&lt;wsp:rsid wsp:val=&quot;006A4D8D&quot;/&gt;&lt;wsp:rsid wsp:val=&quot;006A6CAF&quot;/&gt;&lt;wsp:rsid wsp:val=&quot;006B030D&quot;/&gt;&lt;wsp:rsid wsp:val=&quot;006B0FEE&quot;/&gt;&lt;wsp:rsid wsp:val=&quot;006B51FF&quot;/&gt;&lt;wsp:rsid wsp:val=&quot;006B6C5D&quot;/&gt;&lt;wsp:rsid wsp:val=&quot;006C44C4&quot;/&gt;&lt;wsp:rsid wsp:val=&quot;006C589F&quot;/&gt;&lt;wsp:rsid wsp:val=&quot;006C64FC&quot;/&gt;&lt;wsp:rsid wsp:val=&quot;006C6CC7&quot;/&gt;&lt;wsp:rsid wsp:val=&quot;006C7221&quot;/&gt;&lt;wsp:rsid wsp:val=&quot;006D0ECB&quot;/&gt;&lt;wsp:rsid wsp:val=&quot;006D29CC&quot;/&gt;&lt;wsp:rsid wsp:val=&quot;006D394C&quot;/&gt;&lt;wsp:rsid wsp:val=&quot;006D5794&quot;/&gt;&lt;wsp:rsid wsp:val=&quot;006D5942&quot;/&gt;&lt;wsp:rsid wsp:val=&quot;006D763E&quot;/&gt;&lt;wsp:rsid wsp:val=&quot;006D78E8&quot;/&gt;&lt;wsp:rsid wsp:val=&quot;006E0736&quot;/&gt;&lt;wsp:rsid wsp:val=&quot;006E1798&quot;/&gt;&lt;wsp:rsid wsp:val=&quot;006E2122&quot;/&gt;&lt;wsp:rsid wsp:val=&quot;006E40F9&quot;/&gt;&lt;wsp:rsid wsp:val=&quot;006E4BCB&quot;/&gt;&lt;wsp:rsid wsp:val=&quot;006E57FE&quot;/&gt;&lt;wsp:rsid wsp:val=&quot;006E793A&quot;/&gt;&lt;wsp:rsid wsp:val=&quot;006F0B41&quot;/&gt;&lt;wsp:rsid wsp:val=&quot;006F4191&quot;/&gt;&lt;wsp:rsid wsp:val=&quot;006F523C&quot;/&gt;&lt;wsp:rsid wsp:val=&quot;006F677A&quot;/&gt;&lt;wsp:rsid wsp:val=&quot;00700878&quot;/&gt;&lt;wsp:rsid wsp:val=&quot;00701A92&quot;/&gt;&lt;wsp:rsid wsp:val=&quot;00703315&quot;/&gt;&lt;wsp:rsid wsp:val=&quot;00704418&quot;/&gt;&lt;wsp:rsid wsp:val=&quot;00705DD0&quot;/&gt;&lt;wsp:rsid wsp:val=&quot;00711266&quot;/&gt;&lt;wsp:rsid wsp:val=&quot;0071659C&quot;/&gt;&lt;wsp:rsid wsp:val=&quot;00716F8F&quot;/&gt;&lt;wsp:rsid wsp:val=&quot;0072055A&quot;/&gt;&lt;wsp:rsid wsp:val=&quot;00721D58&quot;/&gt;&lt;wsp:rsid wsp:val=&quot;00727587&quot;/&gt;&lt;wsp:rsid wsp:val=&quot;007306E2&quot;/&gt;&lt;wsp:rsid wsp:val=&quot;007310E8&quot;/&gt;&lt;wsp:rsid wsp:val=&quot;00733210&quot;/&gt;&lt;wsp:rsid wsp:val=&quot;00734A9A&quot;/&gt;&lt;wsp:rsid wsp:val=&quot;00734FFE&quot;/&gt;&lt;wsp:rsid wsp:val=&quot;00736BE0&quot;/&gt;&lt;wsp:rsid wsp:val=&quot;007430E1&quot;/&gt;&lt;wsp:rsid wsp:val=&quot;00745209&quot;/&gt;&lt;wsp:rsid wsp:val=&quot;00745E86&quot;/&gt;&lt;wsp:rsid wsp:val=&quot;00747129&quot;/&gt;&lt;wsp:rsid wsp:val=&quot;007473E2&quot;/&gt;&lt;wsp:rsid wsp:val=&quot;00750A37&quot;/&gt;&lt;wsp:rsid wsp:val=&quot;007513E0&quot;/&gt;&lt;wsp:rsid wsp:val=&quot;0075198A&quot;/&gt;&lt;wsp:rsid wsp:val=&quot;00754841&quot;/&gt;&lt;wsp:rsid wsp:val=&quot;0075587A&quot;/&gt;&lt;wsp:rsid wsp:val=&quot;007578E5&quot;/&gt;&lt;wsp:rsid wsp:val=&quot;00762AC3&quot;/&gt;&lt;wsp:rsid wsp:val=&quot;00763AA3&quot;/&gt;&lt;wsp:rsid wsp:val=&quot;007654E6&quot;/&gt;&lt;wsp:rsid wsp:val=&quot;0076611F&quot;/&gt;&lt;wsp:rsid wsp:val=&quot;0076724F&quot;/&gt;&lt;wsp:rsid wsp:val=&quot;00771CC6&quot;/&gt;&lt;wsp:rsid wsp:val=&quot;00771D63&quot;/&gt;&lt;wsp:rsid wsp:val=&quot;007744A7&quot;/&gt;&lt;wsp:rsid wsp:val=&quot;007756FC&quot;/&gt;&lt;wsp:rsid wsp:val=&quot;0077594E&quot;/&gt;&lt;wsp:rsid wsp:val=&quot;007832BE&quot;/&gt;&lt;wsp:rsid wsp:val=&quot;0078402A&quot;/&gt;&lt;wsp:rsid wsp:val=&quot;00784E61&quot;/&gt;&lt;wsp:rsid wsp:val=&quot;00786DF1&quot;/&gt;&lt;wsp:rsid wsp:val=&quot;007875D6&quot;/&gt;&lt;wsp:rsid wsp:val=&quot;00790496&quot;/&gt;&lt;wsp:rsid wsp:val=&quot;0079396A&quot;/&gt;&lt;wsp:rsid wsp:val=&quot;00794774&quot;/&gt;&lt;wsp:rsid wsp:val=&quot;007A1697&quot;/&gt;&lt;wsp:rsid wsp:val=&quot;007A2CDC&quot;/&gt;&lt;wsp:rsid wsp:val=&quot;007A5059&quot;/&gt;&lt;wsp:rsid wsp:val=&quot;007A511B&quot;/&gt;&lt;wsp:rsid wsp:val=&quot;007A5A15&quot;/&gt;&lt;wsp:rsid wsp:val=&quot;007A6C19&quot;/&gt;&lt;wsp:rsid wsp:val=&quot;007A6E75&quot;/&gt;&lt;wsp:rsid wsp:val=&quot;007A75D7&quot;/&gt;&lt;wsp:rsid wsp:val=&quot;007B02A9&quot;/&gt;&lt;wsp:rsid wsp:val=&quot;007B086A&quot;/&gt;&lt;wsp:rsid wsp:val=&quot;007C00BA&quot;/&gt;&lt;wsp:rsid wsp:val=&quot;007C0F73&quot;/&gt;&lt;wsp:rsid wsp:val=&quot;007C143C&quot;/&gt;&lt;wsp:rsid wsp:val=&quot;007C2882&quot;/&gt;&lt;wsp:rsid wsp:val=&quot;007C2C8B&quot;/&gt;&lt;wsp:rsid wsp:val=&quot;007C2F42&quot;/&gt;&lt;wsp:rsid wsp:val=&quot;007C5272&quot;/&gt;&lt;wsp:rsid wsp:val=&quot;007C7BB4&quot;/&gt;&lt;wsp:rsid wsp:val=&quot;007D246E&quot;/&gt;&lt;wsp:rsid wsp:val=&quot;007D5DD3&quot;/&gt;&lt;wsp:rsid wsp:val=&quot;007E0767&quot;/&gt;&lt;wsp:rsid wsp:val=&quot;007E52B6&quot;/&gt;&lt;wsp:rsid wsp:val=&quot;007F331B&quot;/&gt;&lt;wsp:rsid wsp:val=&quot;007F42AF&quot;/&gt;&lt;wsp:rsid wsp:val=&quot;007F6250&quot;/&gt;&lt;wsp:rsid wsp:val=&quot;007F78A2&quot;/&gt;&lt;wsp:rsid wsp:val=&quot;007F7925&quot;/&gt;&lt;wsp:rsid wsp:val=&quot;00800422&quot;/&gt;&lt;wsp:rsid wsp:val=&quot;00802225&quot;/&gt;&lt;wsp:rsid wsp:val=&quot;00803F65&quot;/&gt;&lt;wsp:rsid wsp:val=&quot;00803FBE&quot;/&gt;&lt;wsp:rsid wsp:val=&quot;0080753A&quot;/&gt;&lt;wsp:rsid wsp:val=&quot;00813B57&quot;/&gt;&lt;wsp:rsid wsp:val=&quot;008171D0&quot;/&gt;&lt;wsp:rsid wsp:val=&quot;00821707&quot;/&gt;&lt;wsp:rsid wsp:val=&quot;00821F59&quot;/&gt;&lt;wsp:rsid wsp:val=&quot;00821FA4&quot;/&gt;&lt;wsp:rsid wsp:val=&quot;0082270E&quot;/&gt;&lt;wsp:rsid wsp:val=&quot;008234D8&quot;/&gt;&lt;wsp:rsid wsp:val=&quot;0084236C&quot;/&gt;&lt;wsp:rsid wsp:val=&quot;0084290F&quot;/&gt;&lt;wsp:rsid wsp:val=&quot;00843385&quot;/&gt;&lt;wsp:rsid wsp:val=&quot;00846723&quot;/&gt;&lt;wsp:rsid wsp:val=&quot;00847A5B&quot;/&gt;&lt;wsp:rsid wsp:val=&quot;00853895&quot;/&gt;&lt;wsp:rsid wsp:val=&quot;008550BA&quot;/&gt;&lt;wsp:rsid wsp:val=&quot;008639DF&quot;/&gt;&lt;wsp:rsid wsp:val=&quot;008709A3&quot;/&gt;&lt;wsp:rsid wsp:val=&quot;00874691&quot;/&gt;&lt;wsp:rsid wsp:val=&quot;00875E14&quot;/&gt;&lt;wsp:rsid wsp:val=&quot;00876334&quot;/&gt;&lt;wsp:rsid wsp:val=&quot;00881063&quot;/&gt;&lt;wsp:rsid wsp:val=&quot;00882866&quot;/&gt;&lt;wsp:rsid wsp:val=&quot;0088426E&quot;/&gt;&lt;wsp:rsid wsp:val=&quot;008857C2&quot;/&gt;&lt;wsp:rsid wsp:val=&quot;008877F3&quot;/&gt;&lt;wsp:rsid wsp:val=&quot;00891879&quot;/&gt;&lt;wsp:rsid wsp:val=&quot;008928B1&quot;/&gt;&lt;wsp:rsid wsp:val=&quot;0089445A&quot;/&gt;&lt;wsp:rsid wsp:val=&quot;008A5A81&quot;/&gt;&lt;wsp:rsid wsp:val=&quot;008B3464&quot;/&gt;&lt;wsp:rsid wsp:val=&quot;008B50C6&quot;/&gt;&lt;wsp:rsid wsp:val=&quot;008B5D12&quot;/&gt;&lt;wsp:rsid wsp:val=&quot;008C0DCD&quot;/&gt;&lt;wsp:rsid wsp:val=&quot;008C1ADA&quot;/&gt;&lt;wsp:rsid wsp:val=&quot;008C6EF9&quot;/&gt;&lt;wsp:rsid wsp:val=&quot;008C7096&quot;/&gt;&lt;wsp:rsid wsp:val=&quot;008D1C99&quot;/&gt;&lt;wsp:rsid wsp:val=&quot;008D584B&quot;/&gt;&lt;wsp:rsid wsp:val=&quot;008D6F96&quot;/&gt;&lt;wsp:rsid wsp:val=&quot;008E2F91&quot;/&gt;&lt;wsp:rsid wsp:val=&quot;008E3FE7&quot;/&gt;&lt;wsp:rsid wsp:val=&quot;008E4168&quot;/&gt;&lt;wsp:rsid wsp:val=&quot;008F26E9&quot;/&gt;&lt;wsp:rsid wsp:val=&quot;008F3F91&quot;/&gt;&lt;wsp:rsid wsp:val=&quot;008F4892&quot;/&gt;&lt;wsp:rsid wsp:val=&quot;008F7B63&quot;/&gt;&lt;wsp:rsid wsp:val=&quot;00900A53&quot;/&gt;&lt;wsp:rsid wsp:val=&quot;009016BD&quot;/&gt;&lt;wsp:rsid wsp:val=&quot;00902BD0&quot;/&gt;&lt;wsp:rsid wsp:val=&quot;00906713&quot;/&gt;&lt;wsp:rsid wsp:val=&quot;00911585&quot;/&gt;&lt;wsp:rsid wsp:val=&quot;009140BC&quot;/&gt;&lt;wsp:rsid wsp:val=&quot;009145DA&quot;/&gt;&lt;wsp:rsid wsp:val=&quot;00915375&quot;/&gt;&lt;wsp:rsid wsp:val=&quot;009172F9&quot;/&gt;&lt;wsp:rsid wsp:val=&quot;009179F0&quot;/&gt;&lt;wsp:rsid wsp:val=&quot;00917A05&quot;/&gt;&lt;wsp:rsid wsp:val=&quot;0092018F&quot;/&gt;&lt;wsp:rsid wsp:val=&quot;0092170E&quot;/&gt;&lt;wsp:rsid wsp:val=&quot;00921737&quot;/&gt;&lt;wsp:rsid wsp:val=&quot;0092190B&quot;/&gt;&lt;wsp:rsid wsp:val=&quot;00922FAA&quot;/&gt;&lt;wsp:rsid wsp:val=&quot;0092532E&quot;/&gt;&lt;wsp:rsid wsp:val=&quot;00925917&quot;/&gt;&lt;wsp:rsid wsp:val=&quot;00931A08&quot;/&gt;&lt;wsp:rsid wsp:val=&quot;00936327&quot;/&gt;&lt;wsp:rsid wsp:val=&quot;00943832&quot;/&gt;&lt;wsp:rsid wsp:val=&quot;00943F47&quot;/&gt;&lt;wsp:rsid wsp:val=&quot;00945474&quot;/&gt;&lt;wsp:rsid wsp:val=&quot;0094553E&quot;/&gt;&lt;wsp:rsid wsp:val=&quot;00952BD5&quot;/&gt;&lt;wsp:rsid wsp:val=&quot;009606C8&quot;/&gt;&lt;wsp:rsid wsp:val=&quot;009608F8&quot;/&gt;&lt;wsp:rsid wsp:val=&quot;009626F0&quot;/&gt;&lt;wsp:rsid wsp:val=&quot;00966847&quot;/&gt;&lt;wsp:rsid wsp:val=&quot;00966C62&quot;/&gt;&lt;wsp:rsid wsp:val=&quot;0097541E&quot;/&gt;&lt;wsp:rsid wsp:val=&quot;009801B8&quot;/&gt;&lt;wsp:rsid wsp:val=&quot;009812EE&quot;/&gt;&lt;wsp:rsid wsp:val=&quot;009813F6&quot;/&gt;&lt;wsp:rsid wsp:val=&quot;00982F55&quot;/&gt;&lt;wsp:rsid wsp:val=&quot;00983EF0&quot;/&gt;&lt;wsp:rsid wsp:val=&quot;00987461&quot;/&gt;&lt;wsp:rsid wsp:val=&quot;00997A83&quot;/&gt;&lt;wsp:rsid wsp:val=&quot;009A0F68&quot;/&gt;&lt;wsp:rsid wsp:val=&quot;009A291D&quot;/&gt;&lt;wsp:rsid wsp:val=&quot;009A48D3&quot;/&gt;&lt;wsp:rsid wsp:val=&quot;009A5D2D&quot;/&gt;&lt;wsp:rsid wsp:val=&quot;009A702F&quot;/&gt;&lt;wsp:rsid wsp:val=&quot;009A760F&quot;/&gt;&lt;wsp:rsid wsp:val=&quot;009B1DB5&quot;/&gt;&lt;wsp:rsid wsp:val=&quot;009B3805&quot;/&gt;&lt;wsp:rsid wsp:val=&quot;009B61F1&quot;/&gt;&lt;wsp:rsid wsp:val=&quot;009C129C&quot;/&gt;&lt;wsp:rsid wsp:val=&quot;009C2076&quot;/&gt;&lt;wsp:rsid wsp:val=&quot;009C4D33&quot;/&gt;&lt;wsp:rsid wsp:val=&quot;009C51B7&quot;/&gt;&lt;wsp:rsid wsp:val=&quot;009C6951&quot;/&gt;&lt;wsp:rsid wsp:val=&quot;009D1251&quot;/&gt;&lt;wsp:rsid wsp:val=&quot;009E0711&quot;/&gt;&lt;wsp:rsid wsp:val=&quot;009E7FFB&quot;/&gt;&lt;wsp:rsid wsp:val=&quot;009F081E&quot;/&gt;&lt;wsp:rsid wsp:val=&quot;009F169E&quot;/&gt;&lt;wsp:rsid wsp:val=&quot;009F1DED&quot;/&gt;&lt;wsp:rsid wsp:val=&quot;009F35EB&quot;/&gt;&lt;wsp:rsid wsp:val=&quot;009F451A&quot;/&gt;&lt;wsp:rsid wsp:val=&quot;009F61A4&quot;/&gt;&lt;wsp:rsid wsp:val=&quot;00A009EE&quot;/&gt;&lt;wsp:rsid wsp:val=&quot;00A01DC7&quot;/&gt;&lt;wsp:rsid wsp:val=&quot;00A13091&quot;/&gt;&lt;wsp:rsid wsp:val=&quot;00A134BF&quot;/&gt;&lt;wsp:rsid wsp:val=&quot;00A13629&quot;/&gt;&lt;wsp:rsid wsp:val=&quot;00A2199A&quot;/&gt;&lt;wsp:rsid wsp:val=&quot;00A22756&quot;/&gt;&lt;wsp:rsid wsp:val=&quot;00A228A0&quot;/&gt;&lt;wsp:rsid wsp:val=&quot;00A2483E&quot;/&gt;&lt;wsp:rsid wsp:val=&quot;00A25930&quot;/&gt;&lt;wsp:rsid wsp:val=&quot;00A2795F&quot;/&gt;&lt;wsp:rsid wsp:val=&quot;00A31470&quot;/&gt;&lt;wsp:rsid wsp:val=&quot;00A33546&quot;/&gt;&lt;wsp:rsid wsp:val=&quot;00A33ACB&quot;/&gt;&lt;wsp:rsid wsp:val=&quot;00A33DAA&quot;/&gt;&lt;wsp:rsid wsp:val=&quot;00A35CED&quot;/&gt;&lt;wsp:rsid wsp:val=&quot;00A421AB&quot;/&gt;&lt;wsp:rsid wsp:val=&quot;00A422D7&quot;/&gt;&lt;wsp:rsid wsp:val=&quot;00A43FEA&quot;/&gt;&lt;wsp:rsid wsp:val=&quot;00A45B4A&quot;/&gt;&lt;wsp:rsid wsp:val=&quot;00A51441&quot;/&gt;&lt;wsp:rsid wsp:val=&quot;00A51771&quot;/&gt;&lt;wsp:rsid wsp:val=&quot;00A52C50&quot;/&gt;&lt;wsp:rsid wsp:val=&quot;00A53A8A&quot;/&gt;&lt;wsp:rsid wsp:val=&quot;00A53ED1&quot;/&gt;&lt;wsp:rsid wsp:val=&quot;00A61EA7&quot;/&gt;&lt;wsp:rsid wsp:val=&quot;00A63461&quot;/&gt;&lt;wsp:rsid wsp:val=&quot;00A649B2&quot;/&gt;&lt;wsp:rsid wsp:val=&quot;00A66B30&quot;/&gt;&lt;wsp:rsid wsp:val=&quot;00A66B3A&quot;/&gt;&lt;wsp:rsid wsp:val=&quot;00A734FD&quot;/&gt;&lt;wsp:rsid wsp:val=&quot;00A74E23&quot;/&gt;&lt;wsp:rsid wsp:val=&quot;00A80F1F&quot;/&gt;&lt;wsp:rsid wsp:val=&quot;00A8705F&quot;/&gt;&lt;wsp:rsid wsp:val=&quot;00A90881&quot;/&gt;&lt;wsp:rsid wsp:val=&quot;00A91DF8&quot;/&gt;&lt;wsp:rsid wsp:val=&quot;00A93272&quot;/&gt;&lt;wsp:rsid wsp:val=&quot;00A96DCA&quot;/&gt;&lt;wsp:rsid wsp:val=&quot;00AA043B&quot;/&gt;&lt;wsp:rsid wsp:val=&quot;00AA2D09&quot;/&gt;&lt;wsp:rsid wsp:val=&quot;00AA54C9&quot;/&gt;&lt;wsp:rsid wsp:val=&quot;00AA701F&quot;/&gt;&lt;wsp:rsid wsp:val=&quot;00AA75A0&quot;/&gt;&lt;wsp:rsid wsp:val=&quot;00AB104F&quot;/&gt;&lt;wsp:rsid wsp:val=&quot;00AB1112&quot;/&gt;&lt;wsp:rsid wsp:val=&quot;00AB30E9&quot;/&gt;&lt;wsp:rsid wsp:val=&quot;00AB339E&quot;/&gt;&lt;wsp:rsid wsp:val=&quot;00AB3F44&quot;/&gt;&lt;wsp:rsid wsp:val=&quot;00AB616B&quot;/&gt;&lt;wsp:rsid wsp:val=&quot;00AC3098&quot;/&gt;&lt;wsp:rsid wsp:val=&quot;00AC44F5&quot;/&gt;&lt;wsp:rsid wsp:val=&quot;00AC6915&quot;/&gt;&lt;wsp:rsid wsp:val=&quot;00AC75F4&quot;/&gt;&lt;wsp:rsid wsp:val=&quot;00AD1BB2&quot;/&gt;&lt;wsp:rsid wsp:val=&quot;00AD1BFC&quot;/&gt;&lt;wsp:rsid wsp:val=&quot;00AD7D04&quot;/&gt;&lt;wsp:rsid wsp:val=&quot;00AE2110&quot;/&gt;&lt;wsp:rsid wsp:val=&quot;00AE24CD&quot;/&gt;&lt;wsp:rsid wsp:val=&quot;00AE2D18&quot;/&gt;&lt;wsp:rsid wsp:val=&quot;00AE4F43&quot;/&gt;&lt;wsp:rsid wsp:val=&quot;00AF3757&quot;/&gt;&lt;wsp:rsid wsp:val=&quot;00B00BF9&quot;/&gt;&lt;wsp:rsid wsp:val=&quot;00B0261B&quot;/&gt;&lt;wsp:rsid wsp:val=&quot;00B14C5B&quot;/&gt;&lt;wsp:rsid wsp:val=&quot;00B21CFC&quot;/&gt;&lt;wsp:rsid wsp:val=&quot;00B235B8&quot;/&gt;&lt;wsp:rsid wsp:val=&quot;00B23955&quot;/&gt;&lt;wsp:rsid wsp:val=&quot;00B23C7E&quot;/&gt;&lt;wsp:rsid wsp:val=&quot;00B25C88&quot;/&gt;&lt;wsp:rsid wsp:val=&quot;00B25D4D&quot;/&gt;&lt;wsp:rsid wsp:val=&quot;00B26ABB&quot;/&gt;&lt;wsp:rsid wsp:val=&quot;00B33223&quot;/&gt;&lt;wsp:rsid wsp:val=&quot;00B336AA&quot;/&gt;&lt;wsp:rsid wsp:val=&quot;00B33966&quot;/&gt;&lt;wsp:rsid wsp:val=&quot;00B33B73&quot;/&gt;&lt;wsp:rsid wsp:val=&quot;00B33F19&quot;/&gt;&lt;wsp:rsid wsp:val=&quot;00B362C5&quot;/&gt;&lt;wsp:rsid wsp:val=&quot;00B36ACB&quot;/&gt;&lt;wsp:rsid wsp:val=&quot;00B42BAC&quot;/&gt;&lt;wsp:rsid wsp:val=&quot;00B42D7F&quot;/&gt;&lt;wsp:rsid wsp:val=&quot;00B45F91&quot;/&gt;&lt;wsp:rsid wsp:val=&quot;00B4642C&quot;/&gt;&lt;wsp:rsid wsp:val=&quot;00B46645&quot;/&gt;&lt;wsp:rsid wsp:val=&quot;00B47188&quot;/&gt;&lt;wsp:rsid wsp:val=&quot;00B52659&quot;/&gt;&lt;wsp:rsid wsp:val=&quot;00B53F04&quot;/&gt;&lt;wsp:rsid wsp:val=&quot;00B54934&quot;/&gt;&lt;wsp:rsid wsp:val=&quot;00B55225&quot;/&gt;&lt;wsp:rsid wsp:val=&quot;00B5625F&quot;/&gt;&lt;wsp:rsid wsp:val=&quot;00B63E7C&quot;/&gt;&lt;wsp:rsid wsp:val=&quot;00B64C28&quot;/&gt;&lt;wsp:rsid wsp:val=&quot;00B72F9D&quot;/&gt;&lt;wsp:rsid wsp:val=&quot;00B73247&quot;/&gt;&lt;wsp:rsid wsp:val=&quot;00B758E4&quot;/&gt;&lt;wsp:rsid wsp:val=&quot;00B80D78&quot;/&gt;&lt;wsp:rsid wsp:val=&quot;00B83C2D&quot;/&gt;&lt;wsp:rsid wsp:val=&quot;00B85BE0&quot;/&gt;&lt;wsp:rsid wsp:val=&quot;00B862E4&quot;/&gt;&lt;wsp:rsid wsp:val=&quot;00B864AF&quot;/&gt;&lt;wsp:rsid wsp:val=&quot;00B86D6F&quot;/&gt;&lt;wsp:rsid wsp:val=&quot;00B963A2&quot;/&gt;&lt;wsp:rsid wsp:val=&quot;00B9798D&quot;/&gt;&lt;wsp:rsid wsp:val=&quot;00BA50C9&quot;/&gt;&lt;wsp:rsid wsp:val=&quot;00BA525B&quot;/&gt;&lt;wsp:rsid wsp:val=&quot;00BA6A0C&quot;/&gt;&lt;wsp:rsid wsp:val=&quot;00BA6BAF&quot;/&gt;&lt;wsp:rsid wsp:val=&quot;00BB1A1A&quot;/&gt;&lt;wsp:rsid wsp:val=&quot;00BB2956&quot;/&gt;&lt;wsp:rsid wsp:val=&quot;00BB3170&quot;/&gt;&lt;wsp:rsid wsp:val=&quot;00BB3397&quot;/&gt;&lt;wsp:rsid wsp:val=&quot;00BB526B&quot;/&gt;&lt;wsp:rsid wsp:val=&quot;00BB5B00&quot;/&gt;&lt;wsp:rsid wsp:val=&quot;00BB6566&quot;/&gt;&lt;wsp:rsid wsp:val=&quot;00BC38B9&quot;/&gt;&lt;wsp:rsid wsp:val=&quot;00BD30C9&quot;/&gt;&lt;wsp:rsid wsp:val=&quot;00BD78EC&quot;/&gt;&lt;wsp:rsid wsp:val=&quot;00BE1675&quot;/&gt;&lt;wsp:rsid wsp:val=&quot;00BE2B70&quot;/&gt;&lt;wsp:rsid wsp:val=&quot;00BF0D22&quot;/&gt;&lt;wsp:rsid wsp:val=&quot;00BF1F4E&quot;/&gt;&lt;wsp:rsid wsp:val=&quot;00BF55DE&quot;/&gt;&lt;wsp:rsid wsp:val=&quot;00BF65A4&quot;/&gt;&lt;wsp:rsid wsp:val=&quot;00C0056B&quot;/&gt;&lt;wsp:rsid wsp:val=&quot;00C048C6&quot;/&gt;&lt;wsp:rsid wsp:val=&quot;00C05139&quot;/&gt;&lt;wsp:rsid wsp:val=&quot;00C0525E&quot;/&gt;&lt;wsp:rsid wsp:val=&quot;00C10A4F&quot;/&gt;&lt;wsp:rsid wsp:val=&quot;00C10DB0&quot;/&gt;&lt;wsp:rsid wsp:val=&quot;00C1185D&quot;/&gt;&lt;wsp:rsid wsp:val=&quot;00C20424&quot;/&gt;&lt;wsp:rsid wsp:val=&quot;00C21576&quot;/&gt;&lt;wsp:rsid wsp:val=&quot;00C274D5&quot;/&gt;&lt;wsp:rsid wsp:val=&quot;00C3529F&quot;/&gt;&lt;wsp:rsid wsp:val=&quot;00C362CF&quot;/&gt;&lt;wsp:rsid wsp:val=&quot;00C368A6&quot;/&gt;&lt;wsp:rsid wsp:val=&quot;00C40B65&quot;/&gt;&lt;wsp:rsid wsp:val=&quot;00C4297A&quot;/&gt;&lt;wsp:rsid wsp:val=&quot;00C4360A&quot;/&gt;&lt;wsp:rsid wsp:val=&quot;00C445D9&quot;/&gt;&lt;wsp:rsid wsp:val=&quot;00C51DB6&quot;/&gt;&lt;wsp:rsid wsp:val=&quot;00C5748D&quot;/&gt;&lt;wsp:rsid wsp:val=&quot;00C617F2&quot;/&gt;&lt;wsp:rsid wsp:val=&quot;00C67080&quot;/&gt;&lt;wsp:rsid wsp:val=&quot;00C6784D&quot;/&gt;&lt;wsp:rsid wsp:val=&quot;00C67CF8&quot;/&gt;&lt;wsp:rsid wsp:val=&quot;00C758FE&quot;/&gt;&lt;wsp:rsid wsp:val=&quot;00C76AFA&quot;/&gt;&lt;wsp:rsid wsp:val=&quot;00C835D8&quot;/&gt;&lt;wsp:rsid wsp:val=&quot;00C97B55&quot;/&gt;&lt;wsp:rsid wsp:val=&quot;00CA0926&quot;/&gt;&lt;wsp:rsid wsp:val=&quot;00CA4711&quot;/&gt;&lt;wsp:rsid wsp:val=&quot;00CA507D&quot;/&gt;&lt;wsp:rsid wsp:val=&quot;00CA6707&quot;/&gt;&lt;wsp:rsid wsp:val=&quot;00CA7D2B&quot;/&gt;&lt;wsp:rsid wsp:val=&quot;00CB1115&quot;/&gt;&lt;wsp:rsid wsp:val=&quot;00CB3284&quot;/&gt;&lt;wsp:rsid wsp:val=&quot;00CB5D91&quot;/&gt;&lt;wsp:rsid wsp:val=&quot;00CB6372&quot;/&gt;&lt;wsp:rsid wsp:val=&quot;00CC0314&quot;/&gt;&lt;wsp:rsid wsp:val=&quot;00CC06E8&quot;/&gt;&lt;wsp:rsid wsp:val=&quot;00CC124F&quot;/&gt;&lt;wsp:rsid wsp:val=&quot;00CC42B4&quot;/&gt;&lt;wsp:rsid wsp:val=&quot;00CC6B12&quot;/&gt;&lt;wsp:rsid wsp:val=&quot;00CD2119&quot;/&gt;&lt;wsp:rsid wsp:val=&quot;00CD2177&quot;/&gt;&lt;wsp:rsid wsp:val=&quot;00CD4350&quot;/&gt;&lt;wsp:rsid wsp:val=&quot;00CD6020&quot;/&gt;&lt;wsp:rsid wsp:val=&quot;00CE36F4&quot;/&gt;&lt;wsp:rsid wsp:val=&quot;00CE4E07&quot;/&gt;&lt;wsp:rsid wsp:val=&quot;00CF078D&quot;/&gt;&lt;wsp:rsid wsp:val=&quot;00CF1DCA&quot;/&gt;&lt;wsp:rsid wsp:val=&quot;00CF65BA&quot;/&gt;&lt;wsp:rsid wsp:val=&quot;00D019AE&quot;/&gt;&lt;wsp:rsid wsp:val=&quot;00D059A8&quot;/&gt;&lt;wsp:rsid wsp:val=&quot;00D10D12&quot;/&gt;&lt;wsp:rsid wsp:val=&quot;00D1166E&quot;/&gt;&lt;wsp:rsid wsp:val=&quot;00D12265&quot;/&gt;&lt;wsp:rsid wsp:val=&quot;00D151BA&quot;/&gt;&lt;wsp:rsid wsp:val=&quot;00D15BD8&quot;/&gt;&lt;wsp:rsid wsp:val=&quot;00D166AD&quot;/&gt;&lt;wsp:rsid wsp:val=&quot;00D201FB&quot;/&gt;&lt;wsp:rsid wsp:val=&quot;00D20F5F&quot;/&gt;&lt;wsp:rsid wsp:val=&quot;00D2276D&quot;/&gt;&lt;wsp:rsid wsp:val=&quot;00D235A5&quot;/&gt;&lt;wsp:rsid wsp:val=&quot;00D23C21&quot;/&gt;&lt;wsp:rsid wsp:val=&quot;00D26E24&quot;/&gt;&lt;wsp:rsid wsp:val=&quot;00D302BF&quot;/&gt;&lt;wsp:rsid wsp:val=&quot;00D3259C&quot;/&gt;&lt;wsp:rsid wsp:val=&quot;00D36900&quot;/&gt;&lt;wsp:rsid wsp:val=&quot;00D373C6&quot;/&gt;&lt;wsp:rsid wsp:val=&quot;00D428C8&quot;/&gt;&lt;wsp:rsid wsp:val=&quot;00D50793&quot;/&gt;&lt;wsp:rsid wsp:val=&quot;00D50DC5&quot;/&gt;&lt;wsp:rsid wsp:val=&quot;00D516DC&quot;/&gt;&lt;wsp:rsid wsp:val=&quot;00D51859&quot;/&gt;&lt;wsp:rsid wsp:val=&quot;00D52970&quot;/&gt;&lt;wsp:rsid wsp:val=&quot;00D56CE8&quot;/&gt;&lt;wsp:rsid wsp:val=&quot;00D60E20&quot;/&gt;&lt;wsp:rsid wsp:val=&quot;00D61F3F&quot;/&gt;&lt;wsp:rsid wsp:val=&quot;00D627FD&quot;/&gt;&lt;wsp:rsid wsp:val=&quot;00D64B22&quot;/&gt;&lt;wsp:rsid wsp:val=&quot;00D66482&quot;/&gt;&lt;wsp:rsid wsp:val=&quot;00D712A8&quot;/&gt;&lt;wsp:rsid wsp:val=&quot;00D739B4&quot;/&gt;&lt;wsp:rsid wsp:val=&quot;00D74CE9&quot;/&gt;&lt;wsp:rsid wsp:val=&quot;00D75CAB&quot;/&gt;&lt;wsp:rsid wsp:val=&quot;00D76071&quot;/&gt;&lt;wsp:rsid wsp:val=&quot;00D76DB9&quot;/&gt;&lt;wsp:rsid wsp:val=&quot;00D8061D&quot;/&gt;&lt;wsp:rsid wsp:val=&quot;00D8209B&quot;/&gt;&lt;wsp:rsid wsp:val=&quot;00D82191&quot;/&gt;&lt;wsp:rsid wsp:val=&quot;00D853A1&quot;/&gt;&lt;wsp:rsid wsp:val=&quot;00D8705F&quot;/&gt;&lt;wsp:rsid wsp:val=&quot;00D92DD6&quot;/&gt;&lt;wsp:rsid wsp:val=&quot;00D93BCC&quot;/&gt;&lt;wsp:rsid wsp:val=&quot;00D97DC3&quot;/&gt;&lt;wsp:rsid wsp:val=&quot;00DA1AEC&quot;/&gt;&lt;wsp:rsid wsp:val=&quot;00DA298B&quot;/&gt;&lt;wsp:rsid wsp:val=&quot;00DA3CBD&quot;/&gt;&lt;wsp:rsid wsp:val=&quot;00DB0338&quot;/&gt;&lt;wsp:rsid wsp:val=&quot;00DB1195&quot;/&gt;&lt;wsp:rsid wsp:val=&quot;00DB19CE&quot;/&gt;&lt;wsp:rsid wsp:val=&quot;00DB26BF&quot;/&gt;&lt;wsp:rsid wsp:val=&quot;00DB7EED&quot;/&gt;&lt;wsp:rsid wsp:val=&quot;00DC1315&quot;/&gt;&lt;wsp:rsid wsp:val=&quot;00DC3DA9&quot;/&gt;&lt;wsp:rsid wsp:val=&quot;00DC5E14&quot;/&gt;&lt;wsp:rsid wsp:val=&quot;00DD0B7F&quot;/&gt;&lt;wsp:rsid wsp:val=&quot;00DD452A&quot;/&gt;&lt;wsp:rsid wsp:val=&quot;00DD729D&quot;/&gt;&lt;wsp:rsid wsp:val=&quot;00DE2DE3&quot;/&gt;&lt;wsp:rsid wsp:val=&quot;00DE42AC&quot;/&gt;&lt;wsp:rsid wsp:val=&quot;00DE67F9&quot;/&gt;&lt;wsp:rsid wsp:val=&quot;00DF0161&quot;/&gt;&lt;wsp:rsid wsp:val=&quot;00DF17F0&quot;/&gt;&lt;wsp:rsid wsp:val=&quot;00DF6B5C&quot;/&gt;&lt;wsp:rsid wsp:val=&quot;00DF73BF&quot;/&gt;&lt;wsp:rsid wsp:val=&quot;00DF7F54&quot;/&gt;&lt;wsp:rsid wsp:val=&quot;00E02D84&quot;/&gt;&lt;wsp:rsid wsp:val=&quot;00E12090&quot;/&gt;&lt;wsp:rsid wsp:val=&quot;00E1368B&quot;/&gt;&lt;wsp:rsid wsp:val=&quot;00E145BD&quot;/&gt;&lt;wsp:rsid wsp:val=&quot;00E14964&quot;/&gt;&lt;wsp:rsid wsp:val=&quot;00E14F00&quot;/&gt;&lt;wsp:rsid wsp:val=&quot;00E17E89&quot;/&gt;&lt;wsp:rsid wsp:val=&quot;00E17EBA&quot;/&gt;&lt;wsp:rsid wsp:val=&quot;00E2143B&quot;/&gt;&lt;wsp:rsid wsp:val=&quot;00E21CE0&quot;/&gt;&lt;wsp:rsid wsp:val=&quot;00E2528C&quot;/&gt;&lt;wsp:rsid wsp:val=&quot;00E265FC&quot;/&gt;&lt;wsp:rsid wsp:val=&quot;00E27157&quot;/&gt;&lt;wsp:rsid wsp:val=&quot;00E36D02&quot;/&gt;&lt;wsp:rsid wsp:val=&quot;00E42729&quot;/&gt;&lt;wsp:rsid wsp:val=&quot;00E429F6&quot;/&gt;&lt;wsp:rsid wsp:val=&quot;00E431DF&quot;/&gt;&lt;wsp:rsid wsp:val=&quot;00E45336&quot;/&gt;&lt;wsp:rsid wsp:val=&quot;00E4697B&quot;/&gt;&lt;wsp:rsid wsp:val=&quot;00E469CB&quot;/&gt;&lt;wsp:rsid wsp:val=&quot;00E505E5&quot;/&gt;&lt;wsp:rsid wsp:val=&quot;00E5168C&quot;/&gt;&lt;wsp:rsid wsp:val=&quot;00E53020&quot;/&gt;&lt;wsp:rsid wsp:val=&quot;00E5428B&quot;/&gt;&lt;wsp:rsid wsp:val=&quot;00E57F82&quot;/&gt;&lt;wsp:rsid wsp:val=&quot;00E601AC&quot;/&gt;&lt;wsp:rsid wsp:val=&quot;00E62666&quot;/&gt;&lt;wsp:rsid wsp:val=&quot;00E658DF&quot;/&gt;&lt;wsp:rsid wsp:val=&quot;00E65A28&quot;/&gt;&lt;wsp:rsid wsp:val=&quot;00E7233D&quot;/&gt;&lt;wsp:rsid wsp:val=&quot;00E732B9&quot;/&gt;&lt;wsp:rsid wsp:val=&quot;00E73E1E&quot;/&gt;&lt;wsp:rsid wsp:val=&quot;00E74C37&quot;/&gt;&lt;wsp:rsid wsp:val=&quot;00E76192&quot;/&gt;&lt;wsp:rsid wsp:val=&quot;00E7641D&quot;/&gt;&lt;wsp:rsid wsp:val=&quot;00E77B2A&quot;/&gt;&lt;wsp:rsid wsp:val=&quot;00E81485&quot;/&gt;&lt;wsp:rsid wsp:val=&quot;00E82258&quot;/&gt;&lt;wsp:rsid wsp:val=&quot;00E82F12&quot;/&gt;&lt;wsp:rsid wsp:val=&quot;00E82FAD&quot;/&gt;&lt;wsp:rsid wsp:val=&quot;00E83639&quot;/&gt;&lt;wsp:rsid wsp:val=&quot;00E86DDE&quot;/&gt;&lt;wsp:rsid wsp:val=&quot;00E90366&quot;/&gt;&lt;wsp:rsid wsp:val=&quot;00E90448&quot;/&gt;&lt;wsp:rsid wsp:val=&quot;00E96592&quot;/&gt;&lt;wsp:rsid wsp:val=&quot;00E97206&quot;/&gt;&lt;wsp:rsid wsp:val=&quot;00E97A81&quot;/&gt;&lt;wsp:rsid wsp:val=&quot;00E97CDF&quot;/&gt;&lt;wsp:rsid wsp:val=&quot;00EA14B4&quot;/&gt;&lt;wsp:rsid wsp:val=&quot;00EA3C1D&quot;/&gt;&lt;wsp:rsid wsp:val=&quot;00EA7232&quot;/&gt;&lt;wsp:rsid wsp:val=&quot;00EB2DF6&quot;/&gt;&lt;wsp:rsid wsp:val=&quot;00EB2F4B&quot;/&gt;&lt;wsp:rsid wsp:val=&quot;00EB33C4&quot;/&gt;&lt;wsp:rsid wsp:val=&quot;00EB59EB&quot;/&gt;&lt;wsp:rsid wsp:val=&quot;00EC2038&quot;/&gt;&lt;wsp:rsid wsp:val=&quot;00EC2C1D&quot;/&gt;&lt;wsp:rsid wsp:val=&quot;00EC3A9E&quot;/&gt;&lt;wsp:rsid wsp:val=&quot;00EC7438&quot;/&gt;&lt;wsp:rsid wsp:val=&quot;00ED192F&quot;/&gt;&lt;wsp:rsid wsp:val=&quot;00ED27DF&quot;/&gt;&lt;wsp:rsid wsp:val=&quot;00ED36AF&quot;/&gt;&lt;wsp:rsid wsp:val=&quot;00ED39CB&quot;/&gt;&lt;wsp:rsid wsp:val=&quot;00EE0561&quot;/&gt;&lt;wsp:rsid wsp:val=&quot;00EE1E02&quot;/&gt;&lt;wsp:rsid wsp:val=&quot;00EE51DD&quot;/&gt;&lt;wsp:rsid wsp:val=&quot;00EF2265&quot;/&gt;&lt;wsp:rsid wsp:val=&quot;00EF3414&quot;/&gt;&lt;wsp:rsid wsp:val=&quot;00EF4A2E&quot;/&gt;&lt;wsp:rsid wsp:val=&quot;00EF640B&quot;/&gt;&lt;wsp:rsid wsp:val=&quot;00EF7EC9&quot;/&gt;&lt;wsp:rsid wsp:val=&quot;00F05A6E&quot;/&gt;&lt;wsp:rsid wsp:val=&quot;00F1063C&quot;/&gt;&lt;wsp:rsid wsp:val=&quot;00F10A3E&quot;/&gt;&lt;wsp:rsid wsp:val=&quot;00F13FD6&quot;/&gt;&lt;wsp:rsid wsp:val=&quot;00F15653&quot;/&gt;&lt;wsp:rsid wsp:val=&quot;00F1632B&quot;/&gt;&lt;wsp:rsid wsp:val=&quot;00F221E6&quot;/&gt;&lt;wsp:rsid wsp:val=&quot;00F27E3E&quot;/&gt;&lt;wsp:rsid wsp:val=&quot;00F27EFD&quot;/&gt;&lt;wsp:rsid wsp:val=&quot;00F34501&quot;/&gt;&lt;wsp:rsid wsp:val=&quot;00F34520&quot;/&gt;&lt;wsp:rsid wsp:val=&quot;00F34821&quot;/&gt;&lt;wsp:rsid wsp:val=&quot;00F40D65&quot;/&gt;&lt;wsp:rsid wsp:val=&quot;00F42984&quot;/&gt;&lt;wsp:rsid wsp:val=&quot;00F4396A&quot;/&gt;&lt;wsp:rsid wsp:val=&quot;00F44B7B&quot;/&gt;&lt;wsp:rsid wsp:val=&quot;00F47866&quot;/&gt;&lt;wsp:rsid wsp:val=&quot;00F478BC&quot;/&gt;&lt;wsp:rsid wsp:val=&quot;00F47C2E&quot;/&gt;&lt;wsp:rsid wsp:val=&quot;00F50AC1&quot;/&gt;&lt;wsp:rsid wsp:val=&quot;00F520D8&quot;/&gt;&lt;wsp:rsid wsp:val=&quot;00F5737F&quot;/&gt;&lt;wsp:rsid wsp:val=&quot;00F70B55&quot;/&gt;&lt;wsp:rsid wsp:val=&quot;00F70D98&quot;/&gt;&lt;wsp:rsid wsp:val=&quot;00F72B0D&quot;/&gt;&lt;wsp:rsid wsp:val=&quot;00F73E6F&quot;/&gt;&lt;wsp:rsid wsp:val=&quot;00F742CC&quot;/&gt;&lt;wsp:rsid wsp:val=&quot;00F747D0&quot;/&gt;&lt;wsp:rsid wsp:val=&quot;00F76F09&quot;/&gt;&lt;wsp:rsid wsp:val=&quot;00F81FF3&quot;/&gt;&lt;wsp:rsid wsp:val=&quot;00F84C5A&quot;/&gt;&lt;wsp:rsid wsp:val=&quot;00F85331&quot;/&gt;&lt;wsp:rsid wsp:val=&quot;00F85745&quot;/&gt;&lt;wsp:rsid wsp:val=&quot;00F85FAD&quot;/&gt;&lt;wsp:rsid wsp:val=&quot;00F87993&quot;/&gt;&lt;wsp:rsid wsp:val=&quot;00FA2AED&quot;/&gt;&lt;wsp:rsid wsp:val=&quot;00FA3AEA&quot;/&gt;&lt;wsp:rsid wsp:val=&quot;00FA43F3&quot;/&gt;&lt;wsp:rsid wsp:val=&quot;00FA4D7C&quot;/&gt;&lt;wsp:rsid wsp:val=&quot;00FA5470&quot;/&gt;&lt;wsp:rsid wsp:val=&quot;00FA5F75&quot;/&gt;&lt;wsp:rsid wsp:val=&quot;00FA776A&quot;/&gt;&lt;wsp:rsid wsp:val=&quot;00FA7E7A&quot;/&gt;&lt;wsp:rsid wsp:val=&quot;00FA7FF0&quot;/&gt;&lt;wsp:rsid wsp:val=&quot;00FB0456&quot;/&gt;&lt;wsp:rsid wsp:val=&quot;00FB1DF2&quot;/&gt;&lt;wsp:rsid wsp:val=&quot;00FB4AC8&quot;/&gt;&lt;wsp:rsid wsp:val=&quot;00FB5070&quot;/&gt;&lt;wsp:rsid wsp:val=&quot;00FC0127&quot;/&gt;&lt;wsp:rsid wsp:val=&quot;00FC0C66&quot;/&gt;&lt;wsp:rsid wsp:val=&quot;00FC2027&quot;/&gt;&lt;wsp:rsid wsp:val=&quot;00FC437C&quot;/&gt;&lt;wsp:rsid wsp:val=&quot;00FC69BA&quot;/&gt;&lt;wsp:rsid wsp:val=&quot;00FC720B&quot;/&gt;&lt;wsp:rsid wsp:val=&quot;00FC7568&quot;/&gt;&lt;wsp:rsid wsp:val=&quot;00FD05EE&quot;/&gt;&lt;wsp:rsid wsp:val=&quot;00FD40AE&quot;/&gt;&lt;wsp:rsid wsp:val=&quot;00FD6EC3&quot;/&gt;&lt;wsp:rsid wsp:val=&quot;00FE3B0B&quot;/&gt;&lt;wsp:rsid wsp:val=&quot;00FE3CB8&quot;/&gt;&lt;wsp:rsid wsp:val=&quot;00FE5183&quot;/&gt;&lt;wsp:rsid wsp:val=&quot;00FE71D7&quot;/&gt;&lt;/wsp:rsids&gt;&lt;/w:docPr&gt;&lt;w:body&gt;&lt;w:p wsp:rsidR=&quot;00000000&quot; wsp:rsidRDefault=&quot;006F0B41&quot;&gt;&lt;m:oMathPara&gt;&lt;m:oMath&gt;&lt;m:r&gt;&lt;w:rPr&gt;&lt;w:rFonts w:ascii=&quot;Cambria Math&quot; w:h-ansi=&quot;Cambria Math&quot;/&gt;&lt;wx:font wx:val=&quot;Cambria Math&quot;/&gt;&lt;w:i/&gt;&lt;w:lang w:val=&quot;EN-US&quot;/&gt;&lt;/w:rPr&gt;&lt;m:t&gt;A&lt;/m:t&gt;&lt;/m:r&gt;&lt;m:d&gt;&lt;m:dPr&gt;&lt;m:ctrlPr&gt;&lt;w:rPr&gt;&lt;w:rFonts w:ascii=&quot;Cambria Math&quot; w:h-ansi=&quot;Cambria Math&quot;/&gt;&lt;wx:font wx:val=&quot;Cambria Math&quot;/&gt;&lt;w:i/&gt;&lt;w:lang w:val=&quot;EN-US&quot;/&gt;&lt;/w:rPr&gt;&lt;/m:ctrlPr&gt;&lt;/m:dPr&gt;&lt;m:e&gt;&lt;m:r&gt;&lt;w:rPr&gt;&lt;w:rFonts w:ascii=&quot;Cambria Math&quot; w:h-ansi=&quot;Cambria Math&quot;/&gt;&lt;wx:font wx:val=&quot;Cambria Math&quot;/&gt;&lt;w:i/&gt;&lt;w:lang w:val=&quot;EN-US&quot;/&gt;&lt;/w:rPr&gt;&lt;m:t&gt;R&lt;/m:t&gt;&lt;/m:r&gt;&lt;/m:e&gt;&lt;/m:d&gt;&lt;m:r&gt;&lt;w:rPr&gt;&lt;w:rFonts w:ascii=&quot;Cambria Math&quot; w:h-ansi=&quot;Cambria Math&quot;/&gt;&lt;wx:font wx:val=&quot;Cambria Math&quot;/&gt;&lt;w:i/&gt;&lt;w:lang w:val=&quot;EN-US&quot;/&gt;&lt;/w:rPr&gt;&lt;m:t&gt;=B+(FW âˆ™YS âˆ™g)&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1" o:title="" chromakey="white"/>
          </v:shape>
        </w:pict>
      </w:r>
      <w:r w:rsidRPr="008D584B">
        <w:rPr>
          <w:lang w:val="en-US"/>
        </w:rPr>
        <w:instrText xml:space="preserve"> </w:instrText>
      </w:r>
      <w:r w:rsidRPr="008D584B">
        <w:rPr>
          <w:lang w:val="en-US"/>
        </w:rPr>
        <w:fldChar w:fldCharType="separate"/>
      </w:r>
      <w:r w:rsidRPr="008D584B">
        <w:pict>
          <v:shape id="_x0000_i1028" type="#_x0000_t75" style="width:123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1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853A1&quot;/&gt;&lt;wsp:rsid wsp:val=&quot;00000301&quot;/&gt;&lt;wsp:rsid wsp:val=&quot;00002C2F&quot;/&gt;&lt;wsp:rsid wsp:val=&quot;00004A32&quot;/&gt;&lt;wsp:rsid wsp:val=&quot;000155C6&quot;/&gt;&lt;wsp:rsid wsp:val=&quot;00020171&quot;/&gt;&lt;wsp:rsid wsp:val=&quot;00021919&quot;/&gt;&lt;wsp:rsid wsp:val=&quot;000228C1&quot;/&gt;&lt;wsp:rsid wsp:val=&quot;000265FE&quot;/&gt;&lt;wsp:rsid wsp:val=&quot;00026B17&quot;/&gt;&lt;wsp:rsid wsp:val=&quot;00031F57&quot;/&gt;&lt;wsp:rsid wsp:val=&quot;0003255C&quot;/&gt;&lt;wsp:rsid wsp:val=&quot;00032823&quot;/&gt;&lt;wsp:rsid wsp:val=&quot;00032DB2&quot;/&gt;&lt;wsp:rsid wsp:val=&quot;00034643&quot;/&gt;&lt;wsp:rsid wsp:val=&quot;000422BE&quot;/&gt;&lt;wsp:rsid wsp:val=&quot;000423E9&quot;/&gt;&lt;wsp:rsid wsp:val=&quot;0005079E&quot;/&gt;&lt;wsp:rsid wsp:val=&quot;00052141&quot;/&gt;&lt;wsp:rsid wsp:val=&quot;00052281&quot;/&gt;&lt;wsp:rsid wsp:val=&quot;00052943&quot;/&gt;&lt;wsp:rsid wsp:val=&quot;0005326D&quot;/&gt;&lt;wsp:rsid wsp:val=&quot;00053A09&quot;/&gt;&lt;wsp:rsid wsp:val=&quot;0005633C&quot;/&gt;&lt;wsp:rsid wsp:val=&quot;00056590&quot;/&gt;&lt;wsp:rsid wsp:val=&quot;0007082F&quot;/&gt;&lt;wsp:rsid wsp:val=&quot;000758DF&quot;/&gt;&lt;wsp:rsid wsp:val=&quot;00080C2A&quot;/&gt;&lt;wsp:rsid wsp:val=&quot;000821F5&quot;/&gt;&lt;wsp:rsid wsp:val=&quot;00083BDC&quot;/&gt;&lt;wsp:rsid wsp:val=&quot;0008428E&quot;/&gt;&lt;wsp:rsid wsp:val=&quot;00092595&quot;/&gt;&lt;wsp:rsid wsp:val=&quot;0009348A&quot;/&gt;&lt;wsp:rsid wsp:val=&quot;00096499&quot;/&gt;&lt;wsp:rsid wsp:val=&quot;000977F6&quot;/&gt;&lt;wsp:rsid wsp:val=&quot;00097F68&quot;/&gt;&lt;wsp:rsid wsp:val=&quot;000A0818&quot;/&gt;&lt;wsp:rsid wsp:val=&quot;000A5D99&quot;/&gt;&lt;wsp:rsid wsp:val=&quot;000A69BA&quot;/&gt;&lt;wsp:rsid wsp:val=&quot;000A7094&quot;/&gt;&lt;wsp:rsid wsp:val=&quot;000B38BD&quot;/&gt;&lt;wsp:rsid wsp:val=&quot;000B3E22&quot;/&gt;&lt;wsp:rsid wsp:val=&quot;000B3E81&quot;/&gt;&lt;wsp:rsid wsp:val=&quot;000C407D&quot;/&gt;&lt;wsp:rsid wsp:val=&quot;000C489F&quot;/&gt;&lt;wsp:rsid wsp:val=&quot;000C49CF&quot;/&gt;&lt;wsp:rsid wsp:val=&quot;000C4F39&quot;/&gt;&lt;wsp:rsid wsp:val=&quot;000C7666&quot;/&gt;&lt;wsp:rsid wsp:val=&quot;000D6EB0&quot;/&gt;&lt;wsp:rsid wsp:val=&quot;000E0AFB&quot;/&gt;&lt;wsp:rsid wsp:val=&quot;000E5451&quot;/&gt;&lt;wsp:rsid wsp:val=&quot;000E554A&quot;/&gt;&lt;wsp:rsid wsp:val=&quot;000E6DA4&quot;/&gt;&lt;wsp:rsid wsp:val=&quot;000F4D54&quot;/&gt;&lt;wsp:rsid wsp:val=&quot;00102925&quot;/&gt;&lt;wsp:rsid wsp:val=&quot;00105B48&quot;/&gt;&lt;wsp:rsid wsp:val=&quot;0010635F&quot;/&gt;&lt;wsp:rsid wsp:val=&quot;0011088A&quot;/&gt;&lt;wsp:rsid wsp:val=&quot;00116F79&quot;/&gt;&lt;wsp:rsid wsp:val=&quot;0011793E&quot;/&gt;&lt;wsp:rsid wsp:val=&quot;00121284&quot;/&gt;&lt;wsp:rsid wsp:val=&quot;00121BAF&quot;/&gt;&lt;wsp:rsid wsp:val=&quot;0012205D&quot;/&gt;&lt;wsp:rsid wsp:val=&quot;001243F1&quot;/&gt;&lt;wsp:rsid wsp:val=&quot;00125D92&quot;/&gt;&lt;wsp:rsid wsp:val=&quot;001320C2&quot;/&gt;&lt;wsp:rsid wsp:val=&quot;001320CA&quot;/&gt;&lt;wsp:rsid wsp:val=&quot;00141C38&quot;/&gt;&lt;wsp:rsid wsp:val=&quot;0014403F&quot;/&gt;&lt;wsp:rsid wsp:val=&quot;00146977&quot;/&gt;&lt;wsp:rsid wsp:val=&quot;00150B52&quot;/&gt;&lt;wsp:rsid wsp:val=&quot;00152B4A&quot;/&gt;&lt;wsp:rsid wsp:val=&quot;00154781&quot;/&gt;&lt;wsp:rsid wsp:val=&quot;00162990&quot;/&gt;&lt;wsp:rsid wsp:val=&quot;001629A6&quot;/&gt;&lt;wsp:rsid wsp:val=&quot;001677AC&quot;/&gt;&lt;wsp:rsid wsp:val=&quot;00167A17&quot;/&gt;&lt;wsp:rsid wsp:val=&quot;00173004&quot;/&gt;&lt;wsp:rsid wsp:val=&quot;00177AA2&quot;/&gt;&lt;wsp:rsid wsp:val=&quot;0018041F&quot;/&gt;&lt;wsp:rsid wsp:val=&quot;001805D7&quot;/&gt;&lt;wsp:rsid wsp:val=&quot;00187394&quot;/&gt;&lt;wsp:rsid wsp:val=&quot;001873D3&quot;/&gt;&lt;wsp:rsid wsp:val=&quot;00187991&quot;/&gt;&lt;wsp:rsid wsp:val=&quot;00193BED&quot;/&gt;&lt;wsp:rsid wsp:val=&quot;00194C7A&quot;/&gt;&lt;wsp:rsid wsp:val=&quot;00195ABC&quot;/&gt;&lt;wsp:rsid wsp:val=&quot;00195BC9&quot;/&gt;&lt;wsp:rsid wsp:val=&quot;00196448&quot;/&gt;&lt;wsp:rsid wsp:val=&quot;001A1968&quot;/&gt;&lt;wsp:rsid wsp:val=&quot;001A1D92&quot;/&gt;&lt;wsp:rsid wsp:val=&quot;001A22AC&quot;/&gt;&lt;wsp:rsid wsp:val=&quot;001A3CF0&quot;/&gt;&lt;wsp:rsid wsp:val=&quot;001A5A8F&quot;/&gt;&lt;wsp:rsid wsp:val=&quot;001B1365&quot;/&gt;&lt;wsp:rsid wsp:val=&quot;001B1481&quot;/&gt;&lt;wsp:rsid wsp:val=&quot;001B28A6&quot;/&gt;&lt;wsp:rsid wsp:val=&quot;001B31E4&quot;/&gt;&lt;wsp:rsid wsp:val=&quot;001B6A0C&quot;/&gt;&lt;wsp:rsid wsp:val=&quot;001C0D83&quot;/&gt;&lt;wsp:rsid wsp:val=&quot;001C14D5&quot;/&gt;&lt;wsp:rsid wsp:val=&quot;001C17F6&quot;/&gt;&lt;wsp:rsid wsp:val=&quot;001C3D1E&quot;/&gt;&lt;wsp:rsid wsp:val=&quot;001C6C75&quot;/&gt;&lt;wsp:rsid wsp:val=&quot;001C6CE2&quot;/&gt;&lt;wsp:rsid wsp:val=&quot;001D146F&quot;/&gt;&lt;wsp:rsid wsp:val=&quot;001D2605&quot;/&gt;&lt;wsp:rsid wsp:val=&quot;001D2C81&quot;/&gt;&lt;wsp:rsid wsp:val=&quot;001D339E&quot;/&gt;&lt;wsp:rsid wsp:val=&quot;001D74CF&quot;/&gt;&lt;wsp:rsid wsp:val=&quot;001E21C9&quot;/&gt;&lt;wsp:rsid wsp:val=&quot;001E21DF&quot;/&gt;&lt;wsp:rsid wsp:val=&quot;001E2E2E&quot;/&gt;&lt;wsp:rsid wsp:val=&quot;001E52FA&quot;/&gt;&lt;wsp:rsid wsp:val=&quot;001E5B81&quot;/&gt;&lt;wsp:rsid wsp:val=&quot;001E75BE&quot;/&gt;&lt;wsp:rsid wsp:val=&quot;001F12C4&quot;/&gt;&lt;wsp:rsid wsp:val=&quot;001F3FC7&quot;/&gt;&lt;wsp:rsid wsp:val=&quot;001F658C&quot;/&gt;&lt;wsp:rsid wsp:val=&quot;001F6D72&quot;/&gt;&lt;wsp:rsid wsp:val=&quot;002009DA&quot;/&gt;&lt;wsp:rsid wsp:val=&quot;00201758&quot;/&gt;&lt;wsp:rsid wsp:val=&quot;00201842&quot;/&gt;&lt;wsp:rsid wsp:val=&quot;00202CDD&quot;/&gt;&lt;wsp:rsid wsp:val=&quot;002055B2&quot;/&gt;&lt;wsp:rsid wsp:val=&quot;00210D79&quot;/&gt;&lt;wsp:rsid wsp:val=&quot;002126D0&quot;/&gt;&lt;wsp:rsid wsp:val=&quot;00214101&quot;/&gt;&lt;wsp:rsid wsp:val=&quot;00216CB9&quot;/&gt;&lt;wsp:rsid wsp:val=&quot;00220CCB&quot;/&gt;&lt;wsp:rsid wsp:val=&quot;00221471&quot;/&gt;&lt;wsp:rsid wsp:val=&quot;002214F1&quot;/&gt;&lt;wsp:rsid wsp:val=&quot;002269F9&quot;/&gt;&lt;wsp:rsid wsp:val=&quot;0023031D&quot;/&gt;&lt;wsp:rsid wsp:val=&quot;00230706&quot;/&gt;&lt;wsp:rsid wsp:val=&quot;002323A3&quot;/&gt;&lt;wsp:rsid wsp:val=&quot;002327A3&quot;/&gt;&lt;wsp:rsid wsp:val=&quot;00234003&quot;/&gt;&lt;wsp:rsid wsp:val=&quot;00236F9F&quot;/&gt;&lt;wsp:rsid wsp:val=&quot;002374FC&quot;/&gt;&lt;wsp:rsid wsp:val=&quot;0024012E&quot;/&gt;&lt;wsp:rsid wsp:val=&quot;00240898&quot;/&gt;&lt;wsp:rsid wsp:val=&quot;00241B86&quot;/&gt;&lt;wsp:rsid wsp:val=&quot;0024536D&quot;/&gt;&lt;wsp:rsid wsp:val=&quot;0024679F&quot;/&gt;&lt;wsp:rsid wsp:val=&quot;00251EDF&quot;/&gt;&lt;wsp:rsid wsp:val=&quot;00252EFD&quot;/&gt;&lt;wsp:rsid wsp:val=&quot;002560D5&quot;/&gt;&lt;wsp:rsid wsp:val=&quot;002561EC&quot;/&gt;&lt;wsp:rsid wsp:val=&quot;0026144A&quot;/&gt;&lt;wsp:rsid wsp:val=&quot;002615A4&quot;/&gt;&lt;wsp:rsid wsp:val=&quot;00262F25&quot;/&gt;&lt;wsp:rsid wsp:val=&quot;002653F9&quot;/&gt;&lt;wsp:rsid wsp:val=&quot;0026619B&quot;/&gt;&lt;wsp:rsid wsp:val=&quot;002671C0&quot;/&gt;&lt;wsp:rsid wsp:val=&quot;002679A2&quot;/&gt;&lt;wsp:rsid wsp:val=&quot;00267B8B&quot;/&gt;&lt;wsp:rsid wsp:val=&quot;002703CE&quot;/&gt;&lt;wsp:rsid wsp:val=&quot;00275484&quot;/&gt;&lt;wsp:rsid wsp:val=&quot;00276AD0&quot;/&gt;&lt;wsp:rsid wsp:val=&quot;00280C46&quot;/&gt;&lt;wsp:rsid wsp:val=&quot;0028594C&quot;/&gt;&lt;wsp:rsid wsp:val=&quot;002A4DA3&quot;/&gt;&lt;wsp:rsid wsp:val=&quot;002A53D8&quot;/&gt;&lt;wsp:rsid wsp:val=&quot;002B02DB&quot;/&gt;&lt;wsp:rsid wsp:val=&quot;002B23D3&quot;/&gt;&lt;wsp:rsid wsp:val=&quot;002B2E18&quot;/&gt;&lt;wsp:rsid wsp:val=&quot;002B491C&quot;/&gt;&lt;wsp:rsid wsp:val=&quot;002B4CF3&quot;/&gt;&lt;wsp:rsid wsp:val=&quot;002B4E22&quot;/&gt;&lt;wsp:rsid wsp:val=&quot;002B56EB&quot;/&gt;&lt;wsp:rsid wsp:val=&quot;002C239E&quot;/&gt;&lt;wsp:rsid wsp:val=&quot;002C28C2&quot;/&gt;&lt;wsp:rsid wsp:val=&quot;002C3B35&quot;/&gt;&lt;wsp:rsid wsp:val=&quot;002C41B6&quot;/&gt;&lt;wsp:rsid wsp:val=&quot;002C4E6E&quot;/&gt;&lt;wsp:rsid wsp:val=&quot;002C5CFF&quot;/&gt;&lt;wsp:rsid wsp:val=&quot;002D02D6&quot;/&gt;&lt;wsp:rsid wsp:val=&quot;002D1581&quot;/&gt;&lt;wsp:rsid wsp:val=&quot;002D1802&quot;/&gt;&lt;wsp:rsid wsp:val=&quot;002D3449&quot;/&gt;&lt;wsp:rsid wsp:val=&quot;002D5B28&quot;/&gt;&lt;wsp:rsid wsp:val=&quot;002D6325&quot;/&gt;&lt;wsp:rsid wsp:val=&quot;002D6522&quot;/&gt;&lt;wsp:rsid wsp:val=&quot;002E16A9&quot;/&gt;&lt;wsp:rsid wsp:val=&quot;002E6355&quot;/&gt;&lt;wsp:rsid wsp:val=&quot;002F5310&quot;/&gt;&lt;wsp:rsid wsp:val=&quot;002F6EBB&quot;/&gt;&lt;wsp:rsid wsp:val=&quot;003019DA&quot;/&gt;&lt;wsp:rsid wsp:val=&quot;00301A96&quot;/&gt;&lt;wsp:rsid wsp:val=&quot;00306A05&quot;/&gt;&lt;wsp:rsid wsp:val=&quot;003112F9&quot;/&gt;&lt;wsp:rsid wsp:val=&quot;00315D63&quot;/&gt;&lt;wsp:rsid wsp:val=&quot;0031603D&quot;/&gt;&lt;wsp:rsid wsp:val=&quot;00320675&quot;/&gt;&lt;wsp:rsid wsp:val=&quot;0032551B&quot;/&gt;&lt;wsp:rsid wsp:val=&quot;00325AAC&quot;/&gt;&lt;wsp:rsid wsp:val=&quot;00326120&quot;/&gt;&lt;wsp:rsid wsp:val=&quot;0032738F&quot;/&gt;&lt;wsp:rsid wsp:val=&quot;00327C71&quot;/&gt;&lt;wsp:rsid wsp:val=&quot;00327DCD&quot;/&gt;&lt;wsp:rsid wsp:val=&quot;003317EE&quot;/&gt;&lt;wsp:rsid wsp:val=&quot;00336BFC&quot;/&gt;&lt;wsp:rsid wsp:val=&quot;00344FB5&quot;/&gt;&lt;wsp:rsid wsp:val=&quot;00346CBD&quot;/&gt;&lt;wsp:rsid wsp:val=&quot;003515D8&quot;/&gt;&lt;wsp:rsid wsp:val=&quot;003531F5&quot;/&gt;&lt;wsp:rsid wsp:val=&quot;0035458F&quot;/&gt;&lt;wsp:rsid wsp:val=&quot;00356AB7&quot;/&gt;&lt;wsp:rsid wsp:val=&quot;00357CA9&quot;/&gt;&lt;wsp:rsid wsp:val=&quot;00362A3C&quot;/&gt;&lt;wsp:rsid wsp:val=&quot;00365046&quot;/&gt;&lt;wsp:rsid wsp:val=&quot;00366492&quot;/&gt;&lt;wsp:rsid wsp:val=&quot;00367558&quot;/&gt;&lt;wsp:rsid wsp:val=&quot;003725A1&quot;/&gt;&lt;wsp:rsid wsp:val=&quot;003754C0&quot;/&gt;&lt;wsp:rsid wsp:val=&quot;00375BA6&quot;/&gt;&lt;wsp:rsid wsp:val=&quot;003760CE&quot;/&gt;&lt;wsp:rsid wsp:val=&quot;00377400&quot;/&gt;&lt;wsp:rsid wsp:val=&quot;00382FBE&quot;/&gt;&lt;wsp:rsid wsp:val=&quot;003833C2&quot;/&gt;&lt;wsp:rsid wsp:val=&quot;00386484&quot;/&gt;&lt;wsp:rsid wsp:val=&quot;003900AB&quot;/&gt;&lt;wsp:rsid wsp:val=&quot;00390224&quot;/&gt;&lt;wsp:rsid wsp:val=&quot;00392BF4&quot;/&gt;&lt;wsp:rsid wsp:val=&quot;00393480&quot;/&gt;&lt;wsp:rsid wsp:val=&quot;00394EA4&quot;/&gt;&lt;wsp:rsid wsp:val=&quot;00396F69&quot;/&gt;&lt;wsp:rsid wsp:val=&quot;003A268B&quot;/&gt;&lt;wsp:rsid wsp:val=&quot;003A3207&quot;/&gt;&lt;wsp:rsid wsp:val=&quot;003A4E86&quot;/&gt;&lt;wsp:rsid wsp:val=&quot;003B3E4F&quot;/&gt;&lt;wsp:rsid wsp:val=&quot;003B6A29&quot;/&gt;&lt;wsp:rsid wsp:val=&quot;003B7460&quot;/&gt;&lt;wsp:rsid wsp:val=&quot;003C17A2&quot;/&gt;&lt;wsp:rsid wsp:val=&quot;003C182F&quot;/&gt;&lt;wsp:rsid wsp:val=&quot;003C34F1&quot;/&gt;&lt;wsp:rsid wsp:val=&quot;003C4AEC&quot;/&gt;&lt;wsp:rsid wsp:val=&quot;003C4B5A&quot;/&gt;&lt;wsp:rsid wsp:val=&quot;003D1885&quot;/&gt;&lt;wsp:rsid wsp:val=&quot;003D254D&quot;/&gt;&lt;wsp:rsid wsp:val=&quot;003D3A9A&quot;/&gt;&lt;wsp:rsid wsp:val=&quot;003D59EA&quot;/&gt;&lt;wsp:rsid wsp:val=&quot;003D6C77&quot;/&gt;&lt;wsp:rsid wsp:val=&quot;003D75A6&quot;/&gt;&lt;wsp:rsid wsp:val=&quot;003E0984&quot;/&gt;&lt;wsp:rsid wsp:val=&quot;003E17D0&quot;/&gt;&lt;wsp:rsid wsp:val=&quot;003E1BB3&quot;/&gt;&lt;wsp:rsid wsp:val=&quot;003E236F&quot;/&gt;&lt;wsp:rsid wsp:val=&quot;003E5D96&quot;/&gt;&lt;wsp:rsid wsp:val=&quot;003E6A82&quot;/&gt;&lt;wsp:rsid wsp:val=&quot;003F07A1&quot;/&gt;&lt;wsp:rsid wsp:val=&quot;003F4466&quot;/&gt;&lt;wsp:rsid wsp:val=&quot;003F5802&quot;/&gt;&lt;wsp:rsid wsp:val=&quot;003F7895&quot;/&gt;&lt;wsp:rsid wsp:val=&quot;00400700&quot;/&gt;&lt;wsp:rsid wsp:val=&quot;00400A2E&quot;/&gt;&lt;wsp:rsid wsp:val=&quot;00405C9E&quot;/&gt;&lt;wsp:rsid wsp:val=&quot;00406DBB&quot;/&gt;&lt;wsp:rsid wsp:val=&quot;00407AA7&quot;/&gt;&lt;wsp:rsid wsp:val=&quot;00411F49&quot;/&gt;&lt;wsp:rsid wsp:val=&quot;00420CF4&quot;/&gt;&lt;wsp:rsid wsp:val=&quot;004214CB&quot;/&gt;&lt;wsp:rsid wsp:val=&quot;00421515&quot;/&gt;&lt;wsp:rsid wsp:val=&quot;00421F52&quot;/&gt;&lt;wsp:rsid wsp:val=&quot;004273C8&quot;/&gt;&lt;wsp:rsid wsp:val=&quot;004302AC&quot;/&gt;&lt;wsp:rsid wsp:val=&quot;004311E3&quot;/&gt;&lt;wsp:rsid wsp:val=&quot;00435FD3&quot;/&gt;&lt;wsp:rsid wsp:val=&quot;00436F54&quot;/&gt;&lt;wsp:rsid wsp:val=&quot;004447E8&quot;/&gt;&lt;wsp:rsid wsp:val=&quot;0044531C&quot;/&gt;&lt;wsp:rsid wsp:val=&quot;0044686E&quot;/&gt;&lt;wsp:rsid wsp:val=&quot;00446F7D&quot;/&gt;&lt;wsp:rsid wsp:val=&quot;00452A49&quot;/&gt;&lt;wsp:rsid wsp:val=&quot;00454B2F&quot;/&gt;&lt;wsp:rsid wsp:val=&quot;004579F4&quot;/&gt;&lt;wsp:rsid wsp:val=&quot;00463B09&quot;/&gt;&lt;wsp:rsid wsp:val=&quot;004763C7&quot;/&gt;&lt;wsp:rsid wsp:val=&quot;00483AEC&quot;/&gt;&lt;wsp:rsid wsp:val=&quot;00487C49&quot;/&gt;&lt;wsp:rsid wsp:val=&quot;00495826&quot;/&gt;&lt;wsp:rsid wsp:val=&quot;004A4448&quot;/&gt;&lt;wsp:rsid wsp:val=&quot;004A584C&quot;/&gt;&lt;wsp:rsid wsp:val=&quot;004A5C92&quot;/&gt;&lt;wsp:rsid wsp:val=&quot;004B1C33&quot;/&gt;&lt;wsp:rsid wsp:val=&quot;004B2974&quot;/&gt;&lt;wsp:rsid wsp:val=&quot;004B3314&quot;/&gt;&lt;wsp:rsid wsp:val=&quot;004B4255&quot;/&gt;&lt;wsp:rsid wsp:val=&quot;004B5E76&quot;/&gt;&lt;wsp:rsid wsp:val=&quot;004B613C&quot;/&gt;&lt;wsp:rsid wsp:val=&quot;004D0DAF&quot;/&gt;&lt;wsp:rsid wsp:val=&quot;004D3144&quot;/&gt;&lt;wsp:rsid wsp:val=&quot;004D4137&quot;/&gt;&lt;wsp:rsid wsp:val=&quot;004D4844&quot;/&gt;&lt;wsp:rsid wsp:val=&quot;004D6F4B&quot;/&gt;&lt;wsp:rsid wsp:val=&quot;004D7D36&quot;/&gt;&lt;wsp:rsid wsp:val=&quot;004E0760&quot;/&gt;&lt;wsp:rsid wsp:val=&quot;004E26DF&quot;/&gt;&lt;wsp:rsid wsp:val=&quot;004E382E&quot;/&gt;&lt;wsp:rsid wsp:val=&quot;004E5A3B&quot;/&gt;&lt;wsp:rsid wsp:val=&quot;004E7D63&quot;/&gt;&lt;wsp:rsid wsp:val=&quot;004F5B23&quot;/&gt;&lt;wsp:rsid wsp:val=&quot;004F6491&quot;/&gt;&lt;wsp:rsid wsp:val=&quot;004F6805&quot;/&gt;&lt;wsp:rsid wsp:val=&quot;004F75A4&quot;/&gt;&lt;wsp:rsid wsp:val=&quot;00503483&quot;/&gt;&lt;wsp:rsid wsp:val=&quot;0050674F&quot;/&gt;&lt;wsp:rsid wsp:val=&quot;0051068C&quot;/&gt;&lt;wsp:rsid wsp:val=&quot;00513D6B&quot;/&gt;&lt;wsp:rsid wsp:val=&quot;005162E5&quot;/&gt;&lt;wsp:rsid wsp:val=&quot;00521838&quot;/&gt;&lt;wsp:rsid wsp:val=&quot;00522A7B&quot;/&gt;&lt;wsp:rsid wsp:val=&quot;0053048A&quot;/&gt;&lt;wsp:rsid wsp:val=&quot;00534071&quot;/&gt;&lt;wsp:rsid wsp:val=&quot;00541220&quot;/&gt;&lt;wsp:rsid wsp:val=&quot;0054396B&quot;/&gt;&lt;wsp:rsid wsp:val=&quot;00543A56&quot;/&gt;&lt;wsp:rsid wsp:val=&quot;0054561C&quot;/&gt;&lt;wsp:rsid wsp:val=&quot;00545ABE&quot;/&gt;&lt;wsp:rsid wsp:val=&quot;00546502&quot;/&gt;&lt;wsp:rsid wsp:val=&quot;0054765B&quot;/&gt;&lt;wsp:rsid wsp:val=&quot;00547E1B&quot;/&gt;&lt;wsp:rsid wsp:val=&quot;00551463&quot;/&gt;&lt;wsp:rsid wsp:val=&quot;00553D42&quot;/&gt;&lt;wsp:rsid wsp:val=&quot;00555F78&quot;/&gt;&lt;wsp:rsid wsp:val=&quot;00556931&quot;/&gt;&lt;wsp:rsid wsp:val=&quot;0056066C&quot;/&gt;&lt;wsp:rsid wsp:val=&quot;005607E3&quot;/&gt;&lt;wsp:rsid wsp:val=&quot;00560E99&quot;/&gt;&lt;wsp:rsid wsp:val=&quot;0056183F&quot;/&gt;&lt;wsp:rsid wsp:val=&quot;005631BF&quot;/&gt;&lt;wsp:rsid wsp:val=&quot;005669FD&quot;/&gt;&lt;wsp:rsid wsp:val=&quot;0057272D&quot;/&gt;&lt;wsp:rsid wsp:val=&quot;00572BD7&quot;/&gt;&lt;wsp:rsid wsp:val=&quot;005740A1&quot;/&gt;&lt;wsp:rsid wsp:val=&quot;005741EF&quot;/&gt;&lt;wsp:rsid wsp:val=&quot;00576A85&quot;/&gt;&lt;wsp:rsid wsp:val=&quot;00577C1C&quot;/&gt;&lt;wsp:rsid wsp:val=&quot;00581D99&quot;/&gt;&lt;wsp:rsid wsp:val=&quot;00582727&quot;/&gt;&lt;wsp:rsid wsp:val=&quot;00586D51&quot;/&gt;&lt;wsp:rsid wsp:val=&quot;00591E7C&quot;/&gt;&lt;wsp:rsid wsp:val=&quot;005978F0&quot;/&gt;&lt;wsp:rsid wsp:val=&quot;005A1B5F&quot;/&gt;&lt;wsp:rsid wsp:val=&quot;005A2EA7&quot;/&gt;&lt;wsp:rsid wsp:val=&quot;005A626E&quot;/&gt;&lt;wsp:rsid wsp:val=&quot;005A7758&quot;/&gt;&lt;wsp:rsid wsp:val=&quot;005B21D7&quot;/&gt;&lt;wsp:rsid wsp:val=&quot;005C1D07&quot;/&gt;&lt;wsp:rsid wsp:val=&quot;005C1F7A&quot;/&gt;&lt;wsp:rsid wsp:val=&quot;005C2258&quot;/&gt;&lt;wsp:rsid wsp:val=&quot;005C311E&quot;/&gt;&lt;wsp:rsid wsp:val=&quot;005C4568&quot;/&gt;&lt;wsp:rsid wsp:val=&quot;005C462E&quot;/&gt;&lt;wsp:rsid wsp:val=&quot;005C4D2B&quot;/&gt;&lt;wsp:rsid wsp:val=&quot;005D32D9&quot;/&gt;&lt;wsp:rsid wsp:val=&quot;005D396B&quot;/&gt;&lt;wsp:rsid wsp:val=&quot;005D4270&quot;/&gt;&lt;wsp:rsid wsp:val=&quot;005D48F7&quot;/&gt;&lt;wsp:rsid wsp:val=&quot;005E113C&quot;/&gt;&lt;wsp:rsid wsp:val=&quot;005E1D63&quot;/&gt;&lt;wsp:rsid wsp:val=&quot;005E397A&quot;/&gt;&lt;wsp:rsid wsp:val=&quot;005F39BF&quot;/&gt;&lt;wsp:rsid wsp:val=&quot;005F4FAA&quot;/&gt;&lt;wsp:rsid wsp:val=&quot;005F6830&quot;/&gt;&lt;wsp:rsid wsp:val=&quot;00603245&quot;/&gt;&lt;wsp:rsid wsp:val=&quot;00604FA8&quot;/&gt;&lt;wsp:rsid wsp:val=&quot;00607537&quot;/&gt;&lt;wsp:rsid wsp:val=&quot;00613481&quot;/&gt;&lt;wsp:rsid wsp:val=&quot;00614BE2&quot;/&gt;&lt;wsp:rsid wsp:val=&quot;006154C6&quot;/&gt;&lt;wsp:rsid wsp:val=&quot;00615C9D&quot;/&gt;&lt;wsp:rsid wsp:val=&quot;00617E9F&quot;/&gt;&lt;wsp:rsid wsp:val=&quot;00620614&quot;/&gt;&lt;wsp:rsid wsp:val=&quot;00621484&quot;/&gt;&lt;wsp:rsid wsp:val=&quot;0062396D&quot;/&gt;&lt;wsp:rsid wsp:val=&quot;00625A8C&quot;/&gt;&lt;wsp:rsid wsp:val=&quot;00625E64&quot;/&gt;&lt;wsp:rsid wsp:val=&quot;00631330&quot;/&gt;&lt;wsp:rsid wsp:val=&quot;0063222E&quot;/&gt;&lt;wsp:rsid wsp:val=&quot;006328C7&quot;/&gt;&lt;wsp:rsid wsp:val=&quot;00632E0E&quot;/&gt;&lt;wsp:rsid wsp:val=&quot;00636A72&quot;/&gt;&lt;wsp:rsid wsp:val=&quot;00641CF0&quot;/&gt;&lt;wsp:rsid wsp:val=&quot;00643755&quot;/&gt;&lt;wsp:rsid wsp:val=&quot;00643EBB&quot;/&gt;&lt;wsp:rsid wsp:val=&quot;006448C3&quot;/&gt;&lt;wsp:rsid wsp:val=&quot;006452BD&quot;/&gt;&lt;wsp:rsid wsp:val=&quot;00646305&quot;/&gt;&lt;wsp:rsid wsp:val=&quot;00654C91&quot;/&gt;&lt;wsp:rsid wsp:val=&quot;006551E8&quot;/&gt;&lt;wsp:rsid wsp:val=&quot;00657F10&quot;/&gt;&lt;wsp:rsid wsp:val=&quot;006607EC&quot;/&gt;&lt;wsp:rsid wsp:val=&quot;0066238C&quot;/&gt;&lt;wsp:rsid wsp:val=&quot;00663110&quot;/&gt;&lt;wsp:rsid wsp:val=&quot;006664E2&quot;/&gt;&lt;wsp:rsid wsp:val=&quot;00670494&quot;/&gt;&lt;wsp:rsid wsp:val=&quot;00670D7F&quot;/&gt;&lt;wsp:rsid wsp:val=&quot;00671CE6&quot;/&gt;&lt;wsp:rsid wsp:val=&quot;006720AB&quot;/&gt;&lt;wsp:rsid wsp:val=&quot;006755F2&quot;/&gt;&lt;wsp:rsid wsp:val=&quot;0068428C&quot;/&gt;&lt;wsp:rsid wsp:val=&quot;00684BE3&quot;/&gt;&lt;wsp:rsid wsp:val=&quot;00684C17&quot;/&gt;&lt;wsp:rsid wsp:val=&quot;00686234&quot;/&gt;&lt;wsp:rsid wsp:val=&quot;00687F71&quot;/&gt;&lt;wsp:rsid wsp:val=&quot;0069367B&quot;/&gt;&lt;wsp:rsid wsp:val=&quot;0069377C&quot;/&gt;&lt;wsp:rsid wsp:val=&quot;00694D5C&quot;/&gt;&lt;wsp:rsid wsp:val=&quot;00697242&quot;/&gt;&lt;wsp:rsid wsp:val=&quot;006A1BC0&quot;/&gt;&lt;wsp:rsid wsp:val=&quot;006A4D8D&quot;/&gt;&lt;wsp:rsid wsp:val=&quot;006A6CAF&quot;/&gt;&lt;wsp:rsid wsp:val=&quot;006B030D&quot;/&gt;&lt;wsp:rsid wsp:val=&quot;006B0FEE&quot;/&gt;&lt;wsp:rsid wsp:val=&quot;006B51FF&quot;/&gt;&lt;wsp:rsid wsp:val=&quot;006B6C5D&quot;/&gt;&lt;wsp:rsid wsp:val=&quot;006C44C4&quot;/&gt;&lt;wsp:rsid wsp:val=&quot;006C589F&quot;/&gt;&lt;wsp:rsid wsp:val=&quot;006C64FC&quot;/&gt;&lt;wsp:rsid wsp:val=&quot;006C6CC7&quot;/&gt;&lt;wsp:rsid wsp:val=&quot;006C7221&quot;/&gt;&lt;wsp:rsid wsp:val=&quot;006D0ECB&quot;/&gt;&lt;wsp:rsid wsp:val=&quot;006D29CC&quot;/&gt;&lt;wsp:rsid wsp:val=&quot;006D394C&quot;/&gt;&lt;wsp:rsid wsp:val=&quot;006D5794&quot;/&gt;&lt;wsp:rsid wsp:val=&quot;006D5942&quot;/&gt;&lt;wsp:rsid wsp:val=&quot;006D763E&quot;/&gt;&lt;wsp:rsid wsp:val=&quot;006D78E8&quot;/&gt;&lt;wsp:rsid wsp:val=&quot;006E0736&quot;/&gt;&lt;wsp:rsid wsp:val=&quot;006E1798&quot;/&gt;&lt;wsp:rsid wsp:val=&quot;006E2122&quot;/&gt;&lt;wsp:rsid wsp:val=&quot;006E40F9&quot;/&gt;&lt;wsp:rsid wsp:val=&quot;006E4BCB&quot;/&gt;&lt;wsp:rsid wsp:val=&quot;006E57FE&quot;/&gt;&lt;wsp:rsid wsp:val=&quot;006E793A&quot;/&gt;&lt;wsp:rsid wsp:val=&quot;006F0B41&quot;/&gt;&lt;wsp:rsid wsp:val=&quot;006F4191&quot;/&gt;&lt;wsp:rsid wsp:val=&quot;006F523C&quot;/&gt;&lt;wsp:rsid wsp:val=&quot;006F677A&quot;/&gt;&lt;wsp:rsid wsp:val=&quot;00700878&quot;/&gt;&lt;wsp:rsid wsp:val=&quot;00701A92&quot;/&gt;&lt;wsp:rsid wsp:val=&quot;00703315&quot;/&gt;&lt;wsp:rsid wsp:val=&quot;00704418&quot;/&gt;&lt;wsp:rsid wsp:val=&quot;00705DD0&quot;/&gt;&lt;wsp:rsid wsp:val=&quot;00711266&quot;/&gt;&lt;wsp:rsid wsp:val=&quot;0071659C&quot;/&gt;&lt;wsp:rsid wsp:val=&quot;00716F8F&quot;/&gt;&lt;wsp:rsid wsp:val=&quot;0072055A&quot;/&gt;&lt;wsp:rsid wsp:val=&quot;00721D58&quot;/&gt;&lt;wsp:rsid wsp:val=&quot;00727587&quot;/&gt;&lt;wsp:rsid wsp:val=&quot;007306E2&quot;/&gt;&lt;wsp:rsid wsp:val=&quot;007310E8&quot;/&gt;&lt;wsp:rsid wsp:val=&quot;00733210&quot;/&gt;&lt;wsp:rsid wsp:val=&quot;00734A9A&quot;/&gt;&lt;wsp:rsid wsp:val=&quot;00734FFE&quot;/&gt;&lt;wsp:rsid wsp:val=&quot;00736BE0&quot;/&gt;&lt;wsp:rsid wsp:val=&quot;007430E1&quot;/&gt;&lt;wsp:rsid wsp:val=&quot;00745209&quot;/&gt;&lt;wsp:rsid wsp:val=&quot;00745E86&quot;/&gt;&lt;wsp:rsid wsp:val=&quot;00747129&quot;/&gt;&lt;wsp:rsid wsp:val=&quot;007473E2&quot;/&gt;&lt;wsp:rsid wsp:val=&quot;00750A37&quot;/&gt;&lt;wsp:rsid wsp:val=&quot;007513E0&quot;/&gt;&lt;wsp:rsid wsp:val=&quot;0075198A&quot;/&gt;&lt;wsp:rsid wsp:val=&quot;00754841&quot;/&gt;&lt;wsp:rsid wsp:val=&quot;0075587A&quot;/&gt;&lt;wsp:rsid wsp:val=&quot;007578E5&quot;/&gt;&lt;wsp:rsid wsp:val=&quot;00762AC3&quot;/&gt;&lt;wsp:rsid wsp:val=&quot;00763AA3&quot;/&gt;&lt;wsp:rsid wsp:val=&quot;007654E6&quot;/&gt;&lt;wsp:rsid wsp:val=&quot;0076611F&quot;/&gt;&lt;wsp:rsid wsp:val=&quot;0076724F&quot;/&gt;&lt;wsp:rsid wsp:val=&quot;00771CC6&quot;/&gt;&lt;wsp:rsid wsp:val=&quot;00771D63&quot;/&gt;&lt;wsp:rsid wsp:val=&quot;007744A7&quot;/&gt;&lt;wsp:rsid wsp:val=&quot;007756FC&quot;/&gt;&lt;wsp:rsid wsp:val=&quot;0077594E&quot;/&gt;&lt;wsp:rsid wsp:val=&quot;007832BE&quot;/&gt;&lt;wsp:rsid wsp:val=&quot;0078402A&quot;/&gt;&lt;wsp:rsid wsp:val=&quot;00784E61&quot;/&gt;&lt;wsp:rsid wsp:val=&quot;00786DF1&quot;/&gt;&lt;wsp:rsid wsp:val=&quot;007875D6&quot;/&gt;&lt;wsp:rsid wsp:val=&quot;00790496&quot;/&gt;&lt;wsp:rsid wsp:val=&quot;0079396A&quot;/&gt;&lt;wsp:rsid wsp:val=&quot;00794774&quot;/&gt;&lt;wsp:rsid wsp:val=&quot;007A1697&quot;/&gt;&lt;wsp:rsid wsp:val=&quot;007A2CDC&quot;/&gt;&lt;wsp:rsid wsp:val=&quot;007A5059&quot;/&gt;&lt;wsp:rsid wsp:val=&quot;007A511B&quot;/&gt;&lt;wsp:rsid wsp:val=&quot;007A5A15&quot;/&gt;&lt;wsp:rsid wsp:val=&quot;007A6C19&quot;/&gt;&lt;wsp:rsid wsp:val=&quot;007A6E75&quot;/&gt;&lt;wsp:rsid wsp:val=&quot;007A75D7&quot;/&gt;&lt;wsp:rsid wsp:val=&quot;007B02A9&quot;/&gt;&lt;wsp:rsid wsp:val=&quot;007B086A&quot;/&gt;&lt;wsp:rsid wsp:val=&quot;007C00BA&quot;/&gt;&lt;wsp:rsid wsp:val=&quot;007C0F73&quot;/&gt;&lt;wsp:rsid wsp:val=&quot;007C143C&quot;/&gt;&lt;wsp:rsid wsp:val=&quot;007C2882&quot;/&gt;&lt;wsp:rsid wsp:val=&quot;007C2C8B&quot;/&gt;&lt;wsp:rsid wsp:val=&quot;007C2F42&quot;/&gt;&lt;wsp:rsid wsp:val=&quot;007C5272&quot;/&gt;&lt;wsp:rsid wsp:val=&quot;007C7BB4&quot;/&gt;&lt;wsp:rsid wsp:val=&quot;007D246E&quot;/&gt;&lt;wsp:rsid wsp:val=&quot;007D5DD3&quot;/&gt;&lt;wsp:rsid wsp:val=&quot;007E0767&quot;/&gt;&lt;wsp:rsid wsp:val=&quot;007E52B6&quot;/&gt;&lt;wsp:rsid wsp:val=&quot;007F331B&quot;/&gt;&lt;wsp:rsid wsp:val=&quot;007F42AF&quot;/&gt;&lt;wsp:rsid wsp:val=&quot;007F6250&quot;/&gt;&lt;wsp:rsid wsp:val=&quot;007F78A2&quot;/&gt;&lt;wsp:rsid wsp:val=&quot;007F7925&quot;/&gt;&lt;wsp:rsid wsp:val=&quot;00800422&quot;/&gt;&lt;wsp:rsid wsp:val=&quot;00802225&quot;/&gt;&lt;wsp:rsid wsp:val=&quot;00803F65&quot;/&gt;&lt;wsp:rsid wsp:val=&quot;00803FBE&quot;/&gt;&lt;wsp:rsid wsp:val=&quot;0080753A&quot;/&gt;&lt;wsp:rsid wsp:val=&quot;00813B57&quot;/&gt;&lt;wsp:rsid wsp:val=&quot;008171D0&quot;/&gt;&lt;wsp:rsid wsp:val=&quot;00821707&quot;/&gt;&lt;wsp:rsid wsp:val=&quot;00821F59&quot;/&gt;&lt;wsp:rsid wsp:val=&quot;00821FA4&quot;/&gt;&lt;wsp:rsid wsp:val=&quot;0082270E&quot;/&gt;&lt;wsp:rsid wsp:val=&quot;008234D8&quot;/&gt;&lt;wsp:rsid wsp:val=&quot;0084236C&quot;/&gt;&lt;wsp:rsid wsp:val=&quot;0084290F&quot;/&gt;&lt;wsp:rsid wsp:val=&quot;00843385&quot;/&gt;&lt;wsp:rsid wsp:val=&quot;00846723&quot;/&gt;&lt;wsp:rsid wsp:val=&quot;00847A5B&quot;/&gt;&lt;wsp:rsid wsp:val=&quot;00853895&quot;/&gt;&lt;wsp:rsid wsp:val=&quot;008550BA&quot;/&gt;&lt;wsp:rsid wsp:val=&quot;008639DF&quot;/&gt;&lt;wsp:rsid wsp:val=&quot;008709A3&quot;/&gt;&lt;wsp:rsid wsp:val=&quot;00874691&quot;/&gt;&lt;wsp:rsid wsp:val=&quot;00875E14&quot;/&gt;&lt;wsp:rsid wsp:val=&quot;00876334&quot;/&gt;&lt;wsp:rsid wsp:val=&quot;00881063&quot;/&gt;&lt;wsp:rsid wsp:val=&quot;00882866&quot;/&gt;&lt;wsp:rsid wsp:val=&quot;0088426E&quot;/&gt;&lt;wsp:rsid wsp:val=&quot;008857C2&quot;/&gt;&lt;wsp:rsid wsp:val=&quot;008877F3&quot;/&gt;&lt;wsp:rsid wsp:val=&quot;00891879&quot;/&gt;&lt;wsp:rsid wsp:val=&quot;008928B1&quot;/&gt;&lt;wsp:rsid wsp:val=&quot;0089445A&quot;/&gt;&lt;wsp:rsid wsp:val=&quot;008A5A81&quot;/&gt;&lt;wsp:rsid wsp:val=&quot;008B3464&quot;/&gt;&lt;wsp:rsid wsp:val=&quot;008B50C6&quot;/&gt;&lt;wsp:rsid wsp:val=&quot;008B5D12&quot;/&gt;&lt;wsp:rsid wsp:val=&quot;008C0DCD&quot;/&gt;&lt;wsp:rsid wsp:val=&quot;008C1ADA&quot;/&gt;&lt;wsp:rsid wsp:val=&quot;008C6EF9&quot;/&gt;&lt;wsp:rsid wsp:val=&quot;008C7096&quot;/&gt;&lt;wsp:rsid wsp:val=&quot;008D1C99&quot;/&gt;&lt;wsp:rsid wsp:val=&quot;008D584B&quot;/&gt;&lt;wsp:rsid wsp:val=&quot;008D6F96&quot;/&gt;&lt;wsp:rsid wsp:val=&quot;008E2F91&quot;/&gt;&lt;wsp:rsid wsp:val=&quot;008E3FE7&quot;/&gt;&lt;wsp:rsid wsp:val=&quot;008E4168&quot;/&gt;&lt;wsp:rsid wsp:val=&quot;008F26E9&quot;/&gt;&lt;wsp:rsid wsp:val=&quot;008F3F91&quot;/&gt;&lt;wsp:rsid wsp:val=&quot;008F4892&quot;/&gt;&lt;wsp:rsid wsp:val=&quot;008F7B63&quot;/&gt;&lt;wsp:rsid wsp:val=&quot;00900A53&quot;/&gt;&lt;wsp:rsid wsp:val=&quot;009016BD&quot;/&gt;&lt;wsp:rsid wsp:val=&quot;00902BD0&quot;/&gt;&lt;wsp:rsid wsp:val=&quot;00906713&quot;/&gt;&lt;wsp:rsid wsp:val=&quot;00911585&quot;/&gt;&lt;wsp:rsid wsp:val=&quot;009140BC&quot;/&gt;&lt;wsp:rsid wsp:val=&quot;009145DA&quot;/&gt;&lt;wsp:rsid wsp:val=&quot;00915375&quot;/&gt;&lt;wsp:rsid wsp:val=&quot;009172F9&quot;/&gt;&lt;wsp:rsid wsp:val=&quot;009179F0&quot;/&gt;&lt;wsp:rsid wsp:val=&quot;00917A05&quot;/&gt;&lt;wsp:rsid wsp:val=&quot;0092018F&quot;/&gt;&lt;wsp:rsid wsp:val=&quot;0092170E&quot;/&gt;&lt;wsp:rsid wsp:val=&quot;00921737&quot;/&gt;&lt;wsp:rsid wsp:val=&quot;0092190B&quot;/&gt;&lt;wsp:rsid wsp:val=&quot;00922FAA&quot;/&gt;&lt;wsp:rsid wsp:val=&quot;0092532E&quot;/&gt;&lt;wsp:rsid wsp:val=&quot;00925917&quot;/&gt;&lt;wsp:rsid wsp:val=&quot;00931A08&quot;/&gt;&lt;wsp:rsid wsp:val=&quot;00936327&quot;/&gt;&lt;wsp:rsid wsp:val=&quot;00943832&quot;/&gt;&lt;wsp:rsid wsp:val=&quot;00943F47&quot;/&gt;&lt;wsp:rsid wsp:val=&quot;00945474&quot;/&gt;&lt;wsp:rsid wsp:val=&quot;0094553E&quot;/&gt;&lt;wsp:rsid wsp:val=&quot;00952BD5&quot;/&gt;&lt;wsp:rsid wsp:val=&quot;009606C8&quot;/&gt;&lt;wsp:rsid wsp:val=&quot;009608F8&quot;/&gt;&lt;wsp:rsid wsp:val=&quot;009626F0&quot;/&gt;&lt;wsp:rsid wsp:val=&quot;00966847&quot;/&gt;&lt;wsp:rsid wsp:val=&quot;00966C62&quot;/&gt;&lt;wsp:rsid wsp:val=&quot;0097541E&quot;/&gt;&lt;wsp:rsid wsp:val=&quot;009801B8&quot;/&gt;&lt;wsp:rsid wsp:val=&quot;009812EE&quot;/&gt;&lt;wsp:rsid wsp:val=&quot;009813F6&quot;/&gt;&lt;wsp:rsid wsp:val=&quot;00982F55&quot;/&gt;&lt;wsp:rsid wsp:val=&quot;00983EF0&quot;/&gt;&lt;wsp:rsid wsp:val=&quot;00987461&quot;/&gt;&lt;wsp:rsid wsp:val=&quot;00997A83&quot;/&gt;&lt;wsp:rsid wsp:val=&quot;009A0F68&quot;/&gt;&lt;wsp:rsid wsp:val=&quot;009A291D&quot;/&gt;&lt;wsp:rsid wsp:val=&quot;009A48D3&quot;/&gt;&lt;wsp:rsid wsp:val=&quot;009A5D2D&quot;/&gt;&lt;wsp:rsid wsp:val=&quot;009A702F&quot;/&gt;&lt;wsp:rsid wsp:val=&quot;009A760F&quot;/&gt;&lt;wsp:rsid wsp:val=&quot;009B1DB5&quot;/&gt;&lt;wsp:rsid wsp:val=&quot;009B3805&quot;/&gt;&lt;wsp:rsid wsp:val=&quot;009B61F1&quot;/&gt;&lt;wsp:rsid wsp:val=&quot;009C129C&quot;/&gt;&lt;wsp:rsid wsp:val=&quot;009C2076&quot;/&gt;&lt;wsp:rsid wsp:val=&quot;009C4D33&quot;/&gt;&lt;wsp:rsid wsp:val=&quot;009C51B7&quot;/&gt;&lt;wsp:rsid wsp:val=&quot;009C6951&quot;/&gt;&lt;wsp:rsid wsp:val=&quot;009D1251&quot;/&gt;&lt;wsp:rsid wsp:val=&quot;009E0711&quot;/&gt;&lt;wsp:rsid wsp:val=&quot;009E7FFB&quot;/&gt;&lt;wsp:rsid wsp:val=&quot;009F081E&quot;/&gt;&lt;wsp:rsid wsp:val=&quot;009F169E&quot;/&gt;&lt;wsp:rsid wsp:val=&quot;009F1DED&quot;/&gt;&lt;wsp:rsid wsp:val=&quot;009F35EB&quot;/&gt;&lt;wsp:rsid wsp:val=&quot;009F451A&quot;/&gt;&lt;wsp:rsid wsp:val=&quot;009F61A4&quot;/&gt;&lt;wsp:rsid wsp:val=&quot;00A009EE&quot;/&gt;&lt;wsp:rsid wsp:val=&quot;00A01DC7&quot;/&gt;&lt;wsp:rsid wsp:val=&quot;00A13091&quot;/&gt;&lt;wsp:rsid wsp:val=&quot;00A134BF&quot;/&gt;&lt;wsp:rsid wsp:val=&quot;00A13629&quot;/&gt;&lt;wsp:rsid wsp:val=&quot;00A2199A&quot;/&gt;&lt;wsp:rsid wsp:val=&quot;00A22756&quot;/&gt;&lt;wsp:rsid wsp:val=&quot;00A228A0&quot;/&gt;&lt;wsp:rsid wsp:val=&quot;00A2483E&quot;/&gt;&lt;wsp:rsid wsp:val=&quot;00A25930&quot;/&gt;&lt;wsp:rsid wsp:val=&quot;00A2795F&quot;/&gt;&lt;wsp:rsid wsp:val=&quot;00A31470&quot;/&gt;&lt;wsp:rsid wsp:val=&quot;00A33546&quot;/&gt;&lt;wsp:rsid wsp:val=&quot;00A33ACB&quot;/&gt;&lt;wsp:rsid wsp:val=&quot;00A33DAA&quot;/&gt;&lt;wsp:rsid wsp:val=&quot;00A35CED&quot;/&gt;&lt;wsp:rsid wsp:val=&quot;00A421AB&quot;/&gt;&lt;wsp:rsid wsp:val=&quot;00A422D7&quot;/&gt;&lt;wsp:rsid wsp:val=&quot;00A43FEA&quot;/&gt;&lt;wsp:rsid wsp:val=&quot;00A45B4A&quot;/&gt;&lt;wsp:rsid wsp:val=&quot;00A51441&quot;/&gt;&lt;wsp:rsid wsp:val=&quot;00A51771&quot;/&gt;&lt;wsp:rsid wsp:val=&quot;00A52C50&quot;/&gt;&lt;wsp:rsid wsp:val=&quot;00A53A8A&quot;/&gt;&lt;wsp:rsid wsp:val=&quot;00A53ED1&quot;/&gt;&lt;wsp:rsid wsp:val=&quot;00A61EA7&quot;/&gt;&lt;wsp:rsid wsp:val=&quot;00A63461&quot;/&gt;&lt;wsp:rsid wsp:val=&quot;00A649B2&quot;/&gt;&lt;wsp:rsid wsp:val=&quot;00A66B30&quot;/&gt;&lt;wsp:rsid wsp:val=&quot;00A66B3A&quot;/&gt;&lt;wsp:rsid wsp:val=&quot;00A734FD&quot;/&gt;&lt;wsp:rsid wsp:val=&quot;00A74E23&quot;/&gt;&lt;wsp:rsid wsp:val=&quot;00A80F1F&quot;/&gt;&lt;wsp:rsid wsp:val=&quot;00A8705F&quot;/&gt;&lt;wsp:rsid wsp:val=&quot;00A90881&quot;/&gt;&lt;wsp:rsid wsp:val=&quot;00A91DF8&quot;/&gt;&lt;wsp:rsid wsp:val=&quot;00A93272&quot;/&gt;&lt;wsp:rsid wsp:val=&quot;00A96DCA&quot;/&gt;&lt;wsp:rsid wsp:val=&quot;00AA043B&quot;/&gt;&lt;wsp:rsid wsp:val=&quot;00AA2D09&quot;/&gt;&lt;wsp:rsid wsp:val=&quot;00AA54C9&quot;/&gt;&lt;wsp:rsid wsp:val=&quot;00AA701F&quot;/&gt;&lt;wsp:rsid wsp:val=&quot;00AA75A0&quot;/&gt;&lt;wsp:rsid wsp:val=&quot;00AB104F&quot;/&gt;&lt;wsp:rsid wsp:val=&quot;00AB1112&quot;/&gt;&lt;wsp:rsid wsp:val=&quot;00AB30E9&quot;/&gt;&lt;wsp:rsid wsp:val=&quot;00AB339E&quot;/&gt;&lt;wsp:rsid wsp:val=&quot;00AB3F44&quot;/&gt;&lt;wsp:rsid wsp:val=&quot;00AB616B&quot;/&gt;&lt;wsp:rsid wsp:val=&quot;00AC3098&quot;/&gt;&lt;wsp:rsid wsp:val=&quot;00AC44F5&quot;/&gt;&lt;wsp:rsid wsp:val=&quot;00AC6915&quot;/&gt;&lt;wsp:rsid wsp:val=&quot;00AC75F4&quot;/&gt;&lt;wsp:rsid wsp:val=&quot;00AD1BB2&quot;/&gt;&lt;wsp:rsid wsp:val=&quot;00AD1BFC&quot;/&gt;&lt;wsp:rsid wsp:val=&quot;00AD7D04&quot;/&gt;&lt;wsp:rsid wsp:val=&quot;00AE2110&quot;/&gt;&lt;wsp:rsid wsp:val=&quot;00AE24CD&quot;/&gt;&lt;wsp:rsid wsp:val=&quot;00AE2D18&quot;/&gt;&lt;wsp:rsid wsp:val=&quot;00AE4F43&quot;/&gt;&lt;wsp:rsid wsp:val=&quot;00AF3757&quot;/&gt;&lt;wsp:rsid wsp:val=&quot;00B00BF9&quot;/&gt;&lt;wsp:rsid wsp:val=&quot;00B0261B&quot;/&gt;&lt;wsp:rsid wsp:val=&quot;00B14C5B&quot;/&gt;&lt;wsp:rsid wsp:val=&quot;00B21CFC&quot;/&gt;&lt;wsp:rsid wsp:val=&quot;00B235B8&quot;/&gt;&lt;wsp:rsid wsp:val=&quot;00B23955&quot;/&gt;&lt;wsp:rsid wsp:val=&quot;00B23C7E&quot;/&gt;&lt;wsp:rsid wsp:val=&quot;00B25C88&quot;/&gt;&lt;wsp:rsid wsp:val=&quot;00B25D4D&quot;/&gt;&lt;wsp:rsid wsp:val=&quot;00B26ABB&quot;/&gt;&lt;wsp:rsid wsp:val=&quot;00B33223&quot;/&gt;&lt;wsp:rsid wsp:val=&quot;00B336AA&quot;/&gt;&lt;wsp:rsid wsp:val=&quot;00B33966&quot;/&gt;&lt;wsp:rsid wsp:val=&quot;00B33B73&quot;/&gt;&lt;wsp:rsid wsp:val=&quot;00B33F19&quot;/&gt;&lt;wsp:rsid wsp:val=&quot;00B362C5&quot;/&gt;&lt;wsp:rsid wsp:val=&quot;00B36ACB&quot;/&gt;&lt;wsp:rsid wsp:val=&quot;00B42BAC&quot;/&gt;&lt;wsp:rsid wsp:val=&quot;00B42D7F&quot;/&gt;&lt;wsp:rsid wsp:val=&quot;00B45F91&quot;/&gt;&lt;wsp:rsid wsp:val=&quot;00B4642C&quot;/&gt;&lt;wsp:rsid wsp:val=&quot;00B46645&quot;/&gt;&lt;wsp:rsid wsp:val=&quot;00B47188&quot;/&gt;&lt;wsp:rsid wsp:val=&quot;00B52659&quot;/&gt;&lt;wsp:rsid wsp:val=&quot;00B53F04&quot;/&gt;&lt;wsp:rsid wsp:val=&quot;00B54934&quot;/&gt;&lt;wsp:rsid wsp:val=&quot;00B55225&quot;/&gt;&lt;wsp:rsid wsp:val=&quot;00B5625F&quot;/&gt;&lt;wsp:rsid wsp:val=&quot;00B63E7C&quot;/&gt;&lt;wsp:rsid wsp:val=&quot;00B64C28&quot;/&gt;&lt;wsp:rsid wsp:val=&quot;00B72F9D&quot;/&gt;&lt;wsp:rsid wsp:val=&quot;00B73247&quot;/&gt;&lt;wsp:rsid wsp:val=&quot;00B758E4&quot;/&gt;&lt;wsp:rsid wsp:val=&quot;00B80D78&quot;/&gt;&lt;wsp:rsid wsp:val=&quot;00B83C2D&quot;/&gt;&lt;wsp:rsid wsp:val=&quot;00B85BE0&quot;/&gt;&lt;wsp:rsid wsp:val=&quot;00B862E4&quot;/&gt;&lt;wsp:rsid wsp:val=&quot;00B864AF&quot;/&gt;&lt;wsp:rsid wsp:val=&quot;00B86D6F&quot;/&gt;&lt;wsp:rsid wsp:val=&quot;00B963A2&quot;/&gt;&lt;wsp:rsid wsp:val=&quot;00B9798D&quot;/&gt;&lt;wsp:rsid wsp:val=&quot;00BA50C9&quot;/&gt;&lt;wsp:rsid wsp:val=&quot;00BA525B&quot;/&gt;&lt;wsp:rsid wsp:val=&quot;00BA6A0C&quot;/&gt;&lt;wsp:rsid wsp:val=&quot;00BA6BAF&quot;/&gt;&lt;wsp:rsid wsp:val=&quot;00BB1A1A&quot;/&gt;&lt;wsp:rsid wsp:val=&quot;00BB2956&quot;/&gt;&lt;wsp:rsid wsp:val=&quot;00BB3170&quot;/&gt;&lt;wsp:rsid wsp:val=&quot;00BB3397&quot;/&gt;&lt;wsp:rsid wsp:val=&quot;00BB526B&quot;/&gt;&lt;wsp:rsid wsp:val=&quot;00BB5B00&quot;/&gt;&lt;wsp:rsid wsp:val=&quot;00BB6566&quot;/&gt;&lt;wsp:rsid wsp:val=&quot;00BC38B9&quot;/&gt;&lt;wsp:rsid wsp:val=&quot;00BD30C9&quot;/&gt;&lt;wsp:rsid wsp:val=&quot;00BD78EC&quot;/&gt;&lt;wsp:rsid wsp:val=&quot;00BE1675&quot;/&gt;&lt;wsp:rsid wsp:val=&quot;00BE2B70&quot;/&gt;&lt;wsp:rsid wsp:val=&quot;00BF0D22&quot;/&gt;&lt;wsp:rsid wsp:val=&quot;00BF1F4E&quot;/&gt;&lt;wsp:rsid wsp:val=&quot;00BF55DE&quot;/&gt;&lt;wsp:rsid wsp:val=&quot;00BF65A4&quot;/&gt;&lt;wsp:rsid wsp:val=&quot;00C0056B&quot;/&gt;&lt;wsp:rsid wsp:val=&quot;00C048C6&quot;/&gt;&lt;wsp:rsid wsp:val=&quot;00C05139&quot;/&gt;&lt;wsp:rsid wsp:val=&quot;00C0525E&quot;/&gt;&lt;wsp:rsid wsp:val=&quot;00C10A4F&quot;/&gt;&lt;wsp:rsid wsp:val=&quot;00C10DB0&quot;/&gt;&lt;wsp:rsid wsp:val=&quot;00C1185D&quot;/&gt;&lt;wsp:rsid wsp:val=&quot;00C20424&quot;/&gt;&lt;wsp:rsid wsp:val=&quot;00C21576&quot;/&gt;&lt;wsp:rsid wsp:val=&quot;00C274D5&quot;/&gt;&lt;wsp:rsid wsp:val=&quot;00C3529F&quot;/&gt;&lt;wsp:rsid wsp:val=&quot;00C362CF&quot;/&gt;&lt;wsp:rsid wsp:val=&quot;00C368A6&quot;/&gt;&lt;wsp:rsid wsp:val=&quot;00C40B65&quot;/&gt;&lt;wsp:rsid wsp:val=&quot;00C4297A&quot;/&gt;&lt;wsp:rsid wsp:val=&quot;00C4360A&quot;/&gt;&lt;wsp:rsid wsp:val=&quot;00C445D9&quot;/&gt;&lt;wsp:rsid wsp:val=&quot;00C51DB6&quot;/&gt;&lt;wsp:rsid wsp:val=&quot;00C5748D&quot;/&gt;&lt;wsp:rsid wsp:val=&quot;00C617F2&quot;/&gt;&lt;wsp:rsid wsp:val=&quot;00C67080&quot;/&gt;&lt;wsp:rsid wsp:val=&quot;00C6784D&quot;/&gt;&lt;wsp:rsid wsp:val=&quot;00C67CF8&quot;/&gt;&lt;wsp:rsid wsp:val=&quot;00C758FE&quot;/&gt;&lt;wsp:rsid wsp:val=&quot;00C76AFA&quot;/&gt;&lt;wsp:rsid wsp:val=&quot;00C835D8&quot;/&gt;&lt;wsp:rsid wsp:val=&quot;00C97B55&quot;/&gt;&lt;wsp:rsid wsp:val=&quot;00CA0926&quot;/&gt;&lt;wsp:rsid wsp:val=&quot;00CA4711&quot;/&gt;&lt;wsp:rsid wsp:val=&quot;00CA507D&quot;/&gt;&lt;wsp:rsid wsp:val=&quot;00CA6707&quot;/&gt;&lt;wsp:rsid wsp:val=&quot;00CA7D2B&quot;/&gt;&lt;wsp:rsid wsp:val=&quot;00CB1115&quot;/&gt;&lt;wsp:rsid wsp:val=&quot;00CB3284&quot;/&gt;&lt;wsp:rsid wsp:val=&quot;00CB5D91&quot;/&gt;&lt;wsp:rsid wsp:val=&quot;00CB6372&quot;/&gt;&lt;wsp:rsid wsp:val=&quot;00CC0314&quot;/&gt;&lt;wsp:rsid wsp:val=&quot;00CC06E8&quot;/&gt;&lt;wsp:rsid wsp:val=&quot;00CC124F&quot;/&gt;&lt;wsp:rsid wsp:val=&quot;00CC42B4&quot;/&gt;&lt;wsp:rsid wsp:val=&quot;00CC6B12&quot;/&gt;&lt;wsp:rsid wsp:val=&quot;00CD2119&quot;/&gt;&lt;wsp:rsid wsp:val=&quot;00CD2177&quot;/&gt;&lt;wsp:rsid wsp:val=&quot;00CD4350&quot;/&gt;&lt;wsp:rsid wsp:val=&quot;00CD6020&quot;/&gt;&lt;wsp:rsid wsp:val=&quot;00CE36F4&quot;/&gt;&lt;wsp:rsid wsp:val=&quot;00CE4E07&quot;/&gt;&lt;wsp:rsid wsp:val=&quot;00CF078D&quot;/&gt;&lt;wsp:rsid wsp:val=&quot;00CF1DCA&quot;/&gt;&lt;wsp:rsid wsp:val=&quot;00CF65BA&quot;/&gt;&lt;wsp:rsid wsp:val=&quot;00D019AE&quot;/&gt;&lt;wsp:rsid wsp:val=&quot;00D059A8&quot;/&gt;&lt;wsp:rsid wsp:val=&quot;00D10D12&quot;/&gt;&lt;wsp:rsid wsp:val=&quot;00D1166E&quot;/&gt;&lt;wsp:rsid wsp:val=&quot;00D12265&quot;/&gt;&lt;wsp:rsid wsp:val=&quot;00D151BA&quot;/&gt;&lt;wsp:rsid wsp:val=&quot;00D15BD8&quot;/&gt;&lt;wsp:rsid wsp:val=&quot;00D166AD&quot;/&gt;&lt;wsp:rsid wsp:val=&quot;00D201FB&quot;/&gt;&lt;wsp:rsid wsp:val=&quot;00D20F5F&quot;/&gt;&lt;wsp:rsid wsp:val=&quot;00D2276D&quot;/&gt;&lt;wsp:rsid wsp:val=&quot;00D235A5&quot;/&gt;&lt;wsp:rsid wsp:val=&quot;00D23C21&quot;/&gt;&lt;wsp:rsid wsp:val=&quot;00D26E24&quot;/&gt;&lt;wsp:rsid wsp:val=&quot;00D302BF&quot;/&gt;&lt;wsp:rsid wsp:val=&quot;00D3259C&quot;/&gt;&lt;wsp:rsid wsp:val=&quot;00D36900&quot;/&gt;&lt;wsp:rsid wsp:val=&quot;00D373C6&quot;/&gt;&lt;wsp:rsid wsp:val=&quot;00D428C8&quot;/&gt;&lt;wsp:rsid wsp:val=&quot;00D50793&quot;/&gt;&lt;wsp:rsid wsp:val=&quot;00D50DC5&quot;/&gt;&lt;wsp:rsid wsp:val=&quot;00D516DC&quot;/&gt;&lt;wsp:rsid wsp:val=&quot;00D51859&quot;/&gt;&lt;wsp:rsid wsp:val=&quot;00D52970&quot;/&gt;&lt;wsp:rsid wsp:val=&quot;00D56CE8&quot;/&gt;&lt;wsp:rsid wsp:val=&quot;00D60E20&quot;/&gt;&lt;wsp:rsid wsp:val=&quot;00D61F3F&quot;/&gt;&lt;wsp:rsid wsp:val=&quot;00D627FD&quot;/&gt;&lt;wsp:rsid wsp:val=&quot;00D64B22&quot;/&gt;&lt;wsp:rsid wsp:val=&quot;00D66482&quot;/&gt;&lt;wsp:rsid wsp:val=&quot;00D712A8&quot;/&gt;&lt;wsp:rsid wsp:val=&quot;00D739B4&quot;/&gt;&lt;wsp:rsid wsp:val=&quot;00D74CE9&quot;/&gt;&lt;wsp:rsid wsp:val=&quot;00D75CAB&quot;/&gt;&lt;wsp:rsid wsp:val=&quot;00D76071&quot;/&gt;&lt;wsp:rsid wsp:val=&quot;00D76DB9&quot;/&gt;&lt;wsp:rsid wsp:val=&quot;00D8061D&quot;/&gt;&lt;wsp:rsid wsp:val=&quot;00D8209B&quot;/&gt;&lt;wsp:rsid wsp:val=&quot;00D82191&quot;/&gt;&lt;wsp:rsid wsp:val=&quot;00D853A1&quot;/&gt;&lt;wsp:rsid wsp:val=&quot;00D8705F&quot;/&gt;&lt;wsp:rsid wsp:val=&quot;00D92DD6&quot;/&gt;&lt;wsp:rsid wsp:val=&quot;00D93BCC&quot;/&gt;&lt;wsp:rsid wsp:val=&quot;00D97DC3&quot;/&gt;&lt;wsp:rsid wsp:val=&quot;00DA1AEC&quot;/&gt;&lt;wsp:rsid wsp:val=&quot;00DA298B&quot;/&gt;&lt;wsp:rsid wsp:val=&quot;00DA3CBD&quot;/&gt;&lt;wsp:rsid wsp:val=&quot;00DB0338&quot;/&gt;&lt;wsp:rsid wsp:val=&quot;00DB1195&quot;/&gt;&lt;wsp:rsid wsp:val=&quot;00DB19CE&quot;/&gt;&lt;wsp:rsid wsp:val=&quot;00DB26BF&quot;/&gt;&lt;wsp:rsid wsp:val=&quot;00DB7EED&quot;/&gt;&lt;wsp:rsid wsp:val=&quot;00DC1315&quot;/&gt;&lt;wsp:rsid wsp:val=&quot;00DC3DA9&quot;/&gt;&lt;wsp:rsid wsp:val=&quot;00DC5E14&quot;/&gt;&lt;wsp:rsid wsp:val=&quot;00DD0B7F&quot;/&gt;&lt;wsp:rsid wsp:val=&quot;00DD452A&quot;/&gt;&lt;wsp:rsid wsp:val=&quot;00DD729D&quot;/&gt;&lt;wsp:rsid wsp:val=&quot;00DE2DE3&quot;/&gt;&lt;wsp:rsid wsp:val=&quot;00DE42AC&quot;/&gt;&lt;wsp:rsid wsp:val=&quot;00DE67F9&quot;/&gt;&lt;wsp:rsid wsp:val=&quot;00DF0161&quot;/&gt;&lt;wsp:rsid wsp:val=&quot;00DF17F0&quot;/&gt;&lt;wsp:rsid wsp:val=&quot;00DF6B5C&quot;/&gt;&lt;wsp:rsid wsp:val=&quot;00DF73BF&quot;/&gt;&lt;wsp:rsid wsp:val=&quot;00DF7F54&quot;/&gt;&lt;wsp:rsid wsp:val=&quot;00E02D84&quot;/&gt;&lt;wsp:rsid wsp:val=&quot;00E12090&quot;/&gt;&lt;wsp:rsid wsp:val=&quot;00E1368B&quot;/&gt;&lt;wsp:rsid wsp:val=&quot;00E145BD&quot;/&gt;&lt;wsp:rsid wsp:val=&quot;00E14964&quot;/&gt;&lt;wsp:rsid wsp:val=&quot;00E14F00&quot;/&gt;&lt;wsp:rsid wsp:val=&quot;00E17E89&quot;/&gt;&lt;wsp:rsid wsp:val=&quot;00E17EBA&quot;/&gt;&lt;wsp:rsid wsp:val=&quot;00E2143B&quot;/&gt;&lt;wsp:rsid wsp:val=&quot;00E21CE0&quot;/&gt;&lt;wsp:rsid wsp:val=&quot;00E2528C&quot;/&gt;&lt;wsp:rsid wsp:val=&quot;00E265FC&quot;/&gt;&lt;wsp:rsid wsp:val=&quot;00E27157&quot;/&gt;&lt;wsp:rsid wsp:val=&quot;00E36D02&quot;/&gt;&lt;wsp:rsid wsp:val=&quot;00E42729&quot;/&gt;&lt;wsp:rsid wsp:val=&quot;00E429F6&quot;/&gt;&lt;wsp:rsid wsp:val=&quot;00E431DF&quot;/&gt;&lt;wsp:rsid wsp:val=&quot;00E45336&quot;/&gt;&lt;wsp:rsid wsp:val=&quot;00E4697B&quot;/&gt;&lt;wsp:rsid wsp:val=&quot;00E469CB&quot;/&gt;&lt;wsp:rsid wsp:val=&quot;00E505E5&quot;/&gt;&lt;wsp:rsid wsp:val=&quot;00E5168C&quot;/&gt;&lt;wsp:rsid wsp:val=&quot;00E53020&quot;/&gt;&lt;wsp:rsid wsp:val=&quot;00E5428B&quot;/&gt;&lt;wsp:rsid wsp:val=&quot;00E57F82&quot;/&gt;&lt;wsp:rsid wsp:val=&quot;00E601AC&quot;/&gt;&lt;wsp:rsid wsp:val=&quot;00E62666&quot;/&gt;&lt;wsp:rsid wsp:val=&quot;00E658DF&quot;/&gt;&lt;wsp:rsid wsp:val=&quot;00E65A28&quot;/&gt;&lt;wsp:rsid wsp:val=&quot;00E7233D&quot;/&gt;&lt;wsp:rsid wsp:val=&quot;00E732B9&quot;/&gt;&lt;wsp:rsid wsp:val=&quot;00E73E1E&quot;/&gt;&lt;wsp:rsid wsp:val=&quot;00E74C37&quot;/&gt;&lt;wsp:rsid wsp:val=&quot;00E76192&quot;/&gt;&lt;wsp:rsid wsp:val=&quot;00E7641D&quot;/&gt;&lt;wsp:rsid wsp:val=&quot;00E77B2A&quot;/&gt;&lt;wsp:rsid wsp:val=&quot;00E81485&quot;/&gt;&lt;wsp:rsid wsp:val=&quot;00E82258&quot;/&gt;&lt;wsp:rsid wsp:val=&quot;00E82F12&quot;/&gt;&lt;wsp:rsid wsp:val=&quot;00E82FAD&quot;/&gt;&lt;wsp:rsid wsp:val=&quot;00E83639&quot;/&gt;&lt;wsp:rsid wsp:val=&quot;00E86DDE&quot;/&gt;&lt;wsp:rsid wsp:val=&quot;00E90366&quot;/&gt;&lt;wsp:rsid wsp:val=&quot;00E90448&quot;/&gt;&lt;wsp:rsid wsp:val=&quot;00E96592&quot;/&gt;&lt;wsp:rsid wsp:val=&quot;00E97206&quot;/&gt;&lt;wsp:rsid wsp:val=&quot;00E97A81&quot;/&gt;&lt;wsp:rsid wsp:val=&quot;00E97CDF&quot;/&gt;&lt;wsp:rsid wsp:val=&quot;00EA14B4&quot;/&gt;&lt;wsp:rsid wsp:val=&quot;00EA3C1D&quot;/&gt;&lt;wsp:rsid wsp:val=&quot;00EA7232&quot;/&gt;&lt;wsp:rsid wsp:val=&quot;00EB2DF6&quot;/&gt;&lt;wsp:rsid wsp:val=&quot;00EB2F4B&quot;/&gt;&lt;wsp:rsid wsp:val=&quot;00EB33C4&quot;/&gt;&lt;wsp:rsid wsp:val=&quot;00EB59EB&quot;/&gt;&lt;wsp:rsid wsp:val=&quot;00EC2038&quot;/&gt;&lt;wsp:rsid wsp:val=&quot;00EC2C1D&quot;/&gt;&lt;wsp:rsid wsp:val=&quot;00EC3A9E&quot;/&gt;&lt;wsp:rsid wsp:val=&quot;00EC7438&quot;/&gt;&lt;wsp:rsid wsp:val=&quot;00ED192F&quot;/&gt;&lt;wsp:rsid wsp:val=&quot;00ED27DF&quot;/&gt;&lt;wsp:rsid wsp:val=&quot;00ED36AF&quot;/&gt;&lt;wsp:rsid wsp:val=&quot;00ED39CB&quot;/&gt;&lt;wsp:rsid wsp:val=&quot;00EE0561&quot;/&gt;&lt;wsp:rsid wsp:val=&quot;00EE1E02&quot;/&gt;&lt;wsp:rsid wsp:val=&quot;00EE51DD&quot;/&gt;&lt;wsp:rsid wsp:val=&quot;00EF2265&quot;/&gt;&lt;wsp:rsid wsp:val=&quot;00EF3414&quot;/&gt;&lt;wsp:rsid wsp:val=&quot;00EF4A2E&quot;/&gt;&lt;wsp:rsid wsp:val=&quot;00EF640B&quot;/&gt;&lt;wsp:rsid wsp:val=&quot;00EF7EC9&quot;/&gt;&lt;wsp:rsid wsp:val=&quot;00F05A6E&quot;/&gt;&lt;wsp:rsid wsp:val=&quot;00F1063C&quot;/&gt;&lt;wsp:rsid wsp:val=&quot;00F10A3E&quot;/&gt;&lt;wsp:rsid wsp:val=&quot;00F13FD6&quot;/&gt;&lt;wsp:rsid wsp:val=&quot;00F15653&quot;/&gt;&lt;wsp:rsid wsp:val=&quot;00F1632B&quot;/&gt;&lt;wsp:rsid wsp:val=&quot;00F221E6&quot;/&gt;&lt;wsp:rsid wsp:val=&quot;00F27E3E&quot;/&gt;&lt;wsp:rsid wsp:val=&quot;00F27EFD&quot;/&gt;&lt;wsp:rsid wsp:val=&quot;00F34501&quot;/&gt;&lt;wsp:rsid wsp:val=&quot;00F34520&quot;/&gt;&lt;wsp:rsid wsp:val=&quot;00F34821&quot;/&gt;&lt;wsp:rsid wsp:val=&quot;00F40D65&quot;/&gt;&lt;wsp:rsid wsp:val=&quot;00F42984&quot;/&gt;&lt;wsp:rsid wsp:val=&quot;00F4396A&quot;/&gt;&lt;wsp:rsid wsp:val=&quot;00F44B7B&quot;/&gt;&lt;wsp:rsid wsp:val=&quot;00F47866&quot;/&gt;&lt;wsp:rsid wsp:val=&quot;00F478BC&quot;/&gt;&lt;wsp:rsid wsp:val=&quot;00F47C2E&quot;/&gt;&lt;wsp:rsid wsp:val=&quot;00F50AC1&quot;/&gt;&lt;wsp:rsid wsp:val=&quot;00F520D8&quot;/&gt;&lt;wsp:rsid wsp:val=&quot;00F5737F&quot;/&gt;&lt;wsp:rsid wsp:val=&quot;00F70B55&quot;/&gt;&lt;wsp:rsid wsp:val=&quot;00F70D98&quot;/&gt;&lt;wsp:rsid wsp:val=&quot;00F72B0D&quot;/&gt;&lt;wsp:rsid wsp:val=&quot;00F73E6F&quot;/&gt;&lt;wsp:rsid wsp:val=&quot;00F742CC&quot;/&gt;&lt;wsp:rsid wsp:val=&quot;00F747D0&quot;/&gt;&lt;wsp:rsid wsp:val=&quot;00F76F09&quot;/&gt;&lt;wsp:rsid wsp:val=&quot;00F81FF3&quot;/&gt;&lt;wsp:rsid wsp:val=&quot;00F84C5A&quot;/&gt;&lt;wsp:rsid wsp:val=&quot;00F85331&quot;/&gt;&lt;wsp:rsid wsp:val=&quot;00F85745&quot;/&gt;&lt;wsp:rsid wsp:val=&quot;00F85FAD&quot;/&gt;&lt;wsp:rsid wsp:val=&quot;00F87993&quot;/&gt;&lt;wsp:rsid wsp:val=&quot;00FA2AED&quot;/&gt;&lt;wsp:rsid wsp:val=&quot;00FA3AEA&quot;/&gt;&lt;wsp:rsid wsp:val=&quot;00FA43F3&quot;/&gt;&lt;wsp:rsid wsp:val=&quot;00FA4D7C&quot;/&gt;&lt;wsp:rsid wsp:val=&quot;00FA5470&quot;/&gt;&lt;wsp:rsid wsp:val=&quot;00FA5F75&quot;/&gt;&lt;wsp:rsid wsp:val=&quot;00FA776A&quot;/&gt;&lt;wsp:rsid wsp:val=&quot;00FA7E7A&quot;/&gt;&lt;wsp:rsid wsp:val=&quot;00FA7FF0&quot;/&gt;&lt;wsp:rsid wsp:val=&quot;00FB0456&quot;/&gt;&lt;wsp:rsid wsp:val=&quot;00FB1DF2&quot;/&gt;&lt;wsp:rsid wsp:val=&quot;00FB4AC8&quot;/&gt;&lt;wsp:rsid wsp:val=&quot;00FB5070&quot;/&gt;&lt;wsp:rsid wsp:val=&quot;00FC0127&quot;/&gt;&lt;wsp:rsid wsp:val=&quot;00FC0C66&quot;/&gt;&lt;wsp:rsid wsp:val=&quot;00FC2027&quot;/&gt;&lt;wsp:rsid wsp:val=&quot;00FC437C&quot;/&gt;&lt;wsp:rsid wsp:val=&quot;00FC69BA&quot;/&gt;&lt;wsp:rsid wsp:val=&quot;00FC720B&quot;/&gt;&lt;wsp:rsid wsp:val=&quot;00FC7568&quot;/&gt;&lt;wsp:rsid wsp:val=&quot;00FD05EE&quot;/&gt;&lt;wsp:rsid wsp:val=&quot;00FD40AE&quot;/&gt;&lt;wsp:rsid wsp:val=&quot;00FD6EC3&quot;/&gt;&lt;wsp:rsid wsp:val=&quot;00FE3B0B&quot;/&gt;&lt;wsp:rsid wsp:val=&quot;00FE3CB8&quot;/&gt;&lt;wsp:rsid wsp:val=&quot;00FE5183&quot;/&gt;&lt;wsp:rsid wsp:val=&quot;00FE71D7&quot;/&gt;&lt;/wsp:rsids&gt;&lt;/w:docPr&gt;&lt;w:body&gt;&lt;w:p wsp:rsidR=&quot;00000000&quot; wsp:rsidRDefault=&quot;006F0B41&quot;&gt;&lt;m:oMathPara&gt;&lt;m:oMath&gt;&lt;m:r&gt;&lt;w:rPr&gt;&lt;w:rFonts w:ascii=&quot;Cambria Math&quot; w:h-ansi=&quot;Cambria Math&quot;/&gt;&lt;wx:font wx:val=&quot;Cambria Math&quot;/&gt;&lt;w:i/&gt;&lt;w:lang w:val=&quot;EN-US&quot;/&gt;&lt;/w:rPr&gt;&lt;m:t&gt;A&lt;/m:t&gt;&lt;/m:r&gt;&lt;m:d&gt;&lt;m:dPr&gt;&lt;m:ctrlPr&gt;&lt;w:rPr&gt;&lt;w:rFonts w:ascii=&quot;Cambria Math&quot; w:h-ansi=&quot;Cambria Math&quot;/&gt;&lt;wx:font wx:val=&quot;Cambria Math&quot;/&gt;&lt;w:i/&gt;&lt;w:lang w:val=&quot;EN-US&quot;/&gt;&lt;/w:rPr&gt;&lt;/m:ctrlPr&gt;&lt;/m:dPr&gt;&lt;m:e&gt;&lt;m:r&gt;&lt;w:rPr&gt;&lt;w:rFonts w:ascii=&quot;Cambria Math&quot; w:h-ansi=&quot;Cambria Math&quot;/&gt;&lt;wx:font wx:val=&quot;Cambria Math&quot;/&gt;&lt;w:i/&gt;&lt;w:lang w:val=&quot;EN-US&quot;/&gt;&lt;/w:rPr&gt;&lt;m:t&gt;R&lt;/m:t&gt;&lt;/m:r&gt;&lt;/m:e&gt;&lt;/m:d&gt;&lt;m:r&gt;&lt;w:rPr&gt;&lt;w:rFonts w:ascii=&quot;Cambria Math&quot; w:h-ansi=&quot;Cambria Math&quot;/&gt;&lt;wx:font wx:val=&quot;Cambria Math&quot;/&gt;&lt;w:i/&gt;&lt;w:lang w:val=&quot;EN-US&quot;/&gt;&lt;/w:rPr&gt;&lt;m:t&gt;=B+(FW âˆ™YS âˆ™g)&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1" o:title="" chromakey="white"/>
          </v:shape>
        </w:pict>
      </w:r>
      <w:r w:rsidRPr="008D584B">
        <w:rPr>
          <w:lang w:val="en-US"/>
        </w:rPr>
        <w:fldChar w:fldCharType="end"/>
      </w:r>
    </w:p>
    <w:p w:rsidR="00A2303C" w:rsidRPr="00E77B2A" w:rsidRDefault="00A2303C" w:rsidP="00925917">
      <w:pPr>
        <w:pStyle w:val="NoSpacing"/>
        <w:spacing w:line="360" w:lineRule="auto"/>
        <w:rPr>
          <w:lang w:val="en-US"/>
        </w:rPr>
      </w:pPr>
    </w:p>
    <w:p w:rsidR="00A2303C" w:rsidRPr="00E77B2A" w:rsidRDefault="00A2303C" w:rsidP="00925917">
      <w:pPr>
        <w:pStyle w:val="NoSpacing"/>
        <w:spacing w:line="360" w:lineRule="auto"/>
        <w:rPr>
          <w:lang w:val="en-US"/>
        </w:rPr>
      </w:pPr>
      <w:r w:rsidRPr="00E77B2A">
        <w:rPr>
          <w:lang w:val="en-US"/>
        </w:rPr>
        <w:t>The employer needs to make current contributions, based on actuarial calculations, to the pension fund to ensure that there is enough money available to pay the future promised pre-set benefits. There are numerous assumptions on which the actuarial calculations are based, such as retirement benefits, life expectancy and th</w:t>
      </w:r>
      <w:r>
        <w:rPr>
          <w:lang w:val="en-US"/>
        </w:rPr>
        <w:t>e return on investments. T</w:t>
      </w:r>
      <w:r w:rsidRPr="00E77B2A">
        <w:rPr>
          <w:lang w:val="en-US"/>
        </w:rPr>
        <w:t xml:space="preserve">he employer bears the investment risk and </w:t>
      </w:r>
      <w:r>
        <w:rPr>
          <w:lang w:val="en-US"/>
        </w:rPr>
        <w:t xml:space="preserve">the </w:t>
      </w:r>
      <w:r w:rsidRPr="00E77B2A">
        <w:rPr>
          <w:lang w:val="en-US"/>
        </w:rPr>
        <w:t>portfolio management for defined benefit plans.</w:t>
      </w:r>
    </w:p>
    <w:p w:rsidR="00A2303C" w:rsidRPr="00E77B2A" w:rsidRDefault="00A2303C" w:rsidP="00925917">
      <w:pPr>
        <w:pStyle w:val="NoSpacing"/>
        <w:spacing w:line="360" w:lineRule="auto"/>
        <w:rPr>
          <w:lang w:val="en-US"/>
        </w:rPr>
      </w:pPr>
    </w:p>
    <w:p w:rsidR="00A2303C" w:rsidRPr="00E77B2A" w:rsidRDefault="00A2303C" w:rsidP="009B61F1">
      <w:pPr>
        <w:pStyle w:val="NoSpacing"/>
        <w:numPr>
          <w:ilvl w:val="2"/>
          <w:numId w:val="3"/>
        </w:numPr>
        <w:spacing w:line="360" w:lineRule="auto"/>
        <w:ind w:left="1276" w:hanging="1276"/>
        <w:rPr>
          <w:b/>
          <w:i/>
          <w:lang w:val="en-US"/>
        </w:rPr>
      </w:pPr>
      <w:r w:rsidRPr="00E77B2A">
        <w:rPr>
          <w:b/>
          <w:i/>
          <w:lang w:val="en-US"/>
        </w:rPr>
        <w:t>Hybrid schemes</w:t>
      </w:r>
    </w:p>
    <w:p w:rsidR="00A2303C" w:rsidRPr="00E77B2A" w:rsidRDefault="00A2303C" w:rsidP="00421F52">
      <w:pPr>
        <w:pStyle w:val="NoSpacing"/>
        <w:spacing w:line="360" w:lineRule="auto"/>
        <w:rPr>
          <w:lang w:val="en-US"/>
        </w:rPr>
      </w:pPr>
      <w:r w:rsidRPr="00E77B2A">
        <w:rPr>
          <w:lang w:val="en-US"/>
        </w:rPr>
        <w:t>Hybrid pension plans are a mixture of DC and DB plans. A couple of examples of the most found hybrid plans are (Blake, 2006);</w:t>
      </w:r>
    </w:p>
    <w:p w:rsidR="00A2303C" w:rsidRPr="00E77B2A" w:rsidRDefault="00A2303C" w:rsidP="00B42D7F">
      <w:pPr>
        <w:pStyle w:val="NoSpacing"/>
        <w:numPr>
          <w:ilvl w:val="0"/>
          <w:numId w:val="8"/>
        </w:numPr>
        <w:spacing w:line="360" w:lineRule="auto"/>
        <w:rPr>
          <w:lang w:val="en-US"/>
        </w:rPr>
      </w:pPr>
      <w:r w:rsidRPr="00E77B2A">
        <w:rPr>
          <w:lang w:val="en-US"/>
        </w:rPr>
        <w:t>Sequential hybrid scheme. A DC component is imposed for people below a certain age and a DB component is used for people above it. The benefit of this mix is that is offers portability possibilities for younger employees, who usually are more mobile and more stable pensions for older employees.</w:t>
      </w:r>
    </w:p>
    <w:p w:rsidR="00A2303C" w:rsidRPr="00E77B2A" w:rsidRDefault="00A2303C" w:rsidP="00B42D7F">
      <w:pPr>
        <w:pStyle w:val="NoSpacing"/>
        <w:numPr>
          <w:ilvl w:val="0"/>
          <w:numId w:val="8"/>
        </w:numPr>
        <w:spacing w:line="360" w:lineRule="auto"/>
        <w:rPr>
          <w:lang w:val="en-US"/>
        </w:rPr>
      </w:pPr>
      <w:r w:rsidRPr="00E77B2A">
        <w:rPr>
          <w:lang w:val="en-US"/>
        </w:rPr>
        <w:t>Combination hybrid scheme. In this combination a DB pension is applied for salaries up to a certain limit and a DC pension for salaries above this limit.</w:t>
      </w:r>
    </w:p>
    <w:p w:rsidR="00A2303C" w:rsidRPr="00E77B2A" w:rsidRDefault="00A2303C" w:rsidP="00B42D7F">
      <w:pPr>
        <w:pStyle w:val="NoSpacing"/>
        <w:numPr>
          <w:ilvl w:val="0"/>
          <w:numId w:val="8"/>
        </w:numPr>
        <w:spacing w:line="360" w:lineRule="auto"/>
        <w:rPr>
          <w:lang w:val="en-US"/>
        </w:rPr>
      </w:pPr>
      <w:r w:rsidRPr="00E77B2A">
        <w:rPr>
          <w:lang w:val="en-US"/>
        </w:rPr>
        <w:t>Targeted benefit scheme. Although it is a DC scheme, it aims to provide a targeted pension. Thus if the pension fund falls short or exceeds the target, the contributions need to be adjusted.</w:t>
      </w:r>
    </w:p>
    <w:p w:rsidR="00A2303C" w:rsidRPr="00E77B2A" w:rsidRDefault="00A2303C" w:rsidP="003E6A82">
      <w:pPr>
        <w:pStyle w:val="NoSpacing"/>
        <w:spacing w:line="360" w:lineRule="auto"/>
        <w:rPr>
          <w:lang w:val="en-US"/>
        </w:rPr>
      </w:pPr>
    </w:p>
    <w:p w:rsidR="00A2303C" w:rsidRPr="00E77B2A" w:rsidRDefault="00A2303C" w:rsidP="009813F6">
      <w:pPr>
        <w:pStyle w:val="IntenseQuote"/>
        <w:numPr>
          <w:ilvl w:val="0"/>
          <w:numId w:val="3"/>
        </w:numPr>
        <w:jc w:val="center"/>
        <w:rPr>
          <w:lang w:val="en-US"/>
        </w:rPr>
      </w:pPr>
      <w:r w:rsidRPr="00E77B2A">
        <w:rPr>
          <w:lang w:val="en-US"/>
        </w:rPr>
        <w:t>Advantages and disadvantages of different pension plan designs</w:t>
      </w:r>
    </w:p>
    <w:p w:rsidR="00A2303C" w:rsidRPr="00E77B2A" w:rsidRDefault="00A2303C" w:rsidP="003E6A82">
      <w:pPr>
        <w:pStyle w:val="NoSpacing"/>
        <w:spacing w:line="360" w:lineRule="auto"/>
        <w:rPr>
          <w:i/>
          <w:lang w:val="en-US"/>
        </w:rPr>
      </w:pPr>
      <w:r w:rsidRPr="00E77B2A">
        <w:rPr>
          <w:lang w:val="en-US"/>
        </w:rPr>
        <w:t xml:space="preserve">The following section will explain </w:t>
      </w:r>
      <w:r>
        <w:rPr>
          <w:lang w:val="en-US"/>
        </w:rPr>
        <w:t>advantages and disadvantages of voluntary and mandatory pension plans, of privately and publicly managed plans, of funded and PAYG plans and of DB and DC plans. Furthermore, it highlights another few important features for designing a pension plan.</w:t>
      </w:r>
    </w:p>
    <w:p w:rsidR="00A2303C" w:rsidRPr="00E77B2A" w:rsidRDefault="00A2303C" w:rsidP="003E6A82">
      <w:pPr>
        <w:pStyle w:val="NoSpacing"/>
        <w:spacing w:line="360" w:lineRule="auto"/>
        <w:rPr>
          <w:lang w:val="en-US"/>
        </w:rPr>
      </w:pPr>
    </w:p>
    <w:p w:rsidR="00A2303C" w:rsidRPr="00E77B2A" w:rsidRDefault="00A2303C" w:rsidP="009B61F1">
      <w:pPr>
        <w:pStyle w:val="NoSpacing"/>
        <w:spacing w:line="360" w:lineRule="auto"/>
        <w:ind w:left="1276" w:hanging="1276"/>
        <w:rPr>
          <w:b/>
          <w:i/>
          <w:lang w:val="en-US"/>
        </w:rPr>
      </w:pPr>
      <w:r w:rsidRPr="00E77B2A">
        <w:rPr>
          <w:b/>
          <w:i/>
          <w:lang w:val="en-US"/>
        </w:rPr>
        <w:t xml:space="preserve">4.1 </w:t>
      </w:r>
      <w:r w:rsidRPr="00E77B2A">
        <w:rPr>
          <w:b/>
          <w:i/>
          <w:lang w:val="en-US"/>
        </w:rPr>
        <w:tab/>
      </w:r>
      <w:r>
        <w:rPr>
          <w:b/>
          <w:i/>
          <w:lang w:val="en-US"/>
        </w:rPr>
        <w:t>Options to structure pension systems</w:t>
      </w:r>
    </w:p>
    <w:p w:rsidR="00A2303C" w:rsidRPr="00E77B2A" w:rsidRDefault="00A2303C" w:rsidP="003E6A82">
      <w:pPr>
        <w:pStyle w:val="NoSpacing"/>
        <w:spacing w:line="360" w:lineRule="auto"/>
        <w:rPr>
          <w:lang w:val="en-US"/>
        </w:rPr>
      </w:pPr>
      <w:r w:rsidRPr="00E77B2A">
        <w:rPr>
          <w:lang w:val="en-US"/>
        </w:rPr>
        <w:t xml:space="preserve"> In designing a pension plan there are four essential questions that determine the structure of the pension plan (World Bank 1994). The first question is; should the pension plan be voluntary or mandatory? The second question is whether the plan should be managed publicly or privately, followed by </w:t>
      </w:r>
      <w:r>
        <w:rPr>
          <w:lang w:val="en-US"/>
        </w:rPr>
        <w:t xml:space="preserve">the third question, </w:t>
      </w:r>
      <w:r w:rsidRPr="00E77B2A">
        <w:rPr>
          <w:lang w:val="en-US"/>
        </w:rPr>
        <w:t xml:space="preserve">whether the plan should be funded or unfunded (PAYG). The fourth question relates to how pension benefits are financed; either via a DB-plan or via a DC-plan. This </w:t>
      </w:r>
      <w:r>
        <w:rPr>
          <w:lang w:val="en-US"/>
        </w:rPr>
        <w:t>part</w:t>
      </w:r>
      <w:r w:rsidRPr="00E77B2A">
        <w:rPr>
          <w:lang w:val="en-US"/>
        </w:rPr>
        <w:t xml:space="preserve"> </w:t>
      </w:r>
      <w:r>
        <w:rPr>
          <w:lang w:val="en-US"/>
        </w:rPr>
        <w:t>lists</w:t>
      </w:r>
      <w:r w:rsidRPr="00E77B2A">
        <w:rPr>
          <w:lang w:val="en-US"/>
        </w:rPr>
        <w:t xml:space="preserve"> the advantages and disadvantages of each choice for the four questions. </w:t>
      </w:r>
      <w:r>
        <w:rPr>
          <w:lang w:val="en-US"/>
        </w:rPr>
        <w:t>At the end of each sub-section a small summary of the advantages and disadvantages is presented, which will be used to evaluate the choices made by the Brazilian government.</w:t>
      </w:r>
    </w:p>
    <w:p w:rsidR="00A2303C" w:rsidRPr="00E77B2A" w:rsidRDefault="00A2303C" w:rsidP="003E6A82">
      <w:pPr>
        <w:pStyle w:val="NoSpacing"/>
        <w:spacing w:line="360" w:lineRule="auto"/>
        <w:rPr>
          <w:lang w:val="en-US"/>
        </w:rPr>
      </w:pPr>
    </w:p>
    <w:p w:rsidR="00A2303C" w:rsidRPr="00E77B2A" w:rsidRDefault="00A2303C" w:rsidP="0032551B">
      <w:pPr>
        <w:pStyle w:val="NoSpacing"/>
        <w:numPr>
          <w:ilvl w:val="2"/>
          <w:numId w:val="3"/>
        </w:numPr>
        <w:spacing w:line="360" w:lineRule="auto"/>
        <w:ind w:left="1276" w:hanging="1276"/>
        <w:rPr>
          <w:b/>
          <w:i/>
          <w:lang w:val="en-US"/>
        </w:rPr>
      </w:pPr>
      <w:r w:rsidRPr="00E77B2A">
        <w:rPr>
          <w:b/>
          <w:i/>
          <w:lang w:val="en-US"/>
        </w:rPr>
        <w:t>Voluntary or mandatory</w:t>
      </w:r>
      <w:r>
        <w:rPr>
          <w:b/>
          <w:i/>
          <w:lang w:val="en-US"/>
        </w:rPr>
        <w:t xml:space="preserve"> contributions</w:t>
      </w:r>
      <w:r w:rsidRPr="00E77B2A">
        <w:rPr>
          <w:b/>
          <w:i/>
          <w:lang w:val="en-US"/>
        </w:rPr>
        <w:t>?</w:t>
      </w:r>
    </w:p>
    <w:p w:rsidR="00A2303C" w:rsidRPr="00E77B2A" w:rsidRDefault="00A2303C" w:rsidP="0032551B">
      <w:pPr>
        <w:pStyle w:val="NoSpacing"/>
        <w:spacing w:line="360" w:lineRule="auto"/>
        <w:rPr>
          <w:lang w:val="en-US"/>
        </w:rPr>
      </w:pPr>
      <w:r w:rsidRPr="00E77B2A">
        <w:rPr>
          <w:lang w:val="en-US"/>
        </w:rPr>
        <w:t xml:space="preserve">In the majority of the countries the contributions to the third pillar of the personal saving plans are voluntary, whereas the first pillar with the subsistence pension requires mandatory contributions. For the second pillar of the occupational pension plans, countries are less unanimous. Both voluntary and </w:t>
      </w:r>
      <w:r>
        <w:rPr>
          <w:lang w:val="en-US"/>
        </w:rPr>
        <w:t>mandatory plans are widely used</w:t>
      </w:r>
      <w:r w:rsidRPr="00E77B2A">
        <w:rPr>
          <w:lang w:val="en-US"/>
        </w:rPr>
        <w:t xml:space="preserve"> (World Bank 1994)</w:t>
      </w:r>
      <w:r>
        <w:rPr>
          <w:lang w:val="en-US"/>
        </w:rPr>
        <w:t>.</w:t>
      </w:r>
      <w:r w:rsidRPr="00E77B2A">
        <w:rPr>
          <w:lang w:val="en-US"/>
        </w:rPr>
        <w:t xml:space="preserve"> </w:t>
      </w:r>
    </w:p>
    <w:p w:rsidR="00A2303C" w:rsidRPr="00E77B2A" w:rsidRDefault="00A2303C" w:rsidP="0032551B">
      <w:pPr>
        <w:pStyle w:val="NoSpacing"/>
        <w:spacing w:line="360" w:lineRule="auto"/>
        <w:rPr>
          <w:lang w:val="en-US"/>
        </w:rPr>
      </w:pPr>
    </w:p>
    <w:p w:rsidR="00A2303C" w:rsidRDefault="00A2303C" w:rsidP="0032551B">
      <w:pPr>
        <w:pStyle w:val="NoSpacing"/>
        <w:spacing w:line="360" w:lineRule="auto"/>
        <w:rPr>
          <w:lang w:val="en-US"/>
        </w:rPr>
      </w:pPr>
      <w:r w:rsidRPr="00E77B2A">
        <w:rPr>
          <w:lang w:val="en-US"/>
        </w:rPr>
        <w:t>An advantage of having pension plans with mandatory contributions is that it prevents</w:t>
      </w:r>
      <w:r>
        <w:rPr>
          <w:lang w:val="en-US"/>
        </w:rPr>
        <w:t xml:space="preserve"> individuals</w:t>
      </w:r>
      <w:r w:rsidRPr="00E77B2A">
        <w:rPr>
          <w:lang w:val="en-US"/>
        </w:rPr>
        <w:t xml:space="preserve"> from making insufficient contributions</w:t>
      </w:r>
      <w:r>
        <w:rPr>
          <w:lang w:val="en-US"/>
        </w:rPr>
        <w:t>, resulting in</w:t>
      </w:r>
      <w:r w:rsidRPr="00E77B2A">
        <w:rPr>
          <w:lang w:val="en-US"/>
        </w:rPr>
        <w:t xml:space="preserve"> a lower standard of living after retirement </w:t>
      </w:r>
      <w:r>
        <w:rPr>
          <w:lang w:val="en-US"/>
        </w:rPr>
        <w:t xml:space="preserve">(Katona 1964, and Cagan 1965). </w:t>
      </w:r>
      <w:r w:rsidRPr="00E77B2A">
        <w:rPr>
          <w:lang w:val="en-US"/>
        </w:rPr>
        <w:t>Reasons for insufficient savings are</w:t>
      </w:r>
      <w:r>
        <w:rPr>
          <w:lang w:val="en-US"/>
        </w:rPr>
        <w:t>,</w:t>
      </w:r>
      <w:r w:rsidRPr="00E77B2A">
        <w:rPr>
          <w:lang w:val="en-US"/>
        </w:rPr>
        <w:t xml:space="preserve"> for instance</w:t>
      </w:r>
      <w:r>
        <w:rPr>
          <w:lang w:val="en-US"/>
        </w:rPr>
        <w:t>,</w:t>
      </w:r>
      <w:r w:rsidRPr="00E77B2A">
        <w:rPr>
          <w:lang w:val="en-US"/>
        </w:rPr>
        <w:t xml:space="preserve"> that </w:t>
      </w:r>
      <w:r>
        <w:rPr>
          <w:lang w:val="en-US"/>
        </w:rPr>
        <w:t>individuals</w:t>
      </w:r>
      <w:r w:rsidRPr="00E77B2A">
        <w:rPr>
          <w:lang w:val="en-US"/>
        </w:rPr>
        <w:t xml:space="preserve"> can be</w:t>
      </w:r>
      <w:r>
        <w:rPr>
          <w:lang w:val="en-US"/>
        </w:rPr>
        <w:t xml:space="preserve"> too myopic;</w:t>
      </w:r>
      <w:r w:rsidRPr="00E77B2A">
        <w:rPr>
          <w:lang w:val="en-US"/>
        </w:rPr>
        <w:t xml:space="preserve"> particularly young </w:t>
      </w:r>
      <w:r>
        <w:rPr>
          <w:lang w:val="en-US"/>
        </w:rPr>
        <w:t>employees</w:t>
      </w:r>
      <w:r w:rsidRPr="00E77B2A">
        <w:rPr>
          <w:lang w:val="en-US"/>
        </w:rPr>
        <w:t xml:space="preserve"> are not concerned about accumulating a pension</w:t>
      </w:r>
      <w:r>
        <w:rPr>
          <w:lang w:val="en-US"/>
        </w:rPr>
        <w:t xml:space="preserve"> (Poterba 1994)</w:t>
      </w:r>
      <w:r w:rsidRPr="00E77B2A">
        <w:rPr>
          <w:lang w:val="en-US"/>
        </w:rPr>
        <w:t xml:space="preserve">. </w:t>
      </w:r>
      <w:r>
        <w:rPr>
          <w:lang w:val="en-US"/>
        </w:rPr>
        <w:t>Individuals do not attach enough weight to pension utility in their lifetime utility function (Feldstein 1985).</w:t>
      </w:r>
      <w:r w:rsidRPr="00E77B2A">
        <w:rPr>
          <w:lang w:val="en-US"/>
        </w:rPr>
        <w:t xml:space="preserve"> </w:t>
      </w:r>
      <w:r>
        <w:rPr>
          <w:lang w:val="en-US"/>
        </w:rPr>
        <w:t xml:space="preserve">Prove for myopic behavior was found by </w:t>
      </w:r>
      <w:r w:rsidRPr="00E77B2A">
        <w:rPr>
          <w:lang w:val="en-US"/>
        </w:rPr>
        <w:t>Katona (1964)</w:t>
      </w:r>
      <w:r>
        <w:rPr>
          <w:lang w:val="en-US"/>
        </w:rPr>
        <w:t>, who</w:t>
      </w:r>
      <w:r w:rsidRPr="00E77B2A">
        <w:rPr>
          <w:lang w:val="en-US"/>
        </w:rPr>
        <w:t xml:space="preserve"> concluded that o</w:t>
      </w:r>
      <w:r>
        <w:rPr>
          <w:lang w:val="en-US"/>
        </w:rPr>
        <w:t>nly when the realiz</w:t>
      </w:r>
      <w:r w:rsidRPr="00E77B2A">
        <w:rPr>
          <w:lang w:val="en-US"/>
        </w:rPr>
        <w:t>ation date of an event approaches, individuals will pay more attention to it</w:t>
      </w:r>
      <w:r>
        <w:rPr>
          <w:lang w:val="en-US"/>
        </w:rPr>
        <w:t>, however by that time it could be too late</w:t>
      </w:r>
      <w:r w:rsidRPr="00E77B2A">
        <w:rPr>
          <w:lang w:val="en-US"/>
        </w:rPr>
        <w:t xml:space="preserve">. </w:t>
      </w:r>
      <w:r>
        <w:rPr>
          <w:lang w:val="en-US"/>
        </w:rPr>
        <w:t xml:space="preserve">Moreover, Cagan (1965) suggested that a mandatory pension system, which forces individuals to participate, will make individuals acknowledge the usefulness of providing for retirement. </w:t>
      </w:r>
      <w:r w:rsidRPr="00E77B2A">
        <w:rPr>
          <w:lang w:val="en-US"/>
        </w:rPr>
        <w:t xml:space="preserve">Besides myopia, there could be self-control problems that prevent </w:t>
      </w:r>
      <w:r>
        <w:rPr>
          <w:lang w:val="en-US"/>
        </w:rPr>
        <w:t>individuals</w:t>
      </w:r>
      <w:r w:rsidRPr="00E77B2A">
        <w:rPr>
          <w:lang w:val="en-US"/>
        </w:rPr>
        <w:t xml:space="preserve"> from </w:t>
      </w:r>
      <w:r>
        <w:rPr>
          <w:lang w:val="en-US"/>
        </w:rPr>
        <w:t>making adequate contributions to</w:t>
      </w:r>
      <w:r w:rsidRPr="00E77B2A">
        <w:rPr>
          <w:lang w:val="en-US"/>
        </w:rPr>
        <w:t xml:space="preserve"> their pension</w:t>
      </w:r>
      <w:r>
        <w:rPr>
          <w:lang w:val="en-US"/>
        </w:rPr>
        <w:t xml:space="preserve"> fund</w:t>
      </w:r>
      <w:r w:rsidRPr="00E77B2A">
        <w:rPr>
          <w:lang w:val="en-US"/>
        </w:rPr>
        <w:t xml:space="preserve"> (Poterba 1994)</w:t>
      </w:r>
      <w:r>
        <w:rPr>
          <w:lang w:val="en-US"/>
        </w:rPr>
        <w:t xml:space="preserve">. Even people with the right intentions sometimes have problems with self-control, which consequently leads to insufficient saving for retirement (Thaler 1994). Thus, all of these problems could be present with voluntary contributions, but in the case of mandatory contributions they are ruled out. </w:t>
      </w:r>
    </w:p>
    <w:p w:rsidR="00A2303C" w:rsidRDefault="00A2303C" w:rsidP="0032551B">
      <w:pPr>
        <w:pStyle w:val="NoSpacing"/>
        <w:spacing w:line="360" w:lineRule="auto"/>
        <w:rPr>
          <w:lang w:val="en-US"/>
        </w:rPr>
      </w:pPr>
    </w:p>
    <w:p w:rsidR="00A2303C" w:rsidRDefault="00A2303C" w:rsidP="0032551B">
      <w:pPr>
        <w:pStyle w:val="NoSpacing"/>
        <w:spacing w:line="360" w:lineRule="auto"/>
        <w:rPr>
          <w:lang w:val="en-US"/>
        </w:rPr>
      </w:pPr>
      <w:r>
        <w:rPr>
          <w:lang w:val="en-US"/>
        </w:rPr>
        <w:t xml:space="preserve">An associated problem occurs in case a country has an anti-poverty program, and the contributions to the pension system are voluntary. It gives workers the option to dissave during their entire working life and depend on the noncontributory pension system when they are old (Hubbard et al. 1994). This problem could be resolved if a minimum level of contribution is enforced. </w:t>
      </w:r>
    </w:p>
    <w:p w:rsidR="00A2303C" w:rsidRDefault="00A2303C" w:rsidP="0032551B">
      <w:pPr>
        <w:pStyle w:val="NoSpacing"/>
        <w:spacing w:line="360" w:lineRule="auto"/>
        <w:rPr>
          <w:lang w:val="en-US"/>
        </w:rPr>
      </w:pPr>
    </w:p>
    <w:p w:rsidR="00A2303C" w:rsidRDefault="00A2303C" w:rsidP="0032551B">
      <w:pPr>
        <w:pStyle w:val="NoSpacing"/>
        <w:spacing w:line="360" w:lineRule="auto"/>
        <w:rPr>
          <w:lang w:val="en-US"/>
        </w:rPr>
      </w:pPr>
      <w:r>
        <w:rPr>
          <w:lang w:val="en-US"/>
        </w:rPr>
        <w:t xml:space="preserve">On the other hand, an advantage of voluntary contributions is that it requires less extensive involvement of the government and less regulations. On the contrary, mandatory pension plans do require extensive involvement of the government. Not only does the latter option incur higher administrative costs for keeping track of all the contributions, mandatory pension plans also need further specified legislation (World Bank 1994). Once the new legislation has been approved, it also needs to be enforced. The enforcement can be costly as well, as mandatory pension plans are vulnerable to evasion of pension contributions (Mitchell et al. 1996). The World Bank (1994) argues that especially developing countries face problems with the administration of mandatory contributions and enforcement of new legislation, due to a poorer functioning of the government. </w:t>
      </w:r>
    </w:p>
    <w:p w:rsidR="00A2303C" w:rsidRDefault="00A2303C" w:rsidP="0032551B">
      <w:pPr>
        <w:pStyle w:val="NoSpacing"/>
        <w:spacing w:line="360" w:lineRule="auto"/>
        <w:rPr>
          <w:lang w:val="en-US"/>
        </w:rPr>
      </w:pPr>
    </w:p>
    <w:p w:rsidR="00A2303C" w:rsidRDefault="00A2303C" w:rsidP="0032551B">
      <w:pPr>
        <w:pStyle w:val="NoSpacing"/>
        <w:spacing w:line="360" w:lineRule="auto"/>
        <w:rPr>
          <w:lang w:val="en-US"/>
        </w:rPr>
      </w:pPr>
      <w:r>
        <w:rPr>
          <w:lang w:val="en-US"/>
        </w:rPr>
        <w:t>Table 4.1 summarizes the advantages and disadvantages of making contributions voluntary or mandatory.</w:t>
      </w:r>
    </w:p>
    <w:p w:rsidR="00A2303C" w:rsidRDefault="00A2303C" w:rsidP="0032551B">
      <w:pPr>
        <w:pStyle w:val="NoSpacing"/>
        <w:spacing w:line="360" w:lineRule="auto"/>
        <w:rPr>
          <w:lang w:val="en-US"/>
        </w:rPr>
      </w:pPr>
    </w:p>
    <w:p w:rsidR="00A2303C" w:rsidRDefault="00A2303C" w:rsidP="0032551B">
      <w:pPr>
        <w:pStyle w:val="NoSpacing"/>
        <w:spacing w:line="360" w:lineRule="auto"/>
        <w:rPr>
          <w:lang w:val="en-US"/>
        </w:rPr>
      </w:pPr>
    </w:p>
    <w:p w:rsidR="00A2303C" w:rsidRDefault="00A2303C" w:rsidP="0032551B">
      <w:pPr>
        <w:pStyle w:val="NoSpacing"/>
        <w:spacing w:line="360" w:lineRule="auto"/>
        <w:rPr>
          <w:lang w:val="en-US"/>
        </w:rPr>
      </w:pPr>
    </w:p>
    <w:p w:rsidR="00A2303C" w:rsidRDefault="00A2303C" w:rsidP="0032551B">
      <w:pPr>
        <w:pStyle w:val="NoSpacing"/>
        <w:spacing w:line="360" w:lineRule="auto"/>
        <w:rPr>
          <w:lang w:val="en-US"/>
        </w:rPr>
      </w:pPr>
    </w:p>
    <w:p w:rsidR="00A2303C" w:rsidRDefault="00A2303C" w:rsidP="0032551B">
      <w:pPr>
        <w:pStyle w:val="NoSpacing"/>
        <w:spacing w:line="360" w:lineRule="auto"/>
        <w:rPr>
          <w:lang w:val="en-US"/>
        </w:rPr>
      </w:pPr>
    </w:p>
    <w:p w:rsidR="00A2303C" w:rsidRDefault="00A2303C" w:rsidP="0032551B">
      <w:pPr>
        <w:pStyle w:val="NoSpacing"/>
        <w:spacing w:line="360" w:lineRule="auto"/>
        <w:rPr>
          <w:lang w:val="en-US"/>
        </w:rPr>
      </w:pPr>
    </w:p>
    <w:p w:rsidR="00A2303C" w:rsidRDefault="00A2303C" w:rsidP="0032551B">
      <w:pPr>
        <w:pStyle w:val="NoSpacing"/>
        <w:spacing w:line="360" w:lineRule="auto"/>
        <w:rPr>
          <w:lang w:val="en-US"/>
        </w:rPr>
      </w:pPr>
    </w:p>
    <w:p w:rsidR="00A2303C" w:rsidRDefault="00A2303C" w:rsidP="0032551B">
      <w:pPr>
        <w:pStyle w:val="NoSpacing"/>
        <w:spacing w:line="360" w:lineRule="auto"/>
        <w:rPr>
          <w:lang w:val="en-US"/>
        </w:rPr>
      </w:pPr>
    </w:p>
    <w:p w:rsidR="00A2303C" w:rsidRDefault="00A2303C" w:rsidP="0032551B">
      <w:pPr>
        <w:pStyle w:val="NoSpacing"/>
        <w:spacing w:line="360" w:lineRule="auto"/>
        <w:rPr>
          <w:lang w:val="en-US"/>
        </w:rPr>
      </w:pPr>
    </w:p>
    <w:p w:rsidR="00A2303C" w:rsidRDefault="00A2303C" w:rsidP="0032551B">
      <w:pPr>
        <w:pStyle w:val="NoSpacing"/>
        <w:spacing w:line="360" w:lineRule="auto"/>
        <w:rPr>
          <w:lang w:val="en-US"/>
        </w:rPr>
      </w:pPr>
    </w:p>
    <w:p w:rsidR="00A2303C" w:rsidRDefault="00A2303C" w:rsidP="0032551B">
      <w:pPr>
        <w:pStyle w:val="NoSpacing"/>
        <w:spacing w:line="360" w:lineRule="auto"/>
        <w:rPr>
          <w:lang w:val="en-US"/>
        </w:rPr>
      </w:pPr>
    </w:p>
    <w:p w:rsidR="00A2303C" w:rsidRPr="001E2E2E" w:rsidRDefault="00A2303C" w:rsidP="002B56EB">
      <w:pPr>
        <w:pStyle w:val="NoSpacing"/>
        <w:spacing w:line="360" w:lineRule="auto"/>
        <w:jc w:val="center"/>
        <w:rPr>
          <w:i/>
          <w:sz w:val="20"/>
          <w:szCs w:val="20"/>
          <w:lang w:val="en-US"/>
        </w:rPr>
      </w:pPr>
      <w:r>
        <w:rPr>
          <w:i/>
          <w:sz w:val="20"/>
          <w:szCs w:val="20"/>
          <w:lang w:val="en-US"/>
        </w:rPr>
        <w:t>Table 4.1 Advantages and disadvantages of voluntary and mandatory contributions</w:t>
      </w:r>
    </w:p>
    <w:tbl>
      <w:tblPr>
        <w:tblW w:w="0" w:type="auto"/>
        <w:tblBorders>
          <w:top w:val="single" w:sz="18" w:space="0" w:color="auto"/>
          <w:bottom w:val="single" w:sz="18" w:space="0" w:color="auto"/>
        </w:tblBorders>
        <w:tblLook w:val="00A0"/>
      </w:tblPr>
      <w:tblGrid>
        <w:gridCol w:w="3096"/>
        <w:gridCol w:w="3096"/>
        <w:gridCol w:w="3096"/>
      </w:tblGrid>
      <w:tr w:rsidR="00A2303C" w:rsidTr="008D584B">
        <w:tc>
          <w:tcPr>
            <w:tcW w:w="3096" w:type="dxa"/>
            <w:tcBorders>
              <w:top w:val="single" w:sz="18" w:space="0" w:color="auto"/>
              <w:left w:val="single" w:sz="18" w:space="0" w:color="auto"/>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p>
        </w:tc>
        <w:tc>
          <w:tcPr>
            <w:tcW w:w="3096" w:type="dxa"/>
            <w:tcBorders>
              <w:top w:val="single" w:sz="18" w:space="0" w:color="auto"/>
              <w:left w:val="single" w:sz="18" w:space="0" w:color="FFFFFF"/>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Advantage</w:t>
            </w:r>
          </w:p>
        </w:tc>
        <w:tc>
          <w:tcPr>
            <w:tcW w:w="3096" w:type="dxa"/>
            <w:tcBorders>
              <w:top w:val="single" w:sz="18" w:space="0" w:color="auto"/>
              <w:left w:val="single" w:sz="18" w:space="0" w:color="FFFFFF"/>
              <w:bottom w:val="single" w:sz="18" w:space="0" w:color="auto"/>
              <w:right w:val="single" w:sz="18" w:space="0" w:color="auto"/>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Disadvantage</w:t>
            </w:r>
          </w:p>
        </w:tc>
      </w:tr>
      <w:tr w:rsidR="00A2303C" w:rsidRPr="00762AC3" w:rsidTr="008D584B">
        <w:tc>
          <w:tcPr>
            <w:tcW w:w="3096" w:type="dxa"/>
            <w:tcBorders>
              <w:left w:val="single" w:sz="18" w:space="0" w:color="auto"/>
              <w:bottom w:val="single" w:sz="18" w:space="0" w:color="FFFFFF"/>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Voluntary</w:t>
            </w:r>
          </w:p>
        </w:tc>
        <w:tc>
          <w:tcPr>
            <w:tcW w:w="3096" w:type="dxa"/>
            <w:tcBorders>
              <w:top w:val="single" w:sz="18" w:space="0" w:color="auto"/>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Less extensive involvement of the government and less regulations</w:t>
            </w:r>
          </w:p>
        </w:tc>
        <w:tc>
          <w:tcPr>
            <w:tcW w:w="3096" w:type="dxa"/>
            <w:tcBorders>
              <w:top w:val="single" w:sz="18" w:space="0" w:color="auto"/>
              <w:left w:val="single" w:sz="18" w:space="0" w:color="FFFFFF"/>
              <w:bottom w:val="single" w:sz="18" w:space="0" w:color="FFFFFF"/>
              <w:right w:val="single" w:sz="18" w:space="0" w:color="auto"/>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Due to myopia and self control problems, individuals might not make adequate contributions</w:t>
            </w:r>
          </w:p>
          <w:p w:rsidR="00A2303C" w:rsidRPr="008D584B" w:rsidRDefault="00A2303C" w:rsidP="008D584B">
            <w:pPr>
              <w:pStyle w:val="NoSpacing"/>
              <w:spacing w:line="360" w:lineRule="auto"/>
              <w:rPr>
                <w:sz w:val="20"/>
                <w:szCs w:val="20"/>
                <w:lang w:val="en-US"/>
              </w:rPr>
            </w:pPr>
            <w:r w:rsidRPr="008D584B">
              <w:rPr>
                <w:sz w:val="20"/>
                <w:szCs w:val="20"/>
                <w:lang w:val="en-US"/>
              </w:rPr>
              <w:t>* Individuals can dissave all their life and then rely on noncontributory anti-poverty plan</w:t>
            </w:r>
          </w:p>
        </w:tc>
      </w:tr>
      <w:tr w:rsidR="00A2303C" w:rsidRPr="00762AC3" w:rsidTr="008D584B">
        <w:tc>
          <w:tcPr>
            <w:tcW w:w="3096" w:type="dxa"/>
            <w:tcBorders>
              <w:top w:val="single" w:sz="18" w:space="0" w:color="FFFFFF"/>
              <w:left w:val="single" w:sz="18" w:space="0" w:color="auto"/>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Mandatory</w:t>
            </w:r>
          </w:p>
        </w:tc>
        <w:tc>
          <w:tcPr>
            <w:tcW w:w="3096" w:type="dxa"/>
            <w:tcBorders>
              <w:top w:val="single" w:sz="18" w:space="0" w:color="FFFFFF"/>
              <w:left w:val="single" w:sz="18" w:space="0" w:color="FFFFFF"/>
              <w:bottom w:val="single" w:sz="18" w:space="0" w:color="auto"/>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Prevents individuals from making insufficient contributions</w:t>
            </w:r>
          </w:p>
          <w:p w:rsidR="00A2303C" w:rsidRPr="008D584B" w:rsidRDefault="00A2303C" w:rsidP="008D584B">
            <w:pPr>
              <w:pStyle w:val="NoSpacing"/>
              <w:spacing w:line="360" w:lineRule="auto"/>
              <w:rPr>
                <w:sz w:val="20"/>
                <w:szCs w:val="20"/>
                <w:lang w:val="en-US"/>
              </w:rPr>
            </w:pPr>
            <w:r w:rsidRPr="008D584B">
              <w:rPr>
                <w:sz w:val="20"/>
                <w:szCs w:val="20"/>
                <w:lang w:val="en-US"/>
              </w:rPr>
              <w:t>* Individuals cannot dissave all their life and then rely on noncontributory anti-poverty plan</w:t>
            </w:r>
          </w:p>
        </w:tc>
        <w:tc>
          <w:tcPr>
            <w:tcW w:w="3096" w:type="dxa"/>
            <w:tcBorders>
              <w:top w:val="single" w:sz="18" w:space="0" w:color="FFFFFF"/>
              <w:left w:val="single" w:sz="18" w:space="0" w:color="FFFFFF"/>
              <w:bottom w:val="single" w:sz="18" w:space="0" w:color="auto"/>
              <w:right w:val="single" w:sz="18" w:space="0" w:color="auto"/>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Requires extra government regulation and enforcement</w:t>
            </w:r>
          </w:p>
        </w:tc>
      </w:tr>
    </w:tbl>
    <w:p w:rsidR="00A2303C" w:rsidRPr="00D23C21" w:rsidRDefault="00A2303C" w:rsidP="002B56EB">
      <w:pPr>
        <w:pStyle w:val="NoSpacing"/>
        <w:spacing w:line="360" w:lineRule="auto"/>
        <w:jc w:val="center"/>
        <w:rPr>
          <w:i/>
          <w:sz w:val="20"/>
          <w:szCs w:val="20"/>
          <w:lang w:val="en-US"/>
        </w:rPr>
      </w:pPr>
      <w:r>
        <w:rPr>
          <w:i/>
          <w:sz w:val="20"/>
          <w:szCs w:val="20"/>
          <w:lang w:val="en-US"/>
        </w:rPr>
        <w:t>Source: Author</w:t>
      </w:r>
    </w:p>
    <w:p w:rsidR="00A2303C" w:rsidRDefault="00A2303C" w:rsidP="0032551B">
      <w:pPr>
        <w:pStyle w:val="NoSpacing"/>
        <w:spacing w:line="360" w:lineRule="auto"/>
        <w:rPr>
          <w:lang w:val="en-US"/>
        </w:rPr>
      </w:pPr>
    </w:p>
    <w:p w:rsidR="00A2303C" w:rsidRDefault="00A2303C" w:rsidP="00AB339E">
      <w:pPr>
        <w:pStyle w:val="NoSpacing"/>
        <w:numPr>
          <w:ilvl w:val="2"/>
          <w:numId w:val="3"/>
        </w:numPr>
        <w:spacing w:line="360" w:lineRule="auto"/>
        <w:ind w:left="1276" w:hanging="1276"/>
        <w:rPr>
          <w:b/>
          <w:i/>
          <w:lang w:val="en-US"/>
        </w:rPr>
      </w:pPr>
      <w:r>
        <w:rPr>
          <w:b/>
          <w:i/>
          <w:lang w:val="en-US"/>
        </w:rPr>
        <w:t>Publicly or privately managed pension system?</w:t>
      </w:r>
    </w:p>
    <w:p w:rsidR="00A2303C" w:rsidRDefault="00A2303C" w:rsidP="00AB339E">
      <w:pPr>
        <w:pStyle w:val="NoSpacing"/>
        <w:spacing w:line="360" w:lineRule="auto"/>
        <w:rPr>
          <w:lang w:val="en-US"/>
        </w:rPr>
      </w:pPr>
      <w:r>
        <w:rPr>
          <w:lang w:val="en-US"/>
        </w:rPr>
        <w:t xml:space="preserve">The choice between a publicly and a privately managed pension system is essential as the investment outcomes can be significantly different with these two options. On the one hand, there are the public managers chosen by politicians and on the other hand, there are the private managers chosen by the individuals. In this paper the issue of having a publicly or privately managed pension system is addressed as by who is responsible for appointing the pension managers; the government or the private sector (e.g. employees, employers or self-employed). The government will chose pension fund managers for the entire country, while the private sector is more individually based. The pension managers chosen by the latter group operate in a more competitive environment and face different constraints and incentives than the managers chosen by the firstly mentioned group. </w:t>
      </w:r>
    </w:p>
    <w:p w:rsidR="00A2303C" w:rsidRDefault="00A2303C" w:rsidP="00AB339E">
      <w:pPr>
        <w:pStyle w:val="NoSpacing"/>
        <w:spacing w:line="360" w:lineRule="auto"/>
        <w:rPr>
          <w:lang w:val="en-US"/>
        </w:rPr>
      </w:pPr>
    </w:p>
    <w:p w:rsidR="00A2303C" w:rsidRDefault="00A2303C" w:rsidP="00AB339E">
      <w:pPr>
        <w:pStyle w:val="NoSpacing"/>
        <w:spacing w:line="360" w:lineRule="auto"/>
        <w:rPr>
          <w:lang w:val="en-US"/>
        </w:rPr>
      </w:pPr>
      <w:r>
        <w:rPr>
          <w:lang w:val="en-US"/>
        </w:rPr>
        <w:t xml:space="preserve">If a pension system is publicly managed, governments commonly require that the pension funds are invested in government bonds or government related projects, which often results in below-market rates of return (World Bank 1994). Reasons for the government interference are, for example, to finance the government’s budget and to prevent pension funds from having too large an influence over the private economy (Thompson 2001). The low returns that are generated could even become negative in real terms if they are corrected for inflation. Iglesias and Palacios (2000) found that the pension funds could have earned more on the open market compared to investing in government bonds, which had an adverse effect on the individuals via either higher contribution rates or lower benefits. </w:t>
      </w:r>
    </w:p>
    <w:p w:rsidR="00A2303C" w:rsidRDefault="00A2303C" w:rsidP="00AB339E">
      <w:pPr>
        <w:pStyle w:val="NoSpacing"/>
        <w:spacing w:line="360" w:lineRule="auto"/>
        <w:rPr>
          <w:lang w:val="en-US"/>
        </w:rPr>
      </w:pPr>
    </w:p>
    <w:p w:rsidR="00A2303C" w:rsidRDefault="00A2303C" w:rsidP="00AB339E">
      <w:pPr>
        <w:pStyle w:val="NoSpacing"/>
        <w:spacing w:line="360" w:lineRule="auto"/>
        <w:rPr>
          <w:lang w:val="en-US"/>
        </w:rPr>
      </w:pPr>
      <w:r>
        <w:rPr>
          <w:lang w:val="en-US"/>
        </w:rPr>
        <w:t xml:space="preserve">On the contrary, if a pension system is privately managed the private sector chooses the fund managers. The private sector will usually not accept below-market returns. However, it can be questioned whether they are aware of projects that yield below-market returns, because some individuals might lack the relevant knowledge. The private pension managers have to compete with one and another, by offering higher rates of return on contributions or better service to attract more clients. The incentives for cost efficiency are higher compared to the situation of publicly managed systems (Yadav 2004). Furthermore, since privately managed pension managers usually face fewer government intrusions that limit the investment options, they can better allocate the capital to investment projects that offer the best risk-return combinations. Additionally, private management profits from the possibility to invest in internationally diversified portfolios and gaining international managerial expertise, which is generally limited for public management (World Bank 1994). </w:t>
      </w:r>
    </w:p>
    <w:p w:rsidR="00A2303C" w:rsidRDefault="00A2303C" w:rsidP="00AB339E">
      <w:pPr>
        <w:pStyle w:val="NoSpacing"/>
        <w:spacing w:line="360" w:lineRule="auto"/>
        <w:rPr>
          <w:lang w:val="en-US"/>
        </w:rPr>
      </w:pPr>
    </w:p>
    <w:p w:rsidR="00A2303C" w:rsidRDefault="00A2303C" w:rsidP="00AB339E">
      <w:pPr>
        <w:pStyle w:val="NoSpacing"/>
        <w:spacing w:line="360" w:lineRule="auto"/>
        <w:rPr>
          <w:lang w:val="en-US"/>
        </w:rPr>
      </w:pPr>
      <w:r>
        <w:rPr>
          <w:lang w:val="en-US"/>
        </w:rPr>
        <w:t>Privately managed pension plans, however, tend to be more subjected to marketing costs than publicly managed plans. The higher marketing costs result from trying to acquire more clients in a competitive environment. As a result, it leads to higher administrative charges that will offset the gains of cost efficiency obtained via competition. Additionally, privately managed pension plans benefit less from economies of scale, since individuals and their contributions are more divided over the numerous pension funds. Another disadvantage of privately managed pension plans is that it requires careful regulation, to prevent investments in projects that are excessively risky.</w:t>
      </w:r>
    </w:p>
    <w:p w:rsidR="00A2303C" w:rsidRDefault="00A2303C" w:rsidP="00AB339E">
      <w:pPr>
        <w:pStyle w:val="NoSpacing"/>
        <w:spacing w:line="360" w:lineRule="auto"/>
        <w:rPr>
          <w:lang w:val="en-US"/>
        </w:rPr>
      </w:pPr>
    </w:p>
    <w:p w:rsidR="00A2303C" w:rsidRDefault="00A2303C" w:rsidP="00AB339E">
      <w:pPr>
        <w:pStyle w:val="NoSpacing"/>
        <w:spacing w:line="360" w:lineRule="auto"/>
        <w:rPr>
          <w:lang w:val="en-US"/>
        </w:rPr>
      </w:pPr>
      <w:r>
        <w:rPr>
          <w:lang w:val="en-US"/>
        </w:rPr>
        <w:t xml:space="preserve">Both publicly and privately managed pension plans face the potential threat of fraud and malfeasance. An attempt to keep this at its minimum is implementing further regulations. However, if the problem of fraud lies within the governmental system itself (e.g. government corruption), it is an obstacle that is very hard to overcome. In addition, the risk of nationalization exists, with Argentina in 2008 as an example. </w:t>
      </w:r>
    </w:p>
    <w:p w:rsidR="00A2303C" w:rsidRDefault="00A2303C" w:rsidP="00AB339E">
      <w:pPr>
        <w:pStyle w:val="NoSpacing"/>
        <w:spacing w:line="360" w:lineRule="auto"/>
        <w:rPr>
          <w:lang w:val="en-US"/>
        </w:rPr>
      </w:pPr>
    </w:p>
    <w:p w:rsidR="00A2303C" w:rsidRDefault="00A2303C" w:rsidP="00AB339E">
      <w:pPr>
        <w:pStyle w:val="NoSpacing"/>
        <w:spacing w:line="360" w:lineRule="auto"/>
        <w:rPr>
          <w:lang w:val="en-US"/>
        </w:rPr>
      </w:pPr>
      <w:r>
        <w:rPr>
          <w:lang w:val="en-US"/>
        </w:rPr>
        <w:t>Table 4.2 summarizes the advantages and disadvantages of having a publicly or privately managed pension system.</w:t>
      </w:r>
    </w:p>
    <w:p w:rsidR="00A2303C" w:rsidRDefault="00A2303C" w:rsidP="00AB339E">
      <w:pPr>
        <w:pStyle w:val="NoSpacing"/>
        <w:spacing w:line="360" w:lineRule="auto"/>
        <w:rPr>
          <w:lang w:val="en-US"/>
        </w:rPr>
      </w:pPr>
    </w:p>
    <w:p w:rsidR="00A2303C" w:rsidRDefault="00A2303C" w:rsidP="00AB339E">
      <w:pPr>
        <w:pStyle w:val="NoSpacing"/>
        <w:spacing w:line="360" w:lineRule="auto"/>
        <w:rPr>
          <w:lang w:val="en-US"/>
        </w:rPr>
      </w:pPr>
    </w:p>
    <w:p w:rsidR="00A2303C" w:rsidRDefault="00A2303C" w:rsidP="00AB339E">
      <w:pPr>
        <w:pStyle w:val="NoSpacing"/>
        <w:spacing w:line="360" w:lineRule="auto"/>
        <w:rPr>
          <w:lang w:val="en-US"/>
        </w:rPr>
      </w:pPr>
    </w:p>
    <w:p w:rsidR="00A2303C" w:rsidRDefault="00A2303C" w:rsidP="00AB339E">
      <w:pPr>
        <w:pStyle w:val="NoSpacing"/>
        <w:spacing w:line="360" w:lineRule="auto"/>
        <w:rPr>
          <w:lang w:val="en-US"/>
        </w:rPr>
      </w:pPr>
    </w:p>
    <w:p w:rsidR="00A2303C" w:rsidRDefault="00A2303C" w:rsidP="00AB339E">
      <w:pPr>
        <w:pStyle w:val="NoSpacing"/>
        <w:spacing w:line="360" w:lineRule="auto"/>
        <w:rPr>
          <w:lang w:val="en-US"/>
        </w:rPr>
      </w:pPr>
    </w:p>
    <w:p w:rsidR="00A2303C" w:rsidRDefault="00A2303C" w:rsidP="00AB339E">
      <w:pPr>
        <w:pStyle w:val="NoSpacing"/>
        <w:spacing w:line="360" w:lineRule="auto"/>
        <w:rPr>
          <w:sz w:val="20"/>
          <w:szCs w:val="20"/>
          <w:lang w:val="en-US"/>
        </w:rPr>
      </w:pPr>
    </w:p>
    <w:p w:rsidR="00A2303C" w:rsidRDefault="00A2303C" w:rsidP="002B56EB">
      <w:pPr>
        <w:pStyle w:val="NoSpacing"/>
        <w:spacing w:line="360" w:lineRule="auto"/>
        <w:jc w:val="center"/>
        <w:rPr>
          <w:i/>
          <w:sz w:val="20"/>
          <w:szCs w:val="20"/>
          <w:lang w:val="en-US"/>
        </w:rPr>
      </w:pPr>
      <w:r>
        <w:rPr>
          <w:i/>
          <w:sz w:val="20"/>
          <w:szCs w:val="20"/>
          <w:lang w:val="en-US"/>
        </w:rPr>
        <w:t>Table 4.2 Advantage and disadvantages of publicly and privately managed pension systems</w:t>
      </w:r>
    </w:p>
    <w:tbl>
      <w:tblPr>
        <w:tblW w:w="0" w:type="auto"/>
        <w:tblBorders>
          <w:top w:val="single" w:sz="18" w:space="0" w:color="auto"/>
          <w:bottom w:val="single" w:sz="18" w:space="0" w:color="auto"/>
        </w:tblBorders>
        <w:tblLook w:val="00A0"/>
      </w:tblPr>
      <w:tblGrid>
        <w:gridCol w:w="3096"/>
        <w:gridCol w:w="3096"/>
        <w:gridCol w:w="3096"/>
      </w:tblGrid>
      <w:tr w:rsidR="00A2303C" w:rsidTr="008D584B">
        <w:tc>
          <w:tcPr>
            <w:tcW w:w="3096" w:type="dxa"/>
            <w:tcBorders>
              <w:top w:val="single" w:sz="18" w:space="0" w:color="auto"/>
              <w:left w:val="single" w:sz="18" w:space="0" w:color="auto"/>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p>
        </w:tc>
        <w:tc>
          <w:tcPr>
            <w:tcW w:w="3096" w:type="dxa"/>
            <w:tcBorders>
              <w:top w:val="single" w:sz="18" w:space="0" w:color="auto"/>
              <w:left w:val="single" w:sz="18" w:space="0" w:color="FFFFFF"/>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Advantage</w:t>
            </w:r>
          </w:p>
        </w:tc>
        <w:tc>
          <w:tcPr>
            <w:tcW w:w="3096" w:type="dxa"/>
            <w:tcBorders>
              <w:top w:val="single" w:sz="18" w:space="0" w:color="auto"/>
              <w:left w:val="single" w:sz="18" w:space="0" w:color="FFFFFF"/>
              <w:bottom w:val="single" w:sz="18" w:space="0" w:color="auto"/>
              <w:right w:val="single" w:sz="18" w:space="0" w:color="auto"/>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Disadvantage</w:t>
            </w:r>
          </w:p>
        </w:tc>
      </w:tr>
      <w:tr w:rsidR="00A2303C" w:rsidRPr="00762AC3" w:rsidTr="008D584B">
        <w:tc>
          <w:tcPr>
            <w:tcW w:w="3096" w:type="dxa"/>
            <w:tcBorders>
              <w:left w:val="single" w:sz="18" w:space="0" w:color="auto"/>
              <w:bottom w:val="single" w:sz="18" w:space="0" w:color="FFFFFF"/>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Public</w:t>
            </w:r>
          </w:p>
        </w:tc>
        <w:tc>
          <w:tcPr>
            <w:tcW w:w="3096" w:type="dxa"/>
            <w:tcBorders>
              <w:top w:val="single" w:sz="18" w:space="0" w:color="auto"/>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Less marketing costs</w:t>
            </w:r>
          </w:p>
          <w:p w:rsidR="00A2303C" w:rsidRPr="008D584B" w:rsidRDefault="00A2303C" w:rsidP="008D584B">
            <w:pPr>
              <w:pStyle w:val="NoSpacing"/>
              <w:spacing w:line="360" w:lineRule="auto"/>
              <w:rPr>
                <w:sz w:val="20"/>
                <w:szCs w:val="20"/>
                <w:lang w:val="en-US"/>
              </w:rPr>
            </w:pPr>
            <w:r w:rsidRPr="008D584B">
              <w:rPr>
                <w:sz w:val="20"/>
                <w:szCs w:val="20"/>
                <w:lang w:val="en-US"/>
              </w:rPr>
              <w:t>* Benefits from economies of scale</w:t>
            </w:r>
          </w:p>
        </w:tc>
        <w:tc>
          <w:tcPr>
            <w:tcW w:w="3096" w:type="dxa"/>
            <w:tcBorders>
              <w:top w:val="single" w:sz="18" w:space="0" w:color="auto"/>
              <w:left w:val="single" w:sz="18" w:space="0" w:color="FFFFFF"/>
              <w:bottom w:val="single" w:sz="18" w:space="0" w:color="FFFFFF"/>
              <w:right w:val="single" w:sz="18" w:space="0" w:color="auto"/>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Often required to invest in below-market yielding government bonds</w:t>
            </w:r>
          </w:p>
          <w:p w:rsidR="00A2303C" w:rsidRPr="008D584B" w:rsidRDefault="00A2303C" w:rsidP="008D584B">
            <w:pPr>
              <w:pStyle w:val="NoSpacing"/>
              <w:spacing w:line="360" w:lineRule="auto"/>
              <w:rPr>
                <w:sz w:val="20"/>
                <w:szCs w:val="20"/>
                <w:lang w:val="en-US"/>
              </w:rPr>
            </w:pPr>
            <w:r w:rsidRPr="008D584B">
              <w:rPr>
                <w:sz w:val="20"/>
                <w:szCs w:val="20"/>
                <w:lang w:val="en-US"/>
              </w:rPr>
              <w:t>* Poorer service</w:t>
            </w:r>
          </w:p>
          <w:p w:rsidR="00A2303C" w:rsidRPr="008D584B" w:rsidRDefault="00A2303C" w:rsidP="008D584B">
            <w:pPr>
              <w:pStyle w:val="NoSpacing"/>
              <w:spacing w:line="360" w:lineRule="auto"/>
              <w:rPr>
                <w:sz w:val="20"/>
                <w:szCs w:val="20"/>
                <w:lang w:val="en-US"/>
              </w:rPr>
            </w:pPr>
            <w:r w:rsidRPr="008D584B">
              <w:rPr>
                <w:sz w:val="20"/>
                <w:szCs w:val="20"/>
                <w:lang w:val="en-US"/>
              </w:rPr>
              <w:t>* Less incentives for cost efficiency</w:t>
            </w:r>
          </w:p>
        </w:tc>
      </w:tr>
      <w:tr w:rsidR="00A2303C" w:rsidRPr="00762AC3" w:rsidTr="008D584B">
        <w:tc>
          <w:tcPr>
            <w:tcW w:w="3096" w:type="dxa"/>
            <w:tcBorders>
              <w:top w:val="single" w:sz="18" w:space="0" w:color="FFFFFF"/>
              <w:left w:val="single" w:sz="18" w:space="0" w:color="auto"/>
              <w:bottom w:val="single" w:sz="18" w:space="0" w:color="FFFFFF"/>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Private</w:t>
            </w:r>
          </w:p>
        </w:tc>
        <w:tc>
          <w:tcPr>
            <w:tcW w:w="3096" w:type="dxa"/>
            <w:tcBorders>
              <w:top w:val="single" w:sz="18" w:space="0" w:color="FFFFFF"/>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No government interference</w:t>
            </w:r>
          </w:p>
          <w:p w:rsidR="00A2303C" w:rsidRPr="008D584B" w:rsidRDefault="00A2303C" w:rsidP="008D584B">
            <w:pPr>
              <w:pStyle w:val="NoSpacing"/>
              <w:spacing w:line="360" w:lineRule="auto"/>
              <w:rPr>
                <w:sz w:val="20"/>
                <w:szCs w:val="20"/>
                <w:lang w:val="en-US"/>
              </w:rPr>
            </w:pPr>
            <w:r w:rsidRPr="008D584B">
              <w:rPr>
                <w:sz w:val="20"/>
                <w:szCs w:val="20"/>
                <w:lang w:val="en-US"/>
              </w:rPr>
              <w:t>* Higher rates of return</w:t>
            </w:r>
          </w:p>
          <w:p w:rsidR="00A2303C" w:rsidRPr="008D584B" w:rsidRDefault="00A2303C" w:rsidP="008D584B">
            <w:pPr>
              <w:pStyle w:val="NoSpacing"/>
              <w:spacing w:line="360" w:lineRule="auto"/>
              <w:rPr>
                <w:sz w:val="20"/>
                <w:szCs w:val="20"/>
                <w:lang w:val="en-US"/>
              </w:rPr>
            </w:pPr>
            <w:r w:rsidRPr="008D584B">
              <w:rPr>
                <w:sz w:val="20"/>
                <w:szCs w:val="20"/>
                <w:lang w:val="en-US"/>
              </w:rPr>
              <w:t>* Better service</w:t>
            </w:r>
          </w:p>
          <w:p w:rsidR="00A2303C" w:rsidRPr="008D584B" w:rsidRDefault="00A2303C" w:rsidP="008D584B">
            <w:pPr>
              <w:pStyle w:val="NoSpacing"/>
              <w:spacing w:line="360" w:lineRule="auto"/>
              <w:rPr>
                <w:sz w:val="20"/>
                <w:szCs w:val="20"/>
                <w:lang w:val="en-US"/>
              </w:rPr>
            </w:pPr>
            <w:r w:rsidRPr="008D584B">
              <w:rPr>
                <w:sz w:val="20"/>
                <w:szCs w:val="20"/>
                <w:lang w:val="en-US"/>
              </w:rPr>
              <w:t>* Incentives for cost efficiency</w:t>
            </w:r>
          </w:p>
          <w:p w:rsidR="00A2303C" w:rsidRPr="008D584B" w:rsidRDefault="00A2303C" w:rsidP="008D584B">
            <w:pPr>
              <w:pStyle w:val="NoSpacing"/>
              <w:spacing w:line="360" w:lineRule="auto"/>
              <w:rPr>
                <w:sz w:val="20"/>
                <w:szCs w:val="20"/>
                <w:lang w:val="en-US"/>
              </w:rPr>
            </w:pPr>
            <w:r w:rsidRPr="008D584B">
              <w:rPr>
                <w:sz w:val="20"/>
                <w:szCs w:val="20"/>
                <w:lang w:val="en-US"/>
              </w:rPr>
              <w:t>* Benefit from investing in internationally diversified portfolios</w:t>
            </w:r>
          </w:p>
        </w:tc>
        <w:tc>
          <w:tcPr>
            <w:tcW w:w="3096" w:type="dxa"/>
            <w:tcBorders>
              <w:top w:val="single" w:sz="18" w:space="0" w:color="FFFFFF"/>
              <w:left w:val="single" w:sz="18" w:space="0" w:color="FFFFFF"/>
              <w:bottom w:val="single" w:sz="18" w:space="0" w:color="FFFFFF"/>
              <w:right w:val="single" w:sz="18" w:space="0" w:color="auto"/>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Higher marketing costs</w:t>
            </w:r>
          </w:p>
          <w:p w:rsidR="00A2303C" w:rsidRPr="008D584B" w:rsidRDefault="00A2303C" w:rsidP="008D584B">
            <w:pPr>
              <w:pStyle w:val="NoSpacing"/>
              <w:spacing w:line="360" w:lineRule="auto"/>
              <w:rPr>
                <w:sz w:val="20"/>
                <w:szCs w:val="20"/>
                <w:lang w:val="en-US"/>
              </w:rPr>
            </w:pPr>
            <w:r w:rsidRPr="008D584B">
              <w:rPr>
                <w:sz w:val="20"/>
                <w:szCs w:val="20"/>
                <w:lang w:val="en-US"/>
              </w:rPr>
              <w:t>* Less benefits from economies of scale</w:t>
            </w:r>
          </w:p>
          <w:p w:rsidR="00A2303C" w:rsidRPr="008D584B" w:rsidRDefault="00A2303C" w:rsidP="008D584B">
            <w:pPr>
              <w:pStyle w:val="NoSpacing"/>
              <w:spacing w:line="360" w:lineRule="auto"/>
              <w:rPr>
                <w:sz w:val="20"/>
                <w:szCs w:val="20"/>
                <w:lang w:val="en-US"/>
              </w:rPr>
            </w:pPr>
          </w:p>
        </w:tc>
      </w:tr>
      <w:tr w:rsidR="00A2303C" w:rsidRPr="00762AC3" w:rsidTr="008D584B">
        <w:tc>
          <w:tcPr>
            <w:tcW w:w="3096" w:type="dxa"/>
            <w:tcBorders>
              <w:top w:val="single" w:sz="18" w:space="0" w:color="FFFFFF"/>
              <w:left w:val="single" w:sz="18" w:space="0" w:color="auto"/>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Both</w:t>
            </w:r>
          </w:p>
        </w:tc>
        <w:tc>
          <w:tcPr>
            <w:tcW w:w="3096" w:type="dxa"/>
            <w:tcBorders>
              <w:top w:val="single" w:sz="18" w:space="0" w:color="FFFFFF"/>
              <w:left w:val="single" w:sz="18" w:space="0" w:color="FFFFFF"/>
              <w:bottom w:val="single" w:sz="18" w:space="0" w:color="auto"/>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p>
        </w:tc>
        <w:tc>
          <w:tcPr>
            <w:tcW w:w="3096" w:type="dxa"/>
            <w:tcBorders>
              <w:top w:val="single" w:sz="18" w:space="0" w:color="FFFFFF"/>
              <w:left w:val="single" w:sz="18" w:space="0" w:color="FFFFFF"/>
              <w:bottom w:val="single" w:sz="18" w:space="0" w:color="auto"/>
              <w:right w:val="single" w:sz="18" w:space="0" w:color="auto"/>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xml:space="preserve">* Threat of fraud and malfeasance </w:t>
            </w:r>
          </w:p>
          <w:p w:rsidR="00A2303C" w:rsidRPr="008D584B" w:rsidRDefault="00A2303C" w:rsidP="008D584B">
            <w:pPr>
              <w:pStyle w:val="NoSpacing"/>
              <w:spacing w:line="360" w:lineRule="auto"/>
              <w:rPr>
                <w:sz w:val="20"/>
                <w:szCs w:val="20"/>
                <w:lang w:val="en-US"/>
              </w:rPr>
            </w:pPr>
            <w:r w:rsidRPr="008D584B">
              <w:rPr>
                <w:sz w:val="20"/>
                <w:szCs w:val="20"/>
                <w:lang w:val="en-US"/>
              </w:rPr>
              <w:t>* Risk of nationalization</w:t>
            </w:r>
          </w:p>
        </w:tc>
      </w:tr>
    </w:tbl>
    <w:p w:rsidR="00A2303C" w:rsidRDefault="00A2303C" w:rsidP="002B56EB">
      <w:pPr>
        <w:pStyle w:val="NoSpacing"/>
        <w:spacing w:line="360" w:lineRule="auto"/>
        <w:jc w:val="center"/>
        <w:rPr>
          <w:i/>
          <w:lang w:val="en-US"/>
        </w:rPr>
      </w:pPr>
      <w:r>
        <w:rPr>
          <w:i/>
          <w:sz w:val="20"/>
          <w:szCs w:val="20"/>
          <w:lang w:val="en-US"/>
        </w:rPr>
        <w:t>Source: Author</w:t>
      </w:r>
    </w:p>
    <w:p w:rsidR="00A2303C" w:rsidRPr="00D23C21" w:rsidRDefault="00A2303C" w:rsidP="00AB339E">
      <w:pPr>
        <w:pStyle w:val="NoSpacing"/>
        <w:spacing w:line="360" w:lineRule="auto"/>
        <w:rPr>
          <w:lang w:val="en-US"/>
        </w:rPr>
      </w:pPr>
    </w:p>
    <w:p w:rsidR="00A2303C" w:rsidRDefault="00A2303C" w:rsidP="00906713">
      <w:pPr>
        <w:pStyle w:val="NoSpacing"/>
        <w:numPr>
          <w:ilvl w:val="2"/>
          <w:numId w:val="3"/>
        </w:numPr>
        <w:spacing w:line="360" w:lineRule="auto"/>
        <w:ind w:left="1276" w:hanging="1276"/>
        <w:rPr>
          <w:b/>
          <w:i/>
          <w:lang w:val="en-US"/>
        </w:rPr>
      </w:pPr>
      <w:r>
        <w:rPr>
          <w:b/>
          <w:i/>
          <w:lang w:val="en-US"/>
        </w:rPr>
        <w:t>Fully funded or PAYG?</w:t>
      </w:r>
    </w:p>
    <w:p w:rsidR="00A2303C" w:rsidRDefault="00A2303C" w:rsidP="00906713">
      <w:pPr>
        <w:pStyle w:val="NoSpacing"/>
        <w:spacing w:line="360" w:lineRule="auto"/>
        <w:rPr>
          <w:lang w:val="en-US"/>
        </w:rPr>
      </w:pPr>
      <w:r>
        <w:rPr>
          <w:lang w:val="en-US"/>
        </w:rPr>
        <w:t xml:space="preserve">In the early stages of pension systems, when the dependency rate was low due limited eligible beneficiaries, PAYG always appeared cheaper than fully funded plans (Gent 2001). Nowadays, the PAYG system matures and more individuals become eligible for benefits, which fades away the advantage. Only in the case of an earnings growth rate combined with the labor force growth rate that is higher than the interest rate, Samuelson (1958) and Aaron (1966) argue that PAYG can continue to have a cost advantage or higher rate of return in the long run. It means that the contributors will receive benefits amounting to an equal or higher present value than they paid in as contributions. If this holds, PAYG is Pareto efficient since it makes all generations better off. However, if the earnings growth rate and labor force growth rate together are less than the interest rate, then a fully funded system has a long term cost advantage or a higher rate of return. </w:t>
      </w:r>
    </w:p>
    <w:p w:rsidR="00A2303C" w:rsidRDefault="00A2303C" w:rsidP="00906713">
      <w:pPr>
        <w:pStyle w:val="NoSpacing"/>
        <w:spacing w:line="360" w:lineRule="auto"/>
        <w:rPr>
          <w:lang w:val="en-US"/>
        </w:rPr>
      </w:pPr>
    </w:p>
    <w:p w:rsidR="00A2303C" w:rsidRDefault="00A2303C" w:rsidP="006E40F9">
      <w:pPr>
        <w:pStyle w:val="NoSpacing"/>
        <w:spacing w:line="360" w:lineRule="auto"/>
        <w:rPr>
          <w:lang w:val="en-GB"/>
        </w:rPr>
      </w:pPr>
      <w:r>
        <w:rPr>
          <w:lang w:val="en-US"/>
        </w:rPr>
        <w:t>Currently, many countries are challenged by trends of increased life expectancy and falling fertility rates (UN 2007). Especially the latter causes most concern, since it reduces the base of the population pyramid. The PAYG systems in the 20</w:t>
      </w:r>
      <w:r w:rsidRPr="001320CA">
        <w:rPr>
          <w:vertAlign w:val="superscript"/>
          <w:lang w:val="en-US"/>
        </w:rPr>
        <w:t>th</w:t>
      </w:r>
      <w:r>
        <w:rPr>
          <w:lang w:val="en-US"/>
        </w:rPr>
        <w:t xml:space="preserve"> century could be described as ‘Ponzi schemes’ (Turner 2006) in the sense that they require that there are more contributors in each next link of the chain, in order to keep the relationship between collected contributions and paid benefits viable. The earlier mentioned demographic challenges can break the chain, if they are not off-set by productivity gains. Otherwise the respective countries should make any of the three following adjustments to prevent the break-up. The first option is to increase the levels of tax or mandatory contributions. Secondly, the pension benefits could be lowered or lastly, the retirement age must be increased. These adjustments, however, can create a sequence of effects that could again negatively affect the sustainability of the PAYG system. If more wealth </w:t>
      </w:r>
      <w:r>
        <w:rPr>
          <w:lang w:val="en-GB"/>
        </w:rPr>
        <w:t xml:space="preserve">is transferred from the young to the old, the young will ask for more benefits in the future in return. This wealth transfer will again initiate another series of transfers from future to current generations and so on. </w:t>
      </w:r>
    </w:p>
    <w:p w:rsidR="00A2303C" w:rsidRDefault="00A2303C" w:rsidP="006E40F9">
      <w:pPr>
        <w:pStyle w:val="NoSpacing"/>
        <w:spacing w:line="360" w:lineRule="auto"/>
        <w:rPr>
          <w:lang w:val="en-GB"/>
        </w:rPr>
      </w:pPr>
    </w:p>
    <w:p w:rsidR="00A2303C" w:rsidRDefault="00A2303C" w:rsidP="006E40F9">
      <w:pPr>
        <w:pStyle w:val="NoSpacing"/>
        <w:spacing w:line="360" w:lineRule="auto"/>
        <w:rPr>
          <w:lang w:val="en-GB"/>
        </w:rPr>
      </w:pPr>
      <w:r>
        <w:rPr>
          <w:lang w:val="en-GB"/>
        </w:rPr>
        <w:t xml:space="preserve">Moreover, assuming there is no direct link between the currently paid contributions and the future received benefits with the PAYG system, individuals have an incentive to evade the system (if this is possible) and this could lead to labour supply distortions. On the contrary, fully funded systems are better able to cope with the demographic changes and incentives for evasion of contributions, since there is a direct link between contributions and benefits. </w:t>
      </w:r>
    </w:p>
    <w:p w:rsidR="00A2303C" w:rsidRDefault="00A2303C" w:rsidP="006E40F9">
      <w:pPr>
        <w:pStyle w:val="NoSpacing"/>
        <w:spacing w:line="360" w:lineRule="auto"/>
        <w:rPr>
          <w:lang w:val="en-GB"/>
        </w:rPr>
      </w:pPr>
    </w:p>
    <w:p w:rsidR="00A2303C" w:rsidRDefault="00A2303C" w:rsidP="006E40F9">
      <w:pPr>
        <w:pStyle w:val="NoSpacing"/>
        <w:spacing w:line="360" w:lineRule="auto"/>
        <w:rPr>
          <w:lang w:val="en-GB"/>
        </w:rPr>
      </w:pPr>
      <w:r>
        <w:rPr>
          <w:lang w:val="en-GB"/>
        </w:rPr>
        <w:t xml:space="preserve">The downside of fully funded systems is, for instance, that they are more vulnerable to the investment risk. Due to poor investment performance, the amount of benefits might be inadequate to maintain the same standard of living (Bodie 1990 and Diamond 1997). Furthermore, some societies find it desirable to have a redistributive function both inter- and intragenerational in the pension system (World Bank 1994). Fully funded systems perform this function to a lesser extent than PAYG systems. </w:t>
      </w:r>
    </w:p>
    <w:p w:rsidR="00A2303C" w:rsidRDefault="00A2303C" w:rsidP="006E40F9">
      <w:pPr>
        <w:pStyle w:val="NoSpacing"/>
        <w:spacing w:line="360" w:lineRule="auto"/>
        <w:rPr>
          <w:lang w:val="en-GB"/>
        </w:rPr>
      </w:pPr>
    </w:p>
    <w:p w:rsidR="00A2303C" w:rsidRDefault="00A2303C" w:rsidP="006E40F9">
      <w:pPr>
        <w:pStyle w:val="NoSpacing"/>
        <w:spacing w:line="360" w:lineRule="auto"/>
        <w:rPr>
          <w:lang w:val="en-GB"/>
        </w:rPr>
      </w:pPr>
      <w:r>
        <w:rPr>
          <w:lang w:val="en-GB"/>
        </w:rPr>
        <w:t>Table 4.3 gives an overview of the several pro’s and con’s of fully funded and PAYG systems.</w:t>
      </w:r>
    </w:p>
    <w:p w:rsidR="00A2303C" w:rsidRDefault="00A2303C" w:rsidP="006E40F9">
      <w:pPr>
        <w:pStyle w:val="NoSpacing"/>
        <w:spacing w:line="360" w:lineRule="auto"/>
        <w:rPr>
          <w:lang w:val="en-GB"/>
        </w:rPr>
      </w:pPr>
    </w:p>
    <w:p w:rsidR="00A2303C" w:rsidRDefault="00A2303C" w:rsidP="006E40F9">
      <w:pPr>
        <w:pStyle w:val="NoSpacing"/>
        <w:spacing w:line="360" w:lineRule="auto"/>
        <w:rPr>
          <w:lang w:val="en-GB"/>
        </w:rPr>
      </w:pPr>
    </w:p>
    <w:p w:rsidR="00A2303C" w:rsidRDefault="00A2303C" w:rsidP="006E40F9">
      <w:pPr>
        <w:pStyle w:val="NoSpacing"/>
        <w:spacing w:line="360" w:lineRule="auto"/>
        <w:rPr>
          <w:lang w:val="en-GB"/>
        </w:rPr>
      </w:pPr>
    </w:p>
    <w:p w:rsidR="00A2303C" w:rsidRDefault="00A2303C" w:rsidP="006E40F9">
      <w:pPr>
        <w:pStyle w:val="NoSpacing"/>
        <w:spacing w:line="360" w:lineRule="auto"/>
        <w:rPr>
          <w:lang w:val="en-GB"/>
        </w:rPr>
      </w:pPr>
    </w:p>
    <w:p w:rsidR="00A2303C" w:rsidRDefault="00A2303C" w:rsidP="006E40F9">
      <w:pPr>
        <w:pStyle w:val="NoSpacing"/>
        <w:spacing w:line="360" w:lineRule="auto"/>
        <w:rPr>
          <w:lang w:val="en-GB"/>
        </w:rPr>
      </w:pPr>
    </w:p>
    <w:p w:rsidR="00A2303C" w:rsidRDefault="00A2303C" w:rsidP="006E40F9">
      <w:pPr>
        <w:pStyle w:val="NoSpacing"/>
        <w:spacing w:line="360" w:lineRule="auto"/>
        <w:rPr>
          <w:lang w:val="en-GB"/>
        </w:rPr>
      </w:pPr>
    </w:p>
    <w:p w:rsidR="00A2303C" w:rsidRDefault="00A2303C" w:rsidP="006E40F9">
      <w:pPr>
        <w:pStyle w:val="NoSpacing"/>
        <w:spacing w:line="360" w:lineRule="auto"/>
        <w:rPr>
          <w:lang w:val="en-GB"/>
        </w:rPr>
      </w:pPr>
    </w:p>
    <w:p w:rsidR="00A2303C" w:rsidRDefault="00A2303C" w:rsidP="006E40F9">
      <w:pPr>
        <w:pStyle w:val="NoSpacing"/>
        <w:spacing w:line="360" w:lineRule="auto"/>
        <w:rPr>
          <w:lang w:val="en-GB"/>
        </w:rPr>
      </w:pPr>
    </w:p>
    <w:p w:rsidR="00A2303C" w:rsidRDefault="00A2303C" w:rsidP="006E40F9">
      <w:pPr>
        <w:pStyle w:val="NoSpacing"/>
        <w:spacing w:line="360" w:lineRule="auto"/>
        <w:rPr>
          <w:lang w:val="en-GB"/>
        </w:rPr>
      </w:pPr>
    </w:p>
    <w:p w:rsidR="00A2303C" w:rsidRDefault="00A2303C" w:rsidP="006E40F9">
      <w:pPr>
        <w:pStyle w:val="NoSpacing"/>
        <w:spacing w:line="360" w:lineRule="auto"/>
        <w:rPr>
          <w:lang w:val="en-GB"/>
        </w:rPr>
      </w:pPr>
    </w:p>
    <w:p w:rsidR="00A2303C" w:rsidRDefault="00A2303C" w:rsidP="006E40F9">
      <w:pPr>
        <w:pStyle w:val="NoSpacing"/>
        <w:spacing w:line="360" w:lineRule="auto"/>
        <w:rPr>
          <w:lang w:val="en-GB"/>
        </w:rPr>
      </w:pPr>
    </w:p>
    <w:p w:rsidR="00A2303C" w:rsidRDefault="00A2303C" w:rsidP="006E40F9">
      <w:pPr>
        <w:pStyle w:val="NoSpacing"/>
        <w:spacing w:line="360" w:lineRule="auto"/>
        <w:rPr>
          <w:lang w:val="en-GB"/>
        </w:rPr>
      </w:pPr>
    </w:p>
    <w:p w:rsidR="00A2303C" w:rsidRDefault="00A2303C" w:rsidP="006E40F9">
      <w:pPr>
        <w:pStyle w:val="NoSpacing"/>
        <w:spacing w:line="360" w:lineRule="auto"/>
        <w:rPr>
          <w:lang w:val="en-GB"/>
        </w:rPr>
      </w:pPr>
    </w:p>
    <w:p w:rsidR="00A2303C" w:rsidRDefault="00A2303C" w:rsidP="002B56EB">
      <w:pPr>
        <w:pStyle w:val="NoSpacing"/>
        <w:spacing w:line="360" w:lineRule="auto"/>
        <w:jc w:val="center"/>
        <w:rPr>
          <w:i/>
          <w:sz w:val="20"/>
          <w:szCs w:val="20"/>
          <w:lang w:val="en-US"/>
        </w:rPr>
      </w:pPr>
      <w:r>
        <w:rPr>
          <w:i/>
          <w:sz w:val="20"/>
          <w:szCs w:val="20"/>
          <w:lang w:val="en-US"/>
        </w:rPr>
        <w:t>Table 4.3 Advantage and disadvantages of fully funded and PAYG pension systems</w:t>
      </w:r>
    </w:p>
    <w:tbl>
      <w:tblPr>
        <w:tblW w:w="0" w:type="auto"/>
        <w:tblBorders>
          <w:top w:val="single" w:sz="18" w:space="0" w:color="auto"/>
          <w:bottom w:val="single" w:sz="18" w:space="0" w:color="auto"/>
        </w:tblBorders>
        <w:tblLook w:val="00A0"/>
      </w:tblPr>
      <w:tblGrid>
        <w:gridCol w:w="3096"/>
        <w:gridCol w:w="3096"/>
        <w:gridCol w:w="3096"/>
      </w:tblGrid>
      <w:tr w:rsidR="00A2303C" w:rsidTr="008D584B">
        <w:tc>
          <w:tcPr>
            <w:tcW w:w="3096" w:type="dxa"/>
            <w:tcBorders>
              <w:top w:val="single" w:sz="18" w:space="0" w:color="auto"/>
              <w:left w:val="single" w:sz="18" w:space="0" w:color="auto"/>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p>
        </w:tc>
        <w:tc>
          <w:tcPr>
            <w:tcW w:w="3096" w:type="dxa"/>
            <w:tcBorders>
              <w:top w:val="single" w:sz="18" w:space="0" w:color="auto"/>
              <w:left w:val="single" w:sz="18" w:space="0" w:color="FFFFFF"/>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Advantage</w:t>
            </w:r>
          </w:p>
        </w:tc>
        <w:tc>
          <w:tcPr>
            <w:tcW w:w="3096" w:type="dxa"/>
            <w:tcBorders>
              <w:top w:val="single" w:sz="18" w:space="0" w:color="auto"/>
              <w:left w:val="single" w:sz="18" w:space="0" w:color="FFFFFF"/>
              <w:bottom w:val="single" w:sz="18" w:space="0" w:color="auto"/>
              <w:right w:val="single" w:sz="18" w:space="0" w:color="auto"/>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Disadvantage</w:t>
            </w:r>
          </w:p>
        </w:tc>
      </w:tr>
      <w:tr w:rsidR="00A2303C" w:rsidRPr="00762AC3" w:rsidTr="008D584B">
        <w:tc>
          <w:tcPr>
            <w:tcW w:w="3096" w:type="dxa"/>
            <w:tcBorders>
              <w:left w:val="single" w:sz="18" w:space="0" w:color="auto"/>
              <w:bottom w:val="single" w:sz="18" w:space="0" w:color="FFFFFF"/>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Fully funded</w:t>
            </w:r>
          </w:p>
        </w:tc>
        <w:tc>
          <w:tcPr>
            <w:tcW w:w="3096" w:type="dxa"/>
            <w:tcBorders>
              <w:top w:val="single" w:sz="18" w:space="0" w:color="auto"/>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If earnings growth rate and labor force growth rate combined are lower than the interest rate, it will have a higher rate of return</w:t>
            </w:r>
          </w:p>
          <w:p w:rsidR="00A2303C" w:rsidRPr="008D584B" w:rsidRDefault="00A2303C" w:rsidP="008D584B">
            <w:pPr>
              <w:pStyle w:val="NoSpacing"/>
              <w:spacing w:line="360" w:lineRule="auto"/>
              <w:rPr>
                <w:sz w:val="20"/>
                <w:szCs w:val="20"/>
                <w:lang w:val="en-US"/>
              </w:rPr>
            </w:pPr>
            <w:r w:rsidRPr="008D584B">
              <w:rPr>
                <w:sz w:val="20"/>
                <w:szCs w:val="20"/>
                <w:lang w:val="en-US"/>
              </w:rPr>
              <w:t>* Able to handle increased life expectancy and falling fertility rates</w:t>
            </w:r>
          </w:p>
          <w:p w:rsidR="00A2303C" w:rsidRPr="008D584B" w:rsidRDefault="00A2303C" w:rsidP="008D584B">
            <w:pPr>
              <w:pStyle w:val="NoSpacing"/>
              <w:spacing w:line="360" w:lineRule="auto"/>
              <w:rPr>
                <w:sz w:val="20"/>
                <w:szCs w:val="20"/>
                <w:lang w:val="en-US"/>
              </w:rPr>
            </w:pPr>
            <w:r w:rsidRPr="008D584B">
              <w:rPr>
                <w:sz w:val="20"/>
                <w:szCs w:val="20"/>
                <w:lang w:val="en-US"/>
              </w:rPr>
              <w:t>* No incentive to evade the system</w:t>
            </w:r>
          </w:p>
        </w:tc>
        <w:tc>
          <w:tcPr>
            <w:tcW w:w="3096" w:type="dxa"/>
            <w:tcBorders>
              <w:top w:val="single" w:sz="18" w:space="0" w:color="auto"/>
              <w:left w:val="single" w:sz="18" w:space="0" w:color="FFFFFF"/>
              <w:bottom w:val="single" w:sz="18" w:space="0" w:color="FFFFFF"/>
              <w:right w:val="single" w:sz="18" w:space="0" w:color="auto"/>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Investment risk</w:t>
            </w:r>
          </w:p>
          <w:p w:rsidR="00A2303C" w:rsidRPr="008D584B" w:rsidRDefault="00A2303C" w:rsidP="008D584B">
            <w:pPr>
              <w:pStyle w:val="NoSpacing"/>
              <w:spacing w:line="360" w:lineRule="auto"/>
              <w:rPr>
                <w:sz w:val="20"/>
                <w:szCs w:val="20"/>
                <w:lang w:val="en-US"/>
              </w:rPr>
            </w:pPr>
            <w:r w:rsidRPr="008D584B">
              <w:rPr>
                <w:sz w:val="20"/>
                <w:szCs w:val="20"/>
                <w:lang w:val="en-US"/>
              </w:rPr>
              <w:t>* Lower redistributive functioning</w:t>
            </w:r>
          </w:p>
        </w:tc>
      </w:tr>
      <w:tr w:rsidR="00A2303C" w:rsidRPr="00762AC3" w:rsidTr="008D584B">
        <w:tc>
          <w:tcPr>
            <w:tcW w:w="3096" w:type="dxa"/>
            <w:tcBorders>
              <w:top w:val="single" w:sz="18" w:space="0" w:color="FFFFFF"/>
              <w:left w:val="single" w:sz="18" w:space="0" w:color="auto"/>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PAYG</w:t>
            </w:r>
          </w:p>
        </w:tc>
        <w:tc>
          <w:tcPr>
            <w:tcW w:w="3096" w:type="dxa"/>
            <w:tcBorders>
              <w:top w:val="single" w:sz="18" w:space="0" w:color="FFFFFF"/>
              <w:left w:val="single" w:sz="18" w:space="0" w:color="FFFFFF"/>
              <w:bottom w:val="single" w:sz="18" w:space="0" w:color="auto"/>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If earnings growth rate and labor force growth rate combined are higher than the interest rate, it will have a higher rate of return</w:t>
            </w:r>
          </w:p>
          <w:p w:rsidR="00A2303C" w:rsidRPr="008D584B" w:rsidRDefault="00A2303C" w:rsidP="008D584B">
            <w:pPr>
              <w:pStyle w:val="NoSpacing"/>
              <w:spacing w:line="360" w:lineRule="auto"/>
              <w:rPr>
                <w:sz w:val="20"/>
                <w:szCs w:val="20"/>
                <w:lang w:val="en-US"/>
              </w:rPr>
            </w:pPr>
            <w:r w:rsidRPr="008D584B">
              <w:rPr>
                <w:sz w:val="20"/>
                <w:szCs w:val="20"/>
                <w:lang w:val="en-US"/>
              </w:rPr>
              <w:t>* Higher redistributive functioning</w:t>
            </w:r>
          </w:p>
        </w:tc>
        <w:tc>
          <w:tcPr>
            <w:tcW w:w="3096" w:type="dxa"/>
            <w:tcBorders>
              <w:top w:val="single" w:sz="18" w:space="0" w:color="FFFFFF"/>
              <w:left w:val="single" w:sz="18" w:space="0" w:color="FFFFFF"/>
              <w:bottom w:val="single" w:sz="18" w:space="0" w:color="auto"/>
              <w:right w:val="single" w:sz="18" w:space="0" w:color="auto"/>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Difficult to cope with increased life expectancy and falling fertility rates</w:t>
            </w:r>
          </w:p>
          <w:p w:rsidR="00A2303C" w:rsidRPr="008D584B" w:rsidRDefault="00A2303C" w:rsidP="008D584B">
            <w:pPr>
              <w:pStyle w:val="NoSpacing"/>
              <w:spacing w:line="360" w:lineRule="auto"/>
              <w:rPr>
                <w:sz w:val="20"/>
                <w:szCs w:val="20"/>
                <w:lang w:val="en-US"/>
              </w:rPr>
            </w:pPr>
            <w:r w:rsidRPr="008D584B">
              <w:rPr>
                <w:sz w:val="20"/>
                <w:szCs w:val="20"/>
                <w:lang w:val="en-US"/>
              </w:rPr>
              <w:t>* Incentive to evade the system</w:t>
            </w:r>
          </w:p>
        </w:tc>
      </w:tr>
    </w:tbl>
    <w:p w:rsidR="00A2303C" w:rsidRDefault="00A2303C" w:rsidP="002B56EB">
      <w:pPr>
        <w:pStyle w:val="NoSpacing"/>
        <w:spacing w:line="360" w:lineRule="auto"/>
        <w:jc w:val="center"/>
        <w:rPr>
          <w:i/>
          <w:lang w:val="en-US"/>
        </w:rPr>
      </w:pPr>
      <w:r>
        <w:rPr>
          <w:i/>
          <w:sz w:val="20"/>
          <w:szCs w:val="20"/>
          <w:lang w:val="en-US"/>
        </w:rPr>
        <w:t>Source: Author</w:t>
      </w:r>
    </w:p>
    <w:p w:rsidR="00A2303C" w:rsidRDefault="00A2303C" w:rsidP="006E40F9">
      <w:pPr>
        <w:pStyle w:val="NoSpacing"/>
        <w:spacing w:line="360" w:lineRule="auto"/>
        <w:rPr>
          <w:lang w:val="en-GB"/>
        </w:rPr>
      </w:pPr>
    </w:p>
    <w:p w:rsidR="00A2303C" w:rsidRDefault="00A2303C" w:rsidP="00E5168C">
      <w:pPr>
        <w:pStyle w:val="NoSpacing"/>
        <w:numPr>
          <w:ilvl w:val="2"/>
          <w:numId w:val="3"/>
        </w:numPr>
        <w:spacing w:line="360" w:lineRule="auto"/>
        <w:ind w:left="1276" w:hanging="1276"/>
        <w:rPr>
          <w:b/>
          <w:i/>
          <w:lang w:val="en-GB"/>
        </w:rPr>
      </w:pPr>
      <w:r>
        <w:rPr>
          <w:b/>
          <w:i/>
          <w:lang w:val="en-GB"/>
        </w:rPr>
        <w:t>Defined Benefit (DB) or Defined Contribution (DC) plan?</w:t>
      </w:r>
    </w:p>
    <w:p w:rsidR="00A2303C" w:rsidRDefault="00A2303C" w:rsidP="006E40F9">
      <w:pPr>
        <w:pStyle w:val="NoSpacing"/>
        <w:spacing w:line="360" w:lineRule="auto"/>
        <w:rPr>
          <w:lang w:val="en-US"/>
        </w:rPr>
      </w:pPr>
      <w:r w:rsidRPr="005A2EA7">
        <w:rPr>
          <w:lang w:val="en-US"/>
        </w:rPr>
        <w:t xml:space="preserve">The last major question relates to defining how benefits and contributions are </w:t>
      </w:r>
      <w:r>
        <w:rPr>
          <w:lang w:val="en-US"/>
        </w:rPr>
        <w:t>calculated</w:t>
      </w:r>
      <w:r w:rsidRPr="005A2EA7">
        <w:rPr>
          <w:lang w:val="en-US"/>
        </w:rPr>
        <w:t xml:space="preserve">, either via a DB plan or a DC plan. There are quite some differences between these two types of plans. DC plans </w:t>
      </w:r>
      <w:r>
        <w:rPr>
          <w:lang w:val="en-US"/>
        </w:rPr>
        <w:t xml:space="preserve">in the second pillar </w:t>
      </w:r>
      <w:r w:rsidRPr="005A2EA7">
        <w:rPr>
          <w:lang w:val="en-US"/>
        </w:rPr>
        <w:t>have the benefit t</w:t>
      </w:r>
      <w:r>
        <w:rPr>
          <w:lang w:val="en-US"/>
        </w:rPr>
        <w:t>hat they are</w:t>
      </w:r>
      <w:r w:rsidRPr="005A2EA7">
        <w:rPr>
          <w:lang w:val="en-US"/>
        </w:rPr>
        <w:t xml:space="preserve"> less exposed to the employer solvency risk, portability risk and can more easily be vested than DB plans</w:t>
      </w:r>
      <w:r>
        <w:rPr>
          <w:lang w:val="en-US"/>
        </w:rPr>
        <w:t xml:space="preserve"> (Bodie 1990 and Diamond 1997)</w:t>
      </w:r>
      <w:r w:rsidRPr="005A2EA7">
        <w:rPr>
          <w:lang w:val="en-US"/>
        </w:rPr>
        <w:t xml:space="preserve">. In DB plans, the employer bears the investment risk, because he or she is responsible for providing the pre-defined benefit if the employee retires. However, it could happen that the employer chose the wrong investment opportunities leading to insolvency and the inability to pay out the benefits. A portability loss arises if </w:t>
      </w:r>
      <w:r>
        <w:rPr>
          <w:lang w:val="en-US"/>
        </w:rPr>
        <w:t>an employee</w:t>
      </w:r>
      <w:r w:rsidRPr="005A2EA7">
        <w:rPr>
          <w:lang w:val="en-US"/>
        </w:rPr>
        <w:t xml:space="preserve"> switch</w:t>
      </w:r>
      <w:r>
        <w:rPr>
          <w:lang w:val="en-US"/>
        </w:rPr>
        <w:t>es</w:t>
      </w:r>
      <w:r w:rsidRPr="005A2EA7">
        <w:rPr>
          <w:lang w:val="en-US"/>
        </w:rPr>
        <w:t xml:space="preserve"> jobs, because DB plans are usually provided by a particular employer and if an employee </w:t>
      </w:r>
      <w:r>
        <w:rPr>
          <w:lang w:val="en-US"/>
        </w:rPr>
        <w:t>changes</w:t>
      </w:r>
      <w:r w:rsidRPr="005A2EA7">
        <w:rPr>
          <w:lang w:val="en-US"/>
        </w:rPr>
        <w:t xml:space="preserve"> to another job he or she will have to move to a new employer’s scheme. Furthermore, </w:t>
      </w:r>
      <w:r>
        <w:rPr>
          <w:lang w:val="en-US"/>
        </w:rPr>
        <w:t xml:space="preserve">there are countries where the </w:t>
      </w:r>
      <w:r w:rsidRPr="005A2EA7">
        <w:rPr>
          <w:lang w:val="en-US"/>
        </w:rPr>
        <w:t>actuarial formula used to calculate the defined benefit favors</w:t>
      </w:r>
      <w:r>
        <w:rPr>
          <w:lang w:val="en-US"/>
        </w:rPr>
        <w:t xml:space="preserve"> employees who have been in service for a longer time (Mitchell et al. 1996). </w:t>
      </w:r>
    </w:p>
    <w:p w:rsidR="00A2303C" w:rsidRDefault="00A2303C" w:rsidP="006E40F9">
      <w:pPr>
        <w:pStyle w:val="NoSpacing"/>
        <w:spacing w:line="360" w:lineRule="auto"/>
        <w:rPr>
          <w:lang w:val="en-US"/>
        </w:rPr>
      </w:pPr>
    </w:p>
    <w:p w:rsidR="00A2303C" w:rsidRDefault="00A2303C" w:rsidP="006E40F9">
      <w:pPr>
        <w:pStyle w:val="NoSpacing"/>
        <w:spacing w:line="360" w:lineRule="auto"/>
        <w:rPr>
          <w:lang w:val="en-US"/>
        </w:rPr>
      </w:pPr>
      <w:r>
        <w:rPr>
          <w:lang w:val="en-US"/>
        </w:rPr>
        <w:t>On the other hand, DC plans are more exposed to investment, disability and longevity risk. There exists uncertainty on how well the investment is managed; if it yields the promised rate of return and how long individuals will contribute and collect. The risk of disability can be covered if an individual buys disability insurance and the longevity risk can be minimized if an annuity is bought from an insurance company. It is more difficult to shield the individual from the investment risk. It is true that DC plans do not guarantee a minimum level of pension benefits, which is the case for DB plans provided that the employer is solvent. However, some minimum level op adequacy could be arranged via a national anti-poverty program.</w:t>
      </w:r>
    </w:p>
    <w:p w:rsidR="00A2303C" w:rsidRDefault="00A2303C" w:rsidP="009C4D33">
      <w:pPr>
        <w:pStyle w:val="NoSpacing"/>
        <w:spacing w:line="360" w:lineRule="auto"/>
        <w:rPr>
          <w:lang w:val="en-GB"/>
        </w:rPr>
      </w:pPr>
    </w:p>
    <w:p w:rsidR="00A2303C" w:rsidRDefault="00A2303C" w:rsidP="009C4D33">
      <w:pPr>
        <w:pStyle w:val="NoSpacing"/>
        <w:spacing w:line="360" w:lineRule="auto"/>
        <w:rPr>
          <w:lang w:val="en-GB"/>
        </w:rPr>
      </w:pPr>
      <w:r>
        <w:rPr>
          <w:lang w:val="en-GB"/>
        </w:rPr>
        <w:t>Table 4.4 gives an overview of the several pro’s and con’s of DB and DC plans.</w:t>
      </w:r>
    </w:p>
    <w:p w:rsidR="00A2303C" w:rsidRDefault="00A2303C" w:rsidP="009C4D33">
      <w:pPr>
        <w:pStyle w:val="NoSpacing"/>
        <w:spacing w:line="360" w:lineRule="auto"/>
        <w:rPr>
          <w:lang w:val="en-GB"/>
        </w:rPr>
      </w:pPr>
    </w:p>
    <w:p w:rsidR="00A2303C" w:rsidRDefault="00A2303C" w:rsidP="002B56EB">
      <w:pPr>
        <w:pStyle w:val="NoSpacing"/>
        <w:spacing w:line="360" w:lineRule="auto"/>
        <w:jc w:val="center"/>
        <w:rPr>
          <w:i/>
          <w:sz w:val="20"/>
          <w:szCs w:val="20"/>
          <w:lang w:val="en-US"/>
        </w:rPr>
      </w:pPr>
      <w:r>
        <w:rPr>
          <w:i/>
          <w:sz w:val="20"/>
          <w:szCs w:val="20"/>
          <w:lang w:val="en-US"/>
        </w:rPr>
        <w:t>Table 4.3 Advantage and disadvantages of DB and DC plans</w:t>
      </w:r>
    </w:p>
    <w:tbl>
      <w:tblPr>
        <w:tblW w:w="0" w:type="auto"/>
        <w:tblBorders>
          <w:top w:val="single" w:sz="18" w:space="0" w:color="auto"/>
          <w:bottom w:val="single" w:sz="18" w:space="0" w:color="auto"/>
        </w:tblBorders>
        <w:tblLook w:val="00A0"/>
      </w:tblPr>
      <w:tblGrid>
        <w:gridCol w:w="3096"/>
        <w:gridCol w:w="3096"/>
        <w:gridCol w:w="3096"/>
      </w:tblGrid>
      <w:tr w:rsidR="00A2303C" w:rsidTr="008D584B">
        <w:tc>
          <w:tcPr>
            <w:tcW w:w="3096" w:type="dxa"/>
            <w:tcBorders>
              <w:top w:val="single" w:sz="18" w:space="0" w:color="auto"/>
              <w:left w:val="single" w:sz="18" w:space="0" w:color="auto"/>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p>
        </w:tc>
        <w:tc>
          <w:tcPr>
            <w:tcW w:w="3096" w:type="dxa"/>
            <w:tcBorders>
              <w:top w:val="single" w:sz="18" w:space="0" w:color="auto"/>
              <w:left w:val="single" w:sz="18" w:space="0" w:color="FFFFFF"/>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Advantage</w:t>
            </w:r>
          </w:p>
        </w:tc>
        <w:tc>
          <w:tcPr>
            <w:tcW w:w="3096" w:type="dxa"/>
            <w:tcBorders>
              <w:top w:val="single" w:sz="18" w:space="0" w:color="auto"/>
              <w:left w:val="single" w:sz="18" w:space="0" w:color="FFFFFF"/>
              <w:bottom w:val="single" w:sz="18" w:space="0" w:color="auto"/>
              <w:right w:val="single" w:sz="18" w:space="0" w:color="auto"/>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Disadvantage</w:t>
            </w:r>
          </w:p>
        </w:tc>
      </w:tr>
      <w:tr w:rsidR="00A2303C" w:rsidRPr="00762AC3" w:rsidTr="008D584B">
        <w:tc>
          <w:tcPr>
            <w:tcW w:w="3096" w:type="dxa"/>
            <w:tcBorders>
              <w:left w:val="single" w:sz="18" w:space="0" w:color="auto"/>
              <w:bottom w:val="single" w:sz="18" w:space="0" w:color="FFFFFF"/>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DB</w:t>
            </w:r>
          </w:p>
        </w:tc>
        <w:tc>
          <w:tcPr>
            <w:tcW w:w="3096" w:type="dxa"/>
            <w:tcBorders>
              <w:top w:val="single" w:sz="18" w:space="0" w:color="auto"/>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No investment risk</w:t>
            </w:r>
          </w:p>
          <w:p w:rsidR="00A2303C" w:rsidRPr="008D584B" w:rsidRDefault="00A2303C" w:rsidP="008D584B">
            <w:pPr>
              <w:pStyle w:val="NoSpacing"/>
              <w:spacing w:line="360" w:lineRule="auto"/>
              <w:rPr>
                <w:sz w:val="20"/>
                <w:szCs w:val="20"/>
                <w:lang w:val="en-US"/>
              </w:rPr>
            </w:pPr>
            <w:r w:rsidRPr="008D584B">
              <w:rPr>
                <w:sz w:val="20"/>
                <w:szCs w:val="20"/>
                <w:lang w:val="en-US"/>
              </w:rPr>
              <w:t>* No disability risk</w:t>
            </w:r>
          </w:p>
          <w:p w:rsidR="00A2303C" w:rsidRPr="008D584B" w:rsidRDefault="00A2303C" w:rsidP="008D584B">
            <w:pPr>
              <w:pStyle w:val="NoSpacing"/>
              <w:spacing w:line="360" w:lineRule="auto"/>
              <w:rPr>
                <w:sz w:val="20"/>
                <w:szCs w:val="20"/>
                <w:lang w:val="en-US"/>
              </w:rPr>
            </w:pPr>
            <w:r w:rsidRPr="008D584B">
              <w:rPr>
                <w:sz w:val="20"/>
                <w:szCs w:val="20"/>
                <w:lang w:val="en-US"/>
              </w:rPr>
              <w:t>* No longevity risk</w:t>
            </w:r>
          </w:p>
        </w:tc>
        <w:tc>
          <w:tcPr>
            <w:tcW w:w="3096" w:type="dxa"/>
            <w:tcBorders>
              <w:top w:val="single" w:sz="18" w:space="0" w:color="auto"/>
              <w:left w:val="single" w:sz="18" w:space="0" w:color="FFFFFF"/>
              <w:bottom w:val="single" w:sz="18" w:space="0" w:color="FFFFFF"/>
              <w:right w:val="single" w:sz="18" w:space="0" w:color="auto"/>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Employer solvency risk</w:t>
            </w:r>
          </w:p>
          <w:p w:rsidR="00A2303C" w:rsidRPr="008D584B" w:rsidRDefault="00A2303C" w:rsidP="008D584B">
            <w:pPr>
              <w:pStyle w:val="NoSpacing"/>
              <w:spacing w:line="360" w:lineRule="auto"/>
              <w:rPr>
                <w:sz w:val="20"/>
                <w:szCs w:val="20"/>
                <w:lang w:val="en-US"/>
              </w:rPr>
            </w:pPr>
            <w:r w:rsidRPr="008D584B">
              <w:rPr>
                <w:sz w:val="20"/>
                <w:szCs w:val="20"/>
                <w:lang w:val="en-US"/>
              </w:rPr>
              <w:t>* Portability risk</w:t>
            </w:r>
          </w:p>
          <w:p w:rsidR="00A2303C" w:rsidRPr="008D584B" w:rsidRDefault="00A2303C" w:rsidP="008D584B">
            <w:pPr>
              <w:pStyle w:val="NoSpacing"/>
              <w:spacing w:line="360" w:lineRule="auto"/>
              <w:rPr>
                <w:sz w:val="20"/>
                <w:szCs w:val="20"/>
                <w:lang w:val="en-US"/>
              </w:rPr>
            </w:pPr>
            <w:r w:rsidRPr="008D584B">
              <w:rPr>
                <w:sz w:val="20"/>
                <w:szCs w:val="20"/>
                <w:lang w:val="en-US"/>
              </w:rPr>
              <w:t>* Problems with vesting</w:t>
            </w:r>
          </w:p>
        </w:tc>
      </w:tr>
      <w:tr w:rsidR="00A2303C" w:rsidRPr="00762AC3" w:rsidTr="008D584B">
        <w:tc>
          <w:tcPr>
            <w:tcW w:w="3096" w:type="dxa"/>
            <w:tcBorders>
              <w:top w:val="single" w:sz="18" w:space="0" w:color="FFFFFF"/>
              <w:left w:val="single" w:sz="18" w:space="0" w:color="auto"/>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DC</w:t>
            </w:r>
          </w:p>
        </w:tc>
        <w:tc>
          <w:tcPr>
            <w:tcW w:w="3096" w:type="dxa"/>
            <w:tcBorders>
              <w:top w:val="single" w:sz="18" w:space="0" w:color="FFFFFF"/>
              <w:left w:val="single" w:sz="18" w:space="0" w:color="FFFFFF"/>
              <w:bottom w:val="single" w:sz="18" w:space="0" w:color="auto"/>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No employer solvency risk</w:t>
            </w:r>
          </w:p>
          <w:p w:rsidR="00A2303C" w:rsidRPr="008D584B" w:rsidRDefault="00A2303C" w:rsidP="008D584B">
            <w:pPr>
              <w:pStyle w:val="NoSpacing"/>
              <w:spacing w:line="360" w:lineRule="auto"/>
              <w:rPr>
                <w:sz w:val="20"/>
                <w:szCs w:val="20"/>
                <w:lang w:val="en-US"/>
              </w:rPr>
            </w:pPr>
            <w:r w:rsidRPr="008D584B">
              <w:rPr>
                <w:sz w:val="20"/>
                <w:szCs w:val="20"/>
                <w:lang w:val="en-US"/>
              </w:rPr>
              <w:t>* Lower portability risk</w:t>
            </w:r>
          </w:p>
          <w:p w:rsidR="00A2303C" w:rsidRPr="008D584B" w:rsidRDefault="00A2303C" w:rsidP="008D584B">
            <w:pPr>
              <w:pStyle w:val="NoSpacing"/>
              <w:spacing w:line="360" w:lineRule="auto"/>
              <w:rPr>
                <w:sz w:val="20"/>
                <w:szCs w:val="20"/>
                <w:lang w:val="en-US"/>
              </w:rPr>
            </w:pPr>
            <w:r w:rsidRPr="008D584B">
              <w:rPr>
                <w:sz w:val="20"/>
                <w:szCs w:val="20"/>
                <w:lang w:val="en-US"/>
              </w:rPr>
              <w:t>* More easily vested</w:t>
            </w:r>
          </w:p>
        </w:tc>
        <w:tc>
          <w:tcPr>
            <w:tcW w:w="3096" w:type="dxa"/>
            <w:tcBorders>
              <w:top w:val="single" w:sz="18" w:space="0" w:color="FFFFFF"/>
              <w:left w:val="single" w:sz="18" w:space="0" w:color="FFFFFF"/>
              <w:bottom w:val="single" w:sz="18" w:space="0" w:color="auto"/>
              <w:right w:val="single" w:sz="18" w:space="0" w:color="auto"/>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Investment risk</w:t>
            </w:r>
          </w:p>
          <w:p w:rsidR="00A2303C" w:rsidRPr="008D584B" w:rsidRDefault="00A2303C" w:rsidP="008D584B">
            <w:pPr>
              <w:pStyle w:val="NoSpacing"/>
              <w:spacing w:line="360" w:lineRule="auto"/>
              <w:rPr>
                <w:sz w:val="20"/>
                <w:szCs w:val="20"/>
                <w:lang w:val="en-US"/>
              </w:rPr>
            </w:pPr>
            <w:r w:rsidRPr="008D584B">
              <w:rPr>
                <w:sz w:val="20"/>
                <w:szCs w:val="20"/>
                <w:lang w:val="en-US"/>
              </w:rPr>
              <w:t>* Disability risk</w:t>
            </w:r>
          </w:p>
          <w:p w:rsidR="00A2303C" w:rsidRPr="008D584B" w:rsidRDefault="00A2303C" w:rsidP="008D584B">
            <w:pPr>
              <w:pStyle w:val="NoSpacing"/>
              <w:spacing w:line="360" w:lineRule="auto"/>
              <w:rPr>
                <w:sz w:val="20"/>
                <w:szCs w:val="20"/>
                <w:lang w:val="en-US"/>
              </w:rPr>
            </w:pPr>
            <w:r w:rsidRPr="008D584B">
              <w:rPr>
                <w:sz w:val="20"/>
                <w:szCs w:val="20"/>
                <w:lang w:val="en-US"/>
              </w:rPr>
              <w:t>* Longevity risk</w:t>
            </w:r>
          </w:p>
        </w:tc>
      </w:tr>
    </w:tbl>
    <w:p w:rsidR="00A2303C" w:rsidRDefault="00A2303C" w:rsidP="002B56EB">
      <w:pPr>
        <w:pStyle w:val="NoSpacing"/>
        <w:spacing w:line="360" w:lineRule="auto"/>
        <w:jc w:val="center"/>
        <w:rPr>
          <w:i/>
          <w:lang w:val="en-US"/>
        </w:rPr>
      </w:pPr>
      <w:r>
        <w:rPr>
          <w:i/>
          <w:sz w:val="20"/>
          <w:szCs w:val="20"/>
          <w:lang w:val="en-US"/>
        </w:rPr>
        <w:t>Source: Author</w:t>
      </w:r>
    </w:p>
    <w:p w:rsidR="00A2303C" w:rsidRDefault="00A2303C" w:rsidP="009C4D33">
      <w:pPr>
        <w:pStyle w:val="NoSpacing"/>
        <w:spacing w:line="360" w:lineRule="auto"/>
        <w:rPr>
          <w:lang w:val="en-GB"/>
        </w:rPr>
      </w:pPr>
    </w:p>
    <w:p w:rsidR="00A2303C" w:rsidRDefault="00A2303C" w:rsidP="006E40F9">
      <w:pPr>
        <w:pStyle w:val="NoSpacing"/>
        <w:spacing w:line="360" w:lineRule="auto"/>
        <w:rPr>
          <w:lang w:val="en-US"/>
        </w:rPr>
      </w:pPr>
    </w:p>
    <w:p w:rsidR="00A2303C" w:rsidRDefault="00A2303C" w:rsidP="00020171">
      <w:pPr>
        <w:pStyle w:val="NoSpacing"/>
        <w:numPr>
          <w:ilvl w:val="1"/>
          <w:numId w:val="3"/>
        </w:numPr>
        <w:spacing w:line="360" w:lineRule="auto"/>
        <w:ind w:hanging="1296"/>
        <w:rPr>
          <w:b/>
          <w:i/>
          <w:lang w:val="en-US"/>
        </w:rPr>
      </w:pPr>
      <w:r>
        <w:rPr>
          <w:b/>
          <w:i/>
          <w:lang w:val="en-US"/>
        </w:rPr>
        <w:t>Remarks on designing pension plans</w:t>
      </w:r>
    </w:p>
    <w:p w:rsidR="00A2303C" w:rsidRDefault="00A2303C" w:rsidP="00020171">
      <w:pPr>
        <w:pStyle w:val="NoSpacing"/>
        <w:spacing w:line="360" w:lineRule="auto"/>
        <w:rPr>
          <w:lang w:val="en-US"/>
        </w:rPr>
      </w:pPr>
      <w:r>
        <w:rPr>
          <w:lang w:val="en-US"/>
        </w:rPr>
        <w:t>Besides the major choices in designing a pension plan, there are also a few other features that deserve attention. First of all, it is important to impose a minimum retirement age to assure that benefits are only paid to the old and that early retirement is discouraged. By limiting access, it curtails individuals’ myopia and self-control problems (Mitchell et al. 1996). Secondly, by paying pension benefits in the form of life annuities, it protects individuals against outliving their pension benefits. Lump-sum benefits do not protect against this risk, nor does it prevent moral hazard or adverse selection. Thirdly, a single national anti-poverty program that alleviates everyone (young and old) from poverty is useful. It makes sure that a pension plan is not diverted from its primary purpose, which is to insure against economic uncertainty in retirement.</w:t>
      </w:r>
    </w:p>
    <w:p w:rsidR="00A2303C" w:rsidRDefault="00A2303C" w:rsidP="00020171">
      <w:pPr>
        <w:pStyle w:val="NoSpacing"/>
        <w:spacing w:line="360" w:lineRule="auto"/>
        <w:rPr>
          <w:lang w:val="en-US"/>
        </w:rPr>
      </w:pPr>
    </w:p>
    <w:p w:rsidR="00A2303C" w:rsidRDefault="00A2303C" w:rsidP="00020171">
      <w:pPr>
        <w:pStyle w:val="NoSpacing"/>
        <w:spacing w:line="360" w:lineRule="auto"/>
        <w:rPr>
          <w:lang w:val="en-US"/>
        </w:rPr>
      </w:pPr>
      <w:r>
        <w:rPr>
          <w:lang w:val="en-US"/>
        </w:rPr>
        <w:t xml:space="preserve">A last remark for designing a pension plan is that designers should not want nor can they eliminate all risk. For instance, it could be that no party is willing to insure the risk, because of very high uncertainty and high costs. Even a well-designed pension system cannot guarantee retirement security against international risk caused by disastrous global events. Furthermore, Rothschild and Stiglitz (1976) concluded that even if full insurance is possible, it is generally not desirable. </w:t>
      </w:r>
    </w:p>
    <w:p w:rsidR="00A2303C" w:rsidRDefault="00A2303C" w:rsidP="00020171">
      <w:pPr>
        <w:pStyle w:val="NoSpacing"/>
        <w:spacing w:line="360" w:lineRule="auto"/>
        <w:rPr>
          <w:lang w:val="en-US"/>
        </w:rPr>
      </w:pPr>
    </w:p>
    <w:p w:rsidR="00A2303C" w:rsidRPr="00020171" w:rsidRDefault="00A2303C" w:rsidP="0054561C">
      <w:pPr>
        <w:pStyle w:val="IntenseQuote"/>
        <w:numPr>
          <w:ilvl w:val="0"/>
          <w:numId w:val="3"/>
        </w:numPr>
        <w:jc w:val="center"/>
        <w:rPr>
          <w:lang w:val="en-US"/>
        </w:rPr>
      </w:pPr>
      <w:r>
        <w:rPr>
          <w:lang w:val="en-US"/>
        </w:rPr>
        <w:t>The pension system in Chile</w:t>
      </w:r>
    </w:p>
    <w:p w:rsidR="00A2303C" w:rsidRDefault="00A2303C" w:rsidP="00020171">
      <w:pPr>
        <w:pStyle w:val="NoSpacing"/>
        <w:spacing w:line="360" w:lineRule="auto"/>
        <w:rPr>
          <w:lang w:val="en-US"/>
        </w:rPr>
      </w:pPr>
      <w:r>
        <w:rPr>
          <w:lang w:val="en-US"/>
        </w:rPr>
        <w:t xml:space="preserve">The section starts with a brief historical overview of the Chilean pension system, afterwards it will mainly focus on how the three-pillar system operates in Chile. An elaboration on each of the pillars will be given and additional features of the Chilean model are presented. Lastly, Chile’s system is being analyzed on its strengths and weaknesses. </w:t>
      </w:r>
    </w:p>
    <w:p w:rsidR="00A2303C" w:rsidRDefault="00A2303C" w:rsidP="00020171">
      <w:pPr>
        <w:pStyle w:val="NoSpacing"/>
        <w:spacing w:line="360" w:lineRule="auto"/>
        <w:rPr>
          <w:lang w:val="en-US"/>
        </w:rPr>
      </w:pPr>
    </w:p>
    <w:p w:rsidR="00A2303C" w:rsidRDefault="00A2303C" w:rsidP="003B6A29">
      <w:pPr>
        <w:pStyle w:val="NoSpacing"/>
        <w:numPr>
          <w:ilvl w:val="1"/>
          <w:numId w:val="3"/>
        </w:numPr>
        <w:spacing w:line="360" w:lineRule="auto"/>
        <w:ind w:hanging="1296"/>
        <w:rPr>
          <w:b/>
          <w:i/>
          <w:lang w:val="en-US"/>
        </w:rPr>
      </w:pPr>
      <w:r>
        <w:rPr>
          <w:b/>
          <w:i/>
          <w:lang w:val="en-US"/>
        </w:rPr>
        <w:t>Historical overview</w:t>
      </w:r>
    </w:p>
    <w:p w:rsidR="00A2303C" w:rsidRDefault="00A2303C" w:rsidP="003B6A29">
      <w:pPr>
        <w:pStyle w:val="NoSpacing"/>
        <w:spacing w:line="360" w:lineRule="auto"/>
        <w:rPr>
          <w:lang w:val="en-US"/>
        </w:rPr>
      </w:pPr>
      <w:r>
        <w:rPr>
          <w:lang w:val="en-US"/>
        </w:rPr>
        <w:t xml:space="preserve">The pension system in Chile is unique and Chile was one the first countries to drastically reform its system into a fully funded system. The Chilean model has been used in many other countries in the world as an example of how to reform their pension system. Up to now, 11 Latin American countries, 7 Central and Eastern European countries and one country in Asia have reformed their own pension system in accordance with Chile’s system. Before elaborating on the details of this model, a brief historical overview is given, in order to place Chile’s reform in the right perspective. </w:t>
      </w:r>
    </w:p>
    <w:p w:rsidR="00A2303C" w:rsidRDefault="00A2303C" w:rsidP="003B6A29">
      <w:pPr>
        <w:pStyle w:val="NoSpacing"/>
        <w:spacing w:line="360" w:lineRule="auto"/>
        <w:rPr>
          <w:lang w:val="en-US"/>
        </w:rPr>
      </w:pPr>
    </w:p>
    <w:p w:rsidR="00A2303C" w:rsidRDefault="00A2303C" w:rsidP="003B6A29">
      <w:pPr>
        <w:pStyle w:val="NoSpacing"/>
        <w:spacing w:line="360" w:lineRule="auto"/>
        <w:rPr>
          <w:lang w:val="en-US"/>
        </w:rPr>
      </w:pPr>
      <w:r>
        <w:rPr>
          <w:lang w:val="en-US"/>
        </w:rPr>
        <w:t xml:space="preserve">In  1924, Chile created a mandatory pension system for a part of the labor force. The government gave the Social Security Institutions (SSIs) the responsibility of running the system. It started off as fully-funded schemes, however, they were very unsuccessful and did not even operate for 30 years. A major reason for the breakdown of the system was that pension reserves were exhausted due to restrains on the investment opportunities and low returns to investments. Additionally, the pension reserves were used for other social security benefits like health care benefits. The unsustainable fully funded system was reformed in 1952 into a PAYG system, with defined benefits. The reform consisted also of a rise in contribution rate and varying retirement ages between genders. The SSIs were still in charge of operating the pension system, but failed in strongly enforcing regulations and they were susceptible to pressure of labor unions who wanted to increase the benefits more than the contributions. Moreover, the inequality gap of income widened as the poor elderly were barely covered in the system, while the participants of the middle class profited significantly of a variety of subsidies that were handed out and paid by budget surpluses that were generated in the beginning of the reform. </w:t>
      </w:r>
    </w:p>
    <w:p w:rsidR="00A2303C" w:rsidRDefault="00A2303C" w:rsidP="003B6A29">
      <w:pPr>
        <w:pStyle w:val="NoSpacing"/>
        <w:spacing w:line="360" w:lineRule="auto"/>
        <w:rPr>
          <w:lang w:val="en-US"/>
        </w:rPr>
      </w:pPr>
    </w:p>
    <w:p w:rsidR="00A2303C" w:rsidRDefault="00A2303C" w:rsidP="003B6A29">
      <w:pPr>
        <w:pStyle w:val="NoSpacing"/>
        <w:spacing w:line="360" w:lineRule="auto"/>
        <w:rPr>
          <w:lang w:val="en-US"/>
        </w:rPr>
      </w:pPr>
      <w:r>
        <w:rPr>
          <w:lang w:val="en-US"/>
        </w:rPr>
        <w:t xml:space="preserve">With contributions rates rising from 16 to 26 per cent of wages, contributions made by the government amounting to 38 per cent of the system’s total revenues, an implicit debt of more than 100 per cent of GDPand unfavorable demographic trends, it did not take long before the entire system again showed signs of failure  (Rodriguez 1999). Therefore, during the 1970s a group of academics was appointed to design and eventually put into operation a new pension system. The PAYG system would be replaced by a fully funded system consisting of individual capital accounts that were privately managed and administered by the Pension Fund Management Companies (Administradoras de Fondos de Pensiones, AFPs). In order to let the reform run smoothly, it consisted of two phases. In 1979 the first phase started in which a standardized indexation instrument was adopted and the minimum retirement ages, which were 65 years for men and 60 years for women, were lowered. Additionally, retirement based on contribution years became easier to reach as the amount of contribution years was lowered. The second phase started in 1981, when there was the radical switch from a PAYG system to a fully funded system. The old one pillar system was slowly transformed into a three pillar system. By disconnecting the first and second pillar entirely, the redistributive and saving function were separated. </w:t>
      </w:r>
    </w:p>
    <w:p w:rsidR="00A2303C" w:rsidRDefault="00A2303C" w:rsidP="003B6A29">
      <w:pPr>
        <w:pStyle w:val="NoSpacing"/>
        <w:spacing w:line="360" w:lineRule="auto"/>
        <w:rPr>
          <w:lang w:val="en-US"/>
        </w:rPr>
      </w:pPr>
    </w:p>
    <w:p w:rsidR="00A2303C" w:rsidRDefault="00A2303C" w:rsidP="003B6A29">
      <w:pPr>
        <w:pStyle w:val="NoSpacing"/>
        <w:spacing w:line="360" w:lineRule="auto"/>
        <w:rPr>
          <w:lang w:val="en-US"/>
        </w:rPr>
      </w:pPr>
      <w:r>
        <w:rPr>
          <w:lang w:val="en-US"/>
        </w:rPr>
        <w:t xml:space="preserve">The goal of the reform was to establish pension benefits that would be equal to at least 70 per cent of an employee’s final wage. The system aimed to perform several functions such as; giving individuals freedom of choice but on the other hand still showing solidarity, it should be a system that is fair and at the same time efficient and most importantly it should profit the entire Chilean population. </w:t>
      </w:r>
    </w:p>
    <w:p w:rsidR="00A2303C" w:rsidRDefault="00A2303C" w:rsidP="003B6A29">
      <w:pPr>
        <w:pStyle w:val="NoSpacing"/>
        <w:spacing w:line="360" w:lineRule="auto"/>
        <w:rPr>
          <w:lang w:val="en-US"/>
        </w:rPr>
      </w:pPr>
    </w:p>
    <w:p w:rsidR="00A2303C" w:rsidRDefault="00A2303C" w:rsidP="000228C1">
      <w:pPr>
        <w:pStyle w:val="NoSpacing"/>
        <w:numPr>
          <w:ilvl w:val="1"/>
          <w:numId w:val="3"/>
        </w:numPr>
        <w:spacing w:line="360" w:lineRule="auto"/>
        <w:ind w:hanging="1296"/>
        <w:rPr>
          <w:b/>
          <w:i/>
          <w:lang w:val="en-US"/>
        </w:rPr>
      </w:pPr>
      <w:r>
        <w:rPr>
          <w:b/>
          <w:i/>
          <w:lang w:val="en-US"/>
        </w:rPr>
        <w:t>Overview of current pension system in Chile</w:t>
      </w:r>
    </w:p>
    <w:p w:rsidR="00A2303C" w:rsidRDefault="00A2303C" w:rsidP="000228C1">
      <w:pPr>
        <w:pStyle w:val="NoSpacing"/>
        <w:spacing w:line="360" w:lineRule="auto"/>
        <w:rPr>
          <w:lang w:val="en-US"/>
        </w:rPr>
      </w:pPr>
      <w:r>
        <w:rPr>
          <w:lang w:val="en-US"/>
        </w:rPr>
        <w:t>Since 1981 the Chilean pension model gradually changed from a one pillar to a three pillar system. First, the three pillars will be explained, followed by additional features of the system. Table 5.1 presents Chile’s current pension system.</w:t>
      </w:r>
    </w:p>
    <w:p w:rsidR="00A2303C" w:rsidRDefault="00A2303C" w:rsidP="000228C1">
      <w:pPr>
        <w:pStyle w:val="NoSpacing"/>
        <w:spacing w:line="360" w:lineRule="auto"/>
        <w:rPr>
          <w:lang w:val="en-US"/>
        </w:rPr>
      </w:pPr>
    </w:p>
    <w:p w:rsidR="00A2303C" w:rsidRDefault="00A2303C" w:rsidP="006E1798">
      <w:pPr>
        <w:pStyle w:val="NoSpacing"/>
        <w:spacing w:line="360" w:lineRule="auto"/>
        <w:jc w:val="center"/>
        <w:rPr>
          <w:i/>
          <w:sz w:val="20"/>
          <w:szCs w:val="20"/>
          <w:lang w:val="en-US"/>
        </w:rPr>
      </w:pPr>
      <w:r>
        <w:rPr>
          <w:i/>
          <w:sz w:val="20"/>
          <w:szCs w:val="20"/>
          <w:lang w:val="en-US"/>
        </w:rPr>
        <w:t>Table 5.1 Current pension system in Chile</w:t>
      </w:r>
    </w:p>
    <w:tbl>
      <w:tblPr>
        <w:tblW w:w="9378" w:type="dxa"/>
        <w:tblBorders>
          <w:top w:val="single" w:sz="18" w:space="0" w:color="auto"/>
          <w:bottom w:val="single" w:sz="18" w:space="0" w:color="auto"/>
        </w:tblBorders>
        <w:tblLook w:val="00A0"/>
      </w:tblPr>
      <w:tblGrid>
        <w:gridCol w:w="1548"/>
        <w:gridCol w:w="3240"/>
        <w:gridCol w:w="2178"/>
        <w:gridCol w:w="2412"/>
      </w:tblGrid>
      <w:tr w:rsidR="00A2303C" w:rsidTr="008D584B">
        <w:tc>
          <w:tcPr>
            <w:tcW w:w="1548" w:type="dxa"/>
            <w:tcBorders>
              <w:top w:val="single" w:sz="18" w:space="0" w:color="auto"/>
              <w:left w:val="single" w:sz="18" w:space="0" w:color="auto"/>
              <w:bottom w:val="single" w:sz="18" w:space="0" w:color="auto"/>
              <w:right w:val="nil"/>
            </w:tcBorders>
            <w:shd w:val="clear" w:color="auto" w:fill="4F81BD"/>
          </w:tcPr>
          <w:p w:rsidR="00A2303C" w:rsidRPr="008D584B" w:rsidRDefault="00A2303C" w:rsidP="008D584B">
            <w:pPr>
              <w:pStyle w:val="NoSpacing"/>
              <w:spacing w:line="360" w:lineRule="auto"/>
              <w:rPr>
                <w:b/>
                <w:bCs/>
                <w:color w:val="FFFFFF"/>
                <w:sz w:val="20"/>
                <w:szCs w:val="20"/>
                <w:lang w:val="en-US"/>
              </w:rPr>
            </w:pPr>
          </w:p>
        </w:tc>
        <w:tc>
          <w:tcPr>
            <w:tcW w:w="3240" w:type="dxa"/>
            <w:tcBorders>
              <w:top w:val="single" w:sz="18" w:space="0" w:color="auto"/>
              <w:left w:val="nil"/>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US"/>
              </w:rPr>
            </w:pPr>
          </w:p>
        </w:tc>
        <w:tc>
          <w:tcPr>
            <w:tcW w:w="2178" w:type="dxa"/>
            <w:tcBorders>
              <w:top w:val="single" w:sz="18" w:space="0" w:color="auto"/>
              <w:left w:val="single" w:sz="18" w:space="0" w:color="FFFFFF"/>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Types of Plan</w:t>
            </w:r>
          </w:p>
        </w:tc>
        <w:tc>
          <w:tcPr>
            <w:tcW w:w="2412" w:type="dxa"/>
            <w:tcBorders>
              <w:top w:val="single" w:sz="18" w:space="0" w:color="auto"/>
              <w:left w:val="single" w:sz="18" w:space="0" w:color="FFFFFF"/>
              <w:bottom w:val="single" w:sz="18" w:space="0" w:color="auto"/>
              <w:right w:val="single" w:sz="18" w:space="0" w:color="auto"/>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Management</w:t>
            </w:r>
          </w:p>
        </w:tc>
      </w:tr>
      <w:tr w:rsidR="00A2303C" w:rsidTr="008D584B">
        <w:trPr>
          <w:trHeight w:val="2075"/>
        </w:trPr>
        <w:tc>
          <w:tcPr>
            <w:tcW w:w="1548" w:type="dxa"/>
            <w:tcBorders>
              <w:top w:val="single" w:sz="18" w:space="0" w:color="auto"/>
              <w:left w:val="single" w:sz="18" w:space="0" w:color="auto"/>
              <w:bottom w:val="single" w:sz="18" w:space="0" w:color="FFFFFF"/>
              <w:right w:val="single" w:sz="18" w:space="0" w:color="FFFFFF"/>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First pillar</w:t>
            </w:r>
          </w:p>
        </w:tc>
        <w:tc>
          <w:tcPr>
            <w:tcW w:w="3240" w:type="dxa"/>
            <w:tcBorders>
              <w:top w:val="single" w:sz="18" w:space="0" w:color="auto"/>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Old age redistribution and insurance:</w:t>
            </w:r>
          </w:p>
          <w:p w:rsidR="00A2303C" w:rsidRPr="008D584B" w:rsidRDefault="00A2303C" w:rsidP="008D584B">
            <w:pPr>
              <w:pStyle w:val="NoSpacing"/>
              <w:numPr>
                <w:ilvl w:val="0"/>
                <w:numId w:val="8"/>
              </w:numPr>
              <w:spacing w:line="360" w:lineRule="auto"/>
              <w:ind w:left="432"/>
              <w:rPr>
                <w:sz w:val="20"/>
                <w:szCs w:val="20"/>
                <w:lang w:val="en-US"/>
              </w:rPr>
            </w:pPr>
            <w:r w:rsidRPr="008D584B">
              <w:rPr>
                <w:sz w:val="20"/>
                <w:szCs w:val="20"/>
                <w:lang w:val="en-US"/>
              </w:rPr>
              <w:t>Assistance pension for non-participating old-age poor</w:t>
            </w:r>
          </w:p>
          <w:p w:rsidR="00A2303C" w:rsidRPr="008D584B" w:rsidRDefault="00A2303C" w:rsidP="008D584B">
            <w:pPr>
              <w:pStyle w:val="NoSpacing"/>
              <w:numPr>
                <w:ilvl w:val="0"/>
                <w:numId w:val="8"/>
              </w:numPr>
              <w:spacing w:line="360" w:lineRule="auto"/>
              <w:ind w:left="432"/>
              <w:rPr>
                <w:sz w:val="20"/>
                <w:szCs w:val="20"/>
                <w:lang w:val="en-US"/>
              </w:rPr>
            </w:pPr>
            <w:r w:rsidRPr="008D584B">
              <w:rPr>
                <w:sz w:val="20"/>
                <w:szCs w:val="20"/>
                <w:lang w:val="en-US"/>
              </w:rPr>
              <w:t>Minimum pension guarantee for participating old-age poor at retirement</w:t>
            </w:r>
          </w:p>
        </w:tc>
        <w:tc>
          <w:tcPr>
            <w:tcW w:w="2178" w:type="dxa"/>
            <w:tcBorders>
              <w:top w:val="single" w:sz="18" w:space="0" w:color="auto"/>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p>
          <w:p w:rsidR="00A2303C" w:rsidRPr="008D584B" w:rsidRDefault="00A2303C" w:rsidP="008D584B">
            <w:pPr>
              <w:pStyle w:val="NoSpacing"/>
              <w:spacing w:line="360" w:lineRule="auto"/>
              <w:rPr>
                <w:sz w:val="20"/>
                <w:szCs w:val="20"/>
                <w:lang w:val="en-US"/>
              </w:rPr>
            </w:pPr>
            <w:r w:rsidRPr="008D584B">
              <w:rPr>
                <w:sz w:val="20"/>
                <w:szCs w:val="20"/>
                <w:lang w:val="en-US"/>
              </w:rPr>
              <w:t>- Means tested, non-contributory</w:t>
            </w:r>
          </w:p>
          <w:p w:rsidR="00A2303C" w:rsidRPr="008D584B" w:rsidRDefault="00A2303C" w:rsidP="008D584B">
            <w:pPr>
              <w:pStyle w:val="NoSpacing"/>
              <w:spacing w:line="360" w:lineRule="auto"/>
              <w:rPr>
                <w:sz w:val="20"/>
                <w:szCs w:val="20"/>
                <w:lang w:val="en-US"/>
              </w:rPr>
            </w:pPr>
            <w:r w:rsidRPr="008D584B">
              <w:rPr>
                <w:sz w:val="20"/>
                <w:szCs w:val="20"/>
                <w:lang w:val="en-US"/>
              </w:rPr>
              <w:t>- Means tested, contributory</w:t>
            </w:r>
          </w:p>
          <w:p w:rsidR="00A2303C" w:rsidRPr="008D584B" w:rsidRDefault="00A2303C" w:rsidP="008D584B">
            <w:pPr>
              <w:pStyle w:val="NoSpacing"/>
              <w:spacing w:line="360" w:lineRule="auto"/>
              <w:rPr>
                <w:sz w:val="20"/>
                <w:szCs w:val="20"/>
                <w:lang w:val="en-US"/>
              </w:rPr>
            </w:pPr>
          </w:p>
        </w:tc>
        <w:tc>
          <w:tcPr>
            <w:tcW w:w="2412" w:type="dxa"/>
            <w:tcBorders>
              <w:top w:val="single" w:sz="18" w:space="0" w:color="auto"/>
              <w:left w:val="single" w:sz="18" w:space="0" w:color="FFFFFF"/>
              <w:bottom w:val="single" w:sz="18" w:space="0" w:color="FFFFFF"/>
              <w:right w:val="single" w:sz="18" w:space="0" w:color="auto"/>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Government</w:t>
            </w:r>
          </w:p>
        </w:tc>
      </w:tr>
      <w:tr w:rsidR="00A2303C" w:rsidRPr="00762AC3" w:rsidTr="008D584B">
        <w:tc>
          <w:tcPr>
            <w:tcW w:w="1548" w:type="dxa"/>
            <w:tcBorders>
              <w:top w:val="single" w:sz="18" w:space="0" w:color="FFFFFF"/>
              <w:left w:val="single" w:sz="18" w:space="0" w:color="auto"/>
              <w:bottom w:val="single" w:sz="18" w:space="0" w:color="FFFFFF"/>
              <w:right w:val="single" w:sz="18" w:space="0" w:color="FFFFFF"/>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Second pillar</w:t>
            </w:r>
          </w:p>
          <w:p w:rsidR="00A2303C" w:rsidRPr="008D584B" w:rsidRDefault="00A2303C" w:rsidP="008D584B">
            <w:pPr>
              <w:pStyle w:val="NoSpacing"/>
              <w:spacing w:line="360" w:lineRule="auto"/>
              <w:rPr>
                <w:b/>
                <w:bCs/>
                <w:color w:val="FFFFFF"/>
                <w:lang w:val="en-US"/>
              </w:rPr>
            </w:pPr>
            <w:r w:rsidRPr="008D584B">
              <w:rPr>
                <w:b/>
                <w:bCs/>
                <w:color w:val="FFFFFF"/>
                <w:lang w:val="en-US"/>
              </w:rPr>
              <w:t>(mandatory)</w:t>
            </w:r>
          </w:p>
        </w:tc>
        <w:tc>
          <w:tcPr>
            <w:tcW w:w="3240" w:type="dxa"/>
            <w:tcBorders>
              <w:top w:val="single" w:sz="18" w:space="0" w:color="FFFFFF"/>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Old age saving and insurance</w:t>
            </w:r>
          </w:p>
        </w:tc>
        <w:tc>
          <w:tcPr>
            <w:tcW w:w="2178" w:type="dxa"/>
            <w:tcBorders>
              <w:top w:val="single" w:sz="18" w:space="0" w:color="FFFFFF"/>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Fully funded</w:t>
            </w:r>
          </w:p>
          <w:p w:rsidR="00A2303C" w:rsidRPr="008D584B" w:rsidRDefault="00A2303C" w:rsidP="008D584B">
            <w:pPr>
              <w:pStyle w:val="NoSpacing"/>
              <w:spacing w:line="360" w:lineRule="auto"/>
              <w:rPr>
                <w:sz w:val="20"/>
                <w:szCs w:val="20"/>
                <w:lang w:val="en-US"/>
              </w:rPr>
            </w:pPr>
            <w:r w:rsidRPr="008D584B">
              <w:rPr>
                <w:sz w:val="20"/>
                <w:szCs w:val="20"/>
                <w:lang w:val="en-US"/>
              </w:rPr>
              <w:t>DC</w:t>
            </w:r>
          </w:p>
        </w:tc>
        <w:tc>
          <w:tcPr>
            <w:tcW w:w="2412" w:type="dxa"/>
            <w:tcBorders>
              <w:top w:val="single" w:sz="18" w:space="0" w:color="FFFFFF"/>
              <w:left w:val="single" w:sz="18" w:space="0" w:color="FFFFFF"/>
              <w:bottom w:val="single" w:sz="18" w:space="0" w:color="FFFFFF"/>
              <w:right w:val="single" w:sz="18" w:space="0" w:color="auto"/>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Private industry of pension fund managers (AFP)</w:t>
            </w:r>
          </w:p>
        </w:tc>
      </w:tr>
      <w:tr w:rsidR="00A2303C" w:rsidRPr="00762AC3" w:rsidTr="008D584B">
        <w:tc>
          <w:tcPr>
            <w:tcW w:w="1548" w:type="dxa"/>
            <w:tcBorders>
              <w:top w:val="single" w:sz="18" w:space="0" w:color="FFFFFF"/>
              <w:left w:val="single" w:sz="18" w:space="0" w:color="auto"/>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Third pillar</w:t>
            </w:r>
          </w:p>
          <w:p w:rsidR="00A2303C" w:rsidRPr="008D584B" w:rsidRDefault="00A2303C" w:rsidP="008D584B">
            <w:pPr>
              <w:pStyle w:val="NoSpacing"/>
              <w:spacing w:line="360" w:lineRule="auto"/>
              <w:rPr>
                <w:b/>
                <w:bCs/>
                <w:color w:val="FFFFFF"/>
                <w:lang w:val="en-US"/>
              </w:rPr>
            </w:pPr>
            <w:r w:rsidRPr="008D584B">
              <w:rPr>
                <w:b/>
                <w:bCs/>
                <w:color w:val="FFFFFF"/>
                <w:lang w:val="en-US"/>
              </w:rPr>
              <w:t>(voluntary)</w:t>
            </w:r>
          </w:p>
        </w:tc>
        <w:tc>
          <w:tcPr>
            <w:tcW w:w="3240" w:type="dxa"/>
            <w:tcBorders>
              <w:top w:val="single" w:sz="18" w:space="0" w:color="FFFFFF"/>
              <w:left w:val="single" w:sz="18" w:space="0" w:color="FFFFFF"/>
              <w:bottom w:val="single" w:sz="18" w:space="0" w:color="auto"/>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Old age saving</w:t>
            </w:r>
          </w:p>
        </w:tc>
        <w:tc>
          <w:tcPr>
            <w:tcW w:w="2178" w:type="dxa"/>
            <w:tcBorders>
              <w:top w:val="single" w:sz="18" w:space="0" w:color="FFFFFF"/>
              <w:left w:val="single" w:sz="18" w:space="0" w:color="FFFFFF"/>
              <w:bottom w:val="single" w:sz="18" w:space="0" w:color="auto"/>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Fully funded</w:t>
            </w:r>
          </w:p>
          <w:p w:rsidR="00A2303C" w:rsidRPr="008D584B" w:rsidRDefault="00A2303C" w:rsidP="008D584B">
            <w:pPr>
              <w:pStyle w:val="NoSpacing"/>
              <w:spacing w:line="360" w:lineRule="auto"/>
              <w:rPr>
                <w:sz w:val="20"/>
                <w:szCs w:val="20"/>
                <w:lang w:val="en-US"/>
              </w:rPr>
            </w:pPr>
            <w:r w:rsidRPr="008D584B">
              <w:rPr>
                <w:sz w:val="20"/>
                <w:szCs w:val="20"/>
                <w:lang w:val="en-US"/>
              </w:rPr>
              <w:t>DC</w:t>
            </w:r>
          </w:p>
        </w:tc>
        <w:tc>
          <w:tcPr>
            <w:tcW w:w="2412" w:type="dxa"/>
            <w:tcBorders>
              <w:top w:val="single" w:sz="18" w:space="0" w:color="FFFFFF"/>
              <w:left w:val="single" w:sz="18" w:space="0" w:color="FFFFFF"/>
              <w:bottom w:val="single" w:sz="18" w:space="0" w:color="auto"/>
              <w:right w:val="single" w:sz="18" w:space="0" w:color="auto"/>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Private industry of pension fund managers (AFP)</w:t>
            </w:r>
          </w:p>
        </w:tc>
      </w:tr>
    </w:tbl>
    <w:p w:rsidR="00A2303C" w:rsidRPr="006E1798" w:rsidRDefault="00A2303C" w:rsidP="006E1798">
      <w:pPr>
        <w:pStyle w:val="NoSpacing"/>
        <w:spacing w:line="360" w:lineRule="auto"/>
        <w:jc w:val="center"/>
        <w:rPr>
          <w:i/>
          <w:sz w:val="20"/>
          <w:szCs w:val="20"/>
          <w:lang w:val="en-US"/>
        </w:rPr>
      </w:pPr>
      <w:r>
        <w:rPr>
          <w:i/>
          <w:sz w:val="20"/>
          <w:szCs w:val="20"/>
          <w:lang w:val="en-US"/>
        </w:rPr>
        <w:t>Source: Schmidt-Hebbel (1999)</w:t>
      </w:r>
    </w:p>
    <w:p w:rsidR="00A2303C" w:rsidRDefault="00A2303C" w:rsidP="000228C1">
      <w:pPr>
        <w:pStyle w:val="NoSpacing"/>
        <w:spacing w:line="360" w:lineRule="auto"/>
        <w:rPr>
          <w:lang w:val="en-US"/>
        </w:rPr>
      </w:pPr>
    </w:p>
    <w:p w:rsidR="00A2303C" w:rsidRDefault="00A2303C" w:rsidP="003E5D96">
      <w:pPr>
        <w:pStyle w:val="NoSpacing"/>
        <w:numPr>
          <w:ilvl w:val="2"/>
          <w:numId w:val="3"/>
        </w:numPr>
        <w:spacing w:line="360" w:lineRule="auto"/>
        <w:ind w:left="1260" w:hanging="1260"/>
        <w:rPr>
          <w:b/>
          <w:i/>
          <w:lang w:val="en-US"/>
        </w:rPr>
      </w:pPr>
      <w:r>
        <w:rPr>
          <w:b/>
          <w:i/>
          <w:lang w:val="en-US"/>
        </w:rPr>
        <w:t>First pillar</w:t>
      </w:r>
    </w:p>
    <w:p w:rsidR="00A2303C" w:rsidRPr="003E5D96" w:rsidRDefault="00A2303C" w:rsidP="003E5D96">
      <w:pPr>
        <w:pStyle w:val="NoSpacing"/>
        <w:spacing w:line="360" w:lineRule="auto"/>
        <w:rPr>
          <w:lang w:val="en-US"/>
        </w:rPr>
      </w:pPr>
      <w:r>
        <w:rPr>
          <w:lang w:val="en-US"/>
        </w:rPr>
        <w:t xml:space="preserve">The first pillar can be seen as a supplement to the second pillar, with its two means-tested programs that are particularly designed for the poor elderly. The first program covers all elderly who have not contributed for 20 years to the pension system and they will receive an assistance pension of roughly € 46 per month from the state (Schmidt-Hebbel 1999). The second program is meant for participants of the second pillar to reach a minimum pension level. The minimum pension guarantee is equal to 26 per cent of the average taxable monthly wage. Participants of the second pillar are eligible for this extra benefit if they are 65 years old for men or 60 years old for women and they must have contributed to the pension system for a minimum of 20 years. The last criterion is that they do not have any other earnings that are beyond the minimum pension level.  The first pillar is not funded by workers’ contributions, but via general government revenues instead.    </w:t>
      </w:r>
    </w:p>
    <w:p w:rsidR="00A2303C" w:rsidRDefault="00A2303C" w:rsidP="00020171">
      <w:pPr>
        <w:pStyle w:val="NoSpacing"/>
        <w:spacing w:line="360" w:lineRule="auto"/>
        <w:rPr>
          <w:lang w:val="en-US"/>
        </w:rPr>
      </w:pPr>
      <w:r>
        <w:rPr>
          <w:lang w:val="en-US"/>
        </w:rPr>
        <w:t xml:space="preserve"> </w:t>
      </w:r>
    </w:p>
    <w:p w:rsidR="00A2303C" w:rsidRDefault="00A2303C" w:rsidP="00A009EE">
      <w:pPr>
        <w:pStyle w:val="NoSpacing"/>
        <w:numPr>
          <w:ilvl w:val="2"/>
          <w:numId w:val="3"/>
        </w:numPr>
        <w:spacing w:line="360" w:lineRule="auto"/>
        <w:ind w:left="1260" w:hanging="1260"/>
        <w:rPr>
          <w:b/>
          <w:i/>
          <w:lang w:val="en-US"/>
        </w:rPr>
      </w:pPr>
      <w:r>
        <w:rPr>
          <w:b/>
          <w:i/>
          <w:lang w:val="en-US"/>
        </w:rPr>
        <w:t>Second pillar</w:t>
      </w:r>
    </w:p>
    <w:p w:rsidR="00A2303C" w:rsidRDefault="00A2303C" w:rsidP="00BB3170">
      <w:pPr>
        <w:pStyle w:val="NoSpacing"/>
        <w:spacing w:line="360" w:lineRule="auto"/>
        <w:rPr>
          <w:lang w:val="en-US"/>
        </w:rPr>
      </w:pPr>
      <w:r>
        <w:rPr>
          <w:lang w:val="en-US"/>
        </w:rPr>
        <w:t xml:space="preserve">All employees are obliged to contribute 10 per cent of their wage to their own individual pension account each month. If an employee earns more than approximately € 20,000, he or she does not have to pay this percentage for the earnings above this threshold. The contributions and returns earned on investments belong to the employee and are tax deductible. If an employee wishes, he or she is allowed to contribute more than the 10 per cent to the same pension fund and these extra contributions are again tax deductible. The contributions and the returns net of fees and commissions paid to the AFPs are registered in the individual accounts. </w:t>
      </w:r>
    </w:p>
    <w:p w:rsidR="00A2303C" w:rsidRDefault="00A2303C" w:rsidP="00BB3170">
      <w:pPr>
        <w:pStyle w:val="NoSpacing"/>
        <w:spacing w:line="360" w:lineRule="auto"/>
        <w:rPr>
          <w:lang w:val="en-US"/>
        </w:rPr>
      </w:pPr>
    </w:p>
    <w:p w:rsidR="00A2303C" w:rsidRDefault="00A2303C" w:rsidP="00BB3170">
      <w:pPr>
        <w:pStyle w:val="NoSpacing"/>
        <w:spacing w:line="360" w:lineRule="auto"/>
        <w:rPr>
          <w:lang w:val="en-US"/>
        </w:rPr>
      </w:pPr>
      <w:r>
        <w:rPr>
          <w:lang w:val="en-US"/>
        </w:rPr>
        <w:t xml:space="preserve">The AFPs are responsible for collecting the contributions, investing the contributions and keeping a record accordingly. The employees are entitled to freely choose among the AFPs and switching between AFPs is allowed with a maximum of twice a year. It is not allowed for labor unions or employers to negotiate for their members or employees, respectively, since discrimination between groups or individuals in an AFP regarding the rate and commission is forbidden. The responsibility and freedom really lies at the individual. </w:t>
      </w:r>
    </w:p>
    <w:p w:rsidR="00A2303C" w:rsidRDefault="00A2303C" w:rsidP="00BB3170">
      <w:pPr>
        <w:pStyle w:val="NoSpacing"/>
        <w:spacing w:line="360" w:lineRule="auto"/>
        <w:rPr>
          <w:lang w:val="en-US"/>
        </w:rPr>
      </w:pPr>
    </w:p>
    <w:p w:rsidR="00A2303C" w:rsidRDefault="00A2303C" w:rsidP="00BB3170">
      <w:pPr>
        <w:pStyle w:val="NoSpacing"/>
        <w:spacing w:line="360" w:lineRule="auto"/>
        <w:rPr>
          <w:lang w:val="en-US"/>
        </w:rPr>
      </w:pPr>
      <w:r>
        <w:rPr>
          <w:lang w:val="en-US"/>
        </w:rPr>
        <w:t xml:space="preserve">The minimum retirement age is set at 65 years for men and 60 years for women. However, it is possible to retire early if the employee has reached an accumulated pension savings that is equivalent to a benchmark of pension level. This means that a participant is able to buy an annuity that is firstly equal to minimally 50 per cent of his or her average wage during the last 10 years of service. Secondly the accumulation is equal to at least 110 per cent of the minimum pension guarantee of the first pillar. Postponing retirement, on the other hand, is also an option. Upon retirement the participant can choose between three methods of benefit payment. The first option is to purchase a lifetime annuity from an insurance company, which will assure a constant level of income over a person’s remaining lifetime. The second option is programmed withdrawals in which the accumulated contributions stay in the individual account and the retiree makes programmed withdrawals from it. The amount of the withdrawal is, for instance, dependent on a retiree’s life expectancy. The third option combines the first two and is called temporary programmed withdrawals with a deferred lifetime annuity (Rodriguez 1999). </w:t>
      </w:r>
    </w:p>
    <w:p w:rsidR="00A2303C" w:rsidRDefault="00A2303C" w:rsidP="00BB3170">
      <w:pPr>
        <w:pStyle w:val="NoSpacing"/>
        <w:spacing w:line="360" w:lineRule="auto"/>
        <w:rPr>
          <w:lang w:val="en-US"/>
        </w:rPr>
      </w:pPr>
    </w:p>
    <w:p w:rsidR="00A2303C" w:rsidRDefault="00A2303C" w:rsidP="005C4D2B">
      <w:pPr>
        <w:pStyle w:val="NoSpacing"/>
        <w:numPr>
          <w:ilvl w:val="2"/>
          <w:numId w:val="3"/>
        </w:numPr>
        <w:spacing w:line="360" w:lineRule="auto"/>
        <w:ind w:left="1260" w:hanging="1260"/>
        <w:rPr>
          <w:b/>
          <w:i/>
          <w:lang w:val="en-US"/>
        </w:rPr>
      </w:pPr>
      <w:r>
        <w:rPr>
          <w:b/>
          <w:i/>
          <w:lang w:val="en-US"/>
        </w:rPr>
        <w:t>Third pillar</w:t>
      </w:r>
    </w:p>
    <w:p w:rsidR="00A2303C" w:rsidRDefault="00A2303C" w:rsidP="005C4D2B">
      <w:pPr>
        <w:pStyle w:val="NoSpacing"/>
        <w:spacing w:line="360" w:lineRule="auto"/>
        <w:rPr>
          <w:lang w:val="en-US"/>
        </w:rPr>
      </w:pPr>
      <w:r>
        <w:rPr>
          <w:lang w:val="en-US"/>
        </w:rPr>
        <w:t xml:space="preserve">The third pillar consists of two categories of voluntary savings that are made attractive via tax incentives. The first category comprises of extra contributions that are made together with the mandatory contributions of 10 per cent of payroll. This option was previously mentioned, and enjoys the same tax exemptions as the mandatory contributions. The second category relates to extra contributions that are made to a different, second individual account. In this case only the returns are tax exempt and the principle is not. Participants can withdraw from this second individual account whenever he or she pleases.  </w:t>
      </w:r>
    </w:p>
    <w:p w:rsidR="00A2303C" w:rsidRDefault="00A2303C" w:rsidP="005C4D2B">
      <w:pPr>
        <w:pStyle w:val="NoSpacing"/>
        <w:spacing w:line="360" w:lineRule="auto"/>
        <w:rPr>
          <w:lang w:val="en-US"/>
        </w:rPr>
      </w:pPr>
    </w:p>
    <w:p w:rsidR="00A2303C" w:rsidRDefault="00A2303C" w:rsidP="001A1D92">
      <w:pPr>
        <w:pStyle w:val="NoSpacing"/>
        <w:numPr>
          <w:ilvl w:val="1"/>
          <w:numId w:val="25"/>
        </w:numPr>
        <w:spacing w:line="360" w:lineRule="auto"/>
        <w:ind w:left="1260" w:hanging="1260"/>
        <w:rPr>
          <w:b/>
          <w:i/>
          <w:lang w:val="en-US"/>
        </w:rPr>
      </w:pPr>
      <w:r>
        <w:rPr>
          <w:b/>
          <w:i/>
          <w:lang w:val="en-US"/>
        </w:rPr>
        <w:t>Other features of the reform</w:t>
      </w:r>
    </w:p>
    <w:p w:rsidR="00A2303C" w:rsidRDefault="00A2303C" w:rsidP="001A1D92">
      <w:pPr>
        <w:pStyle w:val="NoSpacing"/>
        <w:spacing w:line="360" w:lineRule="auto"/>
        <w:rPr>
          <w:lang w:val="en-US"/>
        </w:rPr>
      </w:pPr>
      <w:r>
        <w:rPr>
          <w:lang w:val="en-US"/>
        </w:rPr>
        <w:t>After the elaboration on the three pillars, this part will continue with more features of the reform and of the current system.</w:t>
      </w:r>
    </w:p>
    <w:p w:rsidR="00A2303C" w:rsidRPr="001A1D92" w:rsidRDefault="00A2303C" w:rsidP="001A1D92">
      <w:pPr>
        <w:pStyle w:val="NoSpacing"/>
        <w:spacing w:line="360" w:lineRule="auto"/>
        <w:rPr>
          <w:lang w:val="en-US"/>
        </w:rPr>
      </w:pPr>
    </w:p>
    <w:p w:rsidR="00A2303C" w:rsidRDefault="00A2303C" w:rsidP="009F169E">
      <w:pPr>
        <w:pStyle w:val="NoSpacing"/>
        <w:numPr>
          <w:ilvl w:val="2"/>
          <w:numId w:val="25"/>
        </w:numPr>
        <w:spacing w:line="360" w:lineRule="auto"/>
        <w:ind w:left="1260" w:hanging="1260"/>
        <w:rPr>
          <w:b/>
          <w:i/>
          <w:lang w:val="en-US"/>
        </w:rPr>
      </w:pPr>
      <w:r>
        <w:rPr>
          <w:b/>
          <w:i/>
          <w:lang w:val="en-US"/>
        </w:rPr>
        <w:t>Gradual transition</w:t>
      </w:r>
    </w:p>
    <w:p w:rsidR="00A2303C" w:rsidRDefault="00A2303C" w:rsidP="00B4642C">
      <w:pPr>
        <w:pStyle w:val="NoSpacing"/>
        <w:spacing w:line="360" w:lineRule="auto"/>
        <w:rPr>
          <w:lang w:val="en-US"/>
        </w:rPr>
      </w:pPr>
      <w:r>
        <w:rPr>
          <w:lang w:val="en-US"/>
        </w:rPr>
        <w:t xml:space="preserve">The reform of 1981 from the PAGY system to a fully funded one is still an ongoing process. Both the PAYG and the fully system are in place. This will remain the case until all of the pensioners of the old system have passed away, which will probably be after 2065. In 1981, the PAYG pensioners at that time stayed in the old system and new labor force members were forced to join the new fully funded system. For existing employees there was a special arrangement. The active participants could either stay in the old PAYG system or they could change to the fully funded system. A switch to the new system was made attractive via lower pension contributions of nearly 10 per cent points of taxable income. Both the government and the AFPs held major marketing campaigns and information sessions to inform people about the attractiveness of the new system. The efforts and incentives paid off as in only 19 months already 36 per cent of the employees had switched and this figure reached 61 per cent in 1997 (Schmidt-Hebbel 1999). </w:t>
      </w:r>
    </w:p>
    <w:p w:rsidR="00A2303C" w:rsidRDefault="00A2303C" w:rsidP="00B4642C">
      <w:pPr>
        <w:pStyle w:val="NoSpacing"/>
        <w:spacing w:line="360" w:lineRule="auto"/>
        <w:rPr>
          <w:lang w:val="en-US"/>
        </w:rPr>
      </w:pPr>
    </w:p>
    <w:p w:rsidR="00A2303C" w:rsidRDefault="00A2303C" w:rsidP="00B4642C">
      <w:pPr>
        <w:pStyle w:val="NoSpacing"/>
        <w:spacing w:line="360" w:lineRule="auto"/>
        <w:rPr>
          <w:lang w:val="en-US"/>
        </w:rPr>
      </w:pPr>
      <w:r>
        <w:rPr>
          <w:lang w:val="en-US"/>
        </w:rPr>
        <w:t xml:space="preserve">The transition obviously involves costs, which can be divided into three types. Firstly, the government needs to pay the retirement benefits of the employees who where already retired at the time and of the ones that stayed in the old system. This type corresponds to the largest share of the total costs (Rodriguez 1999). The second type refers to the payment of recognition bonds that were given to employees who switched from the old to the new system. To compensate the employee for the previously made contributions to the PAYG system, he or she receives a recognition bond of the government that matures at his or her retirement. The government will then pay an amount that is equal to the present value of the retiree’s historical PAGY contributions. The last type relates to the first pillar with the new safety net for the poor elderly, which did not exist in this manner before the reform. This last type of cost is different from the other two types, since this type will continue to exist, whereas the other two will cease to exist in the future. </w:t>
      </w:r>
    </w:p>
    <w:p w:rsidR="00A2303C" w:rsidRDefault="00A2303C" w:rsidP="00B4642C">
      <w:pPr>
        <w:pStyle w:val="NoSpacing"/>
        <w:spacing w:line="360" w:lineRule="auto"/>
        <w:rPr>
          <w:lang w:val="en-US"/>
        </w:rPr>
      </w:pPr>
    </w:p>
    <w:p w:rsidR="00A2303C" w:rsidRDefault="00A2303C" w:rsidP="00B4642C">
      <w:pPr>
        <w:pStyle w:val="NoSpacing"/>
        <w:spacing w:line="360" w:lineRule="auto"/>
        <w:rPr>
          <w:lang w:val="en-US"/>
        </w:rPr>
      </w:pPr>
      <w:r>
        <w:rPr>
          <w:lang w:val="en-US"/>
        </w:rPr>
        <w:t xml:space="preserve">The government used various finance methods. Just before the reform in 1981, the state started with tightening the fiscal policy significantly, which lead to a substantial fiscal surplus. Furthermore, government bonds were issued, state owned enterprises were sold, government expenditure was cut and government revenues (especially revenues from value added tax) rose via astonishing economical growth for more than a decade after the privatization of the pension system. Rodriguez (1999) argues that the pension reform actually has not added a burden to Chile and that the sustainability of the system is increased. </w:t>
      </w:r>
    </w:p>
    <w:p w:rsidR="00A2303C" w:rsidRDefault="00A2303C" w:rsidP="00B4642C">
      <w:pPr>
        <w:pStyle w:val="NoSpacing"/>
        <w:spacing w:line="360" w:lineRule="auto"/>
        <w:rPr>
          <w:lang w:val="en-US"/>
        </w:rPr>
      </w:pPr>
    </w:p>
    <w:p w:rsidR="00A2303C" w:rsidRDefault="00A2303C" w:rsidP="009F169E">
      <w:pPr>
        <w:pStyle w:val="NoSpacing"/>
        <w:numPr>
          <w:ilvl w:val="2"/>
          <w:numId w:val="25"/>
        </w:numPr>
        <w:spacing w:line="360" w:lineRule="auto"/>
        <w:ind w:left="1260" w:hanging="1260"/>
        <w:rPr>
          <w:b/>
          <w:i/>
          <w:lang w:val="en-US"/>
        </w:rPr>
      </w:pPr>
      <w:r>
        <w:rPr>
          <w:b/>
          <w:i/>
          <w:lang w:val="en-US"/>
        </w:rPr>
        <w:t>The role of the government</w:t>
      </w:r>
    </w:p>
    <w:p w:rsidR="00A2303C" w:rsidRDefault="00A2303C" w:rsidP="00152B4A">
      <w:pPr>
        <w:pStyle w:val="NoSpacing"/>
        <w:spacing w:line="360" w:lineRule="auto"/>
        <w:rPr>
          <w:lang w:val="en-US"/>
        </w:rPr>
      </w:pPr>
      <w:r>
        <w:rPr>
          <w:lang w:val="en-US"/>
        </w:rPr>
        <w:t xml:space="preserve">The government acts both as a regulator and as a guarantor. An independent government institution, the Superintendency of Pension Fund Administrators (Superintendencia de Administradoras de Fondos de Pensiones, SAFP) was created to oversee and regulate the new pensions system. The government also performs the role of a guarantor in the sense that it offers several safety nets. In the first pillar it gives pension assistance to the poor who did not contribute for at least 20 years and employees with a contribution record of at least 20 year who are eligible for a minimum pension guarantee. In addition, the government guarantees a minimum return on pension funds. If the AFP is not able to achieve the minimum return, its license will be repealed and the government covers the underperformance. Lastly, there is also a government guarantee on pension life annuities purchased from the life insurance companies by the retirees. </w:t>
      </w:r>
    </w:p>
    <w:p w:rsidR="00A2303C" w:rsidRDefault="00A2303C" w:rsidP="00152B4A">
      <w:pPr>
        <w:pStyle w:val="NoSpacing"/>
        <w:spacing w:line="360" w:lineRule="auto"/>
        <w:rPr>
          <w:lang w:val="en-US"/>
        </w:rPr>
      </w:pPr>
    </w:p>
    <w:p w:rsidR="00A2303C" w:rsidRDefault="00A2303C" w:rsidP="009F169E">
      <w:pPr>
        <w:pStyle w:val="NoSpacing"/>
        <w:numPr>
          <w:ilvl w:val="2"/>
          <w:numId w:val="25"/>
        </w:numPr>
        <w:spacing w:line="360" w:lineRule="auto"/>
        <w:ind w:left="1260" w:hanging="1260"/>
        <w:rPr>
          <w:b/>
          <w:i/>
          <w:lang w:val="en-US"/>
        </w:rPr>
      </w:pPr>
      <w:r>
        <w:rPr>
          <w:b/>
          <w:i/>
          <w:lang w:val="en-US"/>
        </w:rPr>
        <w:t>AFPs</w:t>
      </w:r>
    </w:p>
    <w:p w:rsidR="00A2303C" w:rsidRDefault="00A2303C" w:rsidP="00F34501">
      <w:pPr>
        <w:pStyle w:val="NoSpacing"/>
        <w:spacing w:line="360" w:lineRule="auto"/>
        <w:rPr>
          <w:lang w:val="en-US"/>
        </w:rPr>
      </w:pPr>
      <w:r>
        <w:rPr>
          <w:lang w:val="en-US"/>
        </w:rPr>
        <w:t>The pension funds in the fully funded system are managed by the AFPs, whereby the AFPs are under tight supervision of the SAFP. Moreover, AFPs are heavily regulated and are allowed to only manage one fund. Apart from being subjected to regulations on the investment portfolios that limit the holding of certain financial instruments, AFPs are mandated to keep minimum capital and pension fund reserves. These reserves of 1 per cent of pension fund assets are necessary as back up in case there exists a difference between the APF’s annual real return on the pension fund and either 2 per cent of or 0.5 times the industry’s average pension fund return (whichever is higher).  If the APF’s return is lower than this returns it will have to use its reserves to finance the shortfall. On the other hand, if the APF’s return exceeds the previously mentioned figures of return, it will have to credit the surplus to a profitability reserve. This profitability reserve could again be used in the case of shortfalls. Due to the regulations on minimum and maximum returns, the return variance among APFs is low. The Chilean government estimates that the average annual return has been approximately 11 per cent since the establishment of the new pension system (Rodriguez 1999).</w:t>
      </w:r>
    </w:p>
    <w:p w:rsidR="00A2303C" w:rsidRDefault="00A2303C" w:rsidP="00F34501">
      <w:pPr>
        <w:pStyle w:val="NoSpacing"/>
        <w:spacing w:line="360" w:lineRule="auto"/>
        <w:rPr>
          <w:lang w:val="en-US"/>
        </w:rPr>
      </w:pPr>
    </w:p>
    <w:p w:rsidR="00A2303C" w:rsidRDefault="00A2303C" w:rsidP="00F34501">
      <w:pPr>
        <w:pStyle w:val="NoSpacing"/>
        <w:spacing w:line="360" w:lineRule="auto"/>
        <w:rPr>
          <w:lang w:val="en-US"/>
        </w:rPr>
      </w:pPr>
      <w:r>
        <w:rPr>
          <w:lang w:val="en-US"/>
        </w:rPr>
        <w:t>The AFPs earn their money by charging fees and commissions for managing the individual accounts. A fee will have to be paid to open an account, additionally fees are raised proportionally over the (voluntary) contributions made and for administering programmed withdrawals (Ruiz-Tagle). To stimulate competition it is not allowed to charge a fee for exiting the AFP.</w:t>
      </w:r>
    </w:p>
    <w:p w:rsidR="00A2303C" w:rsidRDefault="00A2303C" w:rsidP="00F34501">
      <w:pPr>
        <w:pStyle w:val="NoSpacing"/>
        <w:spacing w:line="360" w:lineRule="auto"/>
        <w:rPr>
          <w:lang w:val="en-US"/>
        </w:rPr>
      </w:pPr>
    </w:p>
    <w:p w:rsidR="00A2303C" w:rsidRDefault="00A2303C" w:rsidP="00B362C5">
      <w:pPr>
        <w:pStyle w:val="NoSpacing"/>
        <w:numPr>
          <w:ilvl w:val="1"/>
          <w:numId w:val="25"/>
        </w:numPr>
        <w:tabs>
          <w:tab w:val="left" w:pos="1260"/>
        </w:tabs>
        <w:spacing w:line="360" w:lineRule="auto"/>
        <w:ind w:left="1260" w:hanging="1170"/>
        <w:rPr>
          <w:b/>
          <w:i/>
          <w:lang w:val="en-US"/>
        </w:rPr>
      </w:pPr>
      <w:r>
        <w:rPr>
          <w:b/>
          <w:i/>
          <w:lang w:val="en-US"/>
        </w:rPr>
        <w:t>Results of the pension reform</w:t>
      </w:r>
    </w:p>
    <w:p w:rsidR="00A2303C" w:rsidRDefault="00A2303C" w:rsidP="00ED36AF">
      <w:pPr>
        <w:pStyle w:val="NoSpacing"/>
        <w:spacing w:line="360" w:lineRule="auto"/>
        <w:rPr>
          <w:lang w:val="en-US"/>
        </w:rPr>
      </w:pPr>
      <w:r>
        <w:rPr>
          <w:lang w:val="en-US"/>
        </w:rPr>
        <w:t xml:space="preserve">Since the Chile reformed its pensions system already more than 25 years ago, some preliminary conclusions can be drawn on the positive and negative aspects of the reform. It is preliminary since the transition is actually still ongoing and it will take at least another generation before more definitive conclusions can be derived. Nevertheless, there are a number of areas that can be pointed out that have improved since the reform and of course also negative features and future challenges are present. </w:t>
      </w:r>
    </w:p>
    <w:p w:rsidR="00A2303C" w:rsidRDefault="00A2303C" w:rsidP="00ED36AF">
      <w:pPr>
        <w:pStyle w:val="NoSpacing"/>
        <w:spacing w:line="360" w:lineRule="auto"/>
        <w:rPr>
          <w:lang w:val="en-US"/>
        </w:rPr>
      </w:pPr>
    </w:p>
    <w:p w:rsidR="00A2303C" w:rsidRDefault="00A2303C" w:rsidP="009F169E">
      <w:pPr>
        <w:pStyle w:val="NoSpacing"/>
        <w:numPr>
          <w:ilvl w:val="2"/>
          <w:numId w:val="25"/>
        </w:numPr>
        <w:spacing w:line="360" w:lineRule="auto"/>
        <w:ind w:left="1260" w:hanging="1260"/>
        <w:rPr>
          <w:b/>
          <w:i/>
          <w:lang w:val="en-US"/>
        </w:rPr>
      </w:pPr>
      <w:r>
        <w:rPr>
          <w:b/>
          <w:i/>
          <w:lang w:val="en-US"/>
        </w:rPr>
        <w:t>Positive effects of the reform</w:t>
      </w:r>
    </w:p>
    <w:p w:rsidR="00A2303C" w:rsidRDefault="00A2303C" w:rsidP="00EF3414">
      <w:pPr>
        <w:pStyle w:val="NoSpacing"/>
        <w:spacing w:line="360" w:lineRule="auto"/>
        <w:rPr>
          <w:lang w:val="en-US"/>
        </w:rPr>
      </w:pPr>
      <w:r>
        <w:rPr>
          <w:lang w:val="en-US"/>
        </w:rPr>
        <w:t xml:space="preserve">The positive effects or features of the reform  can be summarized into five main points. First, by reforming its PAYG system into a fully funded system Chile avoided severe problems with the ageing of its society, as many PAYG countries are now facing. As said in the previous section 4.3, fully funded systems are better able to handle the rising life expectancies and falling fertility rates than PAGY systems. Figures 5.1 and 5.2 show that Chile is also faced with an ageing society, which could have led to threatening the sustainability of the system, if they kept the PAYG system. Thus the Chilean government disarmed the fiscal time bomb at the right time. The figures show that life expectancies are continuously rising and that fertility rates have started to fall since the mid-1960s. </w:t>
      </w:r>
    </w:p>
    <w:p w:rsidR="00A2303C" w:rsidRDefault="00A2303C" w:rsidP="00EF3414">
      <w:pPr>
        <w:pStyle w:val="NoSpacing"/>
        <w:spacing w:line="360" w:lineRule="auto"/>
        <w:rPr>
          <w:lang w:val="en-US"/>
        </w:rPr>
      </w:pPr>
    </w:p>
    <w:p w:rsidR="00A2303C" w:rsidRPr="00C0056B" w:rsidRDefault="00A2303C" w:rsidP="00C0056B">
      <w:pPr>
        <w:pStyle w:val="NoSpacing"/>
        <w:spacing w:line="360" w:lineRule="auto"/>
        <w:jc w:val="center"/>
        <w:rPr>
          <w:i/>
          <w:sz w:val="20"/>
          <w:szCs w:val="20"/>
          <w:lang w:val="en-US"/>
        </w:rPr>
      </w:pPr>
      <w:r>
        <w:rPr>
          <w:noProof/>
          <w:lang w:val="en-US"/>
        </w:rPr>
        <w:pict>
          <v:shape id="_x0000_s1031" type="#_x0000_t75" style="position:absolute;left:0;text-align:left;margin-left:42.95pt;margin-top:18.15pt;width:361.45pt;height:151.2pt;z-index:-251655168;visibility:visible;mso-wrap-distance-bottom:.03pt" wrapcoords="-45 0 -45 21493 21600 21493 21600 0 -45 0" o:gfxdata="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">
            <v:imagedata r:id="rId12" o:title=""/>
            <o:lock v:ext="edit" aspectratio="f"/>
            <w10:wrap type="tight"/>
          </v:shape>
        </w:pict>
      </w:r>
      <w:r>
        <w:rPr>
          <w:i/>
          <w:sz w:val="20"/>
          <w:szCs w:val="20"/>
          <w:lang w:val="en-US"/>
        </w:rPr>
        <w:t>Figure 5.1 Life expectancy at birth in Chile</w:t>
      </w:r>
    </w:p>
    <w:p w:rsidR="00A2303C" w:rsidRPr="00EF3414" w:rsidRDefault="00A2303C" w:rsidP="00EF3414">
      <w:pPr>
        <w:pStyle w:val="NoSpacing"/>
        <w:spacing w:line="360" w:lineRule="auto"/>
        <w:rPr>
          <w:lang w:val="en-US"/>
        </w:rPr>
      </w:pPr>
    </w:p>
    <w:p w:rsidR="00A2303C" w:rsidRDefault="00A2303C" w:rsidP="00A009EE">
      <w:pPr>
        <w:pStyle w:val="NoSpacing"/>
        <w:spacing w:line="360" w:lineRule="auto"/>
        <w:rPr>
          <w:lang w:val="en-US"/>
        </w:rPr>
      </w:pPr>
    </w:p>
    <w:p w:rsidR="00A2303C" w:rsidRDefault="00A2303C" w:rsidP="00A009EE">
      <w:pPr>
        <w:pStyle w:val="NoSpacing"/>
        <w:spacing w:line="360" w:lineRule="auto"/>
        <w:rPr>
          <w:lang w:val="en-US"/>
        </w:rPr>
      </w:pPr>
    </w:p>
    <w:p w:rsidR="00A2303C" w:rsidRDefault="00A2303C" w:rsidP="00A009EE">
      <w:pPr>
        <w:pStyle w:val="NoSpacing"/>
        <w:spacing w:line="360" w:lineRule="auto"/>
        <w:rPr>
          <w:lang w:val="en-US"/>
        </w:rPr>
      </w:pPr>
    </w:p>
    <w:p w:rsidR="00A2303C" w:rsidRDefault="00A2303C" w:rsidP="00A009EE">
      <w:pPr>
        <w:pStyle w:val="NoSpacing"/>
        <w:spacing w:line="360" w:lineRule="auto"/>
        <w:rPr>
          <w:lang w:val="en-US"/>
        </w:rPr>
      </w:pPr>
    </w:p>
    <w:p w:rsidR="00A2303C" w:rsidRDefault="00A2303C" w:rsidP="00A009EE">
      <w:pPr>
        <w:pStyle w:val="NoSpacing"/>
        <w:spacing w:line="360" w:lineRule="auto"/>
        <w:rPr>
          <w:lang w:val="en-US"/>
        </w:rPr>
      </w:pPr>
    </w:p>
    <w:p w:rsidR="00A2303C" w:rsidRDefault="00A2303C" w:rsidP="00A009EE">
      <w:pPr>
        <w:pStyle w:val="NoSpacing"/>
        <w:spacing w:line="360" w:lineRule="auto"/>
        <w:rPr>
          <w:lang w:val="en-US"/>
        </w:rPr>
      </w:pPr>
    </w:p>
    <w:p w:rsidR="00A2303C" w:rsidRDefault="00A2303C" w:rsidP="00A009EE">
      <w:pPr>
        <w:pStyle w:val="NoSpacing"/>
        <w:spacing w:line="360" w:lineRule="auto"/>
        <w:rPr>
          <w:lang w:val="en-US"/>
        </w:rPr>
      </w:pPr>
    </w:p>
    <w:p w:rsidR="00A2303C" w:rsidRDefault="00A2303C" w:rsidP="00C0056B">
      <w:pPr>
        <w:pStyle w:val="NoSpacing"/>
        <w:spacing w:line="360" w:lineRule="auto"/>
        <w:jc w:val="center"/>
        <w:rPr>
          <w:i/>
          <w:sz w:val="20"/>
          <w:szCs w:val="20"/>
          <w:lang w:val="en-US"/>
        </w:rPr>
      </w:pPr>
      <w:r>
        <w:rPr>
          <w:i/>
          <w:sz w:val="20"/>
          <w:szCs w:val="20"/>
          <w:lang w:val="en-US"/>
        </w:rPr>
        <w:t>Source: United Nations (2008)</w:t>
      </w:r>
    </w:p>
    <w:p w:rsidR="00A2303C" w:rsidRDefault="00A2303C" w:rsidP="00C0056B">
      <w:pPr>
        <w:pStyle w:val="NoSpacing"/>
        <w:spacing w:line="360" w:lineRule="auto"/>
        <w:jc w:val="center"/>
        <w:rPr>
          <w:i/>
          <w:sz w:val="20"/>
          <w:szCs w:val="20"/>
          <w:lang w:val="en-US"/>
        </w:rPr>
      </w:pPr>
    </w:p>
    <w:p w:rsidR="00A2303C" w:rsidRDefault="00A2303C" w:rsidP="00C0056B">
      <w:pPr>
        <w:pStyle w:val="NoSpacing"/>
        <w:spacing w:line="360" w:lineRule="auto"/>
        <w:jc w:val="center"/>
        <w:rPr>
          <w:i/>
          <w:sz w:val="20"/>
          <w:szCs w:val="20"/>
          <w:lang w:val="en-US"/>
        </w:rPr>
      </w:pPr>
      <w:r>
        <w:rPr>
          <w:i/>
          <w:sz w:val="20"/>
          <w:szCs w:val="20"/>
          <w:lang w:val="en-US"/>
        </w:rPr>
        <w:t>Figure 5.2 Fertility rates in Chile</w:t>
      </w:r>
    </w:p>
    <w:p w:rsidR="00A2303C" w:rsidRDefault="00A2303C" w:rsidP="00C0056B">
      <w:pPr>
        <w:pStyle w:val="NoSpacing"/>
        <w:spacing w:line="360" w:lineRule="auto"/>
        <w:jc w:val="center"/>
        <w:rPr>
          <w:i/>
          <w:sz w:val="20"/>
          <w:szCs w:val="20"/>
          <w:lang w:val="en-US"/>
        </w:rPr>
      </w:pPr>
      <w:r w:rsidRPr="008D584B">
        <w:rPr>
          <w:i/>
          <w:noProof/>
          <w:sz w:val="20"/>
          <w:szCs w:val="20"/>
          <w:lang w:val="en-US"/>
        </w:rPr>
        <w:pict>
          <v:shape id="Chart 3" o:spid="_x0000_i1029" type="#_x0000_t75" style="width:5in;height:154.5pt;visibility:visible" o:gfxdata="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">
            <v:imagedata r:id="rId13" o:title="" cropbottom="-64f"/>
            <o:lock v:ext="edit" aspectratio="f"/>
          </v:shape>
        </w:pict>
      </w:r>
    </w:p>
    <w:p w:rsidR="00A2303C" w:rsidRDefault="00A2303C" w:rsidP="00C0056B">
      <w:pPr>
        <w:pStyle w:val="NoSpacing"/>
        <w:spacing w:line="360" w:lineRule="auto"/>
        <w:jc w:val="center"/>
        <w:rPr>
          <w:i/>
          <w:sz w:val="20"/>
          <w:szCs w:val="20"/>
          <w:lang w:val="en-US"/>
        </w:rPr>
      </w:pPr>
      <w:r>
        <w:rPr>
          <w:i/>
          <w:sz w:val="20"/>
          <w:szCs w:val="20"/>
          <w:lang w:val="en-US"/>
        </w:rPr>
        <w:t>Source: United Nations (2008)</w:t>
      </w:r>
    </w:p>
    <w:p w:rsidR="00A2303C" w:rsidRDefault="00A2303C" w:rsidP="00C0056B">
      <w:pPr>
        <w:pStyle w:val="NoSpacing"/>
        <w:spacing w:line="360" w:lineRule="auto"/>
        <w:rPr>
          <w:lang w:val="en-US"/>
        </w:rPr>
      </w:pPr>
    </w:p>
    <w:p w:rsidR="00A2303C" w:rsidRDefault="00A2303C" w:rsidP="00C0056B">
      <w:pPr>
        <w:pStyle w:val="NoSpacing"/>
        <w:spacing w:line="360" w:lineRule="auto"/>
        <w:rPr>
          <w:lang w:val="en-US"/>
        </w:rPr>
      </w:pPr>
      <w:r>
        <w:rPr>
          <w:lang w:val="en-US"/>
        </w:rPr>
        <w:t>Secondly, labor markets have improved since the adoption of the fully funded system. By reducing the rate of taxes on wages, it gave an incentive to create more jobs as labor became cheaper. Figures on the unemployment show that it decreased significantly from 15 per cent in the 1970s to just 5 per cent in the 1990s (Rodriguez 1999). Moreover, lower tax rates made working in de formal sector more attractive and indeed the informality decreased. Finally, the male labor force participation increased with nearly five per cent points in 20 years (Schmidt-Hebbel 1999).</w:t>
      </w:r>
    </w:p>
    <w:p w:rsidR="00A2303C" w:rsidRDefault="00A2303C" w:rsidP="00C0056B">
      <w:pPr>
        <w:pStyle w:val="NoSpacing"/>
        <w:spacing w:line="360" w:lineRule="auto"/>
        <w:rPr>
          <w:lang w:val="en-US"/>
        </w:rPr>
      </w:pPr>
    </w:p>
    <w:p w:rsidR="00A2303C" w:rsidRDefault="00A2303C" w:rsidP="00C0056B">
      <w:pPr>
        <w:pStyle w:val="NoSpacing"/>
        <w:spacing w:line="360" w:lineRule="auto"/>
        <w:rPr>
          <w:lang w:val="en-US"/>
        </w:rPr>
      </w:pPr>
      <w:r>
        <w:rPr>
          <w:lang w:val="en-US"/>
        </w:rPr>
        <w:t>Thirdly, the liberalization and capital market reforms had a positive effect on the development and diversification of the banking and capital markets. Evidence of this effect can be found in the major rise in broad financial liabilities estimated by M3 and additionally in the capitalization of the stock market. The liberalization facilitated in upgrading the financial instruments and industries (e.g. deepening the bond market and developing the risk-rating industry).</w:t>
      </w:r>
    </w:p>
    <w:p w:rsidR="00A2303C" w:rsidRDefault="00A2303C" w:rsidP="00C0056B">
      <w:pPr>
        <w:pStyle w:val="NoSpacing"/>
        <w:spacing w:line="360" w:lineRule="auto"/>
        <w:rPr>
          <w:lang w:val="en-US"/>
        </w:rPr>
      </w:pPr>
    </w:p>
    <w:p w:rsidR="00A2303C" w:rsidRDefault="00A2303C" w:rsidP="00C0056B">
      <w:pPr>
        <w:pStyle w:val="NoSpacing"/>
        <w:spacing w:line="360" w:lineRule="auto"/>
        <w:rPr>
          <w:lang w:val="en-US"/>
        </w:rPr>
      </w:pPr>
      <w:r>
        <w:rPr>
          <w:lang w:val="en-US"/>
        </w:rPr>
        <w:t xml:space="preserve">Fourthly, another sign of a good performing fully funded system is if employees decide to retire early. Chile sees more and more employees retiring earlier. As there are certain restrictions on retiring early, which have been mentioned before, it shows that employees are accumulating enough money to support themselves during retirement. Another advantage is that it permits people to make their own decisions on how to spend their time on work and leisure. People have more freedom to act according to their preferences. Not only do more employees retire early, they also tend to receive higher pension benefits (Rodriguez 1999). </w:t>
      </w:r>
    </w:p>
    <w:p w:rsidR="00A2303C" w:rsidRDefault="00A2303C" w:rsidP="00C0056B">
      <w:pPr>
        <w:pStyle w:val="NoSpacing"/>
        <w:spacing w:line="360" w:lineRule="auto"/>
        <w:rPr>
          <w:lang w:val="en-US"/>
        </w:rPr>
      </w:pPr>
    </w:p>
    <w:p w:rsidR="00A2303C" w:rsidRDefault="00A2303C" w:rsidP="00C0056B">
      <w:pPr>
        <w:pStyle w:val="NoSpacing"/>
        <w:spacing w:line="360" w:lineRule="auto"/>
        <w:rPr>
          <w:lang w:val="en-US"/>
        </w:rPr>
      </w:pPr>
      <w:r>
        <w:rPr>
          <w:lang w:val="en-US"/>
        </w:rPr>
        <w:t xml:space="preserve">Fifthly, as said in the beginning of this chapter, the goal of the reform was to assure pension benefits of at least equivalent to 70 per cent of employees’ last wage. This goal has been achieved and shows that the reform has done what it was set out to do. An extensive research by Baeza and Bürger (1995) indicates that on average the pension benefits were equal to 78 per cent of the employee’s average wage of his or her last 10 years of service. For early retirees this percentage was even higher, with 81 per cent of their average wage.  </w:t>
      </w:r>
    </w:p>
    <w:p w:rsidR="00A2303C" w:rsidRDefault="00A2303C" w:rsidP="00C0056B">
      <w:pPr>
        <w:pStyle w:val="NoSpacing"/>
        <w:spacing w:line="360" w:lineRule="auto"/>
        <w:rPr>
          <w:lang w:val="en-US"/>
        </w:rPr>
      </w:pPr>
    </w:p>
    <w:p w:rsidR="00A2303C" w:rsidRDefault="00A2303C" w:rsidP="00C0056B">
      <w:pPr>
        <w:pStyle w:val="NoSpacing"/>
        <w:spacing w:line="360" w:lineRule="auto"/>
        <w:rPr>
          <w:lang w:val="en-US"/>
        </w:rPr>
      </w:pPr>
      <w:r>
        <w:rPr>
          <w:lang w:val="en-US"/>
        </w:rPr>
        <w:t>Besides achieving the benefits of 70 per cent of last wage, the reform also led to more Chileans having a pension savings account and making contributions to them. The country’s saving rate rose significantly after the reforms and approximately 31 per cent of this rise is explained by the pension reform. Other reasons were, for instance, fiscal changes and tax reforms.</w:t>
      </w:r>
    </w:p>
    <w:p w:rsidR="00A2303C" w:rsidRDefault="00A2303C" w:rsidP="00C0056B">
      <w:pPr>
        <w:pStyle w:val="NoSpacing"/>
        <w:spacing w:line="360" w:lineRule="auto"/>
        <w:rPr>
          <w:lang w:val="en-US"/>
        </w:rPr>
      </w:pPr>
    </w:p>
    <w:p w:rsidR="00A2303C" w:rsidRDefault="00A2303C" w:rsidP="009F169E">
      <w:pPr>
        <w:pStyle w:val="NoSpacing"/>
        <w:numPr>
          <w:ilvl w:val="2"/>
          <w:numId w:val="25"/>
        </w:numPr>
        <w:spacing w:line="360" w:lineRule="auto"/>
        <w:ind w:left="1260" w:hanging="1260"/>
        <w:rPr>
          <w:b/>
          <w:i/>
          <w:lang w:val="en-US"/>
        </w:rPr>
      </w:pPr>
      <w:r>
        <w:rPr>
          <w:b/>
          <w:i/>
          <w:lang w:val="en-US"/>
        </w:rPr>
        <w:t>Negative effects of the reform and future challenges</w:t>
      </w:r>
    </w:p>
    <w:p w:rsidR="00A2303C" w:rsidRDefault="00A2303C" w:rsidP="00DC3DA9">
      <w:pPr>
        <w:pStyle w:val="NoSpacing"/>
        <w:spacing w:line="360" w:lineRule="auto"/>
        <w:rPr>
          <w:lang w:val="en-US"/>
        </w:rPr>
      </w:pPr>
      <w:r>
        <w:rPr>
          <w:lang w:val="en-US"/>
        </w:rPr>
        <w:t>Apart from the positive effects there are evidently also negative effects and areas that could create challenges in the future. This subsection will discuss five apparent negative issues resulting from the pension reform. To begin with the marketing costs of the AFPs that are arguable high and there is excessive switching between AFPs. Limited and restricted by many regulations it is very hard for AFPs to differentiate themselves from the others. Yields to investments and riskiness are nearly the same for every AFP (further elaboration on this later), which means that the AFP can only set itself apart by offering better customer service. The AFPs use many sales representatives to attract more clients via numerous of marketing campaigns. This has resulted in excessive switching of AFPs. The link between high marketing costs and excessive switching of AFPs works both ways. Via more marketing, people become more aware of the different AFPs. On the other hand if AFPs notice that participant switch often, they will try to acquire as much of these new clients as much, for which the AFPs need to market themselves. The marketing and sales costs were estimated to be over 30 per cent of total costs of the AFPs in the 1990s (Ruiz-Tagle 1998).</w:t>
      </w:r>
    </w:p>
    <w:p w:rsidR="00A2303C" w:rsidRDefault="00A2303C" w:rsidP="00DC3DA9">
      <w:pPr>
        <w:pStyle w:val="NoSpacing"/>
        <w:spacing w:line="360" w:lineRule="auto"/>
        <w:rPr>
          <w:lang w:val="en-US"/>
        </w:rPr>
      </w:pPr>
    </w:p>
    <w:p w:rsidR="00A2303C" w:rsidRDefault="00A2303C" w:rsidP="00DC3DA9">
      <w:pPr>
        <w:pStyle w:val="NoSpacing"/>
        <w:spacing w:line="360" w:lineRule="auto"/>
        <w:rPr>
          <w:lang w:val="en-US"/>
        </w:rPr>
      </w:pPr>
      <w:r>
        <w:rPr>
          <w:lang w:val="en-US"/>
        </w:rPr>
        <w:t xml:space="preserve">Secondly, there are too many restrictions and regulations which interfere with the competition between AFPs. The limits on holding particular financial instruments prevent the investments-options from getting closer to the optimal risk-return trade-off. If, for instance, a person is more risk tolerant he or she would prefer to choose a fund with a higher risk profile and higher returns, but it is not possible to find a fund that suits his or her preferences. For example, the ceiling for investments in foreign assets was very low, which limited the option to internationally diversify the portfolios. Moreover, the guarantee of a minimum return leads to herding behavior of the AFPs regarding investment plans and consequently results in nearly identical portfolios among the AFPs. Therefore, the freedom of individuals to choose the pension fund that suits their preferences is rather overstated. </w:t>
      </w:r>
    </w:p>
    <w:p w:rsidR="00A2303C" w:rsidRDefault="00A2303C" w:rsidP="00DC3DA9">
      <w:pPr>
        <w:pStyle w:val="NoSpacing"/>
        <w:spacing w:line="360" w:lineRule="auto"/>
        <w:rPr>
          <w:lang w:val="en-US"/>
        </w:rPr>
      </w:pPr>
    </w:p>
    <w:p w:rsidR="00A2303C" w:rsidRDefault="00A2303C" w:rsidP="00DC3DA9">
      <w:pPr>
        <w:pStyle w:val="NoSpacing"/>
        <w:spacing w:line="360" w:lineRule="auto"/>
        <w:rPr>
          <w:lang w:val="en-US"/>
        </w:rPr>
      </w:pPr>
      <w:r>
        <w:rPr>
          <w:lang w:val="en-US"/>
        </w:rPr>
        <w:t>The restrictions and heavy regulations were originally designed for safety purposes and preventing excessive risk taking behavior, but once the system started to mature these should have been removed or at least partially lifted. If this is carried out, it will enable AFPs to specialize in investment plans, leading to different portfolios. This gives employees an actual option to choose a suitable pension fund and it results in more (price) competition among the AFPs. It would also reduce the high marketing costs that were stated earlier, as AFPs can set themselves apart more easily and need less marketing to convince employees to open an account at their fund.</w:t>
      </w:r>
    </w:p>
    <w:p w:rsidR="00A2303C" w:rsidRDefault="00A2303C" w:rsidP="00DC3DA9">
      <w:pPr>
        <w:pStyle w:val="NoSpacing"/>
        <w:spacing w:line="360" w:lineRule="auto"/>
        <w:rPr>
          <w:lang w:val="en-US"/>
        </w:rPr>
      </w:pPr>
    </w:p>
    <w:p w:rsidR="00A2303C" w:rsidRDefault="00A2303C" w:rsidP="00DC3DA9">
      <w:pPr>
        <w:pStyle w:val="NoSpacing"/>
        <w:spacing w:line="360" w:lineRule="auto"/>
        <w:rPr>
          <w:lang w:val="en-US"/>
        </w:rPr>
      </w:pPr>
      <w:r>
        <w:rPr>
          <w:lang w:val="en-US"/>
        </w:rPr>
        <w:t xml:space="preserve">Thirdly, although the coverage of the new system is higher than the old one, nearly one third of the labor force is still not covered. This part of the labor force consists mainly of workers in the informal market who are too poor to make contributions to a pension system and of the self-employed. It is not mandatory for the self-employed to have an individual account and to make regular pension contributions. Another problem is that mainly low-income employees are not covered compared to high-income employees. This poses higher costs for the government as these low-income employees need significant social assistance. </w:t>
      </w:r>
    </w:p>
    <w:p w:rsidR="00A2303C" w:rsidRDefault="00A2303C" w:rsidP="00DC3DA9">
      <w:pPr>
        <w:pStyle w:val="NoSpacing"/>
        <w:spacing w:line="360" w:lineRule="auto"/>
        <w:rPr>
          <w:lang w:val="en-US"/>
        </w:rPr>
      </w:pPr>
    </w:p>
    <w:p w:rsidR="00A2303C" w:rsidRDefault="00A2303C" w:rsidP="00DC3DA9">
      <w:pPr>
        <w:pStyle w:val="NoSpacing"/>
        <w:spacing w:line="360" w:lineRule="auto"/>
        <w:rPr>
          <w:lang w:val="en-US"/>
        </w:rPr>
      </w:pPr>
      <w:r>
        <w:rPr>
          <w:lang w:val="en-US"/>
        </w:rPr>
        <w:t xml:space="preserve">Fourthly, the commission structure is inefficient. The Chilean law does not allow the APFs to charge different commissions to different participants and this is also the reason why collective negotiations not permitted. This constraint imposes extra costs on the AFPs and eventually the contributors. A negative effect is that it is not possible to benefit from economies of scale for the marketing and contracting costs. Another disadvantage is that it results in a rigid commission structure that does not show the cost variances between participants. On top of that, the participants switch very often from one pension fund to another. Lastly, the inefficient commission structure results in higher commissions. Thus the law should be amended to make a more flexible commission structure possible. </w:t>
      </w:r>
    </w:p>
    <w:p w:rsidR="00A2303C" w:rsidRDefault="00A2303C" w:rsidP="00DC3DA9">
      <w:pPr>
        <w:pStyle w:val="NoSpacing"/>
        <w:spacing w:line="360" w:lineRule="auto"/>
        <w:rPr>
          <w:lang w:val="en-US"/>
        </w:rPr>
      </w:pPr>
    </w:p>
    <w:p w:rsidR="00A2303C" w:rsidRDefault="00A2303C" w:rsidP="00DC3DA9">
      <w:pPr>
        <w:pStyle w:val="NoSpacing"/>
        <w:spacing w:line="360" w:lineRule="auto"/>
        <w:rPr>
          <w:lang w:val="en-US"/>
        </w:rPr>
      </w:pPr>
      <w:r>
        <w:rPr>
          <w:lang w:val="en-US"/>
        </w:rPr>
        <w:t xml:space="preserve">Fifthly, the minimum pension guarantee in the first pillar imposes relatively high fiscal costs and gives an incentive for moral hazard. First of all, the guarantee gives an incentive to not make any voluntary contributions. Another issue is that employees with low incomes will make infrequent contributions for just 20 years to qualify for the pension guarantee, if they know that the pension guarantee is higher than what they would otherwise have in their individual account. </w:t>
      </w:r>
    </w:p>
    <w:p w:rsidR="00A2303C" w:rsidRDefault="00A2303C" w:rsidP="00DC3DA9">
      <w:pPr>
        <w:pStyle w:val="NoSpacing"/>
        <w:spacing w:line="360" w:lineRule="auto"/>
        <w:rPr>
          <w:lang w:val="en-US"/>
        </w:rPr>
      </w:pPr>
    </w:p>
    <w:p w:rsidR="00A2303C" w:rsidRDefault="00A2303C" w:rsidP="00DC3DA9">
      <w:pPr>
        <w:pStyle w:val="NoSpacing"/>
        <w:spacing w:line="360" w:lineRule="auto"/>
        <w:rPr>
          <w:lang w:val="en-US"/>
        </w:rPr>
      </w:pPr>
      <w:r>
        <w:rPr>
          <w:lang w:val="en-US"/>
        </w:rPr>
        <w:t>Finally, high transition and administration costs are sometimes mentioned as negative side effects of the pension reform. However, other studies refuted these arguments (Rodriguez 1999) and therefore they are not further elaborated on. Further research on transition and administration costs is advised, in order to give a more conclusive answer to the question whether they are too high or not.</w:t>
      </w:r>
    </w:p>
    <w:p w:rsidR="00A2303C" w:rsidRDefault="00A2303C" w:rsidP="00DC3DA9">
      <w:pPr>
        <w:pStyle w:val="NoSpacing"/>
        <w:spacing w:line="360" w:lineRule="auto"/>
        <w:rPr>
          <w:lang w:val="en-US"/>
        </w:rPr>
      </w:pPr>
    </w:p>
    <w:p w:rsidR="00A2303C" w:rsidRDefault="00A2303C" w:rsidP="00DC3DA9">
      <w:pPr>
        <w:pStyle w:val="NoSpacing"/>
        <w:spacing w:line="360" w:lineRule="auto"/>
        <w:rPr>
          <w:lang w:val="en-US"/>
        </w:rPr>
      </w:pPr>
      <w:r>
        <w:rPr>
          <w:lang w:val="en-US"/>
        </w:rPr>
        <w:t>All of the earlier mentioned advantages and disadvantages of the Chilean pension system are summarized in Table 5.2 below.</w:t>
      </w:r>
    </w:p>
    <w:p w:rsidR="00A2303C" w:rsidRDefault="00A2303C" w:rsidP="00DC3DA9">
      <w:pPr>
        <w:pStyle w:val="NoSpacing"/>
        <w:spacing w:line="360" w:lineRule="auto"/>
        <w:rPr>
          <w:lang w:val="en-US"/>
        </w:rPr>
      </w:pPr>
    </w:p>
    <w:p w:rsidR="00A2303C" w:rsidRPr="00A74E23" w:rsidRDefault="00A2303C" w:rsidP="00A74E23">
      <w:pPr>
        <w:pStyle w:val="NoSpacing"/>
        <w:spacing w:line="360" w:lineRule="auto"/>
        <w:jc w:val="center"/>
        <w:rPr>
          <w:i/>
          <w:sz w:val="20"/>
          <w:szCs w:val="20"/>
          <w:lang w:val="en-US"/>
        </w:rPr>
      </w:pPr>
      <w:r>
        <w:rPr>
          <w:i/>
          <w:sz w:val="20"/>
          <w:szCs w:val="20"/>
          <w:lang w:val="en-US"/>
        </w:rPr>
        <w:t>Table 5.2 Advantages and disadvantages of the Chilean pension system</w:t>
      </w:r>
    </w:p>
    <w:tbl>
      <w:tblPr>
        <w:tblW w:w="0" w:type="auto"/>
        <w:tblBorders>
          <w:top w:val="single" w:sz="18" w:space="0" w:color="auto"/>
          <w:bottom w:val="single" w:sz="18" w:space="0" w:color="auto"/>
        </w:tblBorders>
        <w:tblLook w:val="00A0"/>
      </w:tblPr>
      <w:tblGrid>
        <w:gridCol w:w="3096"/>
        <w:gridCol w:w="3096"/>
        <w:gridCol w:w="3096"/>
      </w:tblGrid>
      <w:tr w:rsidR="00A2303C" w:rsidTr="008D584B">
        <w:tc>
          <w:tcPr>
            <w:tcW w:w="3096" w:type="dxa"/>
            <w:tcBorders>
              <w:top w:val="single" w:sz="18" w:space="0" w:color="auto"/>
              <w:left w:val="single" w:sz="18" w:space="0" w:color="auto"/>
              <w:bottom w:val="single" w:sz="18" w:space="0" w:color="auto"/>
              <w:right w:val="nil"/>
            </w:tcBorders>
            <w:shd w:val="clear" w:color="auto" w:fill="4F81BD"/>
          </w:tcPr>
          <w:p w:rsidR="00A2303C" w:rsidRPr="008D584B" w:rsidRDefault="00A2303C" w:rsidP="008D584B">
            <w:pPr>
              <w:pStyle w:val="NoSpacing"/>
              <w:spacing w:line="360" w:lineRule="auto"/>
              <w:rPr>
                <w:b/>
                <w:bCs/>
                <w:color w:val="FFFFFF"/>
                <w:lang w:val="en-US"/>
              </w:rPr>
            </w:pPr>
          </w:p>
        </w:tc>
        <w:tc>
          <w:tcPr>
            <w:tcW w:w="3096" w:type="dxa"/>
            <w:tcBorders>
              <w:top w:val="single" w:sz="18" w:space="0" w:color="auto"/>
              <w:left w:val="nil"/>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Advantages</w:t>
            </w:r>
          </w:p>
        </w:tc>
        <w:tc>
          <w:tcPr>
            <w:tcW w:w="3096" w:type="dxa"/>
            <w:tcBorders>
              <w:top w:val="single" w:sz="18" w:space="0" w:color="auto"/>
              <w:left w:val="single" w:sz="18" w:space="0" w:color="FFFFFF"/>
              <w:bottom w:val="single" w:sz="18" w:space="0" w:color="auto"/>
              <w:right w:val="single" w:sz="18" w:space="0" w:color="auto"/>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Disadvantages</w:t>
            </w:r>
          </w:p>
        </w:tc>
      </w:tr>
      <w:tr w:rsidR="00A2303C" w:rsidRPr="00762AC3" w:rsidTr="008D584B">
        <w:tc>
          <w:tcPr>
            <w:tcW w:w="3096" w:type="dxa"/>
            <w:tcBorders>
              <w:top w:val="single" w:sz="18" w:space="0" w:color="auto"/>
              <w:left w:val="single" w:sz="18" w:space="0" w:color="auto"/>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lang w:val="en-US"/>
              </w:rPr>
            </w:pPr>
          </w:p>
          <w:p w:rsidR="00A2303C" w:rsidRPr="008D584B" w:rsidRDefault="00A2303C" w:rsidP="008D584B">
            <w:pPr>
              <w:pStyle w:val="NoSpacing"/>
              <w:spacing w:line="360" w:lineRule="auto"/>
              <w:rPr>
                <w:b/>
                <w:bCs/>
                <w:color w:val="FFFFFF"/>
                <w:lang w:val="en-US"/>
              </w:rPr>
            </w:pPr>
          </w:p>
          <w:p w:rsidR="00A2303C" w:rsidRPr="008D584B" w:rsidRDefault="00A2303C" w:rsidP="008D584B">
            <w:pPr>
              <w:pStyle w:val="NoSpacing"/>
              <w:spacing w:line="360" w:lineRule="auto"/>
              <w:rPr>
                <w:b/>
                <w:bCs/>
                <w:color w:val="FFFFFF"/>
                <w:lang w:val="en-US"/>
              </w:rPr>
            </w:pPr>
          </w:p>
          <w:p w:rsidR="00A2303C" w:rsidRPr="008D584B" w:rsidRDefault="00A2303C" w:rsidP="008D584B">
            <w:pPr>
              <w:pStyle w:val="NoSpacing"/>
              <w:spacing w:line="360" w:lineRule="auto"/>
              <w:rPr>
                <w:b/>
                <w:bCs/>
                <w:color w:val="FFFFFF"/>
                <w:lang w:val="en-US"/>
              </w:rPr>
            </w:pPr>
          </w:p>
          <w:p w:rsidR="00A2303C" w:rsidRPr="008D584B" w:rsidRDefault="00A2303C" w:rsidP="008D584B">
            <w:pPr>
              <w:pStyle w:val="NoSpacing"/>
              <w:spacing w:line="360" w:lineRule="auto"/>
              <w:rPr>
                <w:b/>
                <w:bCs/>
                <w:color w:val="FFFFFF"/>
                <w:lang w:val="en-US"/>
              </w:rPr>
            </w:pPr>
            <w:r w:rsidRPr="008D584B">
              <w:rPr>
                <w:b/>
                <w:bCs/>
                <w:color w:val="FFFFFF"/>
                <w:lang w:val="en-US"/>
              </w:rPr>
              <w:t>Chilean pension system</w:t>
            </w:r>
          </w:p>
        </w:tc>
        <w:tc>
          <w:tcPr>
            <w:tcW w:w="3096" w:type="dxa"/>
            <w:tcBorders>
              <w:top w:val="single" w:sz="18" w:space="0" w:color="auto"/>
              <w:left w:val="single" w:sz="18" w:space="0" w:color="FFFFFF"/>
              <w:bottom w:val="single" w:sz="18" w:space="0" w:color="auto"/>
              <w:right w:val="single" w:sz="18" w:space="0" w:color="FFFFFF"/>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Able to cope with the ageing society</w:t>
            </w:r>
          </w:p>
          <w:p w:rsidR="00A2303C" w:rsidRPr="008D584B" w:rsidRDefault="00A2303C" w:rsidP="008D584B">
            <w:pPr>
              <w:pStyle w:val="NoSpacing"/>
              <w:spacing w:line="360" w:lineRule="auto"/>
              <w:rPr>
                <w:sz w:val="20"/>
                <w:szCs w:val="20"/>
                <w:lang w:val="en-US"/>
              </w:rPr>
            </w:pPr>
            <w:r w:rsidRPr="008D584B">
              <w:rPr>
                <w:sz w:val="20"/>
                <w:szCs w:val="20"/>
                <w:lang w:val="en-US"/>
              </w:rPr>
              <w:t>* Labor markets improved</w:t>
            </w:r>
          </w:p>
          <w:p w:rsidR="00A2303C" w:rsidRPr="008D584B" w:rsidRDefault="00A2303C" w:rsidP="008D584B">
            <w:pPr>
              <w:pStyle w:val="NoSpacing"/>
              <w:spacing w:line="360" w:lineRule="auto"/>
              <w:rPr>
                <w:sz w:val="20"/>
                <w:szCs w:val="20"/>
                <w:lang w:val="en-US"/>
              </w:rPr>
            </w:pPr>
            <w:r w:rsidRPr="008D584B">
              <w:rPr>
                <w:sz w:val="20"/>
                <w:szCs w:val="20"/>
                <w:lang w:val="en-US"/>
              </w:rPr>
              <w:t>* Development and diversification of banking and capital market</w:t>
            </w:r>
          </w:p>
          <w:p w:rsidR="00A2303C" w:rsidRPr="008D584B" w:rsidRDefault="00A2303C" w:rsidP="008D584B">
            <w:pPr>
              <w:pStyle w:val="NoSpacing"/>
              <w:spacing w:line="360" w:lineRule="auto"/>
              <w:rPr>
                <w:sz w:val="20"/>
                <w:szCs w:val="20"/>
                <w:lang w:val="en-US"/>
              </w:rPr>
            </w:pPr>
            <w:r w:rsidRPr="008D584B">
              <w:rPr>
                <w:sz w:val="20"/>
                <w:szCs w:val="20"/>
                <w:lang w:val="en-US"/>
              </w:rPr>
              <w:t>* Early retirement shows enough accumulations for retirement support</w:t>
            </w:r>
          </w:p>
          <w:p w:rsidR="00A2303C" w:rsidRPr="008D584B" w:rsidRDefault="00A2303C" w:rsidP="008D584B">
            <w:pPr>
              <w:pStyle w:val="NoSpacing"/>
              <w:spacing w:line="360" w:lineRule="auto"/>
              <w:rPr>
                <w:sz w:val="20"/>
                <w:szCs w:val="20"/>
                <w:lang w:val="en-US"/>
              </w:rPr>
            </w:pPr>
            <w:r w:rsidRPr="008D584B">
              <w:rPr>
                <w:sz w:val="20"/>
                <w:szCs w:val="20"/>
                <w:lang w:val="en-US"/>
              </w:rPr>
              <w:t>* Benefits at least equal to 70 per cent of last wage</w:t>
            </w:r>
          </w:p>
        </w:tc>
        <w:tc>
          <w:tcPr>
            <w:tcW w:w="3096" w:type="dxa"/>
            <w:tcBorders>
              <w:top w:val="single" w:sz="18" w:space="0" w:color="auto"/>
              <w:left w:val="single" w:sz="18" w:space="0" w:color="FFFFFF"/>
              <w:bottom w:val="single" w:sz="18" w:space="0" w:color="auto"/>
              <w:right w:val="single" w:sz="18" w:space="0" w:color="auto"/>
            </w:tcBorders>
            <w:shd w:val="clear" w:color="auto" w:fill="C6D9F1"/>
          </w:tcPr>
          <w:p w:rsidR="00A2303C" w:rsidRPr="008D584B" w:rsidRDefault="00A2303C" w:rsidP="008D584B">
            <w:pPr>
              <w:pStyle w:val="NoSpacing"/>
              <w:spacing w:line="360" w:lineRule="auto"/>
              <w:rPr>
                <w:sz w:val="20"/>
                <w:szCs w:val="20"/>
                <w:lang w:val="en-US"/>
              </w:rPr>
            </w:pPr>
            <w:r w:rsidRPr="008D584B">
              <w:rPr>
                <w:sz w:val="20"/>
                <w:szCs w:val="20"/>
                <w:lang w:val="en-US"/>
              </w:rPr>
              <w:t>* Excessive switching and high marketing costs</w:t>
            </w:r>
          </w:p>
          <w:p w:rsidR="00A2303C" w:rsidRPr="008D584B" w:rsidRDefault="00A2303C" w:rsidP="008D584B">
            <w:pPr>
              <w:pStyle w:val="NoSpacing"/>
              <w:spacing w:line="360" w:lineRule="auto"/>
              <w:rPr>
                <w:sz w:val="20"/>
                <w:szCs w:val="20"/>
                <w:lang w:val="en-US"/>
              </w:rPr>
            </w:pPr>
            <w:r w:rsidRPr="008D584B">
              <w:rPr>
                <w:sz w:val="20"/>
                <w:szCs w:val="20"/>
                <w:lang w:val="en-US"/>
              </w:rPr>
              <w:t>* Restrictions and regulations interfere with competition of AFPs</w:t>
            </w:r>
          </w:p>
          <w:p w:rsidR="00A2303C" w:rsidRPr="008D584B" w:rsidRDefault="00A2303C" w:rsidP="008D584B">
            <w:pPr>
              <w:pStyle w:val="NoSpacing"/>
              <w:spacing w:line="360" w:lineRule="auto"/>
              <w:rPr>
                <w:sz w:val="20"/>
                <w:szCs w:val="20"/>
                <w:lang w:val="en-US"/>
              </w:rPr>
            </w:pPr>
            <w:r w:rsidRPr="008D584B">
              <w:rPr>
                <w:sz w:val="20"/>
                <w:szCs w:val="20"/>
                <w:lang w:val="en-US"/>
              </w:rPr>
              <w:t>* One third of labor force is not covered</w:t>
            </w:r>
          </w:p>
          <w:p w:rsidR="00A2303C" w:rsidRPr="008D584B" w:rsidRDefault="00A2303C" w:rsidP="008D584B">
            <w:pPr>
              <w:pStyle w:val="NoSpacing"/>
              <w:spacing w:line="360" w:lineRule="auto"/>
              <w:rPr>
                <w:sz w:val="20"/>
                <w:szCs w:val="20"/>
                <w:lang w:val="en-US"/>
              </w:rPr>
            </w:pPr>
            <w:r w:rsidRPr="008D584B">
              <w:rPr>
                <w:sz w:val="20"/>
                <w:szCs w:val="20"/>
                <w:lang w:val="en-US"/>
              </w:rPr>
              <w:t>* Commission structure is inefficient</w:t>
            </w:r>
          </w:p>
          <w:p w:rsidR="00A2303C" w:rsidRPr="008D584B" w:rsidRDefault="00A2303C" w:rsidP="008D584B">
            <w:pPr>
              <w:pStyle w:val="NoSpacing"/>
              <w:spacing w:line="360" w:lineRule="auto"/>
              <w:rPr>
                <w:sz w:val="20"/>
                <w:szCs w:val="20"/>
                <w:lang w:val="en-US"/>
              </w:rPr>
            </w:pPr>
            <w:r w:rsidRPr="008D584B">
              <w:rPr>
                <w:sz w:val="20"/>
                <w:szCs w:val="20"/>
                <w:lang w:val="en-US"/>
              </w:rPr>
              <w:t>* Minimum pension guarantee imposes fiscal costs and is an incentive for moral hazard</w:t>
            </w:r>
          </w:p>
        </w:tc>
      </w:tr>
    </w:tbl>
    <w:p w:rsidR="00A2303C" w:rsidRDefault="00A2303C" w:rsidP="00A74E23">
      <w:pPr>
        <w:pStyle w:val="NoSpacing"/>
        <w:spacing w:line="360" w:lineRule="auto"/>
        <w:jc w:val="center"/>
        <w:rPr>
          <w:i/>
          <w:sz w:val="20"/>
          <w:szCs w:val="20"/>
          <w:lang w:val="en-US"/>
        </w:rPr>
      </w:pPr>
      <w:r>
        <w:rPr>
          <w:i/>
          <w:sz w:val="20"/>
          <w:szCs w:val="20"/>
          <w:lang w:val="en-US"/>
        </w:rPr>
        <w:t>Source: Author</w:t>
      </w:r>
    </w:p>
    <w:p w:rsidR="00A2303C" w:rsidRPr="00A74E23" w:rsidRDefault="00A2303C" w:rsidP="00A74E23">
      <w:pPr>
        <w:pStyle w:val="NoSpacing"/>
        <w:spacing w:line="360" w:lineRule="auto"/>
        <w:rPr>
          <w:lang w:val="en-US"/>
        </w:rPr>
      </w:pPr>
    </w:p>
    <w:p w:rsidR="00A2303C" w:rsidRDefault="00A2303C" w:rsidP="00DC3DA9">
      <w:pPr>
        <w:pStyle w:val="NoSpacing"/>
        <w:spacing w:line="360" w:lineRule="auto"/>
        <w:rPr>
          <w:lang w:val="en-US"/>
        </w:rPr>
      </w:pPr>
      <w:r>
        <w:rPr>
          <w:lang w:val="en-US"/>
        </w:rPr>
        <w:t>After describing and analyzing the Chilean pension model, the next section will continue with the same process for the Brazilian pension system.</w:t>
      </w:r>
    </w:p>
    <w:p w:rsidR="00A2303C" w:rsidRPr="00DC3DA9" w:rsidRDefault="00A2303C" w:rsidP="00DC3DA9">
      <w:pPr>
        <w:pStyle w:val="NoSpacing"/>
        <w:spacing w:line="360" w:lineRule="auto"/>
        <w:rPr>
          <w:lang w:val="en-US"/>
        </w:rPr>
      </w:pPr>
    </w:p>
    <w:p w:rsidR="00A2303C" w:rsidRPr="00020171" w:rsidRDefault="00A2303C" w:rsidP="009F169E">
      <w:pPr>
        <w:pStyle w:val="IntenseQuote"/>
        <w:numPr>
          <w:ilvl w:val="0"/>
          <w:numId w:val="25"/>
        </w:numPr>
        <w:jc w:val="center"/>
        <w:rPr>
          <w:lang w:val="en-US"/>
        </w:rPr>
      </w:pPr>
      <w:r>
        <w:rPr>
          <w:lang w:val="en-US"/>
        </w:rPr>
        <w:t>The pension system in Brazil</w:t>
      </w:r>
    </w:p>
    <w:p w:rsidR="00A2303C" w:rsidRDefault="00A2303C" w:rsidP="006E40F9">
      <w:pPr>
        <w:pStyle w:val="NoSpacing"/>
        <w:spacing w:line="360" w:lineRule="auto"/>
        <w:rPr>
          <w:lang w:val="en-GB"/>
        </w:rPr>
      </w:pPr>
      <w:r>
        <w:rPr>
          <w:lang w:val="en-GB"/>
        </w:rPr>
        <w:t>This section describes the historical developments in the Brazilian pension system, afterwards the current system is being outlined. Subsequently, the challenges faced by Brazil in terms of the pension system are discussed. In particular, there will be a focus on five critical issues that threaten the sustainability.</w:t>
      </w:r>
    </w:p>
    <w:p w:rsidR="00A2303C" w:rsidRPr="0075587A" w:rsidRDefault="00A2303C" w:rsidP="006E40F9">
      <w:pPr>
        <w:pStyle w:val="NoSpacing"/>
        <w:spacing w:line="360" w:lineRule="auto"/>
        <w:rPr>
          <w:lang w:val="en-GB"/>
        </w:rPr>
      </w:pPr>
    </w:p>
    <w:p w:rsidR="00A2303C" w:rsidRPr="003725A1" w:rsidRDefault="00A2303C" w:rsidP="004E7D63">
      <w:pPr>
        <w:pStyle w:val="NoSpacing"/>
        <w:numPr>
          <w:ilvl w:val="1"/>
          <w:numId w:val="26"/>
        </w:numPr>
        <w:spacing w:line="360" w:lineRule="auto"/>
        <w:ind w:left="1260" w:hanging="1260"/>
        <w:rPr>
          <w:b/>
          <w:i/>
          <w:lang w:val="en-GB"/>
        </w:rPr>
      </w:pPr>
      <w:r>
        <w:rPr>
          <w:b/>
          <w:i/>
          <w:lang w:val="en-GB"/>
        </w:rPr>
        <w:t>Historical overview</w:t>
      </w:r>
    </w:p>
    <w:p w:rsidR="00A2303C" w:rsidRDefault="00A2303C" w:rsidP="003725A1">
      <w:pPr>
        <w:pStyle w:val="NoSpacing"/>
        <w:spacing w:line="360" w:lineRule="auto"/>
        <w:rPr>
          <w:lang w:val="en-GB"/>
        </w:rPr>
      </w:pPr>
      <w:r>
        <w:rPr>
          <w:lang w:val="en-GB"/>
        </w:rPr>
        <w:t xml:space="preserve">Contrary to many Latin American countries that adopted pension reform plans in accordance with the Chilean pension reform model, Brazil took a different approach for reforming its pension plan. Before outlining the current Brazilian pension system, a short historical overview is presented. It gives insight into the path dependency of the country and the distortions of the current system due to historical reasons. Melo (2004) found that path dependency was one of the reasons the Brazilian government decided not to privatize the system. </w:t>
      </w:r>
    </w:p>
    <w:p w:rsidR="00A2303C" w:rsidRDefault="00A2303C" w:rsidP="003725A1">
      <w:pPr>
        <w:pStyle w:val="NoSpacing"/>
        <w:spacing w:line="360" w:lineRule="auto"/>
        <w:rPr>
          <w:lang w:val="en-GB"/>
        </w:rPr>
      </w:pPr>
    </w:p>
    <w:p w:rsidR="00A2303C" w:rsidRDefault="00A2303C" w:rsidP="004E7D63">
      <w:pPr>
        <w:pStyle w:val="NoSpacing"/>
        <w:numPr>
          <w:ilvl w:val="2"/>
          <w:numId w:val="26"/>
        </w:numPr>
        <w:spacing w:line="360" w:lineRule="auto"/>
        <w:ind w:left="1260" w:hanging="1260"/>
        <w:rPr>
          <w:b/>
          <w:i/>
          <w:lang w:val="en-GB"/>
        </w:rPr>
      </w:pPr>
      <w:r>
        <w:rPr>
          <w:b/>
          <w:i/>
          <w:lang w:val="en-GB"/>
        </w:rPr>
        <w:t>The origin of the Brazilian pension system</w:t>
      </w:r>
    </w:p>
    <w:p w:rsidR="00A2303C" w:rsidRDefault="00A2303C" w:rsidP="003833C2">
      <w:pPr>
        <w:pStyle w:val="NoSpacing"/>
        <w:spacing w:line="360" w:lineRule="auto"/>
        <w:rPr>
          <w:lang w:val="en-GB"/>
        </w:rPr>
      </w:pPr>
      <w:r>
        <w:rPr>
          <w:lang w:val="en-GB"/>
        </w:rPr>
        <w:t>The first proposals for a pension system in Brazil were initiated to provide income insurance for special groups. These groups usually consisted of the military and civil public servants. It took until 1923 before parts of the private sector (e.g. railroad workers and stevedores) were also covered. The first pension plans were characterized by funded plans with low coverage. Over the decades, other parts of the private sector slowly became covered as well. During the 1960s the pension system underwent a radical change from a funded plan to a pure PAYG plan with defined benefits paid for via payroll taxes. The previous plan was no longer sustainable since first of all, the government could not fulfil its obligation of contributing in the three-party scheme of employee, employer and government. Secondly, the accumulated pension reserves were not managed properly (Oliveira, and Beltr</w:t>
      </w:r>
      <w:r>
        <w:rPr>
          <w:rFonts w:cs="Calibri"/>
          <w:lang w:val="en-GB"/>
        </w:rPr>
        <w:t>ã</w:t>
      </w:r>
      <w:r>
        <w:rPr>
          <w:lang w:val="en-GB"/>
        </w:rPr>
        <w:t xml:space="preserve">o 2000). </w:t>
      </w:r>
    </w:p>
    <w:p w:rsidR="00A2303C" w:rsidRDefault="00A2303C" w:rsidP="003833C2">
      <w:pPr>
        <w:pStyle w:val="NoSpacing"/>
        <w:spacing w:line="360" w:lineRule="auto"/>
        <w:rPr>
          <w:lang w:val="en-GB"/>
        </w:rPr>
      </w:pPr>
    </w:p>
    <w:p w:rsidR="00A2303C" w:rsidRDefault="00A2303C" w:rsidP="003833C2">
      <w:pPr>
        <w:pStyle w:val="NoSpacing"/>
        <w:spacing w:line="360" w:lineRule="auto"/>
        <w:rPr>
          <w:lang w:val="en-GB"/>
        </w:rPr>
      </w:pPr>
      <w:r>
        <w:rPr>
          <w:lang w:val="en-GB"/>
        </w:rPr>
        <w:t>Besides the transition of funding method, the 1960s also involved the creation of the National Social Security Institute (Instituto Nacional de Previd</w:t>
      </w:r>
      <w:r>
        <w:rPr>
          <w:rFonts w:cs="Calibri"/>
          <w:lang w:val="en-GB"/>
        </w:rPr>
        <w:t>ê</w:t>
      </w:r>
      <w:r>
        <w:rPr>
          <w:lang w:val="en-GB"/>
        </w:rPr>
        <w:t xml:space="preserve">ncia Social, INPS). This institute became solely responsible for the pension plans of all employees, apart from the civil servants, and the self-employed. In the 1970s expansion of the pension benefits took place and the coverage extended. Moreover, the situation for the elderly above 70 years who did not have any kind of income was improved via the introduction of a flat means-tested benefit. </w:t>
      </w:r>
    </w:p>
    <w:p w:rsidR="00A2303C" w:rsidRDefault="00A2303C" w:rsidP="003833C2">
      <w:pPr>
        <w:pStyle w:val="NoSpacing"/>
        <w:spacing w:line="360" w:lineRule="auto"/>
        <w:rPr>
          <w:lang w:val="en-GB"/>
        </w:rPr>
      </w:pPr>
    </w:p>
    <w:p w:rsidR="00A2303C" w:rsidRDefault="00A2303C" w:rsidP="003833C2">
      <w:pPr>
        <w:pStyle w:val="NoSpacing"/>
        <w:spacing w:line="360" w:lineRule="auto"/>
        <w:rPr>
          <w:lang w:val="en-GB"/>
        </w:rPr>
      </w:pPr>
      <w:r>
        <w:rPr>
          <w:lang w:val="en-GB"/>
        </w:rPr>
        <w:t xml:space="preserve">During the next decade the Brazilian economy experienced a crisis, in which GDP growth rates were minimal, the inflation rate rose and the exchange rate deteriorated. Combined with a major change in political regime it urged for significant changes in the pension system as this system was no longer sustainable. The 1988 Constitution transformed the Brazilian pension system into a more universal system, with a design that was influenced by the post-war European pension model (Pinheiro 2004). </w:t>
      </w:r>
    </w:p>
    <w:p w:rsidR="00A2303C" w:rsidRDefault="00A2303C" w:rsidP="003833C2">
      <w:pPr>
        <w:pStyle w:val="NoSpacing"/>
        <w:spacing w:line="360" w:lineRule="auto"/>
        <w:rPr>
          <w:lang w:val="en-GB"/>
        </w:rPr>
      </w:pPr>
    </w:p>
    <w:p w:rsidR="00A2303C" w:rsidRDefault="00A2303C" w:rsidP="004E7D63">
      <w:pPr>
        <w:pStyle w:val="NoSpacing"/>
        <w:numPr>
          <w:ilvl w:val="2"/>
          <w:numId w:val="26"/>
        </w:numPr>
        <w:spacing w:line="360" w:lineRule="auto"/>
        <w:ind w:left="1260" w:hanging="1260"/>
        <w:rPr>
          <w:b/>
          <w:i/>
          <w:lang w:val="en-GB"/>
        </w:rPr>
      </w:pPr>
      <w:r>
        <w:rPr>
          <w:b/>
          <w:i/>
          <w:lang w:val="en-GB"/>
        </w:rPr>
        <w:t>1988 Constitution</w:t>
      </w:r>
    </w:p>
    <w:p w:rsidR="00A2303C" w:rsidRDefault="00A2303C" w:rsidP="001805D7">
      <w:pPr>
        <w:pStyle w:val="NoSpacing"/>
        <w:spacing w:line="360" w:lineRule="auto"/>
        <w:rPr>
          <w:rFonts w:cs="Calibri"/>
          <w:lang w:val="en-GB"/>
        </w:rPr>
      </w:pPr>
      <w:r>
        <w:rPr>
          <w:lang w:val="en-GB"/>
        </w:rPr>
        <w:t>Although the Brazilian pension system became more universal, by giving urban and rural workers the same rights, there still existed a difference between workers in the public and private sector. The private sector workforce was covered in the General Regime for Social Security (Regime Geral de Previd</w:t>
      </w:r>
      <w:r>
        <w:rPr>
          <w:rFonts w:cs="Calibri"/>
          <w:lang w:val="en-GB"/>
        </w:rPr>
        <w:t>ê</w:t>
      </w:r>
      <w:r>
        <w:rPr>
          <w:lang w:val="en-GB"/>
        </w:rPr>
        <w:t>ncia Social, RGPS) and the Civil Servants Regime (Regime Jur</w:t>
      </w:r>
      <w:r>
        <w:rPr>
          <w:rFonts w:cs="Calibri"/>
          <w:lang w:val="en-GB"/>
        </w:rPr>
        <w:t xml:space="preserve">ídico Único, RJU) provided for the entire public sector workforce. </w:t>
      </w:r>
    </w:p>
    <w:p w:rsidR="00A2303C" w:rsidRDefault="00A2303C" w:rsidP="001805D7">
      <w:pPr>
        <w:pStyle w:val="NoSpacing"/>
        <w:spacing w:line="360" w:lineRule="auto"/>
        <w:rPr>
          <w:rFonts w:cs="Calibri"/>
          <w:lang w:val="en-GB"/>
        </w:rPr>
      </w:pPr>
    </w:p>
    <w:p w:rsidR="00A2303C" w:rsidRDefault="00A2303C" w:rsidP="001805D7">
      <w:pPr>
        <w:pStyle w:val="NoSpacing"/>
        <w:spacing w:line="360" w:lineRule="auto"/>
        <w:rPr>
          <w:rFonts w:cs="Calibri"/>
          <w:lang w:val="en-GB"/>
        </w:rPr>
      </w:pPr>
      <w:r>
        <w:rPr>
          <w:rFonts w:cs="Calibri"/>
          <w:lang w:val="en-GB"/>
        </w:rPr>
        <w:t>The Constitution contained, among others, the following rights and rules for the RGPS (Oliveira, and Beltrão 2000):</w:t>
      </w:r>
    </w:p>
    <w:p w:rsidR="00A2303C" w:rsidRDefault="00A2303C" w:rsidP="003515D8">
      <w:pPr>
        <w:pStyle w:val="NoSpacing"/>
        <w:numPr>
          <w:ilvl w:val="0"/>
          <w:numId w:val="8"/>
        </w:numPr>
        <w:spacing w:line="360" w:lineRule="auto"/>
        <w:rPr>
          <w:lang w:val="en-GB"/>
        </w:rPr>
      </w:pPr>
      <w:r>
        <w:rPr>
          <w:lang w:val="en-GB"/>
        </w:rPr>
        <w:t>The social assistance and benefits for the workers of the rural areas were doubled.</w:t>
      </w:r>
    </w:p>
    <w:p w:rsidR="00A2303C" w:rsidRDefault="00A2303C" w:rsidP="003515D8">
      <w:pPr>
        <w:pStyle w:val="NoSpacing"/>
        <w:numPr>
          <w:ilvl w:val="0"/>
          <w:numId w:val="8"/>
        </w:numPr>
        <w:spacing w:line="360" w:lineRule="auto"/>
        <w:rPr>
          <w:lang w:val="en-GB"/>
        </w:rPr>
      </w:pPr>
      <w:r>
        <w:rPr>
          <w:lang w:val="en-GB"/>
        </w:rPr>
        <w:t>The minimum eligibility age for rural benefits was lowered by five years.</w:t>
      </w:r>
    </w:p>
    <w:p w:rsidR="00A2303C" w:rsidRDefault="00A2303C" w:rsidP="003515D8">
      <w:pPr>
        <w:pStyle w:val="NoSpacing"/>
        <w:numPr>
          <w:ilvl w:val="0"/>
          <w:numId w:val="8"/>
        </w:numPr>
        <w:spacing w:line="360" w:lineRule="auto"/>
        <w:rPr>
          <w:lang w:val="en-GB"/>
        </w:rPr>
      </w:pPr>
      <w:r>
        <w:rPr>
          <w:lang w:val="en-GB"/>
        </w:rPr>
        <w:t xml:space="preserve">Benefits were fully indexed for inflation, to maintain a certain real purchasing power for the beneficiaries. </w:t>
      </w:r>
    </w:p>
    <w:p w:rsidR="00A2303C" w:rsidRDefault="00A2303C" w:rsidP="003515D8">
      <w:pPr>
        <w:pStyle w:val="NoSpacing"/>
        <w:numPr>
          <w:ilvl w:val="0"/>
          <w:numId w:val="8"/>
        </w:numPr>
        <w:spacing w:line="360" w:lineRule="auto"/>
        <w:rPr>
          <w:lang w:val="en-GB"/>
        </w:rPr>
      </w:pPr>
      <w:r>
        <w:rPr>
          <w:lang w:val="en-GB"/>
        </w:rPr>
        <w:t>The minimum amount of benefits is equal to the minimum wage.</w:t>
      </w:r>
    </w:p>
    <w:p w:rsidR="00A2303C" w:rsidRPr="008A5A81" w:rsidRDefault="00A2303C" w:rsidP="008A5A81">
      <w:pPr>
        <w:pStyle w:val="NoSpacing"/>
        <w:numPr>
          <w:ilvl w:val="0"/>
          <w:numId w:val="8"/>
        </w:numPr>
        <w:spacing w:line="360" w:lineRule="auto"/>
        <w:rPr>
          <w:lang w:val="en-GB"/>
        </w:rPr>
      </w:pPr>
      <w:r>
        <w:rPr>
          <w:lang w:val="en-GB"/>
        </w:rPr>
        <w:t>The system was financed via taxes on wages, gross revenues, profits and other general tax revenues.</w:t>
      </w:r>
    </w:p>
    <w:p w:rsidR="00A2303C" w:rsidRDefault="00A2303C" w:rsidP="00A33DAA">
      <w:pPr>
        <w:pStyle w:val="NoSpacing"/>
        <w:spacing w:line="360" w:lineRule="auto"/>
        <w:rPr>
          <w:lang w:val="en-GB"/>
        </w:rPr>
      </w:pPr>
      <w:r>
        <w:rPr>
          <w:lang w:val="en-GB"/>
        </w:rPr>
        <w:t>In the RGPS the benefits were very generous, which had an adverse effect on the sustainability of the system. Indeed it became too costly to maintain the system as time passed by. The situation for the civil servants in the RJU was even better as tenured employment was guaranteed and benefits received upon retirement were equal to the final wage.</w:t>
      </w:r>
    </w:p>
    <w:p w:rsidR="00A2303C" w:rsidRDefault="00A2303C" w:rsidP="00A33DAA">
      <w:pPr>
        <w:pStyle w:val="NoSpacing"/>
        <w:spacing w:line="360" w:lineRule="auto"/>
        <w:rPr>
          <w:lang w:val="en-GB"/>
        </w:rPr>
      </w:pPr>
    </w:p>
    <w:p w:rsidR="00A2303C" w:rsidRDefault="00A2303C" w:rsidP="00A33DAA">
      <w:pPr>
        <w:pStyle w:val="NoSpacing"/>
        <w:spacing w:line="360" w:lineRule="auto"/>
        <w:rPr>
          <w:lang w:val="en-GB"/>
        </w:rPr>
      </w:pPr>
      <w:r>
        <w:rPr>
          <w:lang w:val="en-GB"/>
        </w:rPr>
        <w:t xml:space="preserve">During the 1990s Brazil endured another high inflationary period, in which the INSS was created to serve as the institution responsible for the RGPS . Additionally, the first voices for radical privatization like the Chilean model were raised. However, the government was too busy stabilizing the economy and lowering the inflation, to pay any attention to it. Moreover, the president at the time did not have enough political support to defend such a drastic change. Nevertheless, the discussion about privatization by academics and representatives of the financial sector continued but faced problems as they could not clearly explain the effects of the pension reform to the general public and the high inflation postponed the necessity for a reform to restore the fiscal balance. Other Latin American countries were challenged earlier with fiscal deficits than Brazil. The enduring periods of high inflation in Brazil had resulted in extra earnings via investments of the pension reserves at high interest rates, while at the same time the costs were lower through the declining real value of pension benefits (Pinheiro 2004). </w:t>
      </w:r>
    </w:p>
    <w:p w:rsidR="00A2303C" w:rsidRDefault="00A2303C" w:rsidP="00A33DAA">
      <w:pPr>
        <w:pStyle w:val="NoSpacing"/>
        <w:spacing w:line="360" w:lineRule="auto"/>
        <w:rPr>
          <w:lang w:val="en-GB"/>
        </w:rPr>
      </w:pPr>
    </w:p>
    <w:p w:rsidR="00A2303C" w:rsidRDefault="00A2303C" w:rsidP="00A33DAA">
      <w:pPr>
        <w:pStyle w:val="NoSpacing"/>
        <w:spacing w:line="360" w:lineRule="auto"/>
        <w:rPr>
          <w:lang w:val="en-GB"/>
        </w:rPr>
      </w:pPr>
      <w:r>
        <w:rPr>
          <w:lang w:val="en-GB"/>
        </w:rPr>
        <w:t xml:space="preserve">In the middle of the 1990s the government realized that the deficit on the social security balance grew exponentially, due to problems with funding the benefits and the ageing of the society. The situation deteriorated severely enough to impose a threat on the stability of the national economy. It took another couple of years of heavy debates and pension reform proposals before an actual reform was agreed upon in 1998. It was decided that Brazil would preserve its PAYG system, since the estimates for transforming the system into a fully funded system like in Chile were unaffordable for Brazil. The cost calculations for the transition period were said to range from 188 per cent to 255 per cent of GDP (Ferreira Savoia 2007). These high costs would arise if the defined benefit schemes were replaced by individual accounts because the government would no longer be able to collect the mandatory pension contributions and thus would have to fund the individual accounts herself, until the system could support itself. </w:t>
      </w:r>
    </w:p>
    <w:p w:rsidR="00A2303C" w:rsidRDefault="00A2303C" w:rsidP="00A33DAA">
      <w:pPr>
        <w:pStyle w:val="NoSpacing"/>
        <w:spacing w:line="360" w:lineRule="auto"/>
        <w:rPr>
          <w:lang w:val="en-GB"/>
        </w:rPr>
      </w:pPr>
    </w:p>
    <w:p w:rsidR="00A2303C" w:rsidRDefault="00A2303C" w:rsidP="00A33DAA">
      <w:pPr>
        <w:pStyle w:val="NoSpacing"/>
        <w:spacing w:line="360" w:lineRule="auto"/>
        <w:rPr>
          <w:lang w:val="en-GB"/>
        </w:rPr>
      </w:pPr>
      <w:r>
        <w:rPr>
          <w:lang w:val="en-GB"/>
        </w:rPr>
        <w:t xml:space="preserve">The most influential changes of the 1998 reform were that the eligibility for retirement by age for the RJU was tightened, the formula for calculating the benefits in the RGPS was modified and several measures to limit the deficit on the pension budget were adopted (Pinheiro 2004). Unfortunately, proposals to also impose a higher retirement age in the RGPS were rejected. The fierce resistance by various oppositions and the privileges held by particular groups, made it very difficult to approve further major changes. </w:t>
      </w:r>
    </w:p>
    <w:p w:rsidR="00A2303C" w:rsidRDefault="00A2303C" w:rsidP="00A33DAA">
      <w:pPr>
        <w:pStyle w:val="NoSpacing"/>
        <w:spacing w:line="360" w:lineRule="auto"/>
        <w:rPr>
          <w:lang w:val="en-GB"/>
        </w:rPr>
      </w:pPr>
    </w:p>
    <w:p w:rsidR="00A2303C" w:rsidRDefault="00A2303C" w:rsidP="00A33DAA">
      <w:pPr>
        <w:pStyle w:val="NoSpacing"/>
        <w:spacing w:line="360" w:lineRule="auto"/>
        <w:rPr>
          <w:lang w:val="en-GB"/>
        </w:rPr>
      </w:pPr>
      <w:r>
        <w:rPr>
          <w:lang w:val="en-GB"/>
        </w:rPr>
        <w:t>Although, the 1998 reform was heading in the right direction to ensure the sustainability of the pension system, it still lacked the commitment and power of all government institutions to really overcome all problems. Starting from Lula’s presidency, the administration started to focus more on reforms in public pension system, which remained nearly untouched throughout history due to missing political support. In 2003 another reform was approved that had several implications for the current and future generations in the RJU. For the current generation the retirement age was further increased and reductions were implemented in case of early retirement. Additionally, an exemption for the contribution rate was allowed if public workers postponed their retirement. The adjustments for future generations were more rigorously as the formula for calculating the benefits would use the average wage of a public worker’s entire career instead of setting the benefit equal to the last wage. Moreover, an upper limit is imposed on the received benefits (Pinheiro 2004).</w:t>
      </w:r>
    </w:p>
    <w:p w:rsidR="00A2303C" w:rsidRDefault="00A2303C" w:rsidP="00A33DAA">
      <w:pPr>
        <w:pStyle w:val="NoSpacing"/>
        <w:spacing w:line="360" w:lineRule="auto"/>
        <w:rPr>
          <w:lang w:val="en-GB"/>
        </w:rPr>
      </w:pPr>
    </w:p>
    <w:p w:rsidR="00A2303C" w:rsidRDefault="00A2303C" w:rsidP="00A33DAA">
      <w:pPr>
        <w:pStyle w:val="NoSpacing"/>
        <w:spacing w:line="360" w:lineRule="auto"/>
        <w:rPr>
          <w:lang w:val="en-GB"/>
        </w:rPr>
      </w:pPr>
      <w:r>
        <w:rPr>
          <w:lang w:val="en-GB"/>
        </w:rPr>
        <w:t>Thus the reform of 2003 included radical changes for the public workers of the current and future generations. However, the situation could still be further improved as section 6.3 will address some essential matters that influence the sustainability of the pension system.</w:t>
      </w:r>
    </w:p>
    <w:p w:rsidR="00A2303C" w:rsidRDefault="00A2303C" w:rsidP="00A33DAA">
      <w:pPr>
        <w:pStyle w:val="NoSpacing"/>
        <w:spacing w:line="360" w:lineRule="auto"/>
        <w:rPr>
          <w:lang w:val="en-GB"/>
        </w:rPr>
      </w:pPr>
    </w:p>
    <w:p w:rsidR="00A2303C" w:rsidRDefault="00A2303C" w:rsidP="004E7D63">
      <w:pPr>
        <w:pStyle w:val="NoSpacing"/>
        <w:numPr>
          <w:ilvl w:val="1"/>
          <w:numId w:val="26"/>
        </w:numPr>
        <w:spacing w:line="360" w:lineRule="auto"/>
        <w:ind w:left="1260" w:hanging="1260"/>
        <w:rPr>
          <w:b/>
          <w:i/>
          <w:lang w:val="en-GB"/>
        </w:rPr>
      </w:pPr>
      <w:r>
        <w:rPr>
          <w:b/>
          <w:i/>
          <w:lang w:val="en-GB"/>
        </w:rPr>
        <w:t>Overview of the current pension system in Brazil</w:t>
      </w:r>
    </w:p>
    <w:p w:rsidR="00A2303C" w:rsidRDefault="00A2303C" w:rsidP="00BA6A0C">
      <w:pPr>
        <w:pStyle w:val="NoSpacing"/>
        <w:spacing w:line="360" w:lineRule="auto"/>
        <w:rPr>
          <w:lang w:val="en-GB"/>
        </w:rPr>
      </w:pPr>
      <w:r>
        <w:rPr>
          <w:lang w:val="en-GB"/>
        </w:rPr>
        <w:t>The current pension system in Brazil slightly deviates from the earlier mentioned multi-pillar format of the World Bank. Not only does Brazil have a zero pillar, but also the second pillar deviates from the format. The Brazilian system is best summarized by Table 6.1. Furthermore, Table 6.2 presents figures on the Brazilian population, to give an impression of the size of the Brazilian population and the pension system.</w:t>
      </w:r>
    </w:p>
    <w:p w:rsidR="00A2303C" w:rsidRDefault="00A2303C" w:rsidP="00BA6A0C">
      <w:pPr>
        <w:pStyle w:val="NoSpacing"/>
        <w:spacing w:line="360" w:lineRule="auto"/>
        <w:rPr>
          <w:lang w:val="en-GB"/>
        </w:rPr>
      </w:pPr>
    </w:p>
    <w:p w:rsidR="00A2303C" w:rsidRPr="00FD40AE" w:rsidRDefault="00A2303C" w:rsidP="00FD40AE">
      <w:pPr>
        <w:pStyle w:val="NoSpacing"/>
        <w:spacing w:line="360" w:lineRule="auto"/>
        <w:jc w:val="center"/>
        <w:rPr>
          <w:i/>
          <w:sz w:val="20"/>
          <w:szCs w:val="20"/>
          <w:lang w:val="en-GB"/>
        </w:rPr>
      </w:pPr>
      <w:r>
        <w:rPr>
          <w:i/>
          <w:sz w:val="20"/>
          <w:szCs w:val="20"/>
          <w:lang w:val="en-GB"/>
        </w:rPr>
        <w:t>Table 6.1 Current pension system in Brazil</w:t>
      </w:r>
    </w:p>
    <w:tbl>
      <w:tblPr>
        <w:tblW w:w="9648" w:type="dxa"/>
        <w:tblBorders>
          <w:top w:val="single" w:sz="18" w:space="0" w:color="auto"/>
          <w:bottom w:val="single" w:sz="18" w:space="0" w:color="auto"/>
        </w:tblBorders>
        <w:tblLook w:val="00A0"/>
      </w:tblPr>
      <w:tblGrid>
        <w:gridCol w:w="1818"/>
        <w:gridCol w:w="3006"/>
        <w:gridCol w:w="2322"/>
        <w:gridCol w:w="2502"/>
      </w:tblGrid>
      <w:tr w:rsidR="00A2303C" w:rsidRPr="007F7925" w:rsidTr="008D584B">
        <w:tc>
          <w:tcPr>
            <w:tcW w:w="1818" w:type="dxa"/>
            <w:tcBorders>
              <w:top w:val="single" w:sz="18" w:space="0" w:color="auto"/>
              <w:left w:val="single" w:sz="18" w:space="0" w:color="auto"/>
              <w:bottom w:val="single" w:sz="18" w:space="0" w:color="auto"/>
              <w:right w:val="nil"/>
            </w:tcBorders>
            <w:shd w:val="clear" w:color="auto" w:fill="4F81BD"/>
          </w:tcPr>
          <w:p w:rsidR="00A2303C" w:rsidRPr="008D584B" w:rsidRDefault="00A2303C" w:rsidP="008D584B">
            <w:pPr>
              <w:pStyle w:val="NoSpacing"/>
              <w:spacing w:line="360" w:lineRule="auto"/>
              <w:rPr>
                <w:b/>
                <w:bCs/>
                <w:color w:val="FFFFFF"/>
                <w:sz w:val="20"/>
                <w:szCs w:val="20"/>
                <w:lang w:val="en-GB"/>
              </w:rPr>
            </w:pPr>
          </w:p>
        </w:tc>
        <w:tc>
          <w:tcPr>
            <w:tcW w:w="3006" w:type="dxa"/>
            <w:tcBorders>
              <w:top w:val="single" w:sz="18" w:space="0" w:color="auto"/>
              <w:left w:val="nil"/>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sz w:val="20"/>
                <w:szCs w:val="20"/>
                <w:lang w:val="en-GB"/>
              </w:rPr>
            </w:pPr>
          </w:p>
        </w:tc>
        <w:tc>
          <w:tcPr>
            <w:tcW w:w="2322" w:type="dxa"/>
            <w:tcBorders>
              <w:top w:val="single" w:sz="18" w:space="0" w:color="auto"/>
              <w:left w:val="single" w:sz="18" w:space="0" w:color="FFFFFF"/>
              <w:bottom w:val="single" w:sz="18" w:space="0" w:color="auto"/>
              <w:right w:val="single" w:sz="18" w:space="0" w:color="FFFFFF"/>
            </w:tcBorders>
            <w:shd w:val="clear" w:color="auto" w:fill="4F81BD"/>
          </w:tcPr>
          <w:p w:rsidR="00A2303C" w:rsidRPr="008D584B" w:rsidRDefault="00A2303C" w:rsidP="008D584B">
            <w:pPr>
              <w:pStyle w:val="NoSpacing"/>
              <w:spacing w:line="360" w:lineRule="auto"/>
              <w:jc w:val="center"/>
              <w:rPr>
                <w:b/>
                <w:bCs/>
                <w:color w:val="FFFFFF"/>
                <w:lang w:val="en-GB"/>
              </w:rPr>
            </w:pPr>
            <w:r w:rsidRPr="008D584B">
              <w:rPr>
                <w:b/>
                <w:bCs/>
                <w:color w:val="FFFFFF"/>
                <w:lang w:val="en-GB"/>
              </w:rPr>
              <w:t>Types of Plan</w:t>
            </w:r>
          </w:p>
        </w:tc>
        <w:tc>
          <w:tcPr>
            <w:tcW w:w="2502" w:type="dxa"/>
            <w:tcBorders>
              <w:top w:val="single" w:sz="18" w:space="0" w:color="auto"/>
              <w:left w:val="single" w:sz="18" w:space="0" w:color="FFFFFF"/>
              <w:bottom w:val="single" w:sz="18" w:space="0" w:color="auto"/>
              <w:right w:val="single" w:sz="18" w:space="0" w:color="auto"/>
            </w:tcBorders>
            <w:shd w:val="clear" w:color="auto" w:fill="4F81BD"/>
          </w:tcPr>
          <w:p w:rsidR="00A2303C" w:rsidRPr="008D584B" w:rsidRDefault="00A2303C" w:rsidP="008D584B">
            <w:pPr>
              <w:pStyle w:val="NoSpacing"/>
              <w:spacing w:line="360" w:lineRule="auto"/>
              <w:jc w:val="center"/>
              <w:rPr>
                <w:b/>
                <w:bCs/>
                <w:color w:val="FFFFFF"/>
                <w:lang w:val="en-GB"/>
              </w:rPr>
            </w:pPr>
            <w:r w:rsidRPr="008D584B">
              <w:rPr>
                <w:b/>
                <w:bCs/>
                <w:color w:val="FFFFFF"/>
                <w:lang w:val="en-GB"/>
              </w:rPr>
              <w:t>Management</w:t>
            </w:r>
          </w:p>
        </w:tc>
      </w:tr>
      <w:tr w:rsidR="00A2303C" w:rsidRPr="007F7925" w:rsidTr="008D584B">
        <w:tc>
          <w:tcPr>
            <w:tcW w:w="1818" w:type="dxa"/>
            <w:tcBorders>
              <w:top w:val="single" w:sz="18" w:space="0" w:color="auto"/>
              <w:left w:val="single" w:sz="18" w:space="0" w:color="auto"/>
              <w:bottom w:val="single" w:sz="18" w:space="0" w:color="FFFFFF"/>
              <w:right w:val="single" w:sz="18" w:space="0" w:color="FFFFFF"/>
            </w:tcBorders>
            <w:shd w:val="clear" w:color="auto" w:fill="4F81BD"/>
          </w:tcPr>
          <w:p w:rsidR="00A2303C" w:rsidRPr="008D584B" w:rsidRDefault="00A2303C" w:rsidP="008D584B">
            <w:pPr>
              <w:pStyle w:val="NoSpacing"/>
              <w:spacing w:line="360" w:lineRule="auto"/>
              <w:jc w:val="center"/>
              <w:rPr>
                <w:b/>
                <w:bCs/>
                <w:color w:val="FFFFFF"/>
                <w:lang w:val="en-GB"/>
              </w:rPr>
            </w:pPr>
            <w:r w:rsidRPr="008D584B">
              <w:rPr>
                <w:b/>
                <w:bCs/>
                <w:color w:val="FFFFFF"/>
                <w:lang w:val="en-GB"/>
              </w:rPr>
              <w:t>Zero pillar</w:t>
            </w:r>
          </w:p>
        </w:tc>
        <w:tc>
          <w:tcPr>
            <w:tcW w:w="3006" w:type="dxa"/>
            <w:tcBorders>
              <w:top w:val="single" w:sz="18" w:space="0" w:color="auto"/>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Poverty Relief – Social Assistance</w:t>
            </w:r>
          </w:p>
        </w:tc>
        <w:tc>
          <w:tcPr>
            <w:tcW w:w="2322" w:type="dxa"/>
            <w:tcBorders>
              <w:top w:val="single" w:sz="18" w:space="0" w:color="auto"/>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Non-contributory</w:t>
            </w:r>
          </w:p>
        </w:tc>
        <w:tc>
          <w:tcPr>
            <w:tcW w:w="2502" w:type="dxa"/>
            <w:tcBorders>
              <w:top w:val="single" w:sz="18" w:space="0" w:color="auto"/>
              <w:left w:val="single" w:sz="18" w:space="0" w:color="FFFFFF"/>
              <w:bottom w:val="single" w:sz="18" w:space="0" w:color="FFFFFF"/>
              <w:right w:val="single" w:sz="18" w:space="0" w:color="auto"/>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Public: INSS</w:t>
            </w:r>
          </w:p>
        </w:tc>
      </w:tr>
      <w:tr w:rsidR="00A2303C" w:rsidRPr="007F7925" w:rsidTr="008D584B">
        <w:tc>
          <w:tcPr>
            <w:tcW w:w="1818" w:type="dxa"/>
            <w:tcBorders>
              <w:top w:val="single" w:sz="18" w:space="0" w:color="FFFFFF"/>
              <w:left w:val="single" w:sz="18" w:space="0" w:color="auto"/>
              <w:bottom w:val="nil"/>
              <w:right w:val="single" w:sz="18" w:space="0" w:color="FFFFFF"/>
            </w:tcBorders>
            <w:shd w:val="clear" w:color="auto" w:fill="4F81BD"/>
          </w:tcPr>
          <w:p w:rsidR="00A2303C" w:rsidRPr="008D584B" w:rsidRDefault="00A2303C" w:rsidP="008D584B">
            <w:pPr>
              <w:pStyle w:val="NoSpacing"/>
              <w:spacing w:line="360" w:lineRule="auto"/>
              <w:jc w:val="center"/>
              <w:rPr>
                <w:b/>
                <w:bCs/>
                <w:color w:val="FFFFFF"/>
                <w:lang w:val="en-GB"/>
              </w:rPr>
            </w:pPr>
            <w:r w:rsidRPr="008D584B">
              <w:rPr>
                <w:b/>
                <w:bCs/>
                <w:color w:val="FFFFFF"/>
                <w:lang w:val="en-GB"/>
              </w:rPr>
              <w:t>First pillar</w:t>
            </w:r>
          </w:p>
        </w:tc>
        <w:tc>
          <w:tcPr>
            <w:tcW w:w="3006" w:type="dxa"/>
            <w:tcBorders>
              <w:top w:val="single" w:sz="18" w:space="0" w:color="FFFFFF"/>
              <w:left w:val="single" w:sz="18" w:space="0" w:color="FFFFFF"/>
              <w:right w:val="single" w:sz="18" w:space="0" w:color="FFFFFF"/>
            </w:tcBorders>
            <w:shd w:val="clear" w:color="auto" w:fill="C6D9F1"/>
          </w:tcPr>
          <w:p w:rsidR="00A2303C" w:rsidRPr="008D584B" w:rsidRDefault="00A2303C" w:rsidP="008D584B">
            <w:pPr>
              <w:pStyle w:val="NoSpacing"/>
              <w:spacing w:line="360" w:lineRule="auto"/>
              <w:rPr>
                <w:sz w:val="20"/>
                <w:szCs w:val="20"/>
                <w:lang w:val="en-GB"/>
              </w:rPr>
            </w:pPr>
            <w:r w:rsidRPr="008D584B">
              <w:rPr>
                <w:sz w:val="20"/>
                <w:szCs w:val="20"/>
                <w:lang w:val="en-GB"/>
              </w:rPr>
              <w:t>General system, RGPS</w:t>
            </w:r>
          </w:p>
        </w:tc>
        <w:tc>
          <w:tcPr>
            <w:tcW w:w="2322" w:type="dxa"/>
            <w:tcBorders>
              <w:top w:val="single" w:sz="18" w:space="0" w:color="FFFFFF"/>
              <w:left w:val="single" w:sz="18" w:space="0" w:color="FFFFFF"/>
              <w:right w:val="single" w:sz="18" w:space="0" w:color="FFFFFF"/>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PAYG</w:t>
            </w:r>
          </w:p>
        </w:tc>
        <w:tc>
          <w:tcPr>
            <w:tcW w:w="2502" w:type="dxa"/>
            <w:tcBorders>
              <w:top w:val="single" w:sz="18" w:space="0" w:color="FFFFFF"/>
              <w:left w:val="single" w:sz="18" w:space="0" w:color="FFFFFF"/>
              <w:right w:val="single" w:sz="18" w:space="0" w:color="auto"/>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Public: INSS</w:t>
            </w:r>
          </w:p>
        </w:tc>
      </w:tr>
      <w:tr w:rsidR="00A2303C" w:rsidRPr="007F7925" w:rsidTr="008D584B">
        <w:tc>
          <w:tcPr>
            <w:tcW w:w="1818" w:type="dxa"/>
            <w:tcBorders>
              <w:left w:val="single" w:sz="18" w:space="0" w:color="auto"/>
              <w:bottom w:val="nil"/>
              <w:right w:val="single" w:sz="18" w:space="0" w:color="FFFFFF"/>
            </w:tcBorders>
            <w:shd w:val="clear" w:color="auto" w:fill="4F81BD"/>
          </w:tcPr>
          <w:p w:rsidR="00A2303C" w:rsidRPr="008D584B" w:rsidRDefault="00A2303C" w:rsidP="008D584B">
            <w:pPr>
              <w:pStyle w:val="NoSpacing"/>
              <w:spacing w:line="360" w:lineRule="auto"/>
              <w:jc w:val="center"/>
              <w:rPr>
                <w:b/>
                <w:bCs/>
                <w:color w:val="FFFFFF"/>
                <w:lang w:val="en-GB"/>
              </w:rPr>
            </w:pPr>
            <w:r w:rsidRPr="008D584B">
              <w:rPr>
                <w:b/>
                <w:bCs/>
                <w:color w:val="FFFFFF"/>
                <w:lang w:val="en-GB"/>
              </w:rPr>
              <w:t>(mandatory)</w:t>
            </w:r>
          </w:p>
        </w:tc>
        <w:tc>
          <w:tcPr>
            <w:tcW w:w="3006" w:type="dxa"/>
            <w:tcBorders>
              <w:left w:val="single" w:sz="18" w:space="0" w:color="FFFFFF"/>
              <w:right w:val="single" w:sz="18" w:space="0" w:color="FFFFFF"/>
            </w:tcBorders>
            <w:shd w:val="clear" w:color="auto" w:fill="C6D9F1"/>
          </w:tcPr>
          <w:p w:rsidR="00A2303C" w:rsidRPr="008D584B" w:rsidRDefault="00A2303C" w:rsidP="008D584B">
            <w:pPr>
              <w:pStyle w:val="NoSpacing"/>
              <w:spacing w:line="360" w:lineRule="auto"/>
              <w:rPr>
                <w:sz w:val="20"/>
                <w:szCs w:val="20"/>
                <w:lang w:val="en-GB"/>
              </w:rPr>
            </w:pPr>
            <w:r w:rsidRPr="008D584B">
              <w:rPr>
                <w:sz w:val="20"/>
                <w:szCs w:val="20"/>
                <w:lang w:val="en-GB"/>
              </w:rPr>
              <w:t>Special system, RJU</w:t>
            </w:r>
          </w:p>
        </w:tc>
        <w:tc>
          <w:tcPr>
            <w:tcW w:w="2322" w:type="dxa"/>
            <w:tcBorders>
              <w:left w:val="single" w:sz="18" w:space="0" w:color="FFFFFF"/>
              <w:right w:val="single" w:sz="18" w:space="0" w:color="FFFFFF"/>
            </w:tcBorders>
            <w:shd w:val="clear" w:color="auto" w:fill="C6D9F1"/>
          </w:tcPr>
          <w:p w:rsidR="00A2303C" w:rsidRPr="008D584B" w:rsidRDefault="00A2303C" w:rsidP="008D584B">
            <w:pPr>
              <w:pStyle w:val="NoSpacing"/>
              <w:spacing w:line="360" w:lineRule="auto"/>
              <w:jc w:val="center"/>
              <w:rPr>
                <w:sz w:val="20"/>
                <w:szCs w:val="20"/>
                <w:lang w:val="en-GB"/>
              </w:rPr>
            </w:pPr>
          </w:p>
        </w:tc>
        <w:tc>
          <w:tcPr>
            <w:tcW w:w="2502" w:type="dxa"/>
            <w:tcBorders>
              <w:left w:val="single" w:sz="18" w:space="0" w:color="FFFFFF"/>
              <w:right w:val="single" w:sz="18" w:space="0" w:color="auto"/>
            </w:tcBorders>
            <w:shd w:val="clear" w:color="auto" w:fill="C6D9F1"/>
          </w:tcPr>
          <w:p w:rsidR="00A2303C" w:rsidRPr="008D584B" w:rsidRDefault="00A2303C" w:rsidP="008D584B">
            <w:pPr>
              <w:pStyle w:val="NoSpacing"/>
              <w:spacing w:line="360" w:lineRule="auto"/>
              <w:jc w:val="center"/>
              <w:rPr>
                <w:sz w:val="20"/>
                <w:szCs w:val="20"/>
                <w:lang w:val="en-GB"/>
              </w:rPr>
            </w:pPr>
          </w:p>
        </w:tc>
      </w:tr>
      <w:tr w:rsidR="00A2303C" w:rsidRPr="007F7925" w:rsidTr="008D584B">
        <w:tc>
          <w:tcPr>
            <w:tcW w:w="1818" w:type="dxa"/>
            <w:tcBorders>
              <w:left w:val="single" w:sz="18" w:space="0" w:color="auto"/>
              <w:bottom w:val="nil"/>
              <w:right w:val="single" w:sz="18" w:space="0" w:color="FFFFFF"/>
            </w:tcBorders>
            <w:shd w:val="clear" w:color="auto" w:fill="4F81BD"/>
          </w:tcPr>
          <w:p w:rsidR="00A2303C" w:rsidRPr="008D584B" w:rsidRDefault="00A2303C" w:rsidP="008D584B">
            <w:pPr>
              <w:pStyle w:val="NoSpacing"/>
              <w:spacing w:line="360" w:lineRule="auto"/>
              <w:rPr>
                <w:b/>
                <w:bCs/>
                <w:color w:val="FFFFFF"/>
                <w:lang w:val="en-GB"/>
              </w:rPr>
            </w:pPr>
          </w:p>
        </w:tc>
        <w:tc>
          <w:tcPr>
            <w:tcW w:w="3006" w:type="dxa"/>
            <w:tcBorders>
              <w:left w:val="single" w:sz="18" w:space="0" w:color="FFFFFF"/>
              <w:right w:val="single" w:sz="18" w:space="0" w:color="FFFFFF"/>
            </w:tcBorders>
            <w:shd w:val="clear" w:color="auto" w:fill="C6D9F1"/>
          </w:tcPr>
          <w:p w:rsidR="00A2303C" w:rsidRPr="008D584B" w:rsidRDefault="00A2303C" w:rsidP="008D584B">
            <w:pPr>
              <w:pStyle w:val="NoSpacing"/>
              <w:numPr>
                <w:ilvl w:val="0"/>
                <w:numId w:val="8"/>
              </w:numPr>
              <w:spacing w:line="360" w:lineRule="auto"/>
              <w:rPr>
                <w:sz w:val="20"/>
                <w:szCs w:val="20"/>
                <w:lang w:val="en-GB"/>
              </w:rPr>
            </w:pPr>
            <w:r w:rsidRPr="008D584B">
              <w:rPr>
                <w:sz w:val="20"/>
                <w:szCs w:val="20"/>
                <w:lang w:val="en-GB"/>
              </w:rPr>
              <w:t>Federal</w:t>
            </w:r>
          </w:p>
        </w:tc>
        <w:tc>
          <w:tcPr>
            <w:tcW w:w="2322" w:type="dxa"/>
            <w:tcBorders>
              <w:left w:val="single" w:sz="18" w:space="0" w:color="FFFFFF"/>
              <w:right w:val="single" w:sz="18" w:space="0" w:color="FFFFFF"/>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PAYG</w:t>
            </w:r>
          </w:p>
        </w:tc>
        <w:tc>
          <w:tcPr>
            <w:tcW w:w="2502" w:type="dxa"/>
            <w:tcBorders>
              <w:left w:val="single" w:sz="18" w:space="0" w:color="FFFFFF"/>
              <w:right w:val="single" w:sz="18" w:space="0" w:color="auto"/>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Public: INSS</w:t>
            </w:r>
          </w:p>
        </w:tc>
      </w:tr>
      <w:tr w:rsidR="00A2303C" w:rsidRPr="007F7925" w:rsidTr="008D584B">
        <w:tc>
          <w:tcPr>
            <w:tcW w:w="1818" w:type="dxa"/>
            <w:tcBorders>
              <w:left w:val="single" w:sz="18" w:space="0" w:color="auto"/>
              <w:bottom w:val="nil"/>
              <w:right w:val="single" w:sz="18" w:space="0" w:color="FFFFFF"/>
            </w:tcBorders>
            <w:shd w:val="clear" w:color="auto" w:fill="4F81BD"/>
          </w:tcPr>
          <w:p w:rsidR="00A2303C" w:rsidRPr="008D584B" w:rsidRDefault="00A2303C" w:rsidP="008D584B">
            <w:pPr>
              <w:pStyle w:val="NoSpacing"/>
              <w:spacing w:line="360" w:lineRule="auto"/>
              <w:rPr>
                <w:b/>
                <w:bCs/>
                <w:color w:val="FFFFFF"/>
                <w:lang w:val="en-GB"/>
              </w:rPr>
            </w:pPr>
          </w:p>
        </w:tc>
        <w:tc>
          <w:tcPr>
            <w:tcW w:w="3006" w:type="dxa"/>
            <w:tcBorders>
              <w:left w:val="single" w:sz="18" w:space="0" w:color="FFFFFF"/>
              <w:bottom w:val="nil"/>
              <w:right w:val="single" w:sz="18" w:space="0" w:color="FFFFFF"/>
            </w:tcBorders>
            <w:shd w:val="clear" w:color="auto" w:fill="C6D9F1"/>
          </w:tcPr>
          <w:p w:rsidR="00A2303C" w:rsidRPr="008D584B" w:rsidRDefault="00A2303C" w:rsidP="008D584B">
            <w:pPr>
              <w:pStyle w:val="NoSpacing"/>
              <w:numPr>
                <w:ilvl w:val="0"/>
                <w:numId w:val="8"/>
              </w:numPr>
              <w:spacing w:line="360" w:lineRule="auto"/>
              <w:rPr>
                <w:sz w:val="20"/>
                <w:szCs w:val="20"/>
                <w:lang w:val="en-GB"/>
              </w:rPr>
            </w:pPr>
            <w:r w:rsidRPr="008D584B">
              <w:rPr>
                <w:sz w:val="20"/>
                <w:szCs w:val="20"/>
                <w:lang w:val="en-GB"/>
              </w:rPr>
              <w:t>States</w:t>
            </w:r>
          </w:p>
        </w:tc>
        <w:tc>
          <w:tcPr>
            <w:tcW w:w="2322" w:type="dxa"/>
            <w:tcBorders>
              <w:left w:val="single" w:sz="18" w:space="0" w:color="FFFFFF"/>
              <w:bottom w:val="nil"/>
              <w:right w:val="single" w:sz="18" w:space="0" w:color="FFFFFF"/>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PAYG</w:t>
            </w:r>
          </w:p>
        </w:tc>
        <w:tc>
          <w:tcPr>
            <w:tcW w:w="2502" w:type="dxa"/>
            <w:tcBorders>
              <w:left w:val="single" w:sz="18" w:space="0" w:color="FFFFFF"/>
              <w:bottom w:val="nil"/>
              <w:right w:val="single" w:sz="18" w:space="0" w:color="auto"/>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Public: State governments</w:t>
            </w:r>
          </w:p>
        </w:tc>
      </w:tr>
      <w:tr w:rsidR="00A2303C" w:rsidRPr="00762AC3" w:rsidTr="008D584B">
        <w:tc>
          <w:tcPr>
            <w:tcW w:w="1818" w:type="dxa"/>
            <w:tcBorders>
              <w:top w:val="nil"/>
              <w:left w:val="single" w:sz="18" w:space="0" w:color="auto"/>
              <w:bottom w:val="single" w:sz="18" w:space="0" w:color="FFFFFF"/>
              <w:right w:val="single" w:sz="18" w:space="0" w:color="FFFFFF"/>
            </w:tcBorders>
            <w:shd w:val="clear" w:color="auto" w:fill="4F81BD"/>
          </w:tcPr>
          <w:p w:rsidR="00A2303C" w:rsidRPr="008D584B" w:rsidRDefault="00A2303C" w:rsidP="008D584B">
            <w:pPr>
              <w:pStyle w:val="NoSpacing"/>
              <w:spacing w:line="360" w:lineRule="auto"/>
              <w:rPr>
                <w:b/>
                <w:bCs/>
                <w:color w:val="FFFFFF"/>
                <w:lang w:val="en-GB"/>
              </w:rPr>
            </w:pPr>
          </w:p>
        </w:tc>
        <w:tc>
          <w:tcPr>
            <w:tcW w:w="3006" w:type="dxa"/>
            <w:tcBorders>
              <w:top w:val="nil"/>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numPr>
                <w:ilvl w:val="0"/>
                <w:numId w:val="8"/>
              </w:numPr>
              <w:spacing w:line="360" w:lineRule="auto"/>
              <w:rPr>
                <w:sz w:val="20"/>
                <w:szCs w:val="20"/>
                <w:lang w:val="en-GB"/>
              </w:rPr>
            </w:pPr>
            <w:r w:rsidRPr="008D584B">
              <w:rPr>
                <w:sz w:val="20"/>
                <w:szCs w:val="20"/>
                <w:lang w:val="en-GB"/>
              </w:rPr>
              <w:t>Municipalities</w:t>
            </w:r>
          </w:p>
        </w:tc>
        <w:tc>
          <w:tcPr>
            <w:tcW w:w="2322" w:type="dxa"/>
            <w:tcBorders>
              <w:top w:val="nil"/>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PAYG</w:t>
            </w:r>
          </w:p>
        </w:tc>
        <w:tc>
          <w:tcPr>
            <w:tcW w:w="2502" w:type="dxa"/>
            <w:tcBorders>
              <w:top w:val="nil"/>
              <w:left w:val="single" w:sz="18" w:space="0" w:color="FFFFFF"/>
              <w:bottom w:val="single" w:sz="18" w:space="0" w:color="FFFFFF"/>
              <w:right w:val="single" w:sz="18" w:space="0" w:color="auto"/>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Public: City councils or INSS</w:t>
            </w:r>
          </w:p>
        </w:tc>
      </w:tr>
      <w:tr w:rsidR="00A2303C" w:rsidRPr="007F7925" w:rsidTr="008D584B">
        <w:tc>
          <w:tcPr>
            <w:tcW w:w="1818" w:type="dxa"/>
            <w:tcBorders>
              <w:top w:val="single" w:sz="18" w:space="0" w:color="FFFFFF"/>
              <w:left w:val="single" w:sz="18" w:space="0" w:color="auto"/>
              <w:bottom w:val="single" w:sz="18" w:space="0" w:color="FFFFFF"/>
              <w:right w:val="single" w:sz="18" w:space="0" w:color="FFFFFF"/>
            </w:tcBorders>
            <w:shd w:val="clear" w:color="auto" w:fill="4F81BD"/>
          </w:tcPr>
          <w:p w:rsidR="00A2303C" w:rsidRPr="008D584B" w:rsidRDefault="00A2303C" w:rsidP="008D584B">
            <w:pPr>
              <w:pStyle w:val="NoSpacing"/>
              <w:spacing w:line="360" w:lineRule="auto"/>
              <w:jc w:val="center"/>
              <w:rPr>
                <w:b/>
                <w:bCs/>
                <w:color w:val="FFFFFF"/>
                <w:lang w:val="en-GB"/>
              </w:rPr>
            </w:pPr>
            <w:r w:rsidRPr="008D584B">
              <w:rPr>
                <w:b/>
                <w:bCs/>
                <w:color w:val="FFFFFF"/>
                <w:lang w:val="en-GB"/>
              </w:rPr>
              <w:t>Second pillar</w:t>
            </w:r>
          </w:p>
          <w:p w:rsidR="00A2303C" w:rsidRPr="008D584B" w:rsidRDefault="00A2303C" w:rsidP="008D584B">
            <w:pPr>
              <w:pStyle w:val="NoSpacing"/>
              <w:spacing w:line="360" w:lineRule="auto"/>
              <w:jc w:val="center"/>
              <w:rPr>
                <w:b/>
                <w:bCs/>
                <w:color w:val="FFFFFF"/>
                <w:lang w:val="en-GB"/>
              </w:rPr>
            </w:pPr>
            <w:r w:rsidRPr="008D584B">
              <w:rPr>
                <w:b/>
                <w:bCs/>
                <w:color w:val="FFFFFF"/>
                <w:lang w:val="en-GB"/>
              </w:rPr>
              <w:t>(mandatory)</w:t>
            </w:r>
          </w:p>
        </w:tc>
        <w:tc>
          <w:tcPr>
            <w:tcW w:w="3006" w:type="dxa"/>
            <w:tcBorders>
              <w:top w:val="single" w:sz="18" w:space="0" w:color="FFFFFF"/>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rPr>
                <w:sz w:val="20"/>
                <w:szCs w:val="20"/>
                <w:lang w:val="en-GB"/>
              </w:rPr>
            </w:pPr>
            <w:r w:rsidRPr="008D584B">
              <w:rPr>
                <w:sz w:val="20"/>
                <w:szCs w:val="20"/>
                <w:lang w:val="en-GB"/>
              </w:rPr>
              <w:t>Closed pensions</w:t>
            </w:r>
          </w:p>
          <w:p w:rsidR="00A2303C" w:rsidRPr="008D584B" w:rsidRDefault="00A2303C" w:rsidP="008D584B">
            <w:pPr>
              <w:pStyle w:val="NoSpacing"/>
              <w:spacing w:line="360" w:lineRule="auto"/>
              <w:rPr>
                <w:sz w:val="20"/>
                <w:szCs w:val="20"/>
                <w:lang w:val="en-GB"/>
              </w:rPr>
            </w:pPr>
            <w:r w:rsidRPr="008D584B">
              <w:rPr>
                <w:sz w:val="20"/>
                <w:szCs w:val="20"/>
                <w:lang w:val="en-GB"/>
              </w:rPr>
              <w:t>for new civil servants</w:t>
            </w:r>
          </w:p>
        </w:tc>
        <w:tc>
          <w:tcPr>
            <w:tcW w:w="2322" w:type="dxa"/>
            <w:tcBorders>
              <w:top w:val="single" w:sz="18" w:space="0" w:color="FFFFFF"/>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DB and DC</w:t>
            </w:r>
          </w:p>
        </w:tc>
        <w:tc>
          <w:tcPr>
            <w:tcW w:w="2502" w:type="dxa"/>
            <w:tcBorders>
              <w:top w:val="single" w:sz="18" w:space="0" w:color="FFFFFF"/>
              <w:left w:val="single" w:sz="18" w:space="0" w:color="FFFFFF"/>
              <w:bottom w:val="single" w:sz="18" w:space="0" w:color="FFFFFF"/>
              <w:right w:val="single" w:sz="18" w:space="0" w:color="auto"/>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Mixed: Pension fund</w:t>
            </w:r>
          </w:p>
        </w:tc>
      </w:tr>
      <w:tr w:rsidR="00A2303C" w:rsidRPr="007F7925" w:rsidTr="008D584B">
        <w:tc>
          <w:tcPr>
            <w:tcW w:w="1818" w:type="dxa"/>
            <w:tcBorders>
              <w:top w:val="single" w:sz="18" w:space="0" w:color="FFFFFF"/>
              <w:left w:val="single" w:sz="18" w:space="0" w:color="auto"/>
              <w:bottom w:val="nil"/>
              <w:right w:val="single" w:sz="18" w:space="0" w:color="FFFFFF"/>
            </w:tcBorders>
            <w:shd w:val="clear" w:color="auto" w:fill="4F81BD"/>
          </w:tcPr>
          <w:p w:rsidR="00A2303C" w:rsidRPr="008D584B" w:rsidRDefault="00A2303C" w:rsidP="008D584B">
            <w:pPr>
              <w:pStyle w:val="NoSpacing"/>
              <w:spacing w:line="360" w:lineRule="auto"/>
              <w:jc w:val="center"/>
              <w:rPr>
                <w:b/>
                <w:bCs/>
                <w:color w:val="FFFFFF"/>
                <w:lang w:val="en-GB"/>
              </w:rPr>
            </w:pPr>
            <w:r w:rsidRPr="008D584B">
              <w:rPr>
                <w:b/>
                <w:bCs/>
                <w:color w:val="FFFFFF"/>
                <w:lang w:val="en-GB"/>
              </w:rPr>
              <w:t>Third pillar</w:t>
            </w:r>
          </w:p>
        </w:tc>
        <w:tc>
          <w:tcPr>
            <w:tcW w:w="3006" w:type="dxa"/>
            <w:tcBorders>
              <w:top w:val="single" w:sz="18" w:space="0" w:color="FFFFFF"/>
              <w:left w:val="single" w:sz="18" w:space="0" w:color="FFFFFF"/>
              <w:right w:val="single" w:sz="18" w:space="0" w:color="FFFFFF"/>
            </w:tcBorders>
            <w:shd w:val="clear" w:color="auto" w:fill="C6D9F1"/>
          </w:tcPr>
          <w:p w:rsidR="00A2303C" w:rsidRPr="008D584B" w:rsidRDefault="00A2303C" w:rsidP="008D584B">
            <w:pPr>
              <w:pStyle w:val="NoSpacing"/>
              <w:spacing w:line="360" w:lineRule="auto"/>
              <w:rPr>
                <w:sz w:val="20"/>
                <w:szCs w:val="20"/>
                <w:lang w:val="en-GB"/>
              </w:rPr>
            </w:pPr>
            <w:r w:rsidRPr="008D584B">
              <w:rPr>
                <w:sz w:val="20"/>
                <w:szCs w:val="20"/>
                <w:lang w:val="en-GB"/>
              </w:rPr>
              <w:t>Open pensions for all workers</w:t>
            </w:r>
          </w:p>
        </w:tc>
        <w:tc>
          <w:tcPr>
            <w:tcW w:w="2322" w:type="dxa"/>
            <w:tcBorders>
              <w:top w:val="single" w:sz="18" w:space="0" w:color="FFFFFF"/>
              <w:left w:val="single" w:sz="18" w:space="0" w:color="FFFFFF"/>
              <w:right w:val="single" w:sz="18" w:space="0" w:color="FFFFFF"/>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DB and DC</w:t>
            </w:r>
          </w:p>
        </w:tc>
        <w:tc>
          <w:tcPr>
            <w:tcW w:w="2502" w:type="dxa"/>
            <w:tcBorders>
              <w:top w:val="single" w:sz="18" w:space="0" w:color="FFFFFF"/>
              <w:left w:val="single" w:sz="18" w:space="0" w:color="FFFFFF"/>
              <w:right w:val="single" w:sz="18" w:space="0" w:color="auto"/>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Private: Financial systems</w:t>
            </w:r>
          </w:p>
        </w:tc>
      </w:tr>
      <w:tr w:rsidR="00A2303C" w:rsidRPr="00762AC3" w:rsidTr="008D584B">
        <w:tc>
          <w:tcPr>
            <w:tcW w:w="1818" w:type="dxa"/>
            <w:tcBorders>
              <w:left w:val="single" w:sz="18" w:space="0" w:color="auto"/>
              <w:bottom w:val="single" w:sz="18" w:space="0" w:color="auto"/>
              <w:right w:val="single" w:sz="18" w:space="0" w:color="FFFFFF"/>
            </w:tcBorders>
            <w:shd w:val="clear" w:color="auto" w:fill="4F81BD"/>
          </w:tcPr>
          <w:p w:rsidR="00A2303C" w:rsidRPr="008D584B" w:rsidRDefault="00A2303C" w:rsidP="008D584B">
            <w:pPr>
              <w:pStyle w:val="NoSpacing"/>
              <w:spacing w:line="360" w:lineRule="auto"/>
              <w:jc w:val="center"/>
              <w:rPr>
                <w:b/>
                <w:bCs/>
                <w:color w:val="FFFFFF"/>
                <w:lang w:val="en-GB"/>
              </w:rPr>
            </w:pPr>
            <w:r w:rsidRPr="008D584B">
              <w:rPr>
                <w:b/>
                <w:bCs/>
                <w:color w:val="FFFFFF"/>
                <w:lang w:val="en-GB"/>
              </w:rPr>
              <w:t>(voluntary)</w:t>
            </w:r>
          </w:p>
        </w:tc>
        <w:tc>
          <w:tcPr>
            <w:tcW w:w="3006" w:type="dxa"/>
            <w:tcBorders>
              <w:left w:val="single" w:sz="18" w:space="0" w:color="FFFFFF"/>
              <w:bottom w:val="single" w:sz="18" w:space="0" w:color="auto"/>
              <w:right w:val="single" w:sz="18" w:space="0" w:color="FFFFFF"/>
            </w:tcBorders>
            <w:shd w:val="clear" w:color="auto" w:fill="C6D9F1"/>
          </w:tcPr>
          <w:p w:rsidR="00A2303C" w:rsidRPr="008D584B" w:rsidRDefault="00A2303C" w:rsidP="008D584B">
            <w:pPr>
              <w:pStyle w:val="NoSpacing"/>
              <w:spacing w:line="360" w:lineRule="auto"/>
              <w:rPr>
                <w:sz w:val="20"/>
                <w:szCs w:val="20"/>
                <w:lang w:val="en-GB"/>
              </w:rPr>
            </w:pPr>
            <w:r w:rsidRPr="008D584B">
              <w:rPr>
                <w:sz w:val="20"/>
                <w:szCs w:val="20"/>
                <w:lang w:val="en-GB"/>
              </w:rPr>
              <w:t>Closed pensions for all workers</w:t>
            </w:r>
          </w:p>
        </w:tc>
        <w:tc>
          <w:tcPr>
            <w:tcW w:w="2322" w:type="dxa"/>
            <w:tcBorders>
              <w:left w:val="single" w:sz="18" w:space="0" w:color="FFFFFF"/>
              <w:bottom w:val="single" w:sz="18" w:space="0" w:color="auto"/>
              <w:right w:val="single" w:sz="18" w:space="0" w:color="FFFFFF"/>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DB and DC</w:t>
            </w:r>
          </w:p>
        </w:tc>
        <w:tc>
          <w:tcPr>
            <w:tcW w:w="2502" w:type="dxa"/>
            <w:tcBorders>
              <w:left w:val="single" w:sz="18" w:space="0" w:color="FFFFFF"/>
              <w:bottom w:val="single" w:sz="18" w:space="0" w:color="auto"/>
              <w:right w:val="single" w:sz="18" w:space="0" w:color="auto"/>
            </w:tcBorders>
            <w:shd w:val="clear" w:color="auto" w:fill="C6D9F1"/>
          </w:tcPr>
          <w:p w:rsidR="00A2303C" w:rsidRPr="008D584B" w:rsidRDefault="00A2303C" w:rsidP="008D584B">
            <w:pPr>
              <w:pStyle w:val="NoSpacing"/>
              <w:spacing w:line="360" w:lineRule="auto"/>
              <w:jc w:val="center"/>
              <w:rPr>
                <w:sz w:val="20"/>
                <w:szCs w:val="20"/>
                <w:lang w:val="en-GB"/>
              </w:rPr>
            </w:pPr>
            <w:r w:rsidRPr="008D584B">
              <w:rPr>
                <w:sz w:val="20"/>
                <w:szCs w:val="20"/>
                <w:lang w:val="en-GB"/>
              </w:rPr>
              <w:t>Private: Pension funds and</w:t>
            </w:r>
          </w:p>
          <w:p w:rsidR="00A2303C" w:rsidRPr="008D584B" w:rsidRDefault="00A2303C" w:rsidP="008D584B">
            <w:pPr>
              <w:pStyle w:val="NoSpacing"/>
              <w:spacing w:line="360" w:lineRule="auto"/>
              <w:jc w:val="center"/>
              <w:rPr>
                <w:sz w:val="20"/>
                <w:szCs w:val="20"/>
                <w:lang w:val="en-GB"/>
              </w:rPr>
            </w:pPr>
            <w:r w:rsidRPr="008D584B">
              <w:rPr>
                <w:sz w:val="20"/>
                <w:szCs w:val="20"/>
                <w:lang w:val="en-GB"/>
              </w:rPr>
              <w:t>multi-employer funds</w:t>
            </w:r>
          </w:p>
        </w:tc>
      </w:tr>
    </w:tbl>
    <w:p w:rsidR="00A2303C" w:rsidRDefault="00A2303C" w:rsidP="00FD40AE">
      <w:pPr>
        <w:pStyle w:val="NoSpacing"/>
        <w:spacing w:line="360" w:lineRule="auto"/>
        <w:jc w:val="center"/>
        <w:rPr>
          <w:i/>
          <w:sz w:val="20"/>
          <w:szCs w:val="20"/>
          <w:lang w:val="en-GB"/>
        </w:rPr>
      </w:pPr>
      <w:r>
        <w:rPr>
          <w:i/>
          <w:sz w:val="20"/>
          <w:szCs w:val="20"/>
          <w:lang w:val="en-GB"/>
        </w:rPr>
        <w:t>Source: Ferreira Savoia (2007)</w:t>
      </w:r>
    </w:p>
    <w:p w:rsidR="00A2303C" w:rsidRDefault="00A2303C" w:rsidP="00FD40AE">
      <w:pPr>
        <w:pStyle w:val="NoSpacing"/>
        <w:spacing w:line="360" w:lineRule="auto"/>
        <w:jc w:val="center"/>
        <w:rPr>
          <w:i/>
          <w:sz w:val="20"/>
          <w:szCs w:val="20"/>
          <w:lang w:val="en-GB"/>
        </w:rPr>
      </w:pPr>
    </w:p>
    <w:p w:rsidR="00A2303C" w:rsidRDefault="00A2303C" w:rsidP="00FD40AE">
      <w:pPr>
        <w:pStyle w:val="NoSpacing"/>
        <w:spacing w:line="360" w:lineRule="auto"/>
        <w:jc w:val="center"/>
        <w:rPr>
          <w:i/>
          <w:sz w:val="20"/>
          <w:szCs w:val="20"/>
          <w:lang w:val="en-GB"/>
        </w:rPr>
      </w:pPr>
    </w:p>
    <w:p w:rsidR="00A2303C" w:rsidRDefault="00A2303C" w:rsidP="00FD40AE">
      <w:pPr>
        <w:pStyle w:val="NoSpacing"/>
        <w:spacing w:line="360" w:lineRule="auto"/>
        <w:jc w:val="center"/>
        <w:rPr>
          <w:i/>
          <w:sz w:val="20"/>
          <w:szCs w:val="20"/>
          <w:lang w:val="en-GB"/>
        </w:rPr>
      </w:pPr>
    </w:p>
    <w:p w:rsidR="00A2303C" w:rsidRDefault="00A2303C" w:rsidP="00FD40AE">
      <w:pPr>
        <w:pStyle w:val="NoSpacing"/>
        <w:spacing w:line="360" w:lineRule="auto"/>
        <w:jc w:val="center"/>
        <w:rPr>
          <w:i/>
          <w:sz w:val="20"/>
          <w:szCs w:val="20"/>
          <w:lang w:val="en-GB"/>
        </w:rPr>
      </w:pPr>
    </w:p>
    <w:p w:rsidR="00A2303C" w:rsidRDefault="00A2303C" w:rsidP="00FD40AE">
      <w:pPr>
        <w:pStyle w:val="NoSpacing"/>
        <w:spacing w:line="360" w:lineRule="auto"/>
        <w:jc w:val="center"/>
        <w:rPr>
          <w:i/>
          <w:sz w:val="20"/>
          <w:szCs w:val="20"/>
          <w:lang w:val="en-GB"/>
        </w:rPr>
      </w:pPr>
    </w:p>
    <w:p w:rsidR="00A2303C" w:rsidRDefault="00A2303C" w:rsidP="00FD40AE">
      <w:pPr>
        <w:pStyle w:val="NoSpacing"/>
        <w:spacing w:line="360" w:lineRule="auto"/>
        <w:jc w:val="center"/>
        <w:rPr>
          <w:i/>
          <w:sz w:val="20"/>
          <w:szCs w:val="20"/>
          <w:lang w:val="en-GB"/>
        </w:rPr>
      </w:pPr>
    </w:p>
    <w:p w:rsidR="00A2303C" w:rsidRDefault="00A2303C" w:rsidP="00FD40AE">
      <w:pPr>
        <w:pStyle w:val="NoSpacing"/>
        <w:spacing w:line="360" w:lineRule="auto"/>
        <w:jc w:val="center"/>
        <w:rPr>
          <w:i/>
          <w:sz w:val="20"/>
          <w:szCs w:val="20"/>
          <w:lang w:val="en-GB"/>
        </w:rPr>
      </w:pPr>
    </w:p>
    <w:p w:rsidR="00A2303C" w:rsidRDefault="00A2303C" w:rsidP="00FD40AE">
      <w:pPr>
        <w:pStyle w:val="NoSpacing"/>
        <w:spacing w:line="360" w:lineRule="auto"/>
        <w:jc w:val="center"/>
        <w:rPr>
          <w:i/>
          <w:sz w:val="20"/>
          <w:szCs w:val="20"/>
          <w:lang w:val="en-GB"/>
        </w:rPr>
      </w:pPr>
    </w:p>
    <w:p w:rsidR="00A2303C" w:rsidRDefault="00A2303C" w:rsidP="00FD40AE">
      <w:pPr>
        <w:pStyle w:val="NoSpacing"/>
        <w:spacing w:line="360" w:lineRule="auto"/>
        <w:jc w:val="center"/>
        <w:rPr>
          <w:i/>
          <w:sz w:val="20"/>
          <w:szCs w:val="20"/>
          <w:lang w:val="en-GB"/>
        </w:rPr>
      </w:pPr>
    </w:p>
    <w:p w:rsidR="00A2303C" w:rsidRDefault="00A2303C" w:rsidP="006720AB">
      <w:pPr>
        <w:pStyle w:val="NoSpacing"/>
        <w:spacing w:line="360" w:lineRule="auto"/>
        <w:jc w:val="center"/>
        <w:rPr>
          <w:i/>
          <w:sz w:val="20"/>
          <w:szCs w:val="20"/>
          <w:lang w:val="en-GB"/>
        </w:rPr>
      </w:pPr>
      <w:r>
        <w:rPr>
          <w:i/>
          <w:sz w:val="20"/>
          <w:szCs w:val="20"/>
          <w:lang w:val="en-GB"/>
        </w:rPr>
        <w:t>Table 6.2 Figures on Brazilian population 2007</w:t>
      </w:r>
    </w:p>
    <w:tbl>
      <w:tblPr>
        <w:tblW w:w="0" w:type="auto"/>
        <w:jc w:val="center"/>
        <w:tblBorders>
          <w:top w:val="single" w:sz="8" w:space="0" w:color="4F81BD"/>
          <w:left w:val="single" w:sz="8" w:space="0" w:color="4F81BD"/>
          <w:bottom w:val="single" w:sz="8" w:space="0" w:color="4F81BD"/>
          <w:right w:val="single" w:sz="8" w:space="0" w:color="4F81BD"/>
        </w:tblBorders>
        <w:tblLook w:val="00A0"/>
      </w:tblPr>
      <w:tblGrid>
        <w:gridCol w:w="4608"/>
        <w:gridCol w:w="1980"/>
      </w:tblGrid>
      <w:tr w:rsidR="00A2303C" w:rsidTr="008D584B">
        <w:trPr>
          <w:jc w:val="center"/>
        </w:trPr>
        <w:tc>
          <w:tcPr>
            <w:tcW w:w="4608" w:type="dxa"/>
            <w:tcBorders>
              <w:top w:val="single" w:sz="8" w:space="0" w:color="4F81BD"/>
            </w:tcBorders>
            <w:shd w:val="clear" w:color="auto" w:fill="4F81BD"/>
          </w:tcPr>
          <w:p w:rsidR="00A2303C" w:rsidRPr="008D584B" w:rsidRDefault="00A2303C" w:rsidP="008D584B">
            <w:pPr>
              <w:pStyle w:val="NoSpacing"/>
              <w:spacing w:line="360" w:lineRule="auto"/>
              <w:rPr>
                <w:b/>
                <w:bCs/>
                <w:color w:val="FFFFFF"/>
                <w:lang w:val="en-GB"/>
              </w:rPr>
            </w:pPr>
            <w:r w:rsidRPr="008D584B">
              <w:rPr>
                <w:b/>
                <w:bCs/>
                <w:color w:val="FFFFFF"/>
                <w:lang w:val="en-GB"/>
              </w:rPr>
              <w:t>Type of people</w:t>
            </w:r>
          </w:p>
        </w:tc>
        <w:tc>
          <w:tcPr>
            <w:tcW w:w="1980" w:type="dxa"/>
            <w:tcBorders>
              <w:top w:val="single" w:sz="8" w:space="0" w:color="4F81BD"/>
            </w:tcBorders>
            <w:shd w:val="clear" w:color="auto" w:fill="4F81BD"/>
          </w:tcPr>
          <w:p w:rsidR="00A2303C" w:rsidRPr="008D584B" w:rsidRDefault="00A2303C" w:rsidP="008D584B">
            <w:pPr>
              <w:pStyle w:val="NoSpacing"/>
              <w:spacing w:line="360" w:lineRule="auto"/>
              <w:jc w:val="right"/>
              <w:rPr>
                <w:b/>
                <w:bCs/>
                <w:color w:val="FFFFFF"/>
                <w:lang w:val="en-GB"/>
              </w:rPr>
            </w:pPr>
            <w:r w:rsidRPr="008D584B">
              <w:rPr>
                <w:b/>
                <w:bCs/>
                <w:color w:val="FFFFFF"/>
                <w:lang w:val="en-GB"/>
              </w:rPr>
              <w:t>Amount of people</w:t>
            </w:r>
          </w:p>
        </w:tc>
      </w:tr>
      <w:tr w:rsidR="00A2303C" w:rsidTr="008D584B">
        <w:trPr>
          <w:jc w:val="center"/>
        </w:trPr>
        <w:tc>
          <w:tcPr>
            <w:tcW w:w="4608" w:type="dxa"/>
            <w:tcBorders>
              <w:top w:val="single" w:sz="8" w:space="0" w:color="4F81BD"/>
              <w:bottom w:val="single" w:sz="8" w:space="0" w:color="4F81BD"/>
            </w:tcBorders>
          </w:tcPr>
          <w:p w:rsidR="00A2303C" w:rsidRPr="008D584B" w:rsidRDefault="00A2303C" w:rsidP="008D584B">
            <w:pPr>
              <w:pStyle w:val="NoSpacing"/>
              <w:spacing w:line="360" w:lineRule="auto"/>
              <w:rPr>
                <w:b/>
                <w:bCs/>
                <w:lang w:val="en-GB"/>
              </w:rPr>
            </w:pPr>
            <w:r w:rsidRPr="008D584B">
              <w:rPr>
                <w:b/>
                <w:bCs/>
                <w:lang w:val="en-GB"/>
              </w:rPr>
              <w:t>Total population</w:t>
            </w:r>
          </w:p>
          <w:p w:rsidR="00A2303C" w:rsidRPr="008D584B" w:rsidRDefault="00A2303C" w:rsidP="008D584B">
            <w:pPr>
              <w:pStyle w:val="NoSpacing"/>
              <w:numPr>
                <w:ilvl w:val="0"/>
                <w:numId w:val="8"/>
              </w:numPr>
              <w:spacing w:line="360" w:lineRule="auto"/>
              <w:rPr>
                <w:b/>
                <w:bCs/>
                <w:lang w:val="en-GB"/>
              </w:rPr>
            </w:pPr>
            <w:r w:rsidRPr="008D584B">
              <w:rPr>
                <w:bCs/>
                <w:lang w:val="en-GB"/>
              </w:rPr>
              <w:t>Urban</w:t>
            </w:r>
          </w:p>
          <w:p w:rsidR="00A2303C" w:rsidRPr="008D584B" w:rsidRDefault="00A2303C" w:rsidP="008D584B">
            <w:pPr>
              <w:pStyle w:val="NoSpacing"/>
              <w:numPr>
                <w:ilvl w:val="0"/>
                <w:numId w:val="8"/>
              </w:numPr>
              <w:spacing w:line="360" w:lineRule="auto"/>
              <w:rPr>
                <w:b/>
                <w:bCs/>
                <w:lang w:val="en-GB"/>
              </w:rPr>
            </w:pPr>
            <w:r w:rsidRPr="008D584B">
              <w:rPr>
                <w:bCs/>
                <w:lang w:val="en-GB"/>
              </w:rPr>
              <w:t>Rural</w:t>
            </w:r>
          </w:p>
        </w:tc>
        <w:tc>
          <w:tcPr>
            <w:tcW w:w="1980" w:type="dxa"/>
            <w:tcBorders>
              <w:top w:val="single" w:sz="8" w:space="0" w:color="4F81BD"/>
              <w:bottom w:val="single" w:sz="8" w:space="0" w:color="4F81BD"/>
            </w:tcBorders>
          </w:tcPr>
          <w:p w:rsidR="00A2303C" w:rsidRPr="008D584B" w:rsidRDefault="00A2303C" w:rsidP="008D584B">
            <w:pPr>
              <w:pStyle w:val="NoSpacing"/>
              <w:spacing w:line="360" w:lineRule="auto"/>
              <w:jc w:val="right"/>
              <w:rPr>
                <w:b/>
                <w:lang w:val="en-GB"/>
              </w:rPr>
            </w:pPr>
            <w:r w:rsidRPr="008D584B">
              <w:rPr>
                <w:b/>
                <w:lang w:val="en-GB"/>
              </w:rPr>
              <w:t>190,000,000</w:t>
            </w:r>
          </w:p>
          <w:p w:rsidR="00A2303C" w:rsidRPr="008D584B" w:rsidRDefault="00A2303C" w:rsidP="008D584B">
            <w:pPr>
              <w:pStyle w:val="NoSpacing"/>
              <w:spacing w:line="360" w:lineRule="auto"/>
              <w:jc w:val="right"/>
              <w:rPr>
                <w:lang w:val="en-GB"/>
              </w:rPr>
            </w:pPr>
            <w:r w:rsidRPr="008D584B">
              <w:rPr>
                <w:lang w:val="en-GB"/>
              </w:rPr>
              <w:t>159,000,000</w:t>
            </w:r>
          </w:p>
          <w:p w:rsidR="00A2303C" w:rsidRPr="008D584B" w:rsidRDefault="00A2303C" w:rsidP="008D584B">
            <w:pPr>
              <w:pStyle w:val="NoSpacing"/>
              <w:spacing w:line="360" w:lineRule="auto"/>
              <w:jc w:val="right"/>
              <w:rPr>
                <w:lang w:val="en-GB"/>
              </w:rPr>
            </w:pPr>
            <w:r w:rsidRPr="008D584B">
              <w:rPr>
                <w:lang w:val="en-GB"/>
              </w:rPr>
              <w:t>31,000,000</w:t>
            </w:r>
          </w:p>
        </w:tc>
      </w:tr>
      <w:tr w:rsidR="00A2303C" w:rsidTr="008D584B">
        <w:trPr>
          <w:jc w:val="center"/>
        </w:trPr>
        <w:tc>
          <w:tcPr>
            <w:tcW w:w="4608" w:type="dxa"/>
          </w:tcPr>
          <w:p w:rsidR="00A2303C" w:rsidRPr="008D584B" w:rsidRDefault="00A2303C" w:rsidP="008D584B">
            <w:pPr>
              <w:pStyle w:val="NoSpacing"/>
              <w:spacing w:line="360" w:lineRule="auto"/>
              <w:rPr>
                <w:b/>
                <w:bCs/>
                <w:lang w:val="en-GB"/>
              </w:rPr>
            </w:pPr>
            <w:r w:rsidRPr="008D584B">
              <w:rPr>
                <w:b/>
                <w:bCs/>
                <w:lang w:val="en-GB"/>
              </w:rPr>
              <w:t>Economically active population</w:t>
            </w:r>
          </w:p>
          <w:p w:rsidR="00A2303C" w:rsidRPr="008D584B" w:rsidRDefault="00A2303C" w:rsidP="008D584B">
            <w:pPr>
              <w:pStyle w:val="NoSpacing"/>
              <w:numPr>
                <w:ilvl w:val="0"/>
                <w:numId w:val="8"/>
              </w:numPr>
              <w:spacing w:line="360" w:lineRule="auto"/>
              <w:rPr>
                <w:b/>
                <w:bCs/>
                <w:lang w:val="en-GB"/>
              </w:rPr>
            </w:pPr>
            <w:r w:rsidRPr="008D584B">
              <w:rPr>
                <w:bCs/>
                <w:lang w:val="en-GB"/>
              </w:rPr>
              <w:t>Occupied</w:t>
            </w:r>
          </w:p>
          <w:p w:rsidR="00A2303C" w:rsidRPr="008D584B" w:rsidRDefault="00A2303C" w:rsidP="008D584B">
            <w:pPr>
              <w:pStyle w:val="NoSpacing"/>
              <w:numPr>
                <w:ilvl w:val="0"/>
                <w:numId w:val="8"/>
              </w:numPr>
              <w:spacing w:line="360" w:lineRule="auto"/>
              <w:rPr>
                <w:b/>
                <w:bCs/>
                <w:lang w:val="en-GB"/>
              </w:rPr>
            </w:pPr>
            <w:r w:rsidRPr="008D584B">
              <w:rPr>
                <w:bCs/>
                <w:lang w:val="en-GB"/>
              </w:rPr>
              <w:t>Non-occupied</w:t>
            </w:r>
          </w:p>
        </w:tc>
        <w:tc>
          <w:tcPr>
            <w:tcW w:w="1980" w:type="dxa"/>
          </w:tcPr>
          <w:p w:rsidR="00A2303C" w:rsidRPr="008D584B" w:rsidRDefault="00A2303C" w:rsidP="008D584B">
            <w:pPr>
              <w:pStyle w:val="NoSpacing"/>
              <w:spacing w:line="360" w:lineRule="auto"/>
              <w:jc w:val="right"/>
              <w:rPr>
                <w:b/>
                <w:lang w:val="en-GB"/>
              </w:rPr>
            </w:pPr>
            <w:r w:rsidRPr="008D584B">
              <w:rPr>
                <w:b/>
                <w:lang w:val="en-GB"/>
              </w:rPr>
              <w:t>99,000,000</w:t>
            </w:r>
          </w:p>
          <w:p w:rsidR="00A2303C" w:rsidRPr="008D584B" w:rsidRDefault="00A2303C" w:rsidP="008D584B">
            <w:pPr>
              <w:pStyle w:val="NoSpacing"/>
              <w:spacing w:line="360" w:lineRule="auto"/>
              <w:jc w:val="right"/>
              <w:rPr>
                <w:lang w:val="en-GB"/>
              </w:rPr>
            </w:pPr>
            <w:r w:rsidRPr="008D584B">
              <w:rPr>
                <w:lang w:val="en-GB"/>
              </w:rPr>
              <w:t>91,000,000</w:t>
            </w:r>
          </w:p>
          <w:p w:rsidR="00A2303C" w:rsidRPr="008D584B" w:rsidRDefault="00A2303C" w:rsidP="008D584B">
            <w:pPr>
              <w:pStyle w:val="NoSpacing"/>
              <w:spacing w:line="360" w:lineRule="auto"/>
              <w:jc w:val="right"/>
              <w:rPr>
                <w:lang w:val="en-GB"/>
              </w:rPr>
            </w:pPr>
            <w:r w:rsidRPr="008D584B">
              <w:rPr>
                <w:lang w:val="en-GB"/>
              </w:rPr>
              <w:t>8,000,000</w:t>
            </w:r>
          </w:p>
        </w:tc>
      </w:tr>
      <w:tr w:rsidR="00A2303C" w:rsidTr="008D584B">
        <w:trPr>
          <w:jc w:val="center"/>
        </w:trPr>
        <w:tc>
          <w:tcPr>
            <w:tcW w:w="4608" w:type="dxa"/>
            <w:tcBorders>
              <w:top w:val="single" w:sz="8" w:space="0" w:color="4F81BD"/>
              <w:bottom w:val="single" w:sz="8" w:space="0" w:color="4F81BD"/>
            </w:tcBorders>
          </w:tcPr>
          <w:p w:rsidR="00A2303C" w:rsidRPr="008D584B" w:rsidRDefault="00A2303C" w:rsidP="008D584B">
            <w:pPr>
              <w:pStyle w:val="NoSpacing"/>
              <w:spacing w:line="360" w:lineRule="auto"/>
              <w:rPr>
                <w:b/>
                <w:bCs/>
                <w:lang w:val="en-GB"/>
              </w:rPr>
            </w:pPr>
            <w:r w:rsidRPr="008D584B">
              <w:rPr>
                <w:b/>
                <w:bCs/>
                <w:lang w:val="en-GB"/>
              </w:rPr>
              <w:t>Not economically active population</w:t>
            </w:r>
          </w:p>
        </w:tc>
        <w:tc>
          <w:tcPr>
            <w:tcW w:w="1980" w:type="dxa"/>
            <w:tcBorders>
              <w:top w:val="single" w:sz="8" w:space="0" w:color="4F81BD"/>
              <w:bottom w:val="single" w:sz="8" w:space="0" w:color="4F81BD"/>
            </w:tcBorders>
          </w:tcPr>
          <w:p w:rsidR="00A2303C" w:rsidRPr="008D584B" w:rsidRDefault="00A2303C" w:rsidP="008D584B">
            <w:pPr>
              <w:pStyle w:val="NoSpacing"/>
              <w:spacing w:line="360" w:lineRule="auto"/>
              <w:jc w:val="right"/>
              <w:rPr>
                <w:b/>
                <w:lang w:val="en-GB"/>
              </w:rPr>
            </w:pPr>
            <w:r w:rsidRPr="008D584B">
              <w:rPr>
                <w:b/>
                <w:lang w:val="en-GB"/>
              </w:rPr>
              <w:t>61,000,000</w:t>
            </w:r>
          </w:p>
        </w:tc>
      </w:tr>
      <w:tr w:rsidR="00A2303C" w:rsidTr="008D584B">
        <w:trPr>
          <w:jc w:val="center"/>
        </w:trPr>
        <w:tc>
          <w:tcPr>
            <w:tcW w:w="4608" w:type="dxa"/>
          </w:tcPr>
          <w:p w:rsidR="00A2303C" w:rsidRPr="008D584B" w:rsidRDefault="00A2303C" w:rsidP="008D584B">
            <w:pPr>
              <w:pStyle w:val="NoSpacing"/>
              <w:spacing w:line="360" w:lineRule="auto"/>
              <w:rPr>
                <w:b/>
                <w:bCs/>
                <w:lang w:val="en-GB"/>
              </w:rPr>
            </w:pPr>
            <w:r w:rsidRPr="008D584B">
              <w:rPr>
                <w:b/>
                <w:bCs/>
                <w:lang w:val="en-GB"/>
              </w:rPr>
              <w:t>Occupied population by position</w:t>
            </w:r>
          </w:p>
          <w:p w:rsidR="00A2303C" w:rsidRPr="008D584B" w:rsidRDefault="00A2303C" w:rsidP="008D584B">
            <w:pPr>
              <w:pStyle w:val="NoSpacing"/>
              <w:numPr>
                <w:ilvl w:val="0"/>
                <w:numId w:val="8"/>
              </w:numPr>
              <w:spacing w:line="360" w:lineRule="auto"/>
              <w:rPr>
                <w:b/>
                <w:bCs/>
                <w:lang w:val="en-GB"/>
              </w:rPr>
            </w:pPr>
            <w:r w:rsidRPr="008D584B">
              <w:rPr>
                <w:b/>
                <w:bCs/>
                <w:lang w:val="en-GB"/>
              </w:rPr>
              <w:t>Employees</w:t>
            </w:r>
          </w:p>
          <w:p w:rsidR="00A2303C" w:rsidRPr="008D584B" w:rsidRDefault="00A2303C" w:rsidP="008D584B">
            <w:pPr>
              <w:pStyle w:val="NoSpacing"/>
              <w:numPr>
                <w:ilvl w:val="0"/>
                <w:numId w:val="9"/>
              </w:numPr>
              <w:spacing w:line="360" w:lineRule="auto"/>
              <w:rPr>
                <w:b/>
                <w:bCs/>
                <w:lang w:val="en-GB"/>
              </w:rPr>
            </w:pPr>
            <w:r w:rsidRPr="008D584B">
              <w:rPr>
                <w:bCs/>
                <w:lang w:val="en-GB"/>
              </w:rPr>
              <w:t>Formally registered</w:t>
            </w:r>
          </w:p>
          <w:p w:rsidR="00A2303C" w:rsidRPr="008D584B" w:rsidRDefault="00A2303C" w:rsidP="008D584B">
            <w:pPr>
              <w:pStyle w:val="NoSpacing"/>
              <w:numPr>
                <w:ilvl w:val="0"/>
                <w:numId w:val="9"/>
              </w:numPr>
              <w:spacing w:line="360" w:lineRule="auto"/>
              <w:rPr>
                <w:b/>
                <w:bCs/>
                <w:lang w:val="en-GB"/>
              </w:rPr>
            </w:pPr>
            <w:r w:rsidRPr="008D584B">
              <w:rPr>
                <w:bCs/>
                <w:lang w:val="en-GB"/>
              </w:rPr>
              <w:t>Public servants and military</w:t>
            </w:r>
          </w:p>
          <w:p w:rsidR="00A2303C" w:rsidRPr="008D584B" w:rsidRDefault="00A2303C" w:rsidP="008D584B">
            <w:pPr>
              <w:pStyle w:val="NoSpacing"/>
              <w:numPr>
                <w:ilvl w:val="0"/>
                <w:numId w:val="9"/>
              </w:numPr>
              <w:spacing w:line="360" w:lineRule="auto"/>
              <w:rPr>
                <w:b/>
                <w:bCs/>
                <w:lang w:val="en-GB"/>
              </w:rPr>
            </w:pPr>
            <w:r w:rsidRPr="008D584B">
              <w:rPr>
                <w:bCs/>
                <w:lang w:val="en-GB"/>
              </w:rPr>
              <w:t>Others and without declaration</w:t>
            </w:r>
          </w:p>
          <w:p w:rsidR="00A2303C" w:rsidRPr="008D584B" w:rsidRDefault="00A2303C" w:rsidP="008D584B">
            <w:pPr>
              <w:pStyle w:val="NoSpacing"/>
              <w:numPr>
                <w:ilvl w:val="0"/>
                <w:numId w:val="8"/>
              </w:numPr>
              <w:spacing w:line="360" w:lineRule="auto"/>
              <w:rPr>
                <w:b/>
                <w:bCs/>
                <w:lang w:val="en-GB"/>
              </w:rPr>
            </w:pPr>
            <w:r w:rsidRPr="008D584B">
              <w:rPr>
                <w:b/>
                <w:bCs/>
                <w:lang w:val="en-GB"/>
              </w:rPr>
              <w:t>Autonomous workers</w:t>
            </w:r>
          </w:p>
          <w:p w:rsidR="00A2303C" w:rsidRPr="008D584B" w:rsidRDefault="00A2303C" w:rsidP="008D584B">
            <w:pPr>
              <w:pStyle w:val="NoSpacing"/>
              <w:numPr>
                <w:ilvl w:val="0"/>
                <w:numId w:val="8"/>
              </w:numPr>
              <w:spacing w:line="360" w:lineRule="auto"/>
              <w:rPr>
                <w:b/>
                <w:bCs/>
                <w:lang w:val="en-GB"/>
              </w:rPr>
            </w:pPr>
            <w:r w:rsidRPr="008D584B">
              <w:rPr>
                <w:b/>
                <w:bCs/>
                <w:lang w:val="en-GB"/>
              </w:rPr>
              <w:t>Employers</w:t>
            </w:r>
          </w:p>
          <w:p w:rsidR="00A2303C" w:rsidRPr="008D584B" w:rsidRDefault="00A2303C" w:rsidP="008D584B">
            <w:pPr>
              <w:pStyle w:val="NoSpacing"/>
              <w:numPr>
                <w:ilvl w:val="0"/>
                <w:numId w:val="8"/>
              </w:numPr>
              <w:spacing w:line="360" w:lineRule="auto"/>
              <w:rPr>
                <w:b/>
                <w:bCs/>
                <w:lang w:val="en-GB"/>
              </w:rPr>
            </w:pPr>
            <w:r w:rsidRPr="008D584B">
              <w:rPr>
                <w:b/>
                <w:bCs/>
                <w:lang w:val="en-GB"/>
              </w:rPr>
              <w:t>Workers for self-consumption</w:t>
            </w:r>
          </w:p>
          <w:p w:rsidR="00A2303C" w:rsidRPr="008D584B" w:rsidRDefault="00A2303C" w:rsidP="008D584B">
            <w:pPr>
              <w:pStyle w:val="NoSpacing"/>
              <w:numPr>
                <w:ilvl w:val="0"/>
                <w:numId w:val="8"/>
              </w:numPr>
              <w:spacing w:line="360" w:lineRule="auto"/>
              <w:rPr>
                <w:b/>
                <w:bCs/>
                <w:lang w:val="en-GB"/>
              </w:rPr>
            </w:pPr>
            <w:r w:rsidRPr="008D584B">
              <w:rPr>
                <w:b/>
                <w:bCs/>
                <w:lang w:val="en-GB"/>
              </w:rPr>
              <w:t>Non remunerated</w:t>
            </w:r>
          </w:p>
        </w:tc>
        <w:tc>
          <w:tcPr>
            <w:tcW w:w="1980" w:type="dxa"/>
          </w:tcPr>
          <w:p w:rsidR="00A2303C" w:rsidRPr="008D584B" w:rsidRDefault="00A2303C" w:rsidP="008D584B">
            <w:pPr>
              <w:pStyle w:val="NoSpacing"/>
              <w:spacing w:line="360" w:lineRule="auto"/>
              <w:jc w:val="right"/>
              <w:rPr>
                <w:b/>
                <w:lang w:val="en-GB"/>
              </w:rPr>
            </w:pPr>
            <w:r w:rsidRPr="008D584B">
              <w:rPr>
                <w:b/>
                <w:lang w:val="en-GB"/>
              </w:rPr>
              <w:t>91,000,000</w:t>
            </w:r>
          </w:p>
          <w:p w:rsidR="00A2303C" w:rsidRPr="008D584B" w:rsidRDefault="00A2303C" w:rsidP="008D584B">
            <w:pPr>
              <w:pStyle w:val="NoSpacing"/>
              <w:spacing w:line="360" w:lineRule="auto"/>
              <w:jc w:val="right"/>
              <w:rPr>
                <w:b/>
                <w:lang w:val="en-GB"/>
              </w:rPr>
            </w:pPr>
            <w:r w:rsidRPr="008D584B">
              <w:rPr>
                <w:b/>
                <w:lang w:val="en-GB"/>
              </w:rPr>
              <w:t>59,000,000</w:t>
            </w:r>
          </w:p>
          <w:p w:rsidR="00A2303C" w:rsidRPr="008D584B" w:rsidRDefault="00A2303C" w:rsidP="008D584B">
            <w:pPr>
              <w:pStyle w:val="NoSpacing"/>
              <w:spacing w:line="360" w:lineRule="auto"/>
              <w:jc w:val="right"/>
              <w:rPr>
                <w:lang w:val="en-GB"/>
              </w:rPr>
            </w:pPr>
            <w:r w:rsidRPr="008D584B">
              <w:rPr>
                <w:lang w:val="en-GB"/>
              </w:rPr>
              <w:t>32,000,000</w:t>
            </w:r>
          </w:p>
          <w:p w:rsidR="00A2303C" w:rsidRPr="008D584B" w:rsidRDefault="00A2303C" w:rsidP="008D584B">
            <w:pPr>
              <w:pStyle w:val="NoSpacing"/>
              <w:spacing w:line="360" w:lineRule="auto"/>
              <w:jc w:val="right"/>
              <w:rPr>
                <w:lang w:val="en-GB"/>
              </w:rPr>
            </w:pPr>
            <w:r w:rsidRPr="008D584B">
              <w:rPr>
                <w:lang w:val="en-GB"/>
              </w:rPr>
              <w:t>6,000,000</w:t>
            </w:r>
          </w:p>
          <w:p w:rsidR="00A2303C" w:rsidRPr="008D584B" w:rsidRDefault="00A2303C" w:rsidP="008D584B">
            <w:pPr>
              <w:pStyle w:val="NoSpacing"/>
              <w:spacing w:line="360" w:lineRule="auto"/>
              <w:jc w:val="right"/>
              <w:rPr>
                <w:lang w:val="en-GB"/>
              </w:rPr>
            </w:pPr>
            <w:r w:rsidRPr="008D584B">
              <w:rPr>
                <w:lang w:val="en-GB"/>
              </w:rPr>
              <w:t>21,000,000</w:t>
            </w:r>
          </w:p>
          <w:p w:rsidR="00A2303C" w:rsidRPr="008D584B" w:rsidRDefault="00A2303C" w:rsidP="008D584B">
            <w:pPr>
              <w:pStyle w:val="NoSpacing"/>
              <w:spacing w:line="360" w:lineRule="auto"/>
              <w:jc w:val="right"/>
              <w:rPr>
                <w:b/>
                <w:lang w:val="en-GB"/>
              </w:rPr>
            </w:pPr>
            <w:r w:rsidRPr="008D584B">
              <w:rPr>
                <w:b/>
                <w:lang w:val="en-GB"/>
              </w:rPr>
              <w:t>19,000,000</w:t>
            </w:r>
          </w:p>
          <w:p w:rsidR="00A2303C" w:rsidRPr="008D584B" w:rsidRDefault="00A2303C" w:rsidP="008D584B">
            <w:pPr>
              <w:pStyle w:val="NoSpacing"/>
              <w:spacing w:line="360" w:lineRule="auto"/>
              <w:jc w:val="right"/>
              <w:rPr>
                <w:b/>
                <w:lang w:val="en-GB"/>
              </w:rPr>
            </w:pPr>
            <w:r w:rsidRPr="008D584B">
              <w:rPr>
                <w:b/>
                <w:lang w:val="en-GB"/>
              </w:rPr>
              <w:t>4,000,000</w:t>
            </w:r>
          </w:p>
          <w:p w:rsidR="00A2303C" w:rsidRPr="008D584B" w:rsidRDefault="00A2303C" w:rsidP="008D584B">
            <w:pPr>
              <w:pStyle w:val="NoSpacing"/>
              <w:spacing w:line="360" w:lineRule="auto"/>
              <w:jc w:val="right"/>
              <w:rPr>
                <w:b/>
                <w:lang w:val="en-GB"/>
              </w:rPr>
            </w:pPr>
            <w:r w:rsidRPr="008D584B">
              <w:rPr>
                <w:b/>
                <w:lang w:val="en-GB"/>
              </w:rPr>
              <w:t>4,000,000</w:t>
            </w:r>
          </w:p>
          <w:p w:rsidR="00A2303C" w:rsidRPr="008D584B" w:rsidRDefault="00A2303C" w:rsidP="008D584B">
            <w:pPr>
              <w:pStyle w:val="NoSpacing"/>
              <w:spacing w:line="360" w:lineRule="auto"/>
              <w:jc w:val="right"/>
              <w:rPr>
                <w:b/>
                <w:lang w:val="en-GB"/>
              </w:rPr>
            </w:pPr>
            <w:r w:rsidRPr="008D584B">
              <w:rPr>
                <w:b/>
                <w:lang w:val="en-GB"/>
              </w:rPr>
              <w:t>5,000,000</w:t>
            </w:r>
          </w:p>
        </w:tc>
      </w:tr>
      <w:tr w:rsidR="00A2303C" w:rsidTr="008D584B">
        <w:trPr>
          <w:jc w:val="center"/>
        </w:trPr>
        <w:tc>
          <w:tcPr>
            <w:tcW w:w="4608" w:type="dxa"/>
            <w:tcBorders>
              <w:top w:val="single" w:sz="8" w:space="0" w:color="4F81BD"/>
              <w:bottom w:val="single" w:sz="8" w:space="0" w:color="4F81BD"/>
            </w:tcBorders>
          </w:tcPr>
          <w:p w:rsidR="00A2303C" w:rsidRPr="008D584B" w:rsidRDefault="00A2303C" w:rsidP="008D584B">
            <w:pPr>
              <w:pStyle w:val="NoSpacing"/>
              <w:spacing w:line="360" w:lineRule="auto"/>
              <w:rPr>
                <w:b/>
                <w:bCs/>
                <w:lang w:val="en-GB"/>
              </w:rPr>
            </w:pPr>
            <w:r w:rsidRPr="008D584B">
              <w:rPr>
                <w:b/>
                <w:bCs/>
                <w:lang w:val="en-GB"/>
              </w:rPr>
              <w:t>Contributing to social security in any job</w:t>
            </w:r>
          </w:p>
        </w:tc>
        <w:tc>
          <w:tcPr>
            <w:tcW w:w="1980" w:type="dxa"/>
            <w:tcBorders>
              <w:top w:val="single" w:sz="8" w:space="0" w:color="4F81BD"/>
              <w:bottom w:val="single" w:sz="8" w:space="0" w:color="4F81BD"/>
            </w:tcBorders>
          </w:tcPr>
          <w:p w:rsidR="00A2303C" w:rsidRPr="008D584B" w:rsidRDefault="00A2303C" w:rsidP="008D584B">
            <w:pPr>
              <w:pStyle w:val="NoSpacing"/>
              <w:spacing w:line="360" w:lineRule="auto"/>
              <w:jc w:val="right"/>
              <w:rPr>
                <w:b/>
                <w:lang w:val="en-GB"/>
              </w:rPr>
            </w:pPr>
            <w:r w:rsidRPr="008D584B">
              <w:rPr>
                <w:b/>
                <w:lang w:val="en-GB"/>
              </w:rPr>
              <w:t>46,000,000</w:t>
            </w:r>
          </w:p>
        </w:tc>
      </w:tr>
    </w:tbl>
    <w:p w:rsidR="00A2303C" w:rsidRPr="006720AB" w:rsidRDefault="00A2303C" w:rsidP="006720AB">
      <w:pPr>
        <w:pStyle w:val="NoSpacing"/>
        <w:spacing w:line="360" w:lineRule="auto"/>
        <w:jc w:val="center"/>
        <w:rPr>
          <w:i/>
          <w:sz w:val="20"/>
          <w:szCs w:val="20"/>
          <w:lang w:val="en-GB"/>
        </w:rPr>
      </w:pPr>
      <w:r>
        <w:rPr>
          <w:i/>
          <w:sz w:val="20"/>
          <w:szCs w:val="20"/>
          <w:lang w:val="en-GB"/>
        </w:rPr>
        <w:t>Source:</w:t>
      </w:r>
      <w:r w:rsidRPr="006720AB">
        <w:rPr>
          <w:lang w:val="en-US"/>
        </w:rPr>
        <w:t xml:space="preserve"> </w:t>
      </w:r>
      <w:r w:rsidRPr="006720AB">
        <w:rPr>
          <w:i/>
          <w:sz w:val="20"/>
          <w:szCs w:val="20"/>
          <w:lang w:val="en-US"/>
        </w:rPr>
        <w:t>Minist</w:t>
      </w:r>
      <w:r w:rsidRPr="006720AB">
        <w:rPr>
          <w:rFonts w:cs="Calibri"/>
          <w:i/>
          <w:sz w:val="20"/>
          <w:szCs w:val="20"/>
          <w:lang w:val="en-US"/>
        </w:rPr>
        <w:t>é</w:t>
      </w:r>
      <w:r w:rsidRPr="006720AB">
        <w:rPr>
          <w:i/>
          <w:sz w:val="20"/>
          <w:szCs w:val="20"/>
          <w:lang w:val="en-US"/>
        </w:rPr>
        <w:t>rio da Previd</w:t>
      </w:r>
      <w:r w:rsidRPr="006720AB">
        <w:rPr>
          <w:rFonts w:cs="Calibri"/>
          <w:i/>
          <w:sz w:val="20"/>
          <w:szCs w:val="20"/>
          <w:lang w:val="en-US"/>
        </w:rPr>
        <w:t>ê</w:t>
      </w:r>
      <w:r>
        <w:rPr>
          <w:i/>
          <w:sz w:val="20"/>
          <w:szCs w:val="20"/>
          <w:lang w:val="en-US"/>
        </w:rPr>
        <w:t>ncia Social (Department of Welfare) 2009</w:t>
      </w:r>
      <w:r>
        <w:rPr>
          <w:i/>
          <w:sz w:val="20"/>
          <w:szCs w:val="20"/>
          <w:lang w:val="en-GB"/>
        </w:rPr>
        <w:t xml:space="preserve"> </w:t>
      </w:r>
    </w:p>
    <w:p w:rsidR="00A2303C" w:rsidRDefault="00A2303C" w:rsidP="00A33DAA">
      <w:pPr>
        <w:pStyle w:val="NoSpacing"/>
        <w:spacing w:line="360" w:lineRule="auto"/>
        <w:rPr>
          <w:lang w:val="en-GB"/>
        </w:rPr>
      </w:pPr>
    </w:p>
    <w:p w:rsidR="00A2303C" w:rsidRPr="00F34821" w:rsidRDefault="00A2303C" w:rsidP="004E7D63">
      <w:pPr>
        <w:pStyle w:val="NoSpacing"/>
        <w:numPr>
          <w:ilvl w:val="2"/>
          <w:numId w:val="26"/>
        </w:numPr>
        <w:spacing w:line="360" w:lineRule="auto"/>
        <w:ind w:left="1260" w:hanging="1260"/>
        <w:rPr>
          <w:b/>
          <w:i/>
          <w:lang w:val="en-GB"/>
        </w:rPr>
      </w:pPr>
      <w:r>
        <w:rPr>
          <w:b/>
          <w:i/>
          <w:lang w:val="en-GB"/>
        </w:rPr>
        <w:t xml:space="preserve">Zero pillar </w:t>
      </w:r>
    </w:p>
    <w:p w:rsidR="00A2303C" w:rsidRDefault="00A2303C" w:rsidP="00A33DAA">
      <w:pPr>
        <w:pStyle w:val="NoSpacing"/>
        <w:spacing w:line="360" w:lineRule="auto"/>
        <w:rPr>
          <w:lang w:val="en-GB"/>
        </w:rPr>
      </w:pPr>
      <w:r>
        <w:rPr>
          <w:lang w:val="en-GB"/>
        </w:rPr>
        <w:t>The zero pillar serves as poverty relief for the elderly of 65 years or older from either the rural or urban areas and for the disabled people who cannot work nor support themselves. This social assistance program pays the eligible a monthly means-tested benefit that is equal to the Brazilian minimum wage, which is 465 Real or approximately €  170 (</w:t>
      </w:r>
      <w:r>
        <w:rPr>
          <w:lang w:val="en-US"/>
        </w:rPr>
        <w:t>Minist</w:t>
      </w:r>
      <w:r>
        <w:rPr>
          <w:rFonts w:cs="Calibri"/>
          <w:lang w:val="en-US"/>
        </w:rPr>
        <w:t>é</w:t>
      </w:r>
      <w:r>
        <w:rPr>
          <w:lang w:val="en-US"/>
        </w:rPr>
        <w:t>rio da Previd</w:t>
      </w:r>
      <w:r>
        <w:rPr>
          <w:rFonts w:cs="Calibri"/>
          <w:lang w:val="en-US"/>
        </w:rPr>
        <w:t>ê</w:t>
      </w:r>
      <w:r>
        <w:rPr>
          <w:lang w:val="en-US"/>
        </w:rPr>
        <w:t>ncia Social 2009</w:t>
      </w:r>
      <w:r>
        <w:rPr>
          <w:lang w:val="en-GB"/>
        </w:rPr>
        <w:t>). The criteria for eligibility is set at a family income less than ¼th of the minimum wage, where a family is defined as a group of people living under the same roof (</w:t>
      </w:r>
      <w:r>
        <w:rPr>
          <w:lang w:val="en-US"/>
        </w:rPr>
        <w:t>Minist</w:t>
      </w:r>
      <w:r>
        <w:rPr>
          <w:rFonts w:cs="Calibri"/>
          <w:lang w:val="en-US"/>
        </w:rPr>
        <w:t>é</w:t>
      </w:r>
      <w:r>
        <w:rPr>
          <w:lang w:val="en-US"/>
        </w:rPr>
        <w:t>rio da Previd</w:t>
      </w:r>
      <w:r>
        <w:rPr>
          <w:rFonts w:cs="Calibri"/>
          <w:lang w:val="en-US"/>
        </w:rPr>
        <w:t>ê</w:t>
      </w:r>
      <w:r>
        <w:rPr>
          <w:lang w:val="en-US"/>
        </w:rPr>
        <w:t>ncia Social 2009). These social assistance benefits are non-contributory and financed by government revenues.</w:t>
      </w:r>
    </w:p>
    <w:p w:rsidR="00A2303C" w:rsidRDefault="00A2303C" w:rsidP="00A33DAA">
      <w:pPr>
        <w:pStyle w:val="NoSpacing"/>
        <w:spacing w:line="360" w:lineRule="auto"/>
        <w:rPr>
          <w:lang w:val="en-GB"/>
        </w:rPr>
      </w:pPr>
    </w:p>
    <w:p w:rsidR="00A2303C" w:rsidRDefault="00A2303C" w:rsidP="00A33DAA">
      <w:pPr>
        <w:pStyle w:val="NoSpacing"/>
        <w:spacing w:line="360" w:lineRule="auto"/>
        <w:rPr>
          <w:lang w:val="en-GB"/>
        </w:rPr>
      </w:pPr>
      <w:r>
        <w:rPr>
          <w:lang w:val="en-GB"/>
        </w:rPr>
        <w:t>This pillar has been in operation since the 1990s and has successfully reduced poverty among the poorest elderly (Ferreira Savoia 2007). Without the poverty relief there would be far more elderly and disabled people living below the poverty line (Barrientos 2003).</w:t>
      </w:r>
    </w:p>
    <w:p w:rsidR="00A2303C" w:rsidRDefault="00A2303C" w:rsidP="00A33DAA">
      <w:pPr>
        <w:pStyle w:val="NoSpacing"/>
        <w:spacing w:line="360" w:lineRule="auto"/>
        <w:rPr>
          <w:lang w:val="en-GB"/>
        </w:rPr>
      </w:pPr>
    </w:p>
    <w:p w:rsidR="00A2303C" w:rsidRDefault="00A2303C" w:rsidP="004E7D63">
      <w:pPr>
        <w:pStyle w:val="NoSpacing"/>
        <w:numPr>
          <w:ilvl w:val="2"/>
          <w:numId w:val="26"/>
        </w:numPr>
        <w:spacing w:line="360" w:lineRule="auto"/>
        <w:ind w:left="1260" w:hanging="1170"/>
        <w:rPr>
          <w:b/>
          <w:i/>
          <w:lang w:val="en-GB"/>
        </w:rPr>
      </w:pPr>
      <w:r>
        <w:rPr>
          <w:b/>
          <w:i/>
          <w:lang w:val="en-GB"/>
        </w:rPr>
        <w:t>First pillar</w:t>
      </w:r>
    </w:p>
    <w:p w:rsidR="00A2303C" w:rsidRDefault="00A2303C" w:rsidP="00546502">
      <w:pPr>
        <w:pStyle w:val="NoSpacing"/>
        <w:spacing w:line="360" w:lineRule="auto"/>
        <w:rPr>
          <w:lang w:val="en-GB"/>
        </w:rPr>
      </w:pPr>
      <w:r>
        <w:rPr>
          <w:lang w:val="en-GB"/>
        </w:rPr>
        <w:t>This pillar is actually divided into two separate systems. The first one, the General system RGPS, covers the employees of the private sector. Employees and employers are obliged to pay contributions to the publicly managed PAYG scheme, where the contributions are used to cover the benefits of the current retirees. The contributions are wages dependent, since employees are obliged to contribute 8 to 11 per cent of their wage and employers have to pay 20 per cent of payroll.  There are approximately 36 million contributors and the INSS collected contributions worth of nearly 5.5 per cent of GDP (</w:t>
      </w:r>
      <w:r>
        <w:rPr>
          <w:lang w:val="en-US"/>
        </w:rPr>
        <w:t>Minist</w:t>
      </w:r>
      <w:r>
        <w:rPr>
          <w:rFonts w:cs="Calibri"/>
          <w:lang w:val="en-US"/>
        </w:rPr>
        <w:t>é</w:t>
      </w:r>
      <w:r>
        <w:rPr>
          <w:lang w:val="en-US"/>
        </w:rPr>
        <w:t>rio da Previd</w:t>
      </w:r>
      <w:r>
        <w:rPr>
          <w:rFonts w:cs="Calibri"/>
          <w:lang w:val="en-US"/>
        </w:rPr>
        <w:t>ê</w:t>
      </w:r>
      <w:r>
        <w:rPr>
          <w:lang w:val="en-US"/>
        </w:rPr>
        <w:t xml:space="preserve">ncia Social 2009). Nevertheless, this amount was not enough to cover the benefits, which were a little over 7 per cent of GDP. </w:t>
      </w:r>
    </w:p>
    <w:p w:rsidR="00A2303C" w:rsidRDefault="00A2303C" w:rsidP="00546502">
      <w:pPr>
        <w:pStyle w:val="NoSpacing"/>
        <w:spacing w:line="360" w:lineRule="auto"/>
        <w:rPr>
          <w:lang w:val="en-GB"/>
        </w:rPr>
      </w:pPr>
    </w:p>
    <w:p w:rsidR="00A2303C" w:rsidRDefault="00A2303C" w:rsidP="00546502">
      <w:pPr>
        <w:pStyle w:val="NoSpacing"/>
        <w:spacing w:line="360" w:lineRule="auto"/>
        <w:rPr>
          <w:lang w:val="en-US"/>
        </w:rPr>
      </w:pPr>
      <w:r>
        <w:rPr>
          <w:lang w:val="en-US"/>
        </w:rPr>
        <w:t xml:space="preserve">Retirement by age is reached at the age of 65 years for men and 60 years for women in urban areas and 60 years and 55 years respectively in the rural areas. Retirement by contribution time is also possible and this will be after 35 years for men and 30 years for women. </w:t>
      </w:r>
      <w:r>
        <w:rPr>
          <w:lang w:val="en-GB"/>
        </w:rPr>
        <w:t>The minimum benefit that is guaranteed is equal to the monthly minimum wage</w:t>
      </w:r>
      <w:r>
        <w:rPr>
          <w:lang w:val="en-US"/>
        </w:rPr>
        <w:t xml:space="preserve"> and it will not be higher than the maximum contributory wage limit of roughly 2890 Real </w:t>
      </w:r>
      <w:r>
        <w:rPr>
          <w:lang w:val="en-GB"/>
        </w:rPr>
        <w:t>(</w:t>
      </w:r>
      <w:r>
        <w:rPr>
          <w:lang w:val="en-US"/>
        </w:rPr>
        <w:t>Minist</w:t>
      </w:r>
      <w:r>
        <w:rPr>
          <w:rFonts w:cs="Calibri"/>
          <w:lang w:val="en-US"/>
        </w:rPr>
        <w:t>é</w:t>
      </w:r>
      <w:r>
        <w:rPr>
          <w:lang w:val="en-US"/>
        </w:rPr>
        <w:t>rio da Previd</w:t>
      </w:r>
      <w:r>
        <w:rPr>
          <w:rFonts w:cs="Calibri"/>
          <w:lang w:val="en-US"/>
        </w:rPr>
        <w:t>ê</w:t>
      </w:r>
      <w:r>
        <w:rPr>
          <w:lang w:val="en-US"/>
        </w:rPr>
        <w:t xml:space="preserve">ncia Social 2009). The exact pension benefit can be calculated with the following formula </w:t>
      </w:r>
      <w:r>
        <w:rPr>
          <w:lang w:val="en-GB"/>
        </w:rPr>
        <w:t>(</w:t>
      </w:r>
      <w:r>
        <w:rPr>
          <w:lang w:val="en-US"/>
        </w:rPr>
        <w:t>Minist</w:t>
      </w:r>
      <w:r>
        <w:rPr>
          <w:rFonts w:cs="Calibri"/>
          <w:lang w:val="en-US"/>
        </w:rPr>
        <w:t>é</w:t>
      </w:r>
      <w:r>
        <w:rPr>
          <w:lang w:val="en-US"/>
        </w:rPr>
        <w:t>rio da Previd</w:t>
      </w:r>
      <w:r>
        <w:rPr>
          <w:rFonts w:cs="Calibri"/>
          <w:lang w:val="en-US"/>
        </w:rPr>
        <w:t>ê</w:t>
      </w:r>
      <w:r>
        <w:rPr>
          <w:lang w:val="en-US"/>
        </w:rPr>
        <w:t>ncia Social 2008):</w:t>
      </w:r>
    </w:p>
    <w:p w:rsidR="00A2303C" w:rsidRDefault="00A2303C" w:rsidP="00546502">
      <w:pPr>
        <w:pStyle w:val="NoSpacing"/>
        <w:spacing w:line="360" w:lineRule="auto"/>
        <w:rPr>
          <w:lang w:val="en-US"/>
        </w:rPr>
      </w:pPr>
    </w:p>
    <w:p w:rsidR="00A2303C" w:rsidRPr="00327C71" w:rsidRDefault="00A2303C" w:rsidP="001A5A8F">
      <w:pPr>
        <w:pStyle w:val="NoSpacing"/>
        <w:spacing w:line="360" w:lineRule="auto"/>
        <w:rPr>
          <w:lang w:val="en-US"/>
        </w:rPr>
      </w:pPr>
      <w:r w:rsidRPr="001A5A8F">
        <w:rPr>
          <w:lang w:val="en-US"/>
        </w:rPr>
        <w:t>(3</w:t>
      </w:r>
      <w:r>
        <w:rPr>
          <w:lang w:val="en-US"/>
        </w:rPr>
        <w:t xml:space="preserve">.)  </w:t>
      </w:r>
      <w:r>
        <w:rPr>
          <w:lang w:val="en-US"/>
        </w:rPr>
        <w:tab/>
      </w:r>
      <w:r>
        <w:rPr>
          <w:lang w:val="en-US"/>
        </w:rPr>
        <w:tab/>
      </w:r>
      <w:r w:rsidRPr="008D584B">
        <w:rPr>
          <w:lang w:val="en-US"/>
        </w:rPr>
        <w:fldChar w:fldCharType="begin"/>
      </w:r>
      <w:r w:rsidRPr="008D584B">
        <w:rPr>
          <w:lang w:val="en-US"/>
        </w:rPr>
        <w:instrText xml:space="preserve"> QUOTE </w:instrText>
      </w:r>
      <w:r w:rsidRPr="008D584B">
        <w:pict>
          <v:shape id="_x0000_i1030" type="#_x0000_t75" style="width:56.2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1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853A1&quot;/&gt;&lt;wsp:rsid wsp:val=&quot;00000301&quot;/&gt;&lt;wsp:rsid wsp:val=&quot;00002C2F&quot;/&gt;&lt;wsp:rsid wsp:val=&quot;00004A32&quot;/&gt;&lt;wsp:rsid wsp:val=&quot;000155C6&quot;/&gt;&lt;wsp:rsid wsp:val=&quot;00020171&quot;/&gt;&lt;wsp:rsid wsp:val=&quot;00021919&quot;/&gt;&lt;wsp:rsid wsp:val=&quot;000228C1&quot;/&gt;&lt;wsp:rsid wsp:val=&quot;000265FE&quot;/&gt;&lt;wsp:rsid wsp:val=&quot;00026B17&quot;/&gt;&lt;wsp:rsid wsp:val=&quot;00031F57&quot;/&gt;&lt;wsp:rsid wsp:val=&quot;0003255C&quot;/&gt;&lt;wsp:rsid wsp:val=&quot;00032823&quot;/&gt;&lt;wsp:rsid wsp:val=&quot;00032DB2&quot;/&gt;&lt;wsp:rsid wsp:val=&quot;00034643&quot;/&gt;&lt;wsp:rsid wsp:val=&quot;000422BE&quot;/&gt;&lt;wsp:rsid wsp:val=&quot;000423E9&quot;/&gt;&lt;wsp:rsid wsp:val=&quot;0005079E&quot;/&gt;&lt;wsp:rsid wsp:val=&quot;00052141&quot;/&gt;&lt;wsp:rsid wsp:val=&quot;00052281&quot;/&gt;&lt;wsp:rsid wsp:val=&quot;00052943&quot;/&gt;&lt;wsp:rsid wsp:val=&quot;0005326D&quot;/&gt;&lt;wsp:rsid wsp:val=&quot;00053A09&quot;/&gt;&lt;wsp:rsid wsp:val=&quot;0005633C&quot;/&gt;&lt;wsp:rsid wsp:val=&quot;00056590&quot;/&gt;&lt;wsp:rsid wsp:val=&quot;0007082F&quot;/&gt;&lt;wsp:rsid wsp:val=&quot;000758DF&quot;/&gt;&lt;wsp:rsid wsp:val=&quot;00080C2A&quot;/&gt;&lt;wsp:rsid wsp:val=&quot;000821F5&quot;/&gt;&lt;wsp:rsid wsp:val=&quot;00083BDC&quot;/&gt;&lt;wsp:rsid wsp:val=&quot;0008428E&quot;/&gt;&lt;wsp:rsid wsp:val=&quot;00092595&quot;/&gt;&lt;wsp:rsid wsp:val=&quot;0009348A&quot;/&gt;&lt;wsp:rsid wsp:val=&quot;00096499&quot;/&gt;&lt;wsp:rsid wsp:val=&quot;000977F6&quot;/&gt;&lt;wsp:rsid wsp:val=&quot;00097F68&quot;/&gt;&lt;wsp:rsid wsp:val=&quot;000A0818&quot;/&gt;&lt;wsp:rsid wsp:val=&quot;000A5D99&quot;/&gt;&lt;wsp:rsid wsp:val=&quot;000A69BA&quot;/&gt;&lt;wsp:rsid wsp:val=&quot;000A7094&quot;/&gt;&lt;wsp:rsid wsp:val=&quot;000B38BD&quot;/&gt;&lt;wsp:rsid wsp:val=&quot;000B3E22&quot;/&gt;&lt;wsp:rsid wsp:val=&quot;000B3E81&quot;/&gt;&lt;wsp:rsid wsp:val=&quot;000C407D&quot;/&gt;&lt;wsp:rsid wsp:val=&quot;000C489F&quot;/&gt;&lt;wsp:rsid wsp:val=&quot;000C49CF&quot;/&gt;&lt;wsp:rsid wsp:val=&quot;000C4F39&quot;/&gt;&lt;wsp:rsid wsp:val=&quot;000C7666&quot;/&gt;&lt;wsp:rsid wsp:val=&quot;000D6EB0&quot;/&gt;&lt;wsp:rsid wsp:val=&quot;000E0AFB&quot;/&gt;&lt;wsp:rsid wsp:val=&quot;000E5451&quot;/&gt;&lt;wsp:rsid wsp:val=&quot;000E554A&quot;/&gt;&lt;wsp:rsid wsp:val=&quot;000E6DA4&quot;/&gt;&lt;wsp:rsid wsp:val=&quot;000F4D54&quot;/&gt;&lt;wsp:rsid wsp:val=&quot;00102925&quot;/&gt;&lt;wsp:rsid wsp:val=&quot;00105B48&quot;/&gt;&lt;wsp:rsid wsp:val=&quot;0010635F&quot;/&gt;&lt;wsp:rsid wsp:val=&quot;0011088A&quot;/&gt;&lt;wsp:rsid wsp:val=&quot;00116F79&quot;/&gt;&lt;wsp:rsid wsp:val=&quot;0011793E&quot;/&gt;&lt;wsp:rsid wsp:val=&quot;00121284&quot;/&gt;&lt;wsp:rsid wsp:val=&quot;00121BAF&quot;/&gt;&lt;wsp:rsid wsp:val=&quot;0012205D&quot;/&gt;&lt;wsp:rsid wsp:val=&quot;001243F1&quot;/&gt;&lt;wsp:rsid wsp:val=&quot;00125D92&quot;/&gt;&lt;wsp:rsid wsp:val=&quot;001320C2&quot;/&gt;&lt;wsp:rsid wsp:val=&quot;001320CA&quot;/&gt;&lt;wsp:rsid wsp:val=&quot;00141C38&quot;/&gt;&lt;wsp:rsid wsp:val=&quot;0014403F&quot;/&gt;&lt;wsp:rsid wsp:val=&quot;00146977&quot;/&gt;&lt;wsp:rsid wsp:val=&quot;00150B52&quot;/&gt;&lt;wsp:rsid wsp:val=&quot;00152B4A&quot;/&gt;&lt;wsp:rsid wsp:val=&quot;00154781&quot;/&gt;&lt;wsp:rsid wsp:val=&quot;00162990&quot;/&gt;&lt;wsp:rsid wsp:val=&quot;001629A6&quot;/&gt;&lt;wsp:rsid wsp:val=&quot;001677AC&quot;/&gt;&lt;wsp:rsid wsp:val=&quot;00167A17&quot;/&gt;&lt;wsp:rsid wsp:val=&quot;00173004&quot;/&gt;&lt;wsp:rsid wsp:val=&quot;00177AA2&quot;/&gt;&lt;wsp:rsid wsp:val=&quot;0018041F&quot;/&gt;&lt;wsp:rsid wsp:val=&quot;001805D7&quot;/&gt;&lt;wsp:rsid wsp:val=&quot;00187394&quot;/&gt;&lt;wsp:rsid wsp:val=&quot;001873D3&quot;/&gt;&lt;wsp:rsid wsp:val=&quot;00187991&quot;/&gt;&lt;wsp:rsid wsp:val=&quot;00193BED&quot;/&gt;&lt;wsp:rsid wsp:val=&quot;00194C7A&quot;/&gt;&lt;wsp:rsid wsp:val=&quot;00195ABC&quot;/&gt;&lt;wsp:rsid wsp:val=&quot;00195BC9&quot;/&gt;&lt;wsp:rsid wsp:val=&quot;00196448&quot;/&gt;&lt;wsp:rsid wsp:val=&quot;001A1968&quot;/&gt;&lt;wsp:rsid wsp:val=&quot;001A1D92&quot;/&gt;&lt;wsp:rsid wsp:val=&quot;001A22AC&quot;/&gt;&lt;wsp:rsid wsp:val=&quot;001A3CF0&quot;/&gt;&lt;wsp:rsid wsp:val=&quot;001A5A8F&quot;/&gt;&lt;wsp:rsid wsp:val=&quot;001B1365&quot;/&gt;&lt;wsp:rsid wsp:val=&quot;001B1481&quot;/&gt;&lt;wsp:rsid wsp:val=&quot;001B28A6&quot;/&gt;&lt;wsp:rsid wsp:val=&quot;001B31E4&quot;/&gt;&lt;wsp:rsid wsp:val=&quot;001B6A0C&quot;/&gt;&lt;wsp:rsid wsp:val=&quot;001C0D83&quot;/&gt;&lt;wsp:rsid wsp:val=&quot;001C14D5&quot;/&gt;&lt;wsp:rsid wsp:val=&quot;001C17F6&quot;/&gt;&lt;wsp:rsid wsp:val=&quot;001C3D1E&quot;/&gt;&lt;wsp:rsid wsp:val=&quot;001C6C75&quot;/&gt;&lt;wsp:rsid wsp:val=&quot;001C6CE2&quot;/&gt;&lt;wsp:rsid wsp:val=&quot;001D146F&quot;/&gt;&lt;wsp:rsid wsp:val=&quot;001D2605&quot;/&gt;&lt;wsp:rsid wsp:val=&quot;001D2C81&quot;/&gt;&lt;wsp:rsid wsp:val=&quot;001D339E&quot;/&gt;&lt;wsp:rsid wsp:val=&quot;001D74CF&quot;/&gt;&lt;wsp:rsid wsp:val=&quot;001E21C9&quot;/&gt;&lt;wsp:rsid wsp:val=&quot;001E21DF&quot;/&gt;&lt;wsp:rsid wsp:val=&quot;001E2E2E&quot;/&gt;&lt;wsp:rsid wsp:val=&quot;001E52FA&quot;/&gt;&lt;wsp:rsid wsp:val=&quot;001E5B81&quot;/&gt;&lt;wsp:rsid wsp:val=&quot;001E75BE&quot;/&gt;&lt;wsp:rsid wsp:val=&quot;001F12C4&quot;/&gt;&lt;wsp:rsid wsp:val=&quot;001F3FC7&quot;/&gt;&lt;wsp:rsid wsp:val=&quot;001F658C&quot;/&gt;&lt;wsp:rsid wsp:val=&quot;001F6D72&quot;/&gt;&lt;wsp:rsid wsp:val=&quot;002009DA&quot;/&gt;&lt;wsp:rsid wsp:val=&quot;00201758&quot;/&gt;&lt;wsp:rsid wsp:val=&quot;00201842&quot;/&gt;&lt;wsp:rsid wsp:val=&quot;00202CDD&quot;/&gt;&lt;wsp:rsid wsp:val=&quot;002055B2&quot;/&gt;&lt;wsp:rsid wsp:val=&quot;00210D79&quot;/&gt;&lt;wsp:rsid wsp:val=&quot;002126D0&quot;/&gt;&lt;wsp:rsid wsp:val=&quot;00214101&quot;/&gt;&lt;wsp:rsid wsp:val=&quot;00216CB9&quot;/&gt;&lt;wsp:rsid wsp:val=&quot;00220CCB&quot;/&gt;&lt;wsp:rsid wsp:val=&quot;00221471&quot;/&gt;&lt;wsp:rsid wsp:val=&quot;002214F1&quot;/&gt;&lt;wsp:rsid wsp:val=&quot;002269F9&quot;/&gt;&lt;wsp:rsid wsp:val=&quot;0023031D&quot;/&gt;&lt;wsp:rsid wsp:val=&quot;00230706&quot;/&gt;&lt;wsp:rsid wsp:val=&quot;002323A3&quot;/&gt;&lt;wsp:rsid wsp:val=&quot;002327A3&quot;/&gt;&lt;wsp:rsid wsp:val=&quot;00234003&quot;/&gt;&lt;wsp:rsid wsp:val=&quot;00236F9F&quot;/&gt;&lt;wsp:rsid wsp:val=&quot;002374FC&quot;/&gt;&lt;wsp:rsid wsp:val=&quot;0024012E&quot;/&gt;&lt;wsp:rsid wsp:val=&quot;00240898&quot;/&gt;&lt;wsp:rsid wsp:val=&quot;00241B86&quot;/&gt;&lt;wsp:rsid wsp:val=&quot;0024536D&quot;/&gt;&lt;wsp:rsid wsp:val=&quot;0024679F&quot;/&gt;&lt;wsp:rsid wsp:val=&quot;00251EDF&quot;/&gt;&lt;wsp:rsid wsp:val=&quot;00252EFD&quot;/&gt;&lt;wsp:rsid wsp:val=&quot;002560D5&quot;/&gt;&lt;wsp:rsid wsp:val=&quot;002561EC&quot;/&gt;&lt;wsp:rsid wsp:val=&quot;0026144A&quot;/&gt;&lt;wsp:rsid wsp:val=&quot;002615A4&quot;/&gt;&lt;wsp:rsid wsp:val=&quot;00262F25&quot;/&gt;&lt;wsp:rsid wsp:val=&quot;002653F9&quot;/&gt;&lt;wsp:rsid wsp:val=&quot;0026619B&quot;/&gt;&lt;wsp:rsid wsp:val=&quot;002671C0&quot;/&gt;&lt;wsp:rsid wsp:val=&quot;002679A2&quot;/&gt;&lt;wsp:rsid wsp:val=&quot;00267B8B&quot;/&gt;&lt;wsp:rsid wsp:val=&quot;002703CE&quot;/&gt;&lt;wsp:rsid wsp:val=&quot;00275484&quot;/&gt;&lt;wsp:rsid wsp:val=&quot;00276AD0&quot;/&gt;&lt;wsp:rsid wsp:val=&quot;00280C46&quot;/&gt;&lt;wsp:rsid wsp:val=&quot;0028594C&quot;/&gt;&lt;wsp:rsid wsp:val=&quot;002A4DA3&quot;/&gt;&lt;wsp:rsid wsp:val=&quot;002A53D8&quot;/&gt;&lt;wsp:rsid wsp:val=&quot;002B02DB&quot;/&gt;&lt;wsp:rsid wsp:val=&quot;002B23D3&quot;/&gt;&lt;wsp:rsid wsp:val=&quot;002B2E18&quot;/&gt;&lt;wsp:rsid wsp:val=&quot;002B491C&quot;/&gt;&lt;wsp:rsid wsp:val=&quot;002B4CF3&quot;/&gt;&lt;wsp:rsid wsp:val=&quot;002B4E22&quot;/&gt;&lt;wsp:rsid wsp:val=&quot;002B56EB&quot;/&gt;&lt;wsp:rsid wsp:val=&quot;002C239E&quot;/&gt;&lt;wsp:rsid wsp:val=&quot;002C28C2&quot;/&gt;&lt;wsp:rsid wsp:val=&quot;002C3B35&quot;/&gt;&lt;wsp:rsid wsp:val=&quot;002C41B6&quot;/&gt;&lt;wsp:rsid wsp:val=&quot;002C4E6E&quot;/&gt;&lt;wsp:rsid wsp:val=&quot;002C5CFF&quot;/&gt;&lt;wsp:rsid wsp:val=&quot;002D02D6&quot;/&gt;&lt;wsp:rsid wsp:val=&quot;002D1581&quot;/&gt;&lt;wsp:rsid wsp:val=&quot;002D1802&quot;/&gt;&lt;wsp:rsid wsp:val=&quot;002D3449&quot;/&gt;&lt;wsp:rsid wsp:val=&quot;002D5B28&quot;/&gt;&lt;wsp:rsid wsp:val=&quot;002D6325&quot;/&gt;&lt;wsp:rsid wsp:val=&quot;002D6522&quot;/&gt;&lt;wsp:rsid wsp:val=&quot;002E16A9&quot;/&gt;&lt;wsp:rsid wsp:val=&quot;002E6355&quot;/&gt;&lt;wsp:rsid wsp:val=&quot;002F5310&quot;/&gt;&lt;wsp:rsid wsp:val=&quot;002F6EBB&quot;/&gt;&lt;wsp:rsid wsp:val=&quot;003019DA&quot;/&gt;&lt;wsp:rsid wsp:val=&quot;00301A96&quot;/&gt;&lt;wsp:rsid wsp:val=&quot;00306A05&quot;/&gt;&lt;wsp:rsid wsp:val=&quot;003112F9&quot;/&gt;&lt;wsp:rsid wsp:val=&quot;00315D63&quot;/&gt;&lt;wsp:rsid wsp:val=&quot;0031603D&quot;/&gt;&lt;wsp:rsid wsp:val=&quot;00320675&quot;/&gt;&lt;wsp:rsid wsp:val=&quot;0032551B&quot;/&gt;&lt;wsp:rsid wsp:val=&quot;00325AAC&quot;/&gt;&lt;wsp:rsid wsp:val=&quot;00326120&quot;/&gt;&lt;wsp:rsid wsp:val=&quot;0032738F&quot;/&gt;&lt;wsp:rsid wsp:val=&quot;00327C71&quot;/&gt;&lt;wsp:rsid wsp:val=&quot;00327DCD&quot;/&gt;&lt;wsp:rsid wsp:val=&quot;003317EE&quot;/&gt;&lt;wsp:rsid wsp:val=&quot;00336BFC&quot;/&gt;&lt;wsp:rsid wsp:val=&quot;00344FB5&quot;/&gt;&lt;wsp:rsid wsp:val=&quot;00346CBD&quot;/&gt;&lt;wsp:rsid wsp:val=&quot;003515D8&quot;/&gt;&lt;wsp:rsid wsp:val=&quot;003531F5&quot;/&gt;&lt;wsp:rsid wsp:val=&quot;0035458F&quot;/&gt;&lt;wsp:rsid wsp:val=&quot;00356AB7&quot;/&gt;&lt;wsp:rsid wsp:val=&quot;00357CA9&quot;/&gt;&lt;wsp:rsid wsp:val=&quot;00362A3C&quot;/&gt;&lt;wsp:rsid wsp:val=&quot;00365046&quot;/&gt;&lt;wsp:rsid wsp:val=&quot;00366492&quot;/&gt;&lt;wsp:rsid wsp:val=&quot;00367558&quot;/&gt;&lt;wsp:rsid wsp:val=&quot;003725A1&quot;/&gt;&lt;wsp:rsid wsp:val=&quot;003754C0&quot;/&gt;&lt;wsp:rsid wsp:val=&quot;00375BA6&quot;/&gt;&lt;wsp:rsid wsp:val=&quot;003760CE&quot;/&gt;&lt;wsp:rsid wsp:val=&quot;00377400&quot;/&gt;&lt;wsp:rsid wsp:val=&quot;00382FBE&quot;/&gt;&lt;wsp:rsid wsp:val=&quot;003833C2&quot;/&gt;&lt;wsp:rsid wsp:val=&quot;00386484&quot;/&gt;&lt;wsp:rsid wsp:val=&quot;003900AB&quot;/&gt;&lt;wsp:rsid wsp:val=&quot;00390224&quot;/&gt;&lt;wsp:rsid wsp:val=&quot;00392BF4&quot;/&gt;&lt;wsp:rsid wsp:val=&quot;00393480&quot;/&gt;&lt;wsp:rsid wsp:val=&quot;00394EA4&quot;/&gt;&lt;wsp:rsid wsp:val=&quot;00396F69&quot;/&gt;&lt;wsp:rsid wsp:val=&quot;003A268B&quot;/&gt;&lt;wsp:rsid wsp:val=&quot;003A3207&quot;/&gt;&lt;wsp:rsid wsp:val=&quot;003A4E86&quot;/&gt;&lt;wsp:rsid wsp:val=&quot;003B3E4F&quot;/&gt;&lt;wsp:rsid wsp:val=&quot;003B6A29&quot;/&gt;&lt;wsp:rsid wsp:val=&quot;003B7460&quot;/&gt;&lt;wsp:rsid wsp:val=&quot;003C17A2&quot;/&gt;&lt;wsp:rsid wsp:val=&quot;003C182F&quot;/&gt;&lt;wsp:rsid wsp:val=&quot;003C34F1&quot;/&gt;&lt;wsp:rsid wsp:val=&quot;003C4AEC&quot;/&gt;&lt;wsp:rsid wsp:val=&quot;003C4B5A&quot;/&gt;&lt;wsp:rsid wsp:val=&quot;003D1885&quot;/&gt;&lt;wsp:rsid wsp:val=&quot;003D254D&quot;/&gt;&lt;wsp:rsid wsp:val=&quot;003D3A9A&quot;/&gt;&lt;wsp:rsid wsp:val=&quot;003D59EA&quot;/&gt;&lt;wsp:rsid wsp:val=&quot;003D6C77&quot;/&gt;&lt;wsp:rsid wsp:val=&quot;003D75A6&quot;/&gt;&lt;wsp:rsid wsp:val=&quot;003E0984&quot;/&gt;&lt;wsp:rsid wsp:val=&quot;003E17D0&quot;/&gt;&lt;wsp:rsid wsp:val=&quot;003E1BB3&quot;/&gt;&lt;wsp:rsid wsp:val=&quot;003E236F&quot;/&gt;&lt;wsp:rsid wsp:val=&quot;003E5D96&quot;/&gt;&lt;wsp:rsid wsp:val=&quot;003E6A82&quot;/&gt;&lt;wsp:rsid wsp:val=&quot;003F07A1&quot;/&gt;&lt;wsp:rsid wsp:val=&quot;003F4466&quot;/&gt;&lt;wsp:rsid wsp:val=&quot;003F5802&quot;/&gt;&lt;wsp:rsid wsp:val=&quot;003F7895&quot;/&gt;&lt;wsp:rsid wsp:val=&quot;00400700&quot;/&gt;&lt;wsp:rsid wsp:val=&quot;00400A2E&quot;/&gt;&lt;wsp:rsid wsp:val=&quot;00405C9E&quot;/&gt;&lt;wsp:rsid wsp:val=&quot;00406DBB&quot;/&gt;&lt;wsp:rsid wsp:val=&quot;00407AA7&quot;/&gt;&lt;wsp:rsid wsp:val=&quot;00411F49&quot;/&gt;&lt;wsp:rsid wsp:val=&quot;00420CF4&quot;/&gt;&lt;wsp:rsid wsp:val=&quot;004214CB&quot;/&gt;&lt;wsp:rsid wsp:val=&quot;00421515&quot;/&gt;&lt;wsp:rsid wsp:val=&quot;00421F52&quot;/&gt;&lt;wsp:rsid wsp:val=&quot;004273C8&quot;/&gt;&lt;wsp:rsid wsp:val=&quot;004302AC&quot;/&gt;&lt;wsp:rsid wsp:val=&quot;004311E3&quot;/&gt;&lt;wsp:rsid wsp:val=&quot;00435FD3&quot;/&gt;&lt;wsp:rsid wsp:val=&quot;00436F54&quot;/&gt;&lt;wsp:rsid wsp:val=&quot;004447E8&quot;/&gt;&lt;wsp:rsid wsp:val=&quot;0044531C&quot;/&gt;&lt;wsp:rsid wsp:val=&quot;0044686E&quot;/&gt;&lt;wsp:rsid wsp:val=&quot;00446F7D&quot;/&gt;&lt;wsp:rsid wsp:val=&quot;00452A49&quot;/&gt;&lt;wsp:rsid wsp:val=&quot;00454B2F&quot;/&gt;&lt;wsp:rsid wsp:val=&quot;004579F4&quot;/&gt;&lt;wsp:rsid wsp:val=&quot;00463B09&quot;/&gt;&lt;wsp:rsid wsp:val=&quot;004763C7&quot;/&gt;&lt;wsp:rsid wsp:val=&quot;00483AEC&quot;/&gt;&lt;wsp:rsid wsp:val=&quot;00487C49&quot;/&gt;&lt;wsp:rsid wsp:val=&quot;00495826&quot;/&gt;&lt;wsp:rsid wsp:val=&quot;004A4448&quot;/&gt;&lt;wsp:rsid wsp:val=&quot;004A584C&quot;/&gt;&lt;wsp:rsid wsp:val=&quot;004A5C92&quot;/&gt;&lt;wsp:rsid wsp:val=&quot;004B1C33&quot;/&gt;&lt;wsp:rsid wsp:val=&quot;004B2974&quot;/&gt;&lt;wsp:rsid wsp:val=&quot;004B3314&quot;/&gt;&lt;wsp:rsid wsp:val=&quot;004B4255&quot;/&gt;&lt;wsp:rsid wsp:val=&quot;004B5E76&quot;/&gt;&lt;wsp:rsid wsp:val=&quot;004B613C&quot;/&gt;&lt;wsp:rsid wsp:val=&quot;004D0DAF&quot;/&gt;&lt;wsp:rsid wsp:val=&quot;004D3144&quot;/&gt;&lt;wsp:rsid wsp:val=&quot;004D4137&quot;/&gt;&lt;wsp:rsid wsp:val=&quot;004D4844&quot;/&gt;&lt;wsp:rsid wsp:val=&quot;004D6F4B&quot;/&gt;&lt;wsp:rsid wsp:val=&quot;004D7D36&quot;/&gt;&lt;wsp:rsid wsp:val=&quot;004E0760&quot;/&gt;&lt;wsp:rsid wsp:val=&quot;004E26DF&quot;/&gt;&lt;wsp:rsid wsp:val=&quot;004E382E&quot;/&gt;&lt;wsp:rsid wsp:val=&quot;004E5A3B&quot;/&gt;&lt;wsp:rsid wsp:val=&quot;004E7D63&quot;/&gt;&lt;wsp:rsid wsp:val=&quot;004F5B23&quot;/&gt;&lt;wsp:rsid wsp:val=&quot;004F6491&quot;/&gt;&lt;wsp:rsid wsp:val=&quot;004F6805&quot;/&gt;&lt;wsp:rsid wsp:val=&quot;004F75A4&quot;/&gt;&lt;wsp:rsid wsp:val=&quot;00503483&quot;/&gt;&lt;wsp:rsid wsp:val=&quot;0050674F&quot;/&gt;&lt;wsp:rsid wsp:val=&quot;0051068C&quot;/&gt;&lt;wsp:rsid wsp:val=&quot;00513D6B&quot;/&gt;&lt;wsp:rsid wsp:val=&quot;005162E5&quot;/&gt;&lt;wsp:rsid wsp:val=&quot;00521838&quot;/&gt;&lt;wsp:rsid wsp:val=&quot;00522A7B&quot;/&gt;&lt;wsp:rsid wsp:val=&quot;0053048A&quot;/&gt;&lt;wsp:rsid wsp:val=&quot;00534071&quot;/&gt;&lt;wsp:rsid wsp:val=&quot;00541220&quot;/&gt;&lt;wsp:rsid wsp:val=&quot;0054396B&quot;/&gt;&lt;wsp:rsid wsp:val=&quot;00543A56&quot;/&gt;&lt;wsp:rsid wsp:val=&quot;0054561C&quot;/&gt;&lt;wsp:rsid wsp:val=&quot;00545ABE&quot;/&gt;&lt;wsp:rsid wsp:val=&quot;00546502&quot;/&gt;&lt;wsp:rsid wsp:val=&quot;0054765B&quot;/&gt;&lt;wsp:rsid wsp:val=&quot;00547E1B&quot;/&gt;&lt;wsp:rsid wsp:val=&quot;00551463&quot;/&gt;&lt;wsp:rsid wsp:val=&quot;00553D42&quot;/&gt;&lt;wsp:rsid wsp:val=&quot;00555F78&quot;/&gt;&lt;wsp:rsid wsp:val=&quot;00556931&quot;/&gt;&lt;wsp:rsid wsp:val=&quot;0056066C&quot;/&gt;&lt;wsp:rsid wsp:val=&quot;005607E3&quot;/&gt;&lt;wsp:rsid wsp:val=&quot;00560E99&quot;/&gt;&lt;wsp:rsid wsp:val=&quot;0056183F&quot;/&gt;&lt;wsp:rsid wsp:val=&quot;005631BF&quot;/&gt;&lt;wsp:rsid wsp:val=&quot;005669FD&quot;/&gt;&lt;wsp:rsid wsp:val=&quot;0057272D&quot;/&gt;&lt;wsp:rsid wsp:val=&quot;00572BD7&quot;/&gt;&lt;wsp:rsid wsp:val=&quot;005740A1&quot;/&gt;&lt;wsp:rsid wsp:val=&quot;005741EF&quot;/&gt;&lt;wsp:rsid wsp:val=&quot;00576A85&quot;/&gt;&lt;wsp:rsid wsp:val=&quot;00577C1C&quot;/&gt;&lt;wsp:rsid wsp:val=&quot;00581D99&quot;/&gt;&lt;wsp:rsid wsp:val=&quot;00582727&quot;/&gt;&lt;wsp:rsid wsp:val=&quot;00586D51&quot;/&gt;&lt;wsp:rsid wsp:val=&quot;00591E7C&quot;/&gt;&lt;wsp:rsid wsp:val=&quot;005978F0&quot;/&gt;&lt;wsp:rsid wsp:val=&quot;005A1B5F&quot;/&gt;&lt;wsp:rsid wsp:val=&quot;005A2EA7&quot;/&gt;&lt;wsp:rsid wsp:val=&quot;005A626E&quot;/&gt;&lt;wsp:rsid wsp:val=&quot;005A7758&quot;/&gt;&lt;wsp:rsid wsp:val=&quot;005B21D7&quot;/&gt;&lt;wsp:rsid wsp:val=&quot;005C1D07&quot;/&gt;&lt;wsp:rsid wsp:val=&quot;005C1F7A&quot;/&gt;&lt;wsp:rsid wsp:val=&quot;005C2258&quot;/&gt;&lt;wsp:rsid wsp:val=&quot;005C311E&quot;/&gt;&lt;wsp:rsid wsp:val=&quot;005C4568&quot;/&gt;&lt;wsp:rsid wsp:val=&quot;005C462E&quot;/&gt;&lt;wsp:rsid wsp:val=&quot;005C4D2B&quot;/&gt;&lt;wsp:rsid wsp:val=&quot;005D32D9&quot;/&gt;&lt;wsp:rsid wsp:val=&quot;005D396B&quot;/&gt;&lt;wsp:rsid wsp:val=&quot;005D4270&quot;/&gt;&lt;wsp:rsid wsp:val=&quot;005D48F7&quot;/&gt;&lt;wsp:rsid wsp:val=&quot;005E113C&quot;/&gt;&lt;wsp:rsid wsp:val=&quot;005E1D63&quot;/&gt;&lt;wsp:rsid wsp:val=&quot;005E397A&quot;/&gt;&lt;wsp:rsid wsp:val=&quot;005F39BF&quot;/&gt;&lt;wsp:rsid wsp:val=&quot;005F4FAA&quot;/&gt;&lt;wsp:rsid wsp:val=&quot;005F6830&quot;/&gt;&lt;wsp:rsid wsp:val=&quot;00603245&quot;/&gt;&lt;wsp:rsid wsp:val=&quot;00604FA8&quot;/&gt;&lt;wsp:rsid wsp:val=&quot;00607537&quot;/&gt;&lt;wsp:rsid wsp:val=&quot;00613481&quot;/&gt;&lt;wsp:rsid wsp:val=&quot;00614BE2&quot;/&gt;&lt;wsp:rsid wsp:val=&quot;006154C6&quot;/&gt;&lt;wsp:rsid wsp:val=&quot;00615C9D&quot;/&gt;&lt;wsp:rsid wsp:val=&quot;00617E9F&quot;/&gt;&lt;wsp:rsid wsp:val=&quot;00620614&quot;/&gt;&lt;wsp:rsid wsp:val=&quot;00621484&quot;/&gt;&lt;wsp:rsid wsp:val=&quot;0062396D&quot;/&gt;&lt;wsp:rsid wsp:val=&quot;00625A8C&quot;/&gt;&lt;wsp:rsid wsp:val=&quot;00625E64&quot;/&gt;&lt;wsp:rsid wsp:val=&quot;00631330&quot;/&gt;&lt;wsp:rsid wsp:val=&quot;0063222E&quot;/&gt;&lt;wsp:rsid wsp:val=&quot;006328C7&quot;/&gt;&lt;wsp:rsid wsp:val=&quot;00632E0E&quot;/&gt;&lt;wsp:rsid wsp:val=&quot;00636A72&quot;/&gt;&lt;wsp:rsid wsp:val=&quot;00641CF0&quot;/&gt;&lt;wsp:rsid wsp:val=&quot;00643755&quot;/&gt;&lt;wsp:rsid wsp:val=&quot;00643EBB&quot;/&gt;&lt;wsp:rsid wsp:val=&quot;006448C3&quot;/&gt;&lt;wsp:rsid wsp:val=&quot;006452BD&quot;/&gt;&lt;wsp:rsid wsp:val=&quot;00646305&quot;/&gt;&lt;wsp:rsid wsp:val=&quot;00654C91&quot;/&gt;&lt;wsp:rsid wsp:val=&quot;006551E8&quot;/&gt;&lt;wsp:rsid wsp:val=&quot;00657F10&quot;/&gt;&lt;wsp:rsid wsp:val=&quot;006607EC&quot;/&gt;&lt;wsp:rsid wsp:val=&quot;0066238C&quot;/&gt;&lt;wsp:rsid wsp:val=&quot;00663110&quot;/&gt;&lt;wsp:rsid wsp:val=&quot;006664E2&quot;/&gt;&lt;wsp:rsid wsp:val=&quot;00670494&quot;/&gt;&lt;wsp:rsid wsp:val=&quot;00670D7F&quot;/&gt;&lt;wsp:rsid wsp:val=&quot;00671CE6&quot;/&gt;&lt;wsp:rsid wsp:val=&quot;006720AB&quot;/&gt;&lt;wsp:rsid wsp:val=&quot;006755F2&quot;/&gt;&lt;wsp:rsid wsp:val=&quot;0068428C&quot;/&gt;&lt;wsp:rsid wsp:val=&quot;00684BE3&quot;/&gt;&lt;wsp:rsid wsp:val=&quot;00684C17&quot;/&gt;&lt;wsp:rsid wsp:val=&quot;00686234&quot;/&gt;&lt;wsp:rsid wsp:val=&quot;00687F71&quot;/&gt;&lt;wsp:rsid wsp:val=&quot;0069367B&quot;/&gt;&lt;wsp:rsid wsp:val=&quot;0069377C&quot;/&gt;&lt;wsp:rsid wsp:val=&quot;00694D5C&quot;/&gt;&lt;wsp:rsid wsp:val=&quot;00697242&quot;/&gt;&lt;wsp:rsid wsp:val=&quot;006A1BC0&quot;/&gt;&lt;wsp:rsid wsp:val=&quot;006A4D8D&quot;/&gt;&lt;wsp:rsid wsp:val=&quot;006A6CAF&quot;/&gt;&lt;wsp:rsid wsp:val=&quot;006B030D&quot;/&gt;&lt;wsp:rsid wsp:val=&quot;006B0FEE&quot;/&gt;&lt;wsp:rsid wsp:val=&quot;006B51FF&quot;/&gt;&lt;wsp:rsid wsp:val=&quot;006B6C5D&quot;/&gt;&lt;wsp:rsid wsp:val=&quot;006C44C4&quot;/&gt;&lt;wsp:rsid wsp:val=&quot;006C589F&quot;/&gt;&lt;wsp:rsid wsp:val=&quot;006C64FC&quot;/&gt;&lt;wsp:rsid wsp:val=&quot;006C6CC7&quot;/&gt;&lt;wsp:rsid wsp:val=&quot;006C7221&quot;/&gt;&lt;wsp:rsid wsp:val=&quot;006D0ECB&quot;/&gt;&lt;wsp:rsid wsp:val=&quot;006D29CC&quot;/&gt;&lt;wsp:rsid wsp:val=&quot;006D394C&quot;/&gt;&lt;wsp:rsid wsp:val=&quot;006D5794&quot;/&gt;&lt;wsp:rsid wsp:val=&quot;006D5942&quot;/&gt;&lt;wsp:rsid wsp:val=&quot;006D763E&quot;/&gt;&lt;wsp:rsid wsp:val=&quot;006D78E8&quot;/&gt;&lt;wsp:rsid wsp:val=&quot;006E0736&quot;/&gt;&lt;wsp:rsid wsp:val=&quot;006E1798&quot;/&gt;&lt;wsp:rsid wsp:val=&quot;006E2122&quot;/&gt;&lt;wsp:rsid wsp:val=&quot;006E40F9&quot;/&gt;&lt;wsp:rsid wsp:val=&quot;006E4BCB&quot;/&gt;&lt;wsp:rsid wsp:val=&quot;006E57FE&quot;/&gt;&lt;wsp:rsid wsp:val=&quot;006E793A&quot;/&gt;&lt;wsp:rsid wsp:val=&quot;006F4191&quot;/&gt;&lt;wsp:rsid wsp:val=&quot;006F523C&quot;/&gt;&lt;wsp:rsid wsp:val=&quot;006F677A&quot;/&gt;&lt;wsp:rsid wsp:val=&quot;00700878&quot;/&gt;&lt;wsp:rsid wsp:val=&quot;00701A92&quot;/&gt;&lt;wsp:rsid wsp:val=&quot;00703315&quot;/&gt;&lt;wsp:rsid wsp:val=&quot;00704418&quot;/&gt;&lt;wsp:rsid wsp:val=&quot;00705DD0&quot;/&gt;&lt;wsp:rsid wsp:val=&quot;00711266&quot;/&gt;&lt;wsp:rsid wsp:val=&quot;0071659C&quot;/&gt;&lt;wsp:rsid wsp:val=&quot;00716F8F&quot;/&gt;&lt;wsp:rsid wsp:val=&quot;0072055A&quot;/&gt;&lt;wsp:rsid wsp:val=&quot;00721D58&quot;/&gt;&lt;wsp:rsid wsp:val=&quot;00727587&quot;/&gt;&lt;wsp:rsid wsp:val=&quot;007306E2&quot;/&gt;&lt;wsp:rsid wsp:val=&quot;007310E8&quot;/&gt;&lt;wsp:rsid wsp:val=&quot;00733210&quot;/&gt;&lt;wsp:rsid wsp:val=&quot;00734A9A&quot;/&gt;&lt;wsp:rsid wsp:val=&quot;00734FFE&quot;/&gt;&lt;wsp:rsid wsp:val=&quot;00736BE0&quot;/&gt;&lt;wsp:rsid wsp:val=&quot;007430E1&quot;/&gt;&lt;wsp:rsid wsp:val=&quot;00745209&quot;/&gt;&lt;wsp:rsid wsp:val=&quot;00745E86&quot;/&gt;&lt;wsp:rsid wsp:val=&quot;00747129&quot;/&gt;&lt;wsp:rsid wsp:val=&quot;007473E2&quot;/&gt;&lt;wsp:rsid wsp:val=&quot;00750A37&quot;/&gt;&lt;wsp:rsid wsp:val=&quot;007513E0&quot;/&gt;&lt;wsp:rsid wsp:val=&quot;0075198A&quot;/&gt;&lt;wsp:rsid wsp:val=&quot;00754841&quot;/&gt;&lt;wsp:rsid wsp:val=&quot;0075587A&quot;/&gt;&lt;wsp:rsid wsp:val=&quot;007578E5&quot;/&gt;&lt;wsp:rsid wsp:val=&quot;00762AC3&quot;/&gt;&lt;wsp:rsid wsp:val=&quot;00763AA3&quot;/&gt;&lt;wsp:rsid wsp:val=&quot;007654E6&quot;/&gt;&lt;wsp:rsid wsp:val=&quot;0076611F&quot;/&gt;&lt;wsp:rsid wsp:val=&quot;0076724F&quot;/&gt;&lt;wsp:rsid wsp:val=&quot;00771CC6&quot;/&gt;&lt;wsp:rsid wsp:val=&quot;00771D63&quot;/&gt;&lt;wsp:rsid wsp:val=&quot;007744A7&quot;/&gt;&lt;wsp:rsid wsp:val=&quot;007756FC&quot;/&gt;&lt;wsp:rsid wsp:val=&quot;0077594E&quot;/&gt;&lt;wsp:rsid wsp:val=&quot;007832BE&quot;/&gt;&lt;wsp:rsid wsp:val=&quot;0078402A&quot;/&gt;&lt;wsp:rsid wsp:val=&quot;00784E61&quot;/&gt;&lt;wsp:rsid wsp:val=&quot;00786DF1&quot;/&gt;&lt;wsp:rsid wsp:val=&quot;007875D6&quot;/&gt;&lt;wsp:rsid wsp:val=&quot;00790496&quot;/&gt;&lt;wsp:rsid wsp:val=&quot;0079396A&quot;/&gt;&lt;wsp:rsid wsp:val=&quot;00794774&quot;/&gt;&lt;wsp:rsid wsp:val=&quot;007A1697&quot;/&gt;&lt;wsp:rsid wsp:val=&quot;007A2CDC&quot;/&gt;&lt;wsp:rsid wsp:val=&quot;007A5059&quot;/&gt;&lt;wsp:rsid wsp:val=&quot;007A511B&quot;/&gt;&lt;wsp:rsid wsp:val=&quot;007A5A15&quot;/&gt;&lt;wsp:rsid wsp:val=&quot;007A6C19&quot;/&gt;&lt;wsp:rsid wsp:val=&quot;007A6E75&quot;/&gt;&lt;wsp:rsid wsp:val=&quot;007A75D7&quot;/&gt;&lt;wsp:rsid wsp:val=&quot;007B02A9&quot;/&gt;&lt;wsp:rsid wsp:val=&quot;007B086A&quot;/&gt;&lt;wsp:rsid wsp:val=&quot;007C00BA&quot;/&gt;&lt;wsp:rsid wsp:val=&quot;007C0F73&quot;/&gt;&lt;wsp:rsid wsp:val=&quot;007C143C&quot;/&gt;&lt;wsp:rsid wsp:val=&quot;007C2882&quot;/&gt;&lt;wsp:rsid wsp:val=&quot;007C2C8B&quot;/&gt;&lt;wsp:rsid wsp:val=&quot;007C2F42&quot;/&gt;&lt;wsp:rsid wsp:val=&quot;007C5272&quot;/&gt;&lt;wsp:rsid wsp:val=&quot;007C7BB4&quot;/&gt;&lt;wsp:rsid wsp:val=&quot;007D246E&quot;/&gt;&lt;wsp:rsid wsp:val=&quot;007D5DD3&quot;/&gt;&lt;wsp:rsid wsp:val=&quot;007E0767&quot;/&gt;&lt;wsp:rsid wsp:val=&quot;007E52B6&quot;/&gt;&lt;wsp:rsid wsp:val=&quot;007F331B&quot;/&gt;&lt;wsp:rsid wsp:val=&quot;007F42AF&quot;/&gt;&lt;wsp:rsid wsp:val=&quot;007F6250&quot;/&gt;&lt;wsp:rsid wsp:val=&quot;007F78A2&quot;/&gt;&lt;wsp:rsid wsp:val=&quot;007F7925&quot;/&gt;&lt;wsp:rsid wsp:val=&quot;00800422&quot;/&gt;&lt;wsp:rsid wsp:val=&quot;00802225&quot;/&gt;&lt;wsp:rsid wsp:val=&quot;00803F65&quot;/&gt;&lt;wsp:rsid wsp:val=&quot;00803FBE&quot;/&gt;&lt;wsp:rsid wsp:val=&quot;0080753A&quot;/&gt;&lt;wsp:rsid wsp:val=&quot;00813B57&quot;/&gt;&lt;wsp:rsid wsp:val=&quot;008171D0&quot;/&gt;&lt;wsp:rsid wsp:val=&quot;00821707&quot;/&gt;&lt;wsp:rsid wsp:val=&quot;00821F59&quot;/&gt;&lt;wsp:rsid wsp:val=&quot;00821FA4&quot;/&gt;&lt;wsp:rsid wsp:val=&quot;0082270E&quot;/&gt;&lt;wsp:rsid wsp:val=&quot;008234D8&quot;/&gt;&lt;wsp:rsid wsp:val=&quot;0084236C&quot;/&gt;&lt;wsp:rsid wsp:val=&quot;0084290F&quot;/&gt;&lt;wsp:rsid wsp:val=&quot;00843385&quot;/&gt;&lt;wsp:rsid wsp:val=&quot;00846723&quot;/&gt;&lt;wsp:rsid wsp:val=&quot;00847A5B&quot;/&gt;&lt;wsp:rsid wsp:val=&quot;00853895&quot;/&gt;&lt;wsp:rsid wsp:val=&quot;008550BA&quot;/&gt;&lt;wsp:rsid wsp:val=&quot;008639DF&quot;/&gt;&lt;wsp:rsid wsp:val=&quot;008709A3&quot;/&gt;&lt;wsp:rsid wsp:val=&quot;00874691&quot;/&gt;&lt;wsp:rsid wsp:val=&quot;00875E14&quot;/&gt;&lt;wsp:rsid wsp:val=&quot;00876334&quot;/&gt;&lt;wsp:rsid wsp:val=&quot;00881063&quot;/&gt;&lt;wsp:rsid wsp:val=&quot;00882866&quot;/&gt;&lt;wsp:rsid wsp:val=&quot;0088426E&quot;/&gt;&lt;wsp:rsid wsp:val=&quot;008857C2&quot;/&gt;&lt;wsp:rsid wsp:val=&quot;008877F3&quot;/&gt;&lt;wsp:rsid wsp:val=&quot;00891879&quot;/&gt;&lt;wsp:rsid wsp:val=&quot;008928B1&quot;/&gt;&lt;wsp:rsid wsp:val=&quot;0089445A&quot;/&gt;&lt;wsp:rsid wsp:val=&quot;008A30D4&quot;/&gt;&lt;wsp:rsid wsp:val=&quot;008A5A81&quot;/&gt;&lt;wsp:rsid wsp:val=&quot;008B3464&quot;/&gt;&lt;wsp:rsid wsp:val=&quot;008B50C6&quot;/&gt;&lt;wsp:rsid wsp:val=&quot;008B5D12&quot;/&gt;&lt;wsp:rsid wsp:val=&quot;008C0DCD&quot;/&gt;&lt;wsp:rsid wsp:val=&quot;008C1ADA&quot;/&gt;&lt;wsp:rsid wsp:val=&quot;008C6EF9&quot;/&gt;&lt;wsp:rsid wsp:val=&quot;008C7096&quot;/&gt;&lt;wsp:rsid wsp:val=&quot;008D1C99&quot;/&gt;&lt;wsp:rsid wsp:val=&quot;008D584B&quot;/&gt;&lt;wsp:rsid wsp:val=&quot;008D6F96&quot;/&gt;&lt;wsp:rsid wsp:val=&quot;008E2F91&quot;/&gt;&lt;wsp:rsid wsp:val=&quot;008E3FE7&quot;/&gt;&lt;wsp:rsid wsp:val=&quot;008E4168&quot;/&gt;&lt;wsp:rsid wsp:val=&quot;008F26E9&quot;/&gt;&lt;wsp:rsid wsp:val=&quot;008F3F91&quot;/&gt;&lt;wsp:rsid wsp:val=&quot;008F4892&quot;/&gt;&lt;wsp:rsid wsp:val=&quot;008F7B63&quot;/&gt;&lt;wsp:rsid wsp:val=&quot;00900A53&quot;/&gt;&lt;wsp:rsid wsp:val=&quot;009016BD&quot;/&gt;&lt;wsp:rsid wsp:val=&quot;00902BD0&quot;/&gt;&lt;wsp:rsid wsp:val=&quot;00906713&quot;/&gt;&lt;wsp:rsid wsp:val=&quot;00911585&quot;/&gt;&lt;wsp:rsid wsp:val=&quot;009140BC&quot;/&gt;&lt;wsp:rsid wsp:val=&quot;009145DA&quot;/&gt;&lt;wsp:rsid wsp:val=&quot;00915375&quot;/&gt;&lt;wsp:rsid wsp:val=&quot;009172F9&quot;/&gt;&lt;wsp:rsid wsp:val=&quot;009179F0&quot;/&gt;&lt;wsp:rsid wsp:val=&quot;00917A05&quot;/&gt;&lt;wsp:rsid wsp:val=&quot;0092018F&quot;/&gt;&lt;wsp:rsid wsp:val=&quot;0092170E&quot;/&gt;&lt;wsp:rsid wsp:val=&quot;00921737&quot;/&gt;&lt;wsp:rsid wsp:val=&quot;0092190B&quot;/&gt;&lt;wsp:rsid wsp:val=&quot;00922FAA&quot;/&gt;&lt;wsp:rsid wsp:val=&quot;0092532E&quot;/&gt;&lt;wsp:rsid wsp:val=&quot;00925917&quot;/&gt;&lt;wsp:rsid wsp:val=&quot;00931A08&quot;/&gt;&lt;wsp:rsid wsp:val=&quot;00936327&quot;/&gt;&lt;wsp:rsid wsp:val=&quot;00943832&quot;/&gt;&lt;wsp:rsid wsp:val=&quot;00943F47&quot;/&gt;&lt;wsp:rsid wsp:val=&quot;00945474&quot;/&gt;&lt;wsp:rsid wsp:val=&quot;0094553E&quot;/&gt;&lt;wsp:rsid wsp:val=&quot;00952BD5&quot;/&gt;&lt;wsp:rsid wsp:val=&quot;009606C8&quot;/&gt;&lt;wsp:rsid wsp:val=&quot;009608F8&quot;/&gt;&lt;wsp:rsid wsp:val=&quot;009626F0&quot;/&gt;&lt;wsp:rsid wsp:val=&quot;00966847&quot;/&gt;&lt;wsp:rsid wsp:val=&quot;00966C62&quot;/&gt;&lt;wsp:rsid wsp:val=&quot;0097541E&quot;/&gt;&lt;wsp:rsid wsp:val=&quot;009801B8&quot;/&gt;&lt;wsp:rsid wsp:val=&quot;009812EE&quot;/&gt;&lt;wsp:rsid wsp:val=&quot;009813F6&quot;/&gt;&lt;wsp:rsid wsp:val=&quot;00982F55&quot;/&gt;&lt;wsp:rsid wsp:val=&quot;00983EF0&quot;/&gt;&lt;wsp:rsid wsp:val=&quot;00987461&quot;/&gt;&lt;wsp:rsid wsp:val=&quot;00997A83&quot;/&gt;&lt;wsp:rsid wsp:val=&quot;009A0F68&quot;/&gt;&lt;wsp:rsid wsp:val=&quot;009A291D&quot;/&gt;&lt;wsp:rsid wsp:val=&quot;009A48D3&quot;/&gt;&lt;wsp:rsid wsp:val=&quot;009A5D2D&quot;/&gt;&lt;wsp:rsid wsp:val=&quot;009A702F&quot;/&gt;&lt;wsp:rsid wsp:val=&quot;009A760F&quot;/&gt;&lt;wsp:rsid wsp:val=&quot;009B1DB5&quot;/&gt;&lt;wsp:rsid wsp:val=&quot;009B3805&quot;/&gt;&lt;wsp:rsid wsp:val=&quot;009B61F1&quot;/&gt;&lt;wsp:rsid wsp:val=&quot;009C129C&quot;/&gt;&lt;wsp:rsid wsp:val=&quot;009C2076&quot;/&gt;&lt;wsp:rsid wsp:val=&quot;009C4D33&quot;/&gt;&lt;wsp:rsid wsp:val=&quot;009C51B7&quot;/&gt;&lt;wsp:rsid wsp:val=&quot;009C6951&quot;/&gt;&lt;wsp:rsid wsp:val=&quot;009D1251&quot;/&gt;&lt;wsp:rsid wsp:val=&quot;009E0711&quot;/&gt;&lt;wsp:rsid wsp:val=&quot;009E7FFB&quot;/&gt;&lt;wsp:rsid wsp:val=&quot;009F081E&quot;/&gt;&lt;wsp:rsid wsp:val=&quot;009F169E&quot;/&gt;&lt;wsp:rsid wsp:val=&quot;009F1DED&quot;/&gt;&lt;wsp:rsid wsp:val=&quot;009F35EB&quot;/&gt;&lt;wsp:rsid wsp:val=&quot;009F451A&quot;/&gt;&lt;wsp:rsid wsp:val=&quot;009F61A4&quot;/&gt;&lt;wsp:rsid wsp:val=&quot;00A009EE&quot;/&gt;&lt;wsp:rsid wsp:val=&quot;00A01DC7&quot;/&gt;&lt;wsp:rsid wsp:val=&quot;00A13091&quot;/&gt;&lt;wsp:rsid wsp:val=&quot;00A134BF&quot;/&gt;&lt;wsp:rsid wsp:val=&quot;00A13629&quot;/&gt;&lt;wsp:rsid wsp:val=&quot;00A2199A&quot;/&gt;&lt;wsp:rsid wsp:val=&quot;00A22756&quot;/&gt;&lt;wsp:rsid wsp:val=&quot;00A228A0&quot;/&gt;&lt;wsp:rsid wsp:val=&quot;00A2483E&quot;/&gt;&lt;wsp:rsid wsp:val=&quot;00A25930&quot;/&gt;&lt;wsp:rsid wsp:val=&quot;00A2795F&quot;/&gt;&lt;wsp:rsid wsp:val=&quot;00A31470&quot;/&gt;&lt;wsp:rsid wsp:val=&quot;00A33546&quot;/&gt;&lt;wsp:rsid wsp:val=&quot;00A33ACB&quot;/&gt;&lt;wsp:rsid wsp:val=&quot;00A33DAA&quot;/&gt;&lt;wsp:rsid wsp:val=&quot;00A35CED&quot;/&gt;&lt;wsp:rsid wsp:val=&quot;00A421AB&quot;/&gt;&lt;wsp:rsid wsp:val=&quot;00A422D7&quot;/&gt;&lt;wsp:rsid wsp:val=&quot;00A43FEA&quot;/&gt;&lt;wsp:rsid wsp:val=&quot;00A45B4A&quot;/&gt;&lt;wsp:rsid wsp:val=&quot;00A51441&quot;/&gt;&lt;wsp:rsid wsp:val=&quot;00A51771&quot;/&gt;&lt;wsp:rsid wsp:val=&quot;00A52C50&quot;/&gt;&lt;wsp:rsid wsp:val=&quot;00A53A8A&quot;/&gt;&lt;wsp:rsid wsp:val=&quot;00A53ED1&quot;/&gt;&lt;wsp:rsid wsp:val=&quot;00A61EA7&quot;/&gt;&lt;wsp:rsid wsp:val=&quot;00A63461&quot;/&gt;&lt;wsp:rsid wsp:val=&quot;00A649B2&quot;/&gt;&lt;wsp:rsid wsp:val=&quot;00A66B30&quot;/&gt;&lt;wsp:rsid wsp:val=&quot;00A66B3A&quot;/&gt;&lt;wsp:rsid wsp:val=&quot;00A734FD&quot;/&gt;&lt;wsp:rsid wsp:val=&quot;00A74E23&quot;/&gt;&lt;wsp:rsid wsp:val=&quot;00A80F1F&quot;/&gt;&lt;wsp:rsid wsp:val=&quot;00A8705F&quot;/&gt;&lt;wsp:rsid wsp:val=&quot;00A90881&quot;/&gt;&lt;wsp:rsid wsp:val=&quot;00A91DF8&quot;/&gt;&lt;wsp:rsid wsp:val=&quot;00A93272&quot;/&gt;&lt;wsp:rsid wsp:val=&quot;00A96DCA&quot;/&gt;&lt;wsp:rsid wsp:val=&quot;00AA043B&quot;/&gt;&lt;wsp:rsid wsp:val=&quot;00AA2D09&quot;/&gt;&lt;wsp:rsid wsp:val=&quot;00AA54C9&quot;/&gt;&lt;wsp:rsid wsp:val=&quot;00AA701F&quot;/&gt;&lt;wsp:rsid wsp:val=&quot;00AA75A0&quot;/&gt;&lt;wsp:rsid wsp:val=&quot;00AB104F&quot;/&gt;&lt;wsp:rsid wsp:val=&quot;00AB1112&quot;/&gt;&lt;wsp:rsid wsp:val=&quot;00AB30E9&quot;/&gt;&lt;wsp:rsid wsp:val=&quot;00AB339E&quot;/&gt;&lt;wsp:rsid wsp:val=&quot;00AB3F44&quot;/&gt;&lt;wsp:rsid wsp:val=&quot;00AB616B&quot;/&gt;&lt;wsp:rsid wsp:val=&quot;00AC3098&quot;/&gt;&lt;wsp:rsid wsp:val=&quot;00AC44F5&quot;/&gt;&lt;wsp:rsid wsp:val=&quot;00AC6915&quot;/&gt;&lt;wsp:rsid wsp:val=&quot;00AC75F4&quot;/&gt;&lt;wsp:rsid wsp:val=&quot;00AD1BB2&quot;/&gt;&lt;wsp:rsid wsp:val=&quot;00AD1BFC&quot;/&gt;&lt;wsp:rsid wsp:val=&quot;00AD7D04&quot;/&gt;&lt;wsp:rsid wsp:val=&quot;00AE2110&quot;/&gt;&lt;wsp:rsid wsp:val=&quot;00AE24CD&quot;/&gt;&lt;wsp:rsid wsp:val=&quot;00AE2D18&quot;/&gt;&lt;wsp:rsid wsp:val=&quot;00AE4F43&quot;/&gt;&lt;wsp:rsid wsp:val=&quot;00AF3757&quot;/&gt;&lt;wsp:rsid wsp:val=&quot;00B00BF9&quot;/&gt;&lt;wsp:rsid wsp:val=&quot;00B0261B&quot;/&gt;&lt;wsp:rsid wsp:val=&quot;00B14C5B&quot;/&gt;&lt;wsp:rsid wsp:val=&quot;00B21CFC&quot;/&gt;&lt;wsp:rsid wsp:val=&quot;00B235B8&quot;/&gt;&lt;wsp:rsid wsp:val=&quot;00B23955&quot;/&gt;&lt;wsp:rsid wsp:val=&quot;00B23C7E&quot;/&gt;&lt;wsp:rsid wsp:val=&quot;00B25C88&quot;/&gt;&lt;wsp:rsid wsp:val=&quot;00B25D4D&quot;/&gt;&lt;wsp:rsid wsp:val=&quot;00B26ABB&quot;/&gt;&lt;wsp:rsid wsp:val=&quot;00B33223&quot;/&gt;&lt;wsp:rsid wsp:val=&quot;00B336AA&quot;/&gt;&lt;wsp:rsid wsp:val=&quot;00B33966&quot;/&gt;&lt;wsp:rsid wsp:val=&quot;00B33B73&quot;/&gt;&lt;wsp:rsid wsp:val=&quot;00B33F19&quot;/&gt;&lt;wsp:rsid wsp:val=&quot;00B362C5&quot;/&gt;&lt;wsp:rsid wsp:val=&quot;00B36ACB&quot;/&gt;&lt;wsp:rsid wsp:val=&quot;00B42BAC&quot;/&gt;&lt;wsp:rsid wsp:val=&quot;00B42D7F&quot;/&gt;&lt;wsp:rsid wsp:val=&quot;00B45F91&quot;/&gt;&lt;wsp:rsid wsp:val=&quot;00B4642C&quot;/&gt;&lt;wsp:rsid wsp:val=&quot;00B46645&quot;/&gt;&lt;wsp:rsid wsp:val=&quot;00B47188&quot;/&gt;&lt;wsp:rsid wsp:val=&quot;00B52659&quot;/&gt;&lt;wsp:rsid wsp:val=&quot;00B53F04&quot;/&gt;&lt;wsp:rsid wsp:val=&quot;00B54934&quot;/&gt;&lt;wsp:rsid wsp:val=&quot;00B55225&quot;/&gt;&lt;wsp:rsid wsp:val=&quot;00B5625F&quot;/&gt;&lt;wsp:rsid wsp:val=&quot;00B63E7C&quot;/&gt;&lt;wsp:rsid wsp:val=&quot;00B64C28&quot;/&gt;&lt;wsp:rsid wsp:val=&quot;00B72F9D&quot;/&gt;&lt;wsp:rsid wsp:val=&quot;00B73247&quot;/&gt;&lt;wsp:rsid wsp:val=&quot;00B758E4&quot;/&gt;&lt;wsp:rsid wsp:val=&quot;00B80D78&quot;/&gt;&lt;wsp:rsid wsp:val=&quot;00B83C2D&quot;/&gt;&lt;wsp:rsid wsp:val=&quot;00B85BE0&quot;/&gt;&lt;wsp:rsid wsp:val=&quot;00B862E4&quot;/&gt;&lt;wsp:rsid wsp:val=&quot;00B864AF&quot;/&gt;&lt;wsp:rsid wsp:val=&quot;00B86D6F&quot;/&gt;&lt;wsp:rsid wsp:val=&quot;00B963A2&quot;/&gt;&lt;wsp:rsid wsp:val=&quot;00B9798D&quot;/&gt;&lt;wsp:rsid wsp:val=&quot;00BA50C9&quot;/&gt;&lt;wsp:rsid wsp:val=&quot;00BA525B&quot;/&gt;&lt;wsp:rsid wsp:val=&quot;00BA6A0C&quot;/&gt;&lt;wsp:rsid wsp:val=&quot;00BA6BAF&quot;/&gt;&lt;wsp:rsid wsp:val=&quot;00BB1A1A&quot;/&gt;&lt;wsp:rsid wsp:val=&quot;00BB2956&quot;/&gt;&lt;wsp:rsid wsp:val=&quot;00BB3170&quot;/&gt;&lt;wsp:rsid wsp:val=&quot;00BB3397&quot;/&gt;&lt;wsp:rsid wsp:val=&quot;00BB526B&quot;/&gt;&lt;wsp:rsid wsp:val=&quot;00BB5B00&quot;/&gt;&lt;wsp:rsid wsp:val=&quot;00BB6566&quot;/&gt;&lt;wsp:rsid wsp:val=&quot;00BC38B9&quot;/&gt;&lt;wsp:rsid wsp:val=&quot;00BD30C9&quot;/&gt;&lt;wsp:rsid wsp:val=&quot;00BD78EC&quot;/&gt;&lt;wsp:rsid wsp:val=&quot;00BE1675&quot;/&gt;&lt;wsp:rsid wsp:val=&quot;00BE2B70&quot;/&gt;&lt;wsp:rsid wsp:val=&quot;00BF0D22&quot;/&gt;&lt;wsp:rsid wsp:val=&quot;00BF1F4E&quot;/&gt;&lt;wsp:rsid wsp:val=&quot;00BF55DE&quot;/&gt;&lt;wsp:rsid wsp:val=&quot;00BF65A4&quot;/&gt;&lt;wsp:rsid wsp:val=&quot;00C0056B&quot;/&gt;&lt;wsp:rsid wsp:val=&quot;00C048C6&quot;/&gt;&lt;wsp:rsid wsp:val=&quot;00C05139&quot;/&gt;&lt;wsp:rsid wsp:val=&quot;00C0525E&quot;/&gt;&lt;wsp:rsid wsp:val=&quot;00C10A4F&quot;/&gt;&lt;wsp:rsid wsp:val=&quot;00C10DB0&quot;/&gt;&lt;wsp:rsid wsp:val=&quot;00C1185D&quot;/&gt;&lt;wsp:rsid wsp:val=&quot;00C20424&quot;/&gt;&lt;wsp:rsid wsp:val=&quot;00C21576&quot;/&gt;&lt;wsp:rsid wsp:val=&quot;00C274D5&quot;/&gt;&lt;wsp:rsid wsp:val=&quot;00C3529F&quot;/&gt;&lt;wsp:rsid wsp:val=&quot;00C362CF&quot;/&gt;&lt;wsp:rsid wsp:val=&quot;00C368A6&quot;/&gt;&lt;wsp:rsid wsp:val=&quot;00C40B65&quot;/&gt;&lt;wsp:rsid wsp:val=&quot;00C4297A&quot;/&gt;&lt;wsp:rsid wsp:val=&quot;00C4360A&quot;/&gt;&lt;wsp:rsid wsp:val=&quot;00C445D9&quot;/&gt;&lt;wsp:rsid wsp:val=&quot;00C51DB6&quot;/&gt;&lt;wsp:rsid wsp:val=&quot;00C5748D&quot;/&gt;&lt;wsp:rsid wsp:val=&quot;00C617F2&quot;/&gt;&lt;wsp:rsid wsp:val=&quot;00C67080&quot;/&gt;&lt;wsp:rsid wsp:val=&quot;00C6784D&quot;/&gt;&lt;wsp:rsid wsp:val=&quot;00C67CF8&quot;/&gt;&lt;wsp:rsid wsp:val=&quot;00C758FE&quot;/&gt;&lt;wsp:rsid wsp:val=&quot;00C76AFA&quot;/&gt;&lt;wsp:rsid wsp:val=&quot;00C835D8&quot;/&gt;&lt;wsp:rsid wsp:val=&quot;00C97B55&quot;/&gt;&lt;wsp:rsid wsp:val=&quot;00CA0926&quot;/&gt;&lt;wsp:rsid wsp:val=&quot;00CA4711&quot;/&gt;&lt;wsp:rsid wsp:val=&quot;00CA507D&quot;/&gt;&lt;wsp:rsid wsp:val=&quot;00CA6707&quot;/&gt;&lt;wsp:rsid wsp:val=&quot;00CA7D2B&quot;/&gt;&lt;wsp:rsid wsp:val=&quot;00CB1115&quot;/&gt;&lt;wsp:rsid wsp:val=&quot;00CB3284&quot;/&gt;&lt;wsp:rsid wsp:val=&quot;00CB5D91&quot;/&gt;&lt;wsp:rsid wsp:val=&quot;00CB6372&quot;/&gt;&lt;wsp:rsid wsp:val=&quot;00CC0314&quot;/&gt;&lt;wsp:rsid wsp:val=&quot;00CC06E8&quot;/&gt;&lt;wsp:rsid wsp:val=&quot;00CC124F&quot;/&gt;&lt;wsp:rsid wsp:val=&quot;00CC42B4&quot;/&gt;&lt;wsp:rsid wsp:val=&quot;00CC6B12&quot;/&gt;&lt;wsp:rsid wsp:val=&quot;00CD2119&quot;/&gt;&lt;wsp:rsid wsp:val=&quot;00CD2177&quot;/&gt;&lt;wsp:rsid wsp:val=&quot;00CD4350&quot;/&gt;&lt;wsp:rsid wsp:val=&quot;00CD6020&quot;/&gt;&lt;wsp:rsid wsp:val=&quot;00CE36F4&quot;/&gt;&lt;wsp:rsid wsp:val=&quot;00CE4E07&quot;/&gt;&lt;wsp:rsid wsp:val=&quot;00CF078D&quot;/&gt;&lt;wsp:rsid wsp:val=&quot;00CF1DCA&quot;/&gt;&lt;wsp:rsid wsp:val=&quot;00CF65BA&quot;/&gt;&lt;wsp:rsid wsp:val=&quot;00D019AE&quot;/&gt;&lt;wsp:rsid wsp:val=&quot;00D059A8&quot;/&gt;&lt;wsp:rsid wsp:val=&quot;00D10D12&quot;/&gt;&lt;wsp:rsid wsp:val=&quot;00D1166E&quot;/&gt;&lt;wsp:rsid wsp:val=&quot;00D12265&quot;/&gt;&lt;wsp:rsid wsp:val=&quot;00D151BA&quot;/&gt;&lt;wsp:rsid wsp:val=&quot;00D15BD8&quot;/&gt;&lt;wsp:rsid wsp:val=&quot;00D166AD&quot;/&gt;&lt;wsp:rsid wsp:val=&quot;00D201FB&quot;/&gt;&lt;wsp:rsid wsp:val=&quot;00D20F5F&quot;/&gt;&lt;wsp:rsid wsp:val=&quot;00D2276D&quot;/&gt;&lt;wsp:rsid wsp:val=&quot;00D235A5&quot;/&gt;&lt;wsp:rsid wsp:val=&quot;00D23C21&quot;/&gt;&lt;wsp:rsid wsp:val=&quot;00D26E24&quot;/&gt;&lt;wsp:rsid wsp:val=&quot;00D302BF&quot;/&gt;&lt;wsp:rsid wsp:val=&quot;00D3259C&quot;/&gt;&lt;wsp:rsid wsp:val=&quot;00D36900&quot;/&gt;&lt;wsp:rsid wsp:val=&quot;00D373C6&quot;/&gt;&lt;wsp:rsid wsp:val=&quot;00D428C8&quot;/&gt;&lt;wsp:rsid wsp:val=&quot;00D50793&quot;/&gt;&lt;wsp:rsid wsp:val=&quot;00D50DC5&quot;/&gt;&lt;wsp:rsid wsp:val=&quot;00D516DC&quot;/&gt;&lt;wsp:rsid wsp:val=&quot;00D51859&quot;/&gt;&lt;wsp:rsid wsp:val=&quot;00D52970&quot;/&gt;&lt;wsp:rsid wsp:val=&quot;00D56CE8&quot;/&gt;&lt;wsp:rsid wsp:val=&quot;00D60E20&quot;/&gt;&lt;wsp:rsid wsp:val=&quot;00D61F3F&quot;/&gt;&lt;wsp:rsid wsp:val=&quot;00D627FD&quot;/&gt;&lt;wsp:rsid wsp:val=&quot;00D64B22&quot;/&gt;&lt;wsp:rsid wsp:val=&quot;00D66482&quot;/&gt;&lt;wsp:rsid wsp:val=&quot;00D712A8&quot;/&gt;&lt;wsp:rsid wsp:val=&quot;00D739B4&quot;/&gt;&lt;wsp:rsid wsp:val=&quot;00D74CE9&quot;/&gt;&lt;wsp:rsid wsp:val=&quot;00D75CAB&quot;/&gt;&lt;wsp:rsid wsp:val=&quot;00D76071&quot;/&gt;&lt;wsp:rsid wsp:val=&quot;00D76DB9&quot;/&gt;&lt;wsp:rsid wsp:val=&quot;00D8061D&quot;/&gt;&lt;wsp:rsid wsp:val=&quot;00D8209B&quot;/&gt;&lt;wsp:rsid wsp:val=&quot;00D82191&quot;/&gt;&lt;wsp:rsid wsp:val=&quot;00D853A1&quot;/&gt;&lt;wsp:rsid wsp:val=&quot;00D8705F&quot;/&gt;&lt;wsp:rsid wsp:val=&quot;00D92DD6&quot;/&gt;&lt;wsp:rsid wsp:val=&quot;00D93BCC&quot;/&gt;&lt;wsp:rsid wsp:val=&quot;00D97DC3&quot;/&gt;&lt;wsp:rsid wsp:val=&quot;00DA1AEC&quot;/&gt;&lt;wsp:rsid wsp:val=&quot;00DA298B&quot;/&gt;&lt;wsp:rsid wsp:val=&quot;00DA3CBD&quot;/&gt;&lt;wsp:rsid wsp:val=&quot;00DB0338&quot;/&gt;&lt;wsp:rsid wsp:val=&quot;00DB1195&quot;/&gt;&lt;wsp:rsid wsp:val=&quot;00DB19CE&quot;/&gt;&lt;wsp:rsid wsp:val=&quot;00DB26BF&quot;/&gt;&lt;wsp:rsid wsp:val=&quot;00DB7EED&quot;/&gt;&lt;wsp:rsid wsp:val=&quot;00DC1315&quot;/&gt;&lt;wsp:rsid wsp:val=&quot;00DC3DA9&quot;/&gt;&lt;wsp:rsid wsp:val=&quot;00DC5E14&quot;/&gt;&lt;wsp:rsid wsp:val=&quot;00DD0B7F&quot;/&gt;&lt;wsp:rsid wsp:val=&quot;00DD452A&quot;/&gt;&lt;wsp:rsid wsp:val=&quot;00DD729D&quot;/&gt;&lt;wsp:rsid wsp:val=&quot;00DE2DE3&quot;/&gt;&lt;wsp:rsid wsp:val=&quot;00DE42AC&quot;/&gt;&lt;wsp:rsid wsp:val=&quot;00DE67F9&quot;/&gt;&lt;wsp:rsid wsp:val=&quot;00DF0161&quot;/&gt;&lt;wsp:rsid wsp:val=&quot;00DF17F0&quot;/&gt;&lt;wsp:rsid wsp:val=&quot;00DF6B5C&quot;/&gt;&lt;wsp:rsid wsp:val=&quot;00DF73BF&quot;/&gt;&lt;wsp:rsid wsp:val=&quot;00DF7F54&quot;/&gt;&lt;wsp:rsid wsp:val=&quot;00E02D84&quot;/&gt;&lt;wsp:rsid wsp:val=&quot;00E12090&quot;/&gt;&lt;wsp:rsid wsp:val=&quot;00E1368B&quot;/&gt;&lt;wsp:rsid wsp:val=&quot;00E145BD&quot;/&gt;&lt;wsp:rsid wsp:val=&quot;00E14964&quot;/&gt;&lt;wsp:rsid wsp:val=&quot;00E14F00&quot;/&gt;&lt;wsp:rsid wsp:val=&quot;00E17E89&quot;/&gt;&lt;wsp:rsid wsp:val=&quot;00E17EBA&quot;/&gt;&lt;wsp:rsid wsp:val=&quot;00E2143B&quot;/&gt;&lt;wsp:rsid wsp:val=&quot;00E21CE0&quot;/&gt;&lt;wsp:rsid wsp:val=&quot;00E2528C&quot;/&gt;&lt;wsp:rsid wsp:val=&quot;00E265FC&quot;/&gt;&lt;wsp:rsid wsp:val=&quot;00E27157&quot;/&gt;&lt;wsp:rsid wsp:val=&quot;00E36D02&quot;/&gt;&lt;wsp:rsid wsp:val=&quot;00E42729&quot;/&gt;&lt;wsp:rsid wsp:val=&quot;00E429F6&quot;/&gt;&lt;wsp:rsid wsp:val=&quot;00E431DF&quot;/&gt;&lt;wsp:rsid wsp:val=&quot;00E45336&quot;/&gt;&lt;wsp:rsid wsp:val=&quot;00E4697B&quot;/&gt;&lt;wsp:rsid wsp:val=&quot;00E469CB&quot;/&gt;&lt;wsp:rsid wsp:val=&quot;00E505E5&quot;/&gt;&lt;wsp:rsid wsp:val=&quot;00E5168C&quot;/&gt;&lt;wsp:rsid wsp:val=&quot;00E53020&quot;/&gt;&lt;wsp:rsid wsp:val=&quot;00E5428B&quot;/&gt;&lt;wsp:rsid wsp:val=&quot;00E57F82&quot;/&gt;&lt;wsp:rsid wsp:val=&quot;00E601AC&quot;/&gt;&lt;wsp:rsid wsp:val=&quot;00E62666&quot;/&gt;&lt;wsp:rsid wsp:val=&quot;00E658DF&quot;/&gt;&lt;wsp:rsid wsp:val=&quot;00E65A28&quot;/&gt;&lt;wsp:rsid wsp:val=&quot;00E7233D&quot;/&gt;&lt;wsp:rsid wsp:val=&quot;00E732B9&quot;/&gt;&lt;wsp:rsid wsp:val=&quot;00E73E1E&quot;/&gt;&lt;wsp:rsid wsp:val=&quot;00E74C37&quot;/&gt;&lt;wsp:rsid wsp:val=&quot;00E76192&quot;/&gt;&lt;wsp:rsid wsp:val=&quot;00E7641D&quot;/&gt;&lt;wsp:rsid wsp:val=&quot;00E77B2A&quot;/&gt;&lt;wsp:rsid wsp:val=&quot;00E81485&quot;/&gt;&lt;wsp:rsid wsp:val=&quot;00E82258&quot;/&gt;&lt;wsp:rsid wsp:val=&quot;00E82F12&quot;/&gt;&lt;wsp:rsid wsp:val=&quot;00E82FAD&quot;/&gt;&lt;wsp:rsid wsp:val=&quot;00E83639&quot;/&gt;&lt;wsp:rsid wsp:val=&quot;00E86DDE&quot;/&gt;&lt;wsp:rsid wsp:val=&quot;00E90366&quot;/&gt;&lt;wsp:rsid wsp:val=&quot;00E90448&quot;/&gt;&lt;wsp:rsid wsp:val=&quot;00E96592&quot;/&gt;&lt;wsp:rsid wsp:val=&quot;00E97206&quot;/&gt;&lt;wsp:rsid wsp:val=&quot;00E97A81&quot;/&gt;&lt;wsp:rsid wsp:val=&quot;00E97CDF&quot;/&gt;&lt;wsp:rsid wsp:val=&quot;00EA14B4&quot;/&gt;&lt;wsp:rsid wsp:val=&quot;00EA3C1D&quot;/&gt;&lt;wsp:rsid wsp:val=&quot;00EA7232&quot;/&gt;&lt;wsp:rsid wsp:val=&quot;00EB2DF6&quot;/&gt;&lt;wsp:rsid wsp:val=&quot;00EB2F4B&quot;/&gt;&lt;wsp:rsid wsp:val=&quot;00EB33C4&quot;/&gt;&lt;wsp:rsid wsp:val=&quot;00EB59EB&quot;/&gt;&lt;wsp:rsid wsp:val=&quot;00EC2038&quot;/&gt;&lt;wsp:rsid wsp:val=&quot;00EC2C1D&quot;/&gt;&lt;wsp:rsid wsp:val=&quot;00EC3A9E&quot;/&gt;&lt;wsp:rsid wsp:val=&quot;00EC7438&quot;/&gt;&lt;wsp:rsid wsp:val=&quot;00ED192F&quot;/&gt;&lt;wsp:rsid wsp:val=&quot;00ED27DF&quot;/&gt;&lt;wsp:rsid wsp:val=&quot;00ED36AF&quot;/&gt;&lt;wsp:rsid wsp:val=&quot;00ED39CB&quot;/&gt;&lt;wsp:rsid wsp:val=&quot;00EE0561&quot;/&gt;&lt;wsp:rsid wsp:val=&quot;00EE1E02&quot;/&gt;&lt;wsp:rsid wsp:val=&quot;00EE51DD&quot;/&gt;&lt;wsp:rsid wsp:val=&quot;00EF2265&quot;/&gt;&lt;wsp:rsid wsp:val=&quot;00EF3414&quot;/&gt;&lt;wsp:rsid wsp:val=&quot;00EF4A2E&quot;/&gt;&lt;wsp:rsid wsp:val=&quot;00EF640B&quot;/&gt;&lt;wsp:rsid wsp:val=&quot;00EF7EC9&quot;/&gt;&lt;wsp:rsid wsp:val=&quot;00F05A6E&quot;/&gt;&lt;wsp:rsid wsp:val=&quot;00F1063C&quot;/&gt;&lt;wsp:rsid wsp:val=&quot;00F10A3E&quot;/&gt;&lt;wsp:rsid wsp:val=&quot;00F13FD6&quot;/&gt;&lt;wsp:rsid wsp:val=&quot;00F15653&quot;/&gt;&lt;wsp:rsid wsp:val=&quot;00F1632B&quot;/&gt;&lt;wsp:rsid wsp:val=&quot;00F221E6&quot;/&gt;&lt;wsp:rsid wsp:val=&quot;00F27E3E&quot;/&gt;&lt;wsp:rsid wsp:val=&quot;00F27EFD&quot;/&gt;&lt;wsp:rsid wsp:val=&quot;00F34501&quot;/&gt;&lt;wsp:rsid wsp:val=&quot;00F34520&quot;/&gt;&lt;wsp:rsid wsp:val=&quot;00F34821&quot;/&gt;&lt;wsp:rsid wsp:val=&quot;00F40D65&quot;/&gt;&lt;wsp:rsid wsp:val=&quot;00F42984&quot;/&gt;&lt;wsp:rsid wsp:val=&quot;00F4396A&quot;/&gt;&lt;wsp:rsid wsp:val=&quot;00F44B7B&quot;/&gt;&lt;wsp:rsid wsp:val=&quot;00F47866&quot;/&gt;&lt;wsp:rsid wsp:val=&quot;00F478BC&quot;/&gt;&lt;wsp:rsid wsp:val=&quot;00F47C2E&quot;/&gt;&lt;wsp:rsid wsp:val=&quot;00F50AC1&quot;/&gt;&lt;wsp:rsid wsp:val=&quot;00F520D8&quot;/&gt;&lt;wsp:rsid wsp:val=&quot;00F5737F&quot;/&gt;&lt;wsp:rsid wsp:val=&quot;00F70B55&quot;/&gt;&lt;wsp:rsid wsp:val=&quot;00F70D98&quot;/&gt;&lt;wsp:rsid wsp:val=&quot;00F72B0D&quot;/&gt;&lt;wsp:rsid wsp:val=&quot;00F73E6F&quot;/&gt;&lt;wsp:rsid wsp:val=&quot;00F742CC&quot;/&gt;&lt;wsp:rsid wsp:val=&quot;00F747D0&quot;/&gt;&lt;wsp:rsid wsp:val=&quot;00F76F09&quot;/&gt;&lt;wsp:rsid wsp:val=&quot;00F81FF3&quot;/&gt;&lt;wsp:rsid wsp:val=&quot;00F84C5A&quot;/&gt;&lt;wsp:rsid wsp:val=&quot;00F85331&quot;/&gt;&lt;wsp:rsid wsp:val=&quot;00F85745&quot;/&gt;&lt;wsp:rsid wsp:val=&quot;00F85FAD&quot;/&gt;&lt;wsp:rsid wsp:val=&quot;00F87993&quot;/&gt;&lt;wsp:rsid wsp:val=&quot;00FA2AED&quot;/&gt;&lt;wsp:rsid wsp:val=&quot;00FA3AEA&quot;/&gt;&lt;wsp:rsid wsp:val=&quot;00FA43F3&quot;/&gt;&lt;wsp:rsid wsp:val=&quot;00FA4D7C&quot;/&gt;&lt;wsp:rsid wsp:val=&quot;00FA5470&quot;/&gt;&lt;wsp:rsid wsp:val=&quot;00FA5F75&quot;/&gt;&lt;wsp:rsid wsp:val=&quot;00FA776A&quot;/&gt;&lt;wsp:rsid wsp:val=&quot;00FA7E7A&quot;/&gt;&lt;wsp:rsid wsp:val=&quot;00FA7FF0&quot;/&gt;&lt;wsp:rsid wsp:val=&quot;00FB0456&quot;/&gt;&lt;wsp:rsid wsp:val=&quot;00FB1DF2&quot;/&gt;&lt;wsp:rsid wsp:val=&quot;00FB4AC8&quot;/&gt;&lt;wsp:rsid wsp:val=&quot;00FB5070&quot;/&gt;&lt;wsp:rsid wsp:val=&quot;00FC0127&quot;/&gt;&lt;wsp:rsid wsp:val=&quot;00FC0C66&quot;/&gt;&lt;wsp:rsid wsp:val=&quot;00FC2027&quot;/&gt;&lt;wsp:rsid wsp:val=&quot;00FC437C&quot;/&gt;&lt;wsp:rsid wsp:val=&quot;00FC69BA&quot;/&gt;&lt;wsp:rsid wsp:val=&quot;00FC720B&quot;/&gt;&lt;wsp:rsid wsp:val=&quot;00FC7568&quot;/&gt;&lt;wsp:rsid wsp:val=&quot;00FD05EE&quot;/&gt;&lt;wsp:rsid wsp:val=&quot;00FD40AE&quot;/&gt;&lt;wsp:rsid wsp:val=&quot;00FD6EC3&quot;/&gt;&lt;wsp:rsid wsp:val=&quot;00FE3B0B&quot;/&gt;&lt;wsp:rsid wsp:val=&quot;00FE3CB8&quot;/&gt;&lt;wsp:rsid wsp:val=&quot;00FE5183&quot;/&gt;&lt;wsp:rsid wsp:val=&quot;00FE71D7&quot;/&gt;&lt;/wsp:rsids&gt;&lt;/w:docPr&gt;&lt;w:body&gt;&lt;w:p wsp:rsidR=&quot;00000000&quot; wsp:rsidRDefault=&quot;008A30D4&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P&lt;/m:t&gt;&lt;/m:r&gt;&lt;/m:e&gt;&lt;m:sub&gt;&lt;m:r&gt;&lt;w:rPr&gt;&lt;w:rFonts w:ascii=&quot;Cambria Math&quot; w:h-ansi=&quot;Cambria Math&quot;/&gt;&lt;wx:font wx:val=&quot;Cambria Math&quot;/&gt;&lt;w:i/&gt;&lt;w:lang w:val=&quot;EN-US&quot;/&gt;&lt;/w:rPr&gt;&lt;m:t&gt;b&lt;/m:t&gt;&lt;/m:r&gt;&lt;/m:sub&gt;&lt;/m:sSub&gt;&lt;m:r&gt;&lt;w:rPr&gt;&lt;w:rFonts w:ascii=&quot;Cambria Math&quot; w:h-ansi=&quot;Cambria Math&quot;/&gt;&lt;wx:font wx:val=&quot;Cambria Math&quot;/&gt;&lt;w:i/&gt;&lt;w:lang w:val=&quot;EN-US&quot;/&gt;&lt;/w:rPr&gt;&lt;m:t&gt;=M âˆ™f&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4" o:title="" chromakey="white"/>
          </v:shape>
        </w:pict>
      </w:r>
      <w:r w:rsidRPr="008D584B">
        <w:rPr>
          <w:lang w:val="en-US"/>
        </w:rPr>
        <w:instrText xml:space="preserve"> </w:instrText>
      </w:r>
      <w:r w:rsidRPr="008D584B">
        <w:rPr>
          <w:lang w:val="en-US"/>
        </w:rPr>
        <w:fldChar w:fldCharType="separate"/>
      </w:r>
      <w:r w:rsidRPr="008D584B">
        <w:pict>
          <v:shape id="_x0000_i1031" type="#_x0000_t75" style="width:56.2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1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853A1&quot;/&gt;&lt;wsp:rsid wsp:val=&quot;00000301&quot;/&gt;&lt;wsp:rsid wsp:val=&quot;00002C2F&quot;/&gt;&lt;wsp:rsid wsp:val=&quot;00004A32&quot;/&gt;&lt;wsp:rsid wsp:val=&quot;000155C6&quot;/&gt;&lt;wsp:rsid wsp:val=&quot;00020171&quot;/&gt;&lt;wsp:rsid wsp:val=&quot;00021919&quot;/&gt;&lt;wsp:rsid wsp:val=&quot;000228C1&quot;/&gt;&lt;wsp:rsid wsp:val=&quot;000265FE&quot;/&gt;&lt;wsp:rsid wsp:val=&quot;00026B17&quot;/&gt;&lt;wsp:rsid wsp:val=&quot;00031F57&quot;/&gt;&lt;wsp:rsid wsp:val=&quot;0003255C&quot;/&gt;&lt;wsp:rsid wsp:val=&quot;00032823&quot;/&gt;&lt;wsp:rsid wsp:val=&quot;00032DB2&quot;/&gt;&lt;wsp:rsid wsp:val=&quot;00034643&quot;/&gt;&lt;wsp:rsid wsp:val=&quot;000422BE&quot;/&gt;&lt;wsp:rsid wsp:val=&quot;000423E9&quot;/&gt;&lt;wsp:rsid wsp:val=&quot;0005079E&quot;/&gt;&lt;wsp:rsid wsp:val=&quot;00052141&quot;/&gt;&lt;wsp:rsid wsp:val=&quot;00052281&quot;/&gt;&lt;wsp:rsid wsp:val=&quot;00052943&quot;/&gt;&lt;wsp:rsid wsp:val=&quot;0005326D&quot;/&gt;&lt;wsp:rsid wsp:val=&quot;00053A09&quot;/&gt;&lt;wsp:rsid wsp:val=&quot;0005633C&quot;/&gt;&lt;wsp:rsid wsp:val=&quot;00056590&quot;/&gt;&lt;wsp:rsid wsp:val=&quot;0007082F&quot;/&gt;&lt;wsp:rsid wsp:val=&quot;000758DF&quot;/&gt;&lt;wsp:rsid wsp:val=&quot;00080C2A&quot;/&gt;&lt;wsp:rsid wsp:val=&quot;000821F5&quot;/&gt;&lt;wsp:rsid wsp:val=&quot;00083BDC&quot;/&gt;&lt;wsp:rsid wsp:val=&quot;0008428E&quot;/&gt;&lt;wsp:rsid wsp:val=&quot;00092595&quot;/&gt;&lt;wsp:rsid wsp:val=&quot;0009348A&quot;/&gt;&lt;wsp:rsid wsp:val=&quot;00096499&quot;/&gt;&lt;wsp:rsid wsp:val=&quot;000977F6&quot;/&gt;&lt;wsp:rsid wsp:val=&quot;00097F68&quot;/&gt;&lt;wsp:rsid wsp:val=&quot;000A0818&quot;/&gt;&lt;wsp:rsid wsp:val=&quot;000A5D99&quot;/&gt;&lt;wsp:rsid wsp:val=&quot;000A69BA&quot;/&gt;&lt;wsp:rsid wsp:val=&quot;000A7094&quot;/&gt;&lt;wsp:rsid wsp:val=&quot;000B38BD&quot;/&gt;&lt;wsp:rsid wsp:val=&quot;000B3E22&quot;/&gt;&lt;wsp:rsid wsp:val=&quot;000B3E81&quot;/&gt;&lt;wsp:rsid wsp:val=&quot;000C407D&quot;/&gt;&lt;wsp:rsid wsp:val=&quot;000C489F&quot;/&gt;&lt;wsp:rsid wsp:val=&quot;000C49CF&quot;/&gt;&lt;wsp:rsid wsp:val=&quot;000C4F39&quot;/&gt;&lt;wsp:rsid wsp:val=&quot;000C7666&quot;/&gt;&lt;wsp:rsid wsp:val=&quot;000D6EB0&quot;/&gt;&lt;wsp:rsid wsp:val=&quot;000E0AFB&quot;/&gt;&lt;wsp:rsid wsp:val=&quot;000E5451&quot;/&gt;&lt;wsp:rsid wsp:val=&quot;000E554A&quot;/&gt;&lt;wsp:rsid wsp:val=&quot;000E6DA4&quot;/&gt;&lt;wsp:rsid wsp:val=&quot;000F4D54&quot;/&gt;&lt;wsp:rsid wsp:val=&quot;00102925&quot;/&gt;&lt;wsp:rsid wsp:val=&quot;00105B48&quot;/&gt;&lt;wsp:rsid wsp:val=&quot;0010635F&quot;/&gt;&lt;wsp:rsid wsp:val=&quot;0011088A&quot;/&gt;&lt;wsp:rsid wsp:val=&quot;00116F79&quot;/&gt;&lt;wsp:rsid wsp:val=&quot;0011793E&quot;/&gt;&lt;wsp:rsid wsp:val=&quot;00121284&quot;/&gt;&lt;wsp:rsid wsp:val=&quot;00121BAF&quot;/&gt;&lt;wsp:rsid wsp:val=&quot;0012205D&quot;/&gt;&lt;wsp:rsid wsp:val=&quot;001243F1&quot;/&gt;&lt;wsp:rsid wsp:val=&quot;00125D92&quot;/&gt;&lt;wsp:rsid wsp:val=&quot;001320C2&quot;/&gt;&lt;wsp:rsid wsp:val=&quot;001320CA&quot;/&gt;&lt;wsp:rsid wsp:val=&quot;00141C38&quot;/&gt;&lt;wsp:rsid wsp:val=&quot;0014403F&quot;/&gt;&lt;wsp:rsid wsp:val=&quot;00146977&quot;/&gt;&lt;wsp:rsid wsp:val=&quot;00150B52&quot;/&gt;&lt;wsp:rsid wsp:val=&quot;00152B4A&quot;/&gt;&lt;wsp:rsid wsp:val=&quot;00154781&quot;/&gt;&lt;wsp:rsid wsp:val=&quot;00162990&quot;/&gt;&lt;wsp:rsid wsp:val=&quot;001629A6&quot;/&gt;&lt;wsp:rsid wsp:val=&quot;001677AC&quot;/&gt;&lt;wsp:rsid wsp:val=&quot;00167A17&quot;/&gt;&lt;wsp:rsid wsp:val=&quot;00173004&quot;/&gt;&lt;wsp:rsid wsp:val=&quot;00177AA2&quot;/&gt;&lt;wsp:rsid wsp:val=&quot;0018041F&quot;/&gt;&lt;wsp:rsid wsp:val=&quot;001805D7&quot;/&gt;&lt;wsp:rsid wsp:val=&quot;00187394&quot;/&gt;&lt;wsp:rsid wsp:val=&quot;001873D3&quot;/&gt;&lt;wsp:rsid wsp:val=&quot;00187991&quot;/&gt;&lt;wsp:rsid wsp:val=&quot;00193BED&quot;/&gt;&lt;wsp:rsid wsp:val=&quot;00194C7A&quot;/&gt;&lt;wsp:rsid wsp:val=&quot;00195ABC&quot;/&gt;&lt;wsp:rsid wsp:val=&quot;00195BC9&quot;/&gt;&lt;wsp:rsid wsp:val=&quot;00196448&quot;/&gt;&lt;wsp:rsid wsp:val=&quot;001A1968&quot;/&gt;&lt;wsp:rsid wsp:val=&quot;001A1D92&quot;/&gt;&lt;wsp:rsid wsp:val=&quot;001A22AC&quot;/&gt;&lt;wsp:rsid wsp:val=&quot;001A3CF0&quot;/&gt;&lt;wsp:rsid wsp:val=&quot;001A5A8F&quot;/&gt;&lt;wsp:rsid wsp:val=&quot;001B1365&quot;/&gt;&lt;wsp:rsid wsp:val=&quot;001B1481&quot;/&gt;&lt;wsp:rsid wsp:val=&quot;001B28A6&quot;/&gt;&lt;wsp:rsid wsp:val=&quot;001B31E4&quot;/&gt;&lt;wsp:rsid wsp:val=&quot;001B6A0C&quot;/&gt;&lt;wsp:rsid wsp:val=&quot;001C0D83&quot;/&gt;&lt;wsp:rsid wsp:val=&quot;001C14D5&quot;/&gt;&lt;wsp:rsid wsp:val=&quot;001C17F6&quot;/&gt;&lt;wsp:rsid wsp:val=&quot;001C3D1E&quot;/&gt;&lt;wsp:rsid wsp:val=&quot;001C6C75&quot;/&gt;&lt;wsp:rsid wsp:val=&quot;001C6CE2&quot;/&gt;&lt;wsp:rsid wsp:val=&quot;001D146F&quot;/&gt;&lt;wsp:rsid wsp:val=&quot;001D2605&quot;/&gt;&lt;wsp:rsid wsp:val=&quot;001D2C81&quot;/&gt;&lt;wsp:rsid wsp:val=&quot;001D339E&quot;/&gt;&lt;wsp:rsid wsp:val=&quot;001D74CF&quot;/&gt;&lt;wsp:rsid wsp:val=&quot;001E21C9&quot;/&gt;&lt;wsp:rsid wsp:val=&quot;001E21DF&quot;/&gt;&lt;wsp:rsid wsp:val=&quot;001E2E2E&quot;/&gt;&lt;wsp:rsid wsp:val=&quot;001E52FA&quot;/&gt;&lt;wsp:rsid wsp:val=&quot;001E5B81&quot;/&gt;&lt;wsp:rsid wsp:val=&quot;001E75BE&quot;/&gt;&lt;wsp:rsid wsp:val=&quot;001F12C4&quot;/&gt;&lt;wsp:rsid wsp:val=&quot;001F3FC7&quot;/&gt;&lt;wsp:rsid wsp:val=&quot;001F658C&quot;/&gt;&lt;wsp:rsid wsp:val=&quot;001F6D72&quot;/&gt;&lt;wsp:rsid wsp:val=&quot;002009DA&quot;/&gt;&lt;wsp:rsid wsp:val=&quot;00201758&quot;/&gt;&lt;wsp:rsid wsp:val=&quot;00201842&quot;/&gt;&lt;wsp:rsid wsp:val=&quot;00202CDD&quot;/&gt;&lt;wsp:rsid wsp:val=&quot;002055B2&quot;/&gt;&lt;wsp:rsid wsp:val=&quot;00210D79&quot;/&gt;&lt;wsp:rsid wsp:val=&quot;002126D0&quot;/&gt;&lt;wsp:rsid wsp:val=&quot;00214101&quot;/&gt;&lt;wsp:rsid wsp:val=&quot;00216CB9&quot;/&gt;&lt;wsp:rsid wsp:val=&quot;00220CCB&quot;/&gt;&lt;wsp:rsid wsp:val=&quot;00221471&quot;/&gt;&lt;wsp:rsid wsp:val=&quot;002214F1&quot;/&gt;&lt;wsp:rsid wsp:val=&quot;002269F9&quot;/&gt;&lt;wsp:rsid wsp:val=&quot;0023031D&quot;/&gt;&lt;wsp:rsid wsp:val=&quot;00230706&quot;/&gt;&lt;wsp:rsid wsp:val=&quot;002323A3&quot;/&gt;&lt;wsp:rsid wsp:val=&quot;002327A3&quot;/&gt;&lt;wsp:rsid wsp:val=&quot;00234003&quot;/&gt;&lt;wsp:rsid wsp:val=&quot;00236F9F&quot;/&gt;&lt;wsp:rsid wsp:val=&quot;002374FC&quot;/&gt;&lt;wsp:rsid wsp:val=&quot;0024012E&quot;/&gt;&lt;wsp:rsid wsp:val=&quot;00240898&quot;/&gt;&lt;wsp:rsid wsp:val=&quot;00241B86&quot;/&gt;&lt;wsp:rsid wsp:val=&quot;0024536D&quot;/&gt;&lt;wsp:rsid wsp:val=&quot;0024679F&quot;/&gt;&lt;wsp:rsid wsp:val=&quot;00251EDF&quot;/&gt;&lt;wsp:rsid wsp:val=&quot;00252EFD&quot;/&gt;&lt;wsp:rsid wsp:val=&quot;002560D5&quot;/&gt;&lt;wsp:rsid wsp:val=&quot;002561EC&quot;/&gt;&lt;wsp:rsid wsp:val=&quot;0026144A&quot;/&gt;&lt;wsp:rsid wsp:val=&quot;002615A4&quot;/&gt;&lt;wsp:rsid wsp:val=&quot;00262F25&quot;/&gt;&lt;wsp:rsid wsp:val=&quot;002653F9&quot;/&gt;&lt;wsp:rsid wsp:val=&quot;0026619B&quot;/&gt;&lt;wsp:rsid wsp:val=&quot;002671C0&quot;/&gt;&lt;wsp:rsid wsp:val=&quot;002679A2&quot;/&gt;&lt;wsp:rsid wsp:val=&quot;00267B8B&quot;/&gt;&lt;wsp:rsid wsp:val=&quot;002703CE&quot;/&gt;&lt;wsp:rsid wsp:val=&quot;00275484&quot;/&gt;&lt;wsp:rsid wsp:val=&quot;00276AD0&quot;/&gt;&lt;wsp:rsid wsp:val=&quot;00280C46&quot;/&gt;&lt;wsp:rsid wsp:val=&quot;0028594C&quot;/&gt;&lt;wsp:rsid wsp:val=&quot;002A4DA3&quot;/&gt;&lt;wsp:rsid wsp:val=&quot;002A53D8&quot;/&gt;&lt;wsp:rsid wsp:val=&quot;002B02DB&quot;/&gt;&lt;wsp:rsid wsp:val=&quot;002B23D3&quot;/&gt;&lt;wsp:rsid wsp:val=&quot;002B2E18&quot;/&gt;&lt;wsp:rsid wsp:val=&quot;002B491C&quot;/&gt;&lt;wsp:rsid wsp:val=&quot;002B4CF3&quot;/&gt;&lt;wsp:rsid wsp:val=&quot;002B4E22&quot;/&gt;&lt;wsp:rsid wsp:val=&quot;002B56EB&quot;/&gt;&lt;wsp:rsid wsp:val=&quot;002C239E&quot;/&gt;&lt;wsp:rsid wsp:val=&quot;002C28C2&quot;/&gt;&lt;wsp:rsid wsp:val=&quot;002C3B35&quot;/&gt;&lt;wsp:rsid wsp:val=&quot;002C41B6&quot;/&gt;&lt;wsp:rsid wsp:val=&quot;002C4E6E&quot;/&gt;&lt;wsp:rsid wsp:val=&quot;002C5CFF&quot;/&gt;&lt;wsp:rsid wsp:val=&quot;002D02D6&quot;/&gt;&lt;wsp:rsid wsp:val=&quot;002D1581&quot;/&gt;&lt;wsp:rsid wsp:val=&quot;002D1802&quot;/&gt;&lt;wsp:rsid wsp:val=&quot;002D3449&quot;/&gt;&lt;wsp:rsid wsp:val=&quot;002D5B28&quot;/&gt;&lt;wsp:rsid wsp:val=&quot;002D6325&quot;/&gt;&lt;wsp:rsid wsp:val=&quot;002D6522&quot;/&gt;&lt;wsp:rsid wsp:val=&quot;002E16A9&quot;/&gt;&lt;wsp:rsid wsp:val=&quot;002E6355&quot;/&gt;&lt;wsp:rsid wsp:val=&quot;002F5310&quot;/&gt;&lt;wsp:rsid wsp:val=&quot;002F6EBB&quot;/&gt;&lt;wsp:rsid wsp:val=&quot;003019DA&quot;/&gt;&lt;wsp:rsid wsp:val=&quot;00301A96&quot;/&gt;&lt;wsp:rsid wsp:val=&quot;00306A05&quot;/&gt;&lt;wsp:rsid wsp:val=&quot;003112F9&quot;/&gt;&lt;wsp:rsid wsp:val=&quot;00315D63&quot;/&gt;&lt;wsp:rsid wsp:val=&quot;0031603D&quot;/&gt;&lt;wsp:rsid wsp:val=&quot;00320675&quot;/&gt;&lt;wsp:rsid wsp:val=&quot;0032551B&quot;/&gt;&lt;wsp:rsid wsp:val=&quot;00325AAC&quot;/&gt;&lt;wsp:rsid wsp:val=&quot;00326120&quot;/&gt;&lt;wsp:rsid wsp:val=&quot;0032738F&quot;/&gt;&lt;wsp:rsid wsp:val=&quot;00327C71&quot;/&gt;&lt;wsp:rsid wsp:val=&quot;00327DCD&quot;/&gt;&lt;wsp:rsid wsp:val=&quot;003317EE&quot;/&gt;&lt;wsp:rsid wsp:val=&quot;00336BFC&quot;/&gt;&lt;wsp:rsid wsp:val=&quot;00344FB5&quot;/&gt;&lt;wsp:rsid wsp:val=&quot;00346CBD&quot;/&gt;&lt;wsp:rsid wsp:val=&quot;003515D8&quot;/&gt;&lt;wsp:rsid wsp:val=&quot;003531F5&quot;/&gt;&lt;wsp:rsid wsp:val=&quot;0035458F&quot;/&gt;&lt;wsp:rsid wsp:val=&quot;00356AB7&quot;/&gt;&lt;wsp:rsid wsp:val=&quot;00357CA9&quot;/&gt;&lt;wsp:rsid wsp:val=&quot;00362A3C&quot;/&gt;&lt;wsp:rsid wsp:val=&quot;00365046&quot;/&gt;&lt;wsp:rsid wsp:val=&quot;00366492&quot;/&gt;&lt;wsp:rsid wsp:val=&quot;00367558&quot;/&gt;&lt;wsp:rsid wsp:val=&quot;003725A1&quot;/&gt;&lt;wsp:rsid wsp:val=&quot;003754C0&quot;/&gt;&lt;wsp:rsid wsp:val=&quot;00375BA6&quot;/&gt;&lt;wsp:rsid wsp:val=&quot;003760CE&quot;/&gt;&lt;wsp:rsid wsp:val=&quot;00377400&quot;/&gt;&lt;wsp:rsid wsp:val=&quot;00382FBE&quot;/&gt;&lt;wsp:rsid wsp:val=&quot;003833C2&quot;/&gt;&lt;wsp:rsid wsp:val=&quot;00386484&quot;/&gt;&lt;wsp:rsid wsp:val=&quot;003900AB&quot;/&gt;&lt;wsp:rsid wsp:val=&quot;00390224&quot;/&gt;&lt;wsp:rsid wsp:val=&quot;00392BF4&quot;/&gt;&lt;wsp:rsid wsp:val=&quot;00393480&quot;/&gt;&lt;wsp:rsid wsp:val=&quot;00394EA4&quot;/&gt;&lt;wsp:rsid wsp:val=&quot;00396F69&quot;/&gt;&lt;wsp:rsid wsp:val=&quot;003A268B&quot;/&gt;&lt;wsp:rsid wsp:val=&quot;003A3207&quot;/&gt;&lt;wsp:rsid wsp:val=&quot;003A4E86&quot;/&gt;&lt;wsp:rsid wsp:val=&quot;003B3E4F&quot;/&gt;&lt;wsp:rsid wsp:val=&quot;003B6A29&quot;/&gt;&lt;wsp:rsid wsp:val=&quot;003B7460&quot;/&gt;&lt;wsp:rsid wsp:val=&quot;003C17A2&quot;/&gt;&lt;wsp:rsid wsp:val=&quot;003C182F&quot;/&gt;&lt;wsp:rsid wsp:val=&quot;003C34F1&quot;/&gt;&lt;wsp:rsid wsp:val=&quot;003C4AEC&quot;/&gt;&lt;wsp:rsid wsp:val=&quot;003C4B5A&quot;/&gt;&lt;wsp:rsid wsp:val=&quot;003D1885&quot;/&gt;&lt;wsp:rsid wsp:val=&quot;003D254D&quot;/&gt;&lt;wsp:rsid wsp:val=&quot;003D3A9A&quot;/&gt;&lt;wsp:rsid wsp:val=&quot;003D59EA&quot;/&gt;&lt;wsp:rsid wsp:val=&quot;003D6C77&quot;/&gt;&lt;wsp:rsid wsp:val=&quot;003D75A6&quot;/&gt;&lt;wsp:rsid wsp:val=&quot;003E0984&quot;/&gt;&lt;wsp:rsid wsp:val=&quot;003E17D0&quot;/&gt;&lt;wsp:rsid wsp:val=&quot;003E1BB3&quot;/&gt;&lt;wsp:rsid wsp:val=&quot;003E236F&quot;/&gt;&lt;wsp:rsid wsp:val=&quot;003E5D96&quot;/&gt;&lt;wsp:rsid wsp:val=&quot;003E6A82&quot;/&gt;&lt;wsp:rsid wsp:val=&quot;003F07A1&quot;/&gt;&lt;wsp:rsid wsp:val=&quot;003F4466&quot;/&gt;&lt;wsp:rsid wsp:val=&quot;003F5802&quot;/&gt;&lt;wsp:rsid wsp:val=&quot;003F7895&quot;/&gt;&lt;wsp:rsid wsp:val=&quot;00400700&quot;/&gt;&lt;wsp:rsid wsp:val=&quot;00400A2E&quot;/&gt;&lt;wsp:rsid wsp:val=&quot;00405C9E&quot;/&gt;&lt;wsp:rsid wsp:val=&quot;00406DBB&quot;/&gt;&lt;wsp:rsid wsp:val=&quot;00407AA7&quot;/&gt;&lt;wsp:rsid wsp:val=&quot;00411F49&quot;/&gt;&lt;wsp:rsid wsp:val=&quot;00420CF4&quot;/&gt;&lt;wsp:rsid wsp:val=&quot;004214CB&quot;/&gt;&lt;wsp:rsid wsp:val=&quot;00421515&quot;/&gt;&lt;wsp:rsid wsp:val=&quot;00421F52&quot;/&gt;&lt;wsp:rsid wsp:val=&quot;004273C8&quot;/&gt;&lt;wsp:rsid wsp:val=&quot;004302AC&quot;/&gt;&lt;wsp:rsid wsp:val=&quot;004311E3&quot;/&gt;&lt;wsp:rsid wsp:val=&quot;00435FD3&quot;/&gt;&lt;wsp:rsid wsp:val=&quot;00436F54&quot;/&gt;&lt;wsp:rsid wsp:val=&quot;004447E8&quot;/&gt;&lt;wsp:rsid wsp:val=&quot;0044531C&quot;/&gt;&lt;wsp:rsid wsp:val=&quot;0044686E&quot;/&gt;&lt;wsp:rsid wsp:val=&quot;00446F7D&quot;/&gt;&lt;wsp:rsid wsp:val=&quot;00452A49&quot;/&gt;&lt;wsp:rsid wsp:val=&quot;00454B2F&quot;/&gt;&lt;wsp:rsid wsp:val=&quot;004579F4&quot;/&gt;&lt;wsp:rsid wsp:val=&quot;00463B09&quot;/&gt;&lt;wsp:rsid wsp:val=&quot;004763C7&quot;/&gt;&lt;wsp:rsid wsp:val=&quot;00483AEC&quot;/&gt;&lt;wsp:rsid wsp:val=&quot;00487C49&quot;/&gt;&lt;wsp:rsid wsp:val=&quot;00495826&quot;/&gt;&lt;wsp:rsid wsp:val=&quot;004A4448&quot;/&gt;&lt;wsp:rsid wsp:val=&quot;004A584C&quot;/&gt;&lt;wsp:rsid wsp:val=&quot;004A5C92&quot;/&gt;&lt;wsp:rsid wsp:val=&quot;004B1C33&quot;/&gt;&lt;wsp:rsid wsp:val=&quot;004B2974&quot;/&gt;&lt;wsp:rsid wsp:val=&quot;004B3314&quot;/&gt;&lt;wsp:rsid wsp:val=&quot;004B4255&quot;/&gt;&lt;wsp:rsid wsp:val=&quot;004B5E76&quot;/&gt;&lt;wsp:rsid wsp:val=&quot;004B613C&quot;/&gt;&lt;wsp:rsid wsp:val=&quot;004D0DAF&quot;/&gt;&lt;wsp:rsid wsp:val=&quot;004D3144&quot;/&gt;&lt;wsp:rsid wsp:val=&quot;004D4137&quot;/&gt;&lt;wsp:rsid wsp:val=&quot;004D4844&quot;/&gt;&lt;wsp:rsid wsp:val=&quot;004D6F4B&quot;/&gt;&lt;wsp:rsid wsp:val=&quot;004D7D36&quot;/&gt;&lt;wsp:rsid wsp:val=&quot;004E0760&quot;/&gt;&lt;wsp:rsid wsp:val=&quot;004E26DF&quot;/&gt;&lt;wsp:rsid wsp:val=&quot;004E382E&quot;/&gt;&lt;wsp:rsid wsp:val=&quot;004E5A3B&quot;/&gt;&lt;wsp:rsid wsp:val=&quot;004E7D63&quot;/&gt;&lt;wsp:rsid wsp:val=&quot;004F5B23&quot;/&gt;&lt;wsp:rsid wsp:val=&quot;004F6491&quot;/&gt;&lt;wsp:rsid wsp:val=&quot;004F6805&quot;/&gt;&lt;wsp:rsid wsp:val=&quot;004F75A4&quot;/&gt;&lt;wsp:rsid wsp:val=&quot;00503483&quot;/&gt;&lt;wsp:rsid wsp:val=&quot;0050674F&quot;/&gt;&lt;wsp:rsid wsp:val=&quot;0051068C&quot;/&gt;&lt;wsp:rsid wsp:val=&quot;00513D6B&quot;/&gt;&lt;wsp:rsid wsp:val=&quot;005162E5&quot;/&gt;&lt;wsp:rsid wsp:val=&quot;00521838&quot;/&gt;&lt;wsp:rsid wsp:val=&quot;00522A7B&quot;/&gt;&lt;wsp:rsid wsp:val=&quot;0053048A&quot;/&gt;&lt;wsp:rsid wsp:val=&quot;00534071&quot;/&gt;&lt;wsp:rsid wsp:val=&quot;00541220&quot;/&gt;&lt;wsp:rsid wsp:val=&quot;0054396B&quot;/&gt;&lt;wsp:rsid wsp:val=&quot;00543A56&quot;/&gt;&lt;wsp:rsid wsp:val=&quot;0054561C&quot;/&gt;&lt;wsp:rsid wsp:val=&quot;00545ABE&quot;/&gt;&lt;wsp:rsid wsp:val=&quot;00546502&quot;/&gt;&lt;wsp:rsid wsp:val=&quot;0054765B&quot;/&gt;&lt;wsp:rsid wsp:val=&quot;00547E1B&quot;/&gt;&lt;wsp:rsid wsp:val=&quot;00551463&quot;/&gt;&lt;wsp:rsid wsp:val=&quot;00553D42&quot;/&gt;&lt;wsp:rsid wsp:val=&quot;00555F78&quot;/&gt;&lt;wsp:rsid wsp:val=&quot;00556931&quot;/&gt;&lt;wsp:rsid wsp:val=&quot;0056066C&quot;/&gt;&lt;wsp:rsid wsp:val=&quot;005607E3&quot;/&gt;&lt;wsp:rsid wsp:val=&quot;00560E99&quot;/&gt;&lt;wsp:rsid wsp:val=&quot;0056183F&quot;/&gt;&lt;wsp:rsid wsp:val=&quot;005631BF&quot;/&gt;&lt;wsp:rsid wsp:val=&quot;005669FD&quot;/&gt;&lt;wsp:rsid wsp:val=&quot;0057272D&quot;/&gt;&lt;wsp:rsid wsp:val=&quot;00572BD7&quot;/&gt;&lt;wsp:rsid wsp:val=&quot;005740A1&quot;/&gt;&lt;wsp:rsid wsp:val=&quot;005741EF&quot;/&gt;&lt;wsp:rsid wsp:val=&quot;00576A85&quot;/&gt;&lt;wsp:rsid wsp:val=&quot;00577C1C&quot;/&gt;&lt;wsp:rsid wsp:val=&quot;00581D99&quot;/&gt;&lt;wsp:rsid wsp:val=&quot;00582727&quot;/&gt;&lt;wsp:rsid wsp:val=&quot;00586D51&quot;/&gt;&lt;wsp:rsid wsp:val=&quot;00591E7C&quot;/&gt;&lt;wsp:rsid wsp:val=&quot;005978F0&quot;/&gt;&lt;wsp:rsid wsp:val=&quot;005A1B5F&quot;/&gt;&lt;wsp:rsid wsp:val=&quot;005A2EA7&quot;/&gt;&lt;wsp:rsid wsp:val=&quot;005A626E&quot;/&gt;&lt;wsp:rsid wsp:val=&quot;005A7758&quot;/&gt;&lt;wsp:rsid wsp:val=&quot;005B21D7&quot;/&gt;&lt;wsp:rsid wsp:val=&quot;005C1D07&quot;/&gt;&lt;wsp:rsid wsp:val=&quot;005C1F7A&quot;/&gt;&lt;wsp:rsid wsp:val=&quot;005C2258&quot;/&gt;&lt;wsp:rsid wsp:val=&quot;005C311E&quot;/&gt;&lt;wsp:rsid wsp:val=&quot;005C4568&quot;/&gt;&lt;wsp:rsid wsp:val=&quot;005C462E&quot;/&gt;&lt;wsp:rsid wsp:val=&quot;005C4D2B&quot;/&gt;&lt;wsp:rsid wsp:val=&quot;005D32D9&quot;/&gt;&lt;wsp:rsid wsp:val=&quot;005D396B&quot;/&gt;&lt;wsp:rsid wsp:val=&quot;005D4270&quot;/&gt;&lt;wsp:rsid wsp:val=&quot;005D48F7&quot;/&gt;&lt;wsp:rsid wsp:val=&quot;005E113C&quot;/&gt;&lt;wsp:rsid wsp:val=&quot;005E1D63&quot;/&gt;&lt;wsp:rsid wsp:val=&quot;005E397A&quot;/&gt;&lt;wsp:rsid wsp:val=&quot;005F39BF&quot;/&gt;&lt;wsp:rsid wsp:val=&quot;005F4FAA&quot;/&gt;&lt;wsp:rsid wsp:val=&quot;005F6830&quot;/&gt;&lt;wsp:rsid wsp:val=&quot;00603245&quot;/&gt;&lt;wsp:rsid wsp:val=&quot;00604FA8&quot;/&gt;&lt;wsp:rsid wsp:val=&quot;00607537&quot;/&gt;&lt;wsp:rsid wsp:val=&quot;00613481&quot;/&gt;&lt;wsp:rsid wsp:val=&quot;00614BE2&quot;/&gt;&lt;wsp:rsid wsp:val=&quot;006154C6&quot;/&gt;&lt;wsp:rsid wsp:val=&quot;00615C9D&quot;/&gt;&lt;wsp:rsid wsp:val=&quot;00617E9F&quot;/&gt;&lt;wsp:rsid wsp:val=&quot;00620614&quot;/&gt;&lt;wsp:rsid wsp:val=&quot;00621484&quot;/&gt;&lt;wsp:rsid wsp:val=&quot;0062396D&quot;/&gt;&lt;wsp:rsid wsp:val=&quot;00625A8C&quot;/&gt;&lt;wsp:rsid wsp:val=&quot;00625E64&quot;/&gt;&lt;wsp:rsid wsp:val=&quot;00631330&quot;/&gt;&lt;wsp:rsid wsp:val=&quot;0063222E&quot;/&gt;&lt;wsp:rsid wsp:val=&quot;006328C7&quot;/&gt;&lt;wsp:rsid wsp:val=&quot;00632E0E&quot;/&gt;&lt;wsp:rsid wsp:val=&quot;00636A72&quot;/&gt;&lt;wsp:rsid wsp:val=&quot;00641CF0&quot;/&gt;&lt;wsp:rsid wsp:val=&quot;00643755&quot;/&gt;&lt;wsp:rsid wsp:val=&quot;00643EBB&quot;/&gt;&lt;wsp:rsid wsp:val=&quot;006448C3&quot;/&gt;&lt;wsp:rsid wsp:val=&quot;006452BD&quot;/&gt;&lt;wsp:rsid wsp:val=&quot;00646305&quot;/&gt;&lt;wsp:rsid wsp:val=&quot;00654C91&quot;/&gt;&lt;wsp:rsid wsp:val=&quot;006551E8&quot;/&gt;&lt;wsp:rsid wsp:val=&quot;00657F10&quot;/&gt;&lt;wsp:rsid wsp:val=&quot;006607EC&quot;/&gt;&lt;wsp:rsid wsp:val=&quot;0066238C&quot;/&gt;&lt;wsp:rsid wsp:val=&quot;00663110&quot;/&gt;&lt;wsp:rsid wsp:val=&quot;006664E2&quot;/&gt;&lt;wsp:rsid wsp:val=&quot;00670494&quot;/&gt;&lt;wsp:rsid wsp:val=&quot;00670D7F&quot;/&gt;&lt;wsp:rsid wsp:val=&quot;00671CE6&quot;/&gt;&lt;wsp:rsid wsp:val=&quot;006720AB&quot;/&gt;&lt;wsp:rsid wsp:val=&quot;006755F2&quot;/&gt;&lt;wsp:rsid wsp:val=&quot;0068428C&quot;/&gt;&lt;wsp:rsid wsp:val=&quot;00684BE3&quot;/&gt;&lt;wsp:rsid wsp:val=&quot;00684C17&quot;/&gt;&lt;wsp:rsid wsp:val=&quot;00686234&quot;/&gt;&lt;wsp:rsid wsp:val=&quot;00687F71&quot;/&gt;&lt;wsp:rsid wsp:val=&quot;0069367B&quot;/&gt;&lt;wsp:rsid wsp:val=&quot;0069377C&quot;/&gt;&lt;wsp:rsid wsp:val=&quot;00694D5C&quot;/&gt;&lt;wsp:rsid wsp:val=&quot;00697242&quot;/&gt;&lt;wsp:rsid wsp:val=&quot;006A1BC0&quot;/&gt;&lt;wsp:rsid wsp:val=&quot;006A4D8D&quot;/&gt;&lt;wsp:rsid wsp:val=&quot;006A6CAF&quot;/&gt;&lt;wsp:rsid wsp:val=&quot;006B030D&quot;/&gt;&lt;wsp:rsid wsp:val=&quot;006B0FEE&quot;/&gt;&lt;wsp:rsid wsp:val=&quot;006B51FF&quot;/&gt;&lt;wsp:rsid wsp:val=&quot;006B6C5D&quot;/&gt;&lt;wsp:rsid wsp:val=&quot;006C44C4&quot;/&gt;&lt;wsp:rsid wsp:val=&quot;006C589F&quot;/&gt;&lt;wsp:rsid wsp:val=&quot;006C64FC&quot;/&gt;&lt;wsp:rsid wsp:val=&quot;006C6CC7&quot;/&gt;&lt;wsp:rsid wsp:val=&quot;006C7221&quot;/&gt;&lt;wsp:rsid wsp:val=&quot;006D0ECB&quot;/&gt;&lt;wsp:rsid wsp:val=&quot;006D29CC&quot;/&gt;&lt;wsp:rsid wsp:val=&quot;006D394C&quot;/&gt;&lt;wsp:rsid wsp:val=&quot;006D5794&quot;/&gt;&lt;wsp:rsid wsp:val=&quot;006D5942&quot;/&gt;&lt;wsp:rsid wsp:val=&quot;006D763E&quot;/&gt;&lt;wsp:rsid wsp:val=&quot;006D78E8&quot;/&gt;&lt;wsp:rsid wsp:val=&quot;006E0736&quot;/&gt;&lt;wsp:rsid wsp:val=&quot;006E1798&quot;/&gt;&lt;wsp:rsid wsp:val=&quot;006E2122&quot;/&gt;&lt;wsp:rsid wsp:val=&quot;006E40F9&quot;/&gt;&lt;wsp:rsid wsp:val=&quot;006E4BCB&quot;/&gt;&lt;wsp:rsid wsp:val=&quot;006E57FE&quot;/&gt;&lt;wsp:rsid wsp:val=&quot;006E793A&quot;/&gt;&lt;wsp:rsid wsp:val=&quot;006F4191&quot;/&gt;&lt;wsp:rsid wsp:val=&quot;006F523C&quot;/&gt;&lt;wsp:rsid wsp:val=&quot;006F677A&quot;/&gt;&lt;wsp:rsid wsp:val=&quot;00700878&quot;/&gt;&lt;wsp:rsid wsp:val=&quot;00701A92&quot;/&gt;&lt;wsp:rsid wsp:val=&quot;00703315&quot;/&gt;&lt;wsp:rsid wsp:val=&quot;00704418&quot;/&gt;&lt;wsp:rsid wsp:val=&quot;00705DD0&quot;/&gt;&lt;wsp:rsid wsp:val=&quot;00711266&quot;/&gt;&lt;wsp:rsid wsp:val=&quot;0071659C&quot;/&gt;&lt;wsp:rsid wsp:val=&quot;00716F8F&quot;/&gt;&lt;wsp:rsid wsp:val=&quot;0072055A&quot;/&gt;&lt;wsp:rsid wsp:val=&quot;00721D58&quot;/&gt;&lt;wsp:rsid wsp:val=&quot;00727587&quot;/&gt;&lt;wsp:rsid wsp:val=&quot;007306E2&quot;/&gt;&lt;wsp:rsid wsp:val=&quot;007310E8&quot;/&gt;&lt;wsp:rsid wsp:val=&quot;00733210&quot;/&gt;&lt;wsp:rsid wsp:val=&quot;00734A9A&quot;/&gt;&lt;wsp:rsid wsp:val=&quot;00734FFE&quot;/&gt;&lt;wsp:rsid wsp:val=&quot;00736BE0&quot;/&gt;&lt;wsp:rsid wsp:val=&quot;007430E1&quot;/&gt;&lt;wsp:rsid wsp:val=&quot;00745209&quot;/&gt;&lt;wsp:rsid wsp:val=&quot;00745E86&quot;/&gt;&lt;wsp:rsid wsp:val=&quot;00747129&quot;/&gt;&lt;wsp:rsid wsp:val=&quot;007473E2&quot;/&gt;&lt;wsp:rsid wsp:val=&quot;00750A37&quot;/&gt;&lt;wsp:rsid wsp:val=&quot;007513E0&quot;/&gt;&lt;wsp:rsid wsp:val=&quot;0075198A&quot;/&gt;&lt;wsp:rsid wsp:val=&quot;00754841&quot;/&gt;&lt;wsp:rsid wsp:val=&quot;0075587A&quot;/&gt;&lt;wsp:rsid wsp:val=&quot;007578E5&quot;/&gt;&lt;wsp:rsid wsp:val=&quot;00762AC3&quot;/&gt;&lt;wsp:rsid wsp:val=&quot;00763AA3&quot;/&gt;&lt;wsp:rsid wsp:val=&quot;007654E6&quot;/&gt;&lt;wsp:rsid wsp:val=&quot;0076611F&quot;/&gt;&lt;wsp:rsid wsp:val=&quot;0076724F&quot;/&gt;&lt;wsp:rsid wsp:val=&quot;00771CC6&quot;/&gt;&lt;wsp:rsid wsp:val=&quot;00771D63&quot;/&gt;&lt;wsp:rsid wsp:val=&quot;007744A7&quot;/&gt;&lt;wsp:rsid wsp:val=&quot;007756FC&quot;/&gt;&lt;wsp:rsid wsp:val=&quot;0077594E&quot;/&gt;&lt;wsp:rsid wsp:val=&quot;007832BE&quot;/&gt;&lt;wsp:rsid wsp:val=&quot;0078402A&quot;/&gt;&lt;wsp:rsid wsp:val=&quot;00784E61&quot;/&gt;&lt;wsp:rsid wsp:val=&quot;00786DF1&quot;/&gt;&lt;wsp:rsid wsp:val=&quot;007875D6&quot;/&gt;&lt;wsp:rsid wsp:val=&quot;00790496&quot;/&gt;&lt;wsp:rsid wsp:val=&quot;0079396A&quot;/&gt;&lt;wsp:rsid wsp:val=&quot;00794774&quot;/&gt;&lt;wsp:rsid wsp:val=&quot;007A1697&quot;/&gt;&lt;wsp:rsid wsp:val=&quot;007A2CDC&quot;/&gt;&lt;wsp:rsid wsp:val=&quot;007A5059&quot;/&gt;&lt;wsp:rsid wsp:val=&quot;007A511B&quot;/&gt;&lt;wsp:rsid wsp:val=&quot;007A5A15&quot;/&gt;&lt;wsp:rsid wsp:val=&quot;007A6C19&quot;/&gt;&lt;wsp:rsid wsp:val=&quot;007A6E75&quot;/&gt;&lt;wsp:rsid wsp:val=&quot;007A75D7&quot;/&gt;&lt;wsp:rsid wsp:val=&quot;007B02A9&quot;/&gt;&lt;wsp:rsid wsp:val=&quot;007B086A&quot;/&gt;&lt;wsp:rsid wsp:val=&quot;007C00BA&quot;/&gt;&lt;wsp:rsid wsp:val=&quot;007C0F73&quot;/&gt;&lt;wsp:rsid wsp:val=&quot;007C143C&quot;/&gt;&lt;wsp:rsid wsp:val=&quot;007C2882&quot;/&gt;&lt;wsp:rsid wsp:val=&quot;007C2C8B&quot;/&gt;&lt;wsp:rsid wsp:val=&quot;007C2F42&quot;/&gt;&lt;wsp:rsid wsp:val=&quot;007C5272&quot;/&gt;&lt;wsp:rsid wsp:val=&quot;007C7BB4&quot;/&gt;&lt;wsp:rsid wsp:val=&quot;007D246E&quot;/&gt;&lt;wsp:rsid wsp:val=&quot;007D5DD3&quot;/&gt;&lt;wsp:rsid wsp:val=&quot;007E0767&quot;/&gt;&lt;wsp:rsid wsp:val=&quot;007E52B6&quot;/&gt;&lt;wsp:rsid wsp:val=&quot;007F331B&quot;/&gt;&lt;wsp:rsid wsp:val=&quot;007F42AF&quot;/&gt;&lt;wsp:rsid wsp:val=&quot;007F6250&quot;/&gt;&lt;wsp:rsid wsp:val=&quot;007F78A2&quot;/&gt;&lt;wsp:rsid wsp:val=&quot;007F7925&quot;/&gt;&lt;wsp:rsid wsp:val=&quot;00800422&quot;/&gt;&lt;wsp:rsid wsp:val=&quot;00802225&quot;/&gt;&lt;wsp:rsid wsp:val=&quot;00803F65&quot;/&gt;&lt;wsp:rsid wsp:val=&quot;00803FBE&quot;/&gt;&lt;wsp:rsid wsp:val=&quot;0080753A&quot;/&gt;&lt;wsp:rsid wsp:val=&quot;00813B57&quot;/&gt;&lt;wsp:rsid wsp:val=&quot;008171D0&quot;/&gt;&lt;wsp:rsid wsp:val=&quot;00821707&quot;/&gt;&lt;wsp:rsid wsp:val=&quot;00821F59&quot;/&gt;&lt;wsp:rsid wsp:val=&quot;00821FA4&quot;/&gt;&lt;wsp:rsid wsp:val=&quot;0082270E&quot;/&gt;&lt;wsp:rsid wsp:val=&quot;008234D8&quot;/&gt;&lt;wsp:rsid wsp:val=&quot;0084236C&quot;/&gt;&lt;wsp:rsid wsp:val=&quot;0084290F&quot;/&gt;&lt;wsp:rsid wsp:val=&quot;00843385&quot;/&gt;&lt;wsp:rsid wsp:val=&quot;00846723&quot;/&gt;&lt;wsp:rsid wsp:val=&quot;00847A5B&quot;/&gt;&lt;wsp:rsid wsp:val=&quot;00853895&quot;/&gt;&lt;wsp:rsid wsp:val=&quot;008550BA&quot;/&gt;&lt;wsp:rsid wsp:val=&quot;008639DF&quot;/&gt;&lt;wsp:rsid wsp:val=&quot;008709A3&quot;/&gt;&lt;wsp:rsid wsp:val=&quot;00874691&quot;/&gt;&lt;wsp:rsid wsp:val=&quot;00875E14&quot;/&gt;&lt;wsp:rsid wsp:val=&quot;00876334&quot;/&gt;&lt;wsp:rsid wsp:val=&quot;00881063&quot;/&gt;&lt;wsp:rsid wsp:val=&quot;00882866&quot;/&gt;&lt;wsp:rsid wsp:val=&quot;0088426E&quot;/&gt;&lt;wsp:rsid wsp:val=&quot;008857C2&quot;/&gt;&lt;wsp:rsid wsp:val=&quot;008877F3&quot;/&gt;&lt;wsp:rsid wsp:val=&quot;00891879&quot;/&gt;&lt;wsp:rsid wsp:val=&quot;008928B1&quot;/&gt;&lt;wsp:rsid wsp:val=&quot;0089445A&quot;/&gt;&lt;wsp:rsid wsp:val=&quot;008A30D4&quot;/&gt;&lt;wsp:rsid wsp:val=&quot;008A5A81&quot;/&gt;&lt;wsp:rsid wsp:val=&quot;008B3464&quot;/&gt;&lt;wsp:rsid wsp:val=&quot;008B50C6&quot;/&gt;&lt;wsp:rsid wsp:val=&quot;008B5D12&quot;/&gt;&lt;wsp:rsid wsp:val=&quot;008C0DCD&quot;/&gt;&lt;wsp:rsid wsp:val=&quot;008C1ADA&quot;/&gt;&lt;wsp:rsid wsp:val=&quot;008C6EF9&quot;/&gt;&lt;wsp:rsid wsp:val=&quot;008C7096&quot;/&gt;&lt;wsp:rsid wsp:val=&quot;008D1C99&quot;/&gt;&lt;wsp:rsid wsp:val=&quot;008D584B&quot;/&gt;&lt;wsp:rsid wsp:val=&quot;008D6F96&quot;/&gt;&lt;wsp:rsid wsp:val=&quot;008E2F91&quot;/&gt;&lt;wsp:rsid wsp:val=&quot;008E3FE7&quot;/&gt;&lt;wsp:rsid wsp:val=&quot;008E4168&quot;/&gt;&lt;wsp:rsid wsp:val=&quot;008F26E9&quot;/&gt;&lt;wsp:rsid wsp:val=&quot;008F3F91&quot;/&gt;&lt;wsp:rsid wsp:val=&quot;008F4892&quot;/&gt;&lt;wsp:rsid wsp:val=&quot;008F7B63&quot;/&gt;&lt;wsp:rsid wsp:val=&quot;00900A53&quot;/&gt;&lt;wsp:rsid wsp:val=&quot;009016BD&quot;/&gt;&lt;wsp:rsid wsp:val=&quot;00902BD0&quot;/&gt;&lt;wsp:rsid wsp:val=&quot;00906713&quot;/&gt;&lt;wsp:rsid wsp:val=&quot;00911585&quot;/&gt;&lt;wsp:rsid wsp:val=&quot;009140BC&quot;/&gt;&lt;wsp:rsid wsp:val=&quot;009145DA&quot;/&gt;&lt;wsp:rsid wsp:val=&quot;00915375&quot;/&gt;&lt;wsp:rsid wsp:val=&quot;009172F9&quot;/&gt;&lt;wsp:rsid wsp:val=&quot;009179F0&quot;/&gt;&lt;wsp:rsid wsp:val=&quot;00917A05&quot;/&gt;&lt;wsp:rsid wsp:val=&quot;0092018F&quot;/&gt;&lt;wsp:rsid wsp:val=&quot;0092170E&quot;/&gt;&lt;wsp:rsid wsp:val=&quot;00921737&quot;/&gt;&lt;wsp:rsid wsp:val=&quot;0092190B&quot;/&gt;&lt;wsp:rsid wsp:val=&quot;00922FAA&quot;/&gt;&lt;wsp:rsid wsp:val=&quot;0092532E&quot;/&gt;&lt;wsp:rsid wsp:val=&quot;00925917&quot;/&gt;&lt;wsp:rsid wsp:val=&quot;00931A08&quot;/&gt;&lt;wsp:rsid wsp:val=&quot;00936327&quot;/&gt;&lt;wsp:rsid wsp:val=&quot;00943832&quot;/&gt;&lt;wsp:rsid wsp:val=&quot;00943F47&quot;/&gt;&lt;wsp:rsid wsp:val=&quot;00945474&quot;/&gt;&lt;wsp:rsid wsp:val=&quot;0094553E&quot;/&gt;&lt;wsp:rsid wsp:val=&quot;00952BD5&quot;/&gt;&lt;wsp:rsid wsp:val=&quot;009606C8&quot;/&gt;&lt;wsp:rsid wsp:val=&quot;009608F8&quot;/&gt;&lt;wsp:rsid wsp:val=&quot;009626F0&quot;/&gt;&lt;wsp:rsid wsp:val=&quot;00966847&quot;/&gt;&lt;wsp:rsid wsp:val=&quot;00966C62&quot;/&gt;&lt;wsp:rsid wsp:val=&quot;0097541E&quot;/&gt;&lt;wsp:rsid wsp:val=&quot;009801B8&quot;/&gt;&lt;wsp:rsid wsp:val=&quot;009812EE&quot;/&gt;&lt;wsp:rsid wsp:val=&quot;009813F6&quot;/&gt;&lt;wsp:rsid wsp:val=&quot;00982F55&quot;/&gt;&lt;wsp:rsid wsp:val=&quot;00983EF0&quot;/&gt;&lt;wsp:rsid wsp:val=&quot;00987461&quot;/&gt;&lt;wsp:rsid wsp:val=&quot;00997A83&quot;/&gt;&lt;wsp:rsid wsp:val=&quot;009A0F68&quot;/&gt;&lt;wsp:rsid wsp:val=&quot;009A291D&quot;/&gt;&lt;wsp:rsid wsp:val=&quot;009A48D3&quot;/&gt;&lt;wsp:rsid wsp:val=&quot;009A5D2D&quot;/&gt;&lt;wsp:rsid wsp:val=&quot;009A702F&quot;/&gt;&lt;wsp:rsid wsp:val=&quot;009A760F&quot;/&gt;&lt;wsp:rsid wsp:val=&quot;009B1DB5&quot;/&gt;&lt;wsp:rsid wsp:val=&quot;009B3805&quot;/&gt;&lt;wsp:rsid wsp:val=&quot;009B61F1&quot;/&gt;&lt;wsp:rsid wsp:val=&quot;009C129C&quot;/&gt;&lt;wsp:rsid wsp:val=&quot;009C2076&quot;/&gt;&lt;wsp:rsid wsp:val=&quot;009C4D33&quot;/&gt;&lt;wsp:rsid wsp:val=&quot;009C51B7&quot;/&gt;&lt;wsp:rsid wsp:val=&quot;009C6951&quot;/&gt;&lt;wsp:rsid wsp:val=&quot;009D1251&quot;/&gt;&lt;wsp:rsid wsp:val=&quot;009E0711&quot;/&gt;&lt;wsp:rsid wsp:val=&quot;009E7FFB&quot;/&gt;&lt;wsp:rsid wsp:val=&quot;009F081E&quot;/&gt;&lt;wsp:rsid wsp:val=&quot;009F169E&quot;/&gt;&lt;wsp:rsid wsp:val=&quot;009F1DED&quot;/&gt;&lt;wsp:rsid wsp:val=&quot;009F35EB&quot;/&gt;&lt;wsp:rsid wsp:val=&quot;009F451A&quot;/&gt;&lt;wsp:rsid wsp:val=&quot;009F61A4&quot;/&gt;&lt;wsp:rsid wsp:val=&quot;00A009EE&quot;/&gt;&lt;wsp:rsid wsp:val=&quot;00A01DC7&quot;/&gt;&lt;wsp:rsid wsp:val=&quot;00A13091&quot;/&gt;&lt;wsp:rsid wsp:val=&quot;00A134BF&quot;/&gt;&lt;wsp:rsid wsp:val=&quot;00A13629&quot;/&gt;&lt;wsp:rsid wsp:val=&quot;00A2199A&quot;/&gt;&lt;wsp:rsid wsp:val=&quot;00A22756&quot;/&gt;&lt;wsp:rsid wsp:val=&quot;00A228A0&quot;/&gt;&lt;wsp:rsid wsp:val=&quot;00A2483E&quot;/&gt;&lt;wsp:rsid wsp:val=&quot;00A25930&quot;/&gt;&lt;wsp:rsid wsp:val=&quot;00A2795F&quot;/&gt;&lt;wsp:rsid wsp:val=&quot;00A31470&quot;/&gt;&lt;wsp:rsid wsp:val=&quot;00A33546&quot;/&gt;&lt;wsp:rsid wsp:val=&quot;00A33ACB&quot;/&gt;&lt;wsp:rsid wsp:val=&quot;00A33DAA&quot;/&gt;&lt;wsp:rsid wsp:val=&quot;00A35CED&quot;/&gt;&lt;wsp:rsid wsp:val=&quot;00A421AB&quot;/&gt;&lt;wsp:rsid wsp:val=&quot;00A422D7&quot;/&gt;&lt;wsp:rsid wsp:val=&quot;00A43FEA&quot;/&gt;&lt;wsp:rsid wsp:val=&quot;00A45B4A&quot;/&gt;&lt;wsp:rsid wsp:val=&quot;00A51441&quot;/&gt;&lt;wsp:rsid wsp:val=&quot;00A51771&quot;/&gt;&lt;wsp:rsid wsp:val=&quot;00A52C50&quot;/&gt;&lt;wsp:rsid wsp:val=&quot;00A53A8A&quot;/&gt;&lt;wsp:rsid wsp:val=&quot;00A53ED1&quot;/&gt;&lt;wsp:rsid wsp:val=&quot;00A61EA7&quot;/&gt;&lt;wsp:rsid wsp:val=&quot;00A63461&quot;/&gt;&lt;wsp:rsid wsp:val=&quot;00A649B2&quot;/&gt;&lt;wsp:rsid wsp:val=&quot;00A66B30&quot;/&gt;&lt;wsp:rsid wsp:val=&quot;00A66B3A&quot;/&gt;&lt;wsp:rsid wsp:val=&quot;00A734FD&quot;/&gt;&lt;wsp:rsid wsp:val=&quot;00A74E23&quot;/&gt;&lt;wsp:rsid wsp:val=&quot;00A80F1F&quot;/&gt;&lt;wsp:rsid wsp:val=&quot;00A8705F&quot;/&gt;&lt;wsp:rsid wsp:val=&quot;00A90881&quot;/&gt;&lt;wsp:rsid wsp:val=&quot;00A91DF8&quot;/&gt;&lt;wsp:rsid wsp:val=&quot;00A93272&quot;/&gt;&lt;wsp:rsid wsp:val=&quot;00A96DCA&quot;/&gt;&lt;wsp:rsid wsp:val=&quot;00AA043B&quot;/&gt;&lt;wsp:rsid wsp:val=&quot;00AA2D09&quot;/&gt;&lt;wsp:rsid wsp:val=&quot;00AA54C9&quot;/&gt;&lt;wsp:rsid wsp:val=&quot;00AA701F&quot;/&gt;&lt;wsp:rsid wsp:val=&quot;00AA75A0&quot;/&gt;&lt;wsp:rsid wsp:val=&quot;00AB104F&quot;/&gt;&lt;wsp:rsid wsp:val=&quot;00AB1112&quot;/&gt;&lt;wsp:rsid wsp:val=&quot;00AB30E9&quot;/&gt;&lt;wsp:rsid wsp:val=&quot;00AB339E&quot;/&gt;&lt;wsp:rsid wsp:val=&quot;00AB3F44&quot;/&gt;&lt;wsp:rsid wsp:val=&quot;00AB616B&quot;/&gt;&lt;wsp:rsid wsp:val=&quot;00AC3098&quot;/&gt;&lt;wsp:rsid wsp:val=&quot;00AC44F5&quot;/&gt;&lt;wsp:rsid wsp:val=&quot;00AC6915&quot;/&gt;&lt;wsp:rsid wsp:val=&quot;00AC75F4&quot;/&gt;&lt;wsp:rsid wsp:val=&quot;00AD1BB2&quot;/&gt;&lt;wsp:rsid wsp:val=&quot;00AD1BFC&quot;/&gt;&lt;wsp:rsid wsp:val=&quot;00AD7D04&quot;/&gt;&lt;wsp:rsid wsp:val=&quot;00AE2110&quot;/&gt;&lt;wsp:rsid wsp:val=&quot;00AE24CD&quot;/&gt;&lt;wsp:rsid wsp:val=&quot;00AE2D18&quot;/&gt;&lt;wsp:rsid wsp:val=&quot;00AE4F43&quot;/&gt;&lt;wsp:rsid wsp:val=&quot;00AF3757&quot;/&gt;&lt;wsp:rsid wsp:val=&quot;00B00BF9&quot;/&gt;&lt;wsp:rsid wsp:val=&quot;00B0261B&quot;/&gt;&lt;wsp:rsid wsp:val=&quot;00B14C5B&quot;/&gt;&lt;wsp:rsid wsp:val=&quot;00B21CFC&quot;/&gt;&lt;wsp:rsid wsp:val=&quot;00B235B8&quot;/&gt;&lt;wsp:rsid wsp:val=&quot;00B23955&quot;/&gt;&lt;wsp:rsid wsp:val=&quot;00B23C7E&quot;/&gt;&lt;wsp:rsid wsp:val=&quot;00B25C88&quot;/&gt;&lt;wsp:rsid wsp:val=&quot;00B25D4D&quot;/&gt;&lt;wsp:rsid wsp:val=&quot;00B26ABB&quot;/&gt;&lt;wsp:rsid wsp:val=&quot;00B33223&quot;/&gt;&lt;wsp:rsid wsp:val=&quot;00B336AA&quot;/&gt;&lt;wsp:rsid wsp:val=&quot;00B33966&quot;/&gt;&lt;wsp:rsid wsp:val=&quot;00B33B73&quot;/&gt;&lt;wsp:rsid wsp:val=&quot;00B33F19&quot;/&gt;&lt;wsp:rsid wsp:val=&quot;00B362C5&quot;/&gt;&lt;wsp:rsid wsp:val=&quot;00B36ACB&quot;/&gt;&lt;wsp:rsid wsp:val=&quot;00B42BAC&quot;/&gt;&lt;wsp:rsid wsp:val=&quot;00B42D7F&quot;/&gt;&lt;wsp:rsid wsp:val=&quot;00B45F91&quot;/&gt;&lt;wsp:rsid wsp:val=&quot;00B4642C&quot;/&gt;&lt;wsp:rsid wsp:val=&quot;00B46645&quot;/&gt;&lt;wsp:rsid wsp:val=&quot;00B47188&quot;/&gt;&lt;wsp:rsid wsp:val=&quot;00B52659&quot;/&gt;&lt;wsp:rsid wsp:val=&quot;00B53F04&quot;/&gt;&lt;wsp:rsid wsp:val=&quot;00B54934&quot;/&gt;&lt;wsp:rsid wsp:val=&quot;00B55225&quot;/&gt;&lt;wsp:rsid wsp:val=&quot;00B5625F&quot;/&gt;&lt;wsp:rsid wsp:val=&quot;00B63E7C&quot;/&gt;&lt;wsp:rsid wsp:val=&quot;00B64C28&quot;/&gt;&lt;wsp:rsid wsp:val=&quot;00B72F9D&quot;/&gt;&lt;wsp:rsid wsp:val=&quot;00B73247&quot;/&gt;&lt;wsp:rsid wsp:val=&quot;00B758E4&quot;/&gt;&lt;wsp:rsid wsp:val=&quot;00B80D78&quot;/&gt;&lt;wsp:rsid wsp:val=&quot;00B83C2D&quot;/&gt;&lt;wsp:rsid wsp:val=&quot;00B85BE0&quot;/&gt;&lt;wsp:rsid wsp:val=&quot;00B862E4&quot;/&gt;&lt;wsp:rsid wsp:val=&quot;00B864AF&quot;/&gt;&lt;wsp:rsid wsp:val=&quot;00B86D6F&quot;/&gt;&lt;wsp:rsid wsp:val=&quot;00B963A2&quot;/&gt;&lt;wsp:rsid wsp:val=&quot;00B9798D&quot;/&gt;&lt;wsp:rsid wsp:val=&quot;00BA50C9&quot;/&gt;&lt;wsp:rsid wsp:val=&quot;00BA525B&quot;/&gt;&lt;wsp:rsid wsp:val=&quot;00BA6A0C&quot;/&gt;&lt;wsp:rsid wsp:val=&quot;00BA6BAF&quot;/&gt;&lt;wsp:rsid wsp:val=&quot;00BB1A1A&quot;/&gt;&lt;wsp:rsid wsp:val=&quot;00BB2956&quot;/&gt;&lt;wsp:rsid wsp:val=&quot;00BB3170&quot;/&gt;&lt;wsp:rsid wsp:val=&quot;00BB3397&quot;/&gt;&lt;wsp:rsid wsp:val=&quot;00BB526B&quot;/&gt;&lt;wsp:rsid wsp:val=&quot;00BB5B00&quot;/&gt;&lt;wsp:rsid wsp:val=&quot;00BB6566&quot;/&gt;&lt;wsp:rsid wsp:val=&quot;00BC38B9&quot;/&gt;&lt;wsp:rsid wsp:val=&quot;00BD30C9&quot;/&gt;&lt;wsp:rsid wsp:val=&quot;00BD78EC&quot;/&gt;&lt;wsp:rsid wsp:val=&quot;00BE1675&quot;/&gt;&lt;wsp:rsid wsp:val=&quot;00BE2B70&quot;/&gt;&lt;wsp:rsid wsp:val=&quot;00BF0D22&quot;/&gt;&lt;wsp:rsid wsp:val=&quot;00BF1F4E&quot;/&gt;&lt;wsp:rsid wsp:val=&quot;00BF55DE&quot;/&gt;&lt;wsp:rsid wsp:val=&quot;00BF65A4&quot;/&gt;&lt;wsp:rsid wsp:val=&quot;00C0056B&quot;/&gt;&lt;wsp:rsid wsp:val=&quot;00C048C6&quot;/&gt;&lt;wsp:rsid wsp:val=&quot;00C05139&quot;/&gt;&lt;wsp:rsid wsp:val=&quot;00C0525E&quot;/&gt;&lt;wsp:rsid wsp:val=&quot;00C10A4F&quot;/&gt;&lt;wsp:rsid wsp:val=&quot;00C10DB0&quot;/&gt;&lt;wsp:rsid wsp:val=&quot;00C1185D&quot;/&gt;&lt;wsp:rsid wsp:val=&quot;00C20424&quot;/&gt;&lt;wsp:rsid wsp:val=&quot;00C21576&quot;/&gt;&lt;wsp:rsid wsp:val=&quot;00C274D5&quot;/&gt;&lt;wsp:rsid wsp:val=&quot;00C3529F&quot;/&gt;&lt;wsp:rsid wsp:val=&quot;00C362CF&quot;/&gt;&lt;wsp:rsid wsp:val=&quot;00C368A6&quot;/&gt;&lt;wsp:rsid wsp:val=&quot;00C40B65&quot;/&gt;&lt;wsp:rsid wsp:val=&quot;00C4297A&quot;/&gt;&lt;wsp:rsid wsp:val=&quot;00C4360A&quot;/&gt;&lt;wsp:rsid wsp:val=&quot;00C445D9&quot;/&gt;&lt;wsp:rsid wsp:val=&quot;00C51DB6&quot;/&gt;&lt;wsp:rsid wsp:val=&quot;00C5748D&quot;/&gt;&lt;wsp:rsid wsp:val=&quot;00C617F2&quot;/&gt;&lt;wsp:rsid wsp:val=&quot;00C67080&quot;/&gt;&lt;wsp:rsid wsp:val=&quot;00C6784D&quot;/&gt;&lt;wsp:rsid wsp:val=&quot;00C67CF8&quot;/&gt;&lt;wsp:rsid wsp:val=&quot;00C758FE&quot;/&gt;&lt;wsp:rsid wsp:val=&quot;00C76AFA&quot;/&gt;&lt;wsp:rsid wsp:val=&quot;00C835D8&quot;/&gt;&lt;wsp:rsid wsp:val=&quot;00C97B55&quot;/&gt;&lt;wsp:rsid wsp:val=&quot;00CA0926&quot;/&gt;&lt;wsp:rsid wsp:val=&quot;00CA4711&quot;/&gt;&lt;wsp:rsid wsp:val=&quot;00CA507D&quot;/&gt;&lt;wsp:rsid wsp:val=&quot;00CA6707&quot;/&gt;&lt;wsp:rsid wsp:val=&quot;00CA7D2B&quot;/&gt;&lt;wsp:rsid wsp:val=&quot;00CB1115&quot;/&gt;&lt;wsp:rsid wsp:val=&quot;00CB3284&quot;/&gt;&lt;wsp:rsid wsp:val=&quot;00CB5D91&quot;/&gt;&lt;wsp:rsid wsp:val=&quot;00CB6372&quot;/&gt;&lt;wsp:rsid wsp:val=&quot;00CC0314&quot;/&gt;&lt;wsp:rsid wsp:val=&quot;00CC06E8&quot;/&gt;&lt;wsp:rsid wsp:val=&quot;00CC124F&quot;/&gt;&lt;wsp:rsid wsp:val=&quot;00CC42B4&quot;/&gt;&lt;wsp:rsid wsp:val=&quot;00CC6B12&quot;/&gt;&lt;wsp:rsid wsp:val=&quot;00CD2119&quot;/&gt;&lt;wsp:rsid wsp:val=&quot;00CD2177&quot;/&gt;&lt;wsp:rsid wsp:val=&quot;00CD4350&quot;/&gt;&lt;wsp:rsid wsp:val=&quot;00CD6020&quot;/&gt;&lt;wsp:rsid wsp:val=&quot;00CE36F4&quot;/&gt;&lt;wsp:rsid wsp:val=&quot;00CE4E07&quot;/&gt;&lt;wsp:rsid wsp:val=&quot;00CF078D&quot;/&gt;&lt;wsp:rsid wsp:val=&quot;00CF1DCA&quot;/&gt;&lt;wsp:rsid wsp:val=&quot;00CF65BA&quot;/&gt;&lt;wsp:rsid wsp:val=&quot;00D019AE&quot;/&gt;&lt;wsp:rsid wsp:val=&quot;00D059A8&quot;/&gt;&lt;wsp:rsid wsp:val=&quot;00D10D12&quot;/&gt;&lt;wsp:rsid wsp:val=&quot;00D1166E&quot;/&gt;&lt;wsp:rsid wsp:val=&quot;00D12265&quot;/&gt;&lt;wsp:rsid wsp:val=&quot;00D151BA&quot;/&gt;&lt;wsp:rsid wsp:val=&quot;00D15BD8&quot;/&gt;&lt;wsp:rsid wsp:val=&quot;00D166AD&quot;/&gt;&lt;wsp:rsid wsp:val=&quot;00D201FB&quot;/&gt;&lt;wsp:rsid wsp:val=&quot;00D20F5F&quot;/&gt;&lt;wsp:rsid wsp:val=&quot;00D2276D&quot;/&gt;&lt;wsp:rsid wsp:val=&quot;00D235A5&quot;/&gt;&lt;wsp:rsid wsp:val=&quot;00D23C21&quot;/&gt;&lt;wsp:rsid wsp:val=&quot;00D26E24&quot;/&gt;&lt;wsp:rsid wsp:val=&quot;00D302BF&quot;/&gt;&lt;wsp:rsid wsp:val=&quot;00D3259C&quot;/&gt;&lt;wsp:rsid wsp:val=&quot;00D36900&quot;/&gt;&lt;wsp:rsid wsp:val=&quot;00D373C6&quot;/&gt;&lt;wsp:rsid wsp:val=&quot;00D428C8&quot;/&gt;&lt;wsp:rsid wsp:val=&quot;00D50793&quot;/&gt;&lt;wsp:rsid wsp:val=&quot;00D50DC5&quot;/&gt;&lt;wsp:rsid wsp:val=&quot;00D516DC&quot;/&gt;&lt;wsp:rsid wsp:val=&quot;00D51859&quot;/&gt;&lt;wsp:rsid wsp:val=&quot;00D52970&quot;/&gt;&lt;wsp:rsid wsp:val=&quot;00D56CE8&quot;/&gt;&lt;wsp:rsid wsp:val=&quot;00D60E20&quot;/&gt;&lt;wsp:rsid wsp:val=&quot;00D61F3F&quot;/&gt;&lt;wsp:rsid wsp:val=&quot;00D627FD&quot;/&gt;&lt;wsp:rsid wsp:val=&quot;00D64B22&quot;/&gt;&lt;wsp:rsid wsp:val=&quot;00D66482&quot;/&gt;&lt;wsp:rsid wsp:val=&quot;00D712A8&quot;/&gt;&lt;wsp:rsid wsp:val=&quot;00D739B4&quot;/&gt;&lt;wsp:rsid wsp:val=&quot;00D74CE9&quot;/&gt;&lt;wsp:rsid wsp:val=&quot;00D75CAB&quot;/&gt;&lt;wsp:rsid wsp:val=&quot;00D76071&quot;/&gt;&lt;wsp:rsid wsp:val=&quot;00D76DB9&quot;/&gt;&lt;wsp:rsid wsp:val=&quot;00D8061D&quot;/&gt;&lt;wsp:rsid wsp:val=&quot;00D8209B&quot;/&gt;&lt;wsp:rsid wsp:val=&quot;00D82191&quot;/&gt;&lt;wsp:rsid wsp:val=&quot;00D853A1&quot;/&gt;&lt;wsp:rsid wsp:val=&quot;00D8705F&quot;/&gt;&lt;wsp:rsid wsp:val=&quot;00D92DD6&quot;/&gt;&lt;wsp:rsid wsp:val=&quot;00D93BCC&quot;/&gt;&lt;wsp:rsid wsp:val=&quot;00D97DC3&quot;/&gt;&lt;wsp:rsid wsp:val=&quot;00DA1AEC&quot;/&gt;&lt;wsp:rsid wsp:val=&quot;00DA298B&quot;/&gt;&lt;wsp:rsid wsp:val=&quot;00DA3CBD&quot;/&gt;&lt;wsp:rsid wsp:val=&quot;00DB0338&quot;/&gt;&lt;wsp:rsid wsp:val=&quot;00DB1195&quot;/&gt;&lt;wsp:rsid wsp:val=&quot;00DB19CE&quot;/&gt;&lt;wsp:rsid wsp:val=&quot;00DB26BF&quot;/&gt;&lt;wsp:rsid wsp:val=&quot;00DB7EED&quot;/&gt;&lt;wsp:rsid wsp:val=&quot;00DC1315&quot;/&gt;&lt;wsp:rsid wsp:val=&quot;00DC3DA9&quot;/&gt;&lt;wsp:rsid wsp:val=&quot;00DC5E14&quot;/&gt;&lt;wsp:rsid wsp:val=&quot;00DD0B7F&quot;/&gt;&lt;wsp:rsid wsp:val=&quot;00DD452A&quot;/&gt;&lt;wsp:rsid wsp:val=&quot;00DD729D&quot;/&gt;&lt;wsp:rsid wsp:val=&quot;00DE2DE3&quot;/&gt;&lt;wsp:rsid wsp:val=&quot;00DE42AC&quot;/&gt;&lt;wsp:rsid wsp:val=&quot;00DE67F9&quot;/&gt;&lt;wsp:rsid wsp:val=&quot;00DF0161&quot;/&gt;&lt;wsp:rsid wsp:val=&quot;00DF17F0&quot;/&gt;&lt;wsp:rsid wsp:val=&quot;00DF6B5C&quot;/&gt;&lt;wsp:rsid wsp:val=&quot;00DF73BF&quot;/&gt;&lt;wsp:rsid wsp:val=&quot;00DF7F54&quot;/&gt;&lt;wsp:rsid wsp:val=&quot;00E02D84&quot;/&gt;&lt;wsp:rsid wsp:val=&quot;00E12090&quot;/&gt;&lt;wsp:rsid wsp:val=&quot;00E1368B&quot;/&gt;&lt;wsp:rsid wsp:val=&quot;00E145BD&quot;/&gt;&lt;wsp:rsid wsp:val=&quot;00E14964&quot;/&gt;&lt;wsp:rsid wsp:val=&quot;00E14F00&quot;/&gt;&lt;wsp:rsid wsp:val=&quot;00E17E89&quot;/&gt;&lt;wsp:rsid wsp:val=&quot;00E17EBA&quot;/&gt;&lt;wsp:rsid wsp:val=&quot;00E2143B&quot;/&gt;&lt;wsp:rsid wsp:val=&quot;00E21CE0&quot;/&gt;&lt;wsp:rsid wsp:val=&quot;00E2528C&quot;/&gt;&lt;wsp:rsid wsp:val=&quot;00E265FC&quot;/&gt;&lt;wsp:rsid wsp:val=&quot;00E27157&quot;/&gt;&lt;wsp:rsid wsp:val=&quot;00E36D02&quot;/&gt;&lt;wsp:rsid wsp:val=&quot;00E42729&quot;/&gt;&lt;wsp:rsid wsp:val=&quot;00E429F6&quot;/&gt;&lt;wsp:rsid wsp:val=&quot;00E431DF&quot;/&gt;&lt;wsp:rsid wsp:val=&quot;00E45336&quot;/&gt;&lt;wsp:rsid wsp:val=&quot;00E4697B&quot;/&gt;&lt;wsp:rsid wsp:val=&quot;00E469CB&quot;/&gt;&lt;wsp:rsid wsp:val=&quot;00E505E5&quot;/&gt;&lt;wsp:rsid wsp:val=&quot;00E5168C&quot;/&gt;&lt;wsp:rsid wsp:val=&quot;00E53020&quot;/&gt;&lt;wsp:rsid wsp:val=&quot;00E5428B&quot;/&gt;&lt;wsp:rsid wsp:val=&quot;00E57F82&quot;/&gt;&lt;wsp:rsid wsp:val=&quot;00E601AC&quot;/&gt;&lt;wsp:rsid wsp:val=&quot;00E62666&quot;/&gt;&lt;wsp:rsid wsp:val=&quot;00E658DF&quot;/&gt;&lt;wsp:rsid wsp:val=&quot;00E65A28&quot;/&gt;&lt;wsp:rsid wsp:val=&quot;00E7233D&quot;/&gt;&lt;wsp:rsid wsp:val=&quot;00E732B9&quot;/&gt;&lt;wsp:rsid wsp:val=&quot;00E73E1E&quot;/&gt;&lt;wsp:rsid wsp:val=&quot;00E74C37&quot;/&gt;&lt;wsp:rsid wsp:val=&quot;00E76192&quot;/&gt;&lt;wsp:rsid wsp:val=&quot;00E7641D&quot;/&gt;&lt;wsp:rsid wsp:val=&quot;00E77B2A&quot;/&gt;&lt;wsp:rsid wsp:val=&quot;00E81485&quot;/&gt;&lt;wsp:rsid wsp:val=&quot;00E82258&quot;/&gt;&lt;wsp:rsid wsp:val=&quot;00E82F12&quot;/&gt;&lt;wsp:rsid wsp:val=&quot;00E82FAD&quot;/&gt;&lt;wsp:rsid wsp:val=&quot;00E83639&quot;/&gt;&lt;wsp:rsid wsp:val=&quot;00E86DDE&quot;/&gt;&lt;wsp:rsid wsp:val=&quot;00E90366&quot;/&gt;&lt;wsp:rsid wsp:val=&quot;00E90448&quot;/&gt;&lt;wsp:rsid wsp:val=&quot;00E96592&quot;/&gt;&lt;wsp:rsid wsp:val=&quot;00E97206&quot;/&gt;&lt;wsp:rsid wsp:val=&quot;00E97A81&quot;/&gt;&lt;wsp:rsid wsp:val=&quot;00E97CDF&quot;/&gt;&lt;wsp:rsid wsp:val=&quot;00EA14B4&quot;/&gt;&lt;wsp:rsid wsp:val=&quot;00EA3C1D&quot;/&gt;&lt;wsp:rsid wsp:val=&quot;00EA7232&quot;/&gt;&lt;wsp:rsid wsp:val=&quot;00EB2DF6&quot;/&gt;&lt;wsp:rsid wsp:val=&quot;00EB2F4B&quot;/&gt;&lt;wsp:rsid wsp:val=&quot;00EB33C4&quot;/&gt;&lt;wsp:rsid wsp:val=&quot;00EB59EB&quot;/&gt;&lt;wsp:rsid wsp:val=&quot;00EC2038&quot;/&gt;&lt;wsp:rsid wsp:val=&quot;00EC2C1D&quot;/&gt;&lt;wsp:rsid wsp:val=&quot;00EC3A9E&quot;/&gt;&lt;wsp:rsid wsp:val=&quot;00EC7438&quot;/&gt;&lt;wsp:rsid wsp:val=&quot;00ED192F&quot;/&gt;&lt;wsp:rsid wsp:val=&quot;00ED27DF&quot;/&gt;&lt;wsp:rsid wsp:val=&quot;00ED36AF&quot;/&gt;&lt;wsp:rsid wsp:val=&quot;00ED39CB&quot;/&gt;&lt;wsp:rsid wsp:val=&quot;00EE0561&quot;/&gt;&lt;wsp:rsid wsp:val=&quot;00EE1E02&quot;/&gt;&lt;wsp:rsid wsp:val=&quot;00EE51DD&quot;/&gt;&lt;wsp:rsid wsp:val=&quot;00EF2265&quot;/&gt;&lt;wsp:rsid wsp:val=&quot;00EF3414&quot;/&gt;&lt;wsp:rsid wsp:val=&quot;00EF4A2E&quot;/&gt;&lt;wsp:rsid wsp:val=&quot;00EF640B&quot;/&gt;&lt;wsp:rsid wsp:val=&quot;00EF7EC9&quot;/&gt;&lt;wsp:rsid wsp:val=&quot;00F05A6E&quot;/&gt;&lt;wsp:rsid wsp:val=&quot;00F1063C&quot;/&gt;&lt;wsp:rsid wsp:val=&quot;00F10A3E&quot;/&gt;&lt;wsp:rsid wsp:val=&quot;00F13FD6&quot;/&gt;&lt;wsp:rsid wsp:val=&quot;00F15653&quot;/&gt;&lt;wsp:rsid wsp:val=&quot;00F1632B&quot;/&gt;&lt;wsp:rsid wsp:val=&quot;00F221E6&quot;/&gt;&lt;wsp:rsid wsp:val=&quot;00F27E3E&quot;/&gt;&lt;wsp:rsid wsp:val=&quot;00F27EFD&quot;/&gt;&lt;wsp:rsid wsp:val=&quot;00F34501&quot;/&gt;&lt;wsp:rsid wsp:val=&quot;00F34520&quot;/&gt;&lt;wsp:rsid wsp:val=&quot;00F34821&quot;/&gt;&lt;wsp:rsid wsp:val=&quot;00F40D65&quot;/&gt;&lt;wsp:rsid wsp:val=&quot;00F42984&quot;/&gt;&lt;wsp:rsid wsp:val=&quot;00F4396A&quot;/&gt;&lt;wsp:rsid wsp:val=&quot;00F44B7B&quot;/&gt;&lt;wsp:rsid wsp:val=&quot;00F47866&quot;/&gt;&lt;wsp:rsid wsp:val=&quot;00F478BC&quot;/&gt;&lt;wsp:rsid wsp:val=&quot;00F47C2E&quot;/&gt;&lt;wsp:rsid wsp:val=&quot;00F50AC1&quot;/&gt;&lt;wsp:rsid wsp:val=&quot;00F520D8&quot;/&gt;&lt;wsp:rsid wsp:val=&quot;00F5737F&quot;/&gt;&lt;wsp:rsid wsp:val=&quot;00F70B55&quot;/&gt;&lt;wsp:rsid wsp:val=&quot;00F70D98&quot;/&gt;&lt;wsp:rsid wsp:val=&quot;00F72B0D&quot;/&gt;&lt;wsp:rsid wsp:val=&quot;00F73E6F&quot;/&gt;&lt;wsp:rsid wsp:val=&quot;00F742CC&quot;/&gt;&lt;wsp:rsid wsp:val=&quot;00F747D0&quot;/&gt;&lt;wsp:rsid wsp:val=&quot;00F76F09&quot;/&gt;&lt;wsp:rsid wsp:val=&quot;00F81FF3&quot;/&gt;&lt;wsp:rsid wsp:val=&quot;00F84C5A&quot;/&gt;&lt;wsp:rsid wsp:val=&quot;00F85331&quot;/&gt;&lt;wsp:rsid wsp:val=&quot;00F85745&quot;/&gt;&lt;wsp:rsid wsp:val=&quot;00F85FAD&quot;/&gt;&lt;wsp:rsid wsp:val=&quot;00F87993&quot;/&gt;&lt;wsp:rsid wsp:val=&quot;00FA2AED&quot;/&gt;&lt;wsp:rsid wsp:val=&quot;00FA3AEA&quot;/&gt;&lt;wsp:rsid wsp:val=&quot;00FA43F3&quot;/&gt;&lt;wsp:rsid wsp:val=&quot;00FA4D7C&quot;/&gt;&lt;wsp:rsid wsp:val=&quot;00FA5470&quot;/&gt;&lt;wsp:rsid wsp:val=&quot;00FA5F75&quot;/&gt;&lt;wsp:rsid wsp:val=&quot;00FA776A&quot;/&gt;&lt;wsp:rsid wsp:val=&quot;00FA7E7A&quot;/&gt;&lt;wsp:rsid wsp:val=&quot;00FA7FF0&quot;/&gt;&lt;wsp:rsid wsp:val=&quot;00FB0456&quot;/&gt;&lt;wsp:rsid wsp:val=&quot;00FB1DF2&quot;/&gt;&lt;wsp:rsid wsp:val=&quot;00FB4AC8&quot;/&gt;&lt;wsp:rsid wsp:val=&quot;00FB5070&quot;/&gt;&lt;wsp:rsid wsp:val=&quot;00FC0127&quot;/&gt;&lt;wsp:rsid wsp:val=&quot;00FC0C66&quot;/&gt;&lt;wsp:rsid wsp:val=&quot;00FC2027&quot;/&gt;&lt;wsp:rsid wsp:val=&quot;00FC437C&quot;/&gt;&lt;wsp:rsid wsp:val=&quot;00FC69BA&quot;/&gt;&lt;wsp:rsid wsp:val=&quot;00FC720B&quot;/&gt;&lt;wsp:rsid wsp:val=&quot;00FC7568&quot;/&gt;&lt;wsp:rsid wsp:val=&quot;00FD05EE&quot;/&gt;&lt;wsp:rsid wsp:val=&quot;00FD40AE&quot;/&gt;&lt;wsp:rsid wsp:val=&quot;00FD6EC3&quot;/&gt;&lt;wsp:rsid wsp:val=&quot;00FE3B0B&quot;/&gt;&lt;wsp:rsid wsp:val=&quot;00FE3CB8&quot;/&gt;&lt;wsp:rsid wsp:val=&quot;00FE5183&quot;/&gt;&lt;wsp:rsid wsp:val=&quot;00FE71D7&quot;/&gt;&lt;/wsp:rsids&gt;&lt;/w:docPr&gt;&lt;w:body&gt;&lt;w:p wsp:rsidR=&quot;00000000&quot; wsp:rsidRDefault=&quot;008A30D4&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P&lt;/m:t&gt;&lt;/m:r&gt;&lt;/m:e&gt;&lt;m:sub&gt;&lt;m:r&gt;&lt;w:rPr&gt;&lt;w:rFonts w:ascii=&quot;Cambria Math&quot; w:h-ansi=&quot;Cambria Math&quot;/&gt;&lt;wx:font wx:val=&quot;Cambria Math&quot;/&gt;&lt;w:i/&gt;&lt;w:lang w:val=&quot;EN-US&quot;/&gt;&lt;/w:rPr&gt;&lt;m:t&gt;b&lt;/m:t&gt;&lt;/m:r&gt;&lt;/m:sub&gt;&lt;/m:sSub&gt;&lt;m:r&gt;&lt;w:rPr&gt;&lt;w:rFonts w:ascii=&quot;Cambria Math&quot; w:h-ansi=&quot;Cambria Math&quot;/&gt;&lt;wx:font wx:val=&quot;Cambria Math&quot;/&gt;&lt;w:i/&gt;&lt;w:lang w:val=&quot;EN-US&quot;/&gt;&lt;/w:rPr&gt;&lt;m:t&gt;=M âˆ™f&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4" o:title="" chromakey="white"/>
          </v:shape>
        </w:pict>
      </w:r>
      <w:r w:rsidRPr="008D584B">
        <w:rPr>
          <w:lang w:val="en-US"/>
        </w:rPr>
        <w:fldChar w:fldCharType="end"/>
      </w:r>
    </w:p>
    <w:p w:rsidR="00A2303C" w:rsidRDefault="00A2303C" w:rsidP="001A5A8F">
      <w:pPr>
        <w:pStyle w:val="NoSpacing"/>
        <w:spacing w:line="360" w:lineRule="auto"/>
        <w:rPr>
          <w:lang w:val="en-US"/>
        </w:rPr>
      </w:pPr>
    </w:p>
    <w:p w:rsidR="00A2303C" w:rsidRDefault="00A2303C" w:rsidP="001A5A8F">
      <w:pPr>
        <w:pStyle w:val="NoSpacing"/>
        <w:spacing w:line="360" w:lineRule="auto"/>
        <w:rPr>
          <w:lang w:val="en-US"/>
        </w:rPr>
      </w:pPr>
      <w:r>
        <w:rPr>
          <w:lang w:val="en-US"/>
        </w:rPr>
        <w:t xml:space="preserve">With </w:t>
      </w:r>
      <w:r>
        <w:rPr>
          <w:lang w:val="en-US"/>
        </w:rPr>
        <w:tab/>
      </w:r>
      <w:r>
        <w:rPr>
          <w:lang w:val="en-US"/>
        </w:rPr>
        <w:tab/>
        <w:t>P</w:t>
      </w:r>
      <w:r>
        <w:rPr>
          <w:vertAlign w:val="subscript"/>
          <w:lang w:val="en-US"/>
        </w:rPr>
        <w:t>b</w:t>
      </w:r>
      <w:r>
        <w:rPr>
          <w:lang w:val="en-US"/>
        </w:rPr>
        <w:t xml:space="preserve"> = Pension benefit</w:t>
      </w:r>
    </w:p>
    <w:p w:rsidR="00A2303C" w:rsidRDefault="00A2303C" w:rsidP="001A5A8F">
      <w:pPr>
        <w:pStyle w:val="NoSpacing"/>
        <w:spacing w:line="360" w:lineRule="auto"/>
        <w:ind w:left="1410"/>
        <w:rPr>
          <w:lang w:val="en-US"/>
        </w:rPr>
      </w:pPr>
      <w:r>
        <w:rPr>
          <w:lang w:val="en-US"/>
        </w:rPr>
        <w:t>M = Average of the 80% highest contribution wages of the employee during his or her entire contribution time, inflation indexed.</w:t>
      </w:r>
    </w:p>
    <w:p w:rsidR="00A2303C" w:rsidRDefault="00A2303C" w:rsidP="001A5A8F">
      <w:pPr>
        <w:pStyle w:val="NoSpacing"/>
        <w:spacing w:line="360" w:lineRule="auto"/>
        <w:ind w:left="1410"/>
        <w:rPr>
          <w:lang w:val="en-US"/>
        </w:rPr>
      </w:pPr>
      <w:r>
        <w:rPr>
          <w:lang w:val="en-US"/>
        </w:rPr>
        <w:t>f = Social security factor, which is defined as follows:</w:t>
      </w:r>
    </w:p>
    <w:p w:rsidR="00A2303C" w:rsidRDefault="00A2303C" w:rsidP="001A5A8F">
      <w:pPr>
        <w:pStyle w:val="NoSpacing"/>
        <w:spacing w:line="360" w:lineRule="auto"/>
        <w:rPr>
          <w:lang w:val="en-US"/>
        </w:rPr>
      </w:pPr>
    </w:p>
    <w:p w:rsidR="00A2303C" w:rsidRDefault="00A2303C" w:rsidP="001A5A8F">
      <w:pPr>
        <w:pStyle w:val="NoSpacing"/>
        <w:spacing w:line="360" w:lineRule="auto"/>
        <w:rPr>
          <w:lang w:val="en-US"/>
        </w:rPr>
      </w:pPr>
      <w:r w:rsidRPr="001A5A8F">
        <w:rPr>
          <w:lang w:val="en-US"/>
        </w:rPr>
        <w:t>(4</w:t>
      </w:r>
      <w:r>
        <w:rPr>
          <w:lang w:val="en-US"/>
        </w:rPr>
        <w:t>.)</w:t>
      </w:r>
      <w:r>
        <w:rPr>
          <w:lang w:val="en-US"/>
        </w:rPr>
        <w:tab/>
      </w:r>
      <w:r>
        <w:rPr>
          <w:lang w:val="en-US"/>
        </w:rPr>
        <w:tab/>
      </w:r>
      <w:r w:rsidRPr="008D584B">
        <w:rPr>
          <w:lang w:val="en-US"/>
        </w:rPr>
        <w:fldChar w:fldCharType="begin"/>
      </w:r>
      <w:r w:rsidRPr="008D584B">
        <w:rPr>
          <w:lang w:val="en-US"/>
        </w:rPr>
        <w:instrText xml:space="preserve"> QUOTE </w:instrText>
      </w:r>
      <w:r w:rsidRPr="008D584B">
        <w:pict>
          <v:shape id="_x0000_i1032" type="#_x0000_t75" style="width:152.25pt;height:27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1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853A1&quot;/&gt;&lt;wsp:rsid wsp:val=&quot;00000301&quot;/&gt;&lt;wsp:rsid wsp:val=&quot;00002C2F&quot;/&gt;&lt;wsp:rsid wsp:val=&quot;00004A32&quot;/&gt;&lt;wsp:rsid wsp:val=&quot;000155C6&quot;/&gt;&lt;wsp:rsid wsp:val=&quot;00020171&quot;/&gt;&lt;wsp:rsid wsp:val=&quot;00021919&quot;/&gt;&lt;wsp:rsid wsp:val=&quot;000228C1&quot;/&gt;&lt;wsp:rsid wsp:val=&quot;000265FE&quot;/&gt;&lt;wsp:rsid wsp:val=&quot;00026B17&quot;/&gt;&lt;wsp:rsid wsp:val=&quot;00031F57&quot;/&gt;&lt;wsp:rsid wsp:val=&quot;0003255C&quot;/&gt;&lt;wsp:rsid wsp:val=&quot;00032823&quot;/&gt;&lt;wsp:rsid wsp:val=&quot;00032DB2&quot;/&gt;&lt;wsp:rsid wsp:val=&quot;00034643&quot;/&gt;&lt;wsp:rsid wsp:val=&quot;000422BE&quot;/&gt;&lt;wsp:rsid wsp:val=&quot;000423E9&quot;/&gt;&lt;wsp:rsid wsp:val=&quot;0005079E&quot;/&gt;&lt;wsp:rsid wsp:val=&quot;00052141&quot;/&gt;&lt;wsp:rsid wsp:val=&quot;00052281&quot;/&gt;&lt;wsp:rsid wsp:val=&quot;00052943&quot;/&gt;&lt;wsp:rsid wsp:val=&quot;0005326D&quot;/&gt;&lt;wsp:rsid wsp:val=&quot;00053A09&quot;/&gt;&lt;wsp:rsid wsp:val=&quot;0005633C&quot;/&gt;&lt;wsp:rsid wsp:val=&quot;00056590&quot;/&gt;&lt;wsp:rsid wsp:val=&quot;0007082F&quot;/&gt;&lt;wsp:rsid wsp:val=&quot;000758DF&quot;/&gt;&lt;wsp:rsid wsp:val=&quot;00080C2A&quot;/&gt;&lt;wsp:rsid wsp:val=&quot;000821F5&quot;/&gt;&lt;wsp:rsid wsp:val=&quot;00083BDC&quot;/&gt;&lt;wsp:rsid wsp:val=&quot;0008428E&quot;/&gt;&lt;wsp:rsid wsp:val=&quot;00092595&quot;/&gt;&lt;wsp:rsid wsp:val=&quot;0009348A&quot;/&gt;&lt;wsp:rsid wsp:val=&quot;00096499&quot;/&gt;&lt;wsp:rsid wsp:val=&quot;000977F6&quot;/&gt;&lt;wsp:rsid wsp:val=&quot;00097F68&quot;/&gt;&lt;wsp:rsid wsp:val=&quot;000A0818&quot;/&gt;&lt;wsp:rsid wsp:val=&quot;000A5D99&quot;/&gt;&lt;wsp:rsid wsp:val=&quot;000A69BA&quot;/&gt;&lt;wsp:rsid wsp:val=&quot;000A7094&quot;/&gt;&lt;wsp:rsid wsp:val=&quot;000B38BD&quot;/&gt;&lt;wsp:rsid wsp:val=&quot;000B3E22&quot;/&gt;&lt;wsp:rsid wsp:val=&quot;000B3E81&quot;/&gt;&lt;wsp:rsid wsp:val=&quot;000C407D&quot;/&gt;&lt;wsp:rsid wsp:val=&quot;000C489F&quot;/&gt;&lt;wsp:rsid wsp:val=&quot;000C49CF&quot;/&gt;&lt;wsp:rsid wsp:val=&quot;000C4F39&quot;/&gt;&lt;wsp:rsid wsp:val=&quot;000C7666&quot;/&gt;&lt;wsp:rsid wsp:val=&quot;000D6EB0&quot;/&gt;&lt;wsp:rsid wsp:val=&quot;000E0AFB&quot;/&gt;&lt;wsp:rsid wsp:val=&quot;000E5451&quot;/&gt;&lt;wsp:rsid wsp:val=&quot;000E554A&quot;/&gt;&lt;wsp:rsid wsp:val=&quot;000E6DA4&quot;/&gt;&lt;wsp:rsid wsp:val=&quot;000F4D54&quot;/&gt;&lt;wsp:rsid wsp:val=&quot;00102925&quot;/&gt;&lt;wsp:rsid wsp:val=&quot;00105B48&quot;/&gt;&lt;wsp:rsid wsp:val=&quot;0010635F&quot;/&gt;&lt;wsp:rsid wsp:val=&quot;0011088A&quot;/&gt;&lt;wsp:rsid wsp:val=&quot;00116F79&quot;/&gt;&lt;wsp:rsid wsp:val=&quot;0011793E&quot;/&gt;&lt;wsp:rsid wsp:val=&quot;00121284&quot;/&gt;&lt;wsp:rsid wsp:val=&quot;00121BAF&quot;/&gt;&lt;wsp:rsid wsp:val=&quot;0012205D&quot;/&gt;&lt;wsp:rsid wsp:val=&quot;001243F1&quot;/&gt;&lt;wsp:rsid wsp:val=&quot;00125D92&quot;/&gt;&lt;wsp:rsid wsp:val=&quot;001320C2&quot;/&gt;&lt;wsp:rsid wsp:val=&quot;001320CA&quot;/&gt;&lt;wsp:rsid wsp:val=&quot;00141C38&quot;/&gt;&lt;wsp:rsid wsp:val=&quot;0014403F&quot;/&gt;&lt;wsp:rsid wsp:val=&quot;00146977&quot;/&gt;&lt;wsp:rsid wsp:val=&quot;00150B52&quot;/&gt;&lt;wsp:rsid wsp:val=&quot;00152B4A&quot;/&gt;&lt;wsp:rsid wsp:val=&quot;00154781&quot;/&gt;&lt;wsp:rsid wsp:val=&quot;00162990&quot;/&gt;&lt;wsp:rsid wsp:val=&quot;001629A6&quot;/&gt;&lt;wsp:rsid wsp:val=&quot;001677AC&quot;/&gt;&lt;wsp:rsid wsp:val=&quot;00167A17&quot;/&gt;&lt;wsp:rsid wsp:val=&quot;00173004&quot;/&gt;&lt;wsp:rsid wsp:val=&quot;00177AA2&quot;/&gt;&lt;wsp:rsid wsp:val=&quot;0018041F&quot;/&gt;&lt;wsp:rsid wsp:val=&quot;001805D7&quot;/&gt;&lt;wsp:rsid wsp:val=&quot;00187394&quot;/&gt;&lt;wsp:rsid wsp:val=&quot;001873D3&quot;/&gt;&lt;wsp:rsid wsp:val=&quot;00187991&quot;/&gt;&lt;wsp:rsid wsp:val=&quot;00193BED&quot;/&gt;&lt;wsp:rsid wsp:val=&quot;00194C7A&quot;/&gt;&lt;wsp:rsid wsp:val=&quot;00195ABC&quot;/&gt;&lt;wsp:rsid wsp:val=&quot;00195BC9&quot;/&gt;&lt;wsp:rsid wsp:val=&quot;00196448&quot;/&gt;&lt;wsp:rsid wsp:val=&quot;001A1968&quot;/&gt;&lt;wsp:rsid wsp:val=&quot;001A1D92&quot;/&gt;&lt;wsp:rsid wsp:val=&quot;001A22AC&quot;/&gt;&lt;wsp:rsid wsp:val=&quot;001A3CF0&quot;/&gt;&lt;wsp:rsid wsp:val=&quot;001A5A8F&quot;/&gt;&lt;wsp:rsid wsp:val=&quot;001B1365&quot;/&gt;&lt;wsp:rsid wsp:val=&quot;001B1481&quot;/&gt;&lt;wsp:rsid wsp:val=&quot;001B28A6&quot;/&gt;&lt;wsp:rsid wsp:val=&quot;001B31E4&quot;/&gt;&lt;wsp:rsid wsp:val=&quot;001B6A0C&quot;/&gt;&lt;wsp:rsid wsp:val=&quot;001C0D83&quot;/&gt;&lt;wsp:rsid wsp:val=&quot;001C14D5&quot;/&gt;&lt;wsp:rsid wsp:val=&quot;001C17F6&quot;/&gt;&lt;wsp:rsid wsp:val=&quot;001C3D1E&quot;/&gt;&lt;wsp:rsid wsp:val=&quot;001C6C75&quot;/&gt;&lt;wsp:rsid wsp:val=&quot;001C6CE2&quot;/&gt;&lt;wsp:rsid wsp:val=&quot;001D146F&quot;/&gt;&lt;wsp:rsid wsp:val=&quot;001D2605&quot;/&gt;&lt;wsp:rsid wsp:val=&quot;001D2C81&quot;/&gt;&lt;wsp:rsid wsp:val=&quot;001D339E&quot;/&gt;&lt;wsp:rsid wsp:val=&quot;001D74CF&quot;/&gt;&lt;wsp:rsid wsp:val=&quot;001E21C9&quot;/&gt;&lt;wsp:rsid wsp:val=&quot;001E21DF&quot;/&gt;&lt;wsp:rsid wsp:val=&quot;001E2E2E&quot;/&gt;&lt;wsp:rsid wsp:val=&quot;001E52FA&quot;/&gt;&lt;wsp:rsid wsp:val=&quot;001E5B81&quot;/&gt;&lt;wsp:rsid wsp:val=&quot;001E75BE&quot;/&gt;&lt;wsp:rsid wsp:val=&quot;001F12C4&quot;/&gt;&lt;wsp:rsid wsp:val=&quot;001F3FC7&quot;/&gt;&lt;wsp:rsid wsp:val=&quot;001F658C&quot;/&gt;&lt;wsp:rsid wsp:val=&quot;001F6D72&quot;/&gt;&lt;wsp:rsid wsp:val=&quot;002009DA&quot;/&gt;&lt;wsp:rsid wsp:val=&quot;00201758&quot;/&gt;&lt;wsp:rsid wsp:val=&quot;00201842&quot;/&gt;&lt;wsp:rsid wsp:val=&quot;00202CDD&quot;/&gt;&lt;wsp:rsid wsp:val=&quot;002055B2&quot;/&gt;&lt;wsp:rsid wsp:val=&quot;00210D79&quot;/&gt;&lt;wsp:rsid wsp:val=&quot;002126D0&quot;/&gt;&lt;wsp:rsid wsp:val=&quot;00214101&quot;/&gt;&lt;wsp:rsid wsp:val=&quot;00216CB9&quot;/&gt;&lt;wsp:rsid wsp:val=&quot;00220CCB&quot;/&gt;&lt;wsp:rsid wsp:val=&quot;00221471&quot;/&gt;&lt;wsp:rsid wsp:val=&quot;002214F1&quot;/&gt;&lt;wsp:rsid wsp:val=&quot;002269F9&quot;/&gt;&lt;wsp:rsid wsp:val=&quot;0023031D&quot;/&gt;&lt;wsp:rsid wsp:val=&quot;00230706&quot;/&gt;&lt;wsp:rsid wsp:val=&quot;002323A3&quot;/&gt;&lt;wsp:rsid wsp:val=&quot;002327A3&quot;/&gt;&lt;wsp:rsid wsp:val=&quot;00234003&quot;/&gt;&lt;wsp:rsid wsp:val=&quot;00236F9F&quot;/&gt;&lt;wsp:rsid wsp:val=&quot;002374FC&quot;/&gt;&lt;wsp:rsid wsp:val=&quot;0024012E&quot;/&gt;&lt;wsp:rsid wsp:val=&quot;00240898&quot;/&gt;&lt;wsp:rsid wsp:val=&quot;00241B86&quot;/&gt;&lt;wsp:rsid wsp:val=&quot;0024536D&quot;/&gt;&lt;wsp:rsid wsp:val=&quot;0024679F&quot;/&gt;&lt;wsp:rsid wsp:val=&quot;00251EDF&quot;/&gt;&lt;wsp:rsid wsp:val=&quot;00252EFD&quot;/&gt;&lt;wsp:rsid wsp:val=&quot;002560D5&quot;/&gt;&lt;wsp:rsid wsp:val=&quot;002561EC&quot;/&gt;&lt;wsp:rsid wsp:val=&quot;0026144A&quot;/&gt;&lt;wsp:rsid wsp:val=&quot;002615A4&quot;/&gt;&lt;wsp:rsid wsp:val=&quot;00262F25&quot;/&gt;&lt;wsp:rsid wsp:val=&quot;002653F9&quot;/&gt;&lt;wsp:rsid wsp:val=&quot;0026619B&quot;/&gt;&lt;wsp:rsid wsp:val=&quot;002671C0&quot;/&gt;&lt;wsp:rsid wsp:val=&quot;002679A2&quot;/&gt;&lt;wsp:rsid wsp:val=&quot;00267B8B&quot;/&gt;&lt;wsp:rsid wsp:val=&quot;002703CE&quot;/&gt;&lt;wsp:rsid wsp:val=&quot;00275484&quot;/&gt;&lt;wsp:rsid wsp:val=&quot;00276AD0&quot;/&gt;&lt;wsp:rsid wsp:val=&quot;00280C46&quot;/&gt;&lt;wsp:rsid wsp:val=&quot;0028594C&quot;/&gt;&lt;wsp:rsid wsp:val=&quot;002A4DA3&quot;/&gt;&lt;wsp:rsid wsp:val=&quot;002A53D8&quot;/&gt;&lt;wsp:rsid wsp:val=&quot;002B02DB&quot;/&gt;&lt;wsp:rsid wsp:val=&quot;002B23D3&quot;/&gt;&lt;wsp:rsid wsp:val=&quot;002B2E18&quot;/&gt;&lt;wsp:rsid wsp:val=&quot;002B491C&quot;/&gt;&lt;wsp:rsid wsp:val=&quot;002B4CF3&quot;/&gt;&lt;wsp:rsid wsp:val=&quot;002B4E22&quot;/&gt;&lt;wsp:rsid wsp:val=&quot;002B56EB&quot;/&gt;&lt;wsp:rsid wsp:val=&quot;002C239E&quot;/&gt;&lt;wsp:rsid wsp:val=&quot;002C28C2&quot;/&gt;&lt;wsp:rsid wsp:val=&quot;002C3B35&quot;/&gt;&lt;wsp:rsid wsp:val=&quot;002C41B6&quot;/&gt;&lt;wsp:rsid wsp:val=&quot;002C4E6E&quot;/&gt;&lt;wsp:rsid wsp:val=&quot;002C5CFF&quot;/&gt;&lt;wsp:rsid wsp:val=&quot;002D02D6&quot;/&gt;&lt;wsp:rsid wsp:val=&quot;002D1581&quot;/&gt;&lt;wsp:rsid wsp:val=&quot;002D1802&quot;/&gt;&lt;wsp:rsid wsp:val=&quot;002D3449&quot;/&gt;&lt;wsp:rsid wsp:val=&quot;002D5B28&quot;/&gt;&lt;wsp:rsid wsp:val=&quot;002D6325&quot;/&gt;&lt;wsp:rsid wsp:val=&quot;002D6522&quot;/&gt;&lt;wsp:rsid wsp:val=&quot;002E16A9&quot;/&gt;&lt;wsp:rsid wsp:val=&quot;002E6355&quot;/&gt;&lt;wsp:rsid wsp:val=&quot;002F5310&quot;/&gt;&lt;wsp:rsid wsp:val=&quot;002F6EBB&quot;/&gt;&lt;wsp:rsid wsp:val=&quot;003019DA&quot;/&gt;&lt;wsp:rsid wsp:val=&quot;00301A96&quot;/&gt;&lt;wsp:rsid wsp:val=&quot;00306A05&quot;/&gt;&lt;wsp:rsid wsp:val=&quot;003112F9&quot;/&gt;&lt;wsp:rsid wsp:val=&quot;00315D63&quot;/&gt;&lt;wsp:rsid wsp:val=&quot;0031603D&quot;/&gt;&lt;wsp:rsid wsp:val=&quot;00320675&quot;/&gt;&lt;wsp:rsid wsp:val=&quot;0032551B&quot;/&gt;&lt;wsp:rsid wsp:val=&quot;00325AAC&quot;/&gt;&lt;wsp:rsid wsp:val=&quot;00326120&quot;/&gt;&lt;wsp:rsid wsp:val=&quot;0032738F&quot;/&gt;&lt;wsp:rsid wsp:val=&quot;00327C71&quot;/&gt;&lt;wsp:rsid wsp:val=&quot;00327DCD&quot;/&gt;&lt;wsp:rsid wsp:val=&quot;003317EE&quot;/&gt;&lt;wsp:rsid wsp:val=&quot;00336BFC&quot;/&gt;&lt;wsp:rsid wsp:val=&quot;00344FB5&quot;/&gt;&lt;wsp:rsid wsp:val=&quot;00346CBD&quot;/&gt;&lt;wsp:rsid wsp:val=&quot;003515D8&quot;/&gt;&lt;wsp:rsid wsp:val=&quot;003531F5&quot;/&gt;&lt;wsp:rsid wsp:val=&quot;0035458F&quot;/&gt;&lt;wsp:rsid wsp:val=&quot;00356AB7&quot;/&gt;&lt;wsp:rsid wsp:val=&quot;00357CA9&quot;/&gt;&lt;wsp:rsid wsp:val=&quot;00362A3C&quot;/&gt;&lt;wsp:rsid wsp:val=&quot;00365046&quot;/&gt;&lt;wsp:rsid wsp:val=&quot;00366492&quot;/&gt;&lt;wsp:rsid wsp:val=&quot;00367558&quot;/&gt;&lt;wsp:rsid wsp:val=&quot;003725A1&quot;/&gt;&lt;wsp:rsid wsp:val=&quot;003754C0&quot;/&gt;&lt;wsp:rsid wsp:val=&quot;00375BA6&quot;/&gt;&lt;wsp:rsid wsp:val=&quot;003760CE&quot;/&gt;&lt;wsp:rsid wsp:val=&quot;00377400&quot;/&gt;&lt;wsp:rsid wsp:val=&quot;00380584&quot;/&gt;&lt;wsp:rsid wsp:val=&quot;00382FBE&quot;/&gt;&lt;wsp:rsid wsp:val=&quot;003833C2&quot;/&gt;&lt;wsp:rsid wsp:val=&quot;00386484&quot;/&gt;&lt;wsp:rsid wsp:val=&quot;003900AB&quot;/&gt;&lt;wsp:rsid wsp:val=&quot;00390224&quot;/&gt;&lt;wsp:rsid wsp:val=&quot;00392BF4&quot;/&gt;&lt;wsp:rsid wsp:val=&quot;00393480&quot;/&gt;&lt;wsp:rsid wsp:val=&quot;00394EA4&quot;/&gt;&lt;wsp:rsid wsp:val=&quot;00396F69&quot;/&gt;&lt;wsp:rsid wsp:val=&quot;003A268B&quot;/&gt;&lt;wsp:rsid wsp:val=&quot;003A3207&quot;/&gt;&lt;wsp:rsid wsp:val=&quot;003A4E86&quot;/&gt;&lt;wsp:rsid wsp:val=&quot;003B3E4F&quot;/&gt;&lt;wsp:rsid wsp:val=&quot;003B6A29&quot;/&gt;&lt;wsp:rsid wsp:val=&quot;003B7460&quot;/&gt;&lt;wsp:rsid wsp:val=&quot;003C17A2&quot;/&gt;&lt;wsp:rsid wsp:val=&quot;003C182F&quot;/&gt;&lt;wsp:rsid wsp:val=&quot;003C34F1&quot;/&gt;&lt;wsp:rsid wsp:val=&quot;003C4AEC&quot;/&gt;&lt;wsp:rsid wsp:val=&quot;003C4B5A&quot;/&gt;&lt;wsp:rsid wsp:val=&quot;003D1885&quot;/&gt;&lt;wsp:rsid wsp:val=&quot;003D254D&quot;/&gt;&lt;wsp:rsid wsp:val=&quot;003D3A9A&quot;/&gt;&lt;wsp:rsid wsp:val=&quot;003D59EA&quot;/&gt;&lt;wsp:rsid wsp:val=&quot;003D6C77&quot;/&gt;&lt;wsp:rsid wsp:val=&quot;003D75A6&quot;/&gt;&lt;wsp:rsid wsp:val=&quot;003E0984&quot;/&gt;&lt;wsp:rsid wsp:val=&quot;003E17D0&quot;/&gt;&lt;wsp:rsid wsp:val=&quot;003E1BB3&quot;/&gt;&lt;wsp:rsid wsp:val=&quot;003E236F&quot;/&gt;&lt;wsp:rsid wsp:val=&quot;003E5D96&quot;/&gt;&lt;wsp:rsid wsp:val=&quot;003E6A82&quot;/&gt;&lt;wsp:rsid wsp:val=&quot;003F07A1&quot;/&gt;&lt;wsp:rsid wsp:val=&quot;003F4466&quot;/&gt;&lt;wsp:rsid wsp:val=&quot;003F5802&quot;/&gt;&lt;wsp:rsid wsp:val=&quot;003F7895&quot;/&gt;&lt;wsp:rsid wsp:val=&quot;00400700&quot;/&gt;&lt;wsp:rsid wsp:val=&quot;00400A2E&quot;/&gt;&lt;wsp:rsid wsp:val=&quot;00405C9E&quot;/&gt;&lt;wsp:rsid wsp:val=&quot;00406DBB&quot;/&gt;&lt;wsp:rsid wsp:val=&quot;00407AA7&quot;/&gt;&lt;wsp:rsid wsp:val=&quot;00411F49&quot;/&gt;&lt;wsp:rsid wsp:val=&quot;00420CF4&quot;/&gt;&lt;wsp:rsid wsp:val=&quot;004214CB&quot;/&gt;&lt;wsp:rsid wsp:val=&quot;00421515&quot;/&gt;&lt;wsp:rsid wsp:val=&quot;00421F52&quot;/&gt;&lt;wsp:rsid wsp:val=&quot;004273C8&quot;/&gt;&lt;wsp:rsid wsp:val=&quot;004302AC&quot;/&gt;&lt;wsp:rsid wsp:val=&quot;004311E3&quot;/&gt;&lt;wsp:rsid wsp:val=&quot;00435FD3&quot;/&gt;&lt;wsp:rsid wsp:val=&quot;00436F54&quot;/&gt;&lt;wsp:rsid wsp:val=&quot;004447E8&quot;/&gt;&lt;wsp:rsid wsp:val=&quot;0044531C&quot;/&gt;&lt;wsp:rsid wsp:val=&quot;0044686E&quot;/&gt;&lt;wsp:rsid wsp:val=&quot;00446F7D&quot;/&gt;&lt;wsp:rsid wsp:val=&quot;00452A49&quot;/&gt;&lt;wsp:rsid wsp:val=&quot;00454B2F&quot;/&gt;&lt;wsp:rsid wsp:val=&quot;004579F4&quot;/&gt;&lt;wsp:rsid wsp:val=&quot;00463B09&quot;/&gt;&lt;wsp:rsid wsp:val=&quot;004763C7&quot;/&gt;&lt;wsp:rsid wsp:val=&quot;00483AEC&quot;/&gt;&lt;wsp:rsid wsp:val=&quot;00487C49&quot;/&gt;&lt;wsp:rsid wsp:val=&quot;00495826&quot;/&gt;&lt;wsp:rsid wsp:val=&quot;004A4448&quot;/&gt;&lt;wsp:rsid wsp:val=&quot;004A584C&quot;/&gt;&lt;wsp:rsid wsp:val=&quot;004A5C92&quot;/&gt;&lt;wsp:rsid wsp:val=&quot;004B1C33&quot;/&gt;&lt;wsp:rsid wsp:val=&quot;004B2974&quot;/&gt;&lt;wsp:rsid wsp:val=&quot;004B3314&quot;/&gt;&lt;wsp:rsid wsp:val=&quot;004B4255&quot;/&gt;&lt;wsp:rsid wsp:val=&quot;004B5E76&quot;/&gt;&lt;wsp:rsid wsp:val=&quot;004B613C&quot;/&gt;&lt;wsp:rsid wsp:val=&quot;004D0DAF&quot;/&gt;&lt;wsp:rsid wsp:val=&quot;004D3144&quot;/&gt;&lt;wsp:rsid wsp:val=&quot;004D4137&quot;/&gt;&lt;wsp:rsid wsp:val=&quot;004D4844&quot;/&gt;&lt;wsp:rsid wsp:val=&quot;004D6F4B&quot;/&gt;&lt;wsp:rsid wsp:val=&quot;004D7D36&quot;/&gt;&lt;wsp:rsid wsp:val=&quot;004E0760&quot;/&gt;&lt;wsp:rsid wsp:val=&quot;004E26DF&quot;/&gt;&lt;wsp:rsid wsp:val=&quot;004E382E&quot;/&gt;&lt;wsp:rsid wsp:val=&quot;004E5A3B&quot;/&gt;&lt;wsp:rsid wsp:val=&quot;004E7D63&quot;/&gt;&lt;wsp:rsid wsp:val=&quot;004F5B23&quot;/&gt;&lt;wsp:rsid wsp:val=&quot;004F6491&quot;/&gt;&lt;wsp:rsid wsp:val=&quot;004F6805&quot;/&gt;&lt;wsp:rsid wsp:val=&quot;004F75A4&quot;/&gt;&lt;wsp:rsid wsp:val=&quot;00503483&quot;/&gt;&lt;wsp:rsid wsp:val=&quot;0050674F&quot;/&gt;&lt;wsp:rsid wsp:val=&quot;0051068C&quot;/&gt;&lt;wsp:rsid wsp:val=&quot;00513D6B&quot;/&gt;&lt;wsp:rsid wsp:val=&quot;005162E5&quot;/&gt;&lt;wsp:rsid wsp:val=&quot;00521838&quot;/&gt;&lt;wsp:rsid wsp:val=&quot;00522A7B&quot;/&gt;&lt;wsp:rsid wsp:val=&quot;0053048A&quot;/&gt;&lt;wsp:rsid wsp:val=&quot;00534071&quot;/&gt;&lt;wsp:rsid wsp:val=&quot;00541220&quot;/&gt;&lt;wsp:rsid wsp:val=&quot;0054396B&quot;/&gt;&lt;wsp:rsid wsp:val=&quot;00543A56&quot;/&gt;&lt;wsp:rsid wsp:val=&quot;0054561C&quot;/&gt;&lt;wsp:rsid wsp:val=&quot;00545ABE&quot;/&gt;&lt;wsp:rsid wsp:val=&quot;00546502&quot;/&gt;&lt;wsp:rsid wsp:val=&quot;0054765B&quot;/&gt;&lt;wsp:rsid wsp:val=&quot;00547E1B&quot;/&gt;&lt;wsp:rsid wsp:val=&quot;00551463&quot;/&gt;&lt;wsp:rsid wsp:val=&quot;00553D42&quot;/&gt;&lt;wsp:rsid wsp:val=&quot;00555F78&quot;/&gt;&lt;wsp:rsid wsp:val=&quot;00556931&quot;/&gt;&lt;wsp:rsid wsp:val=&quot;0056066C&quot;/&gt;&lt;wsp:rsid wsp:val=&quot;005607E3&quot;/&gt;&lt;wsp:rsid wsp:val=&quot;00560E99&quot;/&gt;&lt;wsp:rsid wsp:val=&quot;0056183F&quot;/&gt;&lt;wsp:rsid wsp:val=&quot;005631BF&quot;/&gt;&lt;wsp:rsid wsp:val=&quot;005669FD&quot;/&gt;&lt;wsp:rsid wsp:val=&quot;0057272D&quot;/&gt;&lt;wsp:rsid wsp:val=&quot;00572BD7&quot;/&gt;&lt;wsp:rsid wsp:val=&quot;005740A1&quot;/&gt;&lt;wsp:rsid wsp:val=&quot;005741EF&quot;/&gt;&lt;wsp:rsid wsp:val=&quot;00576A85&quot;/&gt;&lt;wsp:rsid wsp:val=&quot;00577C1C&quot;/&gt;&lt;wsp:rsid wsp:val=&quot;00581D99&quot;/&gt;&lt;wsp:rsid wsp:val=&quot;00582727&quot;/&gt;&lt;wsp:rsid wsp:val=&quot;00586D51&quot;/&gt;&lt;wsp:rsid wsp:val=&quot;00591E7C&quot;/&gt;&lt;wsp:rsid wsp:val=&quot;005978F0&quot;/&gt;&lt;wsp:rsid wsp:val=&quot;005A1B5F&quot;/&gt;&lt;wsp:rsid wsp:val=&quot;005A2EA7&quot;/&gt;&lt;wsp:rsid wsp:val=&quot;005A626E&quot;/&gt;&lt;wsp:rsid wsp:val=&quot;005A7758&quot;/&gt;&lt;wsp:rsid wsp:val=&quot;005B21D7&quot;/&gt;&lt;wsp:rsid wsp:val=&quot;005C1D07&quot;/&gt;&lt;wsp:rsid wsp:val=&quot;005C1F7A&quot;/&gt;&lt;wsp:rsid wsp:val=&quot;005C2258&quot;/&gt;&lt;wsp:rsid wsp:val=&quot;005C311E&quot;/&gt;&lt;wsp:rsid wsp:val=&quot;005C4568&quot;/&gt;&lt;wsp:rsid wsp:val=&quot;005C462E&quot;/&gt;&lt;wsp:rsid wsp:val=&quot;005C4D2B&quot;/&gt;&lt;wsp:rsid wsp:val=&quot;005D32D9&quot;/&gt;&lt;wsp:rsid wsp:val=&quot;005D396B&quot;/&gt;&lt;wsp:rsid wsp:val=&quot;005D4270&quot;/&gt;&lt;wsp:rsid wsp:val=&quot;005D48F7&quot;/&gt;&lt;wsp:rsid wsp:val=&quot;005E113C&quot;/&gt;&lt;wsp:rsid wsp:val=&quot;005E1D63&quot;/&gt;&lt;wsp:rsid wsp:val=&quot;005E397A&quot;/&gt;&lt;wsp:rsid wsp:val=&quot;005F39BF&quot;/&gt;&lt;wsp:rsid wsp:val=&quot;005F4FAA&quot;/&gt;&lt;wsp:rsid wsp:val=&quot;005F6830&quot;/&gt;&lt;wsp:rsid wsp:val=&quot;00603245&quot;/&gt;&lt;wsp:rsid wsp:val=&quot;00604FA8&quot;/&gt;&lt;wsp:rsid wsp:val=&quot;00607537&quot;/&gt;&lt;wsp:rsid wsp:val=&quot;00613481&quot;/&gt;&lt;wsp:rsid wsp:val=&quot;00614BE2&quot;/&gt;&lt;wsp:rsid wsp:val=&quot;006154C6&quot;/&gt;&lt;wsp:rsid wsp:val=&quot;00615C9D&quot;/&gt;&lt;wsp:rsid wsp:val=&quot;00617E9F&quot;/&gt;&lt;wsp:rsid wsp:val=&quot;00620614&quot;/&gt;&lt;wsp:rsid wsp:val=&quot;00621484&quot;/&gt;&lt;wsp:rsid wsp:val=&quot;0062396D&quot;/&gt;&lt;wsp:rsid wsp:val=&quot;00625A8C&quot;/&gt;&lt;wsp:rsid wsp:val=&quot;00625E64&quot;/&gt;&lt;wsp:rsid wsp:val=&quot;00631330&quot;/&gt;&lt;wsp:rsid wsp:val=&quot;0063222E&quot;/&gt;&lt;wsp:rsid wsp:val=&quot;006328C7&quot;/&gt;&lt;wsp:rsid wsp:val=&quot;00632E0E&quot;/&gt;&lt;wsp:rsid wsp:val=&quot;00636A72&quot;/&gt;&lt;wsp:rsid wsp:val=&quot;00641CF0&quot;/&gt;&lt;wsp:rsid wsp:val=&quot;00643755&quot;/&gt;&lt;wsp:rsid wsp:val=&quot;00643EBB&quot;/&gt;&lt;wsp:rsid wsp:val=&quot;006448C3&quot;/&gt;&lt;wsp:rsid wsp:val=&quot;006452BD&quot;/&gt;&lt;wsp:rsid wsp:val=&quot;00646305&quot;/&gt;&lt;wsp:rsid wsp:val=&quot;00654C91&quot;/&gt;&lt;wsp:rsid wsp:val=&quot;006551E8&quot;/&gt;&lt;wsp:rsid wsp:val=&quot;00657F10&quot;/&gt;&lt;wsp:rsid wsp:val=&quot;006607EC&quot;/&gt;&lt;wsp:rsid wsp:val=&quot;0066238C&quot;/&gt;&lt;wsp:rsid wsp:val=&quot;00663110&quot;/&gt;&lt;wsp:rsid wsp:val=&quot;006664E2&quot;/&gt;&lt;wsp:rsid wsp:val=&quot;00670494&quot;/&gt;&lt;wsp:rsid wsp:val=&quot;00670D7F&quot;/&gt;&lt;wsp:rsid wsp:val=&quot;00671CE6&quot;/&gt;&lt;wsp:rsid wsp:val=&quot;006720AB&quot;/&gt;&lt;wsp:rsid wsp:val=&quot;006755F2&quot;/&gt;&lt;wsp:rsid wsp:val=&quot;0068428C&quot;/&gt;&lt;wsp:rsid wsp:val=&quot;00684BE3&quot;/&gt;&lt;wsp:rsid wsp:val=&quot;00684C17&quot;/&gt;&lt;wsp:rsid wsp:val=&quot;00686234&quot;/&gt;&lt;wsp:rsid wsp:val=&quot;00687F71&quot;/&gt;&lt;wsp:rsid wsp:val=&quot;0069367B&quot;/&gt;&lt;wsp:rsid wsp:val=&quot;0069377C&quot;/&gt;&lt;wsp:rsid wsp:val=&quot;00694D5C&quot;/&gt;&lt;wsp:rsid wsp:val=&quot;00697242&quot;/&gt;&lt;wsp:rsid wsp:val=&quot;006A1BC0&quot;/&gt;&lt;wsp:rsid wsp:val=&quot;006A4D8D&quot;/&gt;&lt;wsp:rsid wsp:val=&quot;006A6CAF&quot;/&gt;&lt;wsp:rsid wsp:val=&quot;006B030D&quot;/&gt;&lt;wsp:rsid wsp:val=&quot;006B0FEE&quot;/&gt;&lt;wsp:rsid wsp:val=&quot;006B51FF&quot;/&gt;&lt;wsp:rsid wsp:val=&quot;006B6C5D&quot;/&gt;&lt;wsp:rsid wsp:val=&quot;006C44C4&quot;/&gt;&lt;wsp:rsid wsp:val=&quot;006C589F&quot;/&gt;&lt;wsp:rsid wsp:val=&quot;006C64FC&quot;/&gt;&lt;wsp:rsid wsp:val=&quot;006C6CC7&quot;/&gt;&lt;wsp:rsid wsp:val=&quot;006C7221&quot;/&gt;&lt;wsp:rsid wsp:val=&quot;006D0ECB&quot;/&gt;&lt;wsp:rsid wsp:val=&quot;006D29CC&quot;/&gt;&lt;wsp:rsid wsp:val=&quot;006D394C&quot;/&gt;&lt;wsp:rsid wsp:val=&quot;006D5794&quot;/&gt;&lt;wsp:rsid wsp:val=&quot;006D5942&quot;/&gt;&lt;wsp:rsid wsp:val=&quot;006D763E&quot;/&gt;&lt;wsp:rsid wsp:val=&quot;006D78E8&quot;/&gt;&lt;wsp:rsid wsp:val=&quot;006E0736&quot;/&gt;&lt;wsp:rsid wsp:val=&quot;006E1798&quot;/&gt;&lt;wsp:rsid wsp:val=&quot;006E2122&quot;/&gt;&lt;wsp:rsid wsp:val=&quot;006E40F9&quot;/&gt;&lt;wsp:rsid wsp:val=&quot;006E4BCB&quot;/&gt;&lt;wsp:rsid wsp:val=&quot;006E57FE&quot;/&gt;&lt;wsp:rsid wsp:val=&quot;006E793A&quot;/&gt;&lt;wsp:rsid wsp:val=&quot;006F4191&quot;/&gt;&lt;wsp:rsid wsp:val=&quot;006F523C&quot;/&gt;&lt;wsp:rsid wsp:val=&quot;006F677A&quot;/&gt;&lt;wsp:rsid wsp:val=&quot;00700878&quot;/&gt;&lt;wsp:rsid wsp:val=&quot;00701A92&quot;/&gt;&lt;wsp:rsid wsp:val=&quot;00703315&quot;/&gt;&lt;wsp:rsid wsp:val=&quot;00704418&quot;/&gt;&lt;wsp:rsid wsp:val=&quot;00705DD0&quot;/&gt;&lt;wsp:rsid wsp:val=&quot;00711266&quot;/&gt;&lt;wsp:rsid wsp:val=&quot;0071659C&quot;/&gt;&lt;wsp:rsid wsp:val=&quot;00716F8F&quot;/&gt;&lt;wsp:rsid wsp:val=&quot;0072055A&quot;/&gt;&lt;wsp:rsid wsp:val=&quot;00721D58&quot;/&gt;&lt;wsp:rsid wsp:val=&quot;00727587&quot;/&gt;&lt;wsp:rsid wsp:val=&quot;007306E2&quot;/&gt;&lt;wsp:rsid wsp:val=&quot;007310E8&quot;/&gt;&lt;wsp:rsid wsp:val=&quot;00733210&quot;/&gt;&lt;wsp:rsid wsp:val=&quot;00734A9A&quot;/&gt;&lt;wsp:rsid wsp:val=&quot;00734FFE&quot;/&gt;&lt;wsp:rsid wsp:val=&quot;00736BE0&quot;/&gt;&lt;wsp:rsid wsp:val=&quot;007430E1&quot;/&gt;&lt;wsp:rsid wsp:val=&quot;00745209&quot;/&gt;&lt;wsp:rsid wsp:val=&quot;00745E86&quot;/&gt;&lt;wsp:rsid wsp:val=&quot;00747129&quot;/&gt;&lt;wsp:rsid wsp:val=&quot;007473E2&quot;/&gt;&lt;wsp:rsid wsp:val=&quot;00750A37&quot;/&gt;&lt;wsp:rsid wsp:val=&quot;007513E0&quot;/&gt;&lt;wsp:rsid wsp:val=&quot;0075198A&quot;/&gt;&lt;wsp:rsid wsp:val=&quot;00754841&quot;/&gt;&lt;wsp:rsid wsp:val=&quot;0075587A&quot;/&gt;&lt;wsp:rsid wsp:val=&quot;007578E5&quot;/&gt;&lt;wsp:rsid wsp:val=&quot;00762AC3&quot;/&gt;&lt;wsp:rsid wsp:val=&quot;00763AA3&quot;/&gt;&lt;wsp:rsid wsp:val=&quot;007654E6&quot;/&gt;&lt;wsp:rsid wsp:val=&quot;0076611F&quot;/&gt;&lt;wsp:rsid wsp:val=&quot;0076724F&quot;/&gt;&lt;wsp:rsid wsp:val=&quot;00771CC6&quot;/&gt;&lt;wsp:rsid wsp:val=&quot;00771D63&quot;/&gt;&lt;wsp:rsid wsp:val=&quot;007744A7&quot;/&gt;&lt;wsp:rsid wsp:val=&quot;007756FC&quot;/&gt;&lt;wsp:rsid wsp:val=&quot;0077594E&quot;/&gt;&lt;wsp:rsid wsp:val=&quot;007832BE&quot;/&gt;&lt;wsp:rsid wsp:val=&quot;0078402A&quot;/&gt;&lt;wsp:rsid wsp:val=&quot;00784E61&quot;/&gt;&lt;wsp:rsid wsp:val=&quot;00786DF1&quot;/&gt;&lt;wsp:rsid wsp:val=&quot;007875D6&quot;/&gt;&lt;wsp:rsid wsp:val=&quot;00790496&quot;/&gt;&lt;wsp:rsid wsp:val=&quot;0079396A&quot;/&gt;&lt;wsp:rsid wsp:val=&quot;00794774&quot;/&gt;&lt;wsp:rsid wsp:val=&quot;007A1697&quot;/&gt;&lt;wsp:rsid wsp:val=&quot;007A2CDC&quot;/&gt;&lt;wsp:rsid wsp:val=&quot;007A5059&quot;/&gt;&lt;wsp:rsid wsp:val=&quot;007A511B&quot;/&gt;&lt;wsp:rsid wsp:val=&quot;007A5A15&quot;/&gt;&lt;wsp:rsid wsp:val=&quot;007A6C19&quot;/&gt;&lt;wsp:rsid wsp:val=&quot;007A6E75&quot;/&gt;&lt;wsp:rsid wsp:val=&quot;007A75D7&quot;/&gt;&lt;wsp:rsid wsp:val=&quot;007B02A9&quot;/&gt;&lt;wsp:rsid wsp:val=&quot;007B086A&quot;/&gt;&lt;wsp:rsid wsp:val=&quot;007C00BA&quot;/&gt;&lt;wsp:rsid wsp:val=&quot;007C0F73&quot;/&gt;&lt;wsp:rsid wsp:val=&quot;007C143C&quot;/&gt;&lt;wsp:rsid wsp:val=&quot;007C2882&quot;/&gt;&lt;wsp:rsid wsp:val=&quot;007C2C8B&quot;/&gt;&lt;wsp:rsid wsp:val=&quot;007C2F42&quot;/&gt;&lt;wsp:rsid wsp:val=&quot;007C5272&quot;/&gt;&lt;wsp:rsid wsp:val=&quot;007C7BB4&quot;/&gt;&lt;wsp:rsid wsp:val=&quot;007D246E&quot;/&gt;&lt;wsp:rsid wsp:val=&quot;007D5DD3&quot;/&gt;&lt;wsp:rsid wsp:val=&quot;007E0767&quot;/&gt;&lt;wsp:rsid wsp:val=&quot;007E52B6&quot;/&gt;&lt;wsp:rsid wsp:val=&quot;007F331B&quot;/&gt;&lt;wsp:rsid wsp:val=&quot;007F42AF&quot;/&gt;&lt;wsp:rsid wsp:val=&quot;007F6250&quot;/&gt;&lt;wsp:rsid wsp:val=&quot;007F78A2&quot;/&gt;&lt;wsp:rsid wsp:val=&quot;007F7925&quot;/&gt;&lt;wsp:rsid wsp:val=&quot;00800422&quot;/&gt;&lt;wsp:rsid wsp:val=&quot;00802225&quot;/&gt;&lt;wsp:rsid wsp:val=&quot;00803F65&quot;/&gt;&lt;wsp:rsid wsp:val=&quot;00803FBE&quot;/&gt;&lt;wsp:rsid wsp:val=&quot;0080753A&quot;/&gt;&lt;wsp:rsid wsp:val=&quot;00813B57&quot;/&gt;&lt;wsp:rsid wsp:val=&quot;008171D0&quot;/&gt;&lt;wsp:rsid wsp:val=&quot;00821707&quot;/&gt;&lt;wsp:rsid wsp:val=&quot;00821F59&quot;/&gt;&lt;wsp:rsid wsp:val=&quot;00821FA4&quot;/&gt;&lt;wsp:rsid wsp:val=&quot;0082270E&quot;/&gt;&lt;wsp:rsid wsp:val=&quot;008234D8&quot;/&gt;&lt;wsp:rsid wsp:val=&quot;0084236C&quot;/&gt;&lt;wsp:rsid wsp:val=&quot;0084290F&quot;/&gt;&lt;wsp:rsid wsp:val=&quot;00843385&quot;/&gt;&lt;wsp:rsid wsp:val=&quot;00846723&quot;/&gt;&lt;wsp:rsid wsp:val=&quot;00847A5B&quot;/&gt;&lt;wsp:rsid wsp:val=&quot;00853895&quot;/&gt;&lt;wsp:rsid wsp:val=&quot;008550BA&quot;/&gt;&lt;wsp:rsid wsp:val=&quot;008639DF&quot;/&gt;&lt;wsp:rsid wsp:val=&quot;008709A3&quot;/&gt;&lt;wsp:rsid wsp:val=&quot;00874691&quot;/&gt;&lt;wsp:rsid wsp:val=&quot;00875E14&quot;/&gt;&lt;wsp:rsid wsp:val=&quot;00876334&quot;/&gt;&lt;wsp:rsid wsp:val=&quot;00881063&quot;/&gt;&lt;wsp:rsid wsp:val=&quot;00882866&quot;/&gt;&lt;wsp:rsid wsp:val=&quot;0088426E&quot;/&gt;&lt;wsp:rsid wsp:val=&quot;008857C2&quot;/&gt;&lt;wsp:rsid wsp:val=&quot;008877F3&quot;/&gt;&lt;wsp:rsid wsp:val=&quot;00891879&quot;/&gt;&lt;wsp:rsid wsp:val=&quot;008928B1&quot;/&gt;&lt;wsp:rsid wsp:val=&quot;0089445A&quot;/&gt;&lt;wsp:rsid wsp:val=&quot;008A5A81&quot;/&gt;&lt;wsp:rsid wsp:val=&quot;008B3464&quot;/&gt;&lt;wsp:rsid wsp:val=&quot;008B50C6&quot;/&gt;&lt;wsp:rsid wsp:val=&quot;008B5D12&quot;/&gt;&lt;wsp:rsid wsp:val=&quot;008C0DCD&quot;/&gt;&lt;wsp:rsid wsp:val=&quot;008C1ADA&quot;/&gt;&lt;wsp:rsid wsp:val=&quot;008C6EF9&quot;/&gt;&lt;wsp:rsid wsp:val=&quot;008C7096&quot;/&gt;&lt;wsp:rsid wsp:val=&quot;008D1C99&quot;/&gt;&lt;wsp:rsid wsp:val=&quot;008D584B&quot;/&gt;&lt;wsp:rsid wsp:val=&quot;008D6F96&quot;/&gt;&lt;wsp:rsid wsp:val=&quot;008E2F91&quot;/&gt;&lt;wsp:rsid wsp:val=&quot;008E3FE7&quot;/&gt;&lt;wsp:rsid wsp:val=&quot;008E4168&quot;/&gt;&lt;wsp:rsid wsp:val=&quot;008F26E9&quot;/&gt;&lt;wsp:rsid wsp:val=&quot;008F3F91&quot;/&gt;&lt;wsp:rsid wsp:val=&quot;008F4892&quot;/&gt;&lt;wsp:rsid wsp:val=&quot;008F7B63&quot;/&gt;&lt;wsp:rsid wsp:val=&quot;00900A53&quot;/&gt;&lt;wsp:rsid wsp:val=&quot;009016BD&quot;/&gt;&lt;wsp:rsid wsp:val=&quot;00902BD0&quot;/&gt;&lt;wsp:rsid wsp:val=&quot;00906713&quot;/&gt;&lt;wsp:rsid wsp:val=&quot;00911585&quot;/&gt;&lt;wsp:rsid wsp:val=&quot;009140BC&quot;/&gt;&lt;wsp:rsid wsp:val=&quot;009145DA&quot;/&gt;&lt;wsp:rsid wsp:val=&quot;00915375&quot;/&gt;&lt;wsp:rsid wsp:val=&quot;009172F9&quot;/&gt;&lt;wsp:rsid wsp:val=&quot;009179F0&quot;/&gt;&lt;wsp:rsid wsp:val=&quot;00917A05&quot;/&gt;&lt;wsp:rsid wsp:val=&quot;0092018F&quot;/&gt;&lt;wsp:rsid wsp:val=&quot;0092170E&quot;/&gt;&lt;wsp:rsid wsp:val=&quot;00921737&quot;/&gt;&lt;wsp:rsid wsp:val=&quot;0092190B&quot;/&gt;&lt;wsp:rsid wsp:val=&quot;00922FAA&quot;/&gt;&lt;wsp:rsid wsp:val=&quot;0092532E&quot;/&gt;&lt;wsp:rsid wsp:val=&quot;00925917&quot;/&gt;&lt;wsp:rsid wsp:val=&quot;00931A08&quot;/&gt;&lt;wsp:rsid wsp:val=&quot;00936327&quot;/&gt;&lt;wsp:rsid wsp:val=&quot;00943832&quot;/&gt;&lt;wsp:rsid wsp:val=&quot;00943F47&quot;/&gt;&lt;wsp:rsid wsp:val=&quot;00945474&quot;/&gt;&lt;wsp:rsid wsp:val=&quot;0094553E&quot;/&gt;&lt;wsp:rsid wsp:val=&quot;00952BD5&quot;/&gt;&lt;wsp:rsid wsp:val=&quot;009606C8&quot;/&gt;&lt;wsp:rsid wsp:val=&quot;009608F8&quot;/&gt;&lt;wsp:rsid wsp:val=&quot;009626F0&quot;/&gt;&lt;wsp:rsid wsp:val=&quot;00966847&quot;/&gt;&lt;wsp:rsid wsp:val=&quot;00966C62&quot;/&gt;&lt;wsp:rsid wsp:val=&quot;0097541E&quot;/&gt;&lt;wsp:rsid wsp:val=&quot;009801B8&quot;/&gt;&lt;wsp:rsid wsp:val=&quot;009812EE&quot;/&gt;&lt;wsp:rsid wsp:val=&quot;009813F6&quot;/&gt;&lt;wsp:rsid wsp:val=&quot;00982F55&quot;/&gt;&lt;wsp:rsid wsp:val=&quot;00983EF0&quot;/&gt;&lt;wsp:rsid wsp:val=&quot;00987461&quot;/&gt;&lt;wsp:rsid wsp:val=&quot;00997A83&quot;/&gt;&lt;wsp:rsid wsp:val=&quot;009A0F68&quot;/&gt;&lt;wsp:rsid wsp:val=&quot;009A291D&quot;/&gt;&lt;wsp:rsid wsp:val=&quot;009A48D3&quot;/&gt;&lt;wsp:rsid wsp:val=&quot;009A5D2D&quot;/&gt;&lt;wsp:rsid wsp:val=&quot;009A702F&quot;/&gt;&lt;wsp:rsid wsp:val=&quot;009A760F&quot;/&gt;&lt;wsp:rsid wsp:val=&quot;009B1DB5&quot;/&gt;&lt;wsp:rsid wsp:val=&quot;009B3805&quot;/&gt;&lt;wsp:rsid wsp:val=&quot;009B61F1&quot;/&gt;&lt;wsp:rsid wsp:val=&quot;009C129C&quot;/&gt;&lt;wsp:rsid wsp:val=&quot;009C2076&quot;/&gt;&lt;wsp:rsid wsp:val=&quot;009C4D33&quot;/&gt;&lt;wsp:rsid wsp:val=&quot;009C51B7&quot;/&gt;&lt;wsp:rsid wsp:val=&quot;009C6951&quot;/&gt;&lt;wsp:rsid wsp:val=&quot;009D1251&quot;/&gt;&lt;wsp:rsid wsp:val=&quot;009E0711&quot;/&gt;&lt;wsp:rsid wsp:val=&quot;009E7FFB&quot;/&gt;&lt;wsp:rsid wsp:val=&quot;009F081E&quot;/&gt;&lt;wsp:rsid wsp:val=&quot;009F169E&quot;/&gt;&lt;wsp:rsid wsp:val=&quot;009F1DED&quot;/&gt;&lt;wsp:rsid wsp:val=&quot;009F35EB&quot;/&gt;&lt;wsp:rsid wsp:val=&quot;009F451A&quot;/&gt;&lt;wsp:rsid wsp:val=&quot;009F61A4&quot;/&gt;&lt;wsp:rsid wsp:val=&quot;00A009EE&quot;/&gt;&lt;wsp:rsid wsp:val=&quot;00A01DC7&quot;/&gt;&lt;wsp:rsid wsp:val=&quot;00A13091&quot;/&gt;&lt;wsp:rsid wsp:val=&quot;00A134BF&quot;/&gt;&lt;wsp:rsid wsp:val=&quot;00A13629&quot;/&gt;&lt;wsp:rsid wsp:val=&quot;00A2199A&quot;/&gt;&lt;wsp:rsid wsp:val=&quot;00A22756&quot;/&gt;&lt;wsp:rsid wsp:val=&quot;00A228A0&quot;/&gt;&lt;wsp:rsid wsp:val=&quot;00A2483E&quot;/&gt;&lt;wsp:rsid wsp:val=&quot;00A25930&quot;/&gt;&lt;wsp:rsid wsp:val=&quot;00A2795F&quot;/&gt;&lt;wsp:rsid wsp:val=&quot;00A31470&quot;/&gt;&lt;wsp:rsid wsp:val=&quot;00A33546&quot;/&gt;&lt;wsp:rsid wsp:val=&quot;00A33ACB&quot;/&gt;&lt;wsp:rsid wsp:val=&quot;00A33DAA&quot;/&gt;&lt;wsp:rsid wsp:val=&quot;00A35CED&quot;/&gt;&lt;wsp:rsid wsp:val=&quot;00A421AB&quot;/&gt;&lt;wsp:rsid wsp:val=&quot;00A422D7&quot;/&gt;&lt;wsp:rsid wsp:val=&quot;00A43FEA&quot;/&gt;&lt;wsp:rsid wsp:val=&quot;00A45B4A&quot;/&gt;&lt;wsp:rsid wsp:val=&quot;00A51441&quot;/&gt;&lt;wsp:rsid wsp:val=&quot;00A51771&quot;/&gt;&lt;wsp:rsid wsp:val=&quot;00A52C50&quot;/&gt;&lt;wsp:rsid wsp:val=&quot;00A53A8A&quot;/&gt;&lt;wsp:rsid wsp:val=&quot;00A53ED1&quot;/&gt;&lt;wsp:rsid wsp:val=&quot;00A61EA7&quot;/&gt;&lt;wsp:rsid wsp:val=&quot;00A63461&quot;/&gt;&lt;wsp:rsid wsp:val=&quot;00A649B2&quot;/&gt;&lt;wsp:rsid wsp:val=&quot;00A66B30&quot;/&gt;&lt;wsp:rsid wsp:val=&quot;00A66B3A&quot;/&gt;&lt;wsp:rsid wsp:val=&quot;00A734FD&quot;/&gt;&lt;wsp:rsid wsp:val=&quot;00A74E23&quot;/&gt;&lt;wsp:rsid wsp:val=&quot;00A80F1F&quot;/&gt;&lt;wsp:rsid wsp:val=&quot;00A8705F&quot;/&gt;&lt;wsp:rsid wsp:val=&quot;00A90881&quot;/&gt;&lt;wsp:rsid wsp:val=&quot;00A91DF8&quot;/&gt;&lt;wsp:rsid wsp:val=&quot;00A93272&quot;/&gt;&lt;wsp:rsid wsp:val=&quot;00A96DCA&quot;/&gt;&lt;wsp:rsid wsp:val=&quot;00AA043B&quot;/&gt;&lt;wsp:rsid wsp:val=&quot;00AA2D09&quot;/&gt;&lt;wsp:rsid wsp:val=&quot;00AA54C9&quot;/&gt;&lt;wsp:rsid wsp:val=&quot;00AA701F&quot;/&gt;&lt;wsp:rsid wsp:val=&quot;00AA75A0&quot;/&gt;&lt;wsp:rsid wsp:val=&quot;00AB104F&quot;/&gt;&lt;wsp:rsid wsp:val=&quot;00AB1112&quot;/&gt;&lt;wsp:rsid wsp:val=&quot;00AB30E9&quot;/&gt;&lt;wsp:rsid wsp:val=&quot;00AB339E&quot;/&gt;&lt;wsp:rsid wsp:val=&quot;00AB3F44&quot;/&gt;&lt;wsp:rsid wsp:val=&quot;00AB616B&quot;/&gt;&lt;wsp:rsid wsp:val=&quot;00AC3098&quot;/&gt;&lt;wsp:rsid wsp:val=&quot;00AC44F5&quot;/&gt;&lt;wsp:rsid wsp:val=&quot;00AC6915&quot;/&gt;&lt;wsp:rsid wsp:val=&quot;00AC75F4&quot;/&gt;&lt;wsp:rsid wsp:val=&quot;00AD1BB2&quot;/&gt;&lt;wsp:rsid wsp:val=&quot;00AD1BFC&quot;/&gt;&lt;wsp:rsid wsp:val=&quot;00AD7D04&quot;/&gt;&lt;wsp:rsid wsp:val=&quot;00AE2110&quot;/&gt;&lt;wsp:rsid wsp:val=&quot;00AE24CD&quot;/&gt;&lt;wsp:rsid wsp:val=&quot;00AE2D18&quot;/&gt;&lt;wsp:rsid wsp:val=&quot;00AE4F43&quot;/&gt;&lt;wsp:rsid wsp:val=&quot;00AF3757&quot;/&gt;&lt;wsp:rsid wsp:val=&quot;00B00BF9&quot;/&gt;&lt;wsp:rsid wsp:val=&quot;00B0261B&quot;/&gt;&lt;wsp:rsid wsp:val=&quot;00B14C5B&quot;/&gt;&lt;wsp:rsid wsp:val=&quot;00B21CFC&quot;/&gt;&lt;wsp:rsid wsp:val=&quot;00B235B8&quot;/&gt;&lt;wsp:rsid wsp:val=&quot;00B23955&quot;/&gt;&lt;wsp:rsid wsp:val=&quot;00B23C7E&quot;/&gt;&lt;wsp:rsid wsp:val=&quot;00B25C88&quot;/&gt;&lt;wsp:rsid wsp:val=&quot;00B25D4D&quot;/&gt;&lt;wsp:rsid wsp:val=&quot;00B26ABB&quot;/&gt;&lt;wsp:rsid wsp:val=&quot;00B33223&quot;/&gt;&lt;wsp:rsid wsp:val=&quot;00B336AA&quot;/&gt;&lt;wsp:rsid wsp:val=&quot;00B33966&quot;/&gt;&lt;wsp:rsid wsp:val=&quot;00B33B73&quot;/&gt;&lt;wsp:rsid wsp:val=&quot;00B33F19&quot;/&gt;&lt;wsp:rsid wsp:val=&quot;00B362C5&quot;/&gt;&lt;wsp:rsid wsp:val=&quot;00B36ACB&quot;/&gt;&lt;wsp:rsid wsp:val=&quot;00B42BAC&quot;/&gt;&lt;wsp:rsid wsp:val=&quot;00B42D7F&quot;/&gt;&lt;wsp:rsid wsp:val=&quot;00B45F91&quot;/&gt;&lt;wsp:rsid wsp:val=&quot;00B4642C&quot;/&gt;&lt;wsp:rsid wsp:val=&quot;00B46645&quot;/&gt;&lt;wsp:rsid wsp:val=&quot;00B47188&quot;/&gt;&lt;wsp:rsid wsp:val=&quot;00B52659&quot;/&gt;&lt;wsp:rsid wsp:val=&quot;00B53F04&quot;/&gt;&lt;wsp:rsid wsp:val=&quot;00B54934&quot;/&gt;&lt;wsp:rsid wsp:val=&quot;00B55225&quot;/&gt;&lt;wsp:rsid wsp:val=&quot;00B5625F&quot;/&gt;&lt;wsp:rsid wsp:val=&quot;00B63E7C&quot;/&gt;&lt;wsp:rsid wsp:val=&quot;00B64C28&quot;/&gt;&lt;wsp:rsid wsp:val=&quot;00B72F9D&quot;/&gt;&lt;wsp:rsid wsp:val=&quot;00B73247&quot;/&gt;&lt;wsp:rsid wsp:val=&quot;00B758E4&quot;/&gt;&lt;wsp:rsid wsp:val=&quot;00B80D78&quot;/&gt;&lt;wsp:rsid wsp:val=&quot;00B83C2D&quot;/&gt;&lt;wsp:rsid wsp:val=&quot;00B85BE0&quot;/&gt;&lt;wsp:rsid wsp:val=&quot;00B862E4&quot;/&gt;&lt;wsp:rsid wsp:val=&quot;00B864AF&quot;/&gt;&lt;wsp:rsid wsp:val=&quot;00B86D6F&quot;/&gt;&lt;wsp:rsid wsp:val=&quot;00B963A2&quot;/&gt;&lt;wsp:rsid wsp:val=&quot;00B9798D&quot;/&gt;&lt;wsp:rsid wsp:val=&quot;00BA50C9&quot;/&gt;&lt;wsp:rsid wsp:val=&quot;00BA525B&quot;/&gt;&lt;wsp:rsid wsp:val=&quot;00BA6A0C&quot;/&gt;&lt;wsp:rsid wsp:val=&quot;00BA6BAF&quot;/&gt;&lt;wsp:rsid wsp:val=&quot;00BB1A1A&quot;/&gt;&lt;wsp:rsid wsp:val=&quot;00BB2956&quot;/&gt;&lt;wsp:rsid wsp:val=&quot;00BB3170&quot;/&gt;&lt;wsp:rsid wsp:val=&quot;00BB3397&quot;/&gt;&lt;wsp:rsid wsp:val=&quot;00BB526B&quot;/&gt;&lt;wsp:rsid wsp:val=&quot;00BB5B00&quot;/&gt;&lt;wsp:rsid wsp:val=&quot;00BB6566&quot;/&gt;&lt;wsp:rsid wsp:val=&quot;00BC38B9&quot;/&gt;&lt;wsp:rsid wsp:val=&quot;00BD30C9&quot;/&gt;&lt;wsp:rsid wsp:val=&quot;00BD78EC&quot;/&gt;&lt;wsp:rsid wsp:val=&quot;00BE1675&quot;/&gt;&lt;wsp:rsid wsp:val=&quot;00BE2B70&quot;/&gt;&lt;wsp:rsid wsp:val=&quot;00BF0D22&quot;/&gt;&lt;wsp:rsid wsp:val=&quot;00BF1F4E&quot;/&gt;&lt;wsp:rsid wsp:val=&quot;00BF55DE&quot;/&gt;&lt;wsp:rsid wsp:val=&quot;00BF65A4&quot;/&gt;&lt;wsp:rsid wsp:val=&quot;00C0056B&quot;/&gt;&lt;wsp:rsid wsp:val=&quot;00C048C6&quot;/&gt;&lt;wsp:rsid wsp:val=&quot;00C05139&quot;/&gt;&lt;wsp:rsid wsp:val=&quot;00C0525E&quot;/&gt;&lt;wsp:rsid wsp:val=&quot;00C10A4F&quot;/&gt;&lt;wsp:rsid wsp:val=&quot;00C10DB0&quot;/&gt;&lt;wsp:rsid wsp:val=&quot;00C1185D&quot;/&gt;&lt;wsp:rsid wsp:val=&quot;00C20424&quot;/&gt;&lt;wsp:rsid wsp:val=&quot;00C21576&quot;/&gt;&lt;wsp:rsid wsp:val=&quot;00C274D5&quot;/&gt;&lt;wsp:rsid wsp:val=&quot;00C3529F&quot;/&gt;&lt;wsp:rsid wsp:val=&quot;00C362CF&quot;/&gt;&lt;wsp:rsid wsp:val=&quot;00C368A6&quot;/&gt;&lt;wsp:rsid wsp:val=&quot;00C40B65&quot;/&gt;&lt;wsp:rsid wsp:val=&quot;00C4297A&quot;/&gt;&lt;wsp:rsid wsp:val=&quot;00C4360A&quot;/&gt;&lt;wsp:rsid wsp:val=&quot;00C445D9&quot;/&gt;&lt;wsp:rsid wsp:val=&quot;00C51DB6&quot;/&gt;&lt;wsp:rsid wsp:val=&quot;00C5748D&quot;/&gt;&lt;wsp:rsid wsp:val=&quot;00C617F2&quot;/&gt;&lt;wsp:rsid wsp:val=&quot;00C67080&quot;/&gt;&lt;wsp:rsid wsp:val=&quot;00C6784D&quot;/&gt;&lt;wsp:rsid wsp:val=&quot;00C67CF8&quot;/&gt;&lt;wsp:rsid wsp:val=&quot;00C758FE&quot;/&gt;&lt;wsp:rsid wsp:val=&quot;00C76AFA&quot;/&gt;&lt;wsp:rsid wsp:val=&quot;00C835D8&quot;/&gt;&lt;wsp:rsid wsp:val=&quot;00C97B55&quot;/&gt;&lt;wsp:rsid wsp:val=&quot;00CA0926&quot;/&gt;&lt;wsp:rsid wsp:val=&quot;00CA4711&quot;/&gt;&lt;wsp:rsid wsp:val=&quot;00CA507D&quot;/&gt;&lt;wsp:rsid wsp:val=&quot;00CA6707&quot;/&gt;&lt;wsp:rsid wsp:val=&quot;00CA7D2B&quot;/&gt;&lt;wsp:rsid wsp:val=&quot;00CB1115&quot;/&gt;&lt;wsp:rsid wsp:val=&quot;00CB3284&quot;/&gt;&lt;wsp:rsid wsp:val=&quot;00CB5D91&quot;/&gt;&lt;wsp:rsid wsp:val=&quot;00CB6372&quot;/&gt;&lt;wsp:rsid wsp:val=&quot;00CC0314&quot;/&gt;&lt;wsp:rsid wsp:val=&quot;00CC06E8&quot;/&gt;&lt;wsp:rsid wsp:val=&quot;00CC124F&quot;/&gt;&lt;wsp:rsid wsp:val=&quot;00CC42B4&quot;/&gt;&lt;wsp:rsid wsp:val=&quot;00CC6B12&quot;/&gt;&lt;wsp:rsid wsp:val=&quot;00CD2119&quot;/&gt;&lt;wsp:rsid wsp:val=&quot;00CD2177&quot;/&gt;&lt;wsp:rsid wsp:val=&quot;00CD4350&quot;/&gt;&lt;wsp:rsid wsp:val=&quot;00CD6020&quot;/&gt;&lt;wsp:rsid wsp:val=&quot;00CE36F4&quot;/&gt;&lt;wsp:rsid wsp:val=&quot;00CE4E07&quot;/&gt;&lt;wsp:rsid wsp:val=&quot;00CF078D&quot;/&gt;&lt;wsp:rsid wsp:val=&quot;00CF1DCA&quot;/&gt;&lt;wsp:rsid wsp:val=&quot;00CF65BA&quot;/&gt;&lt;wsp:rsid wsp:val=&quot;00D019AE&quot;/&gt;&lt;wsp:rsid wsp:val=&quot;00D059A8&quot;/&gt;&lt;wsp:rsid wsp:val=&quot;00D10D12&quot;/&gt;&lt;wsp:rsid wsp:val=&quot;00D1166E&quot;/&gt;&lt;wsp:rsid wsp:val=&quot;00D12265&quot;/&gt;&lt;wsp:rsid wsp:val=&quot;00D151BA&quot;/&gt;&lt;wsp:rsid wsp:val=&quot;00D15BD8&quot;/&gt;&lt;wsp:rsid wsp:val=&quot;00D166AD&quot;/&gt;&lt;wsp:rsid wsp:val=&quot;00D201FB&quot;/&gt;&lt;wsp:rsid wsp:val=&quot;00D20F5F&quot;/&gt;&lt;wsp:rsid wsp:val=&quot;00D2276D&quot;/&gt;&lt;wsp:rsid wsp:val=&quot;00D235A5&quot;/&gt;&lt;wsp:rsid wsp:val=&quot;00D23C21&quot;/&gt;&lt;wsp:rsid wsp:val=&quot;00D26E24&quot;/&gt;&lt;wsp:rsid wsp:val=&quot;00D302BF&quot;/&gt;&lt;wsp:rsid wsp:val=&quot;00D3259C&quot;/&gt;&lt;wsp:rsid wsp:val=&quot;00D36900&quot;/&gt;&lt;wsp:rsid wsp:val=&quot;00D373C6&quot;/&gt;&lt;wsp:rsid wsp:val=&quot;00D428C8&quot;/&gt;&lt;wsp:rsid wsp:val=&quot;00D50793&quot;/&gt;&lt;wsp:rsid wsp:val=&quot;00D50DC5&quot;/&gt;&lt;wsp:rsid wsp:val=&quot;00D516DC&quot;/&gt;&lt;wsp:rsid wsp:val=&quot;00D51859&quot;/&gt;&lt;wsp:rsid wsp:val=&quot;00D52970&quot;/&gt;&lt;wsp:rsid wsp:val=&quot;00D56CE8&quot;/&gt;&lt;wsp:rsid wsp:val=&quot;00D60E20&quot;/&gt;&lt;wsp:rsid wsp:val=&quot;00D61F3F&quot;/&gt;&lt;wsp:rsid wsp:val=&quot;00D627FD&quot;/&gt;&lt;wsp:rsid wsp:val=&quot;00D64B22&quot;/&gt;&lt;wsp:rsid wsp:val=&quot;00D66482&quot;/&gt;&lt;wsp:rsid wsp:val=&quot;00D712A8&quot;/&gt;&lt;wsp:rsid wsp:val=&quot;00D739B4&quot;/&gt;&lt;wsp:rsid wsp:val=&quot;00D74CE9&quot;/&gt;&lt;wsp:rsid wsp:val=&quot;00D75CAB&quot;/&gt;&lt;wsp:rsid wsp:val=&quot;00D76071&quot;/&gt;&lt;wsp:rsid wsp:val=&quot;00D76DB9&quot;/&gt;&lt;wsp:rsid wsp:val=&quot;00D8061D&quot;/&gt;&lt;wsp:rsid wsp:val=&quot;00D8209B&quot;/&gt;&lt;wsp:rsid wsp:val=&quot;00D82191&quot;/&gt;&lt;wsp:rsid wsp:val=&quot;00D853A1&quot;/&gt;&lt;wsp:rsid wsp:val=&quot;00D8705F&quot;/&gt;&lt;wsp:rsid wsp:val=&quot;00D92DD6&quot;/&gt;&lt;wsp:rsid wsp:val=&quot;00D93BCC&quot;/&gt;&lt;wsp:rsid wsp:val=&quot;00D97DC3&quot;/&gt;&lt;wsp:rsid wsp:val=&quot;00DA1AEC&quot;/&gt;&lt;wsp:rsid wsp:val=&quot;00DA298B&quot;/&gt;&lt;wsp:rsid wsp:val=&quot;00DA3CBD&quot;/&gt;&lt;wsp:rsid wsp:val=&quot;00DB0338&quot;/&gt;&lt;wsp:rsid wsp:val=&quot;00DB1195&quot;/&gt;&lt;wsp:rsid wsp:val=&quot;00DB19CE&quot;/&gt;&lt;wsp:rsid wsp:val=&quot;00DB26BF&quot;/&gt;&lt;wsp:rsid wsp:val=&quot;00DB7EED&quot;/&gt;&lt;wsp:rsid wsp:val=&quot;00DC1315&quot;/&gt;&lt;wsp:rsid wsp:val=&quot;00DC3DA9&quot;/&gt;&lt;wsp:rsid wsp:val=&quot;00DC5E14&quot;/&gt;&lt;wsp:rsid wsp:val=&quot;00DD0B7F&quot;/&gt;&lt;wsp:rsid wsp:val=&quot;00DD452A&quot;/&gt;&lt;wsp:rsid wsp:val=&quot;00DD729D&quot;/&gt;&lt;wsp:rsid wsp:val=&quot;00DE2DE3&quot;/&gt;&lt;wsp:rsid wsp:val=&quot;00DE42AC&quot;/&gt;&lt;wsp:rsid wsp:val=&quot;00DE67F9&quot;/&gt;&lt;wsp:rsid wsp:val=&quot;00DF0161&quot;/&gt;&lt;wsp:rsid wsp:val=&quot;00DF17F0&quot;/&gt;&lt;wsp:rsid wsp:val=&quot;00DF6B5C&quot;/&gt;&lt;wsp:rsid wsp:val=&quot;00DF73BF&quot;/&gt;&lt;wsp:rsid wsp:val=&quot;00DF7F54&quot;/&gt;&lt;wsp:rsid wsp:val=&quot;00E02D84&quot;/&gt;&lt;wsp:rsid wsp:val=&quot;00E12090&quot;/&gt;&lt;wsp:rsid wsp:val=&quot;00E1368B&quot;/&gt;&lt;wsp:rsid wsp:val=&quot;00E145BD&quot;/&gt;&lt;wsp:rsid wsp:val=&quot;00E14964&quot;/&gt;&lt;wsp:rsid wsp:val=&quot;00E14F00&quot;/&gt;&lt;wsp:rsid wsp:val=&quot;00E17E89&quot;/&gt;&lt;wsp:rsid wsp:val=&quot;00E17EBA&quot;/&gt;&lt;wsp:rsid wsp:val=&quot;00E2143B&quot;/&gt;&lt;wsp:rsid wsp:val=&quot;00E21CE0&quot;/&gt;&lt;wsp:rsid wsp:val=&quot;00E2528C&quot;/&gt;&lt;wsp:rsid wsp:val=&quot;00E265FC&quot;/&gt;&lt;wsp:rsid wsp:val=&quot;00E27157&quot;/&gt;&lt;wsp:rsid wsp:val=&quot;00E36D02&quot;/&gt;&lt;wsp:rsid wsp:val=&quot;00E42729&quot;/&gt;&lt;wsp:rsid wsp:val=&quot;00E429F6&quot;/&gt;&lt;wsp:rsid wsp:val=&quot;00E431DF&quot;/&gt;&lt;wsp:rsid wsp:val=&quot;00E45336&quot;/&gt;&lt;wsp:rsid wsp:val=&quot;00E4697B&quot;/&gt;&lt;wsp:rsid wsp:val=&quot;00E469CB&quot;/&gt;&lt;wsp:rsid wsp:val=&quot;00E505E5&quot;/&gt;&lt;wsp:rsid wsp:val=&quot;00E5168C&quot;/&gt;&lt;wsp:rsid wsp:val=&quot;00E53020&quot;/&gt;&lt;wsp:rsid wsp:val=&quot;00E5428B&quot;/&gt;&lt;wsp:rsid wsp:val=&quot;00E57F82&quot;/&gt;&lt;wsp:rsid wsp:val=&quot;00E601AC&quot;/&gt;&lt;wsp:rsid wsp:val=&quot;00E62666&quot;/&gt;&lt;wsp:rsid wsp:val=&quot;00E658DF&quot;/&gt;&lt;wsp:rsid wsp:val=&quot;00E65A28&quot;/&gt;&lt;wsp:rsid wsp:val=&quot;00E7233D&quot;/&gt;&lt;wsp:rsid wsp:val=&quot;00E732B9&quot;/&gt;&lt;wsp:rsid wsp:val=&quot;00E73E1E&quot;/&gt;&lt;wsp:rsid wsp:val=&quot;00E74C37&quot;/&gt;&lt;wsp:rsid wsp:val=&quot;00E76192&quot;/&gt;&lt;wsp:rsid wsp:val=&quot;00E7641D&quot;/&gt;&lt;wsp:rsid wsp:val=&quot;00E77B2A&quot;/&gt;&lt;wsp:rsid wsp:val=&quot;00E81485&quot;/&gt;&lt;wsp:rsid wsp:val=&quot;00E82258&quot;/&gt;&lt;wsp:rsid wsp:val=&quot;00E82F12&quot;/&gt;&lt;wsp:rsid wsp:val=&quot;00E82FAD&quot;/&gt;&lt;wsp:rsid wsp:val=&quot;00E83639&quot;/&gt;&lt;wsp:rsid wsp:val=&quot;00E86DDE&quot;/&gt;&lt;wsp:rsid wsp:val=&quot;00E90366&quot;/&gt;&lt;wsp:rsid wsp:val=&quot;00E90448&quot;/&gt;&lt;wsp:rsid wsp:val=&quot;00E96592&quot;/&gt;&lt;wsp:rsid wsp:val=&quot;00E97206&quot;/&gt;&lt;wsp:rsid wsp:val=&quot;00E97A81&quot;/&gt;&lt;wsp:rsid wsp:val=&quot;00E97CDF&quot;/&gt;&lt;wsp:rsid wsp:val=&quot;00EA14B4&quot;/&gt;&lt;wsp:rsid wsp:val=&quot;00EA3C1D&quot;/&gt;&lt;wsp:rsid wsp:val=&quot;00EA7232&quot;/&gt;&lt;wsp:rsid wsp:val=&quot;00EB2DF6&quot;/&gt;&lt;wsp:rsid wsp:val=&quot;00EB2F4B&quot;/&gt;&lt;wsp:rsid wsp:val=&quot;00EB33C4&quot;/&gt;&lt;wsp:rsid wsp:val=&quot;00EB59EB&quot;/&gt;&lt;wsp:rsid wsp:val=&quot;00EC2038&quot;/&gt;&lt;wsp:rsid wsp:val=&quot;00EC2C1D&quot;/&gt;&lt;wsp:rsid wsp:val=&quot;00EC3A9E&quot;/&gt;&lt;wsp:rsid wsp:val=&quot;00EC7438&quot;/&gt;&lt;wsp:rsid wsp:val=&quot;00ED192F&quot;/&gt;&lt;wsp:rsid wsp:val=&quot;00ED27DF&quot;/&gt;&lt;wsp:rsid wsp:val=&quot;00ED36AF&quot;/&gt;&lt;wsp:rsid wsp:val=&quot;00ED39CB&quot;/&gt;&lt;wsp:rsid wsp:val=&quot;00EE0561&quot;/&gt;&lt;wsp:rsid wsp:val=&quot;00EE1E02&quot;/&gt;&lt;wsp:rsid wsp:val=&quot;00EE51DD&quot;/&gt;&lt;wsp:rsid wsp:val=&quot;00EF2265&quot;/&gt;&lt;wsp:rsid wsp:val=&quot;00EF3414&quot;/&gt;&lt;wsp:rsid wsp:val=&quot;00EF4A2E&quot;/&gt;&lt;wsp:rsid wsp:val=&quot;00EF640B&quot;/&gt;&lt;wsp:rsid wsp:val=&quot;00EF7EC9&quot;/&gt;&lt;wsp:rsid wsp:val=&quot;00F05A6E&quot;/&gt;&lt;wsp:rsid wsp:val=&quot;00F1063C&quot;/&gt;&lt;wsp:rsid wsp:val=&quot;00F10A3E&quot;/&gt;&lt;wsp:rsid wsp:val=&quot;00F13FD6&quot;/&gt;&lt;wsp:rsid wsp:val=&quot;00F15653&quot;/&gt;&lt;wsp:rsid wsp:val=&quot;00F1632B&quot;/&gt;&lt;wsp:rsid wsp:val=&quot;00F221E6&quot;/&gt;&lt;wsp:rsid wsp:val=&quot;00F27E3E&quot;/&gt;&lt;wsp:rsid wsp:val=&quot;00F27EFD&quot;/&gt;&lt;wsp:rsid wsp:val=&quot;00F34501&quot;/&gt;&lt;wsp:rsid wsp:val=&quot;00F34520&quot;/&gt;&lt;wsp:rsid wsp:val=&quot;00F34821&quot;/&gt;&lt;wsp:rsid wsp:val=&quot;00F40D65&quot;/&gt;&lt;wsp:rsid wsp:val=&quot;00F42984&quot;/&gt;&lt;wsp:rsid wsp:val=&quot;00F4396A&quot;/&gt;&lt;wsp:rsid wsp:val=&quot;00F44B7B&quot;/&gt;&lt;wsp:rsid wsp:val=&quot;00F47866&quot;/&gt;&lt;wsp:rsid wsp:val=&quot;00F478BC&quot;/&gt;&lt;wsp:rsid wsp:val=&quot;00F47C2E&quot;/&gt;&lt;wsp:rsid wsp:val=&quot;00F50AC1&quot;/&gt;&lt;wsp:rsid wsp:val=&quot;00F520D8&quot;/&gt;&lt;wsp:rsid wsp:val=&quot;00F5737F&quot;/&gt;&lt;wsp:rsid wsp:val=&quot;00F70B55&quot;/&gt;&lt;wsp:rsid wsp:val=&quot;00F70D98&quot;/&gt;&lt;wsp:rsid wsp:val=&quot;00F72B0D&quot;/&gt;&lt;wsp:rsid wsp:val=&quot;00F73E6F&quot;/&gt;&lt;wsp:rsid wsp:val=&quot;00F742CC&quot;/&gt;&lt;wsp:rsid wsp:val=&quot;00F747D0&quot;/&gt;&lt;wsp:rsid wsp:val=&quot;00F76F09&quot;/&gt;&lt;wsp:rsid wsp:val=&quot;00F81FF3&quot;/&gt;&lt;wsp:rsid wsp:val=&quot;00F84C5A&quot;/&gt;&lt;wsp:rsid wsp:val=&quot;00F85331&quot;/&gt;&lt;wsp:rsid wsp:val=&quot;00F85745&quot;/&gt;&lt;wsp:rsid wsp:val=&quot;00F85FAD&quot;/&gt;&lt;wsp:rsid wsp:val=&quot;00F87993&quot;/&gt;&lt;wsp:rsid wsp:val=&quot;00FA2AED&quot;/&gt;&lt;wsp:rsid wsp:val=&quot;00FA3AEA&quot;/&gt;&lt;wsp:rsid wsp:val=&quot;00FA43F3&quot;/&gt;&lt;wsp:rsid wsp:val=&quot;00FA4D7C&quot;/&gt;&lt;wsp:rsid wsp:val=&quot;00FA5470&quot;/&gt;&lt;wsp:rsid wsp:val=&quot;00FA5F75&quot;/&gt;&lt;wsp:rsid wsp:val=&quot;00FA776A&quot;/&gt;&lt;wsp:rsid wsp:val=&quot;00FA7E7A&quot;/&gt;&lt;wsp:rsid wsp:val=&quot;00FA7FF0&quot;/&gt;&lt;wsp:rsid wsp:val=&quot;00FB0456&quot;/&gt;&lt;wsp:rsid wsp:val=&quot;00FB1DF2&quot;/&gt;&lt;wsp:rsid wsp:val=&quot;00FB4AC8&quot;/&gt;&lt;wsp:rsid wsp:val=&quot;00FB5070&quot;/&gt;&lt;wsp:rsid wsp:val=&quot;00FC0127&quot;/&gt;&lt;wsp:rsid wsp:val=&quot;00FC0C66&quot;/&gt;&lt;wsp:rsid wsp:val=&quot;00FC2027&quot;/&gt;&lt;wsp:rsid wsp:val=&quot;00FC437C&quot;/&gt;&lt;wsp:rsid wsp:val=&quot;00FC69BA&quot;/&gt;&lt;wsp:rsid wsp:val=&quot;00FC720B&quot;/&gt;&lt;wsp:rsid wsp:val=&quot;00FC7568&quot;/&gt;&lt;wsp:rsid wsp:val=&quot;00FD05EE&quot;/&gt;&lt;wsp:rsid wsp:val=&quot;00FD40AE&quot;/&gt;&lt;wsp:rsid wsp:val=&quot;00FD6EC3&quot;/&gt;&lt;wsp:rsid wsp:val=&quot;00FE3B0B&quot;/&gt;&lt;wsp:rsid wsp:val=&quot;00FE3CB8&quot;/&gt;&lt;wsp:rsid wsp:val=&quot;00FE5183&quot;/&gt;&lt;wsp:rsid wsp:val=&quot;00FE71D7&quot;/&gt;&lt;/wsp:rsids&gt;&lt;/w:docPr&gt;&lt;w:body&gt;&lt;w:p wsp:rsidR=&quot;00000000&quot; wsp:rsidRDefault=&quot;00380584&quot;&gt;&lt;m:oMathPara&gt;&lt;m:oMath&gt;&lt;m:r&gt;&lt;w:rPr&gt;&lt;w:rFonts w:ascii=&quot;Cambria Math&quot; w:h-ansi=&quot;Cambria Math&quot;/&gt;&lt;wx:font wx:val=&quot;Cambria Math&quot;/&gt;&lt;w:i/&gt;&lt;w:lang w:val=&quot;EN-US&quot;/&gt;&lt;/w:rPr&gt;&lt;m:t&gt;f=&lt;/m:t&gt;&lt;/m:r&gt;&lt;m:f&gt;&lt;m:fPr&gt;&lt;m:ctrlPr&gt;&lt;w:rPr&gt;&lt;w:rFonts w:ascii=&quot;Cambria Math&quot; w:h-ansi=&quot;Cambria Math&quot;/&gt;&lt;wx:font wx:val=&quot;Cambria Math&quot;/&gt;&lt;w:i/&gt;&lt;w:lang w:val=&quot;EN-US&quot;/&gt;&lt;/w:rPr&gt;&lt;/m:ctrlPr&gt;&lt;/m:fPr&gt;&lt;m:num&gt;&lt;m:r&gt;&lt;w:rPr&gt;&lt;w:rFonts w:ascii=&quot;Cambria Math&quot; w:h-ansi=&quot;Cambria Math&quot;/&gt;&lt;wx:font wx:val=&quot;Cambria Math&quot;/&gt;&lt;w:i/&gt;&lt;w:lang w:val=&quot;EN-US&quot;/&gt;&lt;/w:rPr&gt;&lt;m:t&gt;T&lt;/m:t&gt;&lt;/m:r&gt;&lt;m:sSub&gt;&lt;m:sSubPr&gt;&lt;m:ctrlPr&gt;&lt;w:rPr&gt;&lt;w:rFonts w:ascii=&quot;Cambria Math&quot; w:h-ansi=&quot;Cambria Math&quot;/&gt;&lt;wx:font wx:val=&quot;Cambria Math&quot;/&gt;&lt;w:i/&gt;&lt;w:lang w:val=&quot;EN-US&quot;/&gt;&lt;/w:rPr&gt;&lt;/m:ctrlPr&gt;&lt;/m:sSubPr&gt;&lt;m:e&gt;&lt;m:r&gt;&lt;m:rPr&gt;&lt;m:sty m:val=&quot;p&quot;/&gt;&lt;/m:rPr&gt;&lt;w:rPr&gt;&lt;w:rFonts w:ascii=&quot;Cambria Math&quot; w:h-ansi=&quot;Cambria Math&quot;/&gt;&lt;wx:font wx:val=&quot;Cambria Math&quot;/&gt;&lt;w:lang w:val=&quot;EN-US&quot;/&gt;&lt;/w:rPr&gt;&lt;w:softHyphen/&gt;&lt;/m:r&gt;&lt;/m:e&gt;&lt;m:sub&gt;&lt;m:r&gt;&lt;w:rPr&gt;&lt;w:rFonts w:ascii=&quot;Cambria Math&quot; w:h-ansi=&quot;Cambria Math&quot;/&gt;&lt;wx:font wx:val=&quot;Cambria Math&quot;/&gt;&lt;w:i/&gt;&lt;w:lang w:val=&quot;EN-US&quot;/&gt;&lt;/w:rPr&gt;&lt;m:t&gt;c&lt;/m:t&gt;&lt;/m:r&gt;&lt;/m:sub&gt;&lt;/m:sSub&gt;&lt;m:r&gt;&lt;w:rPr&gt;&lt;w:rFonts w:ascii=&quot;Cambria Math&quot; w:h-ansi=&quot;Cambria Math&quot;/&gt;&lt;wx:font wx:val=&quot;Cambria Math&quot;/&gt;&lt;w:i/&gt;&lt;w:lang w:val=&quot;EN-US&quot;/&gt;&lt;/w:rPr&gt;&lt;m:t&gt; âˆ™a&lt;/m:t&gt;&lt;/m:r&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E&lt;/m:t&gt;&lt;/m:r&gt;&lt;/m:e&gt;&lt;m:sub&gt;&lt;m:r&gt;&lt;w:rPr&gt;&lt;w:rFonts w:ascii=&quot;Cambria Math&quot; w:h-ansi=&quot;Cambria Math&quot;/&gt;&lt;wx:font wx:val=&quot;Cambria Math&quot;/&gt;&lt;w:i/&gt;&lt;w:lang w:val=&quot;EN-US&quot;/&gt;&lt;/w:rPr&gt;&lt;m:t&gt;s&lt;/m:t&gt;&lt;/m:r&gt;&lt;/m:sub&gt;&lt;/m:sSub&gt;&lt;/m:den&gt;&lt;/m:f&gt;&lt;m:r&gt;&lt;w:rPr&gt;&lt;w:rFonts w:ascii=&quot;Cambria Math&quot; w:h-ansi=&quot;Cambria Math&quot;/&gt;&lt;wx:font wx:val=&quot;Cambria Math&quot;/&gt;&lt;w:i/&gt;&lt;w:lang w:val=&quot;EN-US&quot;/&gt;&lt;/w:rPr&gt;&lt;m:t&gt; âˆ™&lt;/m:t&gt;&lt;/m:r&gt;&lt;m:d&gt;&lt;m:dPr&gt;&lt;m:ctrlPr&gt;&lt;w:rPr&gt;&lt;w:rFonts w:ascii=&quot;Cambria Math&quot; w:h-ansi=&quot;Cambria Math&quot;/&gt;&lt;wx:font wx:val=&quot;Cambria Math&quot;/&gt;&lt;w:i/&gt;&lt;w:lang w:val=&quot;EN-US&quot;/&gt;&lt;/w:rPr&gt;&lt;/m:ctrlPr&gt;&lt;/m:dPr&gt;&lt;m:e&gt;&lt;m:r&gt;&lt;w:rPr&gt;&lt;w:rFonts w:ascii=&quot;Cambria Math&quot; w:h-ansi=&quot;Cambria Math&quot;/&gt;&lt;wx:font wx:val=&quot;Cambria Math&quot;/&gt;&lt;w:i/&gt;&lt;w:lang w:val=&quot;EN-US&quot;/&gt;&lt;/w:rPr&gt;&lt;m:t&gt;1+&lt;/m:t&gt;&lt;/m:r&gt;&lt;m:f&gt;&lt;m:fPr&gt;&lt;m:ctrlPr&gt;&lt;w:rPr&gt;&lt;w:rFonts w:ascii=&quot;Cambria Math&quot; w:h-ansi=&quot;Cambria Math&quot;/&gt;&lt;wx:font wx:val=&quot;Cambria Math&quot;/&gt;&lt;w:i/&gt;&lt;w:lang w:val=&quot;EN-US&quot;/&gt;&lt;/w:rPr&gt;&lt;/m:ctrlPr&gt;&lt;/m:fPr&gt;&lt;m:num&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I&lt;/m:t&gt;&lt;/m:r&gt;&lt;/m:e&gt;&lt;m:sub&gt;&lt;m:r&gt;&lt;w:rPr&gt;&lt;w:rFonts w:ascii=&quot;Cambria Math&quot; w:h-ansi=&quot;Cambria Math&quot;/&gt;&lt;wx:font wx:val=&quot;Cambria Math&quot;/&gt;&lt;w:i/&gt;&lt;w:lang w:val=&quot;EN-US&quot;/&gt;&lt;/w:rPr&gt;&lt;m:t&gt;d&lt;/m:t&gt;&lt;/m:r&gt;&lt;/m:sub&gt;&lt;/m:sSub&gt;&lt;m:r&gt;&lt;w:rPr&gt;&lt;w:rFonts w:ascii=&quot;Cambria Math&quot; w:h-ans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T&lt;/m:t&gt;&lt;/m:r&gt;&lt;/m:e&gt;&lt;m:sub&gt;&lt;m:r&gt;&lt;w:rPr&gt;&lt;w:rFonts w:ascii=&quot;Cambria Math&quot; w:h-ansi=&quot;Cambria Math&quot;/&gt;&lt;wx:font wx:val=&quot;Cambria Math&quot;/&gt;&lt;w:i/&gt;&lt;w:lang w:val=&quot;EN-US&quot;/&gt;&lt;/w:rPr&gt;&lt;m:t&gt;c&lt;/m:t&gt;&lt;/m:r&gt;&lt;/m:sub&gt;&lt;/m:sSub&gt;&lt;m:r&gt;&lt;w:rPr&gt;&lt;w:rFonts w:ascii=&quot;Cambria Math&quot; w:h-ansi=&quot;Cambria Math&quot;/&gt;&lt;wx:font wx:val=&quot;Cambria Math&quot;/&gt;&lt;w:i/&gt;&lt;w:lang w:val=&quot;EN-US&quot;/&gt;&lt;/w:rPr&gt;&lt;m:t&gt; âˆ™a&lt;/m:t&gt;&lt;/m:r&gt;&lt;/m:num&gt;&lt;m:den&gt;&lt;m:r&gt;&lt;w:rPr&gt;&lt;w:rFonts w:ascii=&quot;Cambria Math&quot; w:h-ansi=&quot;Cambria Math&quot;/&gt;&lt;wx:font wx:val=&quot;Cambria Math&quot;/&gt;&lt;w:i/&gt;&lt;w:lang w:val=&quot;EN-US&quot;/&gt;&lt;/w:rPr&gt;&lt;m:t&gt;100&lt;/m:t&gt;&lt;/m:r&gt;&lt;/m:den&gt;&lt;/m:f&gt;&lt;/m:e&gt;&lt;/m:d&gt;&lt;m:r&gt;&lt;w:rPr&gt;&lt;w:rFonts w:ascii=&quot;Cambria Math&quot; w:h-ansi=&quot;Cambria Math&quot;/&gt;&lt;wx:font wx:val=&quot;Cambria Math&quot;/&gt;&lt;w:i/&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8D584B">
        <w:rPr>
          <w:lang w:val="en-US"/>
        </w:rPr>
        <w:instrText xml:space="preserve"> </w:instrText>
      </w:r>
      <w:r w:rsidRPr="008D584B">
        <w:rPr>
          <w:lang w:val="en-US"/>
        </w:rPr>
        <w:fldChar w:fldCharType="separate"/>
      </w:r>
      <w:r w:rsidRPr="008D584B">
        <w:pict>
          <v:shape id="_x0000_i1033" type="#_x0000_t75" style="width:152.25pt;height:27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1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853A1&quot;/&gt;&lt;wsp:rsid wsp:val=&quot;00000301&quot;/&gt;&lt;wsp:rsid wsp:val=&quot;00002C2F&quot;/&gt;&lt;wsp:rsid wsp:val=&quot;00004A32&quot;/&gt;&lt;wsp:rsid wsp:val=&quot;000155C6&quot;/&gt;&lt;wsp:rsid wsp:val=&quot;00020171&quot;/&gt;&lt;wsp:rsid wsp:val=&quot;00021919&quot;/&gt;&lt;wsp:rsid wsp:val=&quot;000228C1&quot;/&gt;&lt;wsp:rsid wsp:val=&quot;000265FE&quot;/&gt;&lt;wsp:rsid wsp:val=&quot;00026B17&quot;/&gt;&lt;wsp:rsid wsp:val=&quot;00031F57&quot;/&gt;&lt;wsp:rsid wsp:val=&quot;0003255C&quot;/&gt;&lt;wsp:rsid wsp:val=&quot;00032823&quot;/&gt;&lt;wsp:rsid wsp:val=&quot;00032DB2&quot;/&gt;&lt;wsp:rsid wsp:val=&quot;00034643&quot;/&gt;&lt;wsp:rsid wsp:val=&quot;000422BE&quot;/&gt;&lt;wsp:rsid wsp:val=&quot;000423E9&quot;/&gt;&lt;wsp:rsid wsp:val=&quot;0005079E&quot;/&gt;&lt;wsp:rsid wsp:val=&quot;00052141&quot;/&gt;&lt;wsp:rsid wsp:val=&quot;00052281&quot;/&gt;&lt;wsp:rsid wsp:val=&quot;00052943&quot;/&gt;&lt;wsp:rsid wsp:val=&quot;0005326D&quot;/&gt;&lt;wsp:rsid wsp:val=&quot;00053A09&quot;/&gt;&lt;wsp:rsid wsp:val=&quot;0005633C&quot;/&gt;&lt;wsp:rsid wsp:val=&quot;00056590&quot;/&gt;&lt;wsp:rsid wsp:val=&quot;0007082F&quot;/&gt;&lt;wsp:rsid wsp:val=&quot;000758DF&quot;/&gt;&lt;wsp:rsid wsp:val=&quot;00080C2A&quot;/&gt;&lt;wsp:rsid wsp:val=&quot;000821F5&quot;/&gt;&lt;wsp:rsid wsp:val=&quot;00083BDC&quot;/&gt;&lt;wsp:rsid wsp:val=&quot;0008428E&quot;/&gt;&lt;wsp:rsid wsp:val=&quot;00092595&quot;/&gt;&lt;wsp:rsid wsp:val=&quot;0009348A&quot;/&gt;&lt;wsp:rsid wsp:val=&quot;00096499&quot;/&gt;&lt;wsp:rsid wsp:val=&quot;000977F6&quot;/&gt;&lt;wsp:rsid wsp:val=&quot;00097F68&quot;/&gt;&lt;wsp:rsid wsp:val=&quot;000A0818&quot;/&gt;&lt;wsp:rsid wsp:val=&quot;000A5D99&quot;/&gt;&lt;wsp:rsid wsp:val=&quot;000A69BA&quot;/&gt;&lt;wsp:rsid wsp:val=&quot;000A7094&quot;/&gt;&lt;wsp:rsid wsp:val=&quot;000B38BD&quot;/&gt;&lt;wsp:rsid wsp:val=&quot;000B3E22&quot;/&gt;&lt;wsp:rsid wsp:val=&quot;000B3E81&quot;/&gt;&lt;wsp:rsid wsp:val=&quot;000C407D&quot;/&gt;&lt;wsp:rsid wsp:val=&quot;000C489F&quot;/&gt;&lt;wsp:rsid wsp:val=&quot;000C49CF&quot;/&gt;&lt;wsp:rsid wsp:val=&quot;000C4F39&quot;/&gt;&lt;wsp:rsid wsp:val=&quot;000C7666&quot;/&gt;&lt;wsp:rsid wsp:val=&quot;000D6EB0&quot;/&gt;&lt;wsp:rsid wsp:val=&quot;000E0AFB&quot;/&gt;&lt;wsp:rsid wsp:val=&quot;000E5451&quot;/&gt;&lt;wsp:rsid wsp:val=&quot;000E554A&quot;/&gt;&lt;wsp:rsid wsp:val=&quot;000E6DA4&quot;/&gt;&lt;wsp:rsid wsp:val=&quot;000F4D54&quot;/&gt;&lt;wsp:rsid wsp:val=&quot;00102925&quot;/&gt;&lt;wsp:rsid wsp:val=&quot;00105B48&quot;/&gt;&lt;wsp:rsid wsp:val=&quot;0010635F&quot;/&gt;&lt;wsp:rsid wsp:val=&quot;0011088A&quot;/&gt;&lt;wsp:rsid wsp:val=&quot;00116F79&quot;/&gt;&lt;wsp:rsid wsp:val=&quot;0011793E&quot;/&gt;&lt;wsp:rsid wsp:val=&quot;00121284&quot;/&gt;&lt;wsp:rsid wsp:val=&quot;00121BAF&quot;/&gt;&lt;wsp:rsid wsp:val=&quot;0012205D&quot;/&gt;&lt;wsp:rsid wsp:val=&quot;001243F1&quot;/&gt;&lt;wsp:rsid wsp:val=&quot;00125D92&quot;/&gt;&lt;wsp:rsid wsp:val=&quot;001320C2&quot;/&gt;&lt;wsp:rsid wsp:val=&quot;001320CA&quot;/&gt;&lt;wsp:rsid wsp:val=&quot;00141C38&quot;/&gt;&lt;wsp:rsid wsp:val=&quot;0014403F&quot;/&gt;&lt;wsp:rsid wsp:val=&quot;00146977&quot;/&gt;&lt;wsp:rsid wsp:val=&quot;00150B52&quot;/&gt;&lt;wsp:rsid wsp:val=&quot;00152B4A&quot;/&gt;&lt;wsp:rsid wsp:val=&quot;00154781&quot;/&gt;&lt;wsp:rsid wsp:val=&quot;00162990&quot;/&gt;&lt;wsp:rsid wsp:val=&quot;001629A6&quot;/&gt;&lt;wsp:rsid wsp:val=&quot;001677AC&quot;/&gt;&lt;wsp:rsid wsp:val=&quot;00167A17&quot;/&gt;&lt;wsp:rsid wsp:val=&quot;00173004&quot;/&gt;&lt;wsp:rsid wsp:val=&quot;00177AA2&quot;/&gt;&lt;wsp:rsid wsp:val=&quot;0018041F&quot;/&gt;&lt;wsp:rsid wsp:val=&quot;001805D7&quot;/&gt;&lt;wsp:rsid wsp:val=&quot;00187394&quot;/&gt;&lt;wsp:rsid wsp:val=&quot;001873D3&quot;/&gt;&lt;wsp:rsid wsp:val=&quot;00187991&quot;/&gt;&lt;wsp:rsid wsp:val=&quot;00193BED&quot;/&gt;&lt;wsp:rsid wsp:val=&quot;00194C7A&quot;/&gt;&lt;wsp:rsid wsp:val=&quot;00195ABC&quot;/&gt;&lt;wsp:rsid wsp:val=&quot;00195BC9&quot;/&gt;&lt;wsp:rsid wsp:val=&quot;00196448&quot;/&gt;&lt;wsp:rsid wsp:val=&quot;001A1968&quot;/&gt;&lt;wsp:rsid wsp:val=&quot;001A1D92&quot;/&gt;&lt;wsp:rsid wsp:val=&quot;001A22AC&quot;/&gt;&lt;wsp:rsid wsp:val=&quot;001A3CF0&quot;/&gt;&lt;wsp:rsid wsp:val=&quot;001A5A8F&quot;/&gt;&lt;wsp:rsid wsp:val=&quot;001B1365&quot;/&gt;&lt;wsp:rsid wsp:val=&quot;001B1481&quot;/&gt;&lt;wsp:rsid wsp:val=&quot;001B28A6&quot;/&gt;&lt;wsp:rsid wsp:val=&quot;001B31E4&quot;/&gt;&lt;wsp:rsid wsp:val=&quot;001B6A0C&quot;/&gt;&lt;wsp:rsid wsp:val=&quot;001C0D83&quot;/&gt;&lt;wsp:rsid wsp:val=&quot;001C14D5&quot;/&gt;&lt;wsp:rsid wsp:val=&quot;001C17F6&quot;/&gt;&lt;wsp:rsid wsp:val=&quot;001C3D1E&quot;/&gt;&lt;wsp:rsid wsp:val=&quot;001C6C75&quot;/&gt;&lt;wsp:rsid wsp:val=&quot;001C6CE2&quot;/&gt;&lt;wsp:rsid wsp:val=&quot;001D146F&quot;/&gt;&lt;wsp:rsid wsp:val=&quot;001D2605&quot;/&gt;&lt;wsp:rsid wsp:val=&quot;001D2C81&quot;/&gt;&lt;wsp:rsid wsp:val=&quot;001D339E&quot;/&gt;&lt;wsp:rsid wsp:val=&quot;001D74CF&quot;/&gt;&lt;wsp:rsid wsp:val=&quot;001E21C9&quot;/&gt;&lt;wsp:rsid wsp:val=&quot;001E21DF&quot;/&gt;&lt;wsp:rsid wsp:val=&quot;001E2E2E&quot;/&gt;&lt;wsp:rsid wsp:val=&quot;001E52FA&quot;/&gt;&lt;wsp:rsid wsp:val=&quot;001E5B81&quot;/&gt;&lt;wsp:rsid wsp:val=&quot;001E75BE&quot;/&gt;&lt;wsp:rsid wsp:val=&quot;001F12C4&quot;/&gt;&lt;wsp:rsid wsp:val=&quot;001F3FC7&quot;/&gt;&lt;wsp:rsid wsp:val=&quot;001F658C&quot;/&gt;&lt;wsp:rsid wsp:val=&quot;001F6D72&quot;/&gt;&lt;wsp:rsid wsp:val=&quot;002009DA&quot;/&gt;&lt;wsp:rsid wsp:val=&quot;00201758&quot;/&gt;&lt;wsp:rsid wsp:val=&quot;00201842&quot;/&gt;&lt;wsp:rsid wsp:val=&quot;00202CDD&quot;/&gt;&lt;wsp:rsid wsp:val=&quot;002055B2&quot;/&gt;&lt;wsp:rsid wsp:val=&quot;00210D79&quot;/&gt;&lt;wsp:rsid wsp:val=&quot;002126D0&quot;/&gt;&lt;wsp:rsid wsp:val=&quot;00214101&quot;/&gt;&lt;wsp:rsid wsp:val=&quot;00216CB9&quot;/&gt;&lt;wsp:rsid wsp:val=&quot;00220CCB&quot;/&gt;&lt;wsp:rsid wsp:val=&quot;00221471&quot;/&gt;&lt;wsp:rsid wsp:val=&quot;002214F1&quot;/&gt;&lt;wsp:rsid wsp:val=&quot;002269F9&quot;/&gt;&lt;wsp:rsid wsp:val=&quot;0023031D&quot;/&gt;&lt;wsp:rsid wsp:val=&quot;00230706&quot;/&gt;&lt;wsp:rsid wsp:val=&quot;002323A3&quot;/&gt;&lt;wsp:rsid wsp:val=&quot;002327A3&quot;/&gt;&lt;wsp:rsid wsp:val=&quot;00234003&quot;/&gt;&lt;wsp:rsid wsp:val=&quot;00236F9F&quot;/&gt;&lt;wsp:rsid wsp:val=&quot;002374FC&quot;/&gt;&lt;wsp:rsid wsp:val=&quot;0024012E&quot;/&gt;&lt;wsp:rsid wsp:val=&quot;00240898&quot;/&gt;&lt;wsp:rsid wsp:val=&quot;00241B86&quot;/&gt;&lt;wsp:rsid wsp:val=&quot;0024536D&quot;/&gt;&lt;wsp:rsid wsp:val=&quot;0024679F&quot;/&gt;&lt;wsp:rsid wsp:val=&quot;00251EDF&quot;/&gt;&lt;wsp:rsid wsp:val=&quot;00252EFD&quot;/&gt;&lt;wsp:rsid wsp:val=&quot;002560D5&quot;/&gt;&lt;wsp:rsid wsp:val=&quot;002561EC&quot;/&gt;&lt;wsp:rsid wsp:val=&quot;0026144A&quot;/&gt;&lt;wsp:rsid wsp:val=&quot;002615A4&quot;/&gt;&lt;wsp:rsid wsp:val=&quot;00262F25&quot;/&gt;&lt;wsp:rsid wsp:val=&quot;002653F9&quot;/&gt;&lt;wsp:rsid wsp:val=&quot;0026619B&quot;/&gt;&lt;wsp:rsid wsp:val=&quot;002671C0&quot;/&gt;&lt;wsp:rsid wsp:val=&quot;002679A2&quot;/&gt;&lt;wsp:rsid wsp:val=&quot;00267B8B&quot;/&gt;&lt;wsp:rsid wsp:val=&quot;002703CE&quot;/&gt;&lt;wsp:rsid wsp:val=&quot;00275484&quot;/&gt;&lt;wsp:rsid wsp:val=&quot;00276AD0&quot;/&gt;&lt;wsp:rsid wsp:val=&quot;00280C46&quot;/&gt;&lt;wsp:rsid wsp:val=&quot;0028594C&quot;/&gt;&lt;wsp:rsid wsp:val=&quot;002A4DA3&quot;/&gt;&lt;wsp:rsid wsp:val=&quot;002A53D8&quot;/&gt;&lt;wsp:rsid wsp:val=&quot;002B02DB&quot;/&gt;&lt;wsp:rsid wsp:val=&quot;002B23D3&quot;/&gt;&lt;wsp:rsid wsp:val=&quot;002B2E18&quot;/&gt;&lt;wsp:rsid wsp:val=&quot;002B491C&quot;/&gt;&lt;wsp:rsid wsp:val=&quot;002B4CF3&quot;/&gt;&lt;wsp:rsid wsp:val=&quot;002B4E22&quot;/&gt;&lt;wsp:rsid wsp:val=&quot;002B56EB&quot;/&gt;&lt;wsp:rsid wsp:val=&quot;002C239E&quot;/&gt;&lt;wsp:rsid wsp:val=&quot;002C28C2&quot;/&gt;&lt;wsp:rsid wsp:val=&quot;002C3B35&quot;/&gt;&lt;wsp:rsid wsp:val=&quot;002C41B6&quot;/&gt;&lt;wsp:rsid wsp:val=&quot;002C4E6E&quot;/&gt;&lt;wsp:rsid wsp:val=&quot;002C5CFF&quot;/&gt;&lt;wsp:rsid wsp:val=&quot;002D02D6&quot;/&gt;&lt;wsp:rsid wsp:val=&quot;002D1581&quot;/&gt;&lt;wsp:rsid wsp:val=&quot;002D1802&quot;/&gt;&lt;wsp:rsid wsp:val=&quot;002D3449&quot;/&gt;&lt;wsp:rsid wsp:val=&quot;002D5B28&quot;/&gt;&lt;wsp:rsid wsp:val=&quot;002D6325&quot;/&gt;&lt;wsp:rsid wsp:val=&quot;002D6522&quot;/&gt;&lt;wsp:rsid wsp:val=&quot;002E16A9&quot;/&gt;&lt;wsp:rsid wsp:val=&quot;002E6355&quot;/&gt;&lt;wsp:rsid wsp:val=&quot;002F5310&quot;/&gt;&lt;wsp:rsid wsp:val=&quot;002F6EBB&quot;/&gt;&lt;wsp:rsid wsp:val=&quot;003019DA&quot;/&gt;&lt;wsp:rsid wsp:val=&quot;00301A96&quot;/&gt;&lt;wsp:rsid wsp:val=&quot;00306A05&quot;/&gt;&lt;wsp:rsid wsp:val=&quot;003112F9&quot;/&gt;&lt;wsp:rsid wsp:val=&quot;00315D63&quot;/&gt;&lt;wsp:rsid wsp:val=&quot;0031603D&quot;/&gt;&lt;wsp:rsid wsp:val=&quot;00320675&quot;/&gt;&lt;wsp:rsid wsp:val=&quot;0032551B&quot;/&gt;&lt;wsp:rsid wsp:val=&quot;00325AAC&quot;/&gt;&lt;wsp:rsid wsp:val=&quot;00326120&quot;/&gt;&lt;wsp:rsid wsp:val=&quot;0032738F&quot;/&gt;&lt;wsp:rsid wsp:val=&quot;00327C71&quot;/&gt;&lt;wsp:rsid wsp:val=&quot;00327DCD&quot;/&gt;&lt;wsp:rsid wsp:val=&quot;003317EE&quot;/&gt;&lt;wsp:rsid wsp:val=&quot;00336BFC&quot;/&gt;&lt;wsp:rsid wsp:val=&quot;00344FB5&quot;/&gt;&lt;wsp:rsid wsp:val=&quot;00346CBD&quot;/&gt;&lt;wsp:rsid wsp:val=&quot;003515D8&quot;/&gt;&lt;wsp:rsid wsp:val=&quot;003531F5&quot;/&gt;&lt;wsp:rsid wsp:val=&quot;0035458F&quot;/&gt;&lt;wsp:rsid wsp:val=&quot;00356AB7&quot;/&gt;&lt;wsp:rsid wsp:val=&quot;00357CA9&quot;/&gt;&lt;wsp:rsid wsp:val=&quot;00362A3C&quot;/&gt;&lt;wsp:rsid wsp:val=&quot;00365046&quot;/&gt;&lt;wsp:rsid wsp:val=&quot;00366492&quot;/&gt;&lt;wsp:rsid wsp:val=&quot;00367558&quot;/&gt;&lt;wsp:rsid wsp:val=&quot;003725A1&quot;/&gt;&lt;wsp:rsid wsp:val=&quot;003754C0&quot;/&gt;&lt;wsp:rsid wsp:val=&quot;00375BA6&quot;/&gt;&lt;wsp:rsid wsp:val=&quot;003760CE&quot;/&gt;&lt;wsp:rsid wsp:val=&quot;00377400&quot;/&gt;&lt;wsp:rsid wsp:val=&quot;00380584&quot;/&gt;&lt;wsp:rsid wsp:val=&quot;00382FBE&quot;/&gt;&lt;wsp:rsid wsp:val=&quot;003833C2&quot;/&gt;&lt;wsp:rsid wsp:val=&quot;00386484&quot;/&gt;&lt;wsp:rsid wsp:val=&quot;003900AB&quot;/&gt;&lt;wsp:rsid wsp:val=&quot;00390224&quot;/&gt;&lt;wsp:rsid wsp:val=&quot;00392BF4&quot;/&gt;&lt;wsp:rsid wsp:val=&quot;00393480&quot;/&gt;&lt;wsp:rsid wsp:val=&quot;00394EA4&quot;/&gt;&lt;wsp:rsid wsp:val=&quot;00396F69&quot;/&gt;&lt;wsp:rsid wsp:val=&quot;003A268B&quot;/&gt;&lt;wsp:rsid wsp:val=&quot;003A3207&quot;/&gt;&lt;wsp:rsid wsp:val=&quot;003A4E86&quot;/&gt;&lt;wsp:rsid wsp:val=&quot;003B3E4F&quot;/&gt;&lt;wsp:rsid wsp:val=&quot;003B6A29&quot;/&gt;&lt;wsp:rsid wsp:val=&quot;003B7460&quot;/&gt;&lt;wsp:rsid wsp:val=&quot;003C17A2&quot;/&gt;&lt;wsp:rsid wsp:val=&quot;003C182F&quot;/&gt;&lt;wsp:rsid wsp:val=&quot;003C34F1&quot;/&gt;&lt;wsp:rsid wsp:val=&quot;003C4AEC&quot;/&gt;&lt;wsp:rsid wsp:val=&quot;003C4B5A&quot;/&gt;&lt;wsp:rsid wsp:val=&quot;003D1885&quot;/&gt;&lt;wsp:rsid wsp:val=&quot;003D254D&quot;/&gt;&lt;wsp:rsid wsp:val=&quot;003D3A9A&quot;/&gt;&lt;wsp:rsid wsp:val=&quot;003D59EA&quot;/&gt;&lt;wsp:rsid wsp:val=&quot;003D6C77&quot;/&gt;&lt;wsp:rsid wsp:val=&quot;003D75A6&quot;/&gt;&lt;wsp:rsid wsp:val=&quot;003E0984&quot;/&gt;&lt;wsp:rsid wsp:val=&quot;003E17D0&quot;/&gt;&lt;wsp:rsid wsp:val=&quot;003E1BB3&quot;/&gt;&lt;wsp:rsid wsp:val=&quot;003E236F&quot;/&gt;&lt;wsp:rsid wsp:val=&quot;003E5D96&quot;/&gt;&lt;wsp:rsid wsp:val=&quot;003E6A82&quot;/&gt;&lt;wsp:rsid wsp:val=&quot;003F07A1&quot;/&gt;&lt;wsp:rsid wsp:val=&quot;003F4466&quot;/&gt;&lt;wsp:rsid wsp:val=&quot;003F5802&quot;/&gt;&lt;wsp:rsid wsp:val=&quot;003F7895&quot;/&gt;&lt;wsp:rsid wsp:val=&quot;00400700&quot;/&gt;&lt;wsp:rsid wsp:val=&quot;00400A2E&quot;/&gt;&lt;wsp:rsid wsp:val=&quot;00405C9E&quot;/&gt;&lt;wsp:rsid wsp:val=&quot;00406DBB&quot;/&gt;&lt;wsp:rsid wsp:val=&quot;00407AA7&quot;/&gt;&lt;wsp:rsid wsp:val=&quot;00411F49&quot;/&gt;&lt;wsp:rsid wsp:val=&quot;00420CF4&quot;/&gt;&lt;wsp:rsid wsp:val=&quot;004214CB&quot;/&gt;&lt;wsp:rsid wsp:val=&quot;00421515&quot;/&gt;&lt;wsp:rsid wsp:val=&quot;00421F52&quot;/&gt;&lt;wsp:rsid wsp:val=&quot;004273C8&quot;/&gt;&lt;wsp:rsid wsp:val=&quot;004302AC&quot;/&gt;&lt;wsp:rsid wsp:val=&quot;004311E3&quot;/&gt;&lt;wsp:rsid wsp:val=&quot;00435FD3&quot;/&gt;&lt;wsp:rsid wsp:val=&quot;00436F54&quot;/&gt;&lt;wsp:rsid wsp:val=&quot;004447E8&quot;/&gt;&lt;wsp:rsid wsp:val=&quot;0044531C&quot;/&gt;&lt;wsp:rsid wsp:val=&quot;0044686E&quot;/&gt;&lt;wsp:rsid wsp:val=&quot;00446F7D&quot;/&gt;&lt;wsp:rsid wsp:val=&quot;00452A49&quot;/&gt;&lt;wsp:rsid wsp:val=&quot;00454B2F&quot;/&gt;&lt;wsp:rsid wsp:val=&quot;004579F4&quot;/&gt;&lt;wsp:rsid wsp:val=&quot;00463B09&quot;/&gt;&lt;wsp:rsid wsp:val=&quot;004763C7&quot;/&gt;&lt;wsp:rsid wsp:val=&quot;00483AEC&quot;/&gt;&lt;wsp:rsid wsp:val=&quot;00487C49&quot;/&gt;&lt;wsp:rsid wsp:val=&quot;00495826&quot;/&gt;&lt;wsp:rsid wsp:val=&quot;004A4448&quot;/&gt;&lt;wsp:rsid wsp:val=&quot;004A584C&quot;/&gt;&lt;wsp:rsid wsp:val=&quot;004A5C92&quot;/&gt;&lt;wsp:rsid wsp:val=&quot;004B1C33&quot;/&gt;&lt;wsp:rsid wsp:val=&quot;004B2974&quot;/&gt;&lt;wsp:rsid wsp:val=&quot;004B3314&quot;/&gt;&lt;wsp:rsid wsp:val=&quot;004B4255&quot;/&gt;&lt;wsp:rsid wsp:val=&quot;004B5E76&quot;/&gt;&lt;wsp:rsid wsp:val=&quot;004B613C&quot;/&gt;&lt;wsp:rsid wsp:val=&quot;004D0DAF&quot;/&gt;&lt;wsp:rsid wsp:val=&quot;004D3144&quot;/&gt;&lt;wsp:rsid wsp:val=&quot;004D4137&quot;/&gt;&lt;wsp:rsid wsp:val=&quot;004D4844&quot;/&gt;&lt;wsp:rsid wsp:val=&quot;004D6F4B&quot;/&gt;&lt;wsp:rsid wsp:val=&quot;004D7D36&quot;/&gt;&lt;wsp:rsid wsp:val=&quot;004E0760&quot;/&gt;&lt;wsp:rsid wsp:val=&quot;004E26DF&quot;/&gt;&lt;wsp:rsid wsp:val=&quot;004E382E&quot;/&gt;&lt;wsp:rsid wsp:val=&quot;004E5A3B&quot;/&gt;&lt;wsp:rsid wsp:val=&quot;004E7D63&quot;/&gt;&lt;wsp:rsid wsp:val=&quot;004F5B23&quot;/&gt;&lt;wsp:rsid wsp:val=&quot;004F6491&quot;/&gt;&lt;wsp:rsid wsp:val=&quot;004F6805&quot;/&gt;&lt;wsp:rsid wsp:val=&quot;004F75A4&quot;/&gt;&lt;wsp:rsid wsp:val=&quot;00503483&quot;/&gt;&lt;wsp:rsid wsp:val=&quot;0050674F&quot;/&gt;&lt;wsp:rsid wsp:val=&quot;0051068C&quot;/&gt;&lt;wsp:rsid wsp:val=&quot;00513D6B&quot;/&gt;&lt;wsp:rsid wsp:val=&quot;005162E5&quot;/&gt;&lt;wsp:rsid wsp:val=&quot;00521838&quot;/&gt;&lt;wsp:rsid wsp:val=&quot;00522A7B&quot;/&gt;&lt;wsp:rsid wsp:val=&quot;0053048A&quot;/&gt;&lt;wsp:rsid wsp:val=&quot;00534071&quot;/&gt;&lt;wsp:rsid wsp:val=&quot;00541220&quot;/&gt;&lt;wsp:rsid wsp:val=&quot;0054396B&quot;/&gt;&lt;wsp:rsid wsp:val=&quot;00543A56&quot;/&gt;&lt;wsp:rsid wsp:val=&quot;0054561C&quot;/&gt;&lt;wsp:rsid wsp:val=&quot;00545ABE&quot;/&gt;&lt;wsp:rsid wsp:val=&quot;00546502&quot;/&gt;&lt;wsp:rsid wsp:val=&quot;0054765B&quot;/&gt;&lt;wsp:rsid wsp:val=&quot;00547E1B&quot;/&gt;&lt;wsp:rsid wsp:val=&quot;00551463&quot;/&gt;&lt;wsp:rsid wsp:val=&quot;00553D42&quot;/&gt;&lt;wsp:rsid wsp:val=&quot;00555F78&quot;/&gt;&lt;wsp:rsid wsp:val=&quot;00556931&quot;/&gt;&lt;wsp:rsid wsp:val=&quot;0056066C&quot;/&gt;&lt;wsp:rsid wsp:val=&quot;005607E3&quot;/&gt;&lt;wsp:rsid wsp:val=&quot;00560E99&quot;/&gt;&lt;wsp:rsid wsp:val=&quot;0056183F&quot;/&gt;&lt;wsp:rsid wsp:val=&quot;005631BF&quot;/&gt;&lt;wsp:rsid wsp:val=&quot;005669FD&quot;/&gt;&lt;wsp:rsid wsp:val=&quot;0057272D&quot;/&gt;&lt;wsp:rsid wsp:val=&quot;00572BD7&quot;/&gt;&lt;wsp:rsid wsp:val=&quot;005740A1&quot;/&gt;&lt;wsp:rsid wsp:val=&quot;005741EF&quot;/&gt;&lt;wsp:rsid wsp:val=&quot;00576A85&quot;/&gt;&lt;wsp:rsid wsp:val=&quot;00577C1C&quot;/&gt;&lt;wsp:rsid wsp:val=&quot;00581D99&quot;/&gt;&lt;wsp:rsid wsp:val=&quot;00582727&quot;/&gt;&lt;wsp:rsid wsp:val=&quot;00586D51&quot;/&gt;&lt;wsp:rsid wsp:val=&quot;00591E7C&quot;/&gt;&lt;wsp:rsid wsp:val=&quot;005978F0&quot;/&gt;&lt;wsp:rsid wsp:val=&quot;005A1B5F&quot;/&gt;&lt;wsp:rsid wsp:val=&quot;005A2EA7&quot;/&gt;&lt;wsp:rsid wsp:val=&quot;005A626E&quot;/&gt;&lt;wsp:rsid wsp:val=&quot;005A7758&quot;/&gt;&lt;wsp:rsid wsp:val=&quot;005B21D7&quot;/&gt;&lt;wsp:rsid wsp:val=&quot;005C1D07&quot;/&gt;&lt;wsp:rsid wsp:val=&quot;005C1F7A&quot;/&gt;&lt;wsp:rsid wsp:val=&quot;005C2258&quot;/&gt;&lt;wsp:rsid wsp:val=&quot;005C311E&quot;/&gt;&lt;wsp:rsid wsp:val=&quot;005C4568&quot;/&gt;&lt;wsp:rsid wsp:val=&quot;005C462E&quot;/&gt;&lt;wsp:rsid wsp:val=&quot;005C4D2B&quot;/&gt;&lt;wsp:rsid wsp:val=&quot;005D32D9&quot;/&gt;&lt;wsp:rsid wsp:val=&quot;005D396B&quot;/&gt;&lt;wsp:rsid wsp:val=&quot;005D4270&quot;/&gt;&lt;wsp:rsid wsp:val=&quot;005D48F7&quot;/&gt;&lt;wsp:rsid wsp:val=&quot;005E113C&quot;/&gt;&lt;wsp:rsid wsp:val=&quot;005E1D63&quot;/&gt;&lt;wsp:rsid wsp:val=&quot;005E397A&quot;/&gt;&lt;wsp:rsid wsp:val=&quot;005F39BF&quot;/&gt;&lt;wsp:rsid wsp:val=&quot;005F4FAA&quot;/&gt;&lt;wsp:rsid wsp:val=&quot;005F6830&quot;/&gt;&lt;wsp:rsid wsp:val=&quot;00603245&quot;/&gt;&lt;wsp:rsid wsp:val=&quot;00604FA8&quot;/&gt;&lt;wsp:rsid wsp:val=&quot;00607537&quot;/&gt;&lt;wsp:rsid wsp:val=&quot;00613481&quot;/&gt;&lt;wsp:rsid wsp:val=&quot;00614BE2&quot;/&gt;&lt;wsp:rsid wsp:val=&quot;006154C6&quot;/&gt;&lt;wsp:rsid wsp:val=&quot;00615C9D&quot;/&gt;&lt;wsp:rsid wsp:val=&quot;00617E9F&quot;/&gt;&lt;wsp:rsid wsp:val=&quot;00620614&quot;/&gt;&lt;wsp:rsid wsp:val=&quot;00621484&quot;/&gt;&lt;wsp:rsid wsp:val=&quot;0062396D&quot;/&gt;&lt;wsp:rsid wsp:val=&quot;00625A8C&quot;/&gt;&lt;wsp:rsid wsp:val=&quot;00625E64&quot;/&gt;&lt;wsp:rsid wsp:val=&quot;00631330&quot;/&gt;&lt;wsp:rsid wsp:val=&quot;0063222E&quot;/&gt;&lt;wsp:rsid wsp:val=&quot;006328C7&quot;/&gt;&lt;wsp:rsid wsp:val=&quot;00632E0E&quot;/&gt;&lt;wsp:rsid wsp:val=&quot;00636A72&quot;/&gt;&lt;wsp:rsid wsp:val=&quot;00641CF0&quot;/&gt;&lt;wsp:rsid wsp:val=&quot;00643755&quot;/&gt;&lt;wsp:rsid wsp:val=&quot;00643EBB&quot;/&gt;&lt;wsp:rsid wsp:val=&quot;006448C3&quot;/&gt;&lt;wsp:rsid wsp:val=&quot;006452BD&quot;/&gt;&lt;wsp:rsid wsp:val=&quot;00646305&quot;/&gt;&lt;wsp:rsid wsp:val=&quot;00654C91&quot;/&gt;&lt;wsp:rsid wsp:val=&quot;006551E8&quot;/&gt;&lt;wsp:rsid wsp:val=&quot;00657F10&quot;/&gt;&lt;wsp:rsid wsp:val=&quot;006607EC&quot;/&gt;&lt;wsp:rsid wsp:val=&quot;0066238C&quot;/&gt;&lt;wsp:rsid wsp:val=&quot;00663110&quot;/&gt;&lt;wsp:rsid wsp:val=&quot;006664E2&quot;/&gt;&lt;wsp:rsid wsp:val=&quot;00670494&quot;/&gt;&lt;wsp:rsid wsp:val=&quot;00670D7F&quot;/&gt;&lt;wsp:rsid wsp:val=&quot;00671CE6&quot;/&gt;&lt;wsp:rsid wsp:val=&quot;006720AB&quot;/&gt;&lt;wsp:rsid wsp:val=&quot;006755F2&quot;/&gt;&lt;wsp:rsid wsp:val=&quot;0068428C&quot;/&gt;&lt;wsp:rsid wsp:val=&quot;00684BE3&quot;/&gt;&lt;wsp:rsid wsp:val=&quot;00684C17&quot;/&gt;&lt;wsp:rsid wsp:val=&quot;00686234&quot;/&gt;&lt;wsp:rsid wsp:val=&quot;00687F71&quot;/&gt;&lt;wsp:rsid wsp:val=&quot;0069367B&quot;/&gt;&lt;wsp:rsid wsp:val=&quot;0069377C&quot;/&gt;&lt;wsp:rsid wsp:val=&quot;00694D5C&quot;/&gt;&lt;wsp:rsid wsp:val=&quot;00697242&quot;/&gt;&lt;wsp:rsid wsp:val=&quot;006A1BC0&quot;/&gt;&lt;wsp:rsid wsp:val=&quot;006A4D8D&quot;/&gt;&lt;wsp:rsid wsp:val=&quot;006A6CAF&quot;/&gt;&lt;wsp:rsid wsp:val=&quot;006B030D&quot;/&gt;&lt;wsp:rsid wsp:val=&quot;006B0FEE&quot;/&gt;&lt;wsp:rsid wsp:val=&quot;006B51FF&quot;/&gt;&lt;wsp:rsid wsp:val=&quot;006B6C5D&quot;/&gt;&lt;wsp:rsid wsp:val=&quot;006C44C4&quot;/&gt;&lt;wsp:rsid wsp:val=&quot;006C589F&quot;/&gt;&lt;wsp:rsid wsp:val=&quot;006C64FC&quot;/&gt;&lt;wsp:rsid wsp:val=&quot;006C6CC7&quot;/&gt;&lt;wsp:rsid wsp:val=&quot;006C7221&quot;/&gt;&lt;wsp:rsid wsp:val=&quot;006D0ECB&quot;/&gt;&lt;wsp:rsid wsp:val=&quot;006D29CC&quot;/&gt;&lt;wsp:rsid wsp:val=&quot;006D394C&quot;/&gt;&lt;wsp:rsid wsp:val=&quot;006D5794&quot;/&gt;&lt;wsp:rsid wsp:val=&quot;006D5942&quot;/&gt;&lt;wsp:rsid wsp:val=&quot;006D763E&quot;/&gt;&lt;wsp:rsid wsp:val=&quot;006D78E8&quot;/&gt;&lt;wsp:rsid wsp:val=&quot;006E0736&quot;/&gt;&lt;wsp:rsid wsp:val=&quot;006E1798&quot;/&gt;&lt;wsp:rsid wsp:val=&quot;006E2122&quot;/&gt;&lt;wsp:rsid wsp:val=&quot;006E40F9&quot;/&gt;&lt;wsp:rsid wsp:val=&quot;006E4BCB&quot;/&gt;&lt;wsp:rsid wsp:val=&quot;006E57FE&quot;/&gt;&lt;wsp:rsid wsp:val=&quot;006E793A&quot;/&gt;&lt;wsp:rsid wsp:val=&quot;006F4191&quot;/&gt;&lt;wsp:rsid wsp:val=&quot;006F523C&quot;/&gt;&lt;wsp:rsid wsp:val=&quot;006F677A&quot;/&gt;&lt;wsp:rsid wsp:val=&quot;00700878&quot;/&gt;&lt;wsp:rsid wsp:val=&quot;00701A92&quot;/&gt;&lt;wsp:rsid wsp:val=&quot;00703315&quot;/&gt;&lt;wsp:rsid wsp:val=&quot;00704418&quot;/&gt;&lt;wsp:rsid wsp:val=&quot;00705DD0&quot;/&gt;&lt;wsp:rsid wsp:val=&quot;00711266&quot;/&gt;&lt;wsp:rsid wsp:val=&quot;0071659C&quot;/&gt;&lt;wsp:rsid wsp:val=&quot;00716F8F&quot;/&gt;&lt;wsp:rsid wsp:val=&quot;0072055A&quot;/&gt;&lt;wsp:rsid wsp:val=&quot;00721D58&quot;/&gt;&lt;wsp:rsid wsp:val=&quot;00727587&quot;/&gt;&lt;wsp:rsid wsp:val=&quot;007306E2&quot;/&gt;&lt;wsp:rsid wsp:val=&quot;007310E8&quot;/&gt;&lt;wsp:rsid wsp:val=&quot;00733210&quot;/&gt;&lt;wsp:rsid wsp:val=&quot;00734A9A&quot;/&gt;&lt;wsp:rsid wsp:val=&quot;00734FFE&quot;/&gt;&lt;wsp:rsid wsp:val=&quot;00736BE0&quot;/&gt;&lt;wsp:rsid wsp:val=&quot;007430E1&quot;/&gt;&lt;wsp:rsid wsp:val=&quot;00745209&quot;/&gt;&lt;wsp:rsid wsp:val=&quot;00745E86&quot;/&gt;&lt;wsp:rsid wsp:val=&quot;00747129&quot;/&gt;&lt;wsp:rsid wsp:val=&quot;007473E2&quot;/&gt;&lt;wsp:rsid wsp:val=&quot;00750A37&quot;/&gt;&lt;wsp:rsid wsp:val=&quot;007513E0&quot;/&gt;&lt;wsp:rsid wsp:val=&quot;0075198A&quot;/&gt;&lt;wsp:rsid wsp:val=&quot;00754841&quot;/&gt;&lt;wsp:rsid wsp:val=&quot;0075587A&quot;/&gt;&lt;wsp:rsid wsp:val=&quot;007578E5&quot;/&gt;&lt;wsp:rsid wsp:val=&quot;00762AC3&quot;/&gt;&lt;wsp:rsid wsp:val=&quot;00763AA3&quot;/&gt;&lt;wsp:rsid wsp:val=&quot;007654E6&quot;/&gt;&lt;wsp:rsid wsp:val=&quot;0076611F&quot;/&gt;&lt;wsp:rsid wsp:val=&quot;0076724F&quot;/&gt;&lt;wsp:rsid wsp:val=&quot;00771CC6&quot;/&gt;&lt;wsp:rsid wsp:val=&quot;00771D63&quot;/&gt;&lt;wsp:rsid wsp:val=&quot;007744A7&quot;/&gt;&lt;wsp:rsid wsp:val=&quot;007756FC&quot;/&gt;&lt;wsp:rsid wsp:val=&quot;0077594E&quot;/&gt;&lt;wsp:rsid wsp:val=&quot;007832BE&quot;/&gt;&lt;wsp:rsid wsp:val=&quot;0078402A&quot;/&gt;&lt;wsp:rsid wsp:val=&quot;00784E61&quot;/&gt;&lt;wsp:rsid wsp:val=&quot;00786DF1&quot;/&gt;&lt;wsp:rsid wsp:val=&quot;007875D6&quot;/&gt;&lt;wsp:rsid wsp:val=&quot;00790496&quot;/&gt;&lt;wsp:rsid wsp:val=&quot;0079396A&quot;/&gt;&lt;wsp:rsid wsp:val=&quot;00794774&quot;/&gt;&lt;wsp:rsid wsp:val=&quot;007A1697&quot;/&gt;&lt;wsp:rsid wsp:val=&quot;007A2CDC&quot;/&gt;&lt;wsp:rsid wsp:val=&quot;007A5059&quot;/&gt;&lt;wsp:rsid wsp:val=&quot;007A511B&quot;/&gt;&lt;wsp:rsid wsp:val=&quot;007A5A15&quot;/&gt;&lt;wsp:rsid wsp:val=&quot;007A6C19&quot;/&gt;&lt;wsp:rsid wsp:val=&quot;007A6E75&quot;/&gt;&lt;wsp:rsid wsp:val=&quot;007A75D7&quot;/&gt;&lt;wsp:rsid wsp:val=&quot;007B02A9&quot;/&gt;&lt;wsp:rsid wsp:val=&quot;007B086A&quot;/&gt;&lt;wsp:rsid wsp:val=&quot;007C00BA&quot;/&gt;&lt;wsp:rsid wsp:val=&quot;007C0F73&quot;/&gt;&lt;wsp:rsid wsp:val=&quot;007C143C&quot;/&gt;&lt;wsp:rsid wsp:val=&quot;007C2882&quot;/&gt;&lt;wsp:rsid wsp:val=&quot;007C2C8B&quot;/&gt;&lt;wsp:rsid wsp:val=&quot;007C2F42&quot;/&gt;&lt;wsp:rsid wsp:val=&quot;007C5272&quot;/&gt;&lt;wsp:rsid wsp:val=&quot;007C7BB4&quot;/&gt;&lt;wsp:rsid wsp:val=&quot;007D246E&quot;/&gt;&lt;wsp:rsid wsp:val=&quot;007D5DD3&quot;/&gt;&lt;wsp:rsid wsp:val=&quot;007E0767&quot;/&gt;&lt;wsp:rsid wsp:val=&quot;007E52B6&quot;/&gt;&lt;wsp:rsid wsp:val=&quot;007F331B&quot;/&gt;&lt;wsp:rsid wsp:val=&quot;007F42AF&quot;/&gt;&lt;wsp:rsid wsp:val=&quot;007F6250&quot;/&gt;&lt;wsp:rsid wsp:val=&quot;007F78A2&quot;/&gt;&lt;wsp:rsid wsp:val=&quot;007F7925&quot;/&gt;&lt;wsp:rsid wsp:val=&quot;00800422&quot;/&gt;&lt;wsp:rsid wsp:val=&quot;00802225&quot;/&gt;&lt;wsp:rsid wsp:val=&quot;00803F65&quot;/&gt;&lt;wsp:rsid wsp:val=&quot;00803FBE&quot;/&gt;&lt;wsp:rsid wsp:val=&quot;0080753A&quot;/&gt;&lt;wsp:rsid wsp:val=&quot;00813B57&quot;/&gt;&lt;wsp:rsid wsp:val=&quot;008171D0&quot;/&gt;&lt;wsp:rsid wsp:val=&quot;00821707&quot;/&gt;&lt;wsp:rsid wsp:val=&quot;00821F59&quot;/&gt;&lt;wsp:rsid wsp:val=&quot;00821FA4&quot;/&gt;&lt;wsp:rsid wsp:val=&quot;0082270E&quot;/&gt;&lt;wsp:rsid wsp:val=&quot;008234D8&quot;/&gt;&lt;wsp:rsid wsp:val=&quot;0084236C&quot;/&gt;&lt;wsp:rsid wsp:val=&quot;0084290F&quot;/&gt;&lt;wsp:rsid wsp:val=&quot;00843385&quot;/&gt;&lt;wsp:rsid wsp:val=&quot;00846723&quot;/&gt;&lt;wsp:rsid wsp:val=&quot;00847A5B&quot;/&gt;&lt;wsp:rsid wsp:val=&quot;00853895&quot;/&gt;&lt;wsp:rsid wsp:val=&quot;008550BA&quot;/&gt;&lt;wsp:rsid wsp:val=&quot;008639DF&quot;/&gt;&lt;wsp:rsid wsp:val=&quot;008709A3&quot;/&gt;&lt;wsp:rsid wsp:val=&quot;00874691&quot;/&gt;&lt;wsp:rsid wsp:val=&quot;00875E14&quot;/&gt;&lt;wsp:rsid wsp:val=&quot;00876334&quot;/&gt;&lt;wsp:rsid wsp:val=&quot;00881063&quot;/&gt;&lt;wsp:rsid wsp:val=&quot;00882866&quot;/&gt;&lt;wsp:rsid wsp:val=&quot;0088426E&quot;/&gt;&lt;wsp:rsid wsp:val=&quot;008857C2&quot;/&gt;&lt;wsp:rsid wsp:val=&quot;008877F3&quot;/&gt;&lt;wsp:rsid wsp:val=&quot;00891879&quot;/&gt;&lt;wsp:rsid wsp:val=&quot;008928B1&quot;/&gt;&lt;wsp:rsid wsp:val=&quot;0089445A&quot;/&gt;&lt;wsp:rsid wsp:val=&quot;008A5A81&quot;/&gt;&lt;wsp:rsid wsp:val=&quot;008B3464&quot;/&gt;&lt;wsp:rsid wsp:val=&quot;008B50C6&quot;/&gt;&lt;wsp:rsid wsp:val=&quot;008B5D12&quot;/&gt;&lt;wsp:rsid wsp:val=&quot;008C0DCD&quot;/&gt;&lt;wsp:rsid wsp:val=&quot;008C1ADA&quot;/&gt;&lt;wsp:rsid wsp:val=&quot;008C6EF9&quot;/&gt;&lt;wsp:rsid wsp:val=&quot;008C7096&quot;/&gt;&lt;wsp:rsid wsp:val=&quot;008D1C99&quot;/&gt;&lt;wsp:rsid wsp:val=&quot;008D584B&quot;/&gt;&lt;wsp:rsid wsp:val=&quot;008D6F96&quot;/&gt;&lt;wsp:rsid wsp:val=&quot;008E2F91&quot;/&gt;&lt;wsp:rsid wsp:val=&quot;008E3FE7&quot;/&gt;&lt;wsp:rsid wsp:val=&quot;008E4168&quot;/&gt;&lt;wsp:rsid wsp:val=&quot;008F26E9&quot;/&gt;&lt;wsp:rsid wsp:val=&quot;008F3F91&quot;/&gt;&lt;wsp:rsid wsp:val=&quot;008F4892&quot;/&gt;&lt;wsp:rsid wsp:val=&quot;008F7B63&quot;/&gt;&lt;wsp:rsid wsp:val=&quot;00900A53&quot;/&gt;&lt;wsp:rsid wsp:val=&quot;009016BD&quot;/&gt;&lt;wsp:rsid wsp:val=&quot;00902BD0&quot;/&gt;&lt;wsp:rsid wsp:val=&quot;00906713&quot;/&gt;&lt;wsp:rsid wsp:val=&quot;00911585&quot;/&gt;&lt;wsp:rsid wsp:val=&quot;009140BC&quot;/&gt;&lt;wsp:rsid wsp:val=&quot;009145DA&quot;/&gt;&lt;wsp:rsid wsp:val=&quot;00915375&quot;/&gt;&lt;wsp:rsid wsp:val=&quot;009172F9&quot;/&gt;&lt;wsp:rsid wsp:val=&quot;009179F0&quot;/&gt;&lt;wsp:rsid wsp:val=&quot;00917A05&quot;/&gt;&lt;wsp:rsid wsp:val=&quot;0092018F&quot;/&gt;&lt;wsp:rsid wsp:val=&quot;0092170E&quot;/&gt;&lt;wsp:rsid wsp:val=&quot;00921737&quot;/&gt;&lt;wsp:rsid wsp:val=&quot;0092190B&quot;/&gt;&lt;wsp:rsid wsp:val=&quot;00922FAA&quot;/&gt;&lt;wsp:rsid wsp:val=&quot;0092532E&quot;/&gt;&lt;wsp:rsid wsp:val=&quot;00925917&quot;/&gt;&lt;wsp:rsid wsp:val=&quot;00931A08&quot;/&gt;&lt;wsp:rsid wsp:val=&quot;00936327&quot;/&gt;&lt;wsp:rsid wsp:val=&quot;00943832&quot;/&gt;&lt;wsp:rsid wsp:val=&quot;00943F47&quot;/&gt;&lt;wsp:rsid wsp:val=&quot;00945474&quot;/&gt;&lt;wsp:rsid wsp:val=&quot;0094553E&quot;/&gt;&lt;wsp:rsid wsp:val=&quot;00952BD5&quot;/&gt;&lt;wsp:rsid wsp:val=&quot;009606C8&quot;/&gt;&lt;wsp:rsid wsp:val=&quot;009608F8&quot;/&gt;&lt;wsp:rsid wsp:val=&quot;009626F0&quot;/&gt;&lt;wsp:rsid wsp:val=&quot;00966847&quot;/&gt;&lt;wsp:rsid wsp:val=&quot;00966C62&quot;/&gt;&lt;wsp:rsid wsp:val=&quot;0097541E&quot;/&gt;&lt;wsp:rsid wsp:val=&quot;009801B8&quot;/&gt;&lt;wsp:rsid wsp:val=&quot;009812EE&quot;/&gt;&lt;wsp:rsid wsp:val=&quot;009813F6&quot;/&gt;&lt;wsp:rsid wsp:val=&quot;00982F55&quot;/&gt;&lt;wsp:rsid wsp:val=&quot;00983EF0&quot;/&gt;&lt;wsp:rsid wsp:val=&quot;00987461&quot;/&gt;&lt;wsp:rsid wsp:val=&quot;00997A83&quot;/&gt;&lt;wsp:rsid wsp:val=&quot;009A0F68&quot;/&gt;&lt;wsp:rsid wsp:val=&quot;009A291D&quot;/&gt;&lt;wsp:rsid wsp:val=&quot;009A48D3&quot;/&gt;&lt;wsp:rsid wsp:val=&quot;009A5D2D&quot;/&gt;&lt;wsp:rsid wsp:val=&quot;009A702F&quot;/&gt;&lt;wsp:rsid wsp:val=&quot;009A760F&quot;/&gt;&lt;wsp:rsid wsp:val=&quot;009B1DB5&quot;/&gt;&lt;wsp:rsid wsp:val=&quot;009B3805&quot;/&gt;&lt;wsp:rsid wsp:val=&quot;009B61F1&quot;/&gt;&lt;wsp:rsid wsp:val=&quot;009C129C&quot;/&gt;&lt;wsp:rsid wsp:val=&quot;009C2076&quot;/&gt;&lt;wsp:rsid wsp:val=&quot;009C4D33&quot;/&gt;&lt;wsp:rsid wsp:val=&quot;009C51B7&quot;/&gt;&lt;wsp:rsid wsp:val=&quot;009C6951&quot;/&gt;&lt;wsp:rsid wsp:val=&quot;009D1251&quot;/&gt;&lt;wsp:rsid wsp:val=&quot;009E0711&quot;/&gt;&lt;wsp:rsid wsp:val=&quot;009E7FFB&quot;/&gt;&lt;wsp:rsid wsp:val=&quot;009F081E&quot;/&gt;&lt;wsp:rsid wsp:val=&quot;009F169E&quot;/&gt;&lt;wsp:rsid wsp:val=&quot;009F1DED&quot;/&gt;&lt;wsp:rsid wsp:val=&quot;009F35EB&quot;/&gt;&lt;wsp:rsid wsp:val=&quot;009F451A&quot;/&gt;&lt;wsp:rsid wsp:val=&quot;009F61A4&quot;/&gt;&lt;wsp:rsid wsp:val=&quot;00A009EE&quot;/&gt;&lt;wsp:rsid wsp:val=&quot;00A01DC7&quot;/&gt;&lt;wsp:rsid wsp:val=&quot;00A13091&quot;/&gt;&lt;wsp:rsid wsp:val=&quot;00A134BF&quot;/&gt;&lt;wsp:rsid wsp:val=&quot;00A13629&quot;/&gt;&lt;wsp:rsid wsp:val=&quot;00A2199A&quot;/&gt;&lt;wsp:rsid wsp:val=&quot;00A22756&quot;/&gt;&lt;wsp:rsid wsp:val=&quot;00A228A0&quot;/&gt;&lt;wsp:rsid wsp:val=&quot;00A2483E&quot;/&gt;&lt;wsp:rsid wsp:val=&quot;00A25930&quot;/&gt;&lt;wsp:rsid wsp:val=&quot;00A2795F&quot;/&gt;&lt;wsp:rsid wsp:val=&quot;00A31470&quot;/&gt;&lt;wsp:rsid wsp:val=&quot;00A33546&quot;/&gt;&lt;wsp:rsid wsp:val=&quot;00A33ACB&quot;/&gt;&lt;wsp:rsid wsp:val=&quot;00A33DAA&quot;/&gt;&lt;wsp:rsid wsp:val=&quot;00A35CED&quot;/&gt;&lt;wsp:rsid wsp:val=&quot;00A421AB&quot;/&gt;&lt;wsp:rsid wsp:val=&quot;00A422D7&quot;/&gt;&lt;wsp:rsid wsp:val=&quot;00A43FEA&quot;/&gt;&lt;wsp:rsid wsp:val=&quot;00A45B4A&quot;/&gt;&lt;wsp:rsid wsp:val=&quot;00A51441&quot;/&gt;&lt;wsp:rsid wsp:val=&quot;00A51771&quot;/&gt;&lt;wsp:rsid wsp:val=&quot;00A52C50&quot;/&gt;&lt;wsp:rsid wsp:val=&quot;00A53A8A&quot;/&gt;&lt;wsp:rsid wsp:val=&quot;00A53ED1&quot;/&gt;&lt;wsp:rsid wsp:val=&quot;00A61EA7&quot;/&gt;&lt;wsp:rsid wsp:val=&quot;00A63461&quot;/&gt;&lt;wsp:rsid wsp:val=&quot;00A649B2&quot;/&gt;&lt;wsp:rsid wsp:val=&quot;00A66B30&quot;/&gt;&lt;wsp:rsid wsp:val=&quot;00A66B3A&quot;/&gt;&lt;wsp:rsid wsp:val=&quot;00A734FD&quot;/&gt;&lt;wsp:rsid wsp:val=&quot;00A74E23&quot;/&gt;&lt;wsp:rsid wsp:val=&quot;00A80F1F&quot;/&gt;&lt;wsp:rsid wsp:val=&quot;00A8705F&quot;/&gt;&lt;wsp:rsid wsp:val=&quot;00A90881&quot;/&gt;&lt;wsp:rsid wsp:val=&quot;00A91DF8&quot;/&gt;&lt;wsp:rsid wsp:val=&quot;00A93272&quot;/&gt;&lt;wsp:rsid wsp:val=&quot;00A96DCA&quot;/&gt;&lt;wsp:rsid wsp:val=&quot;00AA043B&quot;/&gt;&lt;wsp:rsid wsp:val=&quot;00AA2D09&quot;/&gt;&lt;wsp:rsid wsp:val=&quot;00AA54C9&quot;/&gt;&lt;wsp:rsid wsp:val=&quot;00AA701F&quot;/&gt;&lt;wsp:rsid wsp:val=&quot;00AA75A0&quot;/&gt;&lt;wsp:rsid wsp:val=&quot;00AB104F&quot;/&gt;&lt;wsp:rsid wsp:val=&quot;00AB1112&quot;/&gt;&lt;wsp:rsid wsp:val=&quot;00AB30E9&quot;/&gt;&lt;wsp:rsid wsp:val=&quot;00AB339E&quot;/&gt;&lt;wsp:rsid wsp:val=&quot;00AB3F44&quot;/&gt;&lt;wsp:rsid wsp:val=&quot;00AB616B&quot;/&gt;&lt;wsp:rsid wsp:val=&quot;00AC3098&quot;/&gt;&lt;wsp:rsid wsp:val=&quot;00AC44F5&quot;/&gt;&lt;wsp:rsid wsp:val=&quot;00AC6915&quot;/&gt;&lt;wsp:rsid wsp:val=&quot;00AC75F4&quot;/&gt;&lt;wsp:rsid wsp:val=&quot;00AD1BB2&quot;/&gt;&lt;wsp:rsid wsp:val=&quot;00AD1BFC&quot;/&gt;&lt;wsp:rsid wsp:val=&quot;00AD7D04&quot;/&gt;&lt;wsp:rsid wsp:val=&quot;00AE2110&quot;/&gt;&lt;wsp:rsid wsp:val=&quot;00AE24CD&quot;/&gt;&lt;wsp:rsid wsp:val=&quot;00AE2D18&quot;/&gt;&lt;wsp:rsid wsp:val=&quot;00AE4F43&quot;/&gt;&lt;wsp:rsid wsp:val=&quot;00AF3757&quot;/&gt;&lt;wsp:rsid wsp:val=&quot;00B00BF9&quot;/&gt;&lt;wsp:rsid wsp:val=&quot;00B0261B&quot;/&gt;&lt;wsp:rsid wsp:val=&quot;00B14C5B&quot;/&gt;&lt;wsp:rsid wsp:val=&quot;00B21CFC&quot;/&gt;&lt;wsp:rsid wsp:val=&quot;00B235B8&quot;/&gt;&lt;wsp:rsid wsp:val=&quot;00B23955&quot;/&gt;&lt;wsp:rsid wsp:val=&quot;00B23C7E&quot;/&gt;&lt;wsp:rsid wsp:val=&quot;00B25C88&quot;/&gt;&lt;wsp:rsid wsp:val=&quot;00B25D4D&quot;/&gt;&lt;wsp:rsid wsp:val=&quot;00B26ABB&quot;/&gt;&lt;wsp:rsid wsp:val=&quot;00B33223&quot;/&gt;&lt;wsp:rsid wsp:val=&quot;00B336AA&quot;/&gt;&lt;wsp:rsid wsp:val=&quot;00B33966&quot;/&gt;&lt;wsp:rsid wsp:val=&quot;00B33B73&quot;/&gt;&lt;wsp:rsid wsp:val=&quot;00B33F19&quot;/&gt;&lt;wsp:rsid wsp:val=&quot;00B362C5&quot;/&gt;&lt;wsp:rsid wsp:val=&quot;00B36ACB&quot;/&gt;&lt;wsp:rsid wsp:val=&quot;00B42BAC&quot;/&gt;&lt;wsp:rsid wsp:val=&quot;00B42D7F&quot;/&gt;&lt;wsp:rsid wsp:val=&quot;00B45F91&quot;/&gt;&lt;wsp:rsid wsp:val=&quot;00B4642C&quot;/&gt;&lt;wsp:rsid wsp:val=&quot;00B46645&quot;/&gt;&lt;wsp:rsid wsp:val=&quot;00B47188&quot;/&gt;&lt;wsp:rsid wsp:val=&quot;00B52659&quot;/&gt;&lt;wsp:rsid wsp:val=&quot;00B53F04&quot;/&gt;&lt;wsp:rsid wsp:val=&quot;00B54934&quot;/&gt;&lt;wsp:rsid wsp:val=&quot;00B55225&quot;/&gt;&lt;wsp:rsid wsp:val=&quot;00B5625F&quot;/&gt;&lt;wsp:rsid wsp:val=&quot;00B63E7C&quot;/&gt;&lt;wsp:rsid wsp:val=&quot;00B64C28&quot;/&gt;&lt;wsp:rsid wsp:val=&quot;00B72F9D&quot;/&gt;&lt;wsp:rsid wsp:val=&quot;00B73247&quot;/&gt;&lt;wsp:rsid wsp:val=&quot;00B758E4&quot;/&gt;&lt;wsp:rsid wsp:val=&quot;00B80D78&quot;/&gt;&lt;wsp:rsid wsp:val=&quot;00B83C2D&quot;/&gt;&lt;wsp:rsid wsp:val=&quot;00B85BE0&quot;/&gt;&lt;wsp:rsid wsp:val=&quot;00B862E4&quot;/&gt;&lt;wsp:rsid wsp:val=&quot;00B864AF&quot;/&gt;&lt;wsp:rsid wsp:val=&quot;00B86D6F&quot;/&gt;&lt;wsp:rsid wsp:val=&quot;00B963A2&quot;/&gt;&lt;wsp:rsid wsp:val=&quot;00B9798D&quot;/&gt;&lt;wsp:rsid wsp:val=&quot;00BA50C9&quot;/&gt;&lt;wsp:rsid wsp:val=&quot;00BA525B&quot;/&gt;&lt;wsp:rsid wsp:val=&quot;00BA6A0C&quot;/&gt;&lt;wsp:rsid wsp:val=&quot;00BA6BAF&quot;/&gt;&lt;wsp:rsid wsp:val=&quot;00BB1A1A&quot;/&gt;&lt;wsp:rsid wsp:val=&quot;00BB2956&quot;/&gt;&lt;wsp:rsid wsp:val=&quot;00BB3170&quot;/&gt;&lt;wsp:rsid wsp:val=&quot;00BB3397&quot;/&gt;&lt;wsp:rsid wsp:val=&quot;00BB526B&quot;/&gt;&lt;wsp:rsid wsp:val=&quot;00BB5B00&quot;/&gt;&lt;wsp:rsid wsp:val=&quot;00BB6566&quot;/&gt;&lt;wsp:rsid wsp:val=&quot;00BC38B9&quot;/&gt;&lt;wsp:rsid wsp:val=&quot;00BD30C9&quot;/&gt;&lt;wsp:rsid wsp:val=&quot;00BD78EC&quot;/&gt;&lt;wsp:rsid wsp:val=&quot;00BE1675&quot;/&gt;&lt;wsp:rsid wsp:val=&quot;00BE2B70&quot;/&gt;&lt;wsp:rsid wsp:val=&quot;00BF0D22&quot;/&gt;&lt;wsp:rsid wsp:val=&quot;00BF1F4E&quot;/&gt;&lt;wsp:rsid wsp:val=&quot;00BF55DE&quot;/&gt;&lt;wsp:rsid wsp:val=&quot;00BF65A4&quot;/&gt;&lt;wsp:rsid wsp:val=&quot;00C0056B&quot;/&gt;&lt;wsp:rsid wsp:val=&quot;00C048C6&quot;/&gt;&lt;wsp:rsid wsp:val=&quot;00C05139&quot;/&gt;&lt;wsp:rsid wsp:val=&quot;00C0525E&quot;/&gt;&lt;wsp:rsid wsp:val=&quot;00C10A4F&quot;/&gt;&lt;wsp:rsid wsp:val=&quot;00C10DB0&quot;/&gt;&lt;wsp:rsid wsp:val=&quot;00C1185D&quot;/&gt;&lt;wsp:rsid wsp:val=&quot;00C20424&quot;/&gt;&lt;wsp:rsid wsp:val=&quot;00C21576&quot;/&gt;&lt;wsp:rsid wsp:val=&quot;00C274D5&quot;/&gt;&lt;wsp:rsid wsp:val=&quot;00C3529F&quot;/&gt;&lt;wsp:rsid wsp:val=&quot;00C362CF&quot;/&gt;&lt;wsp:rsid wsp:val=&quot;00C368A6&quot;/&gt;&lt;wsp:rsid wsp:val=&quot;00C40B65&quot;/&gt;&lt;wsp:rsid wsp:val=&quot;00C4297A&quot;/&gt;&lt;wsp:rsid wsp:val=&quot;00C4360A&quot;/&gt;&lt;wsp:rsid wsp:val=&quot;00C445D9&quot;/&gt;&lt;wsp:rsid wsp:val=&quot;00C51DB6&quot;/&gt;&lt;wsp:rsid wsp:val=&quot;00C5748D&quot;/&gt;&lt;wsp:rsid wsp:val=&quot;00C617F2&quot;/&gt;&lt;wsp:rsid wsp:val=&quot;00C67080&quot;/&gt;&lt;wsp:rsid wsp:val=&quot;00C6784D&quot;/&gt;&lt;wsp:rsid wsp:val=&quot;00C67CF8&quot;/&gt;&lt;wsp:rsid wsp:val=&quot;00C758FE&quot;/&gt;&lt;wsp:rsid wsp:val=&quot;00C76AFA&quot;/&gt;&lt;wsp:rsid wsp:val=&quot;00C835D8&quot;/&gt;&lt;wsp:rsid wsp:val=&quot;00C97B55&quot;/&gt;&lt;wsp:rsid wsp:val=&quot;00CA0926&quot;/&gt;&lt;wsp:rsid wsp:val=&quot;00CA4711&quot;/&gt;&lt;wsp:rsid wsp:val=&quot;00CA507D&quot;/&gt;&lt;wsp:rsid wsp:val=&quot;00CA6707&quot;/&gt;&lt;wsp:rsid wsp:val=&quot;00CA7D2B&quot;/&gt;&lt;wsp:rsid wsp:val=&quot;00CB1115&quot;/&gt;&lt;wsp:rsid wsp:val=&quot;00CB3284&quot;/&gt;&lt;wsp:rsid wsp:val=&quot;00CB5D91&quot;/&gt;&lt;wsp:rsid wsp:val=&quot;00CB6372&quot;/&gt;&lt;wsp:rsid wsp:val=&quot;00CC0314&quot;/&gt;&lt;wsp:rsid wsp:val=&quot;00CC06E8&quot;/&gt;&lt;wsp:rsid wsp:val=&quot;00CC124F&quot;/&gt;&lt;wsp:rsid wsp:val=&quot;00CC42B4&quot;/&gt;&lt;wsp:rsid wsp:val=&quot;00CC6B12&quot;/&gt;&lt;wsp:rsid wsp:val=&quot;00CD2119&quot;/&gt;&lt;wsp:rsid wsp:val=&quot;00CD2177&quot;/&gt;&lt;wsp:rsid wsp:val=&quot;00CD4350&quot;/&gt;&lt;wsp:rsid wsp:val=&quot;00CD6020&quot;/&gt;&lt;wsp:rsid wsp:val=&quot;00CE36F4&quot;/&gt;&lt;wsp:rsid wsp:val=&quot;00CE4E07&quot;/&gt;&lt;wsp:rsid wsp:val=&quot;00CF078D&quot;/&gt;&lt;wsp:rsid wsp:val=&quot;00CF1DCA&quot;/&gt;&lt;wsp:rsid wsp:val=&quot;00CF65BA&quot;/&gt;&lt;wsp:rsid wsp:val=&quot;00D019AE&quot;/&gt;&lt;wsp:rsid wsp:val=&quot;00D059A8&quot;/&gt;&lt;wsp:rsid wsp:val=&quot;00D10D12&quot;/&gt;&lt;wsp:rsid wsp:val=&quot;00D1166E&quot;/&gt;&lt;wsp:rsid wsp:val=&quot;00D12265&quot;/&gt;&lt;wsp:rsid wsp:val=&quot;00D151BA&quot;/&gt;&lt;wsp:rsid wsp:val=&quot;00D15BD8&quot;/&gt;&lt;wsp:rsid wsp:val=&quot;00D166AD&quot;/&gt;&lt;wsp:rsid wsp:val=&quot;00D201FB&quot;/&gt;&lt;wsp:rsid wsp:val=&quot;00D20F5F&quot;/&gt;&lt;wsp:rsid wsp:val=&quot;00D2276D&quot;/&gt;&lt;wsp:rsid wsp:val=&quot;00D235A5&quot;/&gt;&lt;wsp:rsid wsp:val=&quot;00D23C21&quot;/&gt;&lt;wsp:rsid wsp:val=&quot;00D26E24&quot;/&gt;&lt;wsp:rsid wsp:val=&quot;00D302BF&quot;/&gt;&lt;wsp:rsid wsp:val=&quot;00D3259C&quot;/&gt;&lt;wsp:rsid wsp:val=&quot;00D36900&quot;/&gt;&lt;wsp:rsid wsp:val=&quot;00D373C6&quot;/&gt;&lt;wsp:rsid wsp:val=&quot;00D428C8&quot;/&gt;&lt;wsp:rsid wsp:val=&quot;00D50793&quot;/&gt;&lt;wsp:rsid wsp:val=&quot;00D50DC5&quot;/&gt;&lt;wsp:rsid wsp:val=&quot;00D516DC&quot;/&gt;&lt;wsp:rsid wsp:val=&quot;00D51859&quot;/&gt;&lt;wsp:rsid wsp:val=&quot;00D52970&quot;/&gt;&lt;wsp:rsid wsp:val=&quot;00D56CE8&quot;/&gt;&lt;wsp:rsid wsp:val=&quot;00D60E20&quot;/&gt;&lt;wsp:rsid wsp:val=&quot;00D61F3F&quot;/&gt;&lt;wsp:rsid wsp:val=&quot;00D627FD&quot;/&gt;&lt;wsp:rsid wsp:val=&quot;00D64B22&quot;/&gt;&lt;wsp:rsid wsp:val=&quot;00D66482&quot;/&gt;&lt;wsp:rsid wsp:val=&quot;00D712A8&quot;/&gt;&lt;wsp:rsid wsp:val=&quot;00D739B4&quot;/&gt;&lt;wsp:rsid wsp:val=&quot;00D74CE9&quot;/&gt;&lt;wsp:rsid wsp:val=&quot;00D75CAB&quot;/&gt;&lt;wsp:rsid wsp:val=&quot;00D76071&quot;/&gt;&lt;wsp:rsid wsp:val=&quot;00D76DB9&quot;/&gt;&lt;wsp:rsid wsp:val=&quot;00D8061D&quot;/&gt;&lt;wsp:rsid wsp:val=&quot;00D8209B&quot;/&gt;&lt;wsp:rsid wsp:val=&quot;00D82191&quot;/&gt;&lt;wsp:rsid wsp:val=&quot;00D853A1&quot;/&gt;&lt;wsp:rsid wsp:val=&quot;00D8705F&quot;/&gt;&lt;wsp:rsid wsp:val=&quot;00D92DD6&quot;/&gt;&lt;wsp:rsid wsp:val=&quot;00D93BCC&quot;/&gt;&lt;wsp:rsid wsp:val=&quot;00D97DC3&quot;/&gt;&lt;wsp:rsid wsp:val=&quot;00DA1AEC&quot;/&gt;&lt;wsp:rsid wsp:val=&quot;00DA298B&quot;/&gt;&lt;wsp:rsid wsp:val=&quot;00DA3CBD&quot;/&gt;&lt;wsp:rsid wsp:val=&quot;00DB0338&quot;/&gt;&lt;wsp:rsid wsp:val=&quot;00DB1195&quot;/&gt;&lt;wsp:rsid wsp:val=&quot;00DB19CE&quot;/&gt;&lt;wsp:rsid wsp:val=&quot;00DB26BF&quot;/&gt;&lt;wsp:rsid wsp:val=&quot;00DB7EED&quot;/&gt;&lt;wsp:rsid wsp:val=&quot;00DC1315&quot;/&gt;&lt;wsp:rsid wsp:val=&quot;00DC3DA9&quot;/&gt;&lt;wsp:rsid wsp:val=&quot;00DC5E14&quot;/&gt;&lt;wsp:rsid wsp:val=&quot;00DD0B7F&quot;/&gt;&lt;wsp:rsid wsp:val=&quot;00DD452A&quot;/&gt;&lt;wsp:rsid wsp:val=&quot;00DD729D&quot;/&gt;&lt;wsp:rsid wsp:val=&quot;00DE2DE3&quot;/&gt;&lt;wsp:rsid wsp:val=&quot;00DE42AC&quot;/&gt;&lt;wsp:rsid wsp:val=&quot;00DE67F9&quot;/&gt;&lt;wsp:rsid wsp:val=&quot;00DF0161&quot;/&gt;&lt;wsp:rsid wsp:val=&quot;00DF17F0&quot;/&gt;&lt;wsp:rsid wsp:val=&quot;00DF6B5C&quot;/&gt;&lt;wsp:rsid wsp:val=&quot;00DF73BF&quot;/&gt;&lt;wsp:rsid wsp:val=&quot;00DF7F54&quot;/&gt;&lt;wsp:rsid wsp:val=&quot;00E02D84&quot;/&gt;&lt;wsp:rsid wsp:val=&quot;00E12090&quot;/&gt;&lt;wsp:rsid wsp:val=&quot;00E1368B&quot;/&gt;&lt;wsp:rsid wsp:val=&quot;00E145BD&quot;/&gt;&lt;wsp:rsid wsp:val=&quot;00E14964&quot;/&gt;&lt;wsp:rsid wsp:val=&quot;00E14F00&quot;/&gt;&lt;wsp:rsid wsp:val=&quot;00E17E89&quot;/&gt;&lt;wsp:rsid wsp:val=&quot;00E17EBA&quot;/&gt;&lt;wsp:rsid wsp:val=&quot;00E2143B&quot;/&gt;&lt;wsp:rsid wsp:val=&quot;00E21CE0&quot;/&gt;&lt;wsp:rsid wsp:val=&quot;00E2528C&quot;/&gt;&lt;wsp:rsid wsp:val=&quot;00E265FC&quot;/&gt;&lt;wsp:rsid wsp:val=&quot;00E27157&quot;/&gt;&lt;wsp:rsid wsp:val=&quot;00E36D02&quot;/&gt;&lt;wsp:rsid wsp:val=&quot;00E42729&quot;/&gt;&lt;wsp:rsid wsp:val=&quot;00E429F6&quot;/&gt;&lt;wsp:rsid wsp:val=&quot;00E431DF&quot;/&gt;&lt;wsp:rsid wsp:val=&quot;00E45336&quot;/&gt;&lt;wsp:rsid wsp:val=&quot;00E4697B&quot;/&gt;&lt;wsp:rsid wsp:val=&quot;00E469CB&quot;/&gt;&lt;wsp:rsid wsp:val=&quot;00E505E5&quot;/&gt;&lt;wsp:rsid wsp:val=&quot;00E5168C&quot;/&gt;&lt;wsp:rsid wsp:val=&quot;00E53020&quot;/&gt;&lt;wsp:rsid wsp:val=&quot;00E5428B&quot;/&gt;&lt;wsp:rsid wsp:val=&quot;00E57F82&quot;/&gt;&lt;wsp:rsid wsp:val=&quot;00E601AC&quot;/&gt;&lt;wsp:rsid wsp:val=&quot;00E62666&quot;/&gt;&lt;wsp:rsid wsp:val=&quot;00E658DF&quot;/&gt;&lt;wsp:rsid wsp:val=&quot;00E65A28&quot;/&gt;&lt;wsp:rsid wsp:val=&quot;00E7233D&quot;/&gt;&lt;wsp:rsid wsp:val=&quot;00E732B9&quot;/&gt;&lt;wsp:rsid wsp:val=&quot;00E73E1E&quot;/&gt;&lt;wsp:rsid wsp:val=&quot;00E74C37&quot;/&gt;&lt;wsp:rsid wsp:val=&quot;00E76192&quot;/&gt;&lt;wsp:rsid wsp:val=&quot;00E7641D&quot;/&gt;&lt;wsp:rsid wsp:val=&quot;00E77B2A&quot;/&gt;&lt;wsp:rsid wsp:val=&quot;00E81485&quot;/&gt;&lt;wsp:rsid wsp:val=&quot;00E82258&quot;/&gt;&lt;wsp:rsid wsp:val=&quot;00E82F12&quot;/&gt;&lt;wsp:rsid wsp:val=&quot;00E82FAD&quot;/&gt;&lt;wsp:rsid wsp:val=&quot;00E83639&quot;/&gt;&lt;wsp:rsid wsp:val=&quot;00E86DDE&quot;/&gt;&lt;wsp:rsid wsp:val=&quot;00E90366&quot;/&gt;&lt;wsp:rsid wsp:val=&quot;00E90448&quot;/&gt;&lt;wsp:rsid wsp:val=&quot;00E96592&quot;/&gt;&lt;wsp:rsid wsp:val=&quot;00E97206&quot;/&gt;&lt;wsp:rsid wsp:val=&quot;00E97A81&quot;/&gt;&lt;wsp:rsid wsp:val=&quot;00E97CDF&quot;/&gt;&lt;wsp:rsid wsp:val=&quot;00EA14B4&quot;/&gt;&lt;wsp:rsid wsp:val=&quot;00EA3C1D&quot;/&gt;&lt;wsp:rsid wsp:val=&quot;00EA7232&quot;/&gt;&lt;wsp:rsid wsp:val=&quot;00EB2DF6&quot;/&gt;&lt;wsp:rsid wsp:val=&quot;00EB2F4B&quot;/&gt;&lt;wsp:rsid wsp:val=&quot;00EB33C4&quot;/&gt;&lt;wsp:rsid wsp:val=&quot;00EB59EB&quot;/&gt;&lt;wsp:rsid wsp:val=&quot;00EC2038&quot;/&gt;&lt;wsp:rsid wsp:val=&quot;00EC2C1D&quot;/&gt;&lt;wsp:rsid wsp:val=&quot;00EC3A9E&quot;/&gt;&lt;wsp:rsid wsp:val=&quot;00EC7438&quot;/&gt;&lt;wsp:rsid wsp:val=&quot;00ED192F&quot;/&gt;&lt;wsp:rsid wsp:val=&quot;00ED27DF&quot;/&gt;&lt;wsp:rsid wsp:val=&quot;00ED36AF&quot;/&gt;&lt;wsp:rsid wsp:val=&quot;00ED39CB&quot;/&gt;&lt;wsp:rsid wsp:val=&quot;00EE0561&quot;/&gt;&lt;wsp:rsid wsp:val=&quot;00EE1E02&quot;/&gt;&lt;wsp:rsid wsp:val=&quot;00EE51DD&quot;/&gt;&lt;wsp:rsid wsp:val=&quot;00EF2265&quot;/&gt;&lt;wsp:rsid wsp:val=&quot;00EF3414&quot;/&gt;&lt;wsp:rsid wsp:val=&quot;00EF4A2E&quot;/&gt;&lt;wsp:rsid wsp:val=&quot;00EF640B&quot;/&gt;&lt;wsp:rsid wsp:val=&quot;00EF7EC9&quot;/&gt;&lt;wsp:rsid wsp:val=&quot;00F05A6E&quot;/&gt;&lt;wsp:rsid wsp:val=&quot;00F1063C&quot;/&gt;&lt;wsp:rsid wsp:val=&quot;00F10A3E&quot;/&gt;&lt;wsp:rsid wsp:val=&quot;00F13FD6&quot;/&gt;&lt;wsp:rsid wsp:val=&quot;00F15653&quot;/&gt;&lt;wsp:rsid wsp:val=&quot;00F1632B&quot;/&gt;&lt;wsp:rsid wsp:val=&quot;00F221E6&quot;/&gt;&lt;wsp:rsid wsp:val=&quot;00F27E3E&quot;/&gt;&lt;wsp:rsid wsp:val=&quot;00F27EFD&quot;/&gt;&lt;wsp:rsid wsp:val=&quot;00F34501&quot;/&gt;&lt;wsp:rsid wsp:val=&quot;00F34520&quot;/&gt;&lt;wsp:rsid wsp:val=&quot;00F34821&quot;/&gt;&lt;wsp:rsid wsp:val=&quot;00F40D65&quot;/&gt;&lt;wsp:rsid wsp:val=&quot;00F42984&quot;/&gt;&lt;wsp:rsid wsp:val=&quot;00F4396A&quot;/&gt;&lt;wsp:rsid wsp:val=&quot;00F44B7B&quot;/&gt;&lt;wsp:rsid wsp:val=&quot;00F47866&quot;/&gt;&lt;wsp:rsid wsp:val=&quot;00F478BC&quot;/&gt;&lt;wsp:rsid wsp:val=&quot;00F47C2E&quot;/&gt;&lt;wsp:rsid wsp:val=&quot;00F50AC1&quot;/&gt;&lt;wsp:rsid wsp:val=&quot;00F520D8&quot;/&gt;&lt;wsp:rsid wsp:val=&quot;00F5737F&quot;/&gt;&lt;wsp:rsid wsp:val=&quot;00F70B55&quot;/&gt;&lt;wsp:rsid wsp:val=&quot;00F70D98&quot;/&gt;&lt;wsp:rsid wsp:val=&quot;00F72B0D&quot;/&gt;&lt;wsp:rsid wsp:val=&quot;00F73E6F&quot;/&gt;&lt;wsp:rsid wsp:val=&quot;00F742CC&quot;/&gt;&lt;wsp:rsid wsp:val=&quot;00F747D0&quot;/&gt;&lt;wsp:rsid wsp:val=&quot;00F76F09&quot;/&gt;&lt;wsp:rsid wsp:val=&quot;00F81FF3&quot;/&gt;&lt;wsp:rsid wsp:val=&quot;00F84C5A&quot;/&gt;&lt;wsp:rsid wsp:val=&quot;00F85331&quot;/&gt;&lt;wsp:rsid wsp:val=&quot;00F85745&quot;/&gt;&lt;wsp:rsid wsp:val=&quot;00F85FAD&quot;/&gt;&lt;wsp:rsid wsp:val=&quot;00F87993&quot;/&gt;&lt;wsp:rsid wsp:val=&quot;00FA2AED&quot;/&gt;&lt;wsp:rsid wsp:val=&quot;00FA3AEA&quot;/&gt;&lt;wsp:rsid wsp:val=&quot;00FA43F3&quot;/&gt;&lt;wsp:rsid wsp:val=&quot;00FA4D7C&quot;/&gt;&lt;wsp:rsid wsp:val=&quot;00FA5470&quot;/&gt;&lt;wsp:rsid wsp:val=&quot;00FA5F75&quot;/&gt;&lt;wsp:rsid wsp:val=&quot;00FA776A&quot;/&gt;&lt;wsp:rsid wsp:val=&quot;00FA7E7A&quot;/&gt;&lt;wsp:rsid wsp:val=&quot;00FA7FF0&quot;/&gt;&lt;wsp:rsid wsp:val=&quot;00FB0456&quot;/&gt;&lt;wsp:rsid wsp:val=&quot;00FB1DF2&quot;/&gt;&lt;wsp:rsid wsp:val=&quot;00FB4AC8&quot;/&gt;&lt;wsp:rsid wsp:val=&quot;00FB5070&quot;/&gt;&lt;wsp:rsid wsp:val=&quot;00FC0127&quot;/&gt;&lt;wsp:rsid wsp:val=&quot;00FC0C66&quot;/&gt;&lt;wsp:rsid wsp:val=&quot;00FC2027&quot;/&gt;&lt;wsp:rsid wsp:val=&quot;00FC437C&quot;/&gt;&lt;wsp:rsid wsp:val=&quot;00FC69BA&quot;/&gt;&lt;wsp:rsid wsp:val=&quot;00FC720B&quot;/&gt;&lt;wsp:rsid wsp:val=&quot;00FC7568&quot;/&gt;&lt;wsp:rsid wsp:val=&quot;00FD05EE&quot;/&gt;&lt;wsp:rsid wsp:val=&quot;00FD40AE&quot;/&gt;&lt;wsp:rsid wsp:val=&quot;00FD6EC3&quot;/&gt;&lt;wsp:rsid wsp:val=&quot;00FE3B0B&quot;/&gt;&lt;wsp:rsid wsp:val=&quot;00FE3CB8&quot;/&gt;&lt;wsp:rsid wsp:val=&quot;00FE5183&quot;/&gt;&lt;wsp:rsid wsp:val=&quot;00FE71D7&quot;/&gt;&lt;/wsp:rsids&gt;&lt;/w:docPr&gt;&lt;w:body&gt;&lt;w:p wsp:rsidR=&quot;00000000&quot; wsp:rsidRDefault=&quot;00380584&quot;&gt;&lt;m:oMathPara&gt;&lt;m:oMath&gt;&lt;m:r&gt;&lt;w:rPr&gt;&lt;w:rFonts w:ascii=&quot;Cambria Math&quot; w:h-ansi=&quot;Cambria Math&quot;/&gt;&lt;wx:font wx:val=&quot;Cambria Math&quot;/&gt;&lt;w:i/&gt;&lt;w:lang w:val=&quot;EN-US&quot;/&gt;&lt;/w:rPr&gt;&lt;m:t&gt;f=&lt;/m:t&gt;&lt;/m:r&gt;&lt;m:f&gt;&lt;m:fPr&gt;&lt;m:ctrlPr&gt;&lt;w:rPr&gt;&lt;w:rFonts w:ascii=&quot;Cambria Math&quot; w:h-ansi=&quot;Cambria Math&quot;/&gt;&lt;wx:font wx:val=&quot;Cambria Math&quot;/&gt;&lt;w:i/&gt;&lt;w:lang w:val=&quot;EN-US&quot;/&gt;&lt;/w:rPr&gt;&lt;/m:ctrlPr&gt;&lt;/m:fPr&gt;&lt;m:num&gt;&lt;m:r&gt;&lt;w:rPr&gt;&lt;w:rFonts w:ascii=&quot;Cambria Math&quot; w:h-ansi=&quot;Cambria Math&quot;/&gt;&lt;wx:font wx:val=&quot;Cambria Math&quot;/&gt;&lt;w:i/&gt;&lt;w:lang w:val=&quot;EN-US&quot;/&gt;&lt;/w:rPr&gt;&lt;m:t&gt;T&lt;/m:t&gt;&lt;/m:r&gt;&lt;m:sSub&gt;&lt;m:sSubPr&gt;&lt;m:ctrlPr&gt;&lt;w:rPr&gt;&lt;w:rFonts w:ascii=&quot;Cambria Math&quot; w:h-ansi=&quot;Cambria Math&quot;/&gt;&lt;wx:font wx:val=&quot;Cambria Math&quot;/&gt;&lt;w:i/&gt;&lt;w:lang w:val=&quot;EN-US&quot;/&gt;&lt;/w:rPr&gt;&lt;/m:ctrlPr&gt;&lt;/m:sSubPr&gt;&lt;m:e&gt;&lt;m:r&gt;&lt;m:rPr&gt;&lt;m:sty m:val=&quot;p&quot;/&gt;&lt;/m:rPr&gt;&lt;w:rPr&gt;&lt;w:rFonts w:ascii=&quot;Cambria Math&quot; w:h-ansi=&quot;Cambria Math&quot;/&gt;&lt;wx:font wx:val=&quot;Cambria Math&quot;/&gt;&lt;w:lang w:val=&quot;EN-US&quot;/&gt;&lt;/w:rPr&gt;&lt;w:softHyphen/&gt;&lt;/m:r&gt;&lt;/m:e&gt;&lt;m:sub&gt;&lt;m:r&gt;&lt;w:rPr&gt;&lt;w:rFonts w:ascii=&quot;Cambria Math&quot; w:h-ansi=&quot;Cambria Math&quot;/&gt;&lt;wx:font wx:val=&quot;Cambria Math&quot;/&gt;&lt;w:i/&gt;&lt;w:lang w:val=&quot;EN-US&quot;/&gt;&lt;/w:rPr&gt;&lt;m:t&gt;c&lt;/m:t&gt;&lt;/m:r&gt;&lt;/m:sub&gt;&lt;/m:sSub&gt;&lt;m:r&gt;&lt;w:rPr&gt;&lt;w:rFonts w:ascii=&quot;Cambria Math&quot; w:h-ansi=&quot;Cambria Math&quot;/&gt;&lt;wx:font wx:val=&quot;Cambria Math&quot;/&gt;&lt;w:i/&gt;&lt;w:lang w:val=&quot;EN-US&quot;/&gt;&lt;/w:rPr&gt;&lt;m:t&gt; âˆ™a&lt;/m:t&gt;&lt;/m:r&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E&lt;/m:t&gt;&lt;/m:r&gt;&lt;/m:e&gt;&lt;m:sub&gt;&lt;m:r&gt;&lt;w:rPr&gt;&lt;w:rFonts w:ascii=&quot;Cambria Math&quot; w:h-ansi=&quot;Cambria Math&quot;/&gt;&lt;wx:font wx:val=&quot;Cambria Math&quot;/&gt;&lt;w:i/&gt;&lt;w:lang w:val=&quot;EN-US&quot;/&gt;&lt;/w:rPr&gt;&lt;m:t&gt;s&lt;/m:t&gt;&lt;/m:r&gt;&lt;/m:sub&gt;&lt;/m:sSub&gt;&lt;/m:den&gt;&lt;/m:f&gt;&lt;m:r&gt;&lt;w:rPr&gt;&lt;w:rFonts w:ascii=&quot;Cambria Math&quot; w:h-ansi=&quot;Cambria Math&quot;/&gt;&lt;wx:font wx:val=&quot;Cambria Math&quot;/&gt;&lt;w:i/&gt;&lt;w:lang w:val=&quot;EN-US&quot;/&gt;&lt;/w:rPr&gt;&lt;m:t&gt; âˆ™&lt;/m:t&gt;&lt;/m:r&gt;&lt;m:d&gt;&lt;m:dPr&gt;&lt;m:ctrlPr&gt;&lt;w:rPr&gt;&lt;w:rFonts w:ascii=&quot;Cambria Math&quot; w:h-ansi=&quot;Cambria Math&quot;/&gt;&lt;wx:font wx:val=&quot;Cambria Math&quot;/&gt;&lt;w:i/&gt;&lt;w:lang w:val=&quot;EN-US&quot;/&gt;&lt;/w:rPr&gt;&lt;/m:ctrlPr&gt;&lt;/m:dPr&gt;&lt;m:e&gt;&lt;m:r&gt;&lt;w:rPr&gt;&lt;w:rFonts w:ascii=&quot;Cambria Math&quot; w:h-ansi=&quot;Cambria Math&quot;/&gt;&lt;wx:font wx:val=&quot;Cambria Math&quot;/&gt;&lt;w:i/&gt;&lt;w:lang w:val=&quot;EN-US&quot;/&gt;&lt;/w:rPr&gt;&lt;m:t&gt;1+&lt;/m:t&gt;&lt;/m:r&gt;&lt;m:f&gt;&lt;m:fPr&gt;&lt;m:ctrlPr&gt;&lt;w:rPr&gt;&lt;w:rFonts w:ascii=&quot;Cambria Math&quot; w:h-ansi=&quot;Cambria Math&quot;/&gt;&lt;wx:font wx:val=&quot;Cambria Math&quot;/&gt;&lt;w:i/&gt;&lt;w:lang w:val=&quot;EN-US&quot;/&gt;&lt;/w:rPr&gt;&lt;/m:ctrlPr&gt;&lt;/m:fPr&gt;&lt;m:num&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I&lt;/m:t&gt;&lt;/m:r&gt;&lt;/m:e&gt;&lt;m:sub&gt;&lt;m:r&gt;&lt;w:rPr&gt;&lt;w:rFonts w:ascii=&quot;Cambria Math&quot; w:h-ansi=&quot;Cambria Math&quot;/&gt;&lt;wx:font wx:val=&quot;Cambria Math&quot;/&gt;&lt;w:i/&gt;&lt;w:lang w:val=&quot;EN-US&quot;/&gt;&lt;/w:rPr&gt;&lt;m:t&gt;d&lt;/m:t&gt;&lt;/m:r&gt;&lt;/m:sub&gt;&lt;/m:sSub&gt;&lt;m:r&gt;&lt;w:rPr&gt;&lt;w:rFonts w:ascii=&quot;Cambria Math&quot; w:h-ans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T&lt;/m:t&gt;&lt;/m:r&gt;&lt;/m:e&gt;&lt;m:sub&gt;&lt;m:r&gt;&lt;w:rPr&gt;&lt;w:rFonts w:ascii=&quot;Cambria Math&quot; w:h-ansi=&quot;Cambria Math&quot;/&gt;&lt;wx:font wx:val=&quot;Cambria Math&quot;/&gt;&lt;w:i/&gt;&lt;w:lang w:val=&quot;EN-US&quot;/&gt;&lt;/w:rPr&gt;&lt;m:t&gt;c&lt;/m:t&gt;&lt;/m:r&gt;&lt;/m:sub&gt;&lt;/m:sSub&gt;&lt;m:r&gt;&lt;w:rPr&gt;&lt;w:rFonts w:ascii=&quot;Cambria Math&quot; w:h-ansi=&quot;Cambria Math&quot;/&gt;&lt;wx:font wx:val=&quot;Cambria Math&quot;/&gt;&lt;w:i/&gt;&lt;w:lang w:val=&quot;EN-US&quot;/&gt;&lt;/w:rPr&gt;&lt;m:t&gt; âˆ™a&lt;/m:t&gt;&lt;/m:r&gt;&lt;/m:num&gt;&lt;m:den&gt;&lt;m:r&gt;&lt;w:rPr&gt;&lt;w:rFonts w:ascii=&quot;Cambria Math&quot; w:h-ansi=&quot;Cambria Math&quot;/&gt;&lt;wx:font wx:val=&quot;Cambria Math&quot;/&gt;&lt;w:i/&gt;&lt;w:lang w:val=&quot;EN-US&quot;/&gt;&lt;/w:rPr&gt;&lt;m:t&gt;100&lt;/m:t&gt;&lt;/m:r&gt;&lt;/m:den&gt;&lt;/m:f&gt;&lt;/m:e&gt;&lt;/m:d&gt;&lt;m:r&gt;&lt;w:rPr&gt;&lt;w:rFonts w:ascii=&quot;Cambria Math&quot; w:h-ansi=&quot;Cambria Math&quot;/&gt;&lt;wx:font wx:val=&quot;Cambria Math&quot;/&gt;&lt;w:i/&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8D584B">
        <w:rPr>
          <w:lang w:val="en-US"/>
        </w:rPr>
        <w:fldChar w:fldCharType="end"/>
      </w:r>
    </w:p>
    <w:p w:rsidR="00A2303C" w:rsidRDefault="00A2303C" w:rsidP="001A5A8F">
      <w:pPr>
        <w:pStyle w:val="NoSpacing"/>
        <w:spacing w:line="360" w:lineRule="auto"/>
        <w:rPr>
          <w:lang w:val="en-US"/>
        </w:rPr>
      </w:pPr>
    </w:p>
    <w:p w:rsidR="00A2303C" w:rsidRDefault="00A2303C" w:rsidP="001A5A8F">
      <w:pPr>
        <w:pStyle w:val="NoSpacing"/>
        <w:spacing w:line="360" w:lineRule="auto"/>
        <w:rPr>
          <w:lang w:val="en-US"/>
        </w:rPr>
      </w:pPr>
      <w:r>
        <w:rPr>
          <w:lang w:val="en-US"/>
        </w:rPr>
        <w:t>With</w:t>
      </w:r>
      <w:r>
        <w:rPr>
          <w:lang w:val="en-US"/>
        </w:rPr>
        <w:tab/>
      </w:r>
      <w:r>
        <w:rPr>
          <w:lang w:val="en-US"/>
        </w:rPr>
        <w:tab/>
        <w:t>f = Social security factor</w:t>
      </w:r>
    </w:p>
    <w:p w:rsidR="00A2303C" w:rsidRDefault="00A2303C" w:rsidP="001A5A8F">
      <w:pPr>
        <w:pStyle w:val="NoSpacing"/>
        <w:spacing w:line="360" w:lineRule="auto"/>
        <w:rPr>
          <w:lang w:val="en-US"/>
        </w:rPr>
      </w:pPr>
      <w:r>
        <w:rPr>
          <w:lang w:val="en-US"/>
        </w:rPr>
        <w:tab/>
      </w:r>
      <w:r>
        <w:rPr>
          <w:lang w:val="en-US"/>
        </w:rPr>
        <w:tab/>
        <w:t>T</w:t>
      </w:r>
      <w:r>
        <w:rPr>
          <w:vertAlign w:val="subscript"/>
          <w:lang w:val="en-US"/>
        </w:rPr>
        <w:t>c</w:t>
      </w:r>
      <w:r>
        <w:rPr>
          <w:lang w:val="en-US"/>
        </w:rPr>
        <w:t xml:space="preserve"> = Contribution time up to retirement time</w:t>
      </w:r>
    </w:p>
    <w:p w:rsidR="00A2303C" w:rsidRDefault="00A2303C" w:rsidP="001A5A8F">
      <w:pPr>
        <w:pStyle w:val="NoSpacing"/>
        <w:spacing w:line="360" w:lineRule="auto"/>
        <w:rPr>
          <w:lang w:val="en-US"/>
        </w:rPr>
      </w:pPr>
      <w:r>
        <w:rPr>
          <w:lang w:val="en-US"/>
        </w:rPr>
        <w:tab/>
      </w:r>
      <w:r>
        <w:rPr>
          <w:lang w:val="en-US"/>
        </w:rPr>
        <w:tab/>
        <w:t>a = Employee’s contribution bracket</w:t>
      </w:r>
    </w:p>
    <w:p w:rsidR="00A2303C" w:rsidRDefault="00A2303C" w:rsidP="001A5A8F">
      <w:pPr>
        <w:pStyle w:val="NoSpacing"/>
        <w:spacing w:line="360" w:lineRule="auto"/>
        <w:rPr>
          <w:lang w:val="en-US"/>
        </w:rPr>
      </w:pPr>
      <w:r>
        <w:rPr>
          <w:lang w:val="en-US"/>
        </w:rPr>
        <w:tab/>
      </w:r>
      <w:r>
        <w:rPr>
          <w:lang w:val="en-US"/>
        </w:rPr>
        <w:tab/>
        <w:t>E</w:t>
      </w:r>
      <w:r>
        <w:rPr>
          <w:vertAlign w:val="subscript"/>
          <w:lang w:val="en-US"/>
        </w:rPr>
        <w:t>s</w:t>
      </w:r>
      <w:r>
        <w:rPr>
          <w:lang w:val="en-US"/>
        </w:rPr>
        <w:t xml:space="preserve"> = Employee’s life expectancy on the date of retirement</w:t>
      </w:r>
    </w:p>
    <w:p w:rsidR="00A2303C" w:rsidRDefault="00A2303C" w:rsidP="001A5A8F">
      <w:pPr>
        <w:pStyle w:val="NoSpacing"/>
        <w:spacing w:line="360" w:lineRule="auto"/>
        <w:rPr>
          <w:lang w:val="en-US"/>
        </w:rPr>
      </w:pPr>
      <w:r>
        <w:rPr>
          <w:lang w:val="en-US"/>
        </w:rPr>
        <w:tab/>
      </w:r>
      <w:r>
        <w:rPr>
          <w:lang w:val="en-US"/>
        </w:rPr>
        <w:tab/>
        <w:t>I</w:t>
      </w:r>
      <w:r>
        <w:rPr>
          <w:vertAlign w:val="subscript"/>
          <w:lang w:val="en-US"/>
        </w:rPr>
        <w:t>d</w:t>
      </w:r>
      <w:r>
        <w:rPr>
          <w:lang w:val="en-US"/>
        </w:rPr>
        <w:t xml:space="preserve"> = Employee’s age on the date of retirement</w:t>
      </w:r>
    </w:p>
    <w:p w:rsidR="00A2303C" w:rsidRDefault="00A2303C" w:rsidP="001A5A8F">
      <w:pPr>
        <w:pStyle w:val="NoSpacing"/>
        <w:spacing w:line="360" w:lineRule="auto"/>
        <w:rPr>
          <w:lang w:val="en-US"/>
        </w:rPr>
      </w:pPr>
    </w:p>
    <w:p w:rsidR="00A2303C" w:rsidRDefault="00A2303C" w:rsidP="001A5A8F">
      <w:pPr>
        <w:pStyle w:val="NoSpacing"/>
        <w:spacing w:line="360" w:lineRule="auto"/>
        <w:rPr>
          <w:lang w:val="en-US"/>
        </w:rPr>
      </w:pPr>
      <w:r>
        <w:rPr>
          <w:lang w:val="en-US"/>
        </w:rPr>
        <w:t xml:space="preserve">The second system, the Special system RJU, covers the employees in the public sector. It is a more complex system than the RGPS in the sense that it operates on different governmental levels, namely on a federal, state and municipal level. The rules and regulations differ among the three levels and each has different costs. </w:t>
      </w:r>
    </w:p>
    <w:p w:rsidR="00A2303C" w:rsidRDefault="00A2303C" w:rsidP="001A5A8F">
      <w:pPr>
        <w:pStyle w:val="NoSpacing"/>
        <w:spacing w:line="360" w:lineRule="auto"/>
        <w:rPr>
          <w:lang w:val="en-US"/>
        </w:rPr>
      </w:pPr>
    </w:p>
    <w:p w:rsidR="00A2303C" w:rsidRDefault="00A2303C" w:rsidP="00E7641D">
      <w:pPr>
        <w:pStyle w:val="NoSpacing"/>
        <w:spacing w:line="360" w:lineRule="auto"/>
        <w:rPr>
          <w:lang w:val="en-US"/>
        </w:rPr>
      </w:pPr>
      <w:r>
        <w:rPr>
          <w:lang w:val="en-US"/>
        </w:rPr>
        <w:t xml:space="preserve">The pensions in the RJU are more generous than in the RGPS. For example, assuming the same contribution time civil servants receive a pension that is equal to their last wage, whereas private employees receive a pension that is less than a 100 per cent of their wage (see formula 3 and 4). Additionally, as said before there is a ceiling limiting the pension a private employee can receive. Another advantage of the RJU pensions over the RGPS pensions is that the contribution time for civil servants before they can retire and receive full benefits is only 10 years compared to 35 (men) or 30 years (women) for private workers. </w:t>
      </w:r>
    </w:p>
    <w:p w:rsidR="00A2303C" w:rsidRDefault="00A2303C" w:rsidP="001A5A8F">
      <w:pPr>
        <w:pStyle w:val="NoSpacing"/>
        <w:spacing w:line="360" w:lineRule="auto"/>
        <w:rPr>
          <w:lang w:val="en-US"/>
        </w:rPr>
      </w:pPr>
    </w:p>
    <w:p w:rsidR="00A2303C" w:rsidRDefault="00A2303C" w:rsidP="001A5A8F">
      <w:pPr>
        <w:pStyle w:val="NoSpacing"/>
        <w:spacing w:line="360" w:lineRule="auto"/>
        <w:rPr>
          <w:lang w:val="en-US"/>
        </w:rPr>
      </w:pPr>
      <w:r>
        <w:rPr>
          <w:lang w:val="en-US"/>
        </w:rPr>
        <w:t>Another issue is that the RJU pays high benefits and the mandatory contributions are low causes great deficits.</w:t>
      </w:r>
      <w:r w:rsidRPr="00E7641D">
        <w:rPr>
          <w:lang w:val="en-US"/>
        </w:rPr>
        <w:t xml:space="preserve"> </w:t>
      </w:r>
      <w:r>
        <w:rPr>
          <w:lang w:val="en-US"/>
        </w:rPr>
        <w:t>In 2002 the deficit for the RJU was equal to 4.2 per cent of GDP (Minist</w:t>
      </w:r>
      <w:r>
        <w:rPr>
          <w:rFonts w:cs="Calibri"/>
          <w:lang w:val="en-US"/>
        </w:rPr>
        <w:t>é</w:t>
      </w:r>
      <w:r>
        <w:rPr>
          <w:lang w:val="en-US"/>
        </w:rPr>
        <w:t xml:space="preserve">rio da Fazenda 2003). It took until 1998 before a mandatory contribution rate of 11 per cent of payroll was enforced. </w:t>
      </w:r>
    </w:p>
    <w:p w:rsidR="00A2303C" w:rsidRDefault="00A2303C" w:rsidP="001A5A8F">
      <w:pPr>
        <w:pStyle w:val="NoSpacing"/>
        <w:spacing w:line="360" w:lineRule="auto"/>
        <w:rPr>
          <w:lang w:val="en-US"/>
        </w:rPr>
      </w:pPr>
    </w:p>
    <w:p w:rsidR="00A2303C" w:rsidRDefault="00A2303C" w:rsidP="004E7D63">
      <w:pPr>
        <w:pStyle w:val="NoSpacing"/>
        <w:numPr>
          <w:ilvl w:val="2"/>
          <w:numId w:val="26"/>
        </w:numPr>
        <w:spacing w:line="360" w:lineRule="auto"/>
        <w:ind w:left="1260" w:hanging="1260"/>
        <w:rPr>
          <w:b/>
          <w:i/>
          <w:lang w:val="en-US"/>
        </w:rPr>
      </w:pPr>
      <w:r>
        <w:rPr>
          <w:b/>
          <w:i/>
          <w:lang w:val="en-US"/>
        </w:rPr>
        <w:t>Second pillar</w:t>
      </w:r>
    </w:p>
    <w:p w:rsidR="00A2303C" w:rsidRDefault="00A2303C" w:rsidP="00F85FAD">
      <w:pPr>
        <w:pStyle w:val="NoSpacing"/>
        <w:spacing w:line="360" w:lineRule="auto"/>
        <w:rPr>
          <w:lang w:val="en-US"/>
        </w:rPr>
      </w:pPr>
      <w:r>
        <w:rPr>
          <w:lang w:val="en-US"/>
        </w:rPr>
        <w:t>Until now this pillar has not been put into operation, only the regulation has been stipulated. It will be mandatory for future public workers.</w:t>
      </w:r>
    </w:p>
    <w:p w:rsidR="00A2303C" w:rsidRDefault="00A2303C" w:rsidP="00F85FAD">
      <w:pPr>
        <w:pStyle w:val="NoSpacing"/>
        <w:spacing w:line="360" w:lineRule="auto"/>
        <w:rPr>
          <w:lang w:val="en-US"/>
        </w:rPr>
      </w:pPr>
    </w:p>
    <w:p w:rsidR="00A2303C" w:rsidRDefault="00A2303C" w:rsidP="004E7D63">
      <w:pPr>
        <w:pStyle w:val="NoSpacing"/>
        <w:numPr>
          <w:ilvl w:val="2"/>
          <w:numId w:val="26"/>
        </w:numPr>
        <w:spacing w:line="360" w:lineRule="auto"/>
        <w:ind w:left="1260" w:hanging="1260"/>
        <w:rPr>
          <w:b/>
          <w:i/>
          <w:lang w:val="en-US"/>
        </w:rPr>
      </w:pPr>
      <w:r>
        <w:rPr>
          <w:b/>
          <w:i/>
          <w:lang w:val="en-US"/>
        </w:rPr>
        <w:t>Third pillar</w:t>
      </w:r>
    </w:p>
    <w:p w:rsidR="00A2303C" w:rsidRDefault="00A2303C" w:rsidP="008C1ADA">
      <w:pPr>
        <w:pStyle w:val="NoSpacing"/>
        <w:spacing w:line="360" w:lineRule="auto"/>
        <w:rPr>
          <w:lang w:val="en-US"/>
        </w:rPr>
      </w:pPr>
      <w:r>
        <w:rPr>
          <w:lang w:val="en-US"/>
        </w:rPr>
        <w:t xml:space="preserve">The final pillar consists of complementary pensions that are voluntary and can either be in closed or open funds. Closed pensions are only accessible to employees of a specific company, which have particular collective benefits for that group and are operated by pension or multi-employer funds. Open pensions, on the other hand, are available to everyone who wants to join and are provided by financial institutions. Contributions are often paid to an individual account, which will be used to pay out benefits upon old age. </w:t>
      </w:r>
    </w:p>
    <w:p w:rsidR="00A2303C" w:rsidRDefault="00A2303C" w:rsidP="008C1ADA">
      <w:pPr>
        <w:pStyle w:val="NoSpacing"/>
        <w:spacing w:line="360" w:lineRule="auto"/>
        <w:rPr>
          <w:lang w:val="en-US"/>
        </w:rPr>
      </w:pPr>
    </w:p>
    <w:p w:rsidR="00A2303C" w:rsidRDefault="00A2303C" w:rsidP="008C1ADA">
      <w:pPr>
        <w:pStyle w:val="NoSpacing"/>
        <w:spacing w:line="360" w:lineRule="auto"/>
        <w:rPr>
          <w:lang w:val="en-US"/>
        </w:rPr>
      </w:pPr>
      <w:r>
        <w:rPr>
          <w:lang w:val="en-US"/>
        </w:rPr>
        <w:t>Even though the participation level in this pillar is still relatively low, just 4 per cent of the population in 2002, the pension funds of this pillar have a significant influence on the nation’s economy (Medici 2004). Not only do they increase the long-term savings (Studart 2000), they are also responsible for buying many of Brazil’s treasuries (Ferreira Savoia 2007).</w:t>
      </w:r>
    </w:p>
    <w:p w:rsidR="00A2303C" w:rsidRDefault="00A2303C" w:rsidP="008C1ADA">
      <w:pPr>
        <w:pStyle w:val="NoSpacing"/>
        <w:spacing w:line="360" w:lineRule="auto"/>
        <w:rPr>
          <w:lang w:val="en-US"/>
        </w:rPr>
      </w:pPr>
    </w:p>
    <w:p w:rsidR="00A2303C" w:rsidRDefault="00A2303C" w:rsidP="004E7D63">
      <w:pPr>
        <w:pStyle w:val="NoSpacing"/>
        <w:numPr>
          <w:ilvl w:val="1"/>
          <w:numId w:val="26"/>
        </w:numPr>
        <w:spacing w:line="360" w:lineRule="auto"/>
        <w:ind w:left="1260" w:hanging="1260"/>
        <w:rPr>
          <w:b/>
          <w:i/>
          <w:lang w:val="en-US"/>
        </w:rPr>
      </w:pPr>
      <w:r>
        <w:rPr>
          <w:b/>
          <w:i/>
          <w:lang w:val="en-US"/>
        </w:rPr>
        <w:t>Challenges ahead</w:t>
      </w:r>
    </w:p>
    <w:p w:rsidR="00A2303C" w:rsidRDefault="00A2303C" w:rsidP="00847A5B">
      <w:pPr>
        <w:pStyle w:val="NoSpacing"/>
        <w:spacing w:line="360" w:lineRule="auto"/>
        <w:rPr>
          <w:lang w:val="en-US"/>
        </w:rPr>
      </w:pPr>
      <w:r>
        <w:rPr>
          <w:lang w:val="en-US"/>
        </w:rPr>
        <w:t xml:space="preserve">After analyzing the Brazilian pension system, several challenges and (potential) problem areas can be identified. Ferreira Savoia (2007) found five critical matters that are either already of concern or will most likely become a threat in the near future, based on trends and future predictions. If no attention is paid to these matters, they can have severe effects on the long-term sustainability of the pension system in Brazil. </w:t>
      </w:r>
    </w:p>
    <w:p w:rsidR="00A2303C" w:rsidRDefault="00A2303C" w:rsidP="00847A5B">
      <w:pPr>
        <w:pStyle w:val="NoSpacing"/>
        <w:spacing w:line="360" w:lineRule="auto"/>
        <w:rPr>
          <w:lang w:val="en-US"/>
        </w:rPr>
      </w:pPr>
    </w:p>
    <w:p w:rsidR="00A2303C" w:rsidRDefault="00A2303C" w:rsidP="004E7D63">
      <w:pPr>
        <w:pStyle w:val="NoSpacing"/>
        <w:numPr>
          <w:ilvl w:val="2"/>
          <w:numId w:val="26"/>
        </w:numPr>
        <w:spacing w:line="360" w:lineRule="auto"/>
        <w:ind w:left="1260" w:hanging="1260"/>
        <w:rPr>
          <w:b/>
          <w:i/>
          <w:lang w:val="en-US"/>
        </w:rPr>
      </w:pPr>
      <w:r>
        <w:rPr>
          <w:b/>
          <w:i/>
          <w:lang w:val="en-US"/>
        </w:rPr>
        <w:t xml:space="preserve">Ageing of the society </w:t>
      </w:r>
    </w:p>
    <w:p w:rsidR="00A2303C" w:rsidRDefault="00A2303C" w:rsidP="00657F10">
      <w:pPr>
        <w:pStyle w:val="NoSpacing"/>
        <w:spacing w:line="360" w:lineRule="auto"/>
        <w:rPr>
          <w:lang w:val="en-US"/>
        </w:rPr>
      </w:pPr>
      <w:r>
        <w:rPr>
          <w:lang w:val="en-US"/>
        </w:rPr>
        <w:t xml:space="preserve">One of the most worrisome concerns is the ageing of the society combined with falling fertility rates and increased life expectancies. Although, Brazil still has a relatively young population, the trends for the demographics are reasons for serious concern. Figure 6.1 shows the demographic structure of the Brazilian population from 1975 until 2000 and predictions for the future. </w:t>
      </w:r>
    </w:p>
    <w:p w:rsidR="00A2303C" w:rsidRDefault="00A2303C" w:rsidP="00657F10">
      <w:pPr>
        <w:pStyle w:val="NoSpacing"/>
        <w:spacing w:line="360" w:lineRule="auto"/>
        <w:rPr>
          <w:lang w:val="en-US"/>
        </w:rPr>
      </w:pPr>
    </w:p>
    <w:p w:rsidR="00A2303C" w:rsidRDefault="00A2303C" w:rsidP="00A13091">
      <w:pPr>
        <w:pStyle w:val="NoSpacing"/>
        <w:spacing w:line="360" w:lineRule="auto"/>
        <w:jc w:val="center"/>
        <w:rPr>
          <w:i/>
          <w:sz w:val="20"/>
          <w:szCs w:val="20"/>
          <w:lang w:val="en-US"/>
        </w:rPr>
      </w:pPr>
      <w:r>
        <w:rPr>
          <w:noProof/>
          <w:lang w:val="en-US"/>
        </w:rPr>
        <w:pict>
          <v:shape id="Chart 1" o:spid="_x0000_s1032" type="#_x0000_t75" style="position:absolute;left:0;text-align:left;margin-left:-30.55pt;margin-top:27.9pt;width:243.85pt;height:184.8pt;z-index:-251660288;visibility:visible;mso-wrap-distance-bottom:.18pt" wrapcoords="-66 0 -66 21512 21600 21512 21600 0 -66 0"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">
            <v:imagedata r:id="rId16" o:title=""/>
            <o:lock v:ext="edit" aspectratio="f"/>
            <w10:wrap type="tight"/>
          </v:shape>
        </w:pict>
      </w:r>
      <w:r>
        <w:rPr>
          <w:noProof/>
          <w:lang w:val="en-US"/>
        </w:rPr>
        <w:pict>
          <v:shape id="Chart 2" o:spid="_x0000_s1033" type="#_x0000_t75" style="position:absolute;left:0;text-align:left;margin-left:241.65pt;margin-top:27.9pt;width:257.3pt;height:184.8pt;z-index:-251661312;visibility:visible;mso-wrap-distance-bottom:.18pt" wrapcoords="-63 0 -63 21512 21600 21512 21600 0 -63 0"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">
            <v:imagedata r:id="rId17" o:title=""/>
            <o:lock v:ext="edit" aspectratio="f"/>
            <w10:wrap type="tight"/>
          </v:shape>
        </w:pict>
      </w:r>
      <w:r>
        <w:rPr>
          <w:i/>
          <w:sz w:val="20"/>
          <w:szCs w:val="20"/>
          <w:lang w:val="en-US"/>
        </w:rPr>
        <w:t>Figure 6.1 Demographic structure of Brazil, in percentage of total population</w:t>
      </w:r>
    </w:p>
    <w:p w:rsidR="00A2303C" w:rsidRDefault="00A2303C" w:rsidP="00657F10">
      <w:pPr>
        <w:pStyle w:val="NoSpacing"/>
        <w:spacing w:line="360" w:lineRule="auto"/>
        <w:rPr>
          <w:i/>
          <w:sz w:val="20"/>
          <w:szCs w:val="20"/>
          <w:lang w:val="en-US"/>
        </w:rPr>
      </w:pPr>
    </w:p>
    <w:p w:rsidR="00A2303C" w:rsidRPr="00A13091" w:rsidRDefault="00A2303C" w:rsidP="00657F10">
      <w:pPr>
        <w:pStyle w:val="NoSpacing"/>
        <w:spacing w:line="360" w:lineRule="auto"/>
        <w:rPr>
          <w:i/>
          <w:sz w:val="20"/>
          <w:szCs w:val="20"/>
          <w:lang w:val="en-US"/>
        </w:rPr>
      </w:pPr>
    </w:p>
    <w:p w:rsidR="00A2303C" w:rsidRDefault="00A2303C" w:rsidP="008C1ADA">
      <w:pPr>
        <w:pStyle w:val="NoSpacing"/>
        <w:spacing w:line="360" w:lineRule="auto"/>
        <w:rPr>
          <w:lang w:val="en-US"/>
        </w:rPr>
      </w:pPr>
    </w:p>
    <w:p w:rsidR="00A2303C" w:rsidRPr="008C1ADA" w:rsidRDefault="00A2303C" w:rsidP="008C1ADA">
      <w:pPr>
        <w:pStyle w:val="NoSpacing"/>
        <w:spacing w:line="360" w:lineRule="auto"/>
        <w:rPr>
          <w:lang w:val="en-US"/>
        </w:rPr>
      </w:pPr>
    </w:p>
    <w:p w:rsidR="00A2303C" w:rsidRDefault="00A2303C" w:rsidP="00F85FAD">
      <w:pPr>
        <w:pStyle w:val="NoSpacing"/>
        <w:spacing w:line="360" w:lineRule="auto"/>
        <w:rPr>
          <w:lang w:val="en-US"/>
        </w:rPr>
      </w:pPr>
    </w:p>
    <w:p w:rsidR="00A2303C" w:rsidRDefault="00A2303C" w:rsidP="00F85FAD">
      <w:pPr>
        <w:pStyle w:val="NoSpacing"/>
        <w:spacing w:line="360" w:lineRule="auto"/>
        <w:rPr>
          <w:lang w:val="en-US"/>
        </w:rPr>
      </w:pPr>
    </w:p>
    <w:p w:rsidR="00A2303C" w:rsidRDefault="00A2303C" w:rsidP="00F85FAD">
      <w:pPr>
        <w:pStyle w:val="NoSpacing"/>
        <w:spacing w:line="360" w:lineRule="auto"/>
        <w:rPr>
          <w:lang w:val="en-US"/>
        </w:rPr>
      </w:pPr>
    </w:p>
    <w:p w:rsidR="00A2303C" w:rsidRPr="00F85FAD" w:rsidRDefault="00A2303C" w:rsidP="00F85FAD">
      <w:pPr>
        <w:pStyle w:val="NoSpacing"/>
        <w:spacing w:line="360" w:lineRule="auto"/>
        <w:rPr>
          <w:lang w:val="en-US"/>
        </w:rPr>
      </w:pPr>
      <w:r>
        <w:rPr>
          <w:lang w:val="en-US"/>
        </w:rPr>
        <w:t xml:space="preserve"> </w:t>
      </w:r>
    </w:p>
    <w:p w:rsidR="00A2303C" w:rsidRDefault="00A2303C" w:rsidP="001A5A8F">
      <w:pPr>
        <w:pStyle w:val="NoSpacing"/>
        <w:spacing w:line="360" w:lineRule="auto"/>
        <w:rPr>
          <w:lang w:val="en-US"/>
        </w:rPr>
      </w:pPr>
    </w:p>
    <w:p w:rsidR="00A2303C" w:rsidRDefault="00A2303C" w:rsidP="001A5A8F">
      <w:pPr>
        <w:pStyle w:val="NoSpacing"/>
        <w:spacing w:line="360" w:lineRule="auto"/>
        <w:rPr>
          <w:lang w:val="en-US"/>
        </w:rPr>
      </w:pPr>
    </w:p>
    <w:p w:rsidR="00A2303C" w:rsidRPr="001A5A8F" w:rsidRDefault="00A2303C" w:rsidP="001A5A8F">
      <w:pPr>
        <w:pStyle w:val="NoSpacing"/>
        <w:spacing w:line="360" w:lineRule="auto"/>
        <w:rPr>
          <w:lang w:val="en-US"/>
        </w:rPr>
      </w:pPr>
    </w:p>
    <w:p w:rsidR="00A2303C" w:rsidRDefault="00A2303C" w:rsidP="00A33DAA">
      <w:pPr>
        <w:pStyle w:val="NoSpacing"/>
        <w:spacing w:line="360" w:lineRule="auto"/>
        <w:rPr>
          <w:lang w:val="en-GB"/>
        </w:rPr>
      </w:pPr>
      <w:r>
        <w:rPr>
          <w:noProof/>
          <w:lang w:val="en-US"/>
        </w:rPr>
        <w:pict>
          <v:shape id="Chart 6" o:spid="_x0000_s1034" type="#_x0000_t75" style="position:absolute;margin-left:241.7pt;margin-top:-.85pt;width:260.15pt;height:164.65pt;z-index:-251658240;visibility:visible;mso-wrap-distance-bottom:.09pt" wrapcoords="-62 0 -62 21502 21600 21502 21600 0 -62 0"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">
            <v:imagedata r:id="rId18" o:title=""/>
            <o:lock v:ext="edit" aspectratio="f"/>
            <w10:wrap type="tight"/>
          </v:shape>
        </w:pict>
      </w:r>
      <w:r>
        <w:rPr>
          <w:noProof/>
          <w:lang w:val="en-US"/>
        </w:rPr>
        <w:pict>
          <v:shape id="Chart 5" o:spid="_x0000_s1035" type="#_x0000_t75" style="position:absolute;margin-left:-30.55pt;margin-top:-.9pt;width:243.85pt;height:164.65pt;z-index:-251659264;visibility:visible;mso-wrap-distance-bottom:.09pt" wrapcoords="-66 0 -66 21502 21600 21502 21600 0 -66 0"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">
            <v:imagedata r:id="rId19" o:title=""/>
            <o:lock v:ext="edit" aspectratio="f"/>
            <w10:wrap type="tight"/>
          </v:shape>
        </w:pict>
      </w:r>
    </w:p>
    <w:p w:rsidR="00A2303C" w:rsidRPr="001805D7" w:rsidRDefault="00A2303C" w:rsidP="00A33DAA">
      <w:pPr>
        <w:pStyle w:val="NoSpacing"/>
        <w:spacing w:line="360" w:lineRule="auto"/>
        <w:rPr>
          <w:lang w:val="en-GB"/>
        </w:rPr>
      </w:pPr>
    </w:p>
    <w:p w:rsidR="00A2303C" w:rsidRPr="000E554A" w:rsidRDefault="00A2303C" w:rsidP="000E554A">
      <w:pPr>
        <w:pStyle w:val="NoSpacing"/>
        <w:spacing w:line="360" w:lineRule="auto"/>
        <w:rPr>
          <w:b/>
          <w:i/>
          <w:lang w:val="en-GB"/>
        </w:rPr>
      </w:pPr>
    </w:p>
    <w:p w:rsidR="00A2303C" w:rsidRPr="005A2EA7" w:rsidRDefault="00A2303C" w:rsidP="006E40F9">
      <w:pPr>
        <w:pStyle w:val="NoSpacing"/>
        <w:spacing w:line="360" w:lineRule="auto"/>
        <w:rPr>
          <w:lang w:val="en-GB"/>
        </w:rPr>
      </w:pPr>
    </w:p>
    <w:p w:rsidR="00A2303C" w:rsidRPr="00AB339E" w:rsidRDefault="00A2303C" w:rsidP="00906713">
      <w:pPr>
        <w:pStyle w:val="NoSpacing"/>
        <w:spacing w:line="360" w:lineRule="auto"/>
        <w:rPr>
          <w:lang w:val="en-US"/>
        </w:rPr>
      </w:pPr>
      <w:r>
        <w:rPr>
          <w:lang w:val="en-US"/>
        </w:rPr>
        <w:t xml:space="preserve"> </w:t>
      </w:r>
    </w:p>
    <w:p w:rsidR="00A2303C" w:rsidRPr="00E77B2A" w:rsidRDefault="00A2303C" w:rsidP="009B61F1">
      <w:pPr>
        <w:pStyle w:val="NoSpacing"/>
        <w:spacing w:line="360" w:lineRule="auto"/>
        <w:rPr>
          <w:b/>
          <w:i/>
          <w:lang w:val="en-US"/>
        </w:rPr>
      </w:pPr>
    </w:p>
    <w:p w:rsidR="00A2303C" w:rsidRPr="00E77B2A" w:rsidRDefault="00A2303C" w:rsidP="00ED27DF">
      <w:pPr>
        <w:pStyle w:val="NoSpacing"/>
        <w:spacing w:line="360" w:lineRule="auto"/>
        <w:rPr>
          <w:lang w:val="en-US"/>
        </w:rPr>
      </w:pPr>
    </w:p>
    <w:p w:rsidR="00A2303C" w:rsidRPr="00E77B2A" w:rsidRDefault="00A2303C" w:rsidP="00ED27DF">
      <w:pPr>
        <w:pStyle w:val="NoSpacing"/>
        <w:spacing w:line="360" w:lineRule="auto"/>
        <w:rPr>
          <w:lang w:val="en-US"/>
        </w:rPr>
      </w:pPr>
    </w:p>
    <w:p w:rsidR="00A2303C" w:rsidRPr="00E77B2A" w:rsidRDefault="00A2303C" w:rsidP="00513D6B">
      <w:pPr>
        <w:pStyle w:val="NoSpacing"/>
        <w:spacing w:line="360" w:lineRule="auto"/>
        <w:rPr>
          <w:lang w:val="en-US"/>
        </w:rPr>
      </w:pPr>
    </w:p>
    <w:p w:rsidR="00A2303C" w:rsidRPr="004E0760" w:rsidRDefault="00A2303C" w:rsidP="004E0760">
      <w:pPr>
        <w:spacing w:line="360" w:lineRule="auto"/>
        <w:jc w:val="center"/>
        <w:rPr>
          <w:i/>
          <w:sz w:val="20"/>
          <w:szCs w:val="20"/>
          <w:lang w:val="en-US"/>
        </w:rPr>
      </w:pPr>
      <w:r>
        <w:rPr>
          <w:i/>
          <w:sz w:val="20"/>
          <w:szCs w:val="20"/>
          <w:lang w:val="en-US"/>
        </w:rPr>
        <w:t>Source: United Nations (2008)</w:t>
      </w:r>
    </w:p>
    <w:p w:rsidR="00A2303C" w:rsidRDefault="00A2303C" w:rsidP="00E45336">
      <w:pPr>
        <w:pStyle w:val="NoSpacing"/>
        <w:spacing w:line="360" w:lineRule="auto"/>
        <w:rPr>
          <w:lang w:val="en-US"/>
        </w:rPr>
      </w:pPr>
      <w:r>
        <w:rPr>
          <w:lang w:val="en-US"/>
        </w:rPr>
        <w:t>From Figure 6.1 it can be seen that in 1950 the population structure still looked like a pyramid, while currently this is no longer the case. Moreover, the future predictions made by the United Nations (2008), suggest even more trouble. Reason for the trouble is that the younger part of the population becomes ever smaller compared to the elderly. The amount of people in the labor force will decrease and at the same time the amount of people eligible for pension benefits increases. This will have a negative effect on the ratio between beneficiaries and contributors in the pension system, particularly because Brazil’s first pillar is based on a PAYG system. Even though the social security factor for calculating the benefits is being adjusted for the demographical changes, these adjustments do not occur fast or high enough to keep up with the changes in demography. As a result, a smaller labor force will have to contribute more to balance the funding for the benefits received by a larger group of elderly (ceteris paribus). This reasoning is supported by figures reported by the United Nations (2008) on the dependency ratio of the elderly to the total population, which are presented in Figure 6.2.</w:t>
      </w:r>
    </w:p>
    <w:p w:rsidR="00A2303C" w:rsidRDefault="00A2303C" w:rsidP="00E45336">
      <w:pPr>
        <w:pStyle w:val="NoSpacing"/>
        <w:spacing w:line="360" w:lineRule="auto"/>
        <w:rPr>
          <w:lang w:val="en-US"/>
        </w:rPr>
      </w:pPr>
    </w:p>
    <w:p w:rsidR="00A2303C" w:rsidRPr="00AB616B" w:rsidRDefault="00A2303C" w:rsidP="00AB616B">
      <w:pPr>
        <w:pStyle w:val="NoSpacing"/>
        <w:spacing w:line="360" w:lineRule="auto"/>
        <w:jc w:val="center"/>
        <w:rPr>
          <w:i/>
          <w:sz w:val="20"/>
          <w:szCs w:val="20"/>
          <w:lang w:val="en-US"/>
        </w:rPr>
      </w:pPr>
      <w:r>
        <w:rPr>
          <w:i/>
          <w:sz w:val="20"/>
          <w:szCs w:val="20"/>
          <w:lang w:val="en-US"/>
        </w:rPr>
        <w:t>Figure 6.2 Elderly dependency ratio</w:t>
      </w:r>
    </w:p>
    <w:p w:rsidR="00A2303C" w:rsidRDefault="00A2303C" w:rsidP="00AB616B">
      <w:pPr>
        <w:pStyle w:val="NoSpacing"/>
        <w:spacing w:line="360" w:lineRule="auto"/>
        <w:jc w:val="center"/>
        <w:rPr>
          <w:lang w:val="en-US"/>
        </w:rPr>
      </w:pPr>
      <w:r w:rsidRPr="008D584B">
        <w:rPr>
          <w:noProof/>
          <w:lang w:val="en-US"/>
        </w:rPr>
        <w:pict>
          <v:shape id="Chart 9" o:spid="_x0000_i1034" type="#_x0000_t75" style="width:366pt;height:158.25pt;visibility:visible" o:gfxdata="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">
            <v:imagedata r:id="rId20" o:title="" cropbottom="-21f"/>
            <o:lock v:ext="edit" aspectratio="f"/>
          </v:shape>
        </w:pict>
      </w:r>
    </w:p>
    <w:p w:rsidR="00A2303C" w:rsidRPr="00AB616B" w:rsidRDefault="00A2303C" w:rsidP="00AB616B">
      <w:pPr>
        <w:pStyle w:val="NoSpacing"/>
        <w:spacing w:line="360" w:lineRule="auto"/>
        <w:jc w:val="center"/>
        <w:rPr>
          <w:i/>
          <w:sz w:val="20"/>
          <w:szCs w:val="20"/>
          <w:lang w:val="en-US"/>
        </w:rPr>
      </w:pPr>
      <w:r>
        <w:rPr>
          <w:i/>
          <w:sz w:val="20"/>
          <w:szCs w:val="20"/>
          <w:lang w:val="en-US"/>
        </w:rPr>
        <w:t>Source: United Nations (2008)</w:t>
      </w:r>
    </w:p>
    <w:p w:rsidR="00A2303C" w:rsidRDefault="00A2303C" w:rsidP="00E45336">
      <w:pPr>
        <w:pStyle w:val="NoSpacing"/>
        <w:spacing w:line="360" w:lineRule="auto"/>
        <w:rPr>
          <w:lang w:val="en-US"/>
        </w:rPr>
      </w:pPr>
    </w:p>
    <w:p w:rsidR="00A2303C" w:rsidRDefault="00A2303C" w:rsidP="00E45336">
      <w:pPr>
        <w:pStyle w:val="NoSpacing"/>
        <w:spacing w:line="360" w:lineRule="auto"/>
        <w:rPr>
          <w:lang w:val="en-US"/>
        </w:rPr>
      </w:pPr>
      <w:r>
        <w:rPr>
          <w:lang w:val="en-US"/>
        </w:rPr>
        <w:t xml:space="preserve">Factors influencing the population structure are among others fertility rates and life expectancies. Both of these factors are currently working at Brazil’s disadvantage. The fertility rates are falling, as can been seen from Figure 6.3. To be more specific, since the fertility rate is below two children per woman this will lead to a shrinking population (ceteris paribus). It can be concluded that the amount of new young people, who have to support the elderly, decreases which could make the sustainability of the pension system questionable if no action is undertaken. </w:t>
      </w:r>
    </w:p>
    <w:p w:rsidR="00A2303C" w:rsidRDefault="00A2303C" w:rsidP="00E45336">
      <w:pPr>
        <w:pStyle w:val="NoSpacing"/>
        <w:spacing w:line="360" w:lineRule="auto"/>
        <w:rPr>
          <w:lang w:val="en-US"/>
        </w:rPr>
      </w:pPr>
    </w:p>
    <w:p w:rsidR="00A2303C" w:rsidRDefault="00A2303C" w:rsidP="00E45336">
      <w:pPr>
        <w:pStyle w:val="NoSpacing"/>
        <w:spacing w:line="360" w:lineRule="auto"/>
        <w:rPr>
          <w:lang w:val="en-US"/>
        </w:rPr>
      </w:pPr>
    </w:p>
    <w:p w:rsidR="00A2303C" w:rsidRDefault="00A2303C" w:rsidP="00E45336">
      <w:pPr>
        <w:pStyle w:val="NoSpacing"/>
        <w:spacing w:line="360" w:lineRule="auto"/>
        <w:rPr>
          <w:lang w:val="en-US"/>
        </w:rPr>
      </w:pPr>
    </w:p>
    <w:p w:rsidR="00A2303C" w:rsidRDefault="00A2303C" w:rsidP="00E45336">
      <w:pPr>
        <w:pStyle w:val="NoSpacing"/>
        <w:spacing w:line="360" w:lineRule="auto"/>
        <w:rPr>
          <w:lang w:val="en-US"/>
        </w:rPr>
      </w:pPr>
    </w:p>
    <w:p w:rsidR="00A2303C" w:rsidRDefault="00A2303C" w:rsidP="00E45336">
      <w:pPr>
        <w:pStyle w:val="NoSpacing"/>
        <w:spacing w:line="360" w:lineRule="auto"/>
        <w:rPr>
          <w:lang w:val="en-US"/>
        </w:rPr>
      </w:pPr>
    </w:p>
    <w:p w:rsidR="00A2303C" w:rsidRPr="00E77B2A" w:rsidRDefault="00A2303C" w:rsidP="00E45336">
      <w:pPr>
        <w:pStyle w:val="NoSpacing"/>
        <w:spacing w:line="360" w:lineRule="auto"/>
        <w:rPr>
          <w:lang w:val="en-US"/>
        </w:rPr>
      </w:pPr>
    </w:p>
    <w:p w:rsidR="00A2303C" w:rsidRPr="00097F68" w:rsidRDefault="00A2303C" w:rsidP="00097F68">
      <w:pPr>
        <w:pStyle w:val="NoSpacing"/>
        <w:spacing w:line="360" w:lineRule="auto"/>
        <w:jc w:val="center"/>
        <w:rPr>
          <w:i/>
          <w:sz w:val="20"/>
          <w:szCs w:val="20"/>
          <w:lang w:val="en-US"/>
        </w:rPr>
      </w:pPr>
      <w:r>
        <w:rPr>
          <w:i/>
          <w:sz w:val="20"/>
          <w:szCs w:val="20"/>
          <w:lang w:val="en-US"/>
        </w:rPr>
        <w:t>Figure 6.3 Fertility rates in Brazil</w:t>
      </w:r>
    </w:p>
    <w:p w:rsidR="00A2303C" w:rsidRPr="00E77B2A" w:rsidRDefault="00A2303C" w:rsidP="000E6DA4">
      <w:pPr>
        <w:pStyle w:val="NoSpacing"/>
        <w:spacing w:line="360" w:lineRule="auto"/>
        <w:rPr>
          <w:lang w:val="en-US"/>
        </w:rPr>
      </w:pPr>
      <w:r>
        <w:rPr>
          <w:noProof/>
          <w:lang w:val="en-US"/>
        </w:rPr>
        <w:pict>
          <v:shape id="Chart 7" o:spid="_x0000_s1036" type="#_x0000_t75" style="position:absolute;margin-left:40.7pt;margin-top:1.5pt;width:366.7pt;height:176.15pt;z-index:-251657216;visibility:visible" wrapcoords="-44 0 -44 21508 21600 21508 21600 0 -44 0" o:gfxdata="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">
            <v:imagedata r:id="rId21" o:title=""/>
            <o:lock v:ext="edit" aspectratio="f"/>
            <w10:wrap type="tight"/>
          </v:shape>
        </w:pict>
      </w:r>
    </w:p>
    <w:p w:rsidR="00A2303C" w:rsidRPr="00E77B2A" w:rsidRDefault="00A2303C" w:rsidP="007A5059">
      <w:pPr>
        <w:pStyle w:val="NoSpacing"/>
        <w:spacing w:line="360" w:lineRule="auto"/>
        <w:rPr>
          <w:color w:val="000000"/>
          <w:lang w:val="en-US"/>
        </w:rPr>
      </w:pPr>
    </w:p>
    <w:p w:rsidR="00A2303C" w:rsidRPr="00E77B2A" w:rsidRDefault="00A2303C" w:rsidP="003531F5">
      <w:pPr>
        <w:pStyle w:val="NoSpacing"/>
        <w:spacing w:line="360" w:lineRule="auto"/>
        <w:rPr>
          <w:lang w:val="en-US"/>
        </w:rPr>
      </w:pPr>
    </w:p>
    <w:p w:rsidR="00A2303C" w:rsidRDefault="00A2303C" w:rsidP="00F87993">
      <w:pPr>
        <w:pStyle w:val="NoSpacing"/>
        <w:spacing w:line="360" w:lineRule="auto"/>
        <w:rPr>
          <w:lang w:val="en-US"/>
        </w:rPr>
      </w:pPr>
      <w:r w:rsidRPr="00E77B2A">
        <w:rPr>
          <w:lang w:val="en-US"/>
        </w:rPr>
        <w:t xml:space="preserve"> </w:t>
      </w:r>
    </w:p>
    <w:p w:rsidR="00A2303C" w:rsidRDefault="00A2303C" w:rsidP="00F87993">
      <w:pPr>
        <w:pStyle w:val="NoSpacing"/>
        <w:spacing w:line="360" w:lineRule="auto"/>
        <w:rPr>
          <w:lang w:val="en-US"/>
        </w:rPr>
      </w:pPr>
    </w:p>
    <w:p w:rsidR="00A2303C" w:rsidRDefault="00A2303C" w:rsidP="00F87993">
      <w:pPr>
        <w:pStyle w:val="NoSpacing"/>
        <w:spacing w:line="360" w:lineRule="auto"/>
        <w:rPr>
          <w:lang w:val="en-US"/>
        </w:rPr>
      </w:pPr>
    </w:p>
    <w:p w:rsidR="00A2303C" w:rsidRDefault="00A2303C" w:rsidP="00F87993">
      <w:pPr>
        <w:pStyle w:val="NoSpacing"/>
        <w:spacing w:line="360" w:lineRule="auto"/>
        <w:rPr>
          <w:lang w:val="en-US"/>
        </w:rPr>
      </w:pPr>
    </w:p>
    <w:p w:rsidR="00A2303C" w:rsidRDefault="00A2303C" w:rsidP="00F87993">
      <w:pPr>
        <w:pStyle w:val="NoSpacing"/>
        <w:spacing w:line="360" w:lineRule="auto"/>
        <w:rPr>
          <w:lang w:val="en-US"/>
        </w:rPr>
      </w:pPr>
    </w:p>
    <w:p w:rsidR="00A2303C" w:rsidRDefault="00A2303C" w:rsidP="00DE2DE3">
      <w:pPr>
        <w:pStyle w:val="NoSpacing"/>
        <w:spacing w:line="360" w:lineRule="auto"/>
        <w:jc w:val="center"/>
        <w:rPr>
          <w:i/>
          <w:sz w:val="20"/>
          <w:szCs w:val="20"/>
          <w:lang w:val="en-US"/>
        </w:rPr>
      </w:pPr>
    </w:p>
    <w:p w:rsidR="00A2303C" w:rsidRDefault="00A2303C" w:rsidP="00DE2DE3">
      <w:pPr>
        <w:pStyle w:val="NoSpacing"/>
        <w:spacing w:line="360" w:lineRule="auto"/>
        <w:jc w:val="center"/>
        <w:rPr>
          <w:i/>
          <w:sz w:val="20"/>
          <w:szCs w:val="20"/>
          <w:lang w:val="en-US"/>
        </w:rPr>
      </w:pPr>
      <w:r>
        <w:rPr>
          <w:i/>
          <w:sz w:val="20"/>
          <w:szCs w:val="20"/>
          <w:lang w:val="en-US"/>
        </w:rPr>
        <w:t>Source: United Nations (2008)</w:t>
      </w:r>
    </w:p>
    <w:p w:rsidR="00A2303C" w:rsidRDefault="00A2303C" w:rsidP="00097F68">
      <w:pPr>
        <w:pStyle w:val="NoSpacing"/>
        <w:spacing w:line="360" w:lineRule="auto"/>
        <w:jc w:val="center"/>
        <w:rPr>
          <w:i/>
          <w:sz w:val="20"/>
          <w:szCs w:val="20"/>
          <w:lang w:val="en-US"/>
        </w:rPr>
      </w:pPr>
    </w:p>
    <w:p w:rsidR="00A2303C" w:rsidRDefault="00A2303C" w:rsidP="00097F68">
      <w:pPr>
        <w:pStyle w:val="NoSpacing"/>
        <w:spacing w:line="360" w:lineRule="auto"/>
        <w:rPr>
          <w:lang w:val="en-US"/>
        </w:rPr>
      </w:pPr>
      <w:r>
        <w:rPr>
          <w:lang w:val="en-US"/>
        </w:rPr>
        <w:t xml:space="preserve">Furthermore, Figure 6.4 indicates that the life expectancy has been increasing throughout history and will continue to rise, and eventually stabilize around 80 years. This increase can be explained by improvements in the living conditions of the elderly on the one hand, and a significant lower rate of child mortality on the other hand. </w:t>
      </w:r>
    </w:p>
    <w:p w:rsidR="00A2303C" w:rsidRPr="00097F68" w:rsidRDefault="00A2303C" w:rsidP="00097F68">
      <w:pPr>
        <w:pStyle w:val="NoSpacing"/>
        <w:spacing w:line="360" w:lineRule="auto"/>
        <w:rPr>
          <w:lang w:val="en-US"/>
        </w:rPr>
      </w:pPr>
    </w:p>
    <w:p w:rsidR="00A2303C" w:rsidRDefault="00A2303C" w:rsidP="00097F68">
      <w:pPr>
        <w:pStyle w:val="NoSpacing"/>
        <w:spacing w:line="360" w:lineRule="auto"/>
        <w:jc w:val="center"/>
        <w:rPr>
          <w:i/>
          <w:sz w:val="20"/>
          <w:szCs w:val="20"/>
          <w:lang w:val="en-US"/>
        </w:rPr>
      </w:pPr>
      <w:r>
        <w:rPr>
          <w:i/>
          <w:sz w:val="20"/>
          <w:szCs w:val="20"/>
          <w:lang w:val="en-US"/>
        </w:rPr>
        <w:t>Figure 6.4 Life expectancy at birth</w:t>
      </w:r>
    </w:p>
    <w:p w:rsidR="00A2303C" w:rsidRDefault="00A2303C" w:rsidP="00097F68">
      <w:pPr>
        <w:pStyle w:val="NoSpacing"/>
        <w:spacing w:line="360" w:lineRule="auto"/>
        <w:jc w:val="center"/>
        <w:rPr>
          <w:i/>
          <w:sz w:val="20"/>
          <w:szCs w:val="20"/>
          <w:lang w:val="en-US"/>
        </w:rPr>
      </w:pPr>
      <w:r>
        <w:rPr>
          <w:noProof/>
          <w:lang w:val="en-US"/>
        </w:rPr>
        <w:pict>
          <v:shape id="Chart 8" o:spid="_x0000_s1037" type="#_x0000_t75" style="position:absolute;left:0;text-align:left;margin-left:45.95pt;margin-top:-.3pt;width:361.45pt;height:169.45pt;z-index:-251656192;visibility:visible" wrapcoords="-45 0 -45 21504 21600 21504 21600 0 -45 0" o:gfxdata="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">
            <v:imagedata r:id="rId22" o:title=""/>
            <o:lock v:ext="edit" aspectratio="f"/>
            <w10:wrap type="tight"/>
          </v:shape>
        </w:pict>
      </w:r>
    </w:p>
    <w:p w:rsidR="00A2303C" w:rsidRPr="00097F68" w:rsidRDefault="00A2303C" w:rsidP="00097F68">
      <w:pPr>
        <w:rPr>
          <w:lang w:val="en-US"/>
        </w:rPr>
      </w:pPr>
    </w:p>
    <w:p w:rsidR="00A2303C" w:rsidRPr="00097F68" w:rsidRDefault="00A2303C" w:rsidP="00097F68">
      <w:pPr>
        <w:rPr>
          <w:lang w:val="en-US"/>
        </w:rPr>
      </w:pPr>
    </w:p>
    <w:p w:rsidR="00A2303C" w:rsidRPr="00097F68" w:rsidRDefault="00A2303C" w:rsidP="00097F68">
      <w:pPr>
        <w:rPr>
          <w:lang w:val="en-US"/>
        </w:rPr>
      </w:pPr>
    </w:p>
    <w:p w:rsidR="00A2303C" w:rsidRPr="00097F68" w:rsidRDefault="00A2303C" w:rsidP="00097F68">
      <w:pPr>
        <w:rPr>
          <w:lang w:val="en-US"/>
        </w:rPr>
      </w:pPr>
    </w:p>
    <w:p w:rsidR="00A2303C" w:rsidRPr="00097F68" w:rsidRDefault="00A2303C" w:rsidP="00097F68">
      <w:pPr>
        <w:rPr>
          <w:lang w:val="en-US"/>
        </w:rPr>
      </w:pPr>
    </w:p>
    <w:p w:rsidR="00A2303C" w:rsidRDefault="00A2303C" w:rsidP="00097F68">
      <w:pPr>
        <w:rPr>
          <w:lang w:val="en-US"/>
        </w:rPr>
      </w:pPr>
    </w:p>
    <w:p w:rsidR="00A2303C" w:rsidRDefault="00A2303C" w:rsidP="00240898">
      <w:pPr>
        <w:pStyle w:val="NoSpacing"/>
        <w:spacing w:line="360" w:lineRule="auto"/>
        <w:jc w:val="center"/>
        <w:rPr>
          <w:i/>
          <w:sz w:val="20"/>
          <w:szCs w:val="20"/>
          <w:lang w:val="en-US"/>
        </w:rPr>
      </w:pPr>
      <w:r w:rsidRPr="00097F68">
        <w:rPr>
          <w:i/>
          <w:sz w:val="20"/>
          <w:szCs w:val="20"/>
          <w:lang w:val="en-US"/>
        </w:rPr>
        <w:t>Source: United Nations (2008)</w:t>
      </w:r>
    </w:p>
    <w:p w:rsidR="00A2303C" w:rsidRDefault="00A2303C" w:rsidP="00240898">
      <w:pPr>
        <w:pStyle w:val="NoSpacing"/>
        <w:spacing w:line="360" w:lineRule="auto"/>
        <w:rPr>
          <w:lang w:val="en-US"/>
        </w:rPr>
      </w:pPr>
    </w:p>
    <w:p w:rsidR="00A2303C" w:rsidRDefault="00A2303C" w:rsidP="00240898">
      <w:pPr>
        <w:pStyle w:val="NoSpacing"/>
        <w:spacing w:line="360" w:lineRule="auto"/>
        <w:rPr>
          <w:lang w:val="en-US"/>
        </w:rPr>
      </w:pPr>
      <w:r>
        <w:rPr>
          <w:lang w:val="en-US"/>
        </w:rPr>
        <w:t xml:space="preserve">To sum up, the various demographical trends create substantial intergenerational costs and will put a higher burden on the shoulders of future generations. These demographical trends of the Brazilian resemble the ones of Chile (see Figure 5.1 and 5.2). Both countries have falling fertility rates, reaching a level of less than two children per woman and increasing life expectancies of nearly 80 years. </w:t>
      </w:r>
    </w:p>
    <w:p w:rsidR="00A2303C" w:rsidRDefault="00A2303C" w:rsidP="00240898">
      <w:pPr>
        <w:pStyle w:val="NoSpacing"/>
        <w:spacing w:line="360" w:lineRule="auto"/>
        <w:rPr>
          <w:lang w:val="en-US"/>
        </w:rPr>
      </w:pPr>
    </w:p>
    <w:p w:rsidR="00A2303C" w:rsidRDefault="00A2303C" w:rsidP="00240898">
      <w:pPr>
        <w:pStyle w:val="NoSpacing"/>
        <w:spacing w:line="360" w:lineRule="auto"/>
        <w:rPr>
          <w:lang w:val="en-US"/>
        </w:rPr>
      </w:pPr>
    </w:p>
    <w:p w:rsidR="00A2303C" w:rsidRDefault="00A2303C" w:rsidP="004E7D63">
      <w:pPr>
        <w:pStyle w:val="NoSpacing"/>
        <w:numPr>
          <w:ilvl w:val="2"/>
          <w:numId w:val="26"/>
        </w:numPr>
        <w:spacing w:line="360" w:lineRule="auto"/>
        <w:ind w:left="1260" w:hanging="1260"/>
        <w:rPr>
          <w:b/>
          <w:i/>
          <w:lang w:val="en-US"/>
        </w:rPr>
      </w:pPr>
      <w:r>
        <w:rPr>
          <w:b/>
          <w:i/>
          <w:lang w:val="en-US"/>
        </w:rPr>
        <w:t>Too generous benefits for public workers compared to benefits for private workers</w:t>
      </w:r>
    </w:p>
    <w:p w:rsidR="00A2303C" w:rsidRDefault="00A2303C" w:rsidP="007A6E75">
      <w:pPr>
        <w:pStyle w:val="NoSpacing"/>
        <w:spacing w:line="360" w:lineRule="auto"/>
        <w:rPr>
          <w:lang w:val="en-US"/>
        </w:rPr>
      </w:pPr>
      <w:r>
        <w:rPr>
          <w:lang w:val="en-US"/>
        </w:rPr>
        <w:t xml:space="preserve">Like many OECD countries, Brazil has a special pension system for public workers which are often more generous than the system for the private workers, as was mentioned in the previous subsection (Bonturi  2002). Nevertheless, Brazil is even more generous than the average OECD country, since Brazilian public workers can receive benefits up to 100 per cent of their final wage whereas most OECD countries use some form of a replacement formula that contains a part of the final wage per year of service and is limited by a ceiling. It should be noted that the amount of benefits paid to public workers in the OECD countries has been heavily criticized in the respective countries, since it resulted in unaffordable pension liabilities. Therefore, countries such as the US, Canada and the Netherlands have changed their regulations for public workers (Bonturi 2002). Brazil should take this notion under advice, and realize that if the generally wealthier OECD countries already face problems with sustaining these high benefits, it will even be harder for Brazil to continue paying them. </w:t>
      </w:r>
    </w:p>
    <w:p w:rsidR="00A2303C" w:rsidRDefault="00A2303C" w:rsidP="007A6E75">
      <w:pPr>
        <w:pStyle w:val="NoSpacing"/>
        <w:spacing w:line="360" w:lineRule="auto"/>
        <w:rPr>
          <w:lang w:val="en-US"/>
        </w:rPr>
      </w:pPr>
    </w:p>
    <w:p w:rsidR="00A2303C" w:rsidRDefault="00A2303C" w:rsidP="007A6E75">
      <w:pPr>
        <w:pStyle w:val="NoSpacing"/>
        <w:spacing w:line="360" w:lineRule="auto"/>
        <w:rPr>
          <w:lang w:val="en-US"/>
        </w:rPr>
      </w:pPr>
      <w:r>
        <w:rPr>
          <w:lang w:val="en-US"/>
        </w:rPr>
        <w:t xml:space="preserve">The differences between the benefits of public workers and private workers are large. Figure 6.5 presents the average pension benefits among different groups of workers. </w:t>
      </w:r>
    </w:p>
    <w:p w:rsidR="00A2303C" w:rsidRDefault="00A2303C" w:rsidP="007A6E75">
      <w:pPr>
        <w:pStyle w:val="NoSpacing"/>
        <w:spacing w:line="360" w:lineRule="auto"/>
        <w:rPr>
          <w:lang w:val="en-US"/>
        </w:rPr>
      </w:pPr>
    </w:p>
    <w:p w:rsidR="00A2303C" w:rsidRDefault="00A2303C" w:rsidP="00F5737F">
      <w:pPr>
        <w:pStyle w:val="NoSpacing"/>
        <w:spacing w:line="360" w:lineRule="auto"/>
        <w:jc w:val="center"/>
        <w:rPr>
          <w:i/>
          <w:sz w:val="20"/>
          <w:szCs w:val="20"/>
          <w:lang w:val="en-US"/>
        </w:rPr>
      </w:pPr>
      <w:r>
        <w:rPr>
          <w:i/>
          <w:sz w:val="20"/>
          <w:szCs w:val="20"/>
          <w:lang w:val="en-US"/>
        </w:rPr>
        <w:t>Figure 6.5 Overview pension benefits</w:t>
      </w:r>
    </w:p>
    <w:tbl>
      <w:tblPr>
        <w:tblW w:w="0" w:type="auto"/>
        <w:jc w:val="center"/>
        <w:tblInd w:w="2143" w:type="dxa"/>
        <w:tblBorders>
          <w:top w:val="single" w:sz="18" w:space="0" w:color="auto"/>
          <w:bottom w:val="single" w:sz="18" w:space="0" w:color="auto"/>
        </w:tblBorders>
        <w:tblLook w:val="00A0"/>
      </w:tblPr>
      <w:tblGrid>
        <w:gridCol w:w="2088"/>
        <w:gridCol w:w="2700"/>
      </w:tblGrid>
      <w:tr w:rsidR="00A2303C" w:rsidRPr="00762AC3" w:rsidTr="008D584B">
        <w:trPr>
          <w:jc w:val="center"/>
        </w:trPr>
        <w:tc>
          <w:tcPr>
            <w:tcW w:w="2088" w:type="dxa"/>
            <w:tcBorders>
              <w:top w:val="single" w:sz="18" w:space="0" w:color="auto"/>
              <w:left w:val="single" w:sz="18" w:space="0" w:color="auto"/>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Group</w:t>
            </w:r>
          </w:p>
        </w:tc>
        <w:tc>
          <w:tcPr>
            <w:tcW w:w="2700" w:type="dxa"/>
            <w:tcBorders>
              <w:top w:val="single" w:sz="18" w:space="0" w:color="auto"/>
              <w:left w:val="single" w:sz="18" w:space="0" w:color="FFFFFF"/>
              <w:bottom w:val="single" w:sz="18" w:space="0" w:color="auto"/>
              <w:right w:val="single" w:sz="18" w:space="0" w:color="auto"/>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Average pension benefit</w:t>
            </w:r>
          </w:p>
          <w:p w:rsidR="00A2303C" w:rsidRPr="008D584B" w:rsidRDefault="00A2303C" w:rsidP="008D584B">
            <w:pPr>
              <w:pStyle w:val="NoSpacing"/>
              <w:spacing w:line="360" w:lineRule="auto"/>
              <w:rPr>
                <w:b/>
                <w:bCs/>
                <w:color w:val="FFFFFF"/>
                <w:sz w:val="20"/>
                <w:szCs w:val="20"/>
                <w:lang w:val="en-US"/>
              </w:rPr>
            </w:pPr>
            <w:r w:rsidRPr="008D584B">
              <w:rPr>
                <w:b/>
                <w:bCs/>
                <w:color w:val="FFFFFF"/>
                <w:sz w:val="20"/>
                <w:szCs w:val="20"/>
                <w:lang w:val="en-US"/>
              </w:rPr>
              <w:t>(based on 2004 estimates)</w:t>
            </w:r>
          </w:p>
        </w:tc>
      </w:tr>
      <w:tr w:rsidR="00A2303C" w:rsidTr="008D584B">
        <w:trPr>
          <w:jc w:val="center"/>
        </w:trPr>
        <w:tc>
          <w:tcPr>
            <w:tcW w:w="2088" w:type="dxa"/>
            <w:tcBorders>
              <w:top w:val="single" w:sz="18" w:space="0" w:color="auto"/>
              <w:left w:val="single" w:sz="18" w:space="0" w:color="auto"/>
              <w:bottom w:val="single" w:sz="18" w:space="0" w:color="FFFFFF"/>
              <w:right w:val="single" w:sz="18" w:space="0" w:color="FFFFFF"/>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Special system</w:t>
            </w:r>
          </w:p>
          <w:p w:rsidR="00A2303C" w:rsidRPr="008D584B" w:rsidRDefault="00A2303C" w:rsidP="008D584B">
            <w:pPr>
              <w:pStyle w:val="NoSpacing"/>
              <w:spacing w:line="360" w:lineRule="auto"/>
              <w:rPr>
                <w:b/>
                <w:bCs/>
                <w:color w:val="FFFFFF"/>
                <w:lang w:val="en-US"/>
              </w:rPr>
            </w:pPr>
            <w:r w:rsidRPr="008D584B">
              <w:rPr>
                <w:bCs/>
                <w:color w:val="FFFFFF"/>
                <w:lang w:val="en-US"/>
              </w:rPr>
              <w:t>Administrative</w:t>
            </w:r>
          </w:p>
          <w:p w:rsidR="00A2303C" w:rsidRPr="008D584B" w:rsidRDefault="00A2303C" w:rsidP="008D584B">
            <w:pPr>
              <w:pStyle w:val="NoSpacing"/>
              <w:spacing w:line="360" w:lineRule="auto"/>
              <w:rPr>
                <w:b/>
                <w:bCs/>
                <w:color w:val="FFFFFF"/>
                <w:lang w:val="en-US"/>
              </w:rPr>
            </w:pPr>
            <w:r w:rsidRPr="008D584B">
              <w:rPr>
                <w:bCs/>
                <w:color w:val="FFFFFF"/>
                <w:lang w:val="en-US"/>
              </w:rPr>
              <w:t>Military</w:t>
            </w:r>
          </w:p>
          <w:p w:rsidR="00A2303C" w:rsidRPr="008D584B" w:rsidRDefault="00A2303C" w:rsidP="008D584B">
            <w:pPr>
              <w:pStyle w:val="NoSpacing"/>
              <w:spacing w:line="360" w:lineRule="auto"/>
              <w:rPr>
                <w:b/>
                <w:bCs/>
                <w:color w:val="FFFFFF"/>
                <w:lang w:val="en-US"/>
              </w:rPr>
            </w:pPr>
            <w:r w:rsidRPr="008D584B">
              <w:rPr>
                <w:bCs/>
                <w:color w:val="FFFFFF"/>
                <w:lang w:val="en-US"/>
              </w:rPr>
              <w:t>Legislative</w:t>
            </w:r>
          </w:p>
          <w:p w:rsidR="00A2303C" w:rsidRPr="008D584B" w:rsidRDefault="00A2303C" w:rsidP="008D584B">
            <w:pPr>
              <w:pStyle w:val="NoSpacing"/>
              <w:spacing w:line="360" w:lineRule="auto"/>
              <w:rPr>
                <w:b/>
                <w:bCs/>
                <w:color w:val="FFFFFF"/>
                <w:lang w:val="en-US"/>
              </w:rPr>
            </w:pPr>
            <w:r w:rsidRPr="008D584B">
              <w:rPr>
                <w:bCs/>
                <w:color w:val="FFFFFF"/>
                <w:lang w:val="en-US"/>
              </w:rPr>
              <w:t>Judges</w:t>
            </w:r>
          </w:p>
        </w:tc>
        <w:tc>
          <w:tcPr>
            <w:tcW w:w="2700" w:type="dxa"/>
            <w:tcBorders>
              <w:top w:val="single" w:sz="18" w:space="0" w:color="auto"/>
              <w:left w:val="single" w:sz="18" w:space="0" w:color="FFFFFF"/>
              <w:bottom w:val="single" w:sz="18" w:space="0" w:color="FFFFFF"/>
              <w:right w:val="single" w:sz="18" w:space="0" w:color="auto"/>
            </w:tcBorders>
            <w:shd w:val="clear" w:color="auto" w:fill="C6D9F1"/>
          </w:tcPr>
          <w:p w:rsidR="00A2303C" w:rsidRPr="008D584B" w:rsidRDefault="00A2303C" w:rsidP="008D584B">
            <w:pPr>
              <w:pStyle w:val="NoSpacing"/>
              <w:spacing w:line="360" w:lineRule="auto"/>
              <w:rPr>
                <w:lang w:val="en-US"/>
              </w:rPr>
            </w:pPr>
          </w:p>
          <w:p w:rsidR="00A2303C" w:rsidRPr="008D584B" w:rsidRDefault="00A2303C" w:rsidP="008D584B">
            <w:pPr>
              <w:pStyle w:val="NoSpacing"/>
              <w:spacing w:line="360" w:lineRule="auto"/>
              <w:rPr>
                <w:rFonts w:cs="Calibri"/>
                <w:lang w:val="en-US"/>
              </w:rPr>
            </w:pPr>
            <w:r w:rsidRPr="008D584B">
              <w:rPr>
                <w:rFonts w:cs="Calibri"/>
                <w:lang w:val="en-US"/>
              </w:rPr>
              <w:t>€ 1100</w:t>
            </w:r>
          </w:p>
          <w:p w:rsidR="00A2303C" w:rsidRPr="008D584B" w:rsidRDefault="00A2303C" w:rsidP="008D584B">
            <w:pPr>
              <w:pStyle w:val="NoSpacing"/>
              <w:spacing w:line="360" w:lineRule="auto"/>
              <w:rPr>
                <w:rFonts w:cs="Calibri"/>
                <w:lang w:val="en-US"/>
              </w:rPr>
            </w:pPr>
            <w:r w:rsidRPr="008D584B">
              <w:rPr>
                <w:rFonts w:cs="Calibri"/>
                <w:lang w:val="en-US"/>
              </w:rPr>
              <w:t>€ 1900</w:t>
            </w:r>
          </w:p>
          <w:p w:rsidR="00A2303C" w:rsidRPr="008D584B" w:rsidRDefault="00A2303C" w:rsidP="008D584B">
            <w:pPr>
              <w:pStyle w:val="NoSpacing"/>
              <w:spacing w:line="360" w:lineRule="auto"/>
              <w:rPr>
                <w:rFonts w:cs="Calibri"/>
                <w:lang w:val="en-US"/>
              </w:rPr>
            </w:pPr>
            <w:r w:rsidRPr="008D584B">
              <w:rPr>
                <w:rFonts w:cs="Calibri"/>
                <w:lang w:val="en-US"/>
              </w:rPr>
              <w:t>€ 4750</w:t>
            </w:r>
          </w:p>
          <w:p w:rsidR="00A2303C" w:rsidRPr="008D584B" w:rsidRDefault="00A2303C" w:rsidP="008D584B">
            <w:pPr>
              <w:pStyle w:val="NoSpacing"/>
              <w:spacing w:line="360" w:lineRule="auto"/>
              <w:rPr>
                <w:lang w:val="en-US"/>
              </w:rPr>
            </w:pPr>
            <w:r w:rsidRPr="008D584B">
              <w:rPr>
                <w:rFonts w:cs="Calibri"/>
                <w:lang w:val="en-US"/>
              </w:rPr>
              <w:t>€ 4500</w:t>
            </w:r>
          </w:p>
        </w:tc>
      </w:tr>
      <w:tr w:rsidR="00A2303C" w:rsidTr="008D584B">
        <w:trPr>
          <w:jc w:val="center"/>
        </w:trPr>
        <w:tc>
          <w:tcPr>
            <w:tcW w:w="2088" w:type="dxa"/>
            <w:tcBorders>
              <w:top w:val="single" w:sz="18" w:space="0" w:color="FFFFFF"/>
              <w:left w:val="single" w:sz="18" w:space="0" w:color="auto"/>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General system</w:t>
            </w:r>
          </w:p>
        </w:tc>
        <w:tc>
          <w:tcPr>
            <w:tcW w:w="2700" w:type="dxa"/>
            <w:tcBorders>
              <w:top w:val="single" w:sz="18" w:space="0" w:color="FFFFFF"/>
              <w:left w:val="single" w:sz="18" w:space="0" w:color="FFFFFF"/>
              <w:bottom w:val="single" w:sz="18" w:space="0" w:color="auto"/>
              <w:right w:val="single" w:sz="18" w:space="0" w:color="auto"/>
            </w:tcBorders>
            <w:shd w:val="clear" w:color="auto" w:fill="C6D9F1"/>
          </w:tcPr>
          <w:p w:rsidR="00A2303C" w:rsidRPr="008D584B" w:rsidRDefault="00A2303C" w:rsidP="008D584B">
            <w:pPr>
              <w:pStyle w:val="NoSpacing"/>
              <w:spacing w:line="360" w:lineRule="auto"/>
              <w:rPr>
                <w:lang w:val="en-US"/>
              </w:rPr>
            </w:pPr>
            <w:r w:rsidRPr="008D584B">
              <w:rPr>
                <w:rFonts w:cs="Calibri"/>
                <w:lang w:val="en-US"/>
              </w:rPr>
              <w:t>€ 210</w:t>
            </w:r>
          </w:p>
        </w:tc>
      </w:tr>
    </w:tbl>
    <w:p w:rsidR="00A2303C" w:rsidRDefault="00A2303C" w:rsidP="007A1697">
      <w:pPr>
        <w:pStyle w:val="NoSpacing"/>
        <w:spacing w:line="360" w:lineRule="auto"/>
        <w:jc w:val="center"/>
        <w:rPr>
          <w:i/>
          <w:sz w:val="20"/>
          <w:szCs w:val="20"/>
          <w:lang w:val="en-US"/>
        </w:rPr>
      </w:pPr>
      <w:r>
        <w:rPr>
          <w:i/>
          <w:sz w:val="20"/>
          <w:szCs w:val="20"/>
          <w:lang w:val="en-US"/>
        </w:rPr>
        <w:t xml:space="preserve">Source: </w:t>
      </w:r>
      <w:r w:rsidRPr="003C4B5A">
        <w:rPr>
          <w:i/>
          <w:sz w:val="20"/>
          <w:szCs w:val="20"/>
          <w:lang w:val="en-US"/>
        </w:rPr>
        <w:t>Minist</w:t>
      </w:r>
      <w:r w:rsidRPr="003C4B5A">
        <w:rPr>
          <w:rFonts w:cs="Calibri"/>
          <w:i/>
          <w:sz w:val="20"/>
          <w:szCs w:val="20"/>
          <w:lang w:val="en-US"/>
        </w:rPr>
        <w:t>é</w:t>
      </w:r>
      <w:r w:rsidRPr="003C4B5A">
        <w:rPr>
          <w:i/>
          <w:sz w:val="20"/>
          <w:szCs w:val="20"/>
          <w:lang w:val="en-US"/>
        </w:rPr>
        <w:t>rio da Previd</w:t>
      </w:r>
      <w:r w:rsidRPr="003C4B5A">
        <w:rPr>
          <w:rFonts w:cs="Calibri"/>
          <w:i/>
          <w:sz w:val="20"/>
          <w:szCs w:val="20"/>
          <w:lang w:val="en-US"/>
        </w:rPr>
        <w:t>ê</w:t>
      </w:r>
      <w:r w:rsidRPr="003C4B5A">
        <w:rPr>
          <w:i/>
          <w:sz w:val="20"/>
          <w:szCs w:val="20"/>
          <w:lang w:val="en-US"/>
        </w:rPr>
        <w:t>ncia Social</w:t>
      </w:r>
      <w:r>
        <w:rPr>
          <w:i/>
          <w:sz w:val="20"/>
          <w:szCs w:val="20"/>
          <w:lang w:val="en-US"/>
        </w:rPr>
        <w:t xml:space="preserve"> (2009)</w:t>
      </w:r>
    </w:p>
    <w:p w:rsidR="00A2303C" w:rsidRDefault="00A2303C" w:rsidP="00821707">
      <w:pPr>
        <w:pStyle w:val="NoSpacing"/>
        <w:spacing w:line="360" w:lineRule="auto"/>
        <w:rPr>
          <w:lang w:val="en-US"/>
        </w:rPr>
      </w:pPr>
    </w:p>
    <w:p w:rsidR="00A2303C" w:rsidRDefault="00A2303C" w:rsidP="00821707">
      <w:pPr>
        <w:pStyle w:val="NoSpacing"/>
        <w:spacing w:line="360" w:lineRule="auto"/>
        <w:rPr>
          <w:lang w:val="en-US"/>
        </w:rPr>
      </w:pPr>
      <w:r>
        <w:rPr>
          <w:lang w:val="en-US"/>
        </w:rPr>
        <w:t xml:space="preserve">An explanation for these large inequalities can be found in the fact that public workers are better at lobbying against reforms that would equalize the pension benefits, through for instance their better contacts with politicians. In addition, the Constitution contains several privileges for public workers, which enable them to have significantly higher benefits. </w:t>
      </w:r>
    </w:p>
    <w:p w:rsidR="00A2303C" w:rsidRDefault="00A2303C" w:rsidP="00821707">
      <w:pPr>
        <w:pStyle w:val="NoSpacing"/>
        <w:spacing w:line="360" w:lineRule="auto"/>
        <w:rPr>
          <w:lang w:val="en-US"/>
        </w:rPr>
      </w:pPr>
    </w:p>
    <w:p w:rsidR="00A2303C" w:rsidRDefault="00A2303C" w:rsidP="00821707">
      <w:pPr>
        <w:pStyle w:val="NoSpacing"/>
        <w:spacing w:line="360" w:lineRule="auto"/>
        <w:rPr>
          <w:lang w:val="en-US"/>
        </w:rPr>
      </w:pPr>
      <w:r>
        <w:rPr>
          <w:lang w:val="en-US"/>
        </w:rPr>
        <w:t>Apart from the higher benefits that the public works receive, they are also sooner eligible (both in terms of age and contribution time) for receiving the benefits. Lastly, public workers contribute less than private workers. All of these inequalities lead to great deficits in the budget of the pension system of Brazil. In 2006, the deficit amounted to 5.8 per cent of GDP, of which 75 per cent was caused by the Special system and only 25 per cent was due to the General system (Ferreira Savoia 2007). These deficits can not be maintained in the future, because the government cannot continue to fund the shortages. The easiest way for the government to bridge the gap between revenues and costs is to issue debt, but what happens if nobody wants to buy the government bonds anymore? Another option is to cut spending in the pension system, while many people depend on the pensions they receive. Alternatively the government could print money, yet this might threaten the stability of the exchange-rate. Therefore, the generosity for the public workers will have to be curbed to avoid a possible breakdown in financing the pension system.</w:t>
      </w:r>
    </w:p>
    <w:p w:rsidR="00A2303C" w:rsidRDefault="00A2303C" w:rsidP="00240898">
      <w:pPr>
        <w:pStyle w:val="NoSpacing"/>
        <w:spacing w:line="360" w:lineRule="auto"/>
        <w:rPr>
          <w:b/>
          <w:i/>
          <w:lang w:val="en-US"/>
        </w:rPr>
      </w:pPr>
    </w:p>
    <w:p w:rsidR="00A2303C" w:rsidRDefault="00A2303C" w:rsidP="004E7D63">
      <w:pPr>
        <w:pStyle w:val="NoSpacing"/>
        <w:numPr>
          <w:ilvl w:val="2"/>
          <w:numId w:val="26"/>
        </w:numPr>
        <w:spacing w:line="360" w:lineRule="auto"/>
        <w:ind w:left="1260" w:hanging="1260"/>
        <w:rPr>
          <w:b/>
          <w:i/>
          <w:lang w:val="en-US"/>
        </w:rPr>
      </w:pPr>
      <w:r>
        <w:rPr>
          <w:b/>
          <w:i/>
          <w:lang w:val="en-US"/>
        </w:rPr>
        <w:t>Disparities in the retirement age and contribution time between men and women</w:t>
      </w:r>
    </w:p>
    <w:p w:rsidR="00A2303C" w:rsidRDefault="00A2303C" w:rsidP="007A6E75">
      <w:pPr>
        <w:pStyle w:val="NoSpacing"/>
        <w:spacing w:line="360" w:lineRule="auto"/>
        <w:rPr>
          <w:lang w:val="en-US"/>
        </w:rPr>
      </w:pPr>
      <w:r>
        <w:rPr>
          <w:lang w:val="en-US"/>
        </w:rPr>
        <w:t xml:space="preserve">There is not only a difference between the eligibility of public and private workers, but also between genders in the General system. The retirement age for women is five years lower than the one for men, while simultaneously women are expected to live at least seven years longer than men (Ferreira Savoia 2007). These disparities sound counterintuitive in the sense that women not only receive the benefits at an earlier age but they also receive them for a longer period. In total women would receive on average 13 years worth of benefits more than men. </w:t>
      </w:r>
    </w:p>
    <w:p w:rsidR="00A2303C" w:rsidRDefault="00A2303C" w:rsidP="007A6E75">
      <w:pPr>
        <w:pStyle w:val="NoSpacing"/>
        <w:spacing w:line="360" w:lineRule="auto"/>
        <w:rPr>
          <w:lang w:val="en-US"/>
        </w:rPr>
      </w:pPr>
    </w:p>
    <w:p w:rsidR="00A2303C" w:rsidRDefault="00A2303C" w:rsidP="007A6E75">
      <w:pPr>
        <w:pStyle w:val="NoSpacing"/>
        <w:spacing w:line="360" w:lineRule="auto"/>
        <w:rPr>
          <w:lang w:val="en-US"/>
        </w:rPr>
      </w:pPr>
      <w:r>
        <w:rPr>
          <w:lang w:val="en-US"/>
        </w:rPr>
        <w:t xml:space="preserve">It is quite common to differentiate between the retirement ages of men and women. Reasons for the difference could be to encourage the reproductive role of women or to compensate women for the fact that they are on average physically weaker than men. Giambiagi and Castro (2003) found multiple examples of countries with differences in retirement age. However, a difference of five years is rather large and less frequently observed elsewhere. Combined with the trend that more women start to participate in the labor force, it imposes a noteworthy amount of extra costs as not all of the women contribute enough to the pension system. It will be hard to continue justifying these extra expenses. Up to now, the explanation given by the government for the discrepancy of five years is that women not only work at a company, but also have a second job once they come home. In the Brazilian culture the women are responsible for raising the children, cooking and cleaning the house. The allowance for earlier retirement could, for instance, be seen as compensating for the second job. Perhaps a more suitable form of compensation would be to give a replacement income when women are on maternity leave, under the assumption that it is possible to take maternity leave. </w:t>
      </w:r>
    </w:p>
    <w:p w:rsidR="00A2303C" w:rsidRDefault="00A2303C" w:rsidP="007A6E75">
      <w:pPr>
        <w:pStyle w:val="NoSpacing"/>
        <w:spacing w:line="360" w:lineRule="auto"/>
        <w:rPr>
          <w:lang w:val="en-US"/>
        </w:rPr>
      </w:pPr>
    </w:p>
    <w:p w:rsidR="00A2303C" w:rsidRDefault="00A2303C" w:rsidP="004E7D63">
      <w:pPr>
        <w:pStyle w:val="NoSpacing"/>
        <w:numPr>
          <w:ilvl w:val="2"/>
          <w:numId w:val="26"/>
        </w:numPr>
        <w:spacing w:line="360" w:lineRule="auto"/>
        <w:ind w:left="1260" w:hanging="1260"/>
        <w:rPr>
          <w:b/>
          <w:i/>
          <w:lang w:val="en-US"/>
        </w:rPr>
      </w:pPr>
      <w:r>
        <w:rPr>
          <w:b/>
          <w:i/>
          <w:lang w:val="en-US"/>
        </w:rPr>
        <w:t>Income inequalities and poverty</w:t>
      </w:r>
    </w:p>
    <w:p w:rsidR="00A2303C" w:rsidRDefault="00A2303C" w:rsidP="002703CE">
      <w:pPr>
        <w:pStyle w:val="NoSpacing"/>
        <w:spacing w:line="360" w:lineRule="auto"/>
        <w:rPr>
          <w:lang w:val="en-US"/>
        </w:rPr>
      </w:pPr>
      <w:r>
        <w:rPr>
          <w:lang w:val="en-US"/>
        </w:rPr>
        <w:t xml:space="preserve">As said before the zero pillar undoubtedly improved the financial situation for many poor elderly, but the current situation is still far from desirable though. Besley and Burgess (2003) concluded that income inequalities faced by countries across the world are largest in Latin American countries. The continent habitats over 175 million people living in poverty, this figure corresponds to 36 per cent of the Latin American population.  The presence of such high poverty levels will certainly have its effect on the pension systems, in particular because there are many poor people who cannot contribute to the system. </w:t>
      </w:r>
    </w:p>
    <w:p w:rsidR="00A2303C" w:rsidRDefault="00A2303C" w:rsidP="002703CE">
      <w:pPr>
        <w:pStyle w:val="NoSpacing"/>
        <w:spacing w:line="360" w:lineRule="auto"/>
        <w:rPr>
          <w:lang w:val="en-US"/>
        </w:rPr>
      </w:pPr>
    </w:p>
    <w:p w:rsidR="00A2303C" w:rsidRDefault="00A2303C" w:rsidP="002703CE">
      <w:pPr>
        <w:pStyle w:val="NoSpacing"/>
        <w:spacing w:line="360" w:lineRule="auto"/>
        <w:rPr>
          <w:lang w:val="en-US"/>
        </w:rPr>
      </w:pPr>
      <w:r>
        <w:rPr>
          <w:lang w:val="en-US"/>
        </w:rPr>
        <w:t>For Brazil the problems of income inequalities are even more severe than for Latin America in general. Previous research conducted by Barros and Foguel (2000) shows that it would require 12 per cent of social spending every year to eliminate poverty. The zero pillar has helped to reduce the amounts of people living in poverty significantly. Figures of 2001 showed that approximately 34 per cent of the population was under the poverty level and this figure would persist moving upwards if there was no assistance for the poor elderly such as the zero pillar. Estimates indicate that the zero pillar was able to reduce the poverty levels by 7.5 per cent (Ferreiro Savoia 2007).</w:t>
      </w:r>
    </w:p>
    <w:p w:rsidR="00A2303C" w:rsidRDefault="00A2303C" w:rsidP="002703CE">
      <w:pPr>
        <w:pStyle w:val="NoSpacing"/>
        <w:spacing w:line="360" w:lineRule="auto"/>
        <w:rPr>
          <w:lang w:val="en-US"/>
        </w:rPr>
      </w:pPr>
    </w:p>
    <w:p w:rsidR="00A2303C" w:rsidRDefault="00A2303C" w:rsidP="002703CE">
      <w:pPr>
        <w:pStyle w:val="NoSpacing"/>
        <w:spacing w:line="360" w:lineRule="auto"/>
        <w:rPr>
          <w:lang w:val="en-US"/>
        </w:rPr>
      </w:pPr>
      <w:r>
        <w:rPr>
          <w:lang w:val="en-US"/>
        </w:rPr>
        <w:t>Nevertheless, there is still room for improvement as many poor elderly are not yet reached by the social program, leaving them without financial assistance. Baer and Galvão Jr. (2006) found in their analysis that anti-poverty benefits like the zero pillar are poorly distributed and are usually not directed to the people who need it the most. Additionally, a research performed by Neri (2001) indicated that the top 10 per cent of pension benefits are worth nearly half of the value of all the benefits that are paid. These two examples of research clearly indicate that the inequalities of income are still reasons for concern and should be addressed in the future.</w:t>
      </w:r>
    </w:p>
    <w:p w:rsidR="00A2303C" w:rsidRDefault="00A2303C" w:rsidP="002703CE">
      <w:pPr>
        <w:pStyle w:val="NoSpacing"/>
        <w:spacing w:line="360" w:lineRule="auto"/>
        <w:rPr>
          <w:lang w:val="en-US"/>
        </w:rPr>
      </w:pPr>
    </w:p>
    <w:p w:rsidR="00A2303C" w:rsidRDefault="00A2303C" w:rsidP="004E7D63">
      <w:pPr>
        <w:pStyle w:val="NoSpacing"/>
        <w:numPr>
          <w:ilvl w:val="2"/>
          <w:numId w:val="26"/>
        </w:numPr>
        <w:spacing w:line="360" w:lineRule="auto"/>
        <w:ind w:left="1260" w:hanging="1260"/>
        <w:rPr>
          <w:b/>
          <w:i/>
          <w:lang w:val="en-US"/>
        </w:rPr>
      </w:pPr>
      <w:r>
        <w:rPr>
          <w:b/>
          <w:i/>
          <w:lang w:val="en-US"/>
        </w:rPr>
        <w:t>Informality</w:t>
      </w:r>
    </w:p>
    <w:p w:rsidR="00A2303C" w:rsidRDefault="00A2303C" w:rsidP="00541220">
      <w:pPr>
        <w:pStyle w:val="NoSpacing"/>
        <w:spacing w:line="360" w:lineRule="auto"/>
        <w:rPr>
          <w:lang w:val="en-US"/>
        </w:rPr>
      </w:pPr>
      <w:r>
        <w:rPr>
          <w:lang w:val="en-US"/>
        </w:rPr>
        <w:t xml:space="preserve">The informal market has grown steadily over the years, which puts pressure on the financial balance of the pension system due to evasion of taxes and pension contributions. It was estimated that the proportion of labor force active in the formal market as part of the entire market, fell from about 50 per cent in 1994 to roughly 45 per cent in 2002 (Medici 2004). Another study by Bonturi (2002) was even more pessimistic, with rates falling from 59 per cent at the beginning of the 1990s to 45 per cent at the end of the 1990s. Moreover, Bonturi (2002) suggested that informality is predominantly present in the construction and agriculture sector. The work force in the formal sector will suffer from the resulting deficit as the tax burden will increase for both businesses and individuals which could limit the level of investments that consequently can lower the productivity. Eventually, these effects will adversely affect the economic growth (ceteris paribus). </w:t>
      </w:r>
    </w:p>
    <w:p w:rsidR="00A2303C" w:rsidRDefault="00A2303C" w:rsidP="00541220">
      <w:pPr>
        <w:pStyle w:val="NoSpacing"/>
        <w:spacing w:line="360" w:lineRule="auto"/>
        <w:rPr>
          <w:lang w:val="en-US"/>
        </w:rPr>
      </w:pPr>
    </w:p>
    <w:p w:rsidR="00A2303C" w:rsidRDefault="00A2303C" w:rsidP="00541220">
      <w:pPr>
        <w:pStyle w:val="NoSpacing"/>
        <w:spacing w:line="360" w:lineRule="auto"/>
        <w:rPr>
          <w:lang w:val="en-US"/>
        </w:rPr>
      </w:pPr>
      <w:r>
        <w:rPr>
          <w:lang w:val="en-US"/>
        </w:rPr>
        <w:t xml:space="preserve">Ulyssea (2005) concluded that there are two reasons why workers end up in the informal sector; either to have a higher income by evading the tax system or the workers have no other option since they can not get a formal job. The tax evasion is to some extent even accepted by society and the government lacks the power for enforcement of the laws. </w:t>
      </w:r>
    </w:p>
    <w:p w:rsidR="00A2303C" w:rsidRDefault="00A2303C" w:rsidP="00541220">
      <w:pPr>
        <w:pStyle w:val="NoSpacing"/>
        <w:spacing w:line="360" w:lineRule="auto"/>
        <w:rPr>
          <w:lang w:val="en-US"/>
        </w:rPr>
      </w:pPr>
    </w:p>
    <w:p w:rsidR="00A2303C" w:rsidRDefault="00A2303C" w:rsidP="00541220">
      <w:pPr>
        <w:pStyle w:val="NoSpacing"/>
        <w:spacing w:line="360" w:lineRule="auto"/>
        <w:rPr>
          <w:lang w:val="en-US"/>
        </w:rPr>
      </w:pPr>
      <w:r>
        <w:rPr>
          <w:lang w:val="en-US"/>
        </w:rPr>
        <w:t>Ferreiro Savoia (2007) suggests that there are three main reasons for the informality. Firstly, Brazil is confronted with large migration flows of unskilled workers from the rural areas to the urban areas. The formal sector in the urban areas cannot handle the high influx of new unskilled workers, therefore these workers end up in the informal sector. Due to the fact that the informality is widespread it is difficult to limit and penalize the informal workers. Proposals for programs to make working in the rural areas more attractive have been proposed, but so far they have been rather fruitless.</w:t>
      </w:r>
    </w:p>
    <w:p w:rsidR="00A2303C" w:rsidRDefault="00A2303C" w:rsidP="00541220">
      <w:pPr>
        <w:pStyle w:val="NoSpacing"/>
        <w:spacing w:line="360" w:lineRule="auto"/>
        <w:rPr>
          <w:lang w:val="en-US"/>
        </w:rPr>
      </w:pPr>
    </w:p>
    <w:p w:rsidR="00A2303C" w:rsidRDefault="00A2303C" w:rsidP="00541220">
      <w:pPr>
        <w:pStyle w:val="NoSpacing"/>
        <w:spacing w:line="360" w:lineRule="auto"/>
        <w:rPr>
          <w:lang w:val="en-US"/>
        </w:rPr>
      </w:pPr>
      <w:r>
        <w:rPr>
          <w:lang w:val="en-US"/>
        </w:rPr>
        <w:t xml:space="preserve">Secondly, the Brazilian rules and regulations concerning taxation are not clear enough and are entrenched with endless bureaucratic procedures. Brazilian companies have to invest a lot of time and effort to comply with the tax obligations. Therefore, tax evasion becomes attractive. Thus the legislation needs to be clarified and simplified. </w:t>
      </w:r>
    </w:p>
    <w:p w:rsidR="00A2303C" w:rsidRDefault="00A2303C" w:rsidP="00541220">
      <w:pPr>
        <w:pStyle w:val="NoSpacing"/>
        <w:spacing w:line="360" w:lineRule="auto"/>
        <w:rPr>
          <w:lang w:val="en-US"/>
        </w:rPr>
      </w:pPr>
    </w:p>
    <w:p w:rsidR="00A2303C" w:rsidRDefault="00A2303C" w:rsidP="00541220">
      <w:pPr>
        <w:pStyle w:val="NoSpacing"/>
        <w:spacing w:line="360" w:lineRule="auto"/>
        <w:rPr>
          <w:lang w:val="en-US"/>
        </w:rPr>
      </w:pPr>
      <w:r>
        <w:rPr>
          <w:lang w:val="en-US"/>
        </w:rPr>
        <w:t xml:space="preserve">Thirdly, the pension contribution rates are rather high. Employees are obliged to contribute 8 to 11 per cent of their wages and employers 20 per cent of payroll. The high rates give an incentive to not contribute and consequently have a higher income. To counterattack the evasion of the contributions, the INSS has given several exemptions and lower contribution rates in specific cases. However, this had as side- effect that the level of contribution revenues decreased. </w:t>
      </w:r>
    </w:p>
    <w:p w:rsidR="00A2303C" w:rsidRDefault="00A2303C" w:rsidP="00541220">
      <w:pPr>
        <w:pStyle w:val="NoSpacing"/>
        <w:spacing w:line="360" w:lineRule="auto"/>
        <w:rPr>
          <w:lang w:val="en-US"/>
        </w:rPr>
      </w:pPr>
    </w:p>
    <w:p w:rsidR="00A2303C" w:rsidRDefault="00A2303C" w:rsidP="00541220">
      <w:pPr>
        <w:pStyle w:val="NoSpacing"/>
        <w:spacing w:line="360" w:lineRule="auto"/>
        <w:rPr>
          <w:lang w:val="en-US"/>
        </w:rPr>
      </w:pPr>
      <w:r>
        <w:rPr>
          <w:lang w:val="en-US"/>
        </w:rPr>
        <w:t>The few measures that have been implemented to lower the informality are a good start, but the country needs a more rigorous plan of attack to freeze the informality.</w:t>
      </w:r>
    </w:p>
    <w:p w:rsidR="00A2303C" w:rsidRDefault="00A2303C" w:rsidP="00541220">
      <w:pPr>
        <w:pStyle w:val="NoSpacing"/>
        <w:spacing w:line="360" w:lineRule="auto"/>
        <w:rPr>
          <w:lang w:val="en-US"/>
        </w:rPr>
      </w:pPr>
    </w:p>
    <w:p w:rsidR="00A2303C" w:rsidRDefault="00A2303C" w:rsidP="00541220">
      <w:pPr>
        <w:pStyle w:val="NoSpacing"/>
        <w:spacing w:line="360" w:lineRule="auto"/>
        <w:rPr>
          <w:lang w:val="en-US"/>
        </w:rPr>
      </w:pPr>
      <w:r>
        <w:rPr>
          <w:lang w:val="en-US"/>
        </w:rPr>
        <w:t xml:space="preserve">After describing the current situation of the Brazilian and Chilean pension system and analyzing the problems both systems face, the next section will continue with comparing the two systems. It will then become clear whether Brazil made the right decision for not reforming its pension system to the Chilean privatized fully funded system like many other (Latin American) countries did. </w:t>
      </w:r>
    </w:p>
    <w:p w:rsidR="00A2303C" w:rsidRDefault="00A2303C" w:rsidP="00541220">
      <w:pPr>
        <w:pStyle w:val="NoSpacing"/>
        <w:spacing w:line="360" w:lineRule="auto"/>
        <w:rPr>
          <w:lang w:val="en-US"/>
        </w:rPr>
      </w:pPr>
    </w:p>
    <w:p w:rsidR="00A2303C" w:rsidRPr="00D739B4" w:rsidRDefault="00A2303C" w:rsidP="004E7D63">
      <w:pPr>
        <w:pStyle w:val="IntenseQuote"/>
        <w:numPr>
          <w:ilvl w:val="0"/>
          <w:numId w:val="26"/>
        </w:numPr>
        <w:jc w:val="center"/>
        <w:rPr>
          <w:lang w:val="en-US"/>
        </w:rPr>
      </w:pPr>
      <w:r>
        <w:rPr>
          <w:lang w:val="en-US"/>
        </w:rPr>
        <w:t>Comparing the Brazilian and Chilean pension models</w:t>
      </w:r>
    </w:p>
    <w:p w:rsidR="00A2303C" w:rsidRDefault="00A2303C" w:rsidP="002703CE">
      <w:pPr>
        <w:pStyle w:val="NoSpacing"/>
        <w:spacing w:line="360" w:lineRule="auto"/>
        <w:rPr>
          <w:lang w:val="en-US"/>
        </w:rPr>
      </w:pPr>
      <w:r>
        <w:rPr>
          <w:lang w:val="en-US"/>
        </w:rPr>
        <w:t xml:space="preserve">Prior sections dealt with the advantages and disadvantages of different types of pension schemes and the situation in Chile and Brazil. This section will combine the three previous sections in order to answer the research question of this paper; </w:t>
      </w:r>
      <w:r>
        <w:rPr>
          <w:i/>
          <w:lang w:val="en-US"/>
        </w:rPr>
        <w:t>‘Should Brazil</w:t>
      </w:r>
      <w:r w:rsidRPr="00463B09">
        <w:rPr>
          <w:i/>
          <w:lang w:val="en-US"/>
        </w:rPr>
        <w:t xml:space="preserve"> reform its pension system according to the Chilean </w:t>
      </w:r>
      <w:r>
        <w:rPr>
          <w:i/>
          <w:lang w:val="en-US"/>
        </w:rPr>
        <w:t xml:space="preserve">pension </w:t>
      </w:r>
      <w:r w:rsidRPr="00463B09">
        <w:rPr>
          <w:i/>
          <w:lang w:val="en-US"/>
        </w:rPr>
        <w:t>model?’</w:t>
      </w:r>
      <w:r>
        <w:rPr>
          <w:lang w:val="en-US"/>
        </w:rPr>
        <w:t xml:space="preserve">  The section starts with ensuring that the two countries faced the same pension problem, followed by investigating which options both countries chose in reforming their system and which options Brazil should make taking into account future developments that influence the sustainability of its pension system. The section ends with a few policy recommendations for the Brazilian government regarding the future of the Brazilian pension system.</w:t>
      </w:r>
    </w:p>
    <w:p w:rsidR="00A2303C" w:rsidRDefault="00A2303C" w:rsidP="002703CE">
      <w:pPr>
        <w:pStyle w:val="NoSpacing"/>
        <w:spacing w:line="360" w:lineRule="auto"/>
        <w:rPr>
          <w:lang w:val="en-US"/>
        </w:rPr>
      </w:pPr>
    </w:p>
    <w:p w:rsidR="00A2303C" w:rsidRDefault="00A2303C" w:rsidP="008E3FE7">
      <w:pPr>
        <w:pStyle w:val="NoSpacing"/>
        <w:numPr>
          <w:ilvl w:val="1"/>
          <w:numId w:val="26"/>
        </w:numPr>
        <w:spacing w:line="360" w:lineRule="auto"/>
        <w:ind w:left="1260" w:hanging="1260"/>
        <w:rPr>
          <w:b/>
          <w:i/>
          <w:lang w:val="en-US"/>
        </w:rPr>
      </w:pPr>
      <w:r>
        <w:rPr>
          <w:b/>
          <w:i/>
          <w:lang w:val="en-US"/>
        </w:rPr>
        <w:t>Comparable pension system problems</w:t>
      </w:r>
    </w:p>
    <w:p w:rsidR="00A2303C" w:rsidRDefault="00A2303C" w:rsidP="006B0FEE">
      <w:pPr>
        <w:pStyle w:val="NoSpacing"/>
        <w:spacing w:line="360" w:lineRule="auto"/>
        <w:rPr>
          <w:lang w:val="en-US"/>
        </w:rPr>
      </w:pPr>
      <w:r>
        <w:rPr>
          <w:lang w:val="en-US"/>
        </w:rPr>
        <w:t>Before examining whether the Chilean pension model should also be implemented in Brazil, it is important to investigate whether both countries share the same country characteristics and pension background. If the countries would face completely different problems it would not make sense to evaluate whether the Chilean model would improve the pension situation in Brazil. Nevertheless, it should be noted that the two countries will not completely resemble each other and every reform will have to be adjusted to fit the country’s economic, social, political, demographic, financial and political profile. The situation in Chile around 1981 will be compared to the current situation of Brazil, as Chile reformed its system in 1981 and this paper evaluates whether Brazil should reform its system now.</w:t>
      </w:r>
    </w:p>
    <w:p w:rsidR="00A2303C" w:rsidRDefault="00A2303C" w:rsidP="006B0FEE">
      <w:pPr>
        <w:pStyle w:val="NoSpacing"/>
        <w:spacing w:line="360" w:lineRule="auto"/>
        <w:rPr>
          <w:lang w:val="en-US"/>
        </w:rPr>
      </w:pPr>
    </w:p>
    <w:p w:rsidR="00A2303C" w:rsidRDefault="00A2303C" w:rsidP="004E7D63">
      <w:pPr>
        <w:pStyle w:val="NoSpacing"/>
        <w:numPr>
          <w:ilvl w:val="2"/>
          <w:numId w:val="26"/>
        </w:numPr>
        <w:spacing w:line="360" w:lineRule="auto"/>
        <w:ind w:left="1260" w:hanging="1260"/>
        <w:rPr>
          <w:b/>
          <w:i/>
          <w:lang w:val="en-US"/>
        </w:rPr>
      </w:pPr>
      <w:r>
        <w:rPr>
          <w:b/>
          <w:i/>
          <w:lang w:val="en-US"/>
        </w:rPr>
        <w:t>Demographic situation</w:t>
      </w:r>
    </w:p>
    <w:p w:rsidR="00A2303C" w:rsidRDefault="00A2303C" w:rsidP="00446F7D">
      <w:pPr>
        <w:pStyle w:val="NoSpacing"/>
        <w:spacing w:line="360" w:lineRule="auto"/>
        <w:rPr>
          <w:lang w:val="en-US"/>
        </w:rPr>
      </w:pPr>
      <w:r>
        <w:rPr>
          <w:lang w:val="en-US"/>
        </w:rPr>
        <w:t>The earlier presented Figures 5.2, 5.3, 6.3 and 6.4 depicted the life expectancy at birth and fertility rates in the two countries respectively. Similarities in the demographic trends are visible; both countries are confronted with rising life expectancies since the 1950s and the fertility rates have been falling after 1965. It should be noted that not only the relative changes matter, but also the absolute figures are of importance. The absolute figures deviate in the two countries, but it should be taken into account that the difference in time (1981 for Chile and 2009 for Brazil) is mostly responsible for this. The ageing of the Chilean society in 1981 was of course not as severe as the current situation in Brazil, due to different stages of development. In 1981, Chile was still in the beginning phase of developing itself in terms of, for example, creating better living conditions for the elderly. In Brazil now, the living conditions are better since the country had more time to develop it self and improve the living situation in the country. But overall the demographic movements in the two countries can be described as comparable.</w:t>
      </w:r>
    </w:p>
    <w:p w:rsidR="00A2303C" w:rsidRDefault="00A2303C" w:rsidP="00446F7D">
      <w:pPr>
        <w:pStyle w:val="NoSpacing"/>
        <w:spacing w:line="360" w:lineRule="auto"/>
        <w:rPr>
          <w:lang w:val="en-US"/>
        </w:rPr>
      </w:pPr>
    </w:p>
    <w:p w:rsidR="00A2303C" w:rsidRDefault="00A2303C" w:rsidP="004E7D63">
      <w:pPr>
        <w:pStyle w:val="NoSpacing"/>
        <w:numPr>
          <w:ilvl w:val="2"/>
          <w:numId w:val="26"/>
        </w:numPr>
        <w:spacing w:line="360" w:lineRule="auto"/>
        <w:ind w:left="1260" w:hanging="1260"/>
        <w:rPr>
          <w:b/>
          <w:i/>
          <w:lang w:val="en-US"/>
        </w:rPr>
      </w:pPr>
      <w:r>
        <w:rPr>
          <w:b/>
          <w:i/>
          <w:lang w:val="en-US"/>
        </w:rPr>
        <w:t>Economic situation</w:t>
      </w:r>
    </w:p>
    <w:p w:rsidR="00A2303C" w:rsidRPr="005C4568" w:rsidRDefault="00A2303C" w:rsidP="005C4568">
      <w:pPr>
        <w:pStyle w:val="NoSpacing"/>
        <w:spacing w:line="360" w:lineRule="auto"/>
        <w:rPr>
          <w:lang w:val="en-US"/>
        </w:rPr>
      </w:pPr>
      <w:r>
        <w:rPr>
          <w:lang w:val="en-US"/>
        </w:rPr>
        <w:t xml:space="preserve">The economic states of the two countries are different, but this can be explained by the time difference of more than 25 years. Both countries are developing countries and have started to economically grow since the 1980s. However, since Chile’s situation is measured in 1981 and Brazil’s situation in 2009 it is fairly obvious that the countries can not be in the same state, because Brazil had another 25 years to economically grow. Figure 7.1 and 7.2 give an impression of the annual GDP growth and the annual inflation change for Brazil and Chile. It can be argued that the Chilean GDP growth is more volatile than the Brazilian percentage, whereas it is the other way around for the inflation rate. </w:t>
      </w:r>
    </w:p>
    <w:p w:rsidR="00A2303C" w:rsidRPr="00356AB7" w:rsidRDefault="00A2303C" w:rsidP="00356AB7">
      <w:pPr>
        <w:pStyle w:val="NoSpacing"/>
        <w:spacing w:line="360" w:lineRule="auto"/>
        <w:jc w:val="center"/>
        <w:rPr>
          <w:i/>
          <w:sz w:val="20"/>
          <w:szCs w:val="20"/>
          <w:lang w:val="en-US"/>
        </w:rPr>
      </w:pPr>
      <w:r>
        <w:rPr>
          <w:noProof/>
          <w:lang w:val="en-US"/>
        </w:rPr>
        <w:pict>
          <v:shape id="Chart 4" o:spid="_x0000_s1038" type="#_x0000_t75" style="position:absolute;left:0;text-align:left;margin-left:46.7pt;margin-top:17.8pt;width:361.45pt;height:174.25pt;z-index:-251654144;visibility:visible;mso-wrap-distance-bottom:.24pt" wrapcoords="-45 0 -45 21507 21600 21507 21600 0 -45 0" o:gfxdata="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">
            <v:imagedata r:id="rId23" o:title=""/>
            <o:lock v:ext="edit" aspectratio="f"/>
            <w10:wrap type="tight"/>
          </v:shape>
        </w:pict>
      </w:r>
      <w:r>
        <w:rPr>
          <w:i/>
          <w:sz w:val="20"/>
          <w:szCs w:val="20"/>
          <w:lang w:val="en-US"/>
        </w:rPr>
        <w:t>Figure 7.1 Annual GDP growth in Brazil and Chile</w:t>
      </w:r>
    </w:p>
    <w:p w:rsidR="00A2303C" w:rsidRPr="00FA7FF0" w:rsidRDefault="00A2303C" w:rsidP="00FA7FF0">
      <w:pPr>
        <w:pStyle w:val="NoSpacing"/>
        <w:spacing w:line="360" w:lineRule="auto"/>
        <w:rPr>
          <w:lang w:val="en-US"/>
        </w:rPr>
      </w:pPr>
    </w:p>
    <w:p w:rsidR="00A2303C" w:rsidRPr="002703CE" w:rsidRDefault="00A2303C" w:rsidP="002703CE">
      <w:pPr>
        <w:pStyle w:val="NoSpacing"/>
        <w:spacing w:line="360" w:lineRule="auto"/>
        <w:rPr>
          <w:lang w:val="en-US"/>
        </w:rPr>
      </w:pPr>
    </w:p>
    <w:p w:rsidR="00A2303C" w:rsidRDefault="00A2303C" w:rsidP="00E14964">
      <w:pPr>
        <w:pStyle w:val="NoSpacing"/>
        <w:rPr>
          <w:lang w:val="en-US"/>
        </w:rPr>
      </w:pPr>
    </w:p>
    <w:p w:rsidR="00A2303C" w:rsidRDefault="00A2303C" w:rsidP="00E14964">
      <w:pPr>
        <w:pStyle w:val="NoSpacing"/>
        <w:rPr>
          <w:lang w:val="en-US"/>
        </w:rPr>
      </w:pPr>
    </w:p>
    <w:p w:rsidR="00A2303C" w:rsidRDefault="00A2303C" w:rsidP="00E14964">
      <w:pPr>
        <w:pStyle w:val="NoSpacing"/>
        <w:rPr>
          <w:lang w:val="en-US"/>
        </w:rPr>
      </w:pPr>
    </w:p>
    <w:p w:rsidR="00A2303C" w:rsidRDefault="00A2303C" w:rsidP="00E14964">
      <w:pPr>
        <w:pStyle w:val="NoSpacing"/>
        <w:rPr>
          <w:lang w:val="en-US"/>
        </w:rPr>
      </w:pPr>
    </w:p>
    <w:p w:rsidR="00A2303C" w:rsidRDefault="00A2303C" w:rsidP="00E14964">
      <w:pPr>
        <w:pStyle w:val="NoSpacing"/>
        <w:rPr>
          <w:lang w:val="en-US"/>
        </w:rPr>
      </w:pPr>
    </w:p>
    <w:p w:rsidR="00A2303C" w:rsidRDefault="00A2303C" w:rsidP="00E14964">
      <w:pPr>
        <w:pStyle w:val="NoSpacing"/>
        <w:rPr>
          <w:lang w:val="en-US"/>
        </w:rPr>
      </w:pPr>
    </w:p>
    <w:p w:rsidR="00A2303C" w:rsidRDefault="00A2303C" w:rsidP="00E14964">
      <w:pPr>
        <w:pStyle w:val="NoSpacing"/>
        <w:rPr>
          <w:lang w:val="en-US"/>
        </w:rPr>
      </w:pPr>
    </w:p>
    <w:p w:rsidR="00A2303C" w:rsidRDefault="00A2303C" w:rsidP="00E14964">
      <w:pPr>
        <w:pStyle w:val="NoSpacing"/>
        <w:rPr>
          <w:lang w:val="en-US"/>
        </w:rPr>
      </w:pPr>
    </w:p>
    <w:p w:rsidR="00A2303C" w:rsidRDefault="00A2303C" w:rsidP="00E14964">
      <w:pPr>
        <w:pStyle w:val="NoSpacing"/>
        <w:rPr>
          <w:lang w:val="en-US"/>
        </w:rPr>
      </w:pPr>
    </w:p>
    <w:p w:rsidR="00A2303C" w:rsidRDefault="00A2303C" w:rsidP="001B1481">
      <w:pPr>
        <w:pStyle w:val="NoSpacing"/>
        <w:spacing w:line="360" w:lineRule="auto"/>
        <w:rPr>
          <w:lang w:val="en-US"/>
        </w:rPr>
      </w:pPr>
    </w:p>
    <w:p w:rsidR="00A2303C" w:rsidRDefault="00A2303C" w:rsidP="001B1481">
      <w:pPr>
        <w:pStyle w:val="NoSpacing"/>
        <w:spacing w:line="360" w:lineRule="auto"/>
        <w:jc w:val="center"/>
        <w:rPr>
          <w:i/>
          <w:sz w:val="20"/>
          <w:szCs w:val="20"/>
          <w:lang w:val="en-US"/>
        </w:rPr>
      </w:pPr>
      <w:r>
        <w:rPr>
          <w:i/>
          <w:sz w:val="20"/>
          <w:szCs w:val="20"/>
          <w:lang w:val="en-US"/>
        </w:rPr>
        <w:t>Source: ERS USDA (2008)</w:t>
      </w:r>
    </w:p>
    <w:p w:rsidR="00A2303C" w:rsidRDefault="00A2303C" w:rsidP="001B1481">
      <w:pPr>
        <w:pStyle w:val="NoSpacing"/>
        <w:spacing w:line="360" w:lineRule="auto"/>
        <w:jc w:val="center"/>
        <w:rPr>
          <w:i/>
          <w:sz w:val="20"/>
          <w:szCs w:val="20"/>
          <w:lang w:val="en-US"/>
        </w:rPr>
      </w:pPr>
    </w:p>
    <w:p w:rsidR="00A2303C" w:rsidRDefault="00A2303C" w:rsidP="001B1481">
      <w:pPr>
        <w:pStyle w:val="NoSpacing"/>
        <w:spacing w:line="360" w:lineRule="auto"/>
        <w:jc w:val="center"/>
        <w:rPr>
          <w:i/>
          <w:sz w:val="20"/>
          <w:szCs w:val="20"/>
          <w:lang w:val="en-US"/>
        </w:rPr>
      </w:pPr>
      <w:r>
        <w:rPr>
          <w:i/>
          <w:sz w:val="20"/>
          <w:szCs w:val="20"/>
          <w:lang w:val="en-US"/>
        </w:rPr>
        <w:t>Figure 7.2 Annual change in inflation, Consumer Price Index in Brazil and Chile</w:t>
      </w:r>
    </w:p>
    <w:p w:rsidR="00A2303C" w:rsidRDefault="00A2303C" w:rsidP="001B1481">
      <w:pPr>
        <w:pStyle w:val="NoSpacing"/>
        <w:spacing w:line="360" w:lineRule="auto"/>
        <w:jc w:val="center"/>
        <w:rPr>
          <w:i/>
          <w:sz w:val="20"/>
          <w:szCs w:val="20"/>
          <w:lang w:val="en-US"/>
        </w:rPr>
      </w:pPr>
      <w:r>
        <w:rPr>
          <w:noProof/>
          <w:lang w:val="en-US"/>
        </w:rPr>
        <w:pict>
          <v:shape id="_x0000_s1039" type="#_x0000_t75" style="position:absolute;left:0;text-align:left;margin-left:45.95pt;margin-top:17.55pt;width:367.2pt;height:178.1pt;z-index:-251653120;visibility:visible;mso-wrap-distance-bottom:.15pt" wrapcoords="-44 0 -44 21509 21600 21509 21600 0 -44 0" o:gfxdata="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">
            <v:imagedata r:id="rId24" o:title=""/>
            <o:lock v:ext="edit" aspectratio="f"/>
            <w10:wrap type="tight"/>
          </v:shape>
        </w:pict>
      </w:r>
    </w:p>
    <w:p w:rsidR="00A2303C" w:rsidRPr="00356AB7" w:rsidRDefault="00A2303C" w:rsidP="001B1481">
      <w:pPr>
        <w:pStyle w:val="NoSpacing"/>
        <w:spacing w:line="360" w:lineRule="auto"/>
        <w:jc w:val="center"/>
        <w:rPr>
          <w:i/>
          <w:sz w:val="20"/>
          <w:szCs w:val="20"/>
          <w:lang w:val="en-US"/>
        </w:rPr>
      </w:pPr>
    </w:p>
    <w:p w:rsidR="00A2303C" w:rsidRDefault="00A2303C" w:rsidP="001B1481">
      <w:pPr>
        <w:pStyle w:val="NoSpacing"/>
        <w:spacing w:line="360" w:lineRule="auto"/>
        <w:rPr>
          <w:lang w:val="en-US"/>
        </w:rPr>
      </w:pPr>
    </w:p>
    <w:p w:rsidR="00A2303C" w:rsidRDefault="00A2303C" w:rsidP="001B1481">
      <w:pPr>
        <w:pStyle w:val="NoSpacing"/>
        <w:spacing w:line="360" w:lineRule="auto"/>
        <w:rPr>
          <w:lang w:val="en-US"/>
        </w:rPr>
      </w:pPr>
    </w:p>
    <w:p w:rsidR="00A2303C" w:rsidRDefault="00A2303C" w:rsidP="001B1481">
      <w:pPr>
        <w:pStyle w:val="NoSpacing"/>
        <w:spacing w:line="360" w:lineRule="auto"/>
        <w:rPr>
          <w:lang w:val="en-US"/>
        </w:rPr>
      </w:pPr>
    </w:p>
    <w:p w:rsidR="00A2303C" w:rsidRDefault="00A2303C" w:rsidP="001B1481">
      <w:pPr>
        <w:pStyle w:val="NoSpacing"/>
        <w:spacing w:line="360" w:lineRule="auto"/>
        <w:rPr>
          <w:lang w:val="en-US"/>
        </w:rPr>
      </w:pPr>
    </w:p>
    <w:p w:rsidR="00A2303C" w:rsidRDefault="00A2303C" w:rsidP="001B1481">
      <w:pPr>
        <w:pStyle w:val="NoSpacing"/>
        <w:spacing w:line="360" w:lineRule="auto"/>
        <w:rPr>
          <w:lang w:val="en-US"/>
        </w:rPr>
      </w:pPr>
    </w:p>
    <w:p w:rsidR="00A2303C" w:rsidRDefault="00A2303C" w:rsidP="001B1481">
      <w:pPr>
        <w:pStyle w:val="NoSpacing"/>
        <w:spacing w:line="360" w:lineRule="auto"/>
        <w:rPr>
          <w:lang w:val="en-US"/>
        </w:rPr>
      </w:pPr>
    </w:p>
    <w:p w:rsidR="00A2303C" w:rsidRDefault="00A2303C" w:rsidP="001B1481">
      <w:pPr>
        <w:pStyle w:val="NoSpacing"/>
        <w:spacing w:line="360" w:lineRule="auto"/>
        <w:rPr>
          <w:lang w:val="en-US"/>
        </w:rPr>
      </w:pPr>
    </w:p>
    <w:p w:rsidR="00A2303C" w:rsidRDefault="00A2303C" w:rsidP="00E601AC">
      <w:pPr>
        <w:pStyle w:val="NoSpacing"/>
        <w:spacing w:line="360" w:lineRule="auto"/>
        <w:jc w:val="center"/>
        <w:rPr>
          <w:i/>
          <w:sz w:val="20"/>
          <w:szCs w:val="20"/>
          <w:lang w:val="en-US"/>
        </w:rPr>
      </w:pPr>
    </w:p>
    <w:p w:rsidR="00A2303C" w:rsidRDefault="00A2303C" w:rsidP="00E601AC">
      <w:pPr>
        <w:pStyle w:val="NoSpacing"/>
        <w:spacing w:line="360" w:lineRule="auto"/>
        <w:jc w:val="center"/>
        <w:rPr>
          <w:i/>
          <w:sz w:val="20"/>
          <w:szCs w:val="20"/>
          <w:lang w:val="en-US"/>
        </w:rPr>
      </w:pPr>
    </w:p>
    <w:p w:rsidR="00A2303C" w:rsidRDefault="00A2303C" w:rsidP="00E601AC">
      <w:pPr>
        <w:pStyle w:val="NoSpacing"/>
        <w:spacing w:line="360" w:lineRule="auto"/>
        <w:jc w:val="center"/>
        <w:rPr>
          <w:i/>
          <w:sz w:val="20"/>
          <w:szCs w:val="20"/>
          <w:lang w:val="en-US"/>
        </w:rPr>
      </w:pPr>
      <w:r>
        <w:rPr>
          <w:i/>
          <w:sz w:val="20"/>
          <w:szCs w:val="20"/>
          <w:lang w:val="en-US"/>
        </w:rPr>
        <w:t>Source: IMF (2008)</w:t>
      </w:r>
    </w:p>
    <w:p w:rsidR="00A2303C" w:rsidRPr="003C4AEC" w:rsidRDefault="00A2303C" w:rsidP="003C4AEC">
      <w:pPr>
        <w:pStyle w:val="NoSpacing"/>
        <w:spacing w:line="360" w:lineRule="auto"/>
        <w:rPr>
          <w:lang w:val="en-US"/>
        </w:rPr>
      </w:pPr>
    </w:p>
    <w:p w:rsidR="00A2303C" w:rsidRDefault="00A2303C" w:rsidP="004E7D63">
      <w:pPr>
        <w:pStyle w:val="NoSpacing"/>
        <w:numPr>
          <w:ilvl w:val="2"/>
          <w:numId w:val="26"/>
        </w:numPr>
        <w:spacing w:line="360" w:lineRule="auto"/>
        <w:ind w:left="1260" w:hanging="1260"/>
        <w:rPr>
          <w:b/>
          <w:i/>
          <w:lang w:val="en-US"/>
        </w:rPr>
      </w:pPr>
      <w:r>
        <w:rPr>
          <w:b/>
          <w:i/>
          <w:lang w:val="en-US"/>
        </w:rPr>
        <w:t>Political situation</w:t>
      </w:r>
    </w:p>
    <w:p w:rsidR="00A2303C" w:rsidRDefault="00A2303C" w:rsidP="00EB33C4">
      <w:pPr>
        <w:pStyle w:val="NoSpacing"/>
        <w:spacing w:line="360" w:lineRule="auto"/>
        <w:rPr>
          <w:lang w:val="en-US"/>
        </w:rPr>
      </w:pPr>
      <w:r>
        <w:rPr>
          <w:lang w:val="en-US"/>
        </w:rPr>
        <w:t>At the time of Chile’s reform, the country was led by the dictator Pinochet. The dictatorship made it easier to reform the pension system, as opposition was not tolerated and it was suppressed.  The political circumstances in Brazil are different, since there is no dictator. However, President Lula’s administration does focus a significant amount of time and effort on improving the pension system and gradually gains more political support for reforming the system. This will help if the Brazilian government decides to make a radical switch to a fully funded pension system.</w:t>
      </w:r>
    </w:p>
    <w:p w:rsidR="00A2303C" w:rsidRDefault="00A2303C" w:rsidP="00EB33C4">
      <w:pPr>
        <w:pStyle w:val="NoSpacing"/>
        <w:spacing w:line="360" w:lineRule="auto"/>
        <w:rPr>
          <w:lang w:val="en-US"/>
        </w:rPr>
      </w:pPr>
    </w:p>
    <w:p w:rsidR="00A2303C" w:rsidRDefault="00A2303C" w:rsidP="004E7D63">
      <w:pPr>
        <w:pStyle w:val="NoSpacing"/>
        <w:numPr>
          <w:ilvl w:val="2"/>
          <w:numId w:val="26"/>
        </w:numPr>
        <w:spacing w:line="360" w:lineRule="auto"/>
        <w:ind w:left="1260" w:hanging="1260"/>
        <w:rPr>
          <w:b/>
          <w:i/>
          <w:lang w:val="en-US"/>
        </w:rPr>
      </w:pPr>
      <w:r>
        <w:rPr>
          <w:b/>
          <w:i/>
          <w:lang w:val="en-US"/>
        </w:rPr>
        <w:t>Government budget situation</w:t>
      </w:r>
    </w:p>
    <w:p w:rsidR="00A2303C" w:rsidRDefault="00A2303C" w:rsidP="004E5A3B">
      <w:pPr>
        <w:pStyle w:val="NoSpacing"/>
        <w:spacing w:line="360" w:lineRule="auto"/>
        <w:rPr>
          <w:lang w:val="en-US"/>
        </w:rPr>
      </w:pPr>
      <w:r>
        <w:rPr>
          <w:lang w:val="en-US"/>
        </w:rPr>
        <w:t>The two countries are alike in their government budget positions. The Chilean government maintained a budget surplus before the reform, due to prior tight fiscal policies. Brazil currently also experiences federal budget surpluses. In 2008 the surplus was equal to over 4 per cent of GDP.</w:t>
      </w:r>
    </w:p>
    <w:p w:rsidR="00A2303C" w:rsidRDefault="00A2303C" w:rsidP="004E5A3B">
      <w:pPr>
        <w:pStyle w:val="NoSpacing"/>
        <w:spacing w:line="360" w:lineRule="auto"/>
        <w:rPr>
          <w:lang w:val="en-US"/>
        </w:rPr>
      </w:pPr>
    </w:p>
    <w:p w:rsidR="00A2303C" w:rsidRDefault="00A2303C" w:rsidP="004E7D63">
      <w:pPr>
        <w:pStyle w:val="NoSpacing"/>
        <w:numPr>
          <w:ilvl w:val="2"/>
          <w:numId w:val="26"/>
        </w:numPr>
        <w:spacing w:line="360" w:lineRule="auto"/>
        <w:ind w:left="1260" w:hanging="1260"/>
        <w:rPr>
          <w:b/>
          <w:i/>
          <w:lang w:val="en-US"/>
        </w:rPr>
      </w:pPr>
      <w:r>
        <w:rPr>
          <w:b/>
          <w:i/>
          <w:lang w:val="en-US"/>
        </w:rPr>
        <w:t>Problems in pension systems</w:t>
      </w:r>
    </w:p>
    <w:p w:rsidR="00A2303C" w:rsidRDefault="00A2303C" w:rsidP="001B1481">
      <w:pPr>
        <w:pStyle w:val="NoSpacing"/>
        <w:spacing w:line="360" w:lineRule="auto"/>
        <w:rPr>
          <w:lang w:val="en-US"/>
        </w:rPr>
      </w:pPr>
      <w:r>
        <w:rPr>
          <w:lang w:val="en-US"/>
        </w:rPr>
        <w:t xml:space="preserve">Before Chile’s reform in 1981 it had a PAYG system which suffered from several problems such as the high contribution rates for the employees, high government contributions, high implicit debt and great income inequality. The current situation in Brazil shows much resemblance; the Brazilian PAYG system faces pension budget deficits that need to be financed by the government and the income inequality gap is still significant. Thus both have high government costs and experience income inequalities. Brazil endures also high rates of informality, which lowers the coverage of the pension system as many workers of the informal sector do not contribute. </w:t>
      </w:r>
    </w:p>
    <w:p w:rsidR="00A2303C" w:rsidRDefault="00A2303C" w:rsidP="001B1481">
      <w:pPr>
        <w:pStyle w:val="NoSpacing"/>
        <w:spacing w:line="360" w:lineRule="auto"/>
        <w:rPr>
          <w:lang w:val="en-US"/>
        </w:rPr>
      </w:pPr>
    </w:p>
    <w:p w:rsidR="00A2303C" w:rsidRPr="004E5A3B" w:rsidRDefault="00A2303C" w:rsidP="002F5310">
      <w:pPr>
        <w:pStyle w:val="NoSpacing"/>
        <w:spacing w:line="360" w:lineRule="auto"/>
        <w:rPr>
          <w:lang w:val="en-US"/>
        </w:rPr>
      </w:pPr>
      <w:r>
        <w:rPr>
          <w:lang w:val="en-US"/>
        </w:rPr>
        <w:t xml:space="preserve">To conclude, it can be said that the two countries are in many perspectives the same, which is needed for the analysis in this paper to make sense. </w:t>
      </w:r>
    </w:p>
    <w:p w:rsidR="00A2303C" w:rsidRDefault="00A2303C" w:rsidP="001B1481">
      <w:pPr>
        <w:pStyle w:val="NoSpacing"/>
        <w:spacing w:line="360" w:lineRule="auto"/>
        <w:rPr>
          <w:lang w:val="en-US"/>
        </w:rPr>
      </w:pPr>
    </w:p>
    <w:p w:rsidR="00A2303C" w:rsidRDefault="00A2303C" w:rsidP="0092170E">
      <w:pPr>
        <w:pStyle w:val="NoSpacing"/>
        <w:numPr>
          <w:ilvl w:val="1"/>
          <w:numId w:val="26"/>
        </w:numPr>
        <w:spacing w:line="360" w:lineRule="auto"/>
        <w:ind w:left="1260" w:hanging="1260"/>
        <w:rPr>
          <w:b/>
          <w:i/>
          <w:lang w:val="en-US"/>
        </w:rPr>
      </w:pPr>
      <w:r>
        <w:rPr>
          <w:b/>
          <w:i/>
          <w:lang w:val="en-US"/>
        </w:rPr>
        <w:t>Analysis of the options to structure the pension system</w:t>
      </w:r>
    </w:p>
    <w:p w:rsidR="00A2303C" w:rsidRDefault="00A2303C" w:rsidP="00B26ABB">
      <w:pPr>
        <w:pStyle w:val="NoSpacing"/>
        <w:spacing w:line="360" w:lineRule="auto"/>
        <w:rPr>
          <w:lang w:val="en-US"/>
        </w:rPr>
      </w:pPr>
      <w:r>
        <w:rPr>
          <w:lang w:val="en-US"/>
        </w:rPr>
        <w:t xml:space="preserve">Section 4 outlined the options for structuring a pension system. It comprised of the decisions to have a system that is; mandatory or voluntary, publicly or privately managed, fully funded or PAYG and has defined benefit or defined contribution. This subsection will describe the options the Brazilian and Chilean government chose to structure their pension system. In particular it will involve the first pillar of Brazil and the second pillar of Chile. These are the pillars designed for the employees and they show the most differences between the two countries. Subsequently, based on Brazil’s characteristics and the advantages and disadvantages of the options it is determined which structure should be chosen to suit the country as good as possible. </w:t>
      </w:r>
    </w:p>
    <w:p w:rsidR="00A2303C" w:rsidRDefault="00A2303C" w:rsidP="00B26ABB">
      <w:pPr>
        <w:pStyle w:val="NoSpacing"/>
        <w:spacing w:line="360" w:lineRule="auto"/>
        <w:rPr>
          <w:lang w:val="en-US"/>
        </w:rPr>
      </w:pPr>
    </w:p>
    <w:p w:rsidR="00A2303C" w:rsidRDefault="00A2303C" w:rsidP="004E7D63">
      <w:pPr>
        <w:pStyle w:val="NoSpacing"/>
        <w:numPr>
          <w:ilvl w:val="2"/>
          <w:numId w:val="26"/>
        </w:numPr>
        <w:spacing w:line="360" w:lineRule="auto"/>
        <w:ind w:left="1260" w:hanging="1260"/>
        <w:rPr>
          <w:b/>
          <w:i/>
          <w:lang w:val="en-US"/>
        </w:rPr>
      </w:pPr>
      <w:r>
        <w:rPr>
          <w:b/>
          <w:i/>
          <w:lang w:val="en-US"/>
        </w:rPr>
        <w:t>Structure choices made in Chile and Brazil</w:t>
      </w:r>
    </w:p>
    <w:p w:rsidR="00A2303C" w:rsidRPr="001F3FC7" w:rsidRDefault="00A2303C" w:rsidP="001F3FC7">
      <w:pPr>
        <w:pStyle w:val="NoSpacing"/>
        <w:spacing w:line="360" w:lineRule="auto"/>
        <w:rPr>
          <w:lang w:val="en-US"/>
        </w:rPr>
      </w:pPr>
      <w:r>
        <w:rPr>
          <w:lang w:val="en-US"/>
        </w:rPr>
        <w:t>Taking into account the description of the Chilean and Brazilian pension systems in sections five and six, respectively, Table 7.1 was constructed. The table summarizes the pension system designs in both countries.</w:t>
      </w:r>
    </w:p>
    <w:p w:rsidR="00A2303C" w:rsidRPr="001F3FC7" w:rsidRDefault="00A2303C" w:rsidP="001F3FC7">
      <w:pPr>
        <w:pStyle w:val="NoSpacing"/>
        <w:spacing w:line="360" w:lineRule="auto"/>
        <w:jc w:val="center"/>
        <w:rPr>
          <w:i/>
          <w:sz w:val="20"/>
          <w:szCs w:val="20"/>
          <w:lang w:val="en-US"/>
        </w:rPr>
      </w:pPr>
      <w:r>
        <w:rPr>
          <w:i/>
          <w:sz w:val="20"/>
          <w:szCs w:val="20"/>
          <w:lang w:val="en-US"/>
        </w:rPr>
        <w:t>Table 7.1 Pension system design in Chile and Brazil</w:t>
      </w:r>
    </w:p>
    <w:tbl>
      <w:tblPr>
        <w:tblW w:w="9558" w:type="dxa"/>
        <w:tblBorders>
          <w:top w:val="single" w:sz="18" w:space="0" w:color="auto"/>
          <w:bottom w:val="single" w:sz="18" w:space="0" w:color="auto"/>
        </w:tblBorders>
        <w:tblLook w:val="00A0"/>
      </w:tblPr>
      <w:tblGrid>
        <w:gridCol w:w="1458"/>
        <w:gridCol w:w="1857"/>
        <w:gridCol w:w="2203"/>
        <w:gridCol w:w="1742"/>
        <w:gridCol w:w="2298"/>
      </w:tblGrid>
      <w:tr w:rsidR="00A2303C" w:rsidRPr="00762AC3" w:rsidTr="008D584B">
        <w:tc>
          <w:tcPr>
            <w:tcW w:w="1458" w:type="dxa"/>
            <w:tcBorders>
              <w:top w:val="single" w:sz="18" w:space="0" w:color="auto"/>
              <w:left w:val="single" w:sz="18" w:space="0" w:color="auto"/>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lang w:val="en-US"/>
              </w:rPr>
            </w:pPr>
          </w:p>
        </w:tc>
        <w:tc>
          <w:tcPr>
            <w:tcW w:w="1857" w:type="dxa"/>
            <w:tcBorders>
              <w:top w:val="single" w:sz="18" w:space="0" w:color="auto"/>
              <w:left w:val="single" w:sz="18" w:space="0" w:color="FFFFFF"/>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Mandatory or</w:t>
            </w:r>
          </w:p>
          <w:p w:rsidR="00A2303C" w:rsidRPr="008D584B" w:rsidRDefault="00A2303C" w:rsidP="008D584B">
            <w:pPr>
              <w:pStyle w:val="NoSpacing"/>
              <w:spacing w:line="360" w:lineRule="auto"/>
              <w:rPr>
                <w:b/>
                <w:bCs/>
                <w:color w:val="FFFFFF"/>
                <w:lang w:val="en-US"/>
              </w:rPr>
            </w:pPr>
            <w:r w:rsidRPr="008D584B">
              <w:rPr>
                <w:b/>
                <w:bCs/>
                <w:color w:val="FFFFFF"/>
                <w:lang w:val="en-US"/>
              </w:rPr>
              <w:t>Voluntary</w:t>
            </w:r>
          </w:p>
        </w:tc>
        <w:tc>
          <w:tcPr>
            <w:tcW w:w="2203" w:type="dxa"/>
            <w:tcBorders>
              <w:top w:val="single" w:sz="18" w:space="0" w:color="auto"/>
              <w:left w:val="single" w:sz="18" w:space="0" w:color="FFFFFF"/>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Publicly managed or</w:t>
            </w:r>
          </w:p>
          <w:p w:rsidR="00A2303C" w:rsidRPr="008D584B" w:rsidRDefault="00A2303C" w:rsidP="008D584B">
            <w:pPr>
              <w:pStyle w:val="NoSpacing"/>
              <w:spacing w:line="360" w:lineRule="auto"/>
              <w:rPr>
                <w:b/>
                <w:bCs/>
                <w:color w:val="FFFFFF"/>
                <w:lang w:val="en-US"/>
              </w:rPr>
            </w:pPr>
            <w:r w:rsidRPr="008D584B">
              <w:rPr>
                <w:b/>
                <w:bCs/>
                <w:color w:val="FFFFFF"/>
                <w:lang w:val="en-US"/>
              </w:rPr>
              <w:t>Privately managed</w:t>
            </w:r>
          </w:p>
        </w:tc>
        <w:tc>
          <w:tcPr>
            <w:tcW w:w="1742" w:type="dxa"/>
            <w:tcBorders>
              <w:top w:val="single" w:sz="18" w:space="0" w:color="auto"/>
              <w:left w:val="single" w:sz="18" w:space="0" w:color="FFFFFF"/>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PAYG or</w:t>
            </w:r>
          </w:p>
          <w:p w:rsidR="00A2303C" w:rsidRPr="008D584B" w:rsidRDefault="00A2303C" w:rsidP="008D584B">
            <w:pPr>
              <w:pStyle w:val="NoSpacing"/>
              <w:spacing w:line="360" w:lineRule="auto"/>
              <w:rPr>
                <w:b/>
                <w:bCs/>
                <w:color w:val="FFFFFF"/>
                <w:lang w:val="en-US"/>
              </w:rPr>
            </w:pPr>
            <w:r w:rsidRPr="008D584B">
              <w:rPr>
                <w:b/>
                <w:bCs/>
                <w:color w:val="FFFFFF"/>
                <w:lang w:val="en-US"/>
              </w:rPr>
              <w:t>Fully funded</w:t>
            </w:r>
          </w:p>
        </w:tc>
        <w:tc>
          <w:tcPr>
            <w:tcW w:w="2298" w:type="dxa"/>
            <w:tcBorders>
              <w:top w:val="single" w:sz="18" w:space="0" w:color="auto"/>
              <w:left w:val="single" w:sz="18" w:space="0" w:color="FFFFFF"/>
              <w:bottom w:val="single" w:sz="18" w:space="0" w:color="auto"/>
              <w:right w:val="single" w:sz="18" w:space="0" w:color="auto"/>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Defined benefits or</w:t>
            </w:r>
          </w:p>
          <w:p w:rsidR="00A2303C" w:rsidRPr="008D584B" w:rsidRDefault="00A2303C" w:rsidP="008D584B">
            <w:pPr>
              <w:pStyle w:val="NoSpacing"/>
              <w:spacing w:line="360" w:lineRule="auto"/>
              <w:rPr>
                <w:b/>
                <w:bCs/>
                <w:color w:val="FFFFFF"/>
                <w:lang w:val="en-US"/>
              </w:rPr>
            </w:pPr>
            <w:r w:rsidRPr="008D584B">
              <w:rPr>
                <w:b/>
                <w:bCs/>
                <w:color w:val="FFFFFF"/>
                <w:lang w:val="en-US"/>
              </w:rPr>
              <w:t>Defined contributions</w:t>
            </w:r>
          </w:p>
        </w:tc>
      </w:tr>
      <w:tr w:rsidR="00A2303C" w:rsidTr="008D584B">
        <w:tc>
          <w:tcPr>
            <w:tcW w:w="1458" w:type="dxa"/>
            <w:tcBorders>
              <w:top w:val="single" w:sz="18" w:space="0" w:color="auto"/>
              <w:left w:val="single" w:sz="18" w:space="0" w:color="auto"/>
              <w:bottom w:val="single" w:sz="18" w:space="0" w:color="FFFFFF"/>
              <w:right w:val="single" w:sz="18" w:space="0" w:color="FFFFFF"/>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Chile</w:t>
            </w:r>
          </w:p>
        </w:tc>
        <w:tc>
          <w:tcPr>
            <w:tcW w:w="1857" w:type="dxa"/>
            <w:tcBorders>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rPr>
                <w:lang w:val="en-US"/>
              </w:rPr>
            </w:pPr>
            <w:r w:rsidRPr="008D584B">
              <w:rPr>
                <w:lang w:val="en-US"/>
              </w:rPr>
              <w:t>Mandatory</w:t>
            </w:r>
          </w:p>
        </w:tc>
        <w:tc>
          <w:tcPr>
            <w:tcW w:w="2203" w:type="dxa"/>
            <w:tcBorders>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rPr>
                <w:lang w:val="en-US"/>
              </w:rPr>
            </w:pPr>
            <w:r w:rsidRPr="008D584B">
              <w:rPr>
                <w:lang w:val="en-US"/>
              </w:rPr>
              <w:t>Privately managed</w:t>
            </w:r>
          </w:p>
        </w:tc>
        <w:tc>
          <w:tcPr>
            <w:tcW w:w="1742" w:type="dxa"/>
            <w:tcBorders>
              <w:left w:val="single" w:sz="18" w:space="0" w:color="FFFFFF"/>
              <w:bottom w:val="single" w:sz="18" w:space="0" w:color="FFFFFF"/>
              <w:right w:val="single" w:sz="18" w:space="0" w:color="FFFFFF"/>
            </w:tcBorders>
            <w:shd w:val="clear" w:color="auto" w:fill="C6D9F1"/>
          </w:tcPr>
          <w:p w:rsidR="00A2303C" w:rsidRPr="008D584B" w:rsidRDefault="00A2303C" w:rsidP="008D584B">
            <w:pPr>
              <w:pStyle w:val="NoSpacing"/>
              <w:spacing w:line="360" w:lineRule="auto"/>
              <w:rPr>
                <w:lang w:val="en-US"/>
              </w:rPr>
            </w:pPr>
            <w:r w:rsidRPr="008D584B">
              <w:rPr>
                <w:lang w:val="en-US"/>
              </w:rPr>
              <w:t>Fully funded</w:t>
            </w:r>
          </w:p>
        </w:tc>
        <w:tc>
          <w:tcPr>
            <w:tcW w:w="2298" w:type="dxa"/>
            <w:tcBorders>
              <w:left w:val="single" w:sz="18" w:space="0" w:color="FFFFFF"/>
              <w:bottom w:val="single" w:sz="18" w:space="0" w:color="FFFFFF"/>
              <w:right w:val="single" w:sz="18" w:space="0" w:color="auto"/>
            </w:tcBorders>
            <w:shd w:val="clear" w:color="auto" w:fill="C6D9F1"/>
          </w:tcPr>
          <w:p w:rsidR="00A2303C" w:rsidRPr="008D584B" w:rsidRDefault="00A2303C" w:rsidP="008D584B">
            <w:pPr>
              <w:pStyle w:val="NoSpacing"/>
              <w:spacing w:line="360" w:lineRule="auto"/>
              <w:rPr>
                <w:lang w:val="en-US"/>
              </w:rPr>
            </w:pPr>
            <w:r w:rsidRPr="008D584B">
              <w:rPr>
                <w:lang w:val="en-US"/>
              </w:rPr>
              <w:t>Defined contributions</w:t>
            </w:r>
          </w:p>
        </w:tc>
      </w:tr>
      <w:tr w:rsidR="00A2303C" w:rsidTr="008D584B">
        <w:tc>
          <w:tcPr>
            <w:tcW w:w="1458" w:type="dxa"/>
            <w:tcBorders>
              <w:top w:val="single" w:sz="18" w:space="0" w:color="FFFFFF"/>
              <w:left w:val="single" w:sz="18" w:space="0" w:color="auto"/>
              <w:bottom w:val="single" w:sz="18" w:space="0" w:color="auto"/>
              <w:right w:val="single" w:sz="18" w:space="0" w:color="FFFFFF"/>
            </w:tcBorders>
            <w:shd w:val="clear" w:color="auto" w:fill="4F81BD"/>
          </w:tcPr>
          <w:p w:rsidR="00A2303C" w:rsidRPr="008D584B" w:rsidRDefault="00A2303C" w:rsidP="008D584B">
            <w:pPr>
              <w:pStyle w:val="NoSpacing"/>
              <w:spacing w:line="360" w:lineRule="auto"/>
              <w:rPr>
                <w:b/>
                <w:bCs/>
                <w:color w:val="FFFFFF"/>
                <w:lang w:val="en-US"/>
              </w:rPr>
            </w:pPr>
            <w:r w:rsidRPr="008D584B">
              <w:rPr>
                <w:b/>
                <w:bCs/>
                <w:color w:val="FFFFFF"/>
                <w:lang w:val="en-US"/>
              </w:rPr>
              <w:t>Brazil</w:t>
            </w:r>
          </w:p>
        </w:tc>
        <w:tc>
          <w:tcPr>
            <w:tcW w:w="1857" w:type="dxa"/>
            <w:tcBorders>
              <w:top w:val="single" w:sz="18" w:space="0" w:color="FFFFFF"/>
              <w:left w:val="single" w:sz="18" w:space="0" w:color="FFFFFF"/>
              <w:bottom w:val="single" w:sz="18" w:space="0" w:color="auto"/>
              <w:right w:val="single" w:sz="18" w:space="0" w:color="FFFFFF"/>
            </w:tcBorders>
            <w:shd w:val="clear" w:color="auto" w:fill="C6D9F1"/>
          </w:tcPr>
          <w:p w:rsidR="00A2303C" w:rsidRPr="008D584B" w:rsidRDefault="00A2303C" w:rsidP="008D584B">
            <w:pPr>
              <w:pStyle w:val="NoSpacing"/>
              <w:spacing w:line="360" w:lineRule="auto"/>
              <w:rPr>
                <w:lang w:val="en-US"/>
              </w:rPr>
            </w:pPr>
            <w:r w:rsidRPr="008D584B">
              <w:rPr>
                <w:lang w:val="en-US"/>
              </w:rPr>
              <w:t>Mandatory</w:t>
            </w:r>
          </w:p>
        </w:tc>
        <w:tc>
          <w:tcPr>
            <w:tcW w:w="2203" w:type="dxa"/>
            <w:tcBorders>
              <w:top w:val="single" w:sz="18" w:space="0" w:color="FFFFFF"/>
              <w:left w:val="single" w:sz="18" w:space="0" w:color="FFFFFF"/>
              <w:bottom w:val="single" w:sz="18" w:space="0" w:color="auto"/>
              <w:right w:val="single" w:sz="18" w:space="0" w:color="FFFFFF"/>
            </w:tcBorders>
            <w:shd w:val="clear" w:color="auto" w:fill="C6D9F1"/>
          </w:tcPr>
          <w:p w:rsidR="00A2303C" w:rsidRPr="008D584B" w:rsidRDefault="00A2303C" w:rsidP="008D584B">
            <w:pPr>
              <w:pStyle w:val="NoSpacing"/>
              <w:spacing w:line="360" w:lineRule="auto"/>
              <w:rPr>
                <w:lang w:val="en-US"/>
              </w:rPr>
            </w:pPr>
            <w:r w:rsidRPr="008D584B">
              <w:rPr>
                <w:lang w:val="en-US"/>
              </w:rPr>
              <w:t>Publicly managed</w:t>
            </w:r>
          </w:p>
        </w:tc>
        <w:tc>
          <w:tcPr>
            <w:tcW w:w="1742" w:type="dxa"/>
            <w:tcBorders>
              <w:top w:val="single" w:sz="18" w:space="0" w:color="FFFFFF"/>
              <w:left w:val="single" w:sz="18" w:space="0" w:color="FFFFFF"/>
              <w:bottom w:val="single" w:sz="18" w:space="0" w:color="auto"/>
              <w:right w:val="single" w:sz="18" w:space="0" w:color="FFFFFF"/>
            </w:tcBorders>
            <w:shd w:val="clear" w:color="auto" w:fill="C6D9F1"/>
          </w:tcPr>
          <w:p w:rsidR="00A2303C" w:rsidRPr="008D584B" w:rsidRDefault="00A2303C" w:rsidP="008D584B">
            <w:pPr>
              <w:pStyle w:val="NoSpacing"/>
              <w:spacing w:line="360" w:lineRule="auto"/>
              <w:rPr>
                <w:lang w:val="en-US"/>
              </w:rPr>
            </w:pPr>
            <w:r w:rsidRPr="008D584B">
              <w:rPr>
                <w:lang w:val="en-US"/>
              </w:rPr>
              <w:t>PAYG</w:t>
            </w:r>
          </w:p>
        </w:tc>
        <w:tc>
          <w:tcPr>
            <w:tcW w:w="2298" w:type="dxa"/>
            <w:tcBorders>
              <w:top w:val="single" w:sz="18" w:space="0" w:color="FFFFFF"/>
              <w:left w:val="single" w:sz="18" w:space="0" w:color="FFFFFF"/>
              <w:bottom w:val="single" w:sz="18" w:space="0" w:color="auto"/>
              <w:right w:val="single" w:sz="18" w:space="0" w:color="auto"/>
            </w:tcBorders>
            <w:shd w:val="clear" w:color="auto" w:fill="C6D9F1"/>
          </w:tcPr>
          <w:p w:rsidR="00A2303C" w:rsidRPr="008D584B" w:rsidRDefault="00A2303C" w:rsidP="008D584B">
            <w:pPr>
              <w:pStyle w:val="NoSpacing"/>
              <w:spacing w:line="360" w:lineRule="auto"/>
              <w:rPr>
                <w:lang w:val="en-US"/>
              </w:rPr>
            </w:pPr>
            <w:r w:rsidRPr="008D584B">
              <w:rPr>
                <w:lang w:val="en-US"/>
              </w:rPr>
              <w:t>Defined benefits</w:t>
            </w:r>
          </w:p>
        </w:tc>
      </w:tr>
    </w:tbl>
    <w:p w:rsidR="00A2303C" w:rsidRPr="001F3FC7" w:rsidRDefault="00A2303C" w:rsidP="001F3FC7">
      <w:pPr>
        <w:pStyle w:val="NoSpacing"/>
        <w:spacing w:line="360" w:lineRule="auto"/>
        <w:jc w:val="center"/>
        <w:rPr>
          <w:i/>
          <w:sz w:val="20"/>
          <w:szCs w:val="20"/>
          <w:lang w:val="en-US"/>
        </w:rPr>
      </w:pPr>
      <w:r>
        <w:rPr>
          <w:i/>
          <w:sz w:val="20"/>
          <w:szCs w:val="20"/>
          <w:lang w:val="en-US"/>
        </w:rPr>
        <w:t>Source: Author</w:t>
      </w:r>
    </w:p>
    <w:p w:rsidR="00A2303C" w:rsidRDefault="00A2303C" w:rsidP="00421515">
      <w:pPr>
        <w:pStyle w:val="NoSpacing"/>
        <w:spacing w:line="360" w:lineRule="auto"/>
        <w:rPr>
          <w:lang w:val="en-US"/>
        </w:rPr>
      </w:pPr>
    </w:p>
    <w:p w:rsidR="00A2303C" w:rsidRDefault="00A2303C" w:rsidP="004E7D63">
      <w:pPr>
        <w:pStyle w:val="NoSpacing"/>
        <w:numPr>
          <w:ilvl w:val="2"/>
          <w:numId w:val="26"/>
        </w:numPr>
        <w:spacing w:line="360" w:lineRule="auto"/>
        <w:ind w:left="1260" w:hanging="1260"/>
        <w:rPr>
          <w:b/>
          <w:i/>
          <w:lang w:val="en-US"/>
        </w:rPr>
      </w:pPr>
      <w:r>
        <w:rPr>
          <w:b/>
          <w:i/>
          <w:lang w:val="en-US"/>
        </w:rPr>
        <w:t>How should Brazil structure its pension system?</w:t>
      </w:r>
    </w:p>
    <w:p w:rsidR="00A2303C" w:rsidRDefault="00A2303C" w:rsidP="004F75A4">
      <w:pPr>
        <w:pStyle w:val="NoSpacing"/>
        <w:spacing w:line="360" w:lineRule="auto"/>
        <w:rPr>
          <w:lang w:val="en-US"/>
        </w:rPr>
      </w:pPr>
      <w:r>
        <w:rPr>
          <w:lang w:val="en-US"/>
        </w:rPr>
        <w:t xml:space="preserve">With the use of the tables and argumentation in section 4 and Brazil’s characteristics that are explained in section 6, the best pension structure for Brazil can be chosen. </w:t>
      </w:r>
    </w:p>
    <w:p w:rsidR="00A2303C" w:rsidRDefault="00A2303C" w:rsidP="004F75A4">
      <w:pPr>
        <w:pStyle w:val="NoSpacing"/>
        <w:spacing w:line="360" w:lineRule="auto"/>
        <w:rPr>
          <w:lang w:val="en-US"/>
        </w:rPr>
      </w:pPr>
    </w:p>
    <w:p w:rsidR="00A2303C" w:rsidRDefault="00A2303C" w:rsidP="004F75A4">
      <w:pPr>
        <w:pStyle w:val="NoSpacing"/>
        <w:spacing w:line="360" w:lineRule="auto"/>
        <w:rPr>
          <w:lang w:val="en-US"/>
        </w:rPr>
      </w:pPr>
      <w:r>
        <w:rPr>
          <w:lang w:val="en-US"/>
        </w:rPr>
        <w:t>Starting with the choice between a mandatory or voluntary system, Table 4.1 summarizes the advantages and disadvantages of each option. A mandatory system is preferred over a voluntary system as it will avoid having many people who do not contribute at all or not enough to the pension fund due to myopia and self-control problems. With voluntary contributions it may very well be the case that the government ends up paying high amounts for the anti-poverty plans or social assistance, since the voluntary contributions combined with a minimum guarantee give an incentive to dissave. The negative effect of having mandatory contributions is that it requires more government regulations and is more costly in enforcing. The argument of the Worldbank (1994) that it might particularly be difficult for a developing country, like Brazil, to administer and enforce the regulations, does not necessarily have to apply for Brazil. The current Lula administration has shown that it acts more vigorously in case of, for example, violations of the system than the predecessors. To sum up, it is in Brazil’s best interest to have a pension system that is mandatory.</w:t>
      </w:r>
    </w:p>
    <w:p w:rsidR="00A2303C" w:rsidRDefault="00A2303C" w:rsidP="004F75A4">
      <w:pPr>
        <w:pStyle w:val="NoSpacing"/>
        <w:spacing w:line="360" w:lineRule="auto"/>
        <w:rPr>
          <w:lang w:val="en-US"/>
        </w:rPr>
      </w:pPr>
    </w:p>
    <w:p w:rsidR="00A2303C" w:rsidRDefault="00A2303C" w:rsidP="004F75A4">
      <w:pPr>
        <w:pStyle w:val="NoSpacing"/>
        <w:spacing w:line="360" w:lineRule="auto"/>
        <w:rPr>
          <w:lang w:val="en-US"/>
        </w:rPr>
      </w:pPr>
      <w:r>
        <w:rPr>
          <w:lang w:val="en-US"/>
        </w:rPr>
        <w:t>The second choice relates to having a system that is either publicly or privately managed. Section 4.1.2 argues that a publicly managed system only has the small advantages of having lower marketing costs and it is better in profiting from economies of scale. Whereas one of the major arguments against publicly managed pension systems is that it usually has below market yields due to mandatory investments in government bonds. Funds in a privately managed system generally benefit from having more freedom in choosing investment options and there is more competition which benefits the employee by higher investment returns. The higher investment returns will lead to higher pension benefits. The higher benefits can offset the extra marketing costs and the lower economies of scale. Therefore, a privately managed system seems more beneficial for Brazil. If the government wishes, it can first impose several investment restrictions and implement certain guarantees for safety purposes and to limit excessive risk taking behavior. Additionally, it gives the financial market the possibility to develop and deepen, so that the financial market is better able to make sound investment strategies. The current financial market might be too inexperienced with investing such large pension assets. Chile did this as well, but it should be noted that once the system has been operating for a while it is advised to lift these restrictions again as they could limit competition.</w:t>
      </w:r>
    </w:p>
    <w:p w:rsidR="00A2303C" w:rsidRDefault="00A2303C" w:rsidP="004F75A4">
      <w:pPr>
        <w:pStyle w:val="NoSpacing"/>
        <w:spacing w:line="360" w:lineRule="auto"/>
        <w:rPr>
          <w:lang w:val="en-US"/>
        </w:rPr>
      </w:pPr>
    </w:p>
    <w:p w:rsidR="00A2303C" w:rsidRDefault="00A2303C" w:rsidP="004F75A4">
      <w:pPr>
        <w:pStyle w:val="NoSpacing"/>
        <w:spacing w:line="360" w:lineRule="auto"/>
        <w:rPr>
          <w:lang w:val="en-US"/>
        </w:rPr>
      </w:pPr>
      <w:r>
        <w:rPr>
          <w:lang w:val="en-US"/>
        </w:rPr>
        <w:t xml:space="preserve">Thirdly, a fully funded or PAYG system should be selected. As illustrated by Table 4.3, central in this decision is the demographic factor. The Brazilian population is characterized by increased life expectancies (see Figure 6.4) and dropping fertility rates (see Figure 6.3). Brazil’s society is ageing and this is a trend that threatens the sustainability of a PAYG system. The PAYG system cannot cope with the ever becoming smaller group of contributors and growing group of beneficiaries. This is contrary to a fully funded system, where the Brazilian demographic trend does not pose a danger to the sustainability of the system. </w:t>
      </w:r>
    </w:p>
    <w:p w:rsidR="00A2303C" w:rsidRDefault="00A2303C" w:rsidP="005D4270">
      <w:pPr>
        <w:pStyle w:val="NoSpacing"/>
        <w:spacing w:line="360" w:lineRule="auto"/>
        <w:rPr>
          <w:lang w:val="en-US"/>
        </w:rPr>
      </w:pPr>
    </w:p>
    <w:p w:rsidR="00A2303C" w:rsidRDefault="00A2303C" w:rsidP="005D4270">
      <w:pPr>
        <w:pStyle w:val="NoSpacing"/>
        <w:spacing w:line="360" w:lineRule="auto"/>
        <w:rPr>
          <w:lang w:val="en-US"/>
        </w:rPr>
      </w:pPr>
      <w:r>
        <w:rPr>
          <w:lang w:val="en-US"/>
        </w:rPr>
        <w:t xml:space="preserve">The last choice is between defined benefits and defined contributions. Since a fully funded system is in principle equivalent to having defined contributions, it can already be said that defined contributions are most suitable for Brazil. Furthermore, Table 4.4 gives an overview of the various pro’s and cons of the two types of benefits. The defined benefits have the advantage of making evasion of contributions less attractive, as an employee’s benefit will depend on his own contributions. There is no employer solvency risk, nor portability risks. Employees in the Chilean model can switch AFPs if they wish and since they make contributions to individual accounts, changing their job does not influence the arrangements for his or her pension fund. </w:t>
      </w:r>
    </w:p>
    <w:p w:rsidR="00A2303C" w:rsidRDefault="00A2303C" w:rsidP="005D4270">
      <w:pPr>
        <w:pStyle w:val="NoSpacing"/>
        <w:spacing w:line="360" w:lineRule="auto"/>
        <w:rPr>
          <w:lang w:val="en-US"/>
        </w:rPr>
      </w:pPr>
    </w:p>
    <w:p w:rsidR="00A2303C" w:rsidRDefault="00A2303C" w:rsidP="005D4270">
      <w:pPr>
        <w:pStyle w:val="NoSpacing"/>
        <w:spacing w:line="360" w:lineRule="auto"/>
        <w:rPr>
          <w:lang w:val="en-US"/>
        </w:rPr>
      </w:pPr>
      <w:r>
        <w:rPr>
          <w:lang w:val="en-US"/>
        </w:rPr>
        <w:t xml:space="preserve">To conclude, by analyzing the advantages and disadvantages of the various options for structuring a pension system in general and Brazil’s characteristics, the most suitable and sustainable pension system for Brazil would consist of a mandatory, privately managed fully funded pension system with defined benefits. This is exactly the same as how the Chilean pension model is constructed. Thus, to improve Brazil’s system and to make it more sustainable it is advised to reform into a pension system like the Chilean model. </w:t>
      </w:r>
    </w:p>
    <w:p w:rsidR="00A2303C" w:rsidRDefault="00A2303C" w:rsidP="005D4270">
      <w:pPr>
        <w:pStyle w:val="NoSpacing"/>
        <w:spacing w:line="360" w:lineRule="auto"/>
        <w:rPr>
          <w:lang w:val="en-US"/>
        </w:rPr>
      </w:pPr>
    </w:p>
    <w:p w:rsidR="00A2303C" w:rsidRDefault="00A2303C" w:rsidP="002561EC">
      <w:pPr>
        <w:pStyle w:val="NoSpacing"/>
        <w:numPr>
          <w:ilvl w:val="1"/>
          <w:numId w:val="26"/>
        </w:numPr>
        <w:spacing w:line="360" w:lineRule="auto"/>
        <w:ind w:left="1260" w:hanging="1260"/>
        <w:rPr>
          <w:b/>
          <w:i/>
          <w:lang w:val="en-US"/>
        </w:rPr>
      </w:pPr>
      <w:r>
        <w:rPr>
          <w:b/>
          <w:i/>
          <w:lang w:val="en-US"/>
        </w:rPr>
        <w:t>Policy recommendations</w:t>
      </w:r>
    </w:p>
    <w:p w:rsidR="00A2303C" w:rsidRDefault="00A2303C" w:rsidP="001C14D5">
      <w:pPr>
        <w:pStyle w:val="NoSpacing"/>
        <w:spacing w:line="360" w:lineRule="auto"/>
        <w:rPr>
          <w:lang w:val="en-US"/>
        </w:rPr>
      </w:pPr>
      <w:r>
        <w:rPr>
          <w:lang w:val="en-US"/>
        </w:rPr>
        <w:t>It was just established that Brazil should reform its pension system in accordance with the Chilean model. Earlier in this paper the positive and negative effects of the Chilean pension reform have been presented and especially the negative effects are of interest since the Brazilian government can learn from these problems and mistakes. In this subsection a number of policy recommendations are given on how to the implement the Chilean model in Brazil and how Brazil can learn from the mistakes that Chile made.</w:t>
      </w:r>
    </w:p>
    <w:p w:rsidR="00A2303C" w:rsidRDefault="00A2303C" w:rsidP="001C14D5">
      <w:pPr>
        <w:pStyle w:val="NoSpacing"/>
        <w:spacing w:line="360" w:lineRule="auto"/>
        <w:rPr>
          <w:lang w:val="en-US"/>
        </w:rPr>
      </w:pPr>
    </w:p>
    <w:p w:rsidR="00A2303C" w:rsidRDefault="00A2303C" w:rsidP="001C14D5">
      <w:pPr>
        <w:pStyle w:val="NoSpacing"/>
        <w:spacing w:line="360" w:lineRule="auto"/>
        <w:rPr>
          <w:lang w:val="en-US"/>
        </w:rPr>
      </w:pPr>
      <w:r>
        <w:rPr>
          <w:lang w:val="en-US"/>
        </w:rPr>
        <w:t xml:space="preserve">The transition will be accompanied with costs. Examples of these costs were given in section 5. High transaction costs were one of the major reasons in the past why the Brazilian government did not reform its system into a fully funded pension system. However, Brazil is currently running a budget surplus, like Chile did before the reform, which could be used to finance the transition. Furthermore, Brazil could copy other finance methods of Chile, like cutting the government expenditure and issuing government bonds. It is advised to gradually transform the pension system, as this will result in lower public resistance because it places a lower burden on the current generations. </w:t>
      </w:r>
    </w:p>
    <w:p w:rsidR="00A2303C" w:rsidRDefault="00A2303C" w:rsidP="001C14D5">
      <w:pPr>
        <w:pStyle w:val="NoSpacing"/>
        <w:spacing w:line="360" w:lineRule="auto"/>
        <w:rPr>
          <w:lang w:val="en-US"/>
        </w:rPr>
      </w:pPr>
    </w:p>
    <w:p w:rsidR="00A2303C" w:rsidRDefault="00A2303C" w:rsidP="001C14D5">
      <w:pPr>
        <w:pStyle w:val="NoSpacing"/>
        <w:spacing w:line="360" w:lineRule="auto"/>
        <w:rPr>
          <w:lang w:val="en-US"/>
        </w:rPr>
      </w:pPr>
      <w:r>
        <w:rPr>
          <w:lang w:val="en-US"/>
        </w:rPr>
        <w:t xml:space="preserve">The transition cost might be high, but running a system that is not able to handle the demographic trends, one of the major Brazilian problems, it will threaten the sustainability and will lead to growing shortfalls which will have to be financed by the government. Additionally, Chile’s experience tells that more people were covered after the reform and they received higher benefits. These advantages outweigh the (potentially) high transition costs, costs that otherwise could also be incurred by running large deficits.  </w:t>
      </w:r>
    </w:p>
    <w:p w:rsidR="00A2303C" w:rsidRDefault="00A2303C" w:rsidP="001C14D5">
      <w:pPr>
        <w:pStyle w:val="NoSpacing"/>
        <w:spacing w:line="360" w:lineRule="auto"/>
        <w:rPr>
          <w:lang w:val="en-US"/>
        </w:rPr>
      </w:pPr>
    </w:p>
    <w:p w:rsidR="00A2303C" w:rsidRDefault="00A2303C" w:rsidP="001C14D5">
      <w:pPr>
        <w:pStyle w:val="NoSpacing"/>
        <w:spacing w:line="360" w:lineRule="auto"/>
        <w:rPr>
          <w:lang w:val="en-US"/>
        </w:rPr>
      </w:pPr>
      <w:r>
        <w:rPr>
          <w:lang w:val="en-US"/>
        </w:rPr>
        <w:t>Although the investment regulations and restrictions are now a burden for the Chilean pension system, it might still be recommended to implement them in Brazil as well. Not only for safety and profitability purposes, but also to give the capital and financial market the opportunity to develop themselves without encountering great risks. Nevertheless, these regulations should become less strict and restrictions should be gradually lifted once the markets have gained experience in investing such large pension funds and when they are better able to make sound investment plans. If they are not lifted later on, Brazil will have the same problem as Chile with limited competition and higher costs.</w:t>
      </w:r>
    </w:p>
    <w:p w:rsidR="00A2303C" w:rsidRDefault="00A2303C" w:rsidP="001C14D5">
      <w:pPr>
        <w:pStyle w:val="NoSpacing"/>
        <w:spacing w:line="360" w:lineRule="auto"/>
        <w:rPr>
          <w:lang w:val="en-US"/>
        </w:rPr>
      </w:pPr>
    </w:p>
    <w:p w:rsidR="00A2303C" w:rsidRDefault="00A2303C" w:rsidP="001C14D5">
      <w:pPr>
        <w:pStyle w:val="NoSpacing"/>
        <w:spacing w:line="360" w:lineRule="auto"/>
        <w:rPr>
          <w:lang w:val="en-US"/>
        </w:rPr>
      </w:pPr>
      <w:r>
        <w:rPr>
          <w:lang w:val="en-US"/>
        </w:rPr>
        <w:t>Apart from reforming the second pillar PAYG system into a fully funded, Brazil should also have a first and third pillar like Chile. Not many changes are necessary as Brazil’s current zero pillar resembles the first pillar of Chile and both third pillars are nearly similar. An anti-poverty program in the first pillar, for the poor who did not contribute for at least 20 years will help them with a minimum (subsistence) income. As was said before, Brazil would have many people living under the poverty line if there would not be any kind of social assistance. Therefore, some kind of anti-poverty program is undoubtedly crucial. The minimum pension guarantee for participants who have contributed for more than 20 years, as in Chile, is also possible. However, the linkage between the minimum pension guarantee will have to change to prevent moral hazard behavior of the low income contributors, which became a problem in Chile.</w:t>
      </w:r>
    </w:p>
    <w:p w:rsidR="00A2303C" w:rsidRDefault="00A2303C" w:rsidP="001C14D5">
      <w:pPr>
        <w:pStyle w:val="NoSpacing"/>
        <w:spacing w:line="360" w:lineRule="auto"/>
        <w:rPr>
          <w:lang w:val="en-US"/>
        </w:rPr>
      </w:pPr>
    </w:p>
    <w:p w:rsidR="00A2303C" w:rsidRDefault="00A2303C" w:rsidP="001C14D5">
      <w:pPr>
        <w:pStyle w:val="NoSpacing"/>
        <w:spacing w:line="360" w:lineRule="auto"/>
        <w:rPr>
          <w:lang w:val="en-US"/>
        </w:rPr>
      </w:pPr>
      <w:r>
        <w:rPr>
          <w:lang w:val="en-US"/>
        </w:rPr>
        <w:t>Another issue in Chile is the low coverage among the self-employed. Currently in Brazil the self-employed are also not obliged to make contributions to the second pillar, but it would be advisable to increase the coverage among this relatively large group (see Table 6.2). Tax incentives could work to induce the self-employed to open an individual account and make regular contributions.</w:t>
      </w:r>
    </w:p>
    <w:p w:rsidR="00A2303C" w:rsidRDefault="00A2303C" w:rsidP="001C14D5">
      <w:pPr>
        <w:pStyle w:val="NoSpacing"/>
        <w:spacing w:line="360" w:lineRule="auto"/>
        <w:rPr>
          <w:lang w:val="en-US"/>
        </w:rPr>
      </w:pPr>
    </w:p>
    <w:p w:rsidR="00A2303C" w:rsidRDefault="00A2303C" w:rsidP="001C14D5">
      <w:pPr>
        <w:pStyle w:val="NoSpacing"/>
        <w:spacing w:line="360" w:lineRule="auto"/>
        <w:rPr>
          <w:lang w:val="en-US"/>
        </w:rPr>
      </w:pPr>
      <w:r>
        <w:rPr>
          <w:lang w:val="en-US"/>
        </w:rPr>
        <w:t xml:space="preserve">Lastly, many workers are currently working in the informal sector in Brazil and they usually do not contribute to the pension system. The reform could help in lowering the informality, which happened in Chile after the reform (Schmidt-Hebbel 1999). The reasoning is that employers no longer need to make contributions as a percentage of payroll, this will lower the costs of labor for the employers. If labor becomes cheaper, it becomes more attractive to create more jobs which gives informal-sector workers a better chance at finding a formal job. One of the reasons for the high informality was that many workers could not find a job in the formal sector. Another suggestion is to make working in the rural areas more attractive, since another cause of the high informality was that too many workers migrated from the rural areas to the urban areas, where there are not enough jobs for everyone. Incentives to stay and work in the rural areas could be favorable tax treatment or a small bonus that is received for as long as the worker stays in the rural area. </w:t>
      </w:r>
    </w:p>
    <w:p w:rsidR="00A2303C" w:rsidRDefault="00A2303C" w:rsidP="001C14D5">
      <w:pPr>
        <w:pStyle w:val="NoSpacing"/>
        <w:spacing w:line="360" w:lineRule="auto"/>
        <w:rPr>
          <w:lang w:val="en-US"/>
        </w:rPr>
      </w:pPr>
    </w:p>
    <w:p w:rsidR="00A2303C" w:rsidRDefault="00A2303C" w:rsidP="008B50C6">
      <w:pPr>
        <w:pStyle w:val="NoSpacing"/>
        <w:numPr>
          <w:ilvl w:val="1"/>
          <w:numId w:val="26"/>
        </w:numPr>
        <w:spacing w:line="360" w:lineRule="auto"/>
        <w:ind w:left="1260" w:hanging="1260"/>
        <w:rPr>
          <w:b/>
          <w:i/>
          <w:lang w:val="en-US"/>
        </w:rPr>
      </w:pPr>
      <w:r>
        <w:rPr>
          <w:b/>
          <w:i/>
          <w:lang w:val="en-US"/>
        </w:rPr>
        <w:t>Winners and losers of the reform</w:t>
      </w:r>
    </w:p>
    <w:p w:rsidR="00A2303C" w:rsidRDefault="00A2303C" w:rsidP="008B50C6">
      <w:pPr>
        <w:pStyle w:val="NoSpacing"/>
        <w:spacing w:line="360" w:lineRule="auto"/>
        <w:rPr>
          <w:lang w:val="en-US"/>
        </w:rPr>
      </w:pPr>
      <w:r>
        <w:rPr>
          <w:lang w:val="en-US"/>
        </w:rPr>
        <w:t xml:space="preserve">Despite the (many) previously given benefits of reforming the Brazilian pension system in accordance with the Chilean model, the Brazilian state has not yet implemented this recommendation. Possible reasons could be that the government finds that the losses of the reform outbalance the gains or that the losers have strong influential powers that prevent the government from executing the reform. </w:t>
      </w:r>
    </w:p>
    <w:p w:rsidR="00A2303C" w:rsidRDefault="00A2303C" w:rsidP="008B50C6">
      <w:pPr>
        <w:pStyle w:val="NoSpacing"/>
        <w:spacing w:line="360" w:lineRule="auto"/>
        <w:rPr>
          <w:lang w:val="en-US"/>
        </w:rPr>
      </w:pPr>
    </w:p>
    <w:p w:rsidR="00A2303C" w:rsidRDefault="00A2303C" w:rsidP="008B50C6">
      <w:pPr>
        <w:pStyle w:val="NoSpacing"/>
        <w:spacing w:line="360" w:lineRule="auto"/>
        <w:rPr>
          <w:lang w:val="en-US"/>
        </w:rPr>
      </w:pPr>
      <w:r>
        <w:rPr>
          <w:lang w:val="en-US"/>
        </w:rPr>
        <w:t xml:space="preserve">Most likely the participants of the Special Regime, RJU, will suffer from the reform. Their current generous benefits and favorable regulations will diminish after the reform, since the Chilean model does not allow for differentiation between workers of the public or private regime. As the current RJU is responsible for the largest share of the pension balance deficit, it is unlikely that the level of benefits and regulations of this regime will be used for the entire work force after the reform. It can thus be expected that the pension provision for the public workers will deteriorate, which is a reason for the public workers to oppose to the reform. It seems reasonable that they would rather not like to see the level of their retirement income fall and the eligibility criteria for receiving benefits increased. Medici (2004) found that the active public workers and retirees embody approximately 6.4 million people and each as the ability to persuade two other individuals to not vote in favor of such a reform, which results in nearly 20 million opponents of the reform. Furthermore, the author continues that this group consists of many persons that have the capability to heavily influence the public opinion, which makes the execution of the reform more unlikely. </w:t>
      </w:r>
    </w:p>
    <w:p w:rsidR="00A2303C" w:rsidRDefault="00A2303C" w:rsidP="008B50C6">
      <w:pPr>
        <w:pStyle w:val="NoSpacing"/>
        <w:spacing w:line="360" w:lineRule="auto"/>
        <w:rPr>
          <w:lang w:val="en-US"/>
        </w:rPr>
      </w:pPr>
    </w:p>
    <w:p w:rsidR="00A2303C" w:rsidRDefault="00A2303C" w:rsidP="008B50C6">
      <w:pPr>
        <w:pStyle w:val="NoSpacing"/>
        <w:spacing w:line="360" w:lineRule="auto"/>
        <w:rPr>
          <w:lang w:val="en-US"/>
        </w:rPr>
      </w:pPr>
      <w:r>
        <w:rPr>
          <w:lang w:val="en-US"/>
        </w:rPr>
        <w:t xml:space="preserve">Winners of the reform would predominately be the future generations and specifically the future private workers. Future generations will no longer have to carry the burden that the ageing of the society causes. Without the reform and taking into account that in the future there will be less contributors (due to falling fertility rates) and more beneficiaries (because of rising life expectancies), it would mean that the contributors would have to contribute a larger part of their income to support the elderly. With the reform and the individual accounts, the ageing of the society no longer affects the level of contributions. However, it is harder for future generations to voice their approval of the reform, as they either do not exist yet or do not have voting power yet. This affects the likelihood of implementing the reform adversely.   </w:t>
      </w:r>
    </w:p>
    <w:p w:rsidR="00A2303C" w:rsidRDefault="00A2303C" w:rsidP="008B50C6">
      <w:pPr>
        <w:pStyle w:val="NoSpacing"/>
        <w:spacing w:line="360" w:lineRule="auto"/>
        <w:rPr>
          <w:lang w:val="en-US"/>
        </w:rPr>
      </w:pPr>
    </w:p>
    <w:p w:rsidR="00A2303C" w:rsidRDefault="00A2303C" w:rsidP="008B50C6">
      <w:pPr>
        <w:pStyle w:val="NoSpacing"/>
        <w:spacing w:line="360" w:lineRule="auto"/>
        <w:rPr>
          <w:lang w:val="en-US"/>
        </w:rPr>
      </w:pPr>
      <w:r>
        <w:rPr>
          <w:lang w:val="en-US"/>
        </w:rPr>
        <w:t xml:space="preserve">The reason that especially the future private workers will benefit from the reform, rather than the future public workers is that public workers have higher benefits and do not have to contribute as much as the private workers. As said before, the public workers will most likely enjoy less privileges, lower benefits and higher eligibility criteria after the reform. It could therefore be questioned whether the situation for the future public workers will improve. </w:t>
      </w:r>
    </w:p>
    <w:p w:rsidR="00A2303C" w:rsidRDefault="00A2303C" w:rsidP="008B50C6">
      <w:pPr>
        <w:pStyle w:val="NoSpacing"/>
        <w:spacing w:line="360" w:lineRule="auto"/>
        <w:rPr>
          <w:lang w:val="en-US"/>
        </w:rPr>
      </w:pPr>
    </w:p>
    <w:p w:rsidR="00A2303C" w:rsidRPr="008B50C6" w:rsidRDefault="00A2303C" w:rsidP="008B50C6">
      <w:pPr>
        <w:pStyle w:val="NoSpacing"/>
        <w:spacing w:line="360" w:lineRule="auto"/>
        <w:rPr>
          <w:lang w:val="en-US"/>
        </w:rPr>
      </w:pPr>
      <w:r>
        <w:rPr>
          <w:lang w:val="en-US"/>
        </w:rPr>
        <w:t xml:space="preserve">Although possible reasons for not yet implementing the reform have been stated, it is suggested to perform a more elaborate study on this topic. </w:t>
      </w:r>
    </w:p>
    <w:p w:rsidR="00A2303C" w:rsidRDefault="00A2303C" w:rsidP="00670494">
      <w:pPr>
        <w:pStyle w:val="IntenseQuote"/>
        <w:jc w:val="center"/>
        <w:rPr>
          <w:lang w:val="en-US"/>
        </w:rPr>
      </w:pPr>
      <w:r>
        <w:rPr>
          <w:lang w:val="en-US"/>
        </w:rPr>
        <w:t>8. Conclusion</w:t>
      </w:r>
    </w:p>
    <w:p w:rsidR="00A2303C" w:rsidRDefault="00A2303C" w:rsidP="001C14D5">
      <w:pPr>
        <w:pStyle w:val="NoSpacing"/>
        <w:spacing w:line="360" w:lineRule="auto"/>
        <w:rPr>
          <w:lang w:val="en-US"/>
        </w:rPr>
      </w:pPr>
      <w:r>
        <w:rPr>
          <w:lang w:val="en-US"/>
        </w:rPr>
        <w:t xml:space="preserve">The purpose of this paper was to analyze the Brazilian pension system. The pension system of Brazil is of interest, since the country set itself apart from most of the other Latin American countries in terms of reforming their pension system. While 11 Latin American countries chose to reform their pension system, in the 1980s and 1990s, in accordance with the model of Chile, the pioneer in (drastic) pension reforms, Brazil took a different path by continuing their PAYG system. However, the situation in Brazil has come to a critical point where the sustainability of the system is questioned. Among others, the demographic trends, the growing fiscal deficits and persistent income inequalities pose a threat on the sustainability of the PAYG system. This paper examined whether Brazil should also reform its pension system like Chile, into a privately fully funded scheme. </w:t>
      </w:r>
    </w:p>
    <w:p w:rsidR="00A2303C" w:rsidRDefault="00A2303C" w:rsidP="001C14D5">
      <w:pPr>
        <w:pStyle w:val="NoSpacing"/>
        <w:spacing w:line="360" w:lineRule="auto"/>
        <w:rPr>
          <w:lang w:val="en-US"/>
        </w:rPr>
      </w:pPr>
    </w:p>
    <w:p w:rsidR="00A2303C" w:rsidRDefault="00A2303C" w:rsidP="001C14D5">
      <w:pPr>
        <w:pStyle w:val="NoSpacing"/>
        <w:spacing w:line="360" w:lineRule="auto"/>
        <w:rPr>
          <w:lang w:val="en-US"/>
        </w:rPr>
      </w:pPr>
      <w:r>
        <w:rPr>
          <w:lang w:val="en-US"/>
        </w:rPr>
        <w:t xml:space="preserve">In order to answer this question it was important to first examine the various options there are to design a pension system and what their respective advantages and disadvantages are. Subsequently, the reform of Chile was analyzed to describe the current situation and to indicate the positive and negative effects of the reform. The positive effects could be seen as reasons of how the Chilean model could improve the Brazilian situation, under the assumption that both countries face the same pension problems before the reform. The negative effects should be used as a lesson for Brazil; to avoid mistakes and to optimally use the reform to benefit the sustainability of the Brazilian pension system. </w:t>
      </w:r>
    </w:p>
    <w:p w:rsidR="00A2303C" w:rsidRDefault="00A2303C" w:rsidP="001C14D5">
      <w:pPr>
        <w:pStyle w:val="NoSpacing"/>
        <w:spacing w:line="360" w:lineRule="auto"/>
        <w:rPr>
          <w:lang w:val="en-US"/>
        </w:rPr>
      </w:pPr>
    </w:p>
    <w:p w:rsidR="00A2303C" w:rsidRDefault="00A2303C" w:rsidP="001C14D5">
      <w:pPr>
        <w:pStyle w:val="NoSpacing"/>
        <w:spacing w:line="360" w:lineRule="auto"/>
        <w:rPr>
          <w:lang w:val="en-US"/>
        </w:rPr>
      </w:pPr>
      <w:r>
        <w:rPr>
          <w:lang w:val="en-US"/>
        </w:rPr>
        <w:t xml:space="preserve">The paper concludes that it is in Brazil’s best interest to reform its pension system into a privatized fully funded system, like the one in Chile. Via the reform many of the current problems of Brazil will be solved. The most important reason favoring the reform is that a fully funded system encounters no problems of the ageing of the society, which is already a critical issue and will become an even more fundamental problem if not dealt with appropriately. In addition, the too generous benefits paid to workers in the public sector, that cause great budget deficits, will not exist in the new model. Since the Chilean model does not differentiate between workers of different sectors, the benefits received by Brazilian public workers will most likely be lower after the reform compared to the current public worker’s benefits. The probable decline in benefits of the public workers, will most likely result in the opposing to the reform from the public sector. Since the public sector still has significant influence on the Brazilian government, this might be one of the reasons why the Brazilian state has not yet decided to change her system. The area of winners and losers of the reform asks for further research to give a more definitive reason why the government of Brazil has not reformed its pension system into a fully funded one. </w:t>
      </w:r>
    </w:p>
    <w:p w:rsidR="00A2303C" w:rsidRDefault="00A2303C" w:rsidP="001C14D5">
      <w:pPr>
        <w:pStyle w:val="NoSpacing"/>
        <w:spacing w:line="360" w:lineRule="auto"/>
        <w:rPr>
          <w:lang w:val="en-US"/>
        </w:rPr>
      </w:pPr>
    </w:p>
    <w:p w:rsidR="00A2303C" w:rsidRDefault="00A2303C" w:rsidP="001C14D5">
      <w:pPr>
        <w:pStyle w:val="NoSpacing"/>
        <w:spacing w:line="360" w:lineRule="auto"/>
        <w:rPr>
          <w:lang w:val="en-US"/>
        </w:rPr>
      </w:pPr>
      <w:r>
        <w:rPr>
          <w:lang w:val="en-US"/>
        </w:rPr>
        <w:t xml:space="preserve">After concluding that Brazil should transform its pension system into the Chilean model, the paper continues with giving suggestions on how this reform should be implemented. In most of the cases, Brazil can directly copy the method of Chile since the countries are relatively alike. However some small adjustments are necessary to fit Brazil’s characteristics better. For instance, Brazil should provide more incentives to make it attractive for the self-employed to participate in the system. This is a matter that is still rather problematic in Chile, but Brazil can learn from its and with the use of tax incentive increase the attractiveness for the self-employed. On the other hand, the way of financing the transition can be done similarly in Brazil. Both countries enjoyed budget surpluses before the reform and have the opportunities to issue government bonds. </w:t>
      </w:r>
    </w:p>
    <w:p w:rsidR="00A2303C" w:rsidRDefault="00A2303C" w:rsidP="001C14D5">
      <w:pPr>
        <w:pStyle w:val="NoSpacing"/>
        <w:spacing w:line="360" w:lineRule="auto"/>
        <w:rPr>
          <w:lang w:val="en-US"/>
        </w:rPr>
      </w:pPr>
    </w:p>
    <w:p w:rsidR="00A2303C" w:rsidRDefault="00A2303C" w:rsidP="001C14D5">
      <w:pPr>
        <w:pStyle w:val="NoSpacing"/>
        <w:spacing w:line="360" w:lineRule="auto"/>
        <w:rPr>
          <w:lang w:val="en-US"/>
        </w:rPr>
      </w:pPr>
      <w:r>
        <w:rPr>
          <w:lang w:val="en-US"/>
        </w:rPr>
        <w:t xml:space="preserve">One final remark is that the transition and administration costs of the Chilean pension system ask for further research as previous studies have been inconclusive. Some studies claimed that these costs were too high, whereas others refuted these arguments (Rodriguez 1999). This paper assumed that the transition and administration costs were not too high, but affordable. However, it is advised to take a closer look at this matter, since it does influence the decision whether Brazil is able to transform its pension system into a privatized fully funded system or not. </w:t>
      </w:r>
    </w:p>
    <w:p w:rsidR="00A2303C" w:rsidRDefault="00A2303C" w:rsidP="001C14D5">
      <w:pPr>
        <w:pStyle w:val="NoSpacing"/>
        <w:spacing w:line="360" w:lineRule="auto"/>
        <w:rPr>
          <w:lang w:val="en-US"/>
        </w:rPr>
      </w:pPr>
    </w:p>
    <w:p w:rsidR="00A2303C" w:rsidRPr="007304C5" w:rsidRDefault="00A2303C" w:rsidP="00670494">
      <w:pPr>
        <w:pStyle w:val="IntenseQuote"/>
        <w:jc w:val="center"/>
        <w:rPr>
          <w:lang w:val="en-US"/>
        </w:rPr>
      </w:pPr>
      <w:r>
        <w:rPr>
          <w:lang w:val="en-US"/>
        </w:rPr>
        <w:t>9. Reference list</w:t>
      </w:r>
    </w:p>
    <w:p w:rsidR="00A2303C" w:rsidRDefault="00A2303C" w:rsidP="00670494">
      <w:pPr>
        <w:rPr>
          <w:lang w:val="en-US"/>
        </w:rPr>
      </w:pPr>
      <w:r>
        <w:rPr>
          <w:lang w:val="en-US"/>
        </w:rPr>
        <w:t>Andrews, Emily S. 2006. Pension Reform and the Development of Pension Systems: An Evaluation of World Bank Assistance. Working Paper, The World Bank, Washington D.C.</w:t>
      </w:r>
    </w:p>
    <w:p w:rsidR="00A2303C" w:rsidRDefault="00A2303C" w:rsidP="00670494">
      <w:pPr>
        <w:rPr>
          <w:lang w:val="en-US"/>
        </w:rPr>
      </w:pPr>
      <w:r w:rsidRPr="00670494">
        <w:rPr>
          <w:lang w:val="en-US"/>
        </w:rPr>
        <w:t xml:space="preserve">Arrau, Patricio, Klaus Schmidt-Hebbel. </w:t>
      </w:r>
      <w:r>
        <w:rPr>
          <w:lang w:val="en-US"/>
        </w:rPr>
        <w:t>1995. Pension System and Reform, Country Experiences and Research Issues. Policy Research Working Paper, World Bank, Macroeconomics and Growth Division.</w:t>
      </w:r>
    </w:p>
    <w:p w:rsidR="00A2303C" w:rsidRPr="00E90551" w:rsidRDefault="00A2303C" w:rsidP="00670494">
      <w:pPr>
        <w:rPr>
          <w:lang w:val="en-US"/>
        </w:rPr>
      </w:pPr>
      <w:r>
        <w:rPr>
          <w:lang w:val="en-US"/>
        </w:rPr>
        <w:t>Baer, Werner, and Fialho Galvão Jr. 2006. Tax Burden, Government Expenditures and Income Distribution in Brazil. Working Paper, University of Illinois.</w:t>
      </w:r>
    </w:p>
    <w:p w:rsidR="00A2303C" w:rsidRDefault="00A2303C" w:rsidP="00670494">
      <w:pPr>
        <w:rPr>
          <w:lang w:val="en-US"/>
        </w:rPr>
      </w:pPr>
      <w:r>
        <w:rPr>
          <w:lang w:val="en-US"/>
        </w:rPr>
        <w:t>Baeza, Sergio, and Raúl Bürger. 1995. Calidad de las Pensiones del Sistema Privado Chileno, in Sergio Baeza and F. Margozzini, ed.,</w:t>
      </w:r>
      <w:r w:rsidRPr="009412AA">
        <w:rPr>
          <w:lang w:val="en-US"/>
        </w:rPr>
        <w:t xml:space="preserve"> </w:t>
      </w:r>
      <w:r w:rsidRPr="009412AA">
        <w:rPr>
          <w:i/>
          <w:lang w:val="en-US"/>
        </w:rPr>
        <w:t>Quince Anios Despues: Una Mirada al Sistema Privado de Pensiones,</w:t>
      </w:r>
      <w:r>
        <w:rPr>
          <w:lang w:val="en-US"/>
        </w:rPr>
        <w:t xml:space="preserve"> Santiago: Centro de Estudios Publicos. </w:t>
      </w:r>
    </w:p>
    <w:p w:rsidR="00A2303C" w:rsidRDefault="00A2303C" w:rsidP="00670494">
      <w:pPr>
        <w:rPr>
          <w:lang w:val="en-US"/>
        </w:rPr>
      </w:pPr>
      <w:r>
        <w:rPr>
          <w:lang w:val="en-US"/>
        </w:rPr>
        <w:t xml:space="preserve">Banco Central do Brasil. 2009. Brazil Interest Rate. </w:t>
      </w:r>
      <w:hyperlink r:id="rId25" w:history="1">
        <w:r w:rsidRPr="00D3488B">
          <w:rPr>
            <w:rStyle w:val="Hyperlink"/>
            <w:lang w:val="en-US"/>
          </w:rPr>
          <w:t>http://www.bcb.gov.br/?english</w:t>
        </w:r>
      </w:hyperlink>
      <w:r>
        <w:rPr>
          <w:lang w:val="en-US"/>
        </w:rPr>
        <w:t xml:space="preserve"> Downloaded at 20</w:t>
      </w:r>
      <w:r w:rsidRPr="007A4E6F">
        <w:rPr>
          <w:vertAlign w:val="superscript"/>
          <w:lang w:val="en-US"/>
        </w:rPr>
        <w:t>th</w:t>
      </w:r>
      <w:r>
        <w:rPr>
          <w:lang w:val="en-US"/>
        </w:rPr>
        <w:t xml:space="preserve"> of July 2009.</w:t>
      </w:r>
    </w:p>
    <w:p w:rsidR="00A2303C" w:rsidRDefault="00A2303C" w:rsidP="00670494">
      <w:pPr>
        <w:rPr>
          <w:lang w:val="en-US"/>
        </w:rPr>
      </w:pPr>
      <w:r>
        <w:rPr>
          <w:lang w:val="en-US"/>
        </w:rPr>
        <w:t>Barreto de Oliveira, Francisco E., and Kaiz</w:t>
      </w:r>
      <w:r>
        <w:rPr>
          <w:rFonts w:cs="Calibri"/>
          <w:lang w:val="en-US"/>
        </w:rPr>
        <w:t>ô</w:t>
      </w:r>
      <w:r>
        <w:rPr>
          <w:lang w:val="en-US"/>
        </w:rPr>
        <w:t xml:space="preserve"> I. Beltr</w:t>
      </w:r>
      <w:r>
        <w:rPr>
          <w:rFonts w:cs="Calibri"/>
          <w:lang w:val="en-US"/>
        </w:rPr>
        <w:t>ã</w:t>
      </w:r>
      <w:r>
        <w:rPr>
          <w:lang w:val="en-US"/>
        </w:rPr>
        <w:t>o. 2000. The Brazilian Social Security System. Discussion Paper, Institute for Applied Economic Research, Rio de Janeiro.</w:t>
      </w:r>
    </w:p>
    <w:p w:rsidR="00A2303C" w:rsidRDefault="00A2303C" w:rsidP="00670494">
      <w:pPr>
        <w:rPr>
          <w:lang w:val="en-US"/>
        </w:rPr>
      </w:pPr>
      <w:r>
        <w:rPr>
          <w:lang w:val="en-US"/>
        </w:rPr>
        <w:t>Barrientos, Armando. 2002. “Comparing Pension Schemes in Chile, Singapore, Brazil and South Africa.” Prepared for the UNRISD Meeting on Ageing, Development and Social Protection, Madrid, 2002.</w:t>
      </w:r>
    </w:p>
    <w:p w:rsidR="00A2303C" w:rsidRDefault="00A2303C" w:rsidP="00670494">
      <w:pPr>
        <w:rPr>
          <w:lang w:val="en-US"/>
        </w:rPr>
      </w:pPr>
      <w:r>
        <w:rPr>
          <w:lang w:val="en-US"/>
        </w:rPr>
        <w:t>Barrientos, Armando. 2003. What is the impact of non-contributory pensions on poverty? Estimates from Brazil and South Africa. Working Paper, University of Manchester.</w:t>
      </w:r>
    </w:p>
    <w:p w:rsidR="00A2303C" w:rsidRPr="00416D91" w:rsidRDefault="00A2303C" w:rsidP="00670494">
      <w:pPr>
        <w:rPr>
          <w:lang w:val="en-US"/>
        </w:rPr>
      </w:pPr>
      <w:r>
        <w:rPr>
          <w:lang w:val="en-US"/>
        </w:rPr>
        <w:t xml:space="preserve">Barros, R.P, and Foguel, M.N. 2000. </w:t>
      </w:r>
      <w:r w:rsidRPr="00B2772F">
        <w:rPr>
          <w:rFonts w:cs="Arial"/>
          <w:color w:val="000000"/>
          <w:lang w:val="en-US"/>
        </w:rPr>
        <w:t xml:space="preserve">Focalização dos gastos públicos sociais e erradicação da pobreza no Brasil. </w:t>
      </w:r>
      <w:r w:rsidRPr="00F30DA5">
        <w:rPr>
          <w:rFonts w:cs="Arial"/>
          <w:color w:val="000000"/>
          <w:lang w:val="en-US"/>
        </w:rPr>
        <w:t>Working Paper. Intstitute of Applied Economic Research</w:t>
      </w:r>
      <w:r>
        <w:rPr>
          <w:rFonts w:cs="Arial"/>
          <w:color w:val="000000"/>
          <w:lang w:val="en-US"/>
        </w:rPr>
        <w:t>, Rio de Janeiro</w:t>
      </w:r>
      <w:r w:rsidRPr="00F30DA5">
        <w:rPr>
          <w:rFonts w:cs="Arial"/>
          <w:color w:val="000000"/>
          <w:lang w:val="en-US"/>
        </w:rPr>
        <w:t>.</w:t>
      </w:r>
    </w:p>
    <w:p w:rsidR="00A2303C" w:rsidRPr="004223AE" w:rsidRDefault="00A2303C" w:rsidP="00670494">
      <w:pPr>
        <w:rPr>
          <w:lang w:val="en-US"/>
        </w:rPr>
      </w:pPr>
      <w:r>
        <w:rPr>
          <w:lang w:val="en-US"/>
        </w:rPr>
        <w:t xml:space="preserve">Besley, Timothy, and Robin Burgess. 2003. Halving Global Poverty. </w:t>
      </w:r>
      <w:r>
        <w:rPr>
          <w:i/>
          <w:lang w:val="en-US"/>
        </w:rPr>
        <w:t>Journal of Economic Perspectives</w:t>
      </w:r>
      <w:r>
        <w:rPr>
          <w:lang w:val="en-US"/>
        </w:rPr>
        <w:t>, vol. 17, no. 3.</w:t>
      </w:r>
    </w:p>
    <w:p w:rsidR="00A2303C" w:rsidRDefault="00A2303C" w:rsidP="00670494">
      <w:pPr>
        <w:rPr>
          <w:lang w:val="en-US"/>
        </w:rPr>
      </w:pPr>
      <w:r>
        <w:rPr>
          <w:lang w:val="en-US"/>
        </w:rPr>
        <w:t>Blake, David, Douglas Wright, and Yumeng Zhang. 2008. Optimal Funding and Investment Strategies in Defined Contribution Pension Plans under Epstein- Zin Utility. Working Paper, City University London.</w:t>
      </w:r>
    </w:p>
    <w:p w:rsidR="00A2303C" w:rsidRDefault="00A2303C" w:rsidP="00670494">
      <w:pPr>
        <w:rPr>
          <w:lang w:val="en-US"/>
        </w:rPr>
      </w:pPr>
      <w:r>
        <w:rPr>
          <w:lang w:val="en-US"/>
        </w:rPr>
        <w:t xml:space="preserve">Blake, David. 2006. </w:t>
      </w:r>
      <w:r>
        <w:rPr>
          <w:i/>
          <w:lang w:val="en-US"/>
        </w:rPr>
        <w:t>Pension Economics</w:t>
      </w:r>
      <w:r>
        <w:rPr>
          <w:lang w:val="en-US"/>
        </w:rPr>
        <w:t>. Chichester: John Wiley &amp; Sons Ltd.</w:t>
      </w:r>
    </w:p>
    <w:p w:rsidR="00A2303C" w:rsidRDefault="00A2303C" w:rsidP="00670494">
      <w:pPr>
        <w:rPr>
          <w:lang w:val="en-US"/>
        </w:rPr>
      </w:pPr>
      <w:r>
        <w:rPr>
          <w:lang w:val="en-US"/>
        </w:rPr>
        <w:t xml:space="preserve">Bodie, Zvi. 1990. Pensions as Retirement Income Insurance. </w:t>
      </w:r>
      <w:r>
        <w:rPr>
          <w:i/>
          <w:lang w:val="en-US"/>
        </w:rPr>
        <w:t>Journal of Economic Literature</w:t>
      </w:r>
      <w:r>
        <w:rPr>
          <w:lang w:val="en-US"/>
        </w:rPr>
        <w:t>, vol. 28, no. 1, 28-49.</w:t>
      </w:r>
    </w:p>
    <w:p w:rsidR="00A2303C" w:rsidRDefault="00A2303C" w:rsidP="00670494">
      <w:pPr>
        <w:rPr>
          <w:lang w:val="en-US"/>
        </w:rPr>
      </w:pPr>
      <w:r>
        <w:rPr>
          <w:lang w:val="en-US"/>
        </w:rPr>
        <w:t xml:space="preserve">Bonturi, Marcos. 2002. The Brazilian Pension System: Recent Reforms and Challenges Ahead. Working Paper, no. 340, OECD Economics Department. </w:t>
      </w:r>
    </w:p>
    <w:p w:rsidR="00A2303C" w:rsidRDefault="00A2303C" w:rsidP="00670494">
      <w:pPr>
        <w:rPr>
          <w:lang w:val="en-US"/>
        </w:rPr>
      </w:pPr>
      <w:r w:rsidRPr="009D03C4">
        <w:rPr>
          <w:lang w:val="en-US"/>
        </w:rPr>
        <w:t>B</w:t>
      </w:r>
      <w:r w:rsidRPr="009D03C4">
        <w:rPr>
          <w:rFonts w:cs="Calibri"/>
          <w:lang w:val="en-US"/>
        </w:rPr>
        <w:t>ö</w:t>
      </w:r>
      <w:r w:rsidRPr="009D03C4">
        <w:rPr>
          <w:lang w:val="en-US"/>
        </w:rPr>
        <w:t>rsch-Supan, Axel, Alexander Ludwig, and Joachim Winter</w:t>
      </w:r>
      <w:r>
        <w:rPr>
          <w:lang w:val="en-US"/>
        </w:rPr>
        <w:t>. 2005. Ageing, Pension Reform, and Capital Flows: A Multi-Country Simulation Model. Working paper, Mannheim Research Institute for Economics of Ageing Mannheim Germany, National Bureau of Economic Research Cambridge USA, and University of Munich Germany.</w:t>
      </w:r>
    </w:p>
    <w:p w:rsidR="00A2303C" w:rsidRDefault="00A2303C" w:rsidP="00670494">
      <w:pPr>
        <w:rPr>
          <w:lang w:val="en-US"/>
        </w:rPr>
      </w:pPr>
      <w:r>
        <w:rPr>
          <w:lang w:val="en-US"/>
        </w:rPr>
        <w:t>Brooks, Sarah M. 2007. Globalization and Pension Reform in Latin America. Working Paper, Ohio State University.</w:t>
      </w:r>
    </w:p>
    <w:p w:rsidR="00A2303C" w:rsidRDefault="00A2303C" w:rsidP="00670494">
      <w:pPr>
        <w:rPr>
          <w:lang w:val="en-US"/>
        </w:rPr>
      </w:pPr>
      <w:r>
        <w:rPr>
          <w:lang w:val="en-US"/>
        </w:rPr>
        <w:t xml:space="preserve">Cagan, Philip. 1965. </w:t>
      </w:r>
      <w:r>
        <w:rPr>
          <w:i/>
          <w:lang w:val="en-US"/>
        </w:rPr>
        <w:t>The Effect of Pension Plans on Aggregate Savings: Evidence from a Sample Survey</w:t>
      </w:r>
      <w:r>
        <w:rPr>
          <w:lang w:val="en-US"/>
        </w:rPr>
        <w:t>. New York: Columbia University Press.</w:t>
      </w:r>
    </w:p>
    <w:p w:rsidR="00A2303C" w:rsidRPr="00ED4E3D" w:rsidRDefault="00A2303C" w:rsidP="00670494">
      <w:pPr>
        <w:rPr>
          <w:lang w:val="en-US"/>
        </w:rPr>
      </w:pPr>
      <w:r>
        <w:rPr>
          <w:lang w:val="en-US"/>
        </w:rPr>
        <w:t xml:space="preserve">CIA World Factbook. 2008. Economic Indicators Brazil. </w:t>
      </w:r>
      <w:hyperlink r:id="rId26" w:history="1">
        <w:r w:rsidRPr="00D3488B">
          <w:rPr>
            <w:rStyle w:val="Hyperlink"/>
            <w:lang w:val="en-US"/>
          </w:rPr>
          <w:t>https://www.cia.gov/library/publications/the-world-factbook/geos/br.html</w:t>
        </w:r>
      </w:hyperlink>
      <w:r>
        <w:rPr>
          <w:lang w:val="en-US"/>
        </w:rPr>
        <w:t xml:space="preserve"> Downloaded at 20th of July. </w:t>
      </w:r>
    </w:p>
    <w:p w:rsidR="00A2303C" w:rsidRPr="00D94935" w:rsidRDefault="00A2303C" w:rsidP="00670494">
      <w:pPr>
        <w:rPr>
          <w:lang w:val="en-US"/>
        </w:rPr>
      </w:pPr>
      <w:r>
        <w:rPr>
          <w:lang w:val="en-US"/>
        </w:rPr>
        <w:t xml:space="preserve">Diamond, Peter. 1997. Insulation of Pensions from Political Risk, in Salvador Valdés-Prieto, ed., </w:t>
      </w:r>
      <w:r>
        <w:rPr>
          <w:i/>
          <w:lang w:val="en-US"/>
        </w:rPr>
        <w:t>The Economics of Pensions: Principles, Policies and International Experience</w:t>
      </w:r>
      <w:r>
        <w:rPr>
          <w:lang w:val="en-US"/>
        </w:rPr>
        <w:t>, Cambridge: Cambridge University Press.</w:t>
      </w:r>
    </w:p>
    <w:p w:rsidR="00A2303C" w:rsidRDefault="00A2303C" w:rsidP="00670494">
      <w:pPr>
        <w:rPr>
          <w:rFonts w:cs="Calibri"/>
          <w:lang w:val="en-US"/>
        </w:rPr>
      </w:pPr>
      <w:r>
        <w:rPr>
          <w:rFonts w:cs="Calibri"/>
          <w:lang w:val="en-US"/>
        </w:rPr>
        <w:t>Dorfman, Mark, Richard Hinz, and David Robalino. 2008. The Financial Crisis and Mandatory Pension Systems in Developing Countries: Short- and Medium-term Responses. Working Paper, University of Munich.</w:t>
      </w:r>
    </w:p>
    <w:p w:rsidR="00A2303C" w:rsidRDefault="00A2303C" w:rsidP="00670494">
      <w:pPr>
        <w:rPr>
          <w:lang w:val="en-US"/>
        </w:rPr>
      </w:pPr>
      <w:r>
        <w:rPr>
          <w:lang w:val="en-US"/>
        </w:rPr>
        <w:t xml:space="preserve">ERS USDA Data. 2008. International Macroeconomic Data Set. </w:t>
      </w:r>
      <w:hyperlink r:id="rId27" w:history="1">
        <w:r w:rsidRPr="00D3488B">
          <w:rPr>
            <w:rStyle w:val="Hyperlink"/>
            <w:lang w:val="en-US"/>
          </w:rPr>
          <w:t>http://www.ers.usda.gov/Data/Macroeconomics/</w:t>
        </w:r>
      </w:hyperlink>
      <w:r>
        <w:rPr>
          <w:lang w:val="en-US"/>
        </w:rPr>
        <w:t xml:space="preserve"> Downloaded at 20</w:t>
      </w:r>
      <w:r w:rsidRPr="00BE3262">
        <w:rPr>
          <w:vertAlign w:val="superscript"/>
          <w:lang w:val="en-US"/>
        </w:rPr>
        <w:t>th</w:t>
      </w:r>
      <w:r>
        <w:rPr>
          <w:lang w:val="en-US"/>
        </w:rPr>
        <w:t xml:space="preserve"> of July 2009.</w:t>
      </w:r>
    </w:p>
    <w:p w:rsidR="00A2303C" w:rsidRDefault="00A2303C" w:rsidP="00670494">
      <w:pPr>
        <w:rPr>
          <w:lang w:val="en-US"/>
        </w:rPr>
      </w:pPr>
      <w:r>
        <w:rPr>
          <w:lang w:val="en-US"/>
        </w:rPr>
        <w:t xml:space="preserve"> Feldstein, Martin. 1985. The Optimal Level of Social Security Benefits, </w:t>
      </w:r>
      <w:r>
        <w:rPr>
          <w:i/>
          <w:lang w:val="en-US"/>
        </w:rPr>
        <w:t xml:space="preserve">Quarterly Journal of </w:t>
      </w:r>
      <w:r w:rsidRPr="00204F64">
        <w:rPr>
          <w:i/>
          <w:lang w:val="en-US"/>
        </w:rPr>
        <w:t>Economics</w:t>
      </w:r>
      <w:r>
        <w:rPr>
          <w:lang w:val="en-US"/>
        </w:rPr>
        <w:t xml:space="preserve"> vol. 100, no.2, 303-320.</w:t>
      </w:r>
    </w:p>
    <w:p w:rsidR="00A2303C" w:rsidRDefault="00A2303C" w:rsidP="00670494">
      <w:pPr>
        <w:rPr>
          <w:rFonts w:cs="Calibri"/>
          <w:lang w:val="en-US"/>
        </w:rPr>
      </w:pPr>
      <w:r>
        <w:rPr>
          <w:rFonts w:cs="Calibri"/>
          <w:lang w:val="en-US"/>
        </w:rPr>
        <w:t>Feldstein, Martin. 1997. “Transition to Fully Funded Pension System: Five Economic Issues.” Presented at the Annual Conference of the Kiel Institute of World Economics, Kiel, 1997.</w:t>
      </w:r>
    </w:p>
    <w:p w:rsidR="00A2303C" w:rsidRDefault="00A2303C" w:rsidP="00670494">
      <w:pPr>
        <w:rPr>
          <w:lang w:val="en-US"/>
        </w:rPr>
      </w:pPr>
      <w:r>
        <w:rPr>
          <w:lang w:val="en-US"/>
        </w:rPr>
        <w:t>Ferreira Savoia, José R. 2007. “Pension Reform in Brazil: The Challenge of Labor Inclusion.” Presented at the 5</w:t>
      </w:r>
      <w:r w:rsidRPr="00065291">
        <w:rPr>
          <w:vertAlign w:val="superscript"/>
          <w:lang w:val="en-US"/>
        </w:rPr>
        <w:t>th</w:t>
      </w:r>
      <w:r>
        <w:rPr>
          <w:lang w:val="en-US"/>
        </w:rPr>
        <w:t xml:space="preserve"> International Research Conference on Social Security, Warsaw, 5-7 March 2007.</w:t>
      </w:r>
    </w:p>
    <w:p w:rsidR="00A2303C" w:rsidRDefault="00A2303C" w:rsidP="00670494">
      <w:pPr>
        <w:rPr>
          <w:lang w:val="en-US"/>
        </w:rPr>
      </w:pPr>
      <w:r>
        <w:rPr>
          <w:lang w:val="en-US"/>
        </w:rPr>
        <w:t>Ferreira, Sergio G. 2005. Pension Reform in Brazil: Transitional Issues in a Model with Endogenous Labor Supply. Discussion paper, IBMEC Business School Rio de Janeiro.</w:t>
      </w:r>
    </w:p>
    <w:p w:rsidR="00A2303C" w:rsidRDefault="00A2303C" w:rsidP="00670494">
      <w:pPr>
        <w:rPr>
          <w:lang w:val="en-US"/>
        </w:rPr>
      </w:pPr>
      <w:r>
        <w:rPr>
          <w:lang w:val="en-US"/>
        </w:rPr>
        <w:t xml:space="preserve">Gent, David F.T. 2001. Social Insurance: Theoretical Background. in Isabel Ortiz, ed., </w:t>
      </w:r>
      <w:r>
        <w:rPr>
          <w:i/>
          <w:lang w:val="en-US"/>
        </w:rPr>
        <w:t>Social Protection in Asia and the Pacific</w:t>
      </w:r>
      <w:r>
        <w:rPr>
          <w:lang w:val="en-US"/>
        </w:rPr>
        <w:t>. Manila: Asian Development Bank.</w:t>
      </w:r>
    </w:p>
    <w:p w:rsidR="00A2303C" w:rsidRDefault="00A2303C" w:rsidP="00670494">
      <w:pPr>
        <w:rPr>
          <w:lang w:val="en-US"/>
        </w:rPr>
      </w:pPr>
      <w:r>
        <w:rPr>
          <w:lang w:val="en-US"/>
        </w:rPr>
        <w:t>Giambiagi, Fabio, and Lav</w:t>
      </w:r>
      <w:r>
        <w:rPr>
          <w:rFonts w:cs="Calibri"/>
          <w:lang w:val="en-US"/>
        </w:rPr>
        <w:t>í</w:t>
      </w:r>
      <w:r>
        <w:rPr>
          <w:lang w:val="en-US"/>
        </w:rPr>
        <w:t xml:space="preserve">nia Castro. 2003. </w:t>
      </w:r>
      <w:r w:rsidRPr="00F30DA5">
        <w:rPr>
          <w:rFonts w:cs="Arial"/>
          <w:color w:val="000000"/>
          <w:lang w:val="en-US"/>
        </w:rPr>
        <w:t>Previdência social: diagnósticos e propostas de reforma</w:t>
      </w:r>
      <w:r w:rsidRPr="004223AE">
        <w:rPr>
          <w:lang w:val="en-US"/>
        </w:rPr>
        <w:t>.</w:t>
      </w:r>
      <w:r>
        <w:rPr>
          <w:lang w:val="en-US"/>
        </w:rPr>
        <w:t xml:space="preserve"> </w:t>
      </w:r>
      <w:r w:rsidRPr="00CB472D">
        <w:rPr>
          <w:i/>
          <w:lang w:val="en-US"/>
        </w:rPr>
        <w:t>BNDES</w:t>
      </w:r>
      <w:r>
        <w:rPr>
          <w:lang w:val="en-US"/>
        </w:rPr>
        <w:t xml:space="preserve">, </w:t>
      </w:r>
      <w:r w:rsidRPr="004223AE">
        <w:rPr>
          <w:lang w:val="en-US"/>
        </w:rPr>
        <w:t>vol</w:t>
      </w:r>
      <w:r>
        <w:rPr>
          <w:lang w:val="en-US"/>
        </w:rPr>
        <w:t>. 10, no. 19.</w:t>
      </w:r>
    </w:p>
    <w:p w:rsidR="00A2303C" w:rsidRPr="007C7C2B" w:rsidRDefault="00A2303C" w:rsidP="00670494">
      <w:pPr>
        <w:rPr>
          <w:lang w:val="en-US"/>
        </w:rPr>
      </w:pPr>
      <w:r>
        <w:rPr>
          <w:lang w:val="en-US"/>
        </w:rPr>
        <w:t xml:space="preserve">Gustman, Alan L., and Thomas L. Steinmeier. 1990. Pension Portability and Labor Mobility: Evidence from the Survey of Income and Program Participation. </w:t>
      </w:r>
      <w:r>
        <w:rPr>
          <w:i/>
          <w:lang w:val="en-US"/>
        </w:rPr>
        <w:t>Journal of Public Economics</w:t>
      </w:r>
      <w:r>
        <w:rPr>
          <w:lang w:val="en-US"/>
        </w:rPr>
        <w:t xml:space="preserve">, vol. 50, 299-323. </w:t>
      </w:r>
    </w:p>
    <w:p w:rsidR="00A2303C" w:rsidRDefault="00A2303C" w:rsidP="00670494">
      <w:pPr>
        <w:rPr>
          <w:rFonts w:cs="Calibri"/>
          <w:lang w:val="en-US"/>
        </w:rPr>
      </w:pPr>
      <w:r>
        <w:rPr>
          <w:lang w:val="en-US"/>
        </w:rPr>
        <w:t>Hakola, Tuulia, and Niku M</w:t>
      </w:r>
      <w:r>
        <w:rPr>
          <w:rFonts w:cs="Calibri"/>
          <w:lang w:val="en-US"/>
        </w:rPr>
        <w:t>äättänen. 2006. The Effect of the Pension Reform on Retirement Age and Income Distribution: Estimates from a Dynamic Programming Model. Working Paper, Finnish Centre for Pensions, The Research Institute of the Finnish Economy, Helsinki.</w:t>
      </w:r>
    </w:p>
    <w:p w:rsidR="00A2303C" w:rsidRPr="00204F64" w:rsidRDefault="00A2303C" w:rsidP="00670494">
      <w:pPr>
        <w:rPr>
          <w:lang w:val="en-US"/>
        </w:rPr>
      </w:pPr>
      <w:r>
        <w:rPr>
          <w:lang w:val="en-US"/>
        </w:rPr>
        <w:t xml:space="preserve">Hubbard, Glenn R., Jonathan Skinner, and Stephen P. Zeldes. 1994. Precautionary Saving and Social Insurance. </w:t>
      </w:r>
      <w:r>
        <w:rPr>
          <w:i/>
          <w:lang w:val="en-US"/>
        </w:rPr>
        <w:t>Journal of Political Economy</w:t>
      </w:r>
      <w:r>
        <w:rPr>
          <w:lang w:val="en-US"/>
        </w:rPr>
        <w:t xml:space="preserve">, vol. 103, no. 2, 360-399. </w:t>
      </w:r>
    </w:p>
    <w:p w:rsidR="00A2303C" w:rsidRDefault="00A2303C" w:rsidP="00670494">
      <w:pPr>
        <w:rPr>
          <w:rFonts w:cs="Calibri"/>
          <w:lang w:val="en-US"/>
        </w:rPr>
      </w:pPr>
      <w:r>
        <w:rPr>
          <w:rFonts w:cs="Calibri"/>
          <w:lang w:val="en-US"/>
        </w:rPr>
        <w:t>Hviding, Ketil, and Marcel Mérette. 1998. Macroeconomic Effects of Pension Reforms in the Context of Ageing Populations: Overlapping Generations Model Simulations for Seven OECD Countries. Working Paper, no. 201, Economics Department OECD.</w:t>
      </w:r>
    </w:p>
    <w:p w:rsidR="00A2303C" w:rsidRDefault="00A2303C" w:rsidP="00670494">
      <w:pPr>
        <w:rPr>
          <w:lang w:val="en-US"/>
        </w:rPr>
      </w:pPr>
      <w:r>
        <w:rPr>
          <w:lang w:val="en-US"/>
        </w:rPr>
        <w:t xml:space="preserve">Iglesias, A., and R. Palacios. 2000. Managing Public Pension Reserves: A Review of the International Experience. Working Paper, World Bank. </w:t>
      </w:r>
    </w:p>
    <w:p w:rsidR="00A2303C" w:rsidRDefault="00A2303C" w:rsidP="00670494">
      <w:pPr>
        <w:rPr>
          <w:lang w:val="en-US"/>
        </w:rPr>
      </w:pPr>
      <w:r>
        <w:rPr>
          <w:lang w:val="en-US"/>
        </w:rPr>
        <w:t xml:space="preserve">IMF. 2008. World Economic Outlook 2008. </w:t>
      </w:r>
      <w:hyperlink r:id="rId28" w:history="1">
        <w:r w:rsidRPr="00D3488B">
          <w:rPr>
            <w:rStyle w:val="Hyperlink"/>
            <w:lang w:val="en-US"/>
          </w:rPr>
          <w:t>http://www.imf.org/external/index.htm</w:t>
        </w:r>
      </w:hyperlink>
      <w:r>
        <w:rPr>
          <w:lang w:val="en-US"/>
        </w:rPr>
        <w:t xml:space="preserve"> Downloaded at 20th of July 2009.</w:t>
      </w:r>
    </w:p>
    <w:p w:rsidR="00A2303C" w:rsidRDefault="00A2303C" w:rsidP="00670494">
      <w:pPr>
        <w:rPr>
          <w:lang w:val="en-US"/>
        </w:rPr>
      </w:pPr>
      <w:r>
        <w:rPr>
          <w:lang w:val="en-US"/>
        </w:rPr>
        <w:t>Katona, George. 1964. Private Pensions and Individual Savings. Working Paper, University of Michigan.</w:t>
      </w:r>
    </w:p>
    <w:p w:rsidR="00A2303C" w:rsidRDefault="00A2303C" w:rsidP="00670494">
      <w:pPr>
        <w:rPr>
          <w:lang w:val="en-US"/>
        </w:rPr>
      </w:pPr>
      <w:r>
        <w:rPr>
          <w:lang w:val="en-US"/>
        </w:rPr>
        <w:t xml:space="preserve">Kaufman, Bruce. 1998. </w:t>
      </w:r>
      <w:r w:rsidRPr="00F30DA5">
        <w:rPr>
          <w:i/>
          <w:lang w:val="en-US"/>
        </w:rPr>
        <w:t>Government Regulation of the Employment Relationship</w:t>
      </w:r>
      <w:r>
        <w:rPr>
          <w:lang w:val="en-US"/>
        </w:rPr>
        <w:t>. Ithaca: IRL Press.</w:t>
      </w:r>
    </w:p>
    <w:p w:rsidR="00A2303C" w:rsidRDefault="00A2303C" w:rsidP="00670494">
      <w:pPr>
        <w:rPr>
          <w:lang w:val="en-US"/>
        </w:rPr>
      </w:pPr>
      <w:r>
        <w:rPr>
          <w:lang w:val="en-US"/>
        </w:rPr>
        <w:t>Medici, André. 2004. “The Political Economy of Reform in Brazil’s Civil Servant Pension Scheme.” Presented at the International Symposium and Policy Seminar Pension Reform in the English-Speaking Caribbean Countries, Barbados, 4-6 June 2003.</w:t>
      </w:r>
    </w:p>
    <w:p w:rsidR="00A2303C" w:rsidRPr="00DF65E5" w:rsidRDefault="00A2303C" w:rsidP="00670494">
      <w:pPr>
        <w:rPr>
          <w:lang w:val="en-US"/>
        </w:rPr>
      </w:pPr>
      <w:r>
        <w:rPr>
          <w:lang w:val="en-US"/>
        </w:rPr>
        <w:t xml:space="preserve">Melo, Marcus A. 2004. Institutional Choice and the Diffusion of Policy Paradigms: Brazil and the Second Wave of Pension  Reform. </w:t>
      </w:r>
      <w:r>
        <w:rPr>
          <w:i/>
          <w:lang w:val="en-US"/>
        </w:rPr>
        <w:t>International Political Science Review</w:t>
      </w:r>
      <w:r>
        <w:rPr>
          <w:lang w:val="en-US"/>
        </w:rPr>
        <w:t>, vol. 25, no. 3, 320-341.</w:t>
      </w:r>
    </w:p>
    <w:p w:rsidR="00A2303C" w:rsidRDefault="00A2303C" w:rsidP="00670494">
      <w:pPr>
        <w:rPr>
          <w:lang w:val="en-US"/>
        </w:rPr>
      </w:pPr>
      <w:r>
        <w:rPr>
          <w:lang w:val="en-US"/>
        </w:rPr>
        <w:t>Mesa-Lago, Carmelo. 2003. Reassessing Pension Reform in Chile and Other Countries in Latin America. Working Paper, University of Pittsburgh.</w:t>
      </w:r>
    </w:p>
    <w:p w:rsidR="00A2303C" w:rsidRDefault="00A2303C" w:rsidP="00670494">
      <w:pPr>
        <w:rPr>
          <w:lang w:val="en-US"/>
        </w:rPr>
      </w:pPr>
      <w:r>
        <w:rPr>
          <w:lang w:val="en-US"/>
        </w:rPr>
        <w:t>Minist</w:t>
      </w:r>
      <w:r>
        <w:rPr>
          <w:rFonts w:cs="Calibri"/>
          <w:lang w:val="en-US"/>
        </w:rPr>
        <w:t>é</w:t>
      </w:r>
      <w:r>
        <w:rPr>
          <w:lang w:val="en-US"/>
        </w:rPr>
        <w:t>rio da Fazenda. 2003. Pol</w:t>
      </w:r>
      <w:r>
        <w:rPr>
          <w:rFonts w:cs="Calibri"/>
          <w:lang w:val="en-US"/>
        </w:rPr>
        <w:t>í</w:t>
      </w:r>
      <w:r>
        <w:rPr>
          <w:lang w:val="en-US"/>
        </w:rPr>
        <w:t>tica Econ</w:t>
      </w:r>
      <w:r>
        <w:rPr>
          <w:rFonts w:cs="Calibri"/>
          <w:lang w:val="en-US"/>
        </w:rPr>
        <w:t>ô</w:t>
      </w:r>
      <w:r>
        <w:rPr>
          <w:lang w:val="en-US"/>
        </w:rPr>
        <w:t>mica e Reformas Estruturais, Brasilia.</w:t>
      </w:r>
    </w:p>
    <w:p w:rsidR="00A2303C" w:rsidRDefault="00A2303C" w:rsidP="00670494">
      <w:pPr>
        <w:rPr>
          <w:lang w:val="en-US"/>
        </w:rPr>
      </w:pPr>
      <w:r>
        <w:rPr>
          <w:lang w:val="en-US"/>
        </w:rPr>
        <w:t>Minist</w:t>
      </w:r>
      <w:r>
        <w:rPr>
          <w:rFonts w:cs="Calibri"/>
          <w:lang w:val="en-US"/>
        </w:rPr>
        <w:t>é</w:t>
      </w:r>
      <w:r>
        <w:rPr>
          <w:lang w:val="en-US"/>
        </w:rPr>
        <w:t>rio da Previd</w:t>
      </w:r>
      <w:r>
        <w:rPr>
          <w:rFonts w:cs="Calibri"/>
          <w:lang w:val="en-US"/>
        </w:rPr>
        <w:t>ê</w:t>
      </w:r>
      <w:r>
        <w:rPr>
          <w:lang w:val="en-US"/>
        </w:rPr>
        <w:t>ncia Social. 2008. Brazilian Social Security Overview, Brasilia.</w:t>
      </w:r>
    </w:p>
    <w:p w:rsidR="00A2303C" w:rsidRDefault="00A2303C" w:rsidP="00670494">
      <w:pPr>
        <w:rPr>
          <w:lang w:val="en-US"/>
        </w:rPr>
      </w:pPr>
      <w:r>
        <w:rPr>
          <w:lang w:val="en-US"/>
        </w:rPr>
        <w:t>Minist</w:t>
      </w:r>
      <w:r>
        <w:rPr>
          <w:rFonts w:cs="Calibri"/>
          <w:lang w:val="en-US"/>
        </w:rPr>
        <w:t>é</w:t>
      </w:r>
      <w:r>
        <w:rPr>
          <w:lang w:val="en-US"/>
        </w:rPr>
        <w:t>rio da Previd</w:t>
      </w:r>
      <w:r>
        <w:rPr>
          <w:rFonts w:cs="Calibri"/>
          <w:lang w:val="en-US"/>
        </w:rPr>
        <w:t>ê</w:t>
      </w:r>
      <w:r>
        <w:rPr>
          <w:lang w:val="en-US"/>
        </w:rPr>
        <w:t xml:space="preserve">ncia Social. 2009. Social Security Statistical Bulletin. </w:t>
      </w:r>
      <w:hyperlink r:id="rId29" w:history="1">
        <w:r w:rsidRPr="007B1581">
          <w:rPr>
            <w:rStyle w:val="Hyperlink"/>
            <w:lang w:val="en-US"/>
          </w:rPr>
          <w:t>http://www.previdencia.gov.br/arquivos/office/3_090625-100357-970.pdf</w:t>
        </w:r>
      </w:hyperlink>
      <w:r>
        <w:rPr>
          <w:lang w:val="en-US"/>
        </w:rPr>
        <w:t xml:space="preserve"> Downloaded at 29</w:t>
      </w:r>
      <w:r>
        <w:rPr>
          <w:vertAlign w:val="superscript"/>
          <w:lang w:val="en-US"/>
        </w:rPr>
        <w:t>th</w:t>
      </w:r>
      <w:r>
        <w:rPr>
          <w:lang w:val="en-US"/>
        </w:rPr>
        <w:t xml:space="preserve"> of June 2009.</w:t>
      </w:r>
    </w:p>
    <w:p w:rsidR="00A2303C" w:rsidRDefault="00A2303C" w:rsidP="00670494">
      <w:pPr>
        <w:rPr>
          <w:lang w:val="en-US"/>
        </w:rPr>
      </w:pPr>
      <w:r>
        <w:rPr>
          <w:lang w:val="en-US"/>
        </w:rPr>
        <w:t>Mitchell, Olivia S., and Gary S. Fields. 1996. Designing Pension Systems for Developing Countries. Working Paper, the Wharton School of the University of Pennsylvania.</w:t>
      </w:r>
    </w:p>
    <w:p w:rsidR="00A2303C" w:rsidRDefault="00A2303C" w:rsidP="00670494">
      <w:pPr>
        <w:rPr>
          <w:lang w:val="en-US"/>
        </w:rPr>
      </w:pPr>
      <w:r>
        <w:rPr>
          <w:lang w:val="en-US"/>
        </w:rPr>
        <w:t xml:space="preserve">Neri, M.C. 2002. Decent Work and the Informal Sector in Brazil. Working Paper. </w:t>
      </w:r>
      <w:r w:rsidRPr="00416D91">
        <w:rPr>
          <w:lang w:val="en-US"/>
        </w:rPr>
        <w:t>EPGE</w:t>
      </w:r>
      <w:r>
        <w:rPr>
          <w:lang w:val="en-US"/>
        </w:rPr>
        <w:t>, Rio de Janeiro</w:t>
      </w:r>
      <w:r w:rsidRPr="00416D91">
        <w:rPr>
          <w:lang w:val="en-US"/>
        </w:rPr>
        <w:t>.</w:t>
      </w:r>
    </w:p>
    <w:p w:rsidR="00A2303C" w:rsidRDefault="00A2303C" w:rsidP="00670494">
      <w:pPr>
        <w:rPr>
          <w:rFonts w:cs="Calibri"/>
          <w:lang w:val="en-US"/>
        </w:rPr>
      </w:pPr>
      <w:r>
        <w:rPr>
          <w:rFonts w:cs="Calibri"/>
          <w:lang w:val="en-US"/>
        </w:rPr>
        <w:t>Pinheiro, Vinícius C. 2004. The Political Economy of Pension Reform in Brazil: A Historical Perspective. Working Paper. Inter American Development Bank, Washington DC.</w:t>
      </w:r>
    </w:p>
    <w:p w:rsidR="00A2303C" w:rsidRDefault="00A2303C" w:rsidP="00670494">
      <w:pPr>
        <w:rPr>
          <w:lang w:val="en-US"/>
        </w:rPr>
      </w:pPr>
      <w:r>
        <w:rPr>
          <w:lang w:val="en-US"/>
        </w:rPr>
        <w:t xml:space="preserve">Poterba, James M. 1996. Personal Saving Behavior and Retirement Income Modeling: A Research Assessment, in Eric A. Hanushek and Nancy L. Maritato, eds., </w:t>
      </w:r>
      <w:r>
        <w:rPr>
          <w:i/>
          <w:lang w:val="en-US"/>
        </w:rPr>
        <w:t>Assessing Knowledge of Retirement Behavior</w:t>
      </w:r>
      <w:r w:rsidRPr="0098084B">
        <w:rPr>
          <w:lang w:val="en-US"/>
        </w:rPr>
        <w:t>. Washington D.C.:</w:t>
      </w:r>
      <w:r>
        <w:rPr>
          <w:lang w:val="en-US"/>
        </w:rPr>
        <w:t xml:space="preserve"> National Academy Press.</w:t>
      </w:r>
      <w:r>
        <w:rPr>
          <w:i/>
          <w:lang w:val="en-US"/>
        </w:rPr>
        <w:t xml:space="preserve"> </w:t>
      </w:r>
      <w:r>
        <w:rPr>
          <w:lang w:val="en-US"/>
        </w:rPr>
        <w:t xml:space="preserve"> </w:t>
      </w:r>
    </w:p>
    <w:p w:rsidR="00A2303C" w:rsidRDefault="00A2303C" w:rsidP="00670494">
      <w:pPr>
        <w:rPr>
          <w:lang w:val="en-US"/>
        </w:rPr>
      </w:pPr>
      <w:r>
        <w:rPr>
          <w:lang w:val="en-US"/>
        </w:rPr>
        <w:t>Rodriguez, L. 1999. Chile’s Private Pension System at 18: Its Current State and Future Challenges. Working Paper, The Cato Project.</w:t>
      </w:r>
    </w:p>
    <w:p w:rsidR="00A2303C" w:rsidRDefault="00A2303C" w:rsidP="00670494">
      <w:pPr>
        <w:rPr>
          <w:lang w:val="en-US"/>
        </w:rPr>
      </w:pPr>
      <w:r>
        <w:rPr>
          <w:lang w:val="en-US"/>
        </w:rPr>
        <w:t xml:space="preserve">Roncada, Ana L.C. 2000. Reforming Old-Age Pension Systems in Developing Countries: Lessons from Latin America. </w:t>
      </w:r>
      <w:r>
        <w:rPr>
          <w:i/>
          <w:lang w:val="en-US"/>
        </w:rPr>
        <w:t>Brazilian Journal of Political Economy</w:t>
      </w:r>
      <w:r>
        <w:rPr>
          <w:lang w:val="en-US"/>
        </w:rPr>
        <w:t>, vol. 20, no. 1, 119-137.</w:t>
      </w:r>
    </w:p>
    <w:p w:rsidR="00A2303C" w:rsidRPr="00D17D20" w:rsidRDefault="00A2303C" w:rsidP="00670494">
      <w:pPr>
        <w:rPr>
          <w:lang w:val="en-US"/>
        </w:rPr>
      </w:pPr>
      <w:r>
        <w:rPr>
          <w:lang w:val="en-US"/>
        </w:rPr>
        <w:t xml:space="preserve">Rothschild, Michael, and Joseph Stiglitz. 1976. Equilibrium in Competitive Insurance Markets: An Essay on the Economics of Imperfect Information. </w:t>
      </w:r>
      <w:r>
        <w:rPr>
          <w:i/>
          <w:lang w:val="en-US"/>
        </w:rPr>
        <w:t>Quarterly Journal of Economics</w:t>
      </w:r>
      <w:r>
        <w:rPr>
          <w:lang w:val="en-US"/>
        </w:rPr>
        <w:t>, vol. 90, 629-650.</w:t>
      </w:r>
    </w:p>
    <w:p w:rsidR="00A2303C" w:rsidRDefault="00A2303C" w:rsidP="00670494">
      <w:pPr>
        <w:rPr>
          <w:lang w:val="en-US"/>
        </w:rPr>
      </w:pPr>
      <w:r>
        <w:rPr>
          <w:lang w:val="en-US"/>
        </w:rPr>
        <w:t>Ruiz-Tagle, Joaquin. 1997. The Chilean Pension System. Working Paper, OECD.</w:t>
      </w:r>
    </w:p>
    <w:p w:rsidR="00A2303C" w:rsidRDefault="00A2303C" w:rsidP="00670494">
      <w:pPr>
        <w:rPr>
          <w:lang w:val="en-US"/>
        </w:rPr>
      </w:pPr>
      <w:r>
        <w:rPr>
          <w:lang w:val="en-US"/>
        </w:rPr>
        <w:t>Rutkowski, Michal. 2002. Key Issues in Debates on Modern Pension Systems. Working Paper (draft). World Bank.</w:t>
      </w:r>
    </w:p>
    <w:p w:rsidR="00A2303C" w:rsidRDefault="00A2303C" w:rsidP="00670494">
      <w:pPr>
        <w:rPr>
          <w:lang w:val="en-US"/>
        </w:rPr>
      </w:pPr>
      <w:r>
        <w:rPr>
          <w:lang w:val="en-US"/>
        </w:rPr>
        <w:t>Schmidt-Hebbel, Klaus. 1999. Chile’s Pension Revolution Coming of Age. Working Paper, Deutsches Institut für Altersvorsorge, Köhl.</w:t>
      </w:r>
    </w:p>
    <w:p w:rsidR="00A2303C" w:rsidRPr="00764BE3" w:rsidRDefault="00A2303C" w:rsidP="00670494">
      <w:pPr>
        <w:rPr>
          <w:lang w:val="en-US"/>
        </w:rPr>
      </w:pPr>
      <w:r>
        <w:rPr>
          <w:lang w:val="en-US"/>
        </w:rPr>
        <w:t xml:space="preserve">Sinha, Tapen. 2000. </w:t>
      </w:r>
      <w:r>
        <w:rPr>
          <w:i/>
          <w:lang w:val="en-US"/>
        </w:rPr>
        <w:t>Pension Reform in Latin America and its Lessons for Policymakers</w:t>
      </w:r>
      <w:r>
        <w:rPr>
          <w:lang w:val="en-US"/>
        </w:rPr>
        <w:t>. Boston: Kluwer Academic Publishers.</w:t>
      </w:r>
    </w:p>
    <w:p w:rsidR="00A2303C" w:rsidRDefault="00A2303C" w:rsidP="00670494">
      <w:pPr>
        <w:rPr>
          <w:lang w:val="en-US"/>
        </w:rPr>
      </w:pPr>
      <w:r>
        <w:rPr>
          <w:lang w:val="en-US"/>
        </w:rPr>
        <w:t>Studart, Rog</w:t>
      </w:r>
      <w:r>
        <w:rPr>
          <w:rFonts w:cs="Calibri"/>
          <w:lang w:val="en-US"/>
        </w:rPr>
        <w:t>é</w:t>
      </w:r>
      <w:r>
        <w:rPr>
          <w:lang w:val="en-US"/>
        </w:rPr>
        <w:t>rio. 2000. Pension Funds and the Financing Productive Investment: An Analysis Based on Brazil’s Recent Experience. Working Paper, CEPAL, Santiago.</w:t>
      </w:r>
    </w:p>
    <w:p w:rsidR="00A2303C" w:rsidRPr="00101032" w:rsidRDefault="00A2303C" w:rsidP="00670494">
      <w:pPr>
        <w:rPr>
          <w:lang w:val="en-US"/>
        </w:rPr>
      </w:pPr>
      <w:r>
        <w:rPr>
          <w:lang w:val="en-US"/>
        </w:rPr>
        <w:t xml:space="preserve">Thaler, Richard. 1994. Psychology and Savings Policies. </w:t>
      </w:r>
      <w:r>
        <w:rPr>
          <w:i/>
          <w:lang w:val="en-US"/>
        </w:rPr>
        <w:t>American Economic Review</w:t>
      </w:r>
      <w:r>
        <w:rPr>
          <w:lang w:val="en-US"/>
        </w:rPr>
        <w:t>, vol. 84, no. 2, 186-192.</w:t>
      </w:r>
    </w:p>
    <w:p w:rsidR="00A2303C" w:rsidRDefault="00A2303C" w:rsidP="00670494">
      <w:pPr>
        <w:rPr>
          <w:lang w:val="en-US"/>
        </w:rPr>
      </w:pPr>
      <w:r>
        <w:rPr>
          <w:lang w:val="en-US"/>
        </w:rPr>
        <w:t xml:space="preserve">Thompson, Lawrence H. 2001. Operation of Pension Systems: Public or Private, in Isabel Ortiz, ed., </w:t>
      </w:r>
      <w:r>
        <w:rPr>
          <w:i/>
          <w:lang w:val="en-US"/>
        </w:rPr>
        <w:t>Social Protection in Asia and the Pacific</w:t>
      </w:r>
      <w:r>
        <w:rPr>
          <w:lang w:val="en-US"/>
        </w:rPr>
        <w:t>. Manila: Asian Development Bank.</w:t>
      </w:r>
    </w:p>
    <w:p w:rsidR="00A2303C" w:rsidRPr="00E339BA" w:rsidRDefault="00A2303C" w:rsidP="00670494">
      <w:pPr>
        <w:rPr>
          <w:lang w:val="en-US"/>
        </w:rPr>
      </w:pPr>
      <w:r>
        <w:rPr>
          <w:lang w:val="en-US"/>
        </w:rPr>
        <w:t xml:space="preserve">Turner, Adair. 2006. Pension Challenges in an Aging World. </w:t>
      </w:r>
      <w:r>
        <w:rPr>
          <w:i/>
          <w:lang w:val="en-US"/>
        </w:rPr>
        <w:t>IMF’s Quarterly Magazine Finance and Development</w:t>
      </w:r>
      <w:r>
        <w:rPr>
          <w:lang w:val="en-US"/>
        </w:rPr>
        <w:t>, vol. 43, no. 3.</w:t>
      </w:r>
    </w:p>
    <w:p w:rsidR="00A2303C" w:rsidRDefault="00A2303C" w:rsidP="00670494">
      <w:pPr>
        <w:rPr>
          <w:lang w:val="en-US"/>
        </w:rPr>
      </w:pPr>
      <w:r>
        <w:rPr>
          <w:lang w:val="en-US"/>
        </w:rPr>
        <w:t>Ulyssea, Gabriel. 2005. Labor Market Informality in Brazil: A Literature Survey. Working Paper, Institute of Applied Economic Research, Rio de Janeiro.</w:t>
      </w:r>
    </w:p>
    <w:p w:rsidR="00A2303C" w:rsidRDefault="00A2303C" w:rsidP="00670494">
      <w:pPr>
        <w:rPr>
          <w:lang w:val="en-US"/>
        </w:rPr>
      </w:pPr>
      <w:r>
        <w:rPr>
          <w:lang w:val="en-US"/>
        </w:rPr>
        <w:t>United Nations. 2007. Development in an Ageing World: Advance Planning Needed to Adapt to Ageing Populations. UN Report, Department Economic and Social Affairs, UN.</w:t>
      </w:r>
    </w:p>
    <w:p w:rsidR="00A2303C" w:rsidRDefault="00A2303C" w:rsidP="00670494">
      <w:pPr>
        <w:rPr>
          <w:lang w:val="en-US"/>
        </w:rPr>
      </w:pPr>
      <w:r>
        <w:rPr>
          <w:lang w:val="en-US"/>
        </w:rPr>
        <w:t xml:space="preserve">United Nations. 2008. World Population Prospects 1950-2050. </w:t>
      </w:r>
      <w:hyperlink r:id="rId30" w:history="1">
        <w:r w:rsidRPr="00923311">
          <w:rPr>
            <w:rStyle w:val="Hyperlink"/>
            <w:lang w:val="en-US"/>
          </w:rPr>
          <w:t>http://esa.un.org/unpp/index.asp?panel=2</w:t>
        </w:r>
      </w:hyperlink>
      <w:r>
        <w:rPr>
          <w:lang w:val="en-US"/>
        </w:rPr>
        <w:t xml:space="preserve"> Downloaded at 29</w:t>
      </w:r>
      <w:r>
        <w:rPr>
          <w:vertAlign w:val="superscript"/>
          <w:lang w:val="en-US"/>
        </w:rPr>
        <w:t>th</w:t>
      </w:r>
      <w:r>
        <w:rPr>
          <w:lang w:val="en-US"/>
        </w:rPr>
        <w:t xml:space="preserve"> of June 2009.</w:t>
      </w:r>
    </w:p>
    <w:p w:rsidR="00A2303C" w:rsidRDefault="00A2303C" w:rsidP="00670494">
      <w:pPr>
        <w:rPr>
          <w:lang w:val="en-US"/>
        </w:rPr>
      </w:pPr>
      <w:r>
        <w:rPr>
          <w:lang w:val="en-US"/>
        </w:rPr>
        <w:t>Whitehouse, Edward. 2007. Pension Panorama: Retirement-Income Systems in 53 Countries. The World Bank, Washington D.C.</w:t>
      </w:r>
    </w:p>
    <w:p w:rsidR="00A2303C" w:rsidRDefault="00A2303C" w:rsidP="00670494">
      <w:pPr>
        <w:rPr>
          <w:lang w:val="en-US"/>
        </w:rPr>
      </w:pPr>
      <w:r>
        <w:rPr>
          <w:lang w:val="en-US"/>
        </w:rPr>
        <w:t xml:space="preserve">World Bank. 1994. </w:t>
      </w:r>
      <w:r>
        <w:rPr>
          <w:i/>
          <w:lang w:val="en-US"/>
        </w:rPr>
        <w:t>Averting the Old Age Crisis: Policies to Protect the Old and Promote Growth</w:t>
      </w:r>
      <w:r>
        <w:rPr>
          <w:lang w:val="en-US"/>
        </w:rPr>
        <w:t>. New York: Oxford University Press.</w:t>
      </w:r>
    </w:p>
    <w:p w:rsidR="00A2303C" w:rsidRDefault="00A2303C" w:rsidP="00670494">
      <w:pPr>
        <w:rPr>
          <w:lang w:val="en-US"/>
        </w:rPr>
      </w:pPr>
      <w:r>
        <w:rPr>
          <w:lang w:val="en-US"/>
        </w:rPr>
        <w:t>World Bank. 2001. Social Protection Sector Strategy: From Safety Net to Springboard. The International Bank for Reconstruction and Development, The World Bank.</w:t>
      </w:r>
    </w:p>
    <w:p w:rsidR="00A2303C" w:rsidRDefault="00A2303C" w:rsidP="00670494">
      <w:pPr>
        <w:rPr>
          <w:lang w:val="en-US"/>
        </w:rPr>
      </w:pPr>
      <w:r>
        <w:rPr>
          <w:lang w:val="en-US"/>
        </w:rPr>
        <w:t xml:space="preserve">Yadav, J.P. 2004. Aged in India: </w:t>
      </w:r>
      <w:r w:rsidRPr="00883AE2">
        <w:rPr>
          <w:i/>
          <w:lang w:val="en-US"/>
        </w:rPr>
        <w:t>The Struggle to Survive</w:t>
      </w:r>
      <w:r>
        <w:rPr>
          <w:lang w:val="en-US"/>
        </w:rPr>
        <w:t xml:space="preserve">. New Delhi: Anmol Publications. </w:t>
      </w:r>
    </w:p>
    <w:p w:rsidR="00A2303C" w:rsidRDefault="00A2303C" w:rsidP="00670494">
      <w:pPr>
        <w:rPr>
          <w:lang w:val="en-US"/>
        </w:rPr>
      </w:pPr>
      <w:r>
        <w:rPr>
          <w:lang w:val="en-US"/>
        </w:rPr>
        <w:t xml:space="preserve">Yahoo Finance. 2009. BOVESPA stock returns. </w:t>
      </w:r>
      <w:hyperlink r:id="rId31" w:history="1">
        <w:r w:rsidRPr="00D3488B">
          <w:rPr>
            <w:rStyle w:val="Hyperlink"/>
            <w:lang w:val="en-US"/>
          </w:rPr>
          <w:t>http://finance.yahoo.com/q/hp?s=%5EBVSP&amp;a=00&amp;b=01&amp;c=1999&amp;d=06&amp;e=24&amp;f=2009&amp;g=m</w:t>
        </w:r>
      </w:hyperlink>
      <w:r>
        <w:rPr>
          <w:lang w:val="en-US"/>
        </w:rPr>
        <w:t xml:space="preserve"> Downloaded at 20</w:t>
      </w:r>
      <w:r w:rsidRPr="008615A6">
        <w:rPr>
          <w:vertAlign w:val="superscript"/>
          <w:lang w:val="en-US"/>
        </w:rPr>
        <w:t>th</w:t>
      </w:r>
      <w:r>
        <w:rPr>
          <w:lang w:val="en-US"/>
        </w:rPr>
        <w:t xml:space="preserve"> of July 2009.</w:t>
      </w:r>
    </w:p>
    <w:p w:rsidR="00A2303C" w:rsidRPr="001C14D5" w:rsidRDefault="00A2303C" w:rsidP="001C14D5">
      <w:pPr>
        <w:pStyle w:val="NoSpacing"/>
        <w:spacing w:line="360" w:lineRule="auto"/>
        <w:rPr>
          <w:lang w:val="en-US"/>
        </w:rPr>
      </w:pPr>
    </w:p>
    <w:p w:rsidR="00A2303C" w:rsidRDefault="00A2303C" w:rsidP="005D4270">
      <w:pPr>
        <w:pStyle w:val="NoSpacing"/>
        <w:spacing w:line="360" w:lineRule="auto"/>
        <w:rPr>
          <w:lang w:val="en-US"/>
        </w:rPr>
      </w:pPr>
    </w:p>
    <w:p w:rsidR="00A2303C" w:rsidRPr="000758DF" w:rsidRDefault="00A2303C" w:rsidP="005D4270">
      <w:pPr>
        <w:pStyle w:val="NoSpacing"/>
        <w:spacing w:line="360" w:lineRule="auto"/>
        <w:rPr>
          <w:lang w:val="en-US"/>
        </w:rPr>
      </w:pPr>
    </w:p>
    <w:p w:rsidR="00A2303C" w:rsidRPr="00EB33C4" w:rsidRDefault="00A2303C" w:rsidP="001B1481">
      <w:pPr>
        <w:pStyle w:val="NoSpacing"/>
        <w:spacing w:line="360" w:lineRule="auto"/>
        <w:rPr>
          <w:b/>
          <w:i/>
          <w:lang w:val="en-US"/>
        </w:rPr>
      </w:pPr>
    </w:p>
    <w:sectPr w:rsidR="00A2303C" w:rsidRPr="00EB33C4" w:rsidSect="00DB19CE">
      <w:headerReference w:type="default" r:id="rId32"/>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303C" w:rsidRDefault="00A2303C" w:rsidP="003F7895">
      <w:pPr>
        <w:spacing w:after="0" w:line="240" w:lineRule="auto"/>
      </w:pPr>
      <w:r>
        <w:separator/>
      </w:r>
    </w:p>
  </w:endnote>
  <w:endnote w:type="continuationSeparator" w:id="1">
    <w:p w:rsidR="00A2303C" w:rsidRDefault="00A2303C" w:rsidP="003F789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303C" w:rsidRDefault="00A2303C" w:rsidP="003F7895">
      <w:pPr>
        <w:spacing w:after="0" w:line="240" w:lineRule="auto"/>
      </w:pPr>
      <w:r>
        <w:separator/>
      </w:r>
    </w:p>
  </w:footnote>
  <w:footnote w:type="continuationSeparator" w:id="1">
    <w:p w:rsidR="00A2303C" w:rsidRDefault="00A2303C" w:rsidP="003F789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303C" w:rsidRDefault="00A2303C">
    <w:pPr>
      <w:pStyle w:val="Header"/>
    </w:pPr>
    <w:r>
      <w:rPr>
        <w:noProof/>
        <w:lang w:val="en-US"/>
      </w:rPr>
      <w:pict>
        <v:rect id="_x0000_s2049" style="position:absolute;margin-left:531.55pt;margin-top:140.85pt;width:63.75pt;height:34.15pt;z-index:251658240;mso-position-horizontal-relative:page;mso-position-vertical-relative:page" o:allowincell="f" stroked="f">
          <v:textbox style="mso-fit-shape-to-text:t" inset="0,,0">
            <w:txbxContent>
              <w:p w:rsidR="00A2303C" w:rsidRPr="008D584B" w:rsidRDefault="00A2303C" w:rsidP="008D584B">
                <w:pPr>
                  <w:pBdr>
                    <w:top w:val="single" w:sz="4" w:space="1" w:color="D8D8D8"/>
                  </w:pBdr>
                  <w:rPr>
                    <w:color w:val="4F81BD"/>
                  </w:rPr>
                </w:pPr>
                <w:r w:rsidRPr="008D584B">
                  <w:rPr>
                    <w:color w:val="4F81BD"/>
                  </w:rPr>
                  <w:t xml:space="preserve">Page | </w:t>
                </w:r>
                <w:r w:rsidRPr="008D584B">
                  <w:rPr>
                    <w:color w:val="4F81BD"/>
                  </w:rPr>
                  <w:fldChar w:fldCharType="begin"/>
                </w:r>
                <w:r w:rsidRPr="008D584B">
                  <w:rPr>
                    <w:color w:val="4F81BD"/>
                  </w:rPr>
                  <w:instrText xml:space="preserve"> PAGE   \* MERGEFORMAT </w:instrText>
                </w:r>
                <w:r w:rsidRPr="008D584B">
                  <w:rPr>
                    <w:color w:val="4F81BD"/>
                  </w:rPr>
                  <w:fldChar w:fldCharType="separate"/>
                </w:r>
                <w:r>
                  <w:rPr>
                    <w:noProof/>
                    <w:color w:val="4F81BD"/>
                  </w:rPr>
                  <w:t>59</w:t>
                </w:r>
                <w:r w:rsidRPr="008D584B">
                  <w:rPr>
                    <w:color w:val="4F81BD"/>
                  </w:rPr>
                  <w:fldChar w:fldCharType="end"/>
                </w:r>
              </w:p>
            </w:txbxContent>
          </v:textbox>
          <w10:wrap anchorx="page" anchory="margin"/>
        </v:rect>
      </w:pict>
    </w:r>
    <w:r>
      <w:rPr>
        <w:noProof/>
        <w:lang w:val="en-US"/>
      </w:rPr>
      <w:pict>
        <v:rect id="_x0000_s2050" style="position:absolute;margin-left:531.55pt;margin-top:140.85pt;width:63.75pt;height:34.15pt;z-index:251657216;mso-position-horizontal-relative:page;mso-position-vertical-relative:page" o:allowincell="f" stroked="f">
          <v:textbox style="mso-next-textbox:#_x0000_s2050;mso-fit-shape-to-text:t" inset="0,,0">
            <w:txbxContent>
              <w:p w:rsidR="00A2303C" w:rsidRPr="003F7895" w:rsidRDefault="00A2303C" w:rsidP="003F7895">
                <w:pPr>
                  <w:pBdr>
                    <w:top w:val="single" w:sz="4" w:space="1" w:color="D8D8D8"/>
                  </w:pBdr>
                  <w:rPr>
                    <w:color w:val="4F81BD"/>
                  </w:rPr>
                </w:pPr>
                <w:r w:rsidRPr="003F7895">
                  <w:rPr>
                    <w:color w:val="4F81BD"/>
                  </w:rPr>
                  <w:t xml:space="preserve">Page | </w:t>
                </w:r>
                <w:r>
                  <w:rPr>
                    <w:color w:val="4F81BD"/>
                  </w:rPr>
                  <w:t>1</w:t>
                </w:r>
              </w:p>
            </w:txbxContent>
          </v:textbox>
          <w10:wrap anchorx="page" anchory="margin"/>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E10C3"/>
    <w:multiLevelType w:val="hybridMultilevel"/>
    <w:tmpl w:val="7654F4CC"/>
    <w:lvl w:ilvl="0" w:tplc="50B80A32">
      <w:start w:val="4"/>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055A5C"/>
    <w:multiLevelType w:val="hybridMultilevel"/>
    <w:tmpl w:val="F8544FB0"/>
    <w:lvl w:ilvl="0" w:tplc="417CB6B0">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3754C6"/>
    <w:multiLevelType w:val="hybridMultilevel"/>
    <w:tmpl w:val="64B60474"/>
    <w:lvl w:ilvl="0" w:tplc="FC0E4D86">
      <w:start w:val="4"/>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6E6386"/>
    <w:multiLevelType w:val="hybridMultilevel"/>
    <w:tmpl w:val="1C36C1B8"/>
    <w:lvl w:ilvl="0" w:tplc="05B8E0D6">
      <w:start w:val="1"/>
      <w:numFmt w:val="decimal"/>
      <w:lvlText w:val="(%1.)"/>
      <w:lvlJc w:val="left"/>
      <w:pPr>
        <w:ind w:left="360" w:hanging="360"/>
      </w:pPr>
      <w:rPr>
        <w:rFonts w:cs="Times New Roman" w:hint="default"/>
      </w:rPr>
    </w:lvl>
    <w:lvl w:ilvl="1" w:tplc="04130019" w:tentative="1">
      <w:start w:val="1"/>
      <w:numFmt w:val="lowerLetter"/>
      <w:lvlText w:val="%2."/>
      <w:lvlJc w:val="left"/>
      <w:pPr>
        <w:ind w:left="1080" w:hanging="360"/>
      </w:pPr>
      <w:rPr>
        <w:rFonts w:cs="Times New Roman"/>
      </w:rPr>
    </w:lvl>
    <w:lvl w:ilvl="2" w:tplc="0413001B" w:tentative="1">
      <w:start w:val="1"/>
      <w:numFmt w:val="lowerRoman"/>
      <w:lvlText w:val="%3."/>
      <w:lvlJc w:val="right"/>
      <w:pPr>
        <w:ind w:left="1800" w:hanging="180"/>
      </w:pPr>
      <w:rPr>
        <w:rFonts w:cs="Times New Roman"/>
      </w:rPr>
    </w:lvl>
    <w:lvl w:ilvl="3" w:tplc="0413000F" w:tentative="1">
      <w:start w:val="1"/>
      <w:numFmt w:val="decimal"/>
      <w:lvlText w:val="%4."/>
      <w:lvlJc w:val="left"/>
      <w:pPr>
        <w:ind w:left="2520" w:hanging="360"/>
      </w:pPr>
      <w:rPr>
        <w:rFonts w:cs="Times New Roman"/>
      </w:rPr>
    </w:lvl>
    <w:lvl w:ilvl="4" w:tplc="04130019" w:tentative="1">
      <w:start w:val="1"/>
      <w:numFmt w:val="lowerLetter"/>
      <w:lvlText w:val="%5."/>
      <w:lvlJc w:val="left"/>
      <w:pPr>
        <w:ind w:left="3240" w:hanging="360"/>
      </w:pPr>
      <w:rPr>
        <w:rFonts w:cs="Times New Roman"/>
      </w:rPr>
    </w:lvl>
    <w:lvl w:ilvl="5" w:tplc="0413001B" w:tentative="1">
      <w:start w:val="1"/>
      <w:numFmt w:val="lowerRoman"/>
      <w:lvlText w:val="%6."/>
      <w:lvlJc w:val="right"/>
      <w:pPr>
        <w:ind w:left="3960" w:hanging="180"/>
      </w:pPr>
      <w:rPr>
        <w:rFonts w:cs="Times New Roman"/>
      </w:rPr>
    </w:lvl>
    <w:lvl w:ilvl="6" w:tplc="0413000F" w:tentative="1">
      <w:start w:val="1"/>
      <w:numFmt w:val="decimal"/>
      <w:lvlText w:val="%7."/>
      <w:lvlJc w:val="left"/>
      <w:pPr>
        <w:ind w:left="4680" w:hanging="360"/>
      </w:pPr>
      <w:rPr>
        <w:rFonts w:cs="Times New Roman"/>
      </w:rPr>
    </w:lvl>
    <w:lvl w:ilvl="7" w:tplc="04130019" w:tentative="1">
      <w:start w:val="1"/>
      <w:numFmt w:val="lowerLetter"/>
      <w:lvlText w:val="%8."/>
      <w:lvlJc w:val="left"/>
      <w:pPr>
        <w:ind w:left="5400" w:hanging="360"/>
      </w:pPr>
      <w:rPr>
        <w:rFonts w:cs="Times New Roman"/>
      </w:rPr>
    </w:lvl>
    <w:lvl w:ilvl="8" w:tplc="0413001B" w:tentative="1">
      <w:start w:val="1"/>
      <w:numFmt w:val="lowerRoman"/>
      <w:lvlText w:val="%9."/>
      <w:lvlJc w:val="right"/>
      <w:pPr>
        <w:ind w:left="6120" w:hanging="180"/>
      </w:pPr>
      <w:rPr>
        <w:rFonts w:cs="Times New Roman"/>
      </w:rPr>
    </w:lvl>
  </w:abstractNum>
  <w:abstractNum w:abstractNumId="4">
    <w:nsid w:val="17000C34"/>
    <w:multiLevelType w:val="multilevel"/>
    <w:tmpl w:val="7FDCBFF2"/>
    <w:lvl w:ilvl="0">
      <w:start w:val="1"/>
      <w:numFmt w:val="decimal"/>
      <w:lvlText w:val="%1."/>
      <w:lvlJc w:val="left"/>
      <w:pPr>
        <w:ind w:left="1296" w:hanging="360"/>
      </w:pPr>
      <w:rPr>
        <w:rFonts w:cs="Times New Roman" w:hint="default"/>
      </w:rPr>
    </w:lvl>
    <w:lvl w:ilvl="1">
      <w:start w:val="1"/>
      <w:numFmt w:val="decimal"/>
      <w:isLgl/>
      <w:lvlText w:val="%1.%2"/>
      <w:lvlJc w:val="left"/>
      <w:pPr>
        <w:ind w:left="1296" w:hanging="360"/>
      </w:pPr>
      <w:rPr>
        <w:rFonts w:cs="Times New Roman" w:hint="default"/>
      </w:rPr>
    </w:lvl>
    <w:lvl w:ilvl="2">
      <w:start w:val="1"/>
      <w:numFmt w:val="decimal"/>
      <w:isLgl/>
      <w:lvlText w:val="%1.%2.%3"/>
      <w:lvlJc w:val="left"/>
      <w:pPr>
        <w:ind w:left="1656" w:hanging="720"/>
      </w:pPr>
      <w:rPr>
        <w:rFonts w:cs="Times New Roman" w:hint="default"/>
      </w:rPr>
    </w:lvl>
    <w:lvl w:ilvl="3">
      <w:start w:val="1"/>
      <w:numFmt w:val="decimal"/>
      <w:isLgl/>
      <w:lvlText w:val="%1.%2.%3.%4"/>
      <w:lvlJc w:val="left"/>
      <w:pPr>
        <w:ind w:left="1656" w:hanging="720"/>
      </w:pPr>
      <w:rPr>
        <w:rFonts w:cs="Times New Roman" w:hint="default"/>
      </w:rPr>
    </w:lvl>
    <w:lvl w:ilvl="4">
      <w:start w:val="1"/>
      <w:numFmt w:val="decimal"/>
      <w:isLgl/>
      <w:lvlText w:val="%1.%2.%3.%4.%5"/>
      <w:lvlJc w:val="left"/>
      <w:pPr>
        <w:ind w:left="2016" w:hanging="1080"/>
      </w:pPr>
      <w:rPr>
        <w:rFonts w:cs="Times New Roman" w:hint="default"/>
      </w:rPr>
    </w:lvl>
    <w:lvl w:ilvl="5">
      <w:start w:val="1"/>
      <w:numFmt w:val="decimal"/>
      <w:isLgl/>
      <w:lvlText w:val="%1.%2.%3.%4.%5.%6"/>
      <w:lvlJc w:val="left"/>
      <w:pPr>
        <w:ind w:left="2016" w:hanging="1080"/>
      </w:pPr>
      <w:rPr>
        <w:rFonts w:cs="Times New Roman" w:hint="default"/>
      </w:rPr>
    </w:lvl>
    <w:lvl w:ilvl="6">
      <w:start w:val="1"/>
      <w:numFmt w:val="decimal"/>
      <w:isLgl/>
      <w:lvlText w:val="%1.%2.%3.%4.%5.%6.%7"/>
      <w:lvlJc w:val="left"/>
      <w:pPr>
        <w:ind w:left="2376" w:hanging="1440"/>
      </w:pPr>
      <w:rPr>
        <w:rFonts w:cs="Times New Roman" w:hint="default"/>
      </w:rPr>
    </w:lvl>
    <w:lvl w:ilvl="7">
      <w:start w:val="1"/>
      <w:numFmt w:val="decimal"/>
      <w:isLgl/>
      <w:lvlText w:val="%1.%2.%3.%4.%5.%6.%7.%8"/>
      <w:lvlJc w:val="left"/>
      <w:pPr>
        <w:ind w:left="2376" w:hanging="1440"/>
      </w:pPr>
      <w:rPr>
        <w:rFonts w:cs="Times New Roman" w:hint="default"/>
      </w:rPr>
    </w:lvl>
    <w:lvl w:ilvl="8">
      <w:start w:val="1"/>
      <w:numFmt w:val="decimal"/>
      <w:isLgl/>
      <w:lvlText w:val="%1.%2.%3.%4.%5.%6.%7.%8.%9"/>
      <w:lvlJc w:val="left"/>
      <w:pPr>
        <w:ind w:left="2376" w:hanging="1440"/>
      </w:pPr>
      <w:rPr>
        <w:rFonts w:cs="Times New Roman" w:hint="default"/>
      </w:rPr>
    </w:lvl>
  </w:abstractNum>
  <w:abstractNum w:abstractNumId="5">
    <w:nsid w:val="1DCF3943"/>
    <w:multiLevelType w:val="hybridMultilevel"/>
    <w:tmpl w:val="DBB66534"/>
    <w:lvl w:ilvl="0" w:tplc="5E4C0B74">
      <w:start w:val="4"/>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6C523C"/>
    <w:multiLevelType w:val="hybridMultilevel"/>
    <w:tmpl w:val="DB20F5BA"/>
    <w:lvl w:ilvl="0" w:tplc="A738B93C">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7">
    <w:nsid w:val="20301378"/>
    <w:multiLevelType w:val="hybridMultilevel"/>
    <w:tmpl w:val="B9A0B520"/>
    <w:lvl w:ilvl="0" w:tplc="9CFC0810">
      <w:start w:val="1"/>
      <w:numFmt w:val="decimal"/>
      <w:lvlText w:val="(%1.)"/>
      <w:lvlJc w:val="left"/>
      <w:pPr>
        <w:ind w:left="720" w:hanging="360"/>
      </w:pPr>
      <w:rPr>
        <w:rFonts w:cs="Times New Roman" w:hint="default"/>
      </w:rPr>
    </w:lvl>
    <w:lvl w:ilvl="1" w:tplc="04130019">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8">
    <w:nsid w:val="22DD2DDA"/>
    <w:multiLevelType w:val="multilevel"/>
    <w:tmpl w:val="880A894C"/>
    <w:lvl w:ilvl="0">
      <w:start w:val="6"/>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9">
    <w:nsid w:val="264F5951"/>
    <w:multiLevelType w:val="hybridMultilevel"/>
    <w:tmpl w:val="39F6167C"/>
    <w:lvl w:ilvl="0" w:tplc="40C2B6B8">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7FE6CF1"/>
    <w:multiLevelType w:val="hybridMultilevel"/>
    <w:tmpl w:val="1FFA1FBA"/>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1">
    <w:nsid w:val="2E094C67"/>
    <w:multiLevelType w:val="hybridMultilevel"/>
    <w:tmpl w:val="5870567C"/>
    <w:lvl w:ilvl="0" w:tplc="D124D05E">
      <w:start w:val="1"/>
      <w:numFmt w:val="decimal"/>
      <w:lvlText w:val="%1."/>
      <w:lvlJc w:val="left"/>
      <w:pPr>
        <w:ind w:left="1296" w:hanging="360"/>
      </w:pPr>
      <w:rPr>
        <w:rFonts w:cs="Times New Roman" w:hint="default"/>
      </w:rPr>
    </w:lvl>
    <w:lvl w:ilvl="1" w:tplc="04130019" w:tentative="1">
      <w:start w:val="1"/>
      <w:numFmt w:val="lowerLetter"/>
      <w:lvlText w:val="%2."/>
      <w:lvlJc w:val="left"/>
      <w:pPr>
        <w:ind w:left="2016" w:hanging="360"/>
      </w:pPr>
      <w:rPr>
        <w:rFonts w:cs="Times New Roman"/>
      </w:rPr>
    </w:lvl>
    <w:lvl w:ilvl="2" w:tplc="0413001B" w:tentative="1">
      <w:start w:val="1"/>
      <w:numFmt w:val="lowerRoman"/>
      <w:lvlText w:val="%3."/>
      <w:lvlJc w:val="right"/>
      <w:pPr>
        <w:ind w:left="2736" w:hanging="180"/>
      </w:pPr>
      <w:rPr>
        <w:rFonts w:cs="Times New Roman"/>
      </w:rPr>
    </w:lvl>
    <w:lvl w:ilvl="3" w:tplc="0413000F" w:tentative="1">
      <w:start w:val="1"/>
      <w:numFmt w:val="decimal"/>
      <w:lvlText w:val="%4."/>
      <w:lvlJc w:val="left"/>
      <w:pPr>
        <w:ind w:left="3456" w:hanging="360"/>
      </w:pPr>
      <w:rPr>
        <w:rFonts w:cs="Times New Roman"/>
      </w:rPr>
    </w:lvl>
    <w:lvl w:ilvl="4" w:tplc="04130019" w:tentative="1">
      <w:start w:val="1"/>
      <w:numFmt w:val="lowerLetter"/>
      <w:lvlText w:val="%5."/>
      <w:lvlJc w:val="left"/>
      <w:pPr>
        <w:ind w:left="4176" w:hanging="360"/>
      </w:pPr>
      <w:rPr>
        <w:rFonts w:cs="Times New Roman"/>
      </w:rPr>
    </w:lvl>
    <w:lvl w:ilvl="5" w:tplc="0413001B" w:tentative="1">
      <w:start w:val="1"/>
      <w:numFmt w:val="lowerRoman"/>
      <w:lvlText w:val="%6."/>
      <w:lvlJc w:val="right"/>
      <w:pPr>
        <w:ind w:left="4896" w:hanging="180"/>
      </w:pPr>
      <w:rPr>
        <w:rFonts w:cs="Times New Roman"/>
      </w:rPr>
    </w:lvl>
    <w:lvl w:ilvl="6" w:tplc="0413000F" w:tentative="1">
      <w:start w:val="1"/>
      <w:numFmt w:val="decimal"/>
      <w:lvlText w:val="%7."/>
      <w:lvlJc w:val="left"/>
      <w:pPr>
        <w:ind w:left="5616" w:hanging="360"/>
      </w:pPr>
      <w:rPr>
        <w:rFonts w:cs="Times New Roman"/>
      </w:rPr>
    </w:lvl>
    <w:lvl w:ilvl="7" w:tplc="04130019" w:tentative="1">
      <w:start w:val="1"/>
      <w:numFmt w:val="lowerLetter"/>
      <w:lvlText w:val="%8."/>
      <w:lvlJc w:val="left"/>
      <w:pPr>
        <w:ind w:left="6336" w:hanging="360"/>
      </w:pPr>
      <w:rPr>
        <w:rFonts w:cs="Times New Roman"/>
      </w:rPr>
    </w:lvl>
    <w:lvl w:ilvl="8" w:tplc="0413001B" w:tentative="1">
      <w:start w:val="1"/>
      <w:numFmt w:val="lowerRoman"/>
      <w:lvlText w:val="%9."/>
      <w:lvlJc w:val="right"/>
      <w:pPr>
        <w:ind w:left="7056" w:hanging="180"/>
      </w:pPr>
      <w:rPr>
        <w:rFonts w:cs="Times New Roman"/>
      </w:rPr>
    </w:lvl>
  </w:abstractNum>
  <w:abstractNum w:abstractNumId="12">
    <w:nsid w:val="302072A6"/>
    <w:multiLevelType w:val="hybridMultilevel"/>
    <w:tmpl w:val="C9E60AF0"/>
    <w:lvl w:ilvl="0" w:tplc="AFB8A510">
      <w:start w:val="4"/>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55127C6"/>
    <w:multiLevelType w:val="hybridMultilevel"/>
    <w:tmpl w:val="39FE10BE"/>
    <w:lvl w:ilvl="0" w:tplc="F4FE70D0">
      <w:start w:val="4"/>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5815C0"/>
    <w:multiLevelType w:val="hybridMultilevel"/>
    <w:tmpl w:val="B5E472C4"/>
    <w:lvl w:ilvl="0" w:tplc="66729244">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5">
    <w:nsid w:val="52374E16"/>
    <w:multiLevelType w:val="hybridMultilevel"/>
    <w:tmpl w:val="048011F8"/>
    <w:lvl w:ilvl="0" w:tplc="1AA80BA4">
      <w:start w:val="4"/>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7F06BD9"/>
    <w:multiLevelType w:val="hybridMultilevel"/>
    <w:tmpl w:val="A300C49A"/>
    <w:lvl w:ilvl="0" w:tplc="4BBE1D62">
      <w:start w:val="4"/>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EAD5E28"/>
    <w:multiLevelType w:val="hybridMultilevel"/>
    <w:tmpl w:val="148CC6A2"/>
    <w:lvl w:ilvl="0" w:tplc="EE76B9D8">
      <w:start w:val="4"/>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21E7213"/>
    <w:multiLevelType w:val="multilevel"/>
    <w:tmpl w:val="2EBE85BA"/>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nsid w:val="62FB7DA2"/>
    <w:multiLevelType w:val="hybridMultilevel"/>
    <w:tmpl w:val="6B9A822C"/>
    <w:lvl w:ilvl="0" w:tplc="B62C6072">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3696E24"/>
    <w:multiLevelType w:val="hybridMultilevel"/>
    <w:tmpl w:val="576E7AE0"/>
    <w:lvl w:ilvl="0" w:tplc="6428C8B4">
      <w:start w:val="4"/>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A08115E"/>
    <w:multiLevelType w:val="hybridMultilevel"/>
    <w:tmpl w:val="FA3670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6C4D26B5"/>
    <w:multiLevelType w:val="multilevel"/>
    <w:tmpl w:val="5B1C9834"/>
    <w:lvl w:ilvl="0">
      <w:start w:val="5"/>
      <w:numFmt w:val="decimal"/>
      <w:lvlText w:val="%1"/>
      <w:lvlJc w:val="left"/>
      <w:pPr>
        <w:ind w:left="435" w:hanging="435"/>
      </w:pPr>
      <w:rPr>
        <w:rFonts w:cs="Times New Roman" w:hint="default"/>
      </w:rPr>
    </w:lvl>
    <w:lvl w:ilvl="1">
      <w:start w:val="3"/>
      <w:numFmt w:val="decimal"/>
      <w:lvlText w:val="%1.%2"/>
      <w:lvlJc w:val="left"/>
      <w:pPr>
        <w:ind w:left="903" w:hanging="435"/>
      </w:pPr>
      <w:rPr>
        <w:rFonts w:cs="Times New Roman" w:hint="default"/>
      </w:rPr>
    </w:lvl>
    <w:lvl w:ilvl="2">
      <w:start w:val="1"/>
      <w:numFmt w:val="decimal"/>
      <w:lvlText w:val="%1.%2.%3"/>
      <w:lvlJc w:val="left"/>
      <w:pPr>
        <w:ind w:left="1656" w:hanging="720"/>
      </w:pPr>
      <w:rPr>
        <w:rFonts w:cs="Times New Roman" w:hint="default"/>
      </w:rPr>
    </w:lvl>
    <w:lvl w:ilvl="3">
      <w:start w:val="1"/>
      <w:numFmt w:val="decimal"/>
      <w:lvlText w:val="%1.%2.%3.%4"/>
      <w:lvlJc w:val="left"/>
      <w:pPr>
        <w:ind w:left="2124" w:hanging="720"/>
      </w:pPr>
      <w:rPr>
        <w:rFonts w:cs="Times New Roman" w:hint="default"/>
      </w:rPr>
    </w:lvl>
    <w:lvl w:ilvl="4">
      <w:start w:val="1"/>
      <w:numFmt w:val="decimal"/>
      <w:lvlText w:val="%1.%2.%3.%4.%5"/>
      <w:lvlJc w:val="left"/>
      <w:pPr>
        <w:ind w:left="2952" w:hanging="1080"/>
      </w:pPr>
      <w:rPr>
        <w:rFonts w:cs="Times New Roman" w:hint="default"/>
      </w:rPr>
    </w:lvl>
    <w:lvl w:ilvl="5">
      <w:start w:val="1"/>
      <w:numFmt w:val="decimal"/>
      <w:lvlText w:val="%1.%2.%3.%4.%5.%6"/>
      <w:lvlJc w:val="left"/>
      <w:pPr>
        <w:ind w:left="3420" w:hanging="1080"/>
      </w:pPr>
      <w:rPr>
        <w:rFonts w:cs="Times New Roman" w:hint="default"/>
      </w:rPr>
    </w:lvl>
    <w:lvl w:ilvl="6">
      <w:start w:val="1"/>
      <w:numFmt w:val="decimal"/>
      <w:lvlText w:val="%1.%2.%3.%4.%5.%6.%7"/>
      <w:lvlJc w:val="left"/>
      <w:pPr>
        <w:ind w:left="4248" w:hanging="1440"/>
      </w:pPr>
      <w:rPr>
        <w:rFonts w:cs="Times New Roman" w:hint="default"/>
      </w:rPr>
    </w:lvl>
    <w:lvl w:ilvl="7">
      <w:start w:val="1"/>
      <w:numFmt w:val="decimal"/>
      <w:lvlText w:val="%1.%2.%3.%4.%5.%6.%7.%8"/>
      <w:lvlJc w:val="left"/>
      <w:pPr>
        <w:ind w:left="4716" w:hanging="1440"/>
      </w:pPr>
      <w:rPr>
        <w:rFonts w:cs="Times New Roman" w:hint="default"/>
      </w:rPr>
    </w:lvl>
    <w:lvl w:ilvl="8">
      <w:start w:val="1"/>
      <w:numFmt w:val="decimal"/>
      <w:lvlText w:val="%1.%2.%3.%4.%5.%6.%7.%8.%9"/>
      <w:lvlJc w:val="left"/>
      <w:pPr>
        <w:ind w:left="5544" w:hanging="1800"/>
      </w:pPr>
      <w:rPr>
        <w:rFonts w:cs="Times New Roman" w:hint="default"/>
      </w:rPr>
    </w:lvl>
  </w:abstractNum>
  <w:abstractNum w:abstractNumId="23">
    <w:nsid w:val="747170CD"/>
    <w:multiLevelType w:val="hybridMultilevel"/>
    <w:tmpl w:val="DDC2F306"/>
    <w:lvl w:ilvl="0" w:tplc="5562150C">
      <w:start w:val="4"/>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57906ED"/>
    <w:multiLevelType w:val="hybridMultilevel"/>
    <w:tmpl w:val="4DCCDBA6"/>
    <w:lvl w:ilvl="0" w:tplc="4DD2E622">
      <w:start w:val="3"/>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7C761421"/>
    <w:multiLevelType w:val="hybridMultilevel"/>
    <w:tmpl w:val="2EA4C804"/>
    <w:lvl w:ilvl="0" w:tplc="C92E719E">
      <w:start w:val="4"/>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FE70343"/>
    <w:multiLevelType w:val="hybridMultilevel"/>
    <w:tmpl w:val="582ADB5A"/>
    <w:lvl w:ilvl="0" w:tplc="002E510A">
      <w:start w:val="4"/>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4"/>
  </w:num>
  <w:num w:numId="4">
    <w:abstractNumId w:val="14"/>
  </w:num>
  <w:num w:numId="5">
    <w:abstractNumId w:val="3"/>
  </w:num>
  <w:num w:numId="6">
    <w:abstractNumId w:val="6"/>
  </w:num>
  <w:num w:numId="7">
    <w:abstractNumId w:val="7"/>
  </w:num>
  <w:num w:numId="8">
    <w:abstractNumId w:val="24"/>
  </w:num>
  <w:num w:numId="9">
    <w:abstractNumId w:val="21"/>
  </w:num>
  <w:num w:numId="10">
    <w:abstractNumId w:val="2"/>
  </w:num>
  <w:num w:numId="11">
    <w:abstractNumId w:val="5"/>
  </w:num>
  <w:num w:numId="12">
    <w:abstractNumId w:val="23"/>
  </w:num>
  <w:num w:numId="13">
    <w:abstractNumId w:val="17"/>
  </w:num>
  <w:num w:numId="14">
    <w:abstractNumId w:val="16"/>
  </w:num>
  <w:num w:numId="15">
    <w:abstractNumId w:val="0"/>
  </w:num>
  <w:num w:numId="16">
    <w:abstractNumId w:val="25"/>
  </w:num>
  <w:num w:numId="17">
    <w:abstractNumId w:val="12"/>
  </w:num>
  <w:num w:numId="18">
    <w:abstractNumId w:val="26"/>
  </w:num>
  <w:num w:numId="19">
    <w:abstractNumId w:val="15"/>
  </w:num>
  <w:num w:numId="20">
    <w:abstractNumId w:val="20"/>
  </w:num>
  <w:num w:numId="21">
    <w:abstractNumId w:val="13"/>
  </w:num>
  <w:num w:numId="22">
    <w:abstractNumId w:val="19"/>
  </w:num>
  <w:num w:numId="23">
    <w:abstractNumId w:val="9"/>
  </w:num>
  <w:num w:numId="24">
    <w:abstractNumId w:val="1"/>
  </w:num>
  <w:num w:numId="25">
    <w:abstractNumId w:val="22"/>
  </w:num>
  <w:num w:numId="26">
    <w:abstractNumId w:val="8"/>
  </w:num>
  <w:num w:numId="27">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2051"/>
    <o:shapelayout v:ext="edit">
      <o:idmap v:ext="edit" data="2"/>
    </o:shapelayout>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853A1"/>
    <w:rsid w:val="00000301"/>
    <w:rsid w:val="00002C2F"/>
    <w:rsid w:val="00004A32"/>
    <w:rsid w:val="000155C6"/>
    <w:rsid w:val="00020171"/>
    <w:rsid w:val="00021919"/>
    <w:rsid w:val="000228C1"/>
    <w:rsid w:val="000265FE"/>
    <w:rsid w:val="00026B17"/>
    <w:rsid w:val="00031F57"/>
    <w:rsid w:val="0003255C"/>
    <w:rsid w:val="00032823"/>
    <w:rsid w:val="00032DB2"/>
    <w:rsid w:val="00034643"/>
    <w:rsid w:val="000422BE"/>
    <w:rsid w:val="000423E9"/>
    <w:rsid w:val="0005079E"/>
    <w:rsid w:val="00052141"/>
    <w:rsid w:val="00052281"/>
    <w:rsid w:val="00052943"/>
    <w:rsid w:val="0005326D"/>
    <w:rsid w:val="00053A09"/>
    <w:rsid w:val="0005633C"/>
    <w:rsid w:val="00056590"/>
    <w:rsid w:val="00065291"/>
    <w:rsid w:val="0007082F"/>
    <w:rsid w:val="000758DF"/>
    <w:rsid w:val="00080C2A"/>
    <w:rsid w:val="000821F5"/>
    <w:rsid w:val="00083BDC"/>
    <w:rsid w:val="0008428E"/>
    <w:rsid w:val="00092595"/>
    <w:rsid w:val="0009348A"/>
    <w:rsid w:val="00096499"/>
    <w:rsid w:val="000977F6"/>
    <w:rsid w:val="00097F68"/>
    <w:rsid w:val="000A0818"/>
    <w:rsid w:val="000A5D99"/>
    <w:rsid w:val="000A69BA"/>
    <w:rsid w:val="000A7094"/>
    <w:rsid w:val="000B38BD"/>
    <w:rsid w:val="000B3E22"/>
    <w:rsid w:val="000B3E81"/>
    <w:rsid w:val="000C407D"/>
    <w:rsid w:val="000C489F"/>
    <w:rsid w:val="000C49CF"/>
    <w:rsid w:val="000C4F39"/>
    <w:rsid w:val="000C7666"/>
    <w:rsid w:val="000D6EB0"/>
    <w:rsid w:val="000E0AFB"/>
    <w:rsid w:val="000E5451"/>
    <w:rsid w:val="000E554A"/>
    <w:rsid w:val="000E6DA4"/>
    <w:rsid w:val="000F4D54"/>
    <w:rsid w:val="00101032"/>
    <w:rsid w:val="00102925"/>
    <w:rsid w:val="00105B48"/>
    <w:rsid w:val="0010635F"/>
    <w:rsid w:val="0011088A"/>
    <w:rsid w:val="00116F79"/>
    <w:rsid w:val="0011793E"/>
    <w:rsid w:val="00121284"/>
    <w:rsid w:val="00121BAF"/>
    <w:rsid w:val="0012205D"/>
    <w:rsid w:val="001243F1"/>
    <w:rsid w:val="00125D92"/>
    <w:rsid w:val="001320C2"/>
    <w:rsid w:val="001320CA"/>
    <w:rsid w:val="00141C38"/>
    <w:rsid w:val="0014403F"/>
    <w:rsid w:val="00146977"/>
    <w:rsid w:val="00150B52"/>
    <w:rsid w:val="00152B4A"/>
    <w:rsid w:val="00154781"/>
    <w:rsid w:val="00162990"/>
    <w:rsid w:val="001629A6"/>
    <w:rsid w:val="001677AC"/>
    <w:rsid w:val="00167A17"/>
    <w:rsid w:val="00173004"/>
    <w:rsid w:val="00177AA2"/>
    <w:rsid w:val="0018041F"/>
    <w:rsid w:val="001805D7"/>
    <w:rsid w:val="00187394"/>
    <w:rsid w:val="001873D3"/>
    <w:rsid w:val="00187991"/>
    <w:rsid w:val="00193BED"/>
    <w:rsid w:val="00194C7A"/>
    <w:rsid w:val="00195ABC"/>
    <w:rsid w:val="00195BC9"/>
    <w:rsid w:val="00196448"/>
    <w:rsid w:val="001A1968"/>
    <w:rsid w:val="001A1D92"/>
    <w:rsid w:val="001A22AC"/>
    <w:rsid w:val="001A3CF0"/>
    <w:rsid w:val="001A5A8F"/>
    <w:rsid w:val="001B1365"/>
    <w:rsid w:val="001B1481"/>
    <w:rsid w:val="001B28A6"/>
    <w:rsid w:val="001B31E4"/>
    <w:rsid w:val="001B6A0C"/>
    <w:rsid w:val="001C0D83"/>
    <w:rsid w:val="001C14D5"/>
    <w:rsid w:val="001C17F6"/>
    <w:rsid w:val="001C3D1E"/>
    <w:rsid w:val="001C6C75"/>
    <w:rsid w:val="001C6CE2"/>
    <w:rsid w:val="001D146F"/>
    <w:rsid w:val="001D2605"/>
    <w:rsid w:val="001D2C81"/>
    <w:rsid w:val="001D339E"/>
    <w:rsid w:val="001D74CF"/>
    <w:rsid w:val="001E21C9"/>
    <w:rsid w:val="001E21DF"/>
    <w:rsid w:val="001E2E2E"/>
    <w:rsid w:val="001E52FA"/>
    <w:rsid w:val="001E5B81"/>
    <w:rsid w:val="001E75BE"/>
    <w:rsid w:val="001F12C4"/>
    <w:rsid w:val="001F3FC7"/>
    <w:rsid w:val="001F658C"/>
    <w:rsid w:val="001F6D72"/>
    <w:rsid w:val="002009DA"/>
    <w:rsid w:val="00201758"/>
    <w:rsid w:val="00201842"/>
    <w:rsid w:val="00202CDD"/>
    <w:rsid w:val="00204F64"/>
    <w:rsid w:val="002055B2"/>
    <w:rsid w:val="00210D79"/>
    <w:rsid w:val="002126D0"/>
    <w:rsid w:val="00214101"/>
    <w:rsid w:val="00216CB9"/>
    <w:rsid w:val="00220CCB"/>
    <w:rsid w:val="00221471"/>
    <w:rsid w:val="002214F1"/>
    <w:rsid w:val="002269F9"/>
    <w:rsid w:val="0023031D"/>
    <w:rsid w:val="00230706"/>
    <w:rsid w:val="002323A3"/>
    <w:rsid w:val="002327A3"/>
    <w:rsid w:val="00234003"/>
    <w:rsid w:val="00236F9F"/>
    <w:rsid w:val="002374FC"/>
    <w:rsid w:val="0024012E"/>
    <w:rsid w:val="00240898"/>
    <w:rsid w:val="00241B86"/>
    <w:rsid w:val="0024536D"/>
    <w:rsid w:val="0024679F"/>
    <w:rsid w:val="00251EDF"/>
    <w:rsid w:val="00252EFD"/>
    <w:rsid w:val="002560D5"/>
    <w:rsid w:val="002561EC"/>
    <w:rsid w:val="0026144A"/>
    <w:rsid w:val="002615A4"/>
    <w:rsid w:val="00262F25"/>
    <w:rsid w:val="002653F9"/>
    <w:rsid w:val="0026619B"/>
    <w:rsid w:val="002671C0"/>
    <w:rsid w:val="002679A2"/>
    <w:rsid w:val="00267B8B"/>
    <w:rsid w:val="002703CE"/>
    <w:rsid w:val="00275484"/>
    <w:rsid w:val="00276AD0"/>
    <w:rsid w:val="00280C46"/>
    <w:rsid w:val="0028594C"/>
    <w:rsid w:val="002A4DA3"/>
    <w:rsid w:val="002A53D8"/>
    <w:rsid w:val="002B02DB"/>
    <w:rsid w:val="002B23D3"/>
    <w:rsid w:val="002B2E18"/>
    <w:rsid w:val="002B491C"/>
    <w:rsid w:val="002B4CF3"/>
    <w:rsid w:val="002B4E22"/>
    <w:rsid w:val="002B56EB"/>
    <w:rsid w:val="002C239E"/>
    <w:rsid w:val="002C28C2"/>
    <w:rsid w:val="002C3B35"/>
    <w:rsid w:val="002C41B6"/>
    <w:rsid w:val="002C4E6E"/>
    <w:rsid w:val="002C5CFF"/>
    <w:rsid w:val="002D02D6"/>
    <w:rsid w:val="002D1581"/>
    <w:rsid w:val="002D1802"/>
    <w:rsid w:val="002D3449"/>
    <w:rsid w:val="002D5B28"/>
    <w:rsid w:val="002D6325"/>
    <w:rsid w:val="002D6522"/>
    <w:rsid w:val="002E16A9"/>
    <w:rsid w:val="002E6355"/>
    <w:rsid w:val="002F5310"/>
    <w:rsid w:val="002F6EBB"/>
    <w:rsid w:val="003019DA"/>
    <w:rsid w:val="00301A96"/>
    <w:rsid w:val="00306A05"/>
    <w:rsid w:val="003112F9"/>
    <w:rsid w:val="00315D63"/>
    <w:rsid w:val="0031603D"/>
    <w:rsid w:val="00320675"/>
    <w:rsid w:val="0032551B"/>
    <w:rsid w:val="00325AAC"/>
    <w:rsid w:val="00326120"/>
    <w:rsid w:val="0032738F"/>
    <w:rsid w:val="00327C71"/>
    <w:rsid w:val="00327DCD"/>
    <w:rsid w:val="003317EE"/>
    <w:rsid w:val="00336BFC"/>
    <w:rsid w:val="00344FB5"/>
    <w:rsid w:val="00346CBD"/>
    <w:rsid w:val="003515D8"/>
    <w:rsid w:val="003531F5"/>
    <w:rsid w:val="0035458F"/>
    <w:rsid w:val="00356AB7"/>
    <w:rsid w:val="00357CA9"/>
    <w:rsid w:val="00362A3C"/>
    <w:rsid w:val="00365046"/>
    <w:rsid w:val="00366492"/>
    <w:rsid w:val="00367558"/>
    <w:rsid w:val="003725A1"/>
    <w:rsid w:val="003754C0"/>
    <w:rsid w:val="00375BA6"/>
    <w:rsid w:val="003760CE"/>
    <w:rsid w:val="00377400"/>
    <w:rsid w:val="00382FBE"/>
    <w:rsid w:val="003833C2"/>
    <w:rsid w:val="00386484"/>
    <w:rsid w:val="003900AB"/>
    <w:rsid w:val="00390224"/>
    <w:rsid w:val="00392BF4"/>
    <w:rsid w:val="00393480"/>
    <w:rsid w:val="00394EA4"/>
    <w:rsid w:val="00396F69"/>
    <w:rsid w:val="003A268B"/>
    <w:rsid w:val="003A3207"/>
    <w:rsid w:val="003A4E86"/>
    <w:rsid w:val="003B3E4F"/>
    <w:rsid w:val="003B6A29"/>
    <w:rsid w:val="003B7460"/>
    <w:rsid w:val="003C17A2"/>
    <w:rsid w:val="003C182F"/>
    <w:rsid w:val="003C34F1"/>
    <w:rsid w:val="003C4AEC"/>
    <w:rsid w:val="003C4B5A"/>
    <w:rsid w:val="003D1885"/>
    <w:rsid w:val="003D254D"/>
    <w:rsid w:val="003D3A9A"/>
    <w:rsid w:val="003D59EA"/>
    <w:rsid w:val="003D6C77"/>
    <w:rsid w:val="003D75A6"/>
    <w:rsid w:val="003E0984"/>
    <w:rsid w:val="003E17D0"/>
    <w:rsid w:val="003E1BB3"/>
    <w:rsid w:val="003E236F"/>
    <w:rsid w:val="003E5D96"/>
    <w:rsid w:val="003E6A82"/>
    <w:rsid w:val="003F07A1"/>
    <w:rsid w:val="003F4466"/>
    <w:rsid w:val="003F5802"/>
    <w:rsid w:val="003F7895"/>
    <w:rsid w:val="00400700"/>
    <w:rsid w:val="00400A2E"/>
    <w:rsid w:val="00405C9E"/>
    <w:rsid w:val="00406DBB"/>
    <w:rsid w:val="00407AA7"/>
    <w:rsid w:val="00411F49"/>
    <w:rsid w:val="00416D91"/>
    <w:rsid w:val="00420CF4"/>
    <w:rsid w:val="004214CB"/>
    <w:rsid w:val="00421515"/>
    <w:rsid w:val="00421F52"/>
    <w:rsid w:val="004223AE"/>
    <w:rsid w:val="004273C8"/>
    <w:rsid w:val="004302AC"/>
    <w:rsid w:val="004311E3"/>
    <w:rsid w:val="00435FD3"/>
    <w:rsid w:val="00436F54"/>
    <w:rsid w:val="004447E8"/>
    <w:rsid w:val="0044531C"/>
    <w:rsid w:val="0044686E"/>
    <w:rsid w:val="00446F7D"/>
    <w:rsid w:val="00452A49"/>
    <w:rsid w:val="00454B2F"/>
    <w:rsid w:val="004579F4"/>
    <w:rsid w:val="00463B09"/>
    <w:rsid w:val="004763C7"/>
    <w:rsid w:val="00483AEC"/>
    <w:rsid w:val="00487C49"/>
    <w:rsid w:val="00495826"/>
    <w:rsid w:val="004A4448"/>
    <w:rsid w:val="004A584C"/>
    <w:rsid w:val="004A5C92"/>
    <w:rsid w:val="004B1C33"/>
    <w:rsid w:val="004B2974"/>
    <w:rsid w:val="004B3314"/>
    <w:rsid w:val="004B4255"/>
    <w:rsid w:val="004B5E76"/>
    <w:rsid w:val="004B613C"/>
    <w:rsid w:val="004D0DAF"/>
    <w:rsid w:val="004D3144"/>
    <w:rsid w:val="004D4137"/>
    <w:rsid w:val="004D4844"/>
    <w:rsid w:val="004D6F4B"/>
    <w:rsid w:val="004D7D36"/>
    <w:rsid w:val="004E0760"/>
    <w:rsid w:val="004E26DF"/>
    <w:rsid w:val="004E382E"/>
    <w:rsid w:val="004E5A3B"/>
    <w:rsid w:val="004E7D63"/>
    <w:rsid w:val="004F5B23"/>
    <w:rsid w:val="004F6491"/>
    <w:rsid w:val="004F6805"/>
    <w:rsid w:val="004F75A4"/>
    <w:rsid w:val="00503483"/>
    <w:rsid w:val="0050674F"/>
    <w:rsid w:val="0051068C"/>
    <w:rsid w:val="00513D6B"/>
    <w:rsid w:val="005162E5"/>
    <w:rsid w:val="00521838"/>
    <w:rsid w:val="00522A7B"/>
    <w:rsid w:val="0053048A"/>
    <w:rsid w:val="00534071"/>
    <w:rsid w:val="00541220"/>
    <w:rsid w:val="0054396B"/>
    <w:rsid w:val="00543A56"/>
    <w:rsid w:val="0054561C"/>
    <w:rsid w:val="00545ABE"/>
    <w:rsid w:val="00546502"/>
    <w:rsid w:val="0054765B"/>
    <w:rsid w:val="00547E1B"/>
    <w:rsid w:val="00551463"/>
    <w:rsid w:val="00553D42"/>
    <w:rsid w:val="00555F78"/>
    <w:rsid w:val="00556931"/>
    <w:rsid w:val="0056066C"/>
    <w:rsid w:val="005607E3"/>
    <w:rsid w:val="00560E99"/>
    <w:rsid w:val="0056183F"/>
    <w:rsid w:val="005631BF"/>
    <w:rsid w:val="005669FD"/>
    <w:rsid w:val="0057272D"/>
    <w:rsid w:val="00572BD7"/>
    <w:rsid w:val="005740A1"/>
    <w:rsid w:val="005741EF"/>
    <w:rsid w:val="00576A85"/>
    <w:rsid w:val="00577C1C"/>
    <w:rsid w:val="00581D99"/>
    <w:rsid w:val="00582727"/>
    <w:rsid w:val="00586D51"/>
    <w:rsid w:val="00591E7C"/>
    <w:rsid w:val="005978F0"/>
    <w:rsid w:val="005A1B5F"/>
    <w:rsid w:val="005A2EA7"/>
    <w:rsid w:val="005A626E"/>
    <w:rsid w:val="005A7758"/>
    <w:rsid w:val="005B21D7"/>
    <w:rsid w:val="005C1D07"/>
    <w:rsid w:val="005C1F7A"/>
    <w:rsid w:val="005C2258"/>
    <w:rsid w:val="005C311E"/>
    <w:rsid w:val="005C4568"/>
    <w:rsid w:val="005C462E"/>
    <w:rsid w:val="005C4D2B"/>
    <w:rsid w:val="005D32D9"/>
    <w:rsid w:val="005D396B"/>
    <w:rsid w:val="005D4270"/>
    <w:rsid w:val="005D48F7"/>
    <w:rsid w:val="005E113C"/>
    <w:rsid w:val="005E1D63"/>
    <w:rsid w:val="005E397A"/>
    <w:rsid w:val="005F39BF"/>
    <w:rsid w:val="005F4FAA"/>
    <w:rsid w:val="005F6559"/>
    <w:rsid w:val="005F6830"/>
    <w:rsid w:val="00603245"/>
    <w:rsid w:val="00604FA8"/>
    <w:rsid w:val="00607537"/>
    <w:rsid w:val="00613481"/>
    <w:rsid w:val="00614BE2"/>
    <w:rsid w:val="006154C6"/>
    <w:rsid w:val="00615C9D"/>
    <w:rsid w:val="00617E9F"/>
    <w:rsid w:val="00620614"/>
    <w:rsid w:val="00621484"/>
    <w:rsid w:val="0062396D"/>
    <w:rsid w:val="00625A8C"/>
    <w:rsid w:val="00625E64"/>
    <w:rsid w:val="00631330"/>
    <w:rsid w:val="0063222E"/>
    <w:rsid w:val="006328C7"/>
    <w:rsid w:val="00632E0E"/>
    <w:rsid w:val="00636A72"/>
    <w:rsid w:val="00641CF0"/>
    <w:rsid w:val="00643755"/>
    <w:rsid w:val="00643EBB"/>
    <w:rsid w:val="006448C3"/>
    <w:rsid w:val="006452BD"/>
    <w:rsid w:val="00646305"/>
    <w:rsid w:val="00654C91"/>
    <w:rsid w:val="006551E8"/>
    <w:rsid w:val="00657F10"/>
    <w:rsid w:val="006607EC"/>
    <w:rsid w:val="0066238C"/>
    <w:rsid w:val="00663110"/>
    <w:rsid w:val="006664E2"/>
    <w:rsid w:val="00670494"/>
    <w:rsid w:val="00670D7F"/>
    <w:rsid w:val="00671CE6"/>
    <w:rsid w:val="006720AB"/>
    <w:rsid w:val="006755F2"/>
    <w:rsid w:val="0068428C"/>
    <w:rsid w:val="00684BE3"/>
    <w:rsid w:val="00684C17"/>
    <w:rsid w:val="00686234"/>
    <w:rsid w:val="00687F71"/>
    <w:rsid w:val="0069367B"/>
    <w:rsid w:val="0069377C"/>
    <w:rsid w:val="00694D5C"/>
    <w:rsid w:val="00697242"/>
    <w:rsid w:val="006A1BC0"/>
    <w:rsid w:val="006A4D8D"/>
    <w:rsid w:val="006A6CAF"/>
    <w:rsid w:val="006B030D"/>
    <w:rsid w:val="006B0FEE"/>
    <w:rsid w:val="006B51FF"/>
    <w:rsid w:val="006B6C5D"/>
    <w:rsid w:val="006C44C4"/>
    <w:rsid w:val="006C589F"/>
    <w:rsid w:val="006C64FC"/>
    <w:rsid w:val="006C6CC7"/>
    <w:rsid w:val="006C7221"/>
    <w:rsid w:val="006D0ECB"/>
    <w:rsid w:val="006D29CC"/>
    <w:rsid w:val="006D394C"/>
    <w:rsid w:val="006D5794"/>
    <w:rsid w:val="006D5942"/>
    <w:rsid w:val="006D763E"/>
    <w:rsid w:val="006D78E8"/>
    <w:rsid w:val="006E0736"/>
    <w:rsid w:val="006E1798"/>
    <w:rsid w:val="006E2122"/>
    <w:rsid w:val="006E40F9"/>
    <w:rsid w:val="006E4BCB"/>
    <w:rsid w:val="006E57FE"/>
    <w:rsid w:val="006E5B4F"/>
    <w:rsid w:val="006E793A"/>
    <w:rsid w:val="006F4191"/>
    <w:rsid w:val="006F523C"/>
    <w:rsid w:val="006F677A"/>
    <w:rsid w:val="00700878"/>
    <w:rsid w:val="00701A92"/>
    <w:rsid w:val="00703315"/>
    <w:rsid w:val="00704418"/>
    <w:rsid w:val="00705DD0"/>
    <w:rsid w:val="00711266"/>
    <w:rsid w:val="0071659C"/>
    <w:rsid w:val="00716F8F"/>
    <w:rsid w:val="0072055A"/>
    <w:rsid w:val="00721D58"/>
    <w:rsid w:val="00727587"/>
    <w:rsid w:val="007304C5"/>
    <w:rsid w:val="007306E2"/>
    <w:rsid w:val="007310E8"/>
    <w:rsid w:val="00733210"/>
    <w:rsid w:val="00734A9A"/>
    <w:rsid w:val="00734FFE"/>
    <w:rsid w:val="00736BE0"/>
    <w:rsid w:val="007430E1"/>
    <w:rsid w:val="00745209"/>
    <w:rsid w:val="00745E86"/>
    <w:rsid w:val="00747129"/>
    <w:rsid w:val="007473E2"/>
    <w:rsid w:val="00750A37"/>
    <w:rsid w:val="007513E0"/>
    <w:rsid w:val="0075198A"/>
    <w:rsid w:val="00754841"/>
    <w:rsid w:val="0075587A"/>
    <w:rsid w:val="007578E5"/>
    <w:rsid w:val="00762AC3"/>
    <w:rsid w:val="00763AA3"/>
    <w:rsid w:val="00764BE3"/>
    <w:rsid w:val="007654E6"/>
    <w:rsid w:val="0076611F"/>
    <w:rsid w:val="0076724F"/>
    <w:rsid w:val="00771CC6"/>
    <w:rsid w:val="00771D63"/>
    <w:rsid w:val="007744A7"/>
    <w:rsid w:val="007756FC"/>
    <w:rsid w:val="0077594E"/>
    <w:rsid w:val="007832BE"/>
    <w:rsid w:val="0078402A"/>
    <w:rsid w:val="00784E61"/>
    <w:rsid w:val="00786DF1"/>
    <w:rsid w:val="007875D6"/>
    <w:rsid w:val="00790496"/>
    <w:rsid w:val="0079396A"/>
    <w:rsid w:val="00794774"/>
    <w:rsid w:val="007A1697"/>
    <w:rsid w:val="007A2CDC"/>
    <w:rsid w:val="007A4E6F"/>
    <w:rsid w:val="007A5059"/>
    <w:rsid w:val="007A511B"/>
    <w:rsid w:val="007A5A15"/>
    <w:rsid w:val="007A6C19"/>
    <w:rsid w:val="007A6E75"/>
    <w:rsid w:val="007A75D7"/>
    <w:rsid w:val="007B02A9"/>
    <w:rsid w:val="007B086A"/>
    <w:rsid w:val="007B1581"/>
    <w:rsid w:val="007C00BA"/>
    <w:rsid w:val="007C0F73"/>
    <w:rsid w:val="007C143C"/>
    <w:rsid w:val="007C2882"/>
    <w:rsid w:val="007C2C8B"/>
    <w:rsid w:val="007C2F42"/>
    <w:rsid w:val="007C5272"/>
    <w:rsid w:val="007C7BB4"/>
    <w:rsid w:val="007C7C2B"/>
    <w:rsid w:val="007D246E"/>
    <w:rsid w:val="007D5DD3"/>
    <w:rsid w:val="007E0767"/>
    <w:rsid w:val="007E52B6"/>
    <w:rsid w:val="007F331B"/>
    <w:rsid w:val="007F42AF"/>
    <w:rsid w:val="007F6250"/>
    <w:rsid w:val="007F78A2"/>
    <w:rsid w:val="007F7925"/>
    <w:rsid w:val="00800422"/>
    <w:rsid w:val="00802225"/>
    <w:rsid w:val="00803F65"/>
    <w:rsid w:val="00803FBE"/>
    <w:rsid w:val="0080753A"/>
    <w:rsid w:val="00813B57"/>
    <w:rsid w:val="008171D0"/>
    <w:rsid w:val="00821707"/>
    <w:rsid w:val="00821F59"/>
    <w:rsid w:val="00821FA4"/>
    <w:rsid w:val="0082270E"/>
    <w:rsid w:val="008234D8"/>
    <w:rsid w:val="0084236C"/>
    <w:rsid w:val="0084290F"/>
    <w:rsid w:val="00843385"/>
    <w:rsid w:val="00846723"/>
    <w:rsid w:val="00847A5B"/>
    <w:rsid w:val="00853895"/>
    <w:rsid w:val="008550BA"/>
    <w:rsid w:val="008615A6"/>
    <w:rsid w:val="008639DF"/>
    <w:rsid w:val="008709A3"/>
    <w:rsid w:val="00874691"/>
    <w:rsid w:val="00875E14"/>
    <w:rsid w:val="00876334"/>
    <w:rsid w:val="00881063"/>
    <w:rsid w:val="00882866"/>
    <w:rsid w:val="00883AE2"/>
    <w:rsid w:val="0088426E"/>
    <w:rsid w:val="008857C2"/>
    <w:rsid w:val="008877F3"/>
    <w:rsid w:val="00891879"/>
    <w:rsid w:val="008928B1"/>
    <w:rsid w:val="0089445A"/>
    <w:rsid w:val="008A5A81"/>
    <w:rsid w:val="008B3464"/>
    <w:rsid w:val="008B50C6"/>
    <w:rsid w:val="008B5D12"/>
    <w:rsid w:val="008C0DCD"/>
    <w:rsid w:val="008C1ADA"/>
    <w:rsid w:val="008C6EF9"/>
    <w:rsid w:val="008C7096"/>
    <w:rsid w:val="008D1C99"/>
    <w:rsid w:val="008D584B"/>
    <w:rsid w:val="008D6F96"/>
    <w:rsid w:val="008E2F91"/>
    <w:rsid w:val="008E3FE7"/>
    <w:rsid w:val="008E4168"/>
    <w:rsid w:val="008F26E9"/>
    <w:rsid w:val="008F3F91"/>
    <w:rsid w:val="008F4892"/>
    <w:rsid w:val="008F7B63"/>
    <w:rsid w:val="00900A53"/>
    <w:rsid w:val="009016BD"/>
    <w:rsid w:val="00902BD0"/>
    <w:rsid w:val="00906713"/>
    <w:rsid w:val="00911585"/>
    <w:rsid w:val="009140BC"/>
    <w:rsid w:val="009145DA"/>
    <w:rsid w:val="00915375"/>
    <w:rsid w:val="009172F9"/>
    <w:rsid w:val="009179F0"/>
    <w:rsid w:val="00917A05"/>
    <w:rsid w:val="0092018F"/>
    <w:rsid w:val="0092170E"/>
    <w:rsid w:val="00921737"/>
    <w:rsid w:val="0092190B"/>
    <w:rsid w:val="00922FAA"/>
    <w:rsid w:val="00923311"/>
    <w:rsid w:val="0092532E"/>
    <w:rsid w:val="00925917"/>
    <w:rsid w:val="00931A08"/>
    <w:rsid w:val="00936327"/>
    <w:rsid w:val="009412AA"/>
    <w:rsid w:val="00943832"/>
    <w:rsid w:val="00943F47"/>
    <w:rsid w:val="00945474"/>
    <w:rsid w:val="0094553E"/>
    <w:rsid w:val="00952BD5"/>
    <w:rsid w:val="009606C8"/>
    <w:rsid w:val="009608F8"/>
    <w:rsid w:val="009626F0"/>
    <w:rsid w:val="00966847"/>
    <w:rsid w:val="00966C62"/>
    <w:rsid w:val="0097541E"/>
    <w:rsid w:val="009801B8"/>
    <w:rsid w:val="0098084B"/>
    <w:rsid w:val="009812EE"/>
    <w:rsid w:val="009813F6"/>
    <w:rsid w:val="00982F55"/>
    <w:rsid w:val="00983EF0"/>
    <w:rsid w:val="00987461"/>
    <w:rsid w:val="00997A83"/>
    <w:rsid w:val="009A0F68"/>
    <w:rsid w:val="009A291D"/>
    <w:rsid w:val="009A48D3"/>
    <w:rsid w:val="009A5D2D"/>
    <w:rsid w:val="009A702F"/>
    <w:rsid w:val="009A760F"/>
    <w:rsid w:val="009B1DB5"/>
    <w:rsid w:val="009B3805"/>
    <w:rsid w:val="009B61F1"/>
    <w:rsid w:val="009C129C"/>
    <w:rsid w:val="009C2076"/>
    <w:rsid w:val="009C4D33"/>
    <w:rsid w:val="009C51B7"/>
    <w:rsid w:val="009C6951"/>
    <w:rsid w:val="009D03C4"/>
    <w:rsid w:val="009D1251"/>
    <w:rsid w:val="009D7C3F"/>
    <w:rsid w:val="009E0711"/>
    <w:rsid w:val="009E7FFB"/>
    <w:rsid w:val="009F081E"/>
    <w:rsid w:val="009F169E"/>
    <w:rsid w:val="009F1DED"/>
    <w:rsid w:val="009F35EB"/>
    <w:rsid w:val="009F451A"/>
    <w:rsid w:val="009F61A4"/>
    <w:rsid w:val="00A009EE"/>
    <w:rsid w:val="00A01DC7"/>
    <w:rsid w:val="00A13091"/>
    <w:rsid w:val="00A134BF"/>
    <w:rsid w:val="00A13629"/>
    <w:rsid w:val="00A2199A"/>
    <w:rsid w:val="00A22756"/>
    <w:rsid w:val="00A228A0"/>
    <w:rsid w:val="00A2303C"/>
    <w:rsid w:val="00A2483E"/>
    <w:rsid w:val="00A25930"/>
    <w:rsid w:val="00A2795F"/>
    <w:rsid w:val="00A31470"/>
    <w:rsid w:val="00A33546"/>
    <w:rsid w:val="00A33ACB"/>
    <w:rsid w:val="00A33DAA"/>
    <w:rsid w:val="00A35CED"/>
    <w:rsid w:val="00A421AB"/>
    <w:rsid w:val="00A422D7"/>
    <w:rsid w:val="00A43FEA"/>
    <w:rsid w:val="00A45B4A"/>
    <w:rsid w:val="00A51441"/>
    <w:rsid w:val="00A51771"/>
    <w:rsid w:val="00A52C50"/>
    <w:rsid w:val="00A53A8A"/>
    <w:rsid w:val="00A53ED1"/>
    <w:rsid w:val="00A61EA7"/>
    <w:rsid w:val="00A63461"/>
    <w:rsid w:val="00A649B2"/>
    <w:rsid w:val="00A66B30"/>
    <w:rsid w:val="00A66B3A"/>
    <w:rsid w:val="00A734FD"/>
    <w:rsid w:val="00A74E23"/>
    <w:rsid w:val="00A80F1F"/>
    <w:rsid w:val="00A8705F"/>
    <w:rsid w:val="00A90881"/>
    <w:rsid w:val="00A91DF8"/>
    <w:rsid w:val="00A93272"/>
    <w:rsid w:val="00A96DCA"/>
    <w:rsid w:val="00AA043B"/>
    <w:rsid w:val="00AA2D09"/>
    <w:rsid w:val="00AA54C9"/>
    <w:rsid w:val="00AA701F"/>
    <w:rsid w:val="00AA75A0"/>
    <w:rsid w:val="00AB104F"/>
    <w:rsid w:val="00AB1112"/>
    <w:rsid w:val="00AB30E9"/>
    <w:rsid w:val="00AB339E"/>
    <w:rsid w:val="00AB3F44"/>
    <w:rsid w:val="00AB616B"/>
    <w:rsid w:val="00AC3098"/>
    <w:rsid w:val="00AC44F5"/>
    <w:rsid w:val="00AC6915"/>
    <w:rsid w:val="00AC75F4"/>
    <w:rsid w:val="00AD1BB2"/>
    <w:rsid w:val="00AD1BFC"/>
    <w:rsid w:val="00AD7D04"/>
    <w:rsid w:val="00AE2110"/>
    <w:rsid w:val="00AE24CD"/>
    <w:rsid w:val="00AE2D18"/>
    <w:rsid w:val="00AE4F43"/>
    <w:rsid w:val="00AF3757"/>
    <w:rsid w:val="00B00BF9"/>
    <w:rsid w:val="00B0261B"/>
    <w:rsid w:val="00B14C5B"/>
    <w:rsid w:val="00B21CFC"/>
    <w:rsid w:val="00B235B8"/>
    <w:rsid w:val="00B23955"/>
    <w:rsid w:val="00B23C7E"/>
    <w:rsid w:val="00B25C88"/>
    <w:rsid w:val="00B25D4D"/>
    <w:rsid w:val="00B26ABB"/>
    <w:rsid w:val="00B2772F"/>
    <w:rsid w:val="00B33223"/>
    <w:rsid w:val="00B336AA"/>
    <w:rsid w:val="00B33966"/>
    <w:rsid w:val="00B33B73"/>
    <w:rsid w:val="00B33F19"/>
    <w:rsid w:val="00B362C5"/>
    <w:rsid w:val="00B36ACB"/>
    <w:rsid w:val="00B42BAC"/>
    <w:rsid w:val="00B42D7F"/>
    <w:rsid w:val="00B45F91"/>
    <w:rsid w:val="00B4642C"/>
    <w:rsid w:val="00B46645"/>
    <w:rsid w:val="00B47188"/>
    <w:rsid w:val="00B52659"/>
    <w:rsid w:val="00B53F04"/>
    <w:rsid w:val="00B54934"/>
    <w:rsid w:val="00B55225"/>
    <w:rsid w:val="00B5625F"/>
    <w:rsid w:val="00B63E7C"/>
    <w:rsid w:val="00B64C28"/>
    <w:rsid w:val="00B72F9D"/>
    <w:rsid w:val="00B73247"/>
    <w:rsid w:val="00B758E4"/>
    <w:rsid w:val="00B80D78"/>
    <w:rsid w:val="00B83C2D"/>
    <w:rsid w:val="00B85BE0"/>
    <w:rsid w:val="00B862E4"/>
    <w:rsid w:val="00B864AF"/>
    <w:rsid w:val="00B86D6F"/>
    <w:rsid w:val="00B963A2"/>
    <w:rsid w:val="00B9798D"/>
    <w:rsid w:val="00BA50C9"/>
    <w:rsid w:val="00BA525B"/>
    <w:rsid w:val="00BA6A0C"/>
    <w:rsid w:val="00BA6BAF"/>
    <w:rsid w:val="00BB1A1A"/>
    <w:rsid w:val="00BB2956"/>
    <w:rsid w:val="00BB3170"/>
    <w:rsid w:val="00BB3397"/>
    <w:rsid w:val="00BB526B"/>
    <w:rsid w:val="00BB5B00"/>
    <w:rsid w:val="00BB6566"/>
    <w:rsid w:val="00BC38B9"/>
    <w:rsid w:val="00BD30C9"/>
    <w:rsid w:val="00BD78EC"/>
    <w:rsid w:val="00BE1675"/>
    <w:rsid w:val="00BE2B70"/>
    <w:rsid w:val="00BE3262"/>
    <w:rsid w:val="00BF0D22"/>
    <w:rsid w:val="00BF1F4E"/>
    <w:rsid w:val="00BF55DE"/>
    <w:rsid w:val="00BF65A4"/>
    <w:rsid w:val="00C0056B"/>
    <w:rsid w:val="00C048C6"/>
    <w:rsid w:val="00C05139"/>
    <w:rsid w:val="00C0525E"/>
    <w:rsid w:val="00C10A4F"/>
    <w:rsid w:val="00C10DB0"/>
    <w:rsid w:val="00C1185D"/>
    <w:rsid w:val="00C20424"/>
    <w:rsid w:val="00C21576"/>
    <w:rsid w:val="00C274D5"/>
    <w:rsid w:val="00C3529F"/>
    <w:rsid w:val="00C362CF"/>
    <w:rsid w:val="00C368A6"/>
    <w:rsid w:val="00C40B65"/>
    <w:rsid w:val="00C4297A"/>
    <w:rsid w:val="00C4360A"/>
    <w:rsid w:val="00C445D9"/>
    <w:rsid w:val="00C51DB6"/>
    <w:rsid w:val="00C5748D"/>
    <w:rsid w:val="00C617F2"/>
    <w:rsid w:val="00C67080"/>
    <w:rsid w:val="00C6784D"/>
    <w:rsid w:val="00C67CF8"/>
    <w:rsid w:val="00C758FE"/>
    <w:rsid w:val="00C76AFA"/>
    <w:rsid w:val="00C835D8"/>
    <w:rsid w:val="00C97B55"/>
    <w:rsid w:val="00CA0926"/>
    <w:rsid w:val="00CA4711"/>
    <w:rsid w:val="00CA507D"/>
    <w:rsid w:val="00CA6707"/>
    <w:rsid w:val="00CA7D2B"/>
    <w:rsid w:val="00CB1115"/>
    <w:rsid w:val="00CB3284"/>
    <w:rsid w:val="00CB472D"/>
    <w:rsid w:val="00CB5D91"/>
    <w:rsid w:val="00CB6372"/>
    <w:rsid w:val="00CC0314"/>
    <w:rsid w:val="00CC06E8"/>
    <w:rsid w:val="00CC124F"/>
    <w:rsid w:val="00CC42B4"/>
    <w:rsid w:val="00CC6B12"/>
    <w:rsid w:val="00CD2119"/>
    <w:rsid w:val="00CD2177"/>
    <w:rsid w:val="00CD4350"/>
    <w:rsid w:val="00CD6020"/>
    <w:rsid w:val="00CE36F4"/>
    <w:rsid w:val="00CE4E07"/>
    <w:rsid w:val="00CF078D"/>
    <w:rsid w:val="00CF1DCA"/>
    <w:rsid w:val="00CF65BA"/>
    <w:rsid w:val="00D019AE"/>
    <w:rsid w:val="00D059A8"/>
    <w:rsid w:val="00D10D12"/>
    <w:rsid w:val="00D1166E"/>
    <w:rsid w:val="00D12265"/>
    <w:rsid w:val="00D151BA"/>
    <w:rsid w:val="00D15BD8"/>
    <w:rsid w:val="00D166AD"/>
    <w:rsid w:val="00D17D20"/>
    <w:rsid w:val="00D201FB"/>
    <w:rsid w:val="00D20F5F"/>
    <w:rsid w:val="00D2276D"/>
    <w:rsid w:val="00D235A5"/>
    <w:rsid w:val="00D23C21"/>
    <w:rsid w:val="00D26E24"/>
    <w:rsid w:val="00D302BF"/>
    <w:rsid w:val="00D3259C"/>
    <w:rsid w:val="00D3488B"/>
    <w:rsid w:val="00D36900"/>
    <w:rsid w:val="00D373C6"/>
    <w:rsid w:val="00D428C8"/>
    <w:rsid w:val="00D50793"/>
    <w:rsid w:val="00D50DC5"/>
    <w:rsid w:val="00D516DC"/>
    <w:rsid w:val="00D51859"/>
    <w:rsid w:val="00D52970"/>
    <w:rsid w:val="00D56CE8"/>
    <w:rsid w:val="00D60E20"/>
    <w:rsid w:val="00D61F3F"/>
    <w:rsid w:val="00D627FD"/>
    <w:rsid w:val="00D64B22"/>
    <w:rsid w:val="00D66482"/>
    <w:rsid w:val="00D712A8"/>
    <w:rsid w:val="00D739B4"/>
    <w:rsid w:val="00D74CE9"/>
    <w:rsid w:val="00D75CAB"/>
    <w:rsid w:val="00D76071"/>
    <w:rsid w:val="00D76DB9"/>
    <w:rsid w:val="00D8061D"/>
    <w:rsid w:val="00D8209B"/>
    <w:rsid w:val="00D82191"/>
    <w:rsid w:val="00D853A1"/>
    <w:rsid w:val="00D8705F"/>
    <w:rsid w:val="00D92DD6"/>
    <w:rsid w:val="00D93BCC"/>
    <w:rsid w:val="00D94935"/>
    <w:rsid w:val="00D97DC3"/>
    <w:rsid w:val="00DA1AEC"/>
    <w:rsid w:val="00DA298B"/>
    <w:rsid w:val="00DA3CBD"/>
    <w:rsid w:val="00DB0338"/>
    <w:rsid w:val="00DB1195"/>
    <w:rsid w:val="00DB19CE"/>
    <w:rsid w:val="00DB26BF"/>
    <w:rsid w:val="00DB7EED"/>
    <w:rsid w:val="00DC1315"/>
    <w:rsid w:val="00DC3DA9"/>
    <w:rsid w:val="00DC5E14"/>
    <w:rsid w:val="00DD0B7F"/>
    <w:rsid w:val="00DD452A"/>
    <w:rsid w:val="00DD729D"/>
    <w:rsid w:val="00DE2DE3"/>
    <w:rsid w:val="00DE42AC"/>
    <w:rsid w:val="00DE67F9"/>
    <w:rsid w:val="00DF0161"/>
    <w:rsid w:val="00DF17F0"/>
    <w:rsid w:val="00DF65E5"/>
    <w:rsid w:val="00DF6B5C"/>
    <w:rsid w:val="00DF73BF"/>
    <w:rsid w:val="00DF7F54"/>
    <w:rsid w:val="00E02D84"/>
    <w:rsid w:val="00E12090"/>
    <w:rsid w:val="00E1368B"/>
    <w:rsid w:val="00E145BD"/>
    <w:rsid w:val="00E14964"/>
    <w:rsid w:val="00E14F00"/>
    <w:rsid w:val="00E17E89"/>
    <w:rsid w:val="00E17EBA"/>
    <w:rsid w:val="00E2143B"/>
    <w:rsid w:val="00E21CE0"/>
    <w:rsid w:val="00E2528C"/>
    <w:rsid w:val="00E265FC"/>
    <w:rsid w:val="00E27157"/>
    <w:rsid w:val="00E339BA"/>
    <w:rsid w:val="00E36D02"/>
    <w:rsid w:val="00E42729"/>
    <w:rsid w:val="00E429F6"/>
    <w:rsid w:val="00E431DF"/>
    <w:rsid w:val="00E45336"/>
    <w:rsid w:val="00E4697B"/>
    <w:rsid w:val="00E469CB"/>
    <w:rsid w:val="00E505E5"/>
    <w:rsid w:val="00E5168C"/>
    <w:rsid w:val="00E53020"/>
    <w:rsid w:val="00E5428B"/>
    <w:rsid w:val="00E57F82"/>
    <w:rsid w:val="00E601AC"/>
    <w:rsid w:val="00E62666"/>
    <w:rsid w:val="00E658DF"/>
    <w:rsid w:val="00E65A28"/>
    <w:rsid w:val="00E7233D"/>
    <w:rsid w:val="00E732B9"/>
    <w:rsid w:val="00E73E1E"/>
    <w:rsid w:val="00E74C37"/>
    <w:rsid w:val="00E76192"/>
    <w:rsid w:val="00E7641D"/>
    <w:rsid w:val="00E77B2A"/>
    <w:rsid w:val="00E81485"/>
    <w:rsid w:val="00E82258"/>
    <w:rsid w:val="00E82F12"/>
    <w:rsid w:val="00E82FAD"/>
    <w:rsid w:val="00E83639"/>
    <w:rsid w:val="00E86DDE"/>
    <w:rsid w:val="00E90366"/>
    <w:rsid w:val="00E90448"/>
    <w:rsid w:val="00E90551"/>
    <w:rsid w:val="00E96592"/>
    <w:rsid w:val="00E97206"/>
    <w:rsid w:val="00E97A81"/>
    <w:rsid w:val="00E97CDF"/>
    <w:rsid w:val="00EA14B4"/>
    <w:rsid w:val="00EA3C1D"/>
    <w:rsid w:val="00EA7232"/>
    <w:rsid w:val="00EB2DF6"/>
    <w:rsid w:val="00EB2F4B"/>
    <w:rsid w:val="00EB33C4"/>
    <w:rsid w:val="00EB59EB"/>
    <w:rsid w:val="00EC2038"/>
    <w:rsid w:val="00EC2C1D"/>
    <w:rsid w:val="00EC3A9E"/>
    <w:rsid w:val="00EC7438"/>
    <w:rsid w:val="00ED192F"/>
    <w:rsid w:val="00ED27DF"/>
    <w:rsid w:val="00ED36AF"/>
    <w:rsid w:val="00ED39CB"/>
    <w:rsid w:val="00ED4E3D"/>
    <w:rsid w:val="00EE0561"/>
    <w:rsid w:val="00EE1E02"/>
    <w:rsid w:val="00EE51DD"/>
    <w:rsid w:val="00EF2265"/>
    <w:rsid w:val="00EF3414"/>
    <w:rsid w:val="00EF4A2E"/>
    <w:rsid w:val="00EF640B"/>
    <w:rsid w:val="00EF7EC9"/>
    <w:rsid w:val="00F05A6E"/>
    <w:rsid w:val="00F1063C"/>
    <w:rsid w:val="00F10A3E"/>
    <w:rsid w:val="00F13FD6"/>
    <w:rsid w:val="00F15653"/>
    <w:rsid w:val="00F1632B"/>
    <w:rsid w:val="00F221E6"/>
    <w:rsid w:val="00F27E3E"/>
    <w:rsid w:val="00F27EFD"/>
    <w:rsid w:val="00F30DA5"/>
    <w:rsid w:val="00F34501"/>
    <w:rsid w:val="00F34520"/>
    <w:rsid w:val="00F34821"/>
    <w:rsid w:val="00F40D65"/>
    <w:rsid w:val="00F42984"/>
    <w:rsid w:val="00F4396A"/>
    <w:rsid w:val="00F44B7B"/>
    <w:rsid w:val="00F47866"/>
    <w:rsid w:val="00F478BC"/>
    <w:rsid w:val="00F47C2E"/>
    <w:rsid w:val="00F50AC1"/>
    <w:rsid w:val="00F520D8"/>
    <w:rsid w:val="00F5737F"/>
    <w:rsid w:val="00F70B55"/>
    <w:rsid w:val="00F70D98"/>
    <w:rsid w:val="00F72B0D"/>
    <w:rsid w:val="00F73E6F"/>
    <w:rsid w:val="00F742CC"/>
    <w:rsid w:val="00F747D0"/>
    <w:rsid w:val="00F76F09"/>
    <w:rsid w:val="00F81FF3"/>
    <w:rsid w:val="00F84C5A"/>
    <w:rsid w:val="00F85331"/>
    <w:rsid w:val="00F85745"/>
    <w:rsid w:val="00F85FAD"/>
    <w:rsid w:val="00F87993"/>
    <w:rsid w:val="00FA2AED"/>
    <w:rsid w:val="00FA3AEA"/>
    <w:rsid w:val="00FA43F3"/>
    <w:rsid w:val="00FA4D7C"/>
    <w:rsid w:val="00FA5470"/>
    <w:rsid w:val="00FA5F75"/>
    <w:rsid w:val="00FA776A"/>
    <w:rsid w:val="00FA7E7A"/>
    <w:rsid w:val="00FA7FF0"/>
    <w:rsid w:val="00FB0456"/>
    <w:rsid w:val="00FB1DF2"/>
    <w:rsid w:val="00FB4AC8"/>
    <w:rsid w:val="00FB5070"/>
    <w:rsid w:val="00FC0127"/>
    <w:rsid w:val="00FC0C66"/>
    <w:rsid w:val="00FC2027"/>
    <w:rsid w:val="00FC437C"/>
    <w:rsid w:val="00FC69BA"/>
    <w:rsid w:val="00FC720B"/>
    <w:rsid w:val="00FC7568"/>
    <w:rsid w:val="00FD05EE"/>
    <w:rsid w:val="00FD40AE"/>
    <w:rsid w:val="00FD6EC3"/>
    <w:rsid w:val="00FE3B0B"/>
    <w:rsid w:val="00FE3CB8"/>
    <w:rsid w:val="00FE5183"/>
    <w:rsid w:val="00FE71D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B54934"/>
    <w:pPr>
      <w:spacing w:after="200" w:line="276" w:lineRule="auto"/>
    </w:pPr>
    <w:rPr>
      <w:lang w:val="nl-NL"/>
    </w:rPr>
  </w:style>
  <w:style w:type="paragraph" w:styleId="Heading1">
    <w:name w:val="heading 1"/>
    <w:basedOn w:val="Normal"/>
    <w:next w:val="Normal"/>
    <w:link w:val="Heading1Char"/>
    <w:uiPriority w:val="99"/>
    <w:qFormat/>
    <w:rsid w:val="000E554A"/>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D853A1"/>
    <w:pPr>
      <w:keepNext/>
      <w:keepLines/>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E554A"/>
    <w:rPr>
      <w:rFonts w:ascii="Cambria" w:hAnsi="Cambria" w:cs="Times New Roman"/>
      <w:b/>
      <w:bCs/>
      <w:color w:val="365F91"/>
      <w:sz w:val="28"/>
      <w:szCs w:val="28"/>
      <w:lang w:eastAsia="en-US"/>
    </w:rPr>
  </w:style>
  <w:style w:type="character" w:customStyle="1" w:styleId="Heading2Char">
    <w:name w:val="Heading 2 Char"/>
    <w:basedOn w:val="DefaultParagraphFont"/>
    <w:link w:val="Heading2"/>
    <w:uiPriority w:val="99"/>
    <w:locked/>
    <w:rsid w:val="00D853A1"/>
    <w:rPr>
      <w:rFonts w:ascii="Cambria" w:hAnsi="Cambria" w:cs="Times New Roman"/>
      <w:b/>
      <w:bCs/>
      <w:color w:val="4F81BD"/>
      <w:sz w:val="26"/>
      <w:szCs w:val="26"/>
    </w:rPr>
  </w:style>
  <w:style w:type="paragraph" w:styleId="NoSpacing">
    <w:name w:val="No Spacing"/>
    <w:link w:val="NoSpacingChar"/>
    <w:uiPriority w:val="99"/>
    <w:qFormat/>
    <w:rsid w:val="00D853A1"/>
    <w:rPr>
      <w:lang w:val="nl-NL"/>
    </w:rPr>
  </w:style>
  <w:style w:type="paragraph" w:styleId="IntenseQuote">
    <w:name w:val="Intense Quote"/>
    <w:basedOn w:val="Normal"/>
    <w:next w:val="Normal"/>
    <w:link w:val="IntenseQuoteChar"/>
    <w:uiPriority w:val="99"/>
    <w:qFormat/>
    <w:rsid w:val="00D853A1"/>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99"/>
    <w:locked/>
    <w:rsid w:val="00D853A1"/>
    <w:rPr>
      <w:rFonts w:cs="Times New Roman"/>
      <w:b/>
      <w:bCs/>
      <w:i/>
      <w:iCs/>
      <w:color w:val="4F81BD"/>
    </w:rPr>
  </w:style>
  <w:style w:type="paragraph" w:styleId="Header">
    <w:name w:val="header"/>
    <w:basedOn w:val="Normal"/>
    <w:link w:val="HeaderChar"/>
    <w:uiPriority w:val="99"/>
    <w:rsid w:val="003F7895"/>
    <w:pPr>
      <w:tabs>
        <w:tab w:val="center" w:pos="4536"/>
        <w:tab w:val="right" w:pos="9072"/>
      </w:tabs>
    </w:pPr>
  </w:style>
  <w:style w:type="character" w:customStyle="1" w:styleId="HeaderChar">
    <w:name w:val="Header Char"/>
    <w:basedOn w:val="DefaultParagraphFont"/>
    <w:link w:val="Header"/>
    <w:uiPriority w:val="99"/>
    <w:semiHidden/>
    <w:locked/>
    <w:rsid w:val="003F7895"/>
    <w:rPr>
      <w:rFonts w:cs="Times New Roman"/>
      <w:sz w:val="22"/>
      <w:szCs w:val="22"/>
      <w:lang w:eastAsia="en-US"/>
    </w:rPr>
  </w:style>
  <w:style w:type="paragraph" w:styleId="Footer">
    <w:name w:val="footer"/>
    <w:basedOn w:val="Normal"/>
    <w:link w:val="FooterChar"/>
    <w:uiPriority w:val="99"/>
    <w:semiHidden/>
    <w:rsid w:val="003F7895"/>
    <w:pPr>
      <w:tabs>
        <w:tab w:val="center" w:pos="4536"/>
        <w:tab w:val="right" w:pos="9072"/>
      </w:tabs>
    </w:pPr>
  </w:style>
  <w:style w:type="character" w:customStyle="1" w:styleId="FooterChar">
    <w:name w:val="Footer Char"/>
    <w:basedOn w:val="DefaultParagraphFont"/>
    <w:link w:val="Footer"/>
    <w:uiPriority w:val="99"/>
    <w:semiHidden/>
    <w:locked/>
    <w:rsid w:val="003F7895"/>
    <w:rPr>
      <w:rFonts w:cs="Times New Roman"/>
      <w:sz w:val="22"/>
      <w:szCs w:val="22"/>
      <w:lang w:eastAsia="en-US"/>
    </w:rPr>
  </w:style>
  <w:style w:type="character" w:customStyle="1" w:styleId="ex1">
    <w:name w:val="ex1"/>
    <w:basedOn w:val="DefaultParagraphFont"/>
    <w:uiPriority w:val="99"/>
    <w:rsid w:val="004B613C"/>
    <w:rPr>
      <w:rFonts w:cs="Times New Roman"/>
      <w:color w:val="226699"/>
    </w:rPr>
  </w:style>
  <w:style w:type="paragraph" w:customStyle="1" w:styleId="Default">
    <w:name w:val="Default"/>
    <w:uiPriority w:val="99"/>
    <w:rsid w:val="007A5059"/>
    <w:pPr>
      <w:autoSpaceDE w:val="0"/>
      <w:autoSpaceDN w:val="0"/>
      <w:adjustRightInd w:val="0"/>
    </w:pPr>
    <w:rPr>
      <w:rFonts w:ascii="Tahoma" w:hAnsi="Tahoma" w:cs="Tahoma"/>
      <w:color w:val="000000"/>
      <w:sz w:val="24"/>
      <w:szCs w:val="24"/>
      <w:lang w:val="nl-NL" w:eastAsia="nl-NL"/>
    </w:rPr>
  </w:style>
  <w:style w:type="paragraph" w:styleId="BodyText">
    <w:name w:val="Body Text"/>
    <w:basedOn w:val="Default"/>
    <w:next w:val="Default"/>
    <w:link w:val="BodyTextChar"/>
    <w:uiPriority w:val="99"/>
    <w:rsid w:val="007A5059"/>
    <w:rPr>
      <w:color w:val="auto"/>
    </w:rPr>
  </w:style>
  <w:style w:type="character" w:customStyle="1" w:styleId="BodyTextChar">
    <w:name w:val="Body Text Char"/>
    <w:basedOn w:val="DefaultParagraphFont"/>
    <w:link w:val="BodyText"/>
    <w:uiPriority w:val="99"/>
    <w:locked/>
    <w:rsid w:val="007A5059"/>
    <w:rPr>
      <w:rFonts w:ascii="Tahoma" w:hAnsi="Tahoma" w:cs="Tahoma"/>
      <w:sz w:val="24"/>
      <w:szCs w:val="24"/>
    </w:rPr>
  </w:style>
  <w:style w:type="character" w:styleId="EndnoteReference">
    <w:name w:val="endnote reference"/>
    <w:basedOn w:val="DefaultParagraphFont"/>
    <w:uiPriority w:val="99"/>
    <w:rsid w:val="007A5059"/>
    <w:rPr>
      <w:rFonts w:cs="Times New Roman"/>
      <w:color w:val="000000"/>
    </w:rPr>
  </w:style>
  <w:style w:type="paragraph" w:styleId="BalloonText">
    <w:name w:val="Balloon Text"/>
    <w:basedOn w:val="Normal"/>
    <w:link w:val="BalloonTextChar"/>
    <w:uiPriority w:val="99"/>
    <w:semiHidden/>
    <w:rsid w:val="00B33B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33B73"/>
    <w:rPr>
      <w:rFonts w:ascii="Tahoma" w:hAnsi="Tahoma" w:cs="Tahoma"/>
      <w:sz w:val="16"/>
      <w:szCs w:val="16"/>
      <w:lang w:eastAsia="en-US"/>
    </w:rPr>
  </w:style>
  <w:style w:type="character" w:styleId="PlaceholderText">
    <w:name w:val="Placeholder Text"/>
    <w:basedOn w:val="DefaultParagraphFont"/>
    <w:uiPriority w:val="99"/>
    <w:semiHidden/>
    <w:rsid w:val="00B33B73"/>
    <w:rPr>
      <w:rFonts w:cs="Times New Roman"/>
      <w:color w:val="808080"/>
    </w:rPr>
  </w:style>
  <w:style w:type="paragraph" w:styleId="FootnoteText">
    <w:name w:val="footnote text"/>
    <w:basedOn w:val="Normal"/>
    <w:link w:val="FootnoteTextChar"/>
    <w:uiPriority w:val="99"/>
    <w:semiHidden/>
    <w:rsid w:val="00FC0127"/>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FC0127"/>
    <w:rPr>
      <w:rFonts w:cs="Times New Roman"/>
      <w:lang w:eastAsia="en-US"/>
    </w:rPr>
  </w:style>
  <w:style w:type="character" w:styleId="FootnoteReference">
    <w:name w:val="footnote reference"/>
    <w:basedOn w:val="DefaultParagraphFont"/>
    <w:uiPriority w:val="99"/>
    <w:semiHidden/>
    <w:rsid w:val="00FC0127"/>
    <w:rPr>
      <w:rFonts w:cs="Times New Roman"/>
      <w:vertAlign w:val="superscript"/>
    </w:rPr>
  </w:style>
  <w:style w:type="paragraph" w:styleId="ListParagraph">
    <w:name w:val="List Paragraph"/>
    <w:basedOn w:val="Normal"/>
    <w:uiPriority w:val="99"/>
    <w:qFormat/>
    <w:rsid w:val="00230706"/>
    <w:pPr>
      <w:ind w:left="720"/>
      <w:contextualSpacing/>
    </w:pPr>
  </w:style>
  <w:style w:type="paragraph" w:styleId="TOCHeading">
    <w:name w:val="TOC Heading"/>
    <w:basedOn w:val="Heading1"/>
    <w:next w:val="Normal"/>
    <w:uiPriority w:val="99"/>
    <w:qFormat/>
    <w:rsid w:val="000E554A"/>
    <w:pPr>
      <w:outlineLvl w:val="9"/>
    </w:pPr>
    <w:rPr>
      <w:lang w:val="en-US"/>
    </w:rPr>
  </w:style>
  <w:style w:type="paragraph" w:styleId="TOC2">
    <w:name w:val="toc 2"/>
    <w:basedOn w:val="Normal"/>
    <w:next w:val="Normal"/>
    <w:autoRedefine/>
    <w:uiPriority w:val="99"/>
    <w:semiHidden/>
    <w:rsid w:val="000E554A"/>
    <w:pPr>
      <w:spacing w:after="100"/>
      <w:ind w:left="220"/>
    </w:pPr>
    <w:rPr>
      <w:rFonts w:eastAsia="Times New Roman"/>
      <w:lang w:val="en-US"/>
    </w:rPr>
  </w:style>
  <w:style w:type="paragraph" w:styleId="TOC1">
    <w:name w:val="toc 1"/>
    <w:basedOn w:val="Normal"/>
    <w:next w:val="Normal"/>
    <w:autoRedefine/>
    <w:uiPriority w:val="99"/>
    <w:rsid w:val="000E554A"/>
    <w:pPr>
      <w:spacing w:after="100"/>
    </w:pPr>
    <w:rPr>
      <w:rFonts w:eastAsia="Times New Roman"/>
      <w:lang w:val="en-US"/>
    </w:rPr>
  </w:style>
  <w:style w:type="paragraph" w:styleId="TOC3">
    <w:name w:val="toc 3"/>
    <w:basedOn w:val="Normal"/>
    <w:next w:val="Normal"/>
    <w:autoRedefine/>
    <w:uiPriority w:val="99"/>
    <w:semiHidden/>
    <w:rsid w:val="000E554A"/>
    <w:pPr>
      <w:spacing w:after="100"/>
      <w:ind w:left="440"/>
    </w:pPr>
    <w:rPr>
      <w:rFonts w:eastAsia="Times New Roman"/>
      <w:lang w:val="en-US"/>
    </w:rPr>
  </w:style>
  <w:style w:type="paragraph" w:styleId="DocumentMap">
    <w:name w:val="Document Map"/>
    <w:basedOn w:val="Normal"/>
    <w:link w:val="DocumentMapChar"/>
    <w:uiPriority w:val="99"/>
    <w:semiHidden/>
    <w:rsid w:val="003725A1"/>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locked/>
    <w:rsid w:val="003725A1"/>
    <w:rPr>
      <w:rFonts w:ascii="Tahoma" w:hAnsi="Tahoma" w:cs="Tahoma"/>
      <w:sz w:val="16"/>
      <w:szCs w:val="16"/>
      <w:lang w:eastAsia="en-US"/>
    </w:rPr>
  </w:style>
  <w:style w:type="table" w:styleId="TableGrid">
    <w:name w:val="Table Grid"/>
    <w:basedOn w:val="TableNormal"/>
    <w:uiPriority w:val="99"/>
    <w:rsid w:val="007F7925"/>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MediumShading2-Accent11">
    <w:name w:val="Medium Shading 2 - Accent 11"/>
    <w:uiPriority w:val="99"/>
    <w:rsid w:val="007F7925"/>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F81BD"/>
      </w:tcPr>
    </w:tblStylePr>
    <w:tblStylePr w:type="lastCol">
      <w:rPr>
        <w:rFonts w:cs="Times New Roman"/>
        <w:b/>
        <w:bCs/>
        <w:color w:val="FFFFFF"/>
      </w:rPr>
      <w:tblPr/>
      <w:tcPr>
        <w:tcBorders>
          <w:left w:val="nil"/>
          <w:right w:val="nil"/>
          <w:insideH w:val="nil"/>
          <w:insideV w:val="nil"/>
        </w:tcBorders>
        <w:shd w:val="clear" w:color="auto" w:fill="4F81BD"/>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Accent11">
    <w:name w:val="Light List - Accent 11"/>
    <w:uiPriority w:val="99"/>
    <w:rsid w:val="006720AB"/>
    <w:rPr>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F81BD"/>
      </w:tcPr>
    </w:tblStylePr>
    <w:tblStylePr w:type="lastRow">
      <w:pPr>
        <w:spacing w:before="0" w:after="0"/>
      </w:pPr>
      <w:rPr>
        <w:rFonts w:cs="Times New Roman"/>
        <w:b/>
        <w:bCs/>
      </w:rPr>
      <w:tblPr/>
      <w:tcPr>
        <w:tcBorders>
          <w:top w:val="double" w:sz="6" w:space="0" w:color="4F81BD"/>
          <w:left w:val="single" w:sz="8" w:space="0" w:color="4F81BD"/>
          <w:bottom w:val="single" w:sz="8" w:space="0" w:color="4F81BD"/>
          <w:right w:val="single" w:sz="8" w:space="0" w:color="4F81B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F81BD"/>
          <w:left w:val="single" w:sz="8" w:space="0" w:color="4F81BD"/>
          <w:bottom w:val="single" w:sz="8" w:space="0" w:color="4F81BD"/>
          <w:right w:val="single" w:sz="8" w:space="0" w:color="4F81BD"/>
        </w:tcBorders>
      </w:tcPr>
    </w:tblStylePr>
    <w:tblStylePr w:type="band1Horz">
      <w:rPr>
        <w:rFonts w:cs="Times New Roman"/>
      </w:rPr>
      <w:tblPr/>
      <w:tcPr>
        <w:tcBorders>
          <w:top w:val="single" w:sz="8" w:space="0" w:color="4F81BD"/>
          <w:left w:val="single" w:sz="8" w:space="0" w:color="4F81BD"/>
          <w:bottom w:val="single" w:sz="8" w:space="0" w:color="4F81BD"/>
          <w:right w:val="single" w:sz="8" w:space="0" w:color="4F81BD"/>
        </w:tcBorders>
      </w:tcPr>
    </w:tblStylePr>
  </w:style>
  <w:style w:type="table" w:styleId="MediumShading2-Accent1">
    <w:name w:val="Medium Shading 2 Accent 1"/>
    <w:basedOn w:val="TableNormal"/>
    <w:uiPriority w:val="99"/>
    <w:rsid w:val="00FA5470"/>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F81BD"/>
      </w:tcPr>
    </w:tblStylePr>
    <w:tblStylePr w:type="lastCol">
      <w:rPr>
        <w:rFonts w:cs="Times New Roman"/>
        <w:b/>
        <w:bCs/>
        <w:color w:val="FFFFFF"/>
      </w:rPr>
      <w:tblPr/>
      <w:tcPr>
        <w:tcBorders>
          <w:left w:val="nil"/>
          <w:right w:val="nil"/>
          <w:insideH w:val="nil"/>
          <w:insideV w:val="nil"/>
        </w:tcBorders>
        <w:shd w:val="clear" w:color="auto" w:fill="4F81BD"/>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character" w:styleId="Hyperlink">
    <w:name w:val="Hyperlink"/>
    <w:basedOn w:val="DefaultParagraphFont"/>
    <w:uiPriority w:val="99"/>
    <w:rsid w:val="00891879"/>
    <w:rPr>
      <w:rFonts w:cs="Times New Roman"/>
      <w:color w:val="0000FF"/>
      <w:u w:val="single"/>
    </w:rPr>
  </w:style>
  <w:style w:type="character" w:customStyle="1" w:styleId="NoSpacingChar">
    <w:name w:val="No Spacing Char"/>
    <w:basedOn w:val="DefaultParagraphFont"/>
    <w:link w:val="NoSpacing"/>
    <w:uiPriority w:val="99"/>
    <w:locked/>
    <w:rsid w:val="005A626E"/>
    <w:rPr>
      <w:rFonts w:cs="Times New Roman"/>
      <w:sz w:val="22"/>
      <w:szCs w:val="22"/>
      <w:lang w:val="nl-NL" w:eastAsia="en-US"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yperlink" Target="https://www.cia.gov/library/publications/the-world-factbook/geos/br.html" TargetMode="Externa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www.bcb.gov.br/?english"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hyperlink" Target="http://www.previdencia.gov.br/arquivos/office/3_090625-100357-970.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hyperlink" Target="http://www.imf.org/external/index.htm" TargetMode="Externa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hyperlink" Target="http://finance.yahoo.com/q/hp?s=%5EBVSP&amp;a=00&amp;b=01&amp;c=1999&amp;d=06&amp;e=24&amp;f=2009&amp;g=m"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hyperlink" Target="http://www.ers.usda.gov/Data/Macroeconomics/" TargetMode="External"/><Relationship Id="rId30" Type="http://schemas.openxmlformats.org/officeDocument/2006/relationships/hyperlink" Target="http://esa.un.org/unpp/index.asp?panel=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59</Pages>
  <Words>20260</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Analysis of the Brazilian pension system:</dc:title>
  <dc:subject/>
  <dc:creator>Joyce van Tol</dc:creator>
  <cp:keywords/>
  <dc:description/>
  <cp:lastModifiedBy>Milky Viola Gonzalez</cp:lastModifiedBy>
  <cp:revision>2</cp:revision>
  <dcterms:created xsi:type="dcterms:W3CDTF">2009-08-14T09:34:00Z</dcterms:created>
  <dcterms:modified xsi:type="dcterms:W3CDTF">2009-08-14T09:34:00Z</dcterms:modified>
</cp:coreProperties>
</file>