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footer9.xml" ContentType="application/vnd.openxmlformats-officedocument.wordprocessingml.footer+xml"/>
  <Override PartName="/word/header16.xml" ContentType="application/vnd.openxmlformats-officedocument.wordprocessingml.header+xml"/>
  <Override PartName="/word/footer7.xml" ContentType="application/vnd.openxmlformats-officedocument.wordprocessingml.footer+xml"/>
  <Default Extension="wmf" ContentType="image/x-wmf"/>
  <Override PartName="/word/header14.xml" ContentType="application/vnd.openxmlformats-officedocument.wordprocessingml.head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21.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20.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Default Extension="png" ContentType="image/png"/>
  <Default Extension="bin" ContentType="application/vnd.openxmlformats-officedocument.oleObject"/>
  <Override PartName="/word/header19.xml" ContentType="application/vnd.openxmlformats-officedocument.wordprocessingml.header+xml"/>
  <Override PartName="/word/footer8.xml" ContentType="application/vnd.openxmlformats-officedocument.wordprocessingml.footer+xml"/>
  <Override PartName="/word/header17.xml" ContentType="application/vnd.openxmlformats-officedocument.wordprocessingml.header+xml"/>
  <Override PartName="/word/footer6.xml" ContentType="application/vnd.openxmlformats-officedocument.wordprocessingml.footer+xml"/>
  <Override PartName="/word/header15.xml" ContentType="application/vnd.openxmlformats-officedocument.wordprocessingml.header+xml"/>
  <Override PartName="/word/footer18.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left w:w="170" w:type="dxa"/>
          <w:right w:w="170" w:type="dxa"/>
        </w:tblCellMar>
        <w:tblLook w:val="00A0"/>
      </w:tblPr>
      <w:tblGrid>
        <w:gridCol w:w="6266"/>
        <w:gridCol w:w="3286"/>
      </w:tblGrid>
      <w:tr w:rsidR="001C7C52" w:rsidRPr="00802C03" w:rsidTr="002E2E49">
        <w:trPr>
          <w:trHeight w:val="423"/>
        </w:trPr>
        <w:tc>
          <w:tcPr>
            <w:tcW w:w="6266" w:type="dxa"/>
          </w:tcPr>
          <w:p w:rsidR="001C7C52" w:rsidRPr="002E2E49" w:rsidRDefault="001C7C52" w:rsidP="002E2E49">
            <w:pPr>
              <w:spacing w:line="360" w:lineRule="atLeast"/>
              <w:jc w:val="right"/>
              <w:rPr>
                <w:rFonts w:ascii="Garamond" w:hAnsi="Garamond" w:cs="NimbusRomNo9L-Regu"/>
                <w:b/>
                <w:sz w:val="18"/>
                <w:szCs w:val="18"/>
                <w:lang w:val="en-GB" w:eastAsia="nl-NL"/>
              </w:rPr>
            </w:pPr>
            <w:r>
              <w:rPr>
                <w:noProof/>
                <w:lang w:val="en-US"/>
              </w:rPr>
              <w:pict>
                <v:rect id="_x0000_s1030" style="position:absolute;left:0;text-align:left;margin-left:303.65pt;margin-top:-74.2pt;width:244.65pt;height:284.5pt;z-index:-251657728" stroked="f">
                  <v:fill color2="#f2f2f2" rotate="t" angle="-90" type="gradient"/>
                </v:rect>
              </w:pict>
            </w:r>
            <w:r>
              <w:rPr>
                <w:noProof/>
                <w:lang w:val="en-US"/>
              </w:rPr>
              <w:pict>
                <v:shapetype id="_x0000_t32" coordsize="21600,21600" o:spt="32" o:oned="t" path="m,l21600,21600e" filled="f">
                  <v:path arrowok="t" fillok="f" o:connecttype="none"/>
                  <o:lock v:ext="edit" shapetype="t"/>
                </v:shapetype>
                <v:shape id="_x0000_s1031" type="#_x0000_t32" style="position:absolute;left:0;text-align:left;margin-left:303.5pt;margin-top:-74.2pt;width:0;height:284.5pt;z-index:251659776" o:connectortype="straight" strokeweight=".5pt"/>
              </w:pict>
            </w:r>
            <w:r w:rsidRPr="002E2E49">
              <w:rPr>
                <w:rFonts w:ascii="Garamond" w:hAnsi="Garamond" w:cs="NimbusRomNo9L-Regu"/>
                <w:b/>
                <w:szCs w:val="22"/>
                <w:lang w:val="en-GB" w:eastAsia="nl-NL"/>
              </w:rPr>
              <w:t>Y</w:t>
            </w:r>
            <w:r w:rsidRPr="002E2E49">
              <w:rPr>
                <w:rFonts w:ascii="Garamond" w:hAnsi="Garamond" w:cs="NimbusRomNo9L-Regu"/>
                <w:b/>
                <w:sz w:val="18"/>
                <w:szCs w:val="18"/>
                <w:lang w:val="en-GB" w:eastAsia="nl-NL"/>
              </w:rPr>
              <w:t>ANNICK</w:t>
            </w:r>
            <w:r w:rsidRPr="002E2E49">
              <w:rPr>
                <w:rFonts w:ascii="Garamond" w:hAnsi="Garamond" w:cs="NimbusRomNo9L-Regu"/>
                <w:b/>
                <w:szCs w:val="22"/>
                <w:lang w:val="en-GB" w:eastAsia="nl-NL"/>
              </w:rPr>
              <w:t xml:space="preserve"> </w:t>
            </w:r>
            <w:r w:rsidRPr="002E2E49">
              <w:rPr>
                <w:rFonts w:ascii="Garamond" w:hAnsi="Garamond" w:cs="NimbusRomNo9L-Regu"/>
                <w:b/>
                <w:sz w:val="18"/>
                <w:szCs w:val="18"/>
                <w:lang w:val="en-GB" w:eastAsia="nl-NL"/>
              </w:rPr>
              <w:t>VAN</w:t>
            </w:r>
            <w:r w:rsidRPr="002E2E49">
              <w:rPr>
                <w:rFonts w:ascii="Garamond" w:hAnsi="Garamond" w:cs="NimbusRomNo9L-Regu"/>
                <w:b/>
                <w:szCs w:val="22"/>
                <w:lang w:val="en-GB" w:eastAsia="nl-NL"/>
              </w:rPr>
              <w:t xml:space="preserve"> </w:t>
            </w:r>
            <w:r w:rsidRPr="002E2E49">
              <w:rPr>
                <w:rFonts w:ascii="Garamond" w:hAnsi="Garamond" w:cs="NimbusRomNo9L-Regu"/>
                <w:b/>
                <w:sz w:val="18"/>
                <w:szCs w:val="18"/>
                <w:lang w:val="en-GB" w:eastAsia="nl-NL"/>
              </w:rPr>
              <w:t>DER</w:t>
            </w:r>
            <w:r w:rsidRPr="002E2E49">
              <w:rPr>
                <w:rFonts w:ascii="Garamond" w:hAnsi="Garamond" w:cs="NimbusRomNo9L-Regu"/>
                <w:b/>
                <w:szCs w:val="22"/>
                <w:lang w:val="en-GB" w:eastAsia="nl-NL"/>
              </w:rPr>
              <w:t xml:space="preserve"> S</w:t>
            </w:r>
            <w:r w:rsidRPr="002E2E49">
              <w:rPr>
                <w:rFonts w:ascii="Garamond" w:hAnsi="Garamond" w:cs="NimbusRomNo9L-Regu"/>
                <w:b/>
                <w:sz w:val="18"/>
                <w:szCs w:val="18"/>
                <w:lang w:val="en-GB" w:eastAsia="nl-NL"/>
              </w:rPr>
              <w:t>TEL</w:t>
            </w:r>
          </w:p>
          <w:p w:rsidR="001C7C52" w:rsidRPr="002E2E49" w:rsidRDefault="001C7C52" w:rsidP="002E2E49">
            <w:pPr>
              <w:spacing w:line="360" w:lineRule="atLeast"/>
              <w:jc w:val="center"/>
              <w:rPr>
                <w:rFonts w:ascii="Garamond" w:hAnsi="Garamond" w:cs="NimbusRomNo9L-Regu"/>
                <w:i/>
                <w:lang w:val="en-GB" w:eastAsia="nl-NL"/>
              </w:rPr>
            </w:pPr>
          </w:p>
          <w:p w:rsidR="001C7C52" w:rsidRPr="002E2E49" w:rsidRDefault="001C7C52" w:rsidP="002E2E49">
            <w:pPr>
              <w:spacing w:line="360" w:lineRule="atLeast"/>
              <w:jc w:val="center"/>
              <w:rPr>
                <w:rFonts w:ascii="Garamond" w:hAnsi="Garamond" w:cs="NimbusRomNo9L-Regu"/>
                <w:i/>
                <w:lang w:val="en-GB" w:eastAsia="nl-NL"/>
              </w:rPr>
            </w:pPr>
          </w:p>
        </w:tc>
        <w:tc>
          <w:tcPr>
            <w:tcW w:w="3286" w:type="dxa"/>
          </w:tcPr>
          <w:p w:rsidR="001C7C52" w:rsidRPr="002E2E49" w:rsidRDefault="001C7C52" w:rsidP="002E2E49">
            <w:pPr>
              <w:spacing w:line="360" w:lineRule="atLeast"/>
              <w:jc w:val="center"/>
              <w:rPr>
                <w:rFonts w:ascii="Garamond" w:hAnsi="Garamond" w:cs="NimbusRomNo9L-Regu"/>
                <w:i/>
                <w:lang w:val="en-GB" w:eastAsia="nl-NL"/>
              </w:rPr>
            </w:pPr>
          </w:p>
        </w:tc>
      </w:tr>
      <w:tr w:rsidR="001C7C52" w:rsidRPr="00802C03" w:rsidTr="002E2E49">
        <w:trPr>
          <w:trHeight w:val="1281"/>
        </w:trPr>
        <w:tc>
          <w:tcPr>
            <w:tcW w:w="6266" w:type="dxa"/>
          </w:tcPr>
          <w:p w:rsidR="001C7C52" w:rsidRPr="002E2E49" w:rsidRDefault="001C7C52" w:rsidP="002E2E49">
            <w:pPr>
              <w:spacing w:line="280" w:lineRule="atLeast"/>
              <w:jc w:val="right"/>
              <w:rPr>
                <w:rFonts w:ascii="Garamond" w:hAnsi="Garamond" w:cs="NimbusRomNo9L-Regu"/>
                <w:b/>
                <w:noProof/>
                <w:sz w:val="40"/>
                <w:szCs w:val="40"/>
                <w:lang w:val="en-GB" w:eastAsia="nl-NL"/>
              </w:rPr>
            </w:pPr>
          </w:p>
          <w:p w:rsidR="001C7C52" w:rsidRPr="002E2E49" w:rsidRDefault="001C7C52" w:rsidP="002E2E49">
            <w:pPr>
              <w:spacing w:line="280" w:lineRule="atLeast"/>
              <w:jc w:val="right"/>
              <w:rPr>
                <w:rFonts w:ascii="Garamond" w:hAnsi="Garamond" w:cs="NimbusRomNo9L-Regu"/>
                <w:b/>
                <w:noProof/>
                <w:sz w:val="40"/>
                <w:szCs w:val="40"/>
                <w:lang w:val="en-GB" w:eastAsia="nl-NL"/>
              </w:rPr>
            </w:pPr>
          </w:p>
          <w:p w:rsidR="001C7C52" w:rsidRPr="002E2E49" w:rsidRDefault="001C7C52" w:rsidP="002E2E49">
            <w:pPr>
              <w:spacing w:line="280" w:lineRule="atLeast"/>
              <w:jc w:val="right"/>
              <w:rPr>
                <w:rFonts w:ascii="Garamond" w:hAnsi="Garamond" w:cs="NimbusRomNo9L-Regu"/>
                <w:b/>
                <w:noProof/>
                <w:sz w:val="40"/>
                <w:szCs w:val="40"/>
                <w:lang w:val="en-GB" w:eastAsia="nl-NL"/>
              </w:rPr>
            </w:pPr>
          </w:p>
          <w:p w:rsidR="001C7C52" w:rsidRPr="002E2E49" w:rsidRDefault="001C7C52" w:rsidP="002E2E49">
            <w:pPr>
              <w:spacing w:line="280" w:lineRule="atLeast"/>
              <w:jc w:val="right"/>
              <w:rPr>
                <w:rFonts w:ascii="Garamond" w:hAnsi="Garamond" w:cs="NimbusRomNo9L-Regu"/>
                <w:b/>
                <w:noProof/>
                <w:sz w:val="40"/>
                <w:szCs w:val="40"/>
                <w:lang w:val="en-GB" w:eastAsia="nl-NL"/>
              </w:rPr>
            </w:pPr>
          </w:p>
          <w:p w:rsidR="001C7C52" w:rsidRPr="002E2E49" w:rsidRDefault="001C7C52" w:rsidP="002E2E49">
            <w:pPr>
              <w:spacing w:line="280" w:lineRule="atLeast"/>
              <w:jc w:val="right"/>
              <w:rPr>
                <w:rFonts w:ascii="Garamond" w:hAnsi="Garamond" w:cs="NimbusRomNo9L-Regu"/>
                <w:b/>
                <w:noProof/>
                <w:sz w:val="40"/>
                <w:szCs w:val="40"/>
                <w:lang w:val="en-GB" w:eastAsia="nl-NL"/>
              </w:rPr>
            </w:pPr>
          </w:p>
          <w:p w:rsidR="001C7C52" w:rsidRPr="002E2E49" w:rsidRDefault="001C7C52" w:rsidP="002E2E49">
            <w:pPr>
              <w:spacing w:line="280" w:lineRule="atLeast"/>
              <w:jc w:val="right"/>
              <w:rPr>
                <w:rFonts w:ascii="Garamond" w:hAnsi="Garamond" w:cs="NimbusRomNo9L-Regu"/>
                <w:b/>
                <w:noProof/>
                <w:sz w:val="40"/>
                <w:szCs w:val="40"/>
                <w:lang w:val="en-GB" w:eastAsia="nl-NL"/>
              </w:rPr>
            </w:pPr>
          </w:p>
          <w:p w:rsidR="001C7C52" w:rsidRPr="002E2E49" w:rsidRDefault="001C7C52" w:rsidP="002E2E49">
            <w:pPr>
              <w:spacing w:line="280" w:lineRule="atLeast"/>
              <w:jc w:val="center"/>
              <w:rPr>
                <w:rFonts w:ascii="Garamond" w:hAnsi="Garamond" w:cs="NimbusRomNo9L-Regu"/>
                <w:b/>
                <w:noProof/>
                <w:sz w:val="40"/>
                <w:szCs w:val="40"/>
                <w:lang w:val="en-GB" w:eastAsia="nl-NL"/>
              </w:rPr>
            </w:pPr>
            <w:r>
              <w:rPr>
                <w:noProof/>
                <w:lang w:val="en-US"/>
              </w:rPr>
              <w:pict>
                <v:shape id="_x0000_s1032" type="#_x0000_t32" style="position:absolute;left:0;text-align:left;margin-left:303.5pt;margin-top:21.3pt;width:244.65pt;height:.05pt;z-index:251657728" o:connectortype="straight" strokeweight=".5pt"/>
              </w:pict>
            </w:r>
          </w:p>
        </w:tc>
        <w:tc>
          <w:tcPr>
            <w:tcW w:w="3286" w:type="dxa"/>
          </w:tcPr>
          <w:p w:rsidR="001C7C52" w:rsidRPr="002E2E49" w:rsidRDefault="001C7C52" w:rsidP="002E2E49">
            <w:pPr>
              <w:spacing w:before="120" w:line="280" w:lineRule="exact"/>
              <w:jc w:val="center"/>
              <w:rPr>
                <w:rFonts w:ascii="Garamond" w:hAnsi="Garamond" w:cs="NimbusRomNo9L-Regu"/>
                <w:b/>
                <w:szCs w:val="22"/>
                <w:lang w:val="en-GB" w:eastAsia="nl-NL"/>
              </w:rPr>
            </w:pPr>
          </w:p>
        </w:tc>
      </w:tr>
      <w:tr w:rsidR="001C7C52" w:rsidRPr="00802C03" w:rsidTr="002E2E49">
        <w:trPr>
          <w:trHeight w:val="850"/>
        </w:trPr>
        <w:tc>
          <w:tcPr>
            <w:tcW w:w="9552" w:type="dxa"/>
            <w:gridSpan w:val="2"/>
          </w:tcPr>
          <w:p w:rsidR="001C7C52" w:rsidRPr="002E2E49" w:rsidRDefault="001C7C52" w:rsidP="002E2E49">
            <w:pPr>
              <w:spacing w:line="780" w:lineRule="atLeast"/>
              <w:jc w:val="center"/>
              <w:rPr>
                <w:rFonts w:ascii="Garamond" w:hAnsi="Garamond" w:cs="NimbusRomNo9L-Regu"/>
                <w:i/>
                <w:sz w:val="52"/>
                <w:szCs w:val="52"/>
                <w:lang w:val="en-GB" w:eastAsia="nl-NL"/>
              </w:rPr>
            </w:pPr>
            <w:r>
              <w:rPr>
                <w:noProof/>
                <w:lang w:val="en-US"/>
              </w:rPr>
              <w:pict>
                <v:rect id="_x0000_s1033" style="position:absolute;left:0;text-align:left;margin-left:303.5pt;margin-top:42.25pt;width:244.65pt;height:549.5pt;z-index:-251660800;mso-position-horizontal-relative:text;mso-position-vertical-relative:text" stroked="f">
                  <v:fill color2="#f2f2f2" rotate="t" angle="-90" type="gradient"/>
                </v:rect>
              </w:pict>
            </w:r>
            <w:r>
              <w:rPr>
                <w:noProof/>
                <w:lang w:val="en-US"/>
              </w:rPr>
              <w:pict>
                <v:shape id="_x0000_s1034" type="#_x0000_t32" style="position:absolute;left:0;text-align:left;margin-left:303.5pt;margin-top:42.25pt;width:0;height:466.55pt;z-index:251656704;mso-position-horizontal-relative:text;mso-position-vertical-relative:text" o:connectortype="straight" strokeweight=".5pt"/>
              </w:pict>
            </w:r>
            <w:r>
              <w:rPr>
                <w:noProof/>
                <w:lang w:val="en-US"/>
              </w:rPr>
              <w:pict>
                <v:shape id="_x0000_s1035" type="#_x0000_t32" style="position:absolute;left:0;text-align:left;margin-left:303.5pt;margin-top:42.2pt;width:244.65pt;height:.05pt;z-index:251660800;mso-position-horizontal-relative:text;mso-position-vertical-relative:text" o:connectortype="straight" strokeweight=".5pt"/>
              </w:pict>
            </w:r>
            <w:r w:rsidRPr="002E2E49">
              <w:rPr>
                <w:rFonts w:ascii="Garamond" w:hAnsi="Garamond" w:cs="NimbusRomNo9L-Regu"/>
                <w:b/>
                <w:sz w:val="64"/>
                <w:szCs w:val="64"/>
                <w:lang w:val="en-GB" w:eastAsia="nl-NL"/>
              </w:rPr>
              <w:t>T</w:t>
            </w:r>
            <w:r w:rsidRPr="002E2E49">
              <w:rPr>
                <w:rFonts w:ascii="Garamond" w:hAnsi="Garamond" w:cs="NimbusRomNo9L-Regu"/>
                <w:b/>
                <w:sz w:val="52"/>
                <w:szCs w:val="52"/>
                <w:lang w:val="en-GB" w:eastAsia="nl-NL"/>
              </w:rPr>
              <w:t xml:space="preserve">HE </w:t>
            </w:r>
            <w:r w:rsidRPr="002E2E49">
              <w:rPr>
                <w:rFonts w:ascii="Garamond" w:hAnsi="Garamond" w:cs="NimbusRomNo9L-Regu"/>
                <w:b/>
                <w:sz w:val="64"/>
                <w:szCs w:val="64"/>
                <w:lang w:val="en-GB" w:eastAsia="nl-NL"/>
              </w:rPr>
              <w:t>I</w:t>
            </w:r>
            <w:r w:rsidRPr="002E2E49">
              <w:rPr>
                <w:rFonts w:ascii="Garamond" w:hAnsi="Garamond" w:cs="NimbusRomNo9L-Regu"/>
                <w:b/>
                <w:sz w:val="52"/>
                <w:szCs w:val="52"/>
                <w:lang w:val="en-GB" w:eastAsia="nl-NL"/>
              </w:rPr>
              <w:t xml:space="preserve">NCREMENTAL </w:t>
            </w:r>
            <w:r w:rsidRPr="002E2E49">
              <w:rPr>
                <w:rFonts w:ascii="Garamond" w:hAnsi="Garamond" w:cs="NimbusRomNo9L-Regu"/>
                <w:b/>
                <w:sz w:val="64"/>
                <w:szCs w:val="64"/>
                <w:lang w:val="en-GB" w:eastAsia="nl-NL"/>
              </w:rPr>
              <w:t>R</w:t>
            </w:r>
            <w:r w:rsidRPr="002E2E49">
              <w:rPr>
                <w:rFonts w:ascii="Garamond" w:hAnsi="Garamond" w:cs="NimbusRomNo9L-Regu"/>
                <w:b/>
                <w:sz w:val="52"/>
                <w:szCs w:val="52"/>
                <w:lang w:val="en-GB" w:eastAsia="nl-NL"/>
              </w:rPr>
              <w:t xml:space="preserve">ISK </w:t>
            </w:r>
            <w:r w:rsidRPr="002E2E49">
              <w:rPr>
                <w:rFonts w:ascii="Garamond" w:hAnsi="Garamond" w:cs="NimbusRomNo9L-Regu"/>
                <w:b/>
                <w:sz w:val="64"/>
                <w:szCs w:val="64"/>
                <w:lang w:val="en-GB" w:eastAsia="nl-NL"/>
              </w:rPr>
              <w:t>M</w:t>
            </w:r>
            <w:r w:rsidRPr="002E2E49">
              <w:rPr>
                <w:rFonts w:ascii="Garamond" w:hAnsi="Garamond" w:cs="NimbusRomNo9L-Regu"/>
                <w:b/>
                <w:sz w:val="52"/>
                <w:szCs w:val="52"/>
                <w:lang w:val="en-GB" w:eastAsia="nl-NL"/>
              </w:rPr>
              <w:t>ODEL</w:t>
            </w:r>
          </w:p>
        </w:tc>
      </w:tr>
      <w:tr w:rsidR="001C7C52" w:rsidRPr="00802C03" w:rsidTr="002E2E49">
        <w:trPr>
          <w:trHeight w:val="4675"/>
        </w:trPr>
        <w:tc>
          <w:tcPr>
            <w:tcW w:w="6266" w:type="dxa"/>
          </w:tcPr>
          <w:p w:rsidR="001C7C52" w:rsidRPr="002E2E49" w:rsidRDefault="001C7C52" w:rsidP="002E2E49">
            <w:pPr>
              <w:spacing w:line="400" w:lineRule="atLeast"/>
              <w:jc w:val="right"/>
              <w:rPr>
                <w:rFonts w:ascii="Garamond" w:hAnsi="Garamond" w:cs="NimbusRomNo9L-Regu"/>
                <w:i/>
                <w:sz w:val="28"/>
                <w:szCs w:val="28"/>
                <w:lang w:val="en-GB" w:eastAsia="nl-NL"/>
              </w:rPr>
            </w:pPr>
          </w:p>
          <w:p w:rsidR="001C7C52" w:rsidRPr="002E2E49" w:rsidRDefault="001C7C52" w:rsidP="002E2E49">
            <w:pPr>
              <w:spacing w:line="400" w:lineRule="atLeast"/>
              <w:jc w:val="right"/>
              <w:rPr>
                <w:rFonts w:ascii="Garamond" w:hAnsi="Garamond" w:cs="NimbusRomNo9L-Regu"/>
                <w:i/>
                <w:sz w:val="28"/>
                <w:szCs w:val="28"/>
                <w:lang w:val="en-GB" w:eastAsia="nl-NL"/>
              </w:rPr>
            </w:pPr>
          </w:p>
          <w:p w:rsidR="001C7C52" w:rsidRPr="002E2E49" w:rsidRDefault="001C7C52" w:rsidP="002E2E49">
            <w:pPr>
              <w:spacing w:line="400" w:lineRule="atLeast"/>
              <w:jc w:val="right"/>
              <w:rPr>
                <w:rFonts w:ascii="Garamond" w:hAnsi="Garamond" w:cs="NimbusRomNo9L-Regu"/>
                <w:i/>
                <w:sz w:val="28"/>
                <w:szCs w:val="28"/>
                <w:lang w:val="en-GB" w:eastAsia="nl-NL"/>
              </w:rPr>
            </w:pPr>
            <w:r w:rsidRPr="002E2E49">
              <w:rPr>
                <w:rFonts w:ascii="Garamond" w:hAnsi="Garamond" w:cs="NimbusRomNo9L-Regu"/>
                <w:i/>
                <w:sz w:val="28"/>
                <w:szCs w:val="28"/>
                <w:lang w:val="en-GB" w:eastAsia="nl-NL"/>
              </w:rPr>
              <w:t>An Assessment of Alternative Inputs and Assumptions</w:t>
            </w:r>
          </w:p>
          <w:p w:rsidR="001C7C52" w:rsidRPr="002E2E49" w:rsidRDefault="001C7C52" w:rsidP="002E2E49">
            <w:pPr>
              <w:spacing w:line="400" w:lineRule="atLeast"/>
              <w:jc w:val="right"/>
              <w:rPr>
                <w:i/>
                <w:sz w:val="28"/>
                <w:szCs w:val="28"/>
                <w:lang w:val="en-GB"/>
              </w:rPr>
            </w:pPr>
            <w:r w:rsidRPr="002E2E49">
              <w:rPr>
                <w:rFonts w:ascii="Garamond" w:hAnsi="Garamond" w:cs="NimbusRomNo9L-Regu"/>
                <w:i/>
                <w:sz w:val="28"/>
                <w:szCs w:val="28"/>
                <w:lang w:val="en-GB" w:eastAsia="nl-NL"/>
              </w:rPr>
              <w:t xml:space="preserve"> in a Multi-Period Setting</w:t>
            </w: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p>
          <w:p w:rsidR="001C7C52" w:rsidRPr="002E2E49" w:rsidRDefault="001C7C52" w:rsidP="002E2E49">
            <w:pPr>
              <w:spacing w:line="280" w:lineRule="atLeast"/>
              <w:jc w:val="right"/>
              <w:rPr>
                <w:rFonts w:ascii="Garamond" w:hAnsi="Garamond" w:cs="NimbusRomNo9L-Regu"/>
                <w:b/>
                <w:sz w:val="40"/>
                <w:szCs w:val="40"/>
                <w:lang w:val="en-GB" w:eastAsia="nl-NL"/>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8" o:spid="_x0000_s1036" type="#_x0000_t75" alt="Ernst&amp;Young.bmp" style="position:absolute;left:0;text-align:left;margin-left:12.5pt;margin-top:1.6pt;width:111.6pt;height:11.05pt;z-index:251653632;visibility:visible">
                  <v:imagedata r:id="rId7" o:title=""/>
                </v:shape>
              </w:pict>
            </w:r>
          </w:p>
          <w:p w:rsidR="001C7C52" w:rsidRPr="002E2E49" w:rsidRDefault="001C7C52" w:rsidP="002E2E49">
            <w:pPr>
              <w:spacing w:line="280" w:lineRule="atLeast"/>
              <w:jc w:val="right"/>
              <w:rPr>
                <w:rFonts w:ascii="Garamond" w:hAnsi="Garamond" w:cs="NimbusRomNo9L-Regu"/>
                <w:sz w:val="24"/>
                <w:szCs w:val="24"/>
                <w:lang w:val="en-GB" w:eastAsia="nl-NL"/>
              </w:rPr>
            </w:pPr>
            <w:r>
              <w:rPr>
                <w:noProof/>
                <w:lang w:val="en-US"/>
              </w:rPr>
              <w:pict>
                <v:shape id="Afbeelding 9" o:spid="_x0000_s1037" type="#_x0000_t75" alt="EUR-Black.bmp" style="position:absolute;left:0;text-align:left;margin-left:-.8pt;margin-top:6.05pt;width:135.45pt;height:33.15pt;z-index:251654656;visibility:visible">
                  <v:imagedata r:id="rId8" o:title=""/>
                </v:shape>
              </w:pict>
            </w:r>
          </w:p>
          <w:p w:rsidR="001C7C52" w:rsidRPr="002E2E49" w:rsidRDefault="001C7C52" w:rsidP="002E2E49">
            <w:pPr>
              <w:spacing w:line="280" w:lineRule="atLeast"/>
              <w:jc w:val="right"/>
              <w:rPr>
                <w:rFonts w:ascii="Garamond" w:hAnsi="Garamond" w:cs="NimbusRomNo9L-Regu"/>
                <w:sz w:val="24"/>
                <w:szCs w:val="24"/>
                <w:lang w:val="en-GB" w:eastAsia="nl-NL"/>
              </w:rPr>
            </w:pPr>
            <w:r>
              <w:rPr>
                <w:noProof/>
                <w:lang w:val="en-US"/>
              </w:rPr>
              <w:pict>
                <v:shape id="_x0000_s1038" type="#_x0000_t32" style="position:absolute;left:0;text-align:left;margin-left:-85.1pt;margin-top:34.8pt;width:388.6pt;height:0;z-index:251663872" o:connectortype="straight" strokeweight=".5pt"/>
              </w:pict>
            </w:r>
            <w:r>
              <w:rPr>
                <w:noProof/>
                <w:lang w:val="en-US"/>
              </w:rPr>
              <w:pict>
                <v:rect id="_x0000_s1039" style="position:absolute;left:0;text-align:left;margin-left:-84.95pt;margin-top:34.8pt;width:388.6pt;height:82.95pt;z-index:-251653632" fillcolor="#f2f2f2" stroked="f"/>
              </w:pict>
            </w:r>
          </w:p>
        </w:tc>
        <w:tc>
          <w:tcPr>
            <w:tcW w:w="3286" w:type="dxa"/>
          </w:tcPr>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center"/>
              <w:rPr>
                <w:rFonts w:ascii="Garamond" w:hAnsi="Garamond" w:cs="NimbusRomNo9L-Regu"/>
                <w:i/>
                <w:lang w:val="en-GB" w:eastAsia="nl-NL"/>
              </w:rPr>
            </w:pPr>
          </w:p>
          <w:p w:rsidR="001C7C52" w:rsidRPr="002E2E49" w:rsidRDefault="001C7C52" w:rsidP="002E2E49">
            <w:pPr>
              <w:spacing w:line="280" w:lineRule="atLeast"/>
              <w:jc w:val="center"/>
              <w:rPr>
                <w:rFonts w:ascii="Garamond" w:hAnsi="Garamond" w:cs="NimbusRomNo9L-Regu"/>
                <w:b/>
                <w:szCs w:val="22"/>
                <w:lang w:val="en-GB" w:eastAsia="nl-NL"/>
              </w:rPr>
            </w:pPr>
          </w:p>
          <w:p w:rsidR="001C7C52" w:rsidRPr="002E2E49" w:rsidRDefault="001C7C52" w:rsidP="002E2E49">
            <w:pPr>
              <w:spacing w:line="280" w:lineRule="atLeast"/>
              <w:jc w:val="center"/>
              <w:rPr>
                <w:rFonts w:ascii="Garamond" w:hAnsi="Garamond" w:cs="NimbusRomNo9L-Regu"/>
                <w:i/>
                <w:lang w:val="en-GB" w:eastAsia="nl-NL"/>
              </w:rPr>
            </w:pPr>
          </w:p>
        </w:tc>
      </w:tr>
    </w:tbl>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pPr>
    </w:p>
    <w:p w:rsidR="001C7C52" w:rsidRPr="00802C03" w:rsidRDefault="001C7C52" w:rsidP="002742DC">
      <w:pPr>
        <w:spacing w:line="280" w:lineRule="exact"/>
        <w:jc w:val="center"/>
        <w:rPr>
          <w:rFonts w:ascii="Garamond" w:hAnsi="Garamond" w:cs="NimbusRomNo9L-Regu"/>
          <w:szCs w:val="22"/>
          <w:lang w:val="en-GB" w:eastAsia="nl-NL"/>
        </w:rPr>
        <w:sectPr w:rsidR="001C7C52" w:rsidRPr="00802C03" w:rsidSect="00D115B4">
          <w:footerReference w:type="even" r:id="rId9"/>
          <w:footerReference w:type="default" r:id="rId10"/>
          <w:footnotePr>
            <w:numFmt w:val="chicago"/>
          </w:footnotePr>
          <w:type w:val="continuous"/>
          <w:pgSz w:w="11906" w:h="16838"/>
          <w:pgMar w:top="1247" w:right="1247" w:bottom="1247" w:left="1247" w:header="907" w:footer="567" w:gutter="0"/>
          <w:pgNumType w:fmt="lowerRoman"/>
          <w:cols w:space="708"/>
          <w:titlePg/>
          <w:docGrid w:linePitch="360"/>
        </w:sectPr>
      </w:pPr>
    </w:p>
    <w:p w:rsidR="001C7C52" w:rsidRPr="00802C03" w:rsidRDefault="001C7C52" w:rsidP="002742DC">
      <w:pPr>
        <w:jc w:val="center"/>
        <w:rPr>
          <w:rFonts w:ascii="Garamond" w:hAnsi="Garamond" w:cs="NimbusRomNo9L-Regu"/>
          <w:b/>
          <w:szCs w:val="22"/>
          <w:lang w:val="en-GB" w:eastAsia="nl-NL"/>
        </w:rPr>
      </w:pPr>
      <w:r w:rsidRPr="00802C03">
        <w:rPr>
          <w:rFonts w:ascii="Garamond" w:hAnsi="Garamond" w:cs="NimbusRomNo9L-Regu"/>
          <w:b/>
          <w:szCs w:val="22"/>
          <w:lang w:val="en-GB" w:eastAsia="nl-NL"/>
        </w:rPr>
        <w:t>THE INCREMENTAL RISK MODEL</w:t>
      </w:r>
    </w:p>
    <w:p w:rsidR="001C7C52" w:rsidRPr="00802C03" w:rsidRDefault="001C7C52" w:rsidP="002742DC">
      <w:pPr>
        <w:spacing w:before="120"/>
        <w:jc w:val="center"/>
        <w:rPr>
          <w:rFonts w:ascii="Garamond" w:hAnsi="Garamond" w:cs="NimbusRomNo9L-Regu"/>
          <w:b/>
          <w:szCs w:val="22"/>
          <w:lang w:val="en-GB" w:eastAsia="nl-NL"/>
        </w:rPr>
      </w:pPr>
      <w:r>
        <w:rPr>
          <w:noProof/>
          <w:lang w:val="en-US"/>
        </w:rPr>
        <w:pict>
          <v:shape id="_x0000_s1044" type="#_x0000_t32" style="position:absolute;left:0;text-align:left;margin-left:142.9pt;margin-top:3.45pt;width:185.65pt;height:0;z-index:251661824" o:connectortype="straight" strokeweight=".5pt"/>
        </w:pict>
      </w:r>
      <w:r w:rsidRPr="00802C03">
        <w:rPr>
          <w:rFonts w:ascii="Garamond" w:hAnsi="Garamond" w:cs="NimbusRomNo9L-Regu"/>
          <w:b/>
          <w:szCs w:val="22"/>
          <w:lang w:val="en-GB" w:eastAsia="nl-NL"/>
        </w:rPr>
        <w:t>A</w:t>
      </w:r>
      <w:r w:rsidRPr="00802C03">
        <w:rPr>
          <w:rFonts w:ascii="Garamond" w:hAnsi="Garamond" w:cs="NimbusRomNo9L-Regu"/>
          <w:b/>
          <w:sz w:val="18"/>
          <w:szCs w:val="18"/>
          <w:lang w:val="en-GB" w:eastAsia="nl-NL"/>
        </w:rPr>
        <w:t>N</w:t>
      </w:r>
      <w:r w:rsidRPr="00802C03">
        <w:rPr>
          <w:rFonts w:ascii="Garamond" w:hAnsi="Garamond" w:cs="NimbusRomNo9L-Regu"/>
          <w:b/>
          <w:szCs w:val="22"/>
          <w:lang w:val="en-GB" w:eastAsia="nl-NL"/>
        </w:rPr>
        <w:t xml:space="preserve"> A</w:t>
      </w:r>
      <w:r w:rsidRPr="00802C03">
        <w:rPr>
          <w:rFonts w:ascii="Garamond" w:hAnsi="Garamond" w:cs="NimbusRomNo9L-Regu"/>
          <w:b/>
          <w:sz w:val="18"/>
          <w:szCs w:val="18"/>
          <w:lang w:val="en-GB" w:eastAsia="nl-NL"/>
        </w:rPr>
        <w:t>SSESSMENT</w:t>
      </w:r>
      <w:r w:rsidRPr="00802C03">
        <w:rPr>
          <w:rFonts w:ascii="Garamond" w:hAnsi="Garamond" w:cs="NimbusRomNo9L-Regu"/>
          <w:b/>
          <w:szCs w:val="22"/>
          <w:lang w:val="en-GB" w:eastAsia="nl-NL"/>
        </w:rPr>
        <w:t xml:space="preserve"> </w:t>
      </w:r>
      <w:r w:rsidRPr="00802C03">
        <w:rPr>
          <w:rFonts w:ascii="Garamond" w:hAnsi="Garamond" w:cs="NimbusRomNo9L-Regu"/>
          <w:b/>
          <w:sz w:val="18"/>
          <w:szCs w:val="18"/>
          <w:lang w:val="en-GB" w:eastAsia="nl-NL"/>
        </w:rPr>
        <w:t>OF</w:t>
      </w:r>
      <w:r w:rsidRPr="00802C03">
        <w:rPr>
          <w:rFonts w:ascii="Garamond" w:hAnsi="Garamond" w:cs="NimbusRomNo9L-Regu"/>
          <w:b/>
          <w:szCs w:val="22"/>
          <w:lang w:val="en-GB" w:eastAsia="nl-NL"/>
        </w:rPr>
        <w:t xml:space="preserve"> A</w:t>
      </w:r>
      <w:r w:rsidRPr="00802C03">
        <w:rPr>
          <w:rFonts w:ascii="Garamond" w:hAnsi="Garamond" w:cs="NimbusRomNo9L-Regu"/>
          <w:b/>
          <w:sz w:val="18"/>
          <w:szCs w:val="18"/>
          <w:lang w:val="en-GB" w:eastAsia="nl-NL"/>
        </w:rPr>
        <w:t>LTERNATIVE</w:t>
      </w:r>
      <w:r w:rsidRPr="00802C03">
        <w:rPr>
          <w:rFonts w:ascii="Garamond" w:hAnsi="Garamond" w:cs="NimbusRomNo9L-Regu"/>
          <w:b/>
          <w:szCs w:val="22"/>
          <w:lang w:val="en-GB" w:eastAsia="nl-NL"/>
        </w:rPr>
        <w:t xml:space="preserve"> I</w:t>
      </w:r>
      <w:r w:rsidRPr="00802C03">
        <w:rPr>
          <w:rFonts w:ascii="Garamond" w:hAnsi="Garamond" w:cs="NimbusRomNo9L-Regu"/>
          <w:b/>
          <w:sz w:val="18"/>
          <w:szCs w:val="18"/>
          <w:lang w:val="en-GB" w:eastAsia="nl-NL"/>
        </w:rPr>
        <w:t>NPUTS</w:t>
      </w:r>
      <w:r w:rsidRPr="00802C03">
        <w:rPr>
          <w:rFonts w:ascii="Garamond" w:hAnsi="Garamond" w:cs="NimbusRomNo9L-Regu"/>
          <w:b/>
          <w:szCs w:val="22"/>
          <w:lang w:val="en-GB" w:eastAsia="nl-NL"/>
        </w:rPr>
        <w:t xml:space="preserve"> </w:t>
      </w:r>
      <w:r w:rsidRPr="00802C03">
        <w:rPr>
          <w:rFonts w:ascii="Garamond" w:hAnsi="Garamond" w:cs="NimbusRomNo9L-Regu"/>
          <w:b/>
          <w:sz w:val="18"/>
          <w:szCs w:val="18"/>
          <w:lang w:val="en-GB" w:eastAsia="nl-NL"/>
        </w:rPr>
        <w:t>AND</w:t>
      </w:r>
      <w:r w:rsidRPr="00802C03">
        <w:rPr>
          <w:rFonts w:ascii="Garamond" w:hAnsi="Garamond" w:cs="NimbusRomNo9L-Regu"/>
          <w:b/>
          <w:szCs w:val="22"/>
          <w:lang w:val="en-GB" w:eastAsia="nl-NL"/>
        </w:rPr>
        <w:t xml:space="preserve"> A</w:t>
      </w:r>
      <w:r w:rsidRPr="00802C03">
        <w:rPr>
          <w:rFonts w:ascii="Garamond" w:hAnsi="Garamond" w:cs="NimbusRomNo9L-Regu"/>
          <w:b/>
          <w:sz w:val="18"/>
          <w:szCs w:val="18"/>
          <w:lang w:val="en-GB" w:eastAsia="nl-NL"/>
        </w:rPr>
        <w:t>SSUMPTIONS</w:t>
      </w:r>
      <w:r w:rsidRPr="00802C03">
        <w:rPr>
          <w:rFonts w:ascii="Garamond" w:hAnsi="Garamond" w:cs="NimbusRomNo9L-Regu"/>
          <w:b/>
          <w:szCs w:val="22"/>
          <w:lang w:val="en-GB" w:eastAsia="nl-NL"/>
        </w:rPr>
        <w:t xml:space="preserve"> </w:t>
      </w:r>
      <w:r w:rsidRPr="00802C03">
        <w:rPr>
          <w:rFonts w:ascii="Garamond" w:hAnsi="Garamond" w:cs="NimbusRomNo9L-Regu"/>
          <w:b/>
          <w:sz w:val="18"/>
          <w:szCs w:val="18"/>
          <w:lang w:val="en-GB" w:eastAsia="nl-NL"/>
        </w:rPr>
        <w:t>IN</w:t>
      </w:r>
      <w:r w:rsidRPr="00802C03">
        <w:rPr>
          <w:rFonts w:ascii="Garamond" w:hAnsi="Garamond" w:cs="NimbusRomNo9L-Regu"/>
          <w:b/>
          <w:szCs w:val="22"/>
          <w:lang w:val="en-GB" w:eastAsia="nl-NL"/>
        </w:rPr>
        <w:t xml:space="preserve"> </w:t>
      </w:r>
      <w:r w:rsidRPr="00802C03">
        <w:rPr>
          <w:rFonts w:ascii="Garamond" w:hAnsi="Garamond" w:cs="NimbusRomNo9L-Regu"/>
          <w:b/>
          <w:sz w:val="18"/>
          <w:szCs w:val="18"/>
          <w:lang w:val="en-GB" w:eastAsia="nl-NL"/>
        </w:rPr>
        <w:t>A</w:t>
      </w:r>
      <w:r w:rsidRPr="00802C03">
        <w:rPr>
          <w:rFonts w:ascii="Garamond" w:hAnsi="Garamond" w:cs="NimbusRomNo9L-Regu"/>
          <w:b/>
          <w:szCs w:val="22"/>
          <w:lang w:val="en-GB" w:eastAsia="nl-NL"/>
        </w:rPr>
        <w:t xml:space="preserve"> M</w:t>
      </w:r>
      <w:r w:rsidRPr="00802C03">
        <w:rPr>
          <w:rFonts w:ascii="Garamond" w:hAnsi="Garamond" w:cs="NimbusRomNo9L-Regu"/>
          <w:b/>
          <w:sz w:val="18"/>
          <w:szCs w:val="18"/>
          <w:lang w:val="en-GB" w:eastAsia="nl-NL"/>
        </w:rPr>
        <w:t>ULTI</w:t>
      </w:r>
      <w:r w:rsidRPr="00802C03">
        <w:rPr>
          <w:rFonts w:ascii="Garamond" w:hAnsi="Garamond" w:cs="NimbusRomNo9L-Regu"/>
          <w:b/>
          <w:szCs w:val="22"/>
          <w:lang w:val="en-GB" w:eastAsia="nl-NL"/>
        </w:rPr>
        <w:t>-P</w:t>
      </w:r>
      <w:r w:rsidRPr="00802C03">
        <w:rPr>
          <w:rFonts w:ascii="Garamond" w:hAnsi="Garamond" w:cs="NimbusRomNo9L-Regu"/>
          <w:b/>
          <w:sz w:val="18"/>
          <w:szCs w:val="18"/>
          <w:lang w:val="en-GB" w:eastAsia="nl-NL"/>
        </w:rPr>
        <w:t>ERIOD</w:t>
      </w:r>
      <w:r w:rsidRPr="00802C03">
        <w:rPr>
          <w:rFonts w:ascii="Garamond" w:hAnsi="Garamond" w:cs="NimbusRomNo9L-Regu"/>
          <w:b/>
          <w:szCs w:val="22"/>
          <w:lang w:val="en-GB" w:eastAsia="nl-NL"/>
        </w:rPr>
        <w:t xml:space="preserve"> S</w:t>
      </w:r>
      <w:r w:rsidRPr="00802C03">
        <w:rPr>
          <w:rFonts w:ascii="Garamond" w:hAnsi="Garamond" w:cs="NimbusRomNo9L-Regu"/>
          <w:b/>
          <w:sz w:val="18"/>
          <w:szCs w:val="18"/>
          <w:lang w:val="en-GB" w:eastAsia="nl-NL"/>
        </w:rPr>
        <w:t>ETTING</w:t>
      </w:r>
    </w:p>
    <w:p w:rsidR="001C7C52" w:rsidRPr="00802C03" w:rsidRDefault="001C7C52" w:rsidP="00E80865">
      <w:pPr>
        <w:spacing w:line="280" w:lineRule="exact"/>
        <w:jc w:val="center"/>
        <w:rPr>
          <w:rFonts w:ascii="Garamond" w:hAnsi="Garamond"/>
          <w:b/>
          <w:sz w:val="20"/>
          <w:lang w:val="en-GB"/>
        </w:rPr>
      </w:pPr>
    </w:p>
    <w:p w:rsidR="001C7C52" w:rsidRPr="00802C03" w:rsidRDefault="001C7C52" w:rsidP="00E80865">
      <w:pPr>
        <w:spacing w:line="280" w:lineRule="exact"/>
        <w:jc w:val="center"/>
        <w:rPr>
          <w:rFonts w:ascii="Garamond" w:hAnsi="Garamond"/>
          <w:b/>
          <w:sz w:val="20"/>
          <w:lang w:val="en-GB"/>
        </w:rPr>
      </w:pPr>
    </w:p>
    <w:p w:rsidR="001C7C52" w:rsidRPr="00802C03" w:rsidRDefault="001C7C52" w:rsidP="00E80865">
      <w:pPr>
        <w:spacing w:line="280" w:lineRule="exact"/>
        <w:jc w:val="center"/>
        <w:rPr>
          <w:rFonts w:ascii="Garamond" w:hAnsi="Garamond"/>
          <w:b/>
          <w:sz w:val="20"/>
          <w:lang w:val="en-GB"/>
        </w:rPr>
      </w:pPr>
    </w:p>
    <w:p w:rsidR="001C7C52" w:rsidRPr="00802C03" w:rsidRDefault="001C7C52" w:rsidP="00E80865">
      <w:pPr>
        <w:spacing w:line="280" w:lineRule="exact"/>
        <w:jc w:val="center"/>
        <w:rPr>
          <w:rFonts w:ascii="Garamond" w:hAnsi="Garamond"/>
          <w:lang w:val="en-GB"/>
        </w:rPr>
      </w:pPr>
    </w:p>
    <w:p w:rsidR="001C7C52" w:rsidRPr="00802C03" w:rsidRDefault="001C7C52" w:rsidP="00E80865">
      <w:pPr>
        <w:spacing w:line="280" w:lineRule="exact"/>
        <w:jc w:val="center"/>
        <w:rPr>
          <w:rFonts w:ascii="Garamond" w:hAnsi="Garamond"/>
          <w:lang w:val="en-GB"/>
        </w:rPr>
      </w:pPr>
    </w:p>
    <w:p w:rsidR="001C7C52" w:rsidRPr="00802C03" w:rsidRDefault="001C7C52" w:rsidP="00E80865">
      <w:pPr>
        <w:spacing w:line="280" w:lineRule="exact"/>
        <w:jc w:val="center"/>
        <w:rPr>
          <w:rFonts w:ascii="Garamond" w:hAnsi="Garamond"/>
          <w:lang w:val="en-GB"/>
        </w:rPr>
      </w:pPr>
    </w:p>
    <w:p w:rsidR="001C7C52" w:rsidRPr="00802C03" w:rsidRDefault="001C7C52" w:rsidP="00E80865">
      <w:pPr>
        <w:spacing w:line="280" w:lineRule="exact"/>
        <w:jc w:val="center"/>
        <w:rPr>
          <w:rFonts w:ascii="Garamond" w:hAnsi="Garamond"/>
          <w:lang w:val="en-GB"/>
        </w:rPr>
      </w:pPr>
    </w:p>
    <w:p w:rsidR="001C7C52" w:rsidRPr="00802C03" w:rsidRDefault="001C7C52" w:rsidP="00855746">
      <w:pPr>
        <w:spacing w:after="120"/>
        <w:jc w:val="center"/>
        <w:rPr>
          <w:rFonts w:ascii="Garamond" w:hAnsi="Garamond"/>
          <w:b/>
          <w:szCs w:val="22"/>
          <w:lang w:val="en-GB"/>
        </w:rPr>
      </w:pPr>
      <w:r w:rsidRPr="00802C03">
        <w:rPr>
          <w:rFonts w:ascii="Garamond" w:hAnsi="Garamond"/>
          <w:b/>
          <w:szCs w:val="22"/>
          <w:lang w:val="en-GB"/>
        </w:rPr>
        <w:t>A</w:t>
      </w:r>
      <w:r w:rsidRPr="00802C03">
        <w:rPr>
          <w:rFonts w:ascii="Garamond" w:hAnsi="Garamond"/>
          <w:b/>
          <w:sz w:val="18"/>
          <w:szCs w:val="18"/>
          <w:lang w:val="en-GB"/>
        </w:rPr>
        <w:t xml:space="preserve">BSTRACT </w:t>
      </w:r>
      <w:r w:rsidRPr="00802C03">
        <w:rPr>
          <w:rFonts w:ascii="Garamond" w:hAnsi="Garamond"/>
          <w:b/>
          <w:szCs w:val="22"/>
          <w:lang w:val="en-GB"/>
        </w:rPr>
        <w:t>/</w:t>
      </w:r>
      <w:r w:rsidRPr="00802C03">
        <w:rPr>
          <w:rFonts w:ascii="Garamond" w:hAnsi="Garamond"/>
          <w:b/>
          <w:sz w:val="18"/>
          <w:szCs w:val="18"/>
          <w:lang w:val="en-GB"/>
        </w:rPr>
        <w:t xml:space="preserve"> </w:t>
      </w:r>
      <w:r w:rsidRPr="00802C03">
        <w:rPr>
          <w:rFonts w:ascii="Garamond" w:hAnsi="Garamond"/>
          <w:b/>
          <w:szCs w:val="22"/>
          <w:lang w:val="en-GB"/>
        </w:rPr>
        <w:t>E</w:t>
      </w:r>
      <w:r w:rsidRPr="00802C03">
        <w:rPr>
          <w:rFonts w:ascii="Garamond" w:hAnsi="Garamond"/>
          <w:b/>
          <w:sz w:val="18"/>
          <w:szCs w:val="18"/>
          <w:lang w:val="en-GB"/>
        </w:rPr>
        <w:t xml:space="preserve">XECUTIVE </w:t>
      </w:r>
      <w:r w:rsidRPr="00802C03">
        <w:rPr>
          <w:rFonts w:ascii="Garamond" w:hAnsi="Garamond"/>
          <w:b/>
          <w:szCs w:val="22"/>
          <w:lang w:val="en-GB"/>
        </w:rPr>
        <w:t>S</w:t>
      </w:r>
      <w:r w:rsidRPr="00802C03">
        <w:rPr>
          <w:rFonts w:ascii="Garamond" w:hAnsi="Garamond"/>
          <w:b/>
          <w:sz w:val="18"/>
          <w:szCs w:val="18"/>
          <w:lang w:val="en-GB"/>
        </w:rPr>
        <w:t>UMMARY</w:t>
      </w:r>
    </w:p>
    <w:p w:rsidR="001C7C52" w:rsidRPr="00802C03" w:rsidRDefault="001C7C52" w:rsidP="006C22F2">
      <w:pPr>
        <w:tabs>
          <w:tab w:val="left" w:pos="8789"/>
        </w:tabs>
        <w:spacing w:line="240" w:lineRule="auto"/>
        <w:ind w:left="573" w:right="573"/>
        <w:jc w:val="both"/>
        <w:rPr>
          <w:rFonts w:ascii="Garamond" w:hAnsi="Garamond"/>
          <w:sz w:val="20"/>
          <w:lang w:val="en-GB"/>
        </w:rPr>
      </w:pPr>
      <w:r w:rsidRPr="00802C03">
        <w:rPr>
          <w:rFonts w:ascii="Garamond" w:hAnsi="Garamond"/>
          <w:sz w:val="20"/>
          <w:lang w:val="en-GB"/>
        </w:rPr>
        <w:t xml:space="preserve">In the light of the current global financial crisis, the Basel Committee on Banking Supervision has released a third proposal concerning the introduction of the incremental risk model and its resultant regulatory capital charge. The purpose of this model is to capture the migration and default risk embedded in the credit products in the trading book of financial institutions, as the recent episodes of financial turmoil have proven banks to be undercapitalized, especially on those particular risks. Special attention is devoted to the liquidity of the credit products in the model guidelines as well. Hence, the Incremental Risk Capital Charge must provide banks with an additional capital buffer against migration and default risk as well as liquidity risk in the trading book. In this study, a multi-period incremental risk model is derived in accordance with the Basel Committee’s principles and requirements. The model structure is based on the CreditMetrics model </w:t>
      </w:r>
      <w:r>
        <w:rPr>
          <w:rFonts w:ascii="Garamond" w:hAnsi="Garamond"/>
          <w:sz w:val="20"/>
          <w:lang w:val="en-GB"/>
        </w:rPr>
        <w:t xml:space="preserve">(i.e. </w:t>
      </w:r>
      <w:hyperlink w:anchor="Gupton_et_al_1997" w:history="1">
        <w:r w:rsidRPr="00802C03">
          <w:rPr>
            <w:rStyle w:val="Hyperlink"/>
            <w:rFonts w:ascii="Garamond" w:hAnsi="Garamond"/>
            <w:color w:val="000066"/>
            <w:sz w:val="20"/>
            <w:u w:val="none"/>
            <w:lang w:val="en-GB"/>
          </w:rPr>
          <w:t>Gupton et al., 1997</w:t>
        </w:r>
      </w:hyperlink>
      <w:r w:rsidRPr="00802C03">
        <w:rPr>
          <w:rFonts w:ascii="Garamond" w:hAnsi="Garamond"/>
          <w:sz w:val="20"/>
          <w:lang w:val="en-GB"/>
        </w:rPr>
        <w:t>), which is extended to a sequential multi-period setting. In addition to the construction of the model, the principal inputs of the model, the credit migration matrix and the issuer credit quality correlations, are estimated with the use of various alternative estimation methodologies. The issuer asset correlation structure in the model displays both issuer correlation in the cross-sectional dimension and autocorrelation in the time-series dimension. The issuer asset correlation structure is model</w:t>
      </w:r>
      <w:r>
        <w:rPr>
          <w:rFonts w:ascii="Garamond" w:hAnsi="Garamond"/>
          <w:sz w:val="20"/>
          <w:lang w:val="en-GB"/>
        </w:rPr>
        <w:t>l</w:t>
      </w:r>
      <w:r w:rsidRPr="00802C03">
        <w:rPr>
          <w:rFonts w:ascii="Garamond" w:hAnsi="Garamond"/>
          <w:sz w:val="20"/>
          <w:lang w:val="en-GB"/>
        </w:rPr>
        <w:t xml:space="preserve">ed under the Gaussian copula assumption as well as two different </w:t>
      </w:r>
      <w:r w:rsidRPr="00802C03">
        <w:rPr>
          <w:rFonts w:ascii="Garamond" w:hAnsi="Garamond"/>
          <w:i/>
          <w:sz w:val="20"/>
          <w:lang w:val="en-GB"/>
        </w:rPr>
        <w:t>t</w:t>
      </w:r>
      <w:r w:rsidRPr="00802C03">
        <w:rPr>
          <w:rFonts w:ascii="Garamond" w:hAnsi="Garamond"/>
          <w:sz w:val="20"/>
          <w:lang w:val="en-GB"/>
        </w:rPr>
        <w:t>-Student copula specifications. Subsequently, the eventual model is estimated with the use of three different corporate bond portfolios. The resulting model estimations imply that the copula assumption (or tail dependence specification) is the most vital input or assumption in the model, since the required one-year 99.9% VaR-estimates are highly sensitive to this particular specification. This conclusion is almost certainly applies to the incremental risk model in general as well. In addition, the assumed lengths of the liquidity horizons of the assessed positions, the applied conditionality in credit migration matrix and the average level of issuer asset correlations in the model are also highly likely to be crucial inputs or assumptions in the estimation of the required risk measure in any incremental risk model. Lastly, the precision of the issuer correlations in the model seems to be much less crucial than anticipated. The same applies to the choice in the methodology utilized in the estimation of the credit migration matrix that is applied in the model.</w:t>
      </w:r>
    </w:p>
    <w:p w:rsidR="001C7C52" w:rsidRPr="00802C03" w:rsidRDefault="001C7C52" w:rsidP="002742DC">
      <w:pPr>
        <w:spacing w:line="280" w:lineRule="exact"/>
        <w:rPr>
          <w:rFonts w:ascii="Garamond" w:hAnsi="Garamond"/>
          <w:sz w:val="20"/>
          <w:lang w:val="en-GB"/>
        </w:rPr>
      </w:pPr>
    </w:p>
    <w:p w:rsidR="001C7C52" w:rsidRPr="00802C03" w:rsidRDefault="001C7C52" w:rsidP="002742DC">
      <w:pPr>
        <w:spacing w:line="280" w:lineRule="exact"/>
        <w:rPr>
          <w:rFonts w:ascii="Garamond" w:hAnsi="Garamond"/>
          <w:sz w:val="20"/>
          <w:lang w:val="en-GB"/>
        </w:rPr>
      </w:pPr>
    </w:p>
    <w:p w:rsidR="001C7C52" w:rsidRPr="00802C03" w:rsidRDefault="001C7C52" w:rsidP="002742DC">
      <w:pPr>
        <w:spacing w:line="280" w:lineRule="exact"/>
        <w:rPr>
          <w:rFonts w:ascii="Garamond" w:hAnsi="Garamond"/>
          <w:sz w:val="20"/>
          <w:lang w:val="en-GB"/>
        </w:rPr>
      </w:pPr>
    </w:p>
    <w:p w:rsidR="001C7C52" w:rsidRPr="00802C03" w:rsidRDefault="001C7C52" w:rsidP="002742DC">
      <w:pPr>
        <w:spacing w:line="280" w:lineRule="exact"/>
        <w:rPr>
          <w:rFonts w:ascii="Garamond" w:hAnsi="Garamond"/>
          <w:sz w:val="20"/>
          <w:lang w:val="en-GB"/>
        </w:rPr>
      </w:pPr>
    </w:p>
    <w:p w:rsidR="001C7C52" w:rsidRPr="00802C03" w:rsidRDefault="001C7C52" w:rsidP="00192E72">
      <w:pPr>
        <w:spacing w:line="280" w:lineRule="exact"/>
        <w:rPr>
          <w:rFonts w:ascii="Garamond" w:hAnsi="Garamond"/>
          <w:sz w:val="20"/>
          <w:lang w:val="en-GB"/>
        </w:rPr>
      </w:pPr>
    </w:p>
    <w:p w:rsidR="001C7C52" w:rsidRPr="00BE49BF" w:rsidRDefault="001C7C52" w:rsidP="00192E72">
      <w:pPr>
        <w:spacing w:line="240" w:lineRule="auto"/>
        <w:rPr>
          <w:rFonts w:ascii="Garamond" w:hAnsi="Garamond"/>
          <w:b/>
          <w:sz w:val="20"/>
        </w:rPr>
      </w:pPr>
      <w:r w:rsidRPr="00BE49BF">
        <w:rPr>
          <w:rFonts w:ascii="Garamond" w:hAnsi="Garamond"/>
          <w:b/>
          <w:sz w:val="20"/>
        </w:rPr>
        <w:t>A</w:t>
      </w:r>
      <w:r w:rsidRPr="00BE49BF">
        <w:rPr>
          <w:rFonts w:ascii="Garamond" w:hAnsi="Garamond"/>
          <w:b/>
          <w:sz w:val="16"/>
          <w:szCs w:val="16"/>
        </w:rPr>
        <w:t>UTHOR</w:t>
      </w:r>
      <w:r w:rsidRPr="00BE49BF">
        <w:rPr>
          <w:rFonts w:ascii="Garamond" w:hAnsi="Garamond"/>
          <w:b/>
          <w:sz w:val="20"/>
        </w:rPr>
        <w:t>:</w:t>
      </w:r>
    </w:p>
    <w:p w:rsidR="001C7C52" w:rsidRPr="00BE49BF" w:rsidRDefault="001C7C52" w:rsidP="00192E72">
      <w:pPr>
        <w:spacing w:line="240" w:lineRule="auto"/>
        <w:rPr>
          <w:rFonts w:ascii="Garamond" w:hAnsi="Garamond"/>
          <w:color w:val="000000"/>
          <w:sz w:val="20"/>
        </w:rPr>
      </w:pPr>
      <w:r w:rsidRPr="00BE49BF">
        <w:rPr>
          <w:rFonts w:ascii="Garamond" w:hAnsi="Garamond"/>
          <w:color w:val="000000"/>
          <w:sz w:val="20"/>
        </w:rPr>
        <w:t>Yannick van der Stel,</w:t>
      </w:r>
    </w:p>
    <w:p w:rsidR="001C7C52" w:rsidRPr="00802C03" w:rsidRDefault="001C7C52" w:rsidP="00192E72">
      <w:pPr>
        <w:spacing w:line="240" w:lineRule="auto"/>
        <w:rPr>
          <w:rFonts w:ascii="Garamond" w:hAnsi="Garamond"/>
          <w:sz w:val="20"/>
          <w:lang w:val="en-GB"/>
        </w:rPr>
      </w:pPr>
      <w:r w:rsidRPr="00802C03">
        <w:rPr>
          <w:rFonts w:ascii="Garamond" w:hAnsi="Garamond"/>
          <w:sz w:val="20"/>
          <w:lang w:val="en-GB"/>
        </w:rPr>
        <w:t xml:space="preserve">Intern at Ernst &amp; Young Financial Services Risk Management (FSRM), </w:t>
      </w:r>
    </w:p>
    <w:p w:rsidR="001C7C52" w:rsidRPr="00802C03" w:rsidRDefault="001C7C52" w:rsidP="00192E72">
      <w:pPr>
        <w:spacing w:line="240" w:lineRule="auto"/>
        <w:rPr>
          <w:rFonts w:ascii="Garamond" w:hAnsi="Garamond"/>
          <w:sz w:val="20"/>
          <w:lang w:val="en-GB"/>
        </w:rPr>
      </w:pPr>
      <w:r w:rsidRPr="00802C03">
        <w:rPr>
          <w:rFonts w:ascii="Garamond" w:hAnsi="Garamond"/>
          <w:sz w:val="20"/>
          <w:lang w:val="en-GB"/>
        </w:rPr>
        <w:t xml:space="preserve">Master Student Financial Economics at Erasmus School of Economics (ESE), </w:t>
      </w:r>
    </w:p>
    <w:p w:rsidR="001C7C52" w:rsidRPr="00BE49BF" w:rsidRDefault="001C7C52" w:rsidP="00192E72">
      <w:pPr>
        <w:spacing w:line="240" w:lineRule="auto"/>
        <w:rPr>
          <w:rFonts w:ascii="Garamond" w:hAnsi="Garamond"/>
          <w:sz w:val="20"/>
        </w:rPr>
      </w:pPr>
      <w:r w:rsidRPr="00BE49BF">
        <w:rPr>
          <w:rFonts w:ascii="Garamond" w:hAnsi="Garamond"/>
          <w:sz w:val="20"/>
        </w:rPr>
        <w:t>Erasmus Universiteit Rotterdam (EUR).</w:t>
      </w:r>
    </w:p>
    <w:p w:rsidR="001C7C52" w:rsidRPr="00BE49BF" w:rsidRDefault="001C7C52" w:rsidP="00192E72">
      <w:pPr>
        <w:spacing w:before="180" w:line="240" w:lineRule="auto"/>
        <w:rPr>
          <w:rFonts w:ascii="Garamond" w:hAnsi="Garamond"/>
          <w:b/>
          <w:sz w:val="20"/>
        </w:rPr>
      </w:pPr>
      <w:r w:rsidRPr="00BE49BF">
        <w:rPr>
          <w:rFonts w:ascii="Garamond" w:hAnsi="Garamond"/>
          <w:b/>
          <w:sz w:val="20"/>
        </w:rPr>
        <w:t>E</w:t>
      </w:r>
      <w:r w:rsidRPr="00BE49BF">
        <w:rPr>
          <w:rFonts w:ascii="Garamond" w:hAnsi="Garamond"/>
          <w:b/>
          <w:sz w:val="16"/>
          <w:szCs w:val="16"/>
        </w:rPr>
        <w:t>RNST</w:t>
      </w:r>
      <w:r w:rsidRPr="00BE49BF">
        <w:rPr>
          <w:rFonts w:ascii="Garamond" w:hAnsi="Garamond"/>
          <w:b/>
          <w:sz w:val="20"/>
        </w:rPr>
        <w:t xml:space="preserve"> &amp; Y</w:t>
      </w:r>
      <w:r w:rsidRPr="00BE49BF">
        <w:rPr>
          <w:rFonts w:ascii="Garamond" w:hAnsi="Garamond"/>
          <w:b/>
          <w:sz w:val="16"/>
          <w:szCs w:val="16"/>
        </w:rPr>
        <w:t>OUNG</w:t>
      </w:r>
      <w:r w:rsidRPr="00BE49BF">
        <w:rPr>
          <w:rFonts w:ascii="Garamond" w:hAnsi="Garamond"/>
          <w:b/>
          <w:sz w:val="20"/>
        </w:rPr>
        <w:t xml:space="preserve"> </w:t>
      </w:r>
    </w:p>
    <w:p w:rsidR="001C7C52" w:rsidRPr="00802C03" w:rsidRDefault="001C7C52" w:rsidP="002742DC">
      <w:pPr>
        <w:spacing w:line="240" w:lineRule="auto"/>
        <w:rPr>
          <w:rFonts w:ascii="Garamond" w:hAnsi="Garamond"/>
          <w:sz w:val="20"/>
          <w:lang w:val="en-GB"/>
        </w:rPr>
      </w:pPr>
      <w:r w:rsidRPr="00802C03">
        <w:rPr>
          <w:rFonts w:ascii="Garamond" w:hAnsi="Garamond"/>
          <w:sz w:val="20"/>
          <w:lang w:val="en-GB"/>
        </w:rPr>
        <w:t>Financial Services Risk Management</w:t>
      </w:r>
    </w:p>
    <w:p w:rsidR="001C7C52" w:rsidRPr="00802C03" w:rsidRDefault="001C7C52" w:rsidP="002742DC">
      <w:pPr>
        <w:spacing w:before="180" w:line="240" w:lineRule="auto"/>
        <w:rPr>
          <w:rFonts w:ascii="Garamond" w:hAnsi="Garamond"/>
          <w:b/>
          <w:sz w:val="20"/>
          <w:lang w:val="en-GB"/>
        </w:rPr>
      </w:pPr>
      <w:r w:rsidRPr="00802C03">
        <w:rPr>
          <w:rFonts w:ascii="Garamond" w:hAnsi="Garamond"/>
          <w:b/>
          <w:sz w:val="20"/>
          <w:lang w:val="en-GB"/>
        </w:rPr>
        <w:t>E</w:t>
      </w:r>
      <w:r w:rsidRPr="00802C03">
        <w:rPr>
          <w:rFonts w:ascii="Garamond" w:hAnsi="Garamond"/>
          <w:b/>
          <w:sz w:val="16"/>
          <w:szCs w:val="16"/>
          <w:lang w:val="en-GB"/>
        </w:rPr>
        <w:t>RASMUS</w:t>
      </w:r>
      <w:r w:rsidRPr="00802C03">
        <w:rPr>
          <w:rFonts w:ascii="Garamond" w:hAnsi="Garamond"/>
          <w:b/>
          <w:sz w:val="20"/>
          <w:lang w:val="en-GB"/>
        </w:rPr>
        <w:t xml:space="preserve"> U</w:t>
      </w:r>
      <w:r w:rsidRPr="00802C03">
        <w:rPr>
          <w:rFonts w:ascii="Garamond" w:hAnsi="Garamond"/>
          <w:b/>
          <w:sz w:val="16"/>
          <w:szCs w:val="16"/>
          <w:lang w:val="en-GB"/>
        </w:rPr>
        <w:t>NIVERSITEIT</w:t>
      </w:r>
      <w:r w:rsidRPr="00802C03">
        <w:rPr>
          <w:rFonts w:ascii="Garamond" w:hAnsi="Garamond"/>
          <w:b/>
          <w:sz w:val="20"/>
          <w:lang w:val="en-GB"/>
        </w:rPr>
        <w:t xml:space="preserve"> R</w:t>
      </w:r>
      <w:r w:rsidRPr="00802C03">
        <w:rPr>
          <w:rFonts w:ascii="Garamond" w:hAnsi="Garamond"/>
          <w:b/>
          <w:sz w:val="16"/>
          <w:szCs w:val="16"/>
          <w:lang w:val="en-GB"/>
        </w:rPr>
        <w:t>OTTERDAM</w:t>
      </w:r>
    </w:p>
    <w:p w:rsidR="001C7C52" w:rsidRPr="00802C03" w:rsidRDefault="001C7C52" w:rsidP="002742DC">
      <w:pPr>
        <w:spacing w:line="240" w:lineRule="auto"/>
        <w:rPr>
          <w:rFonts w:ascii="Garamond" w:hAnsi="Garamond"/>
          <w:sz w:val="20"/>
          <w:lang w:val="en-GB"/>
        </w:rPr>
      </w:pPr>
      <w:r w:rsidRPr="00802C03">
        <w:rPr>
          <w:rFonts w:ascii="Garamond" w:hAnsi="Garamond"/>
          <w:sz w:val="20"/>
          <w:lang w:val="en-GB"/>
        </w:rPr>
        <w:t>Erasmus School of Economics</w:t>
      </w:r>
      <w:r w:rsidRPr="00802C03">
        <w:rPr>
          <w:rFonts w:ascii="Garamond" w:hAnsi="Garamond"/>
          <w:sz w:val="20"/>
          <w:lang w:val="en-GB"/>
        </w:rPr>
        <w:br/>
        <w:t>Department of Finance</w:t>
      </w:r>
    </w:p>
    <w:p w:rsidR="001C7C52" w:rsidRPr="00BE49BF" w:rsidRDefault="001C7C52" w:rsidP="002742DC">
      <w:pPr>
        <w:spacing w:before="180" w:line="240" w:lineRule="auto"/>
        <w:rPr>
          <w:rFonts w:ascii="Garamond" w:hAnsi="Garamond"/>
          <w:b/>
          <w:sz w:val="20"/>
        </w:rPr>
      </w:pPr>
      <w:r>
        <w:rPr>
          <w:noProof/>
          <w:lang w:val="en-US"/>
        </w:rPr>
        <w:pict>
          <v:shape id="_x0000_s1045" type="#_x0000_t75" alt="Ernst&amp;Young.bmp" style="position:absolute;margin-left:374.65pt;margin-top:9.65pt;width:96.25pt;height:10.25pt;z-index:251671040;visibility:visible">
            <v:imagedata r:id="rId7" o:title=""/>
          </v:shape>
        </w:pict>
      </w:r>
      <w:r w:rsidRPr="00BE49BF">
        <w:rPr>
          <w:rFonts w:ascii="Garamond" w:hAnsi="Garamond"/>
          <w:b/>
          <w:sz w:val="20"/>
        </w:rPr>
        <w:t>E</w:t>
      </w:r>
      <w:r w:rsidRPr="00BE49BF">
        <w:rPr>
          <w:rFonts w:ascii="Garamond" w:hAnsi="Garamond"/>
          <w:b/>
          <w:sz w:val="16"/>
          <w:szCs w:val="16"/>
        </w:rPr>
        <w:t>RNST</w:t>
      </w:r>
      <w:r w:rsidRPr="00BE49BF">
        <w:rPr>
          <w:rFonts w:ascii="Garamond" w:hAnsi="Garamond"/>
          <w:b/>
          <w:sz w:val="20"/>
        </w:rPr>
        <w:t xml:space="preserve"> &amp; Y</w:t>
      </w:r>
      <w:r w:rsidRPr="00BE49BF">
        <w:rPr>
          <w:rFonts w:ascii="Garamond" w:hAnsi="Garamond"/>
          <w:b/>
          <w:sz w:val="16"/>
          <w:szCs w:val="16"/>
        </w:rPr>
        <w:t>OUNG</w:t>
      </w:r>
      <w:r w:rsidRPr="00BE49BF">
        <w:rPr>
          <w:rFonts w:ascii="Garamond" w:hAnsi="Garamond"/>
          <w:b/>
          <w:sz w:val="20"/>
        </w:rPr>
        <w:t xml:space="preserve"> FSRM S</w:t>
      </w:r>
      <w:r w:rsidRPr="00BE49BF">
        <w:rPr>
          <w:rFonts w:ascii="Garamond" w:hAnsi="Garamond"/>
          <w:b/>
          <w:sz w:val="16"/>
          <w:szCs w:val="16"/>
        </w:rPr>
        <w:t>UPERVISORS</w:t>
      </w:r>
      <w:r w:rsidRPr="00BE49BF">
        <w:rPr>
          <w:rFonts w:ascii="Garamond" w:hAnsi="Garamond"/>
          <w:b/>
          <w:sz w:val="20"/>
        </w:rPr>
        <w:t>:</w:t>
      </w:r>
    </w:p>
    <w:p w:rsidR="001C7C52" w:rsidRPr="00BE49BF" w:rsidRDefault="001C7C52" w:rsidP="002742DC">
      <w:pPr>
        <w:spacing w:line="240" w:lineRule="auto"/>
        <w:rPr>
          <w:rFonts w:ascii="Garamond" w:hAnsi="Garamond"/>
          <w:sz w:val="20"/>
        </w:rPr>
      </w:pPr>
      <w:r w:rsidRPr="00BE49BF">
        <w:rPr>
          <w:rFonts w:ascii="Garamond" w:hAnsi="Garamond"/>
          <w:sz w:val="20"/>
        </w:rPr>
        <w:t>Boudewijn van Zijl, Manager</w:t>
      </w:r>
    </w:p>
    <w:p w:rsidR="001C7C52" w:rsidRPr="00BE49BF" w:rsidRDefault="001C7C52" w:rsidP="002742DC">
      <w:pPr>
        <w:spacing w:line="240" w:lineRule="auto"/>
        <w:rPr>
          <w:rFonts w:ascii="Garamond" w:hAnsi="Garamond"/>
          <w:sz w:val="20"/>
        </w:rPr>
      </w:pPr>
      <w:r>
        <w:rPr>
          <w:noProof/>
          <w:lang w:val="en-US"/>
        </w:rPr>
        <w:pict>
          <v:shape id="_x0000_s1046" type="#_x0000_t75" alt="EUR-Black.bmp" style="position:absolute;margin-left:331.4pt;margin-top:9.35pt;width:139.85pt;height:33.35pt;z-index:251672064;visibility:visible">
            <v:imagedata r:id="rId8" o:title=""/>
          </v:shape>
        </w:pict>
      </w:r>
      <w:r w:rsidRPr="00BE49BF">
        <w:rPr>
          <w:rFonts w:ascii="Garamond" w:hAnsi="Garamond"/>
          <w:sz w:val="20"/>
        </w:rPr>
        <w:t>Gerd-Jan van Wiggen, Senior Manager</w:t>
      </w:r>
    </w:p>
    <w:p w:rsidR="001C7C52" w:rsidRPr="00802C03" w:rsidRDefault="001C7C52" w:rsidP="002742DC">
      <w:pPr>
        <w:spacing w:before="180" w:line="240" w:lineRule="auto"/>
        <w:rPr>
          <w:rFonts w:ascii="Garamond" w:hAnsi="Garamond"/>
          <w:b/>
          <w:sz w:val="20"/>
          <w:lang w:val="en-GB"/>
        </w:rPr>
      </w:pPr>
      <w:r w:rsidRPr="00802C03">
        <w:rPr>
          <w:rFonts w:ascii="Garamond" w:hAnsi="Garamond"/>
          <w:b/>
          <w:sz w:val="20"/>
          <w:lang w:val="en-GB"/>
        </w:rPr>
        <w:t>E</w:t>
      </w:r>
      <w:r w:rsidRPr="00802C03">
        <w:rPr>
          <w:rFonts w:ascii="Garamond" w:hAnsi="Garamond"/>
          <w:b/>
          <w:sz w:val="16"/>
          <w:szCs w:val="16"/>
          <w:lang w:val="en-GB"/>
        </w:rPr>
        <w:t>RASMUS</w:t>
      </w:r>
      <w:r w:rsidRPr="00802C03">
        <w:rPr>
          <w:rFonts w:ascii="Garamond" w:hAnsi="Garamond"/>
          <w:b/>
          <w:sz w:val="20"/>
          <w:lang w:val="en-GB"/>
        </w:rPr>
        <w:t xml:space="preserve"> S</w:t>
      </w:r>
      <w:r w:rsidRPr="00802C03">
        <w:rPr>
          <w:rFonts w:ascii="Garamond" w:hAnsi="Garamond"/>
          <w:b/>
          <w:sz w:val="16"/>
          <w:szCs w:val="16"/>
          <w:lang w:val="en-GB"/>
        </w:rPr>
        <w:t>CHOOL</w:t>
      </w:r>
      <w:r w:rsidRPr="00802C03">
        <w:rPr>
          <w:rFonts w:ascii="Garamond" w:hAnsi="Garamond"/>
          <w:b/>
          <w:sz w:val="20"/>
          <w:lang w:val="en-GB"/>
        </w:rPr>
        <w:t xml:space="preserve"> </w:t>
      </w:r>
      <w:r w:rsidRPr="00802C03">
        <w:rPr>
          <w:rFonts w:ascii="Garamond" w:hAnsi="Garamond"/>
          <w:b/>
          <w:sz w:val="16"/>
          <w:szCs w:val="16"/>
          <w:lang w:val="en-GB"/>
        </w:rPr>
        <w:t>OF</w:t>
      </w:r>
      <w:r w:rsidRPr="00802C03">
        <w:rPr>
          <w:rFonts w:ascii="Garamond" w:hAnsi="Garamond"/>
          <w:b/>
          <w:sz w:val="20"/>
          <w:lang w:val="en-GB"/>
        </w:rPr>
        <w:t xml:space="preserve"> E</w:t>
      </w:r>
      <w:r w:rsidRPr="00802C03">
        <w:rPr>
          <w:rFonts w:ascii="Garamond" w:hAnsi="Garamond"/>
          <w:b/>
          <w:sz w:val="16"/>
          <w:szCs w:val="16"/>
          <w:lang w:val="en-GB"/>
        </w:rPr>
        <w:t>CONOMICS</w:t>
      </w:r>
      <w:r w:rsidRPr="00802C03">
        <w:rPr>
          <w:rFonts w:ascii="Garamond" w:hAnsi="Garamond"/>
          <w:b/>
          <w:sz w:val="20"/>
          <w:lang w:val="en-GB"/>
        </w:rPr>
        <w:t xml:space="preserve"> S</w:t>
      </w:r>
      <w:r w:rsidRPr="00802C03">
        <w:rPr>
          <w:rFonts w:ascii="Garamond" w:hAnsi="Garamond"/>
          <w:b/>
          <w:sz w:val="16"/>
          <w:szCs w:val="16"/>
          <w:lang w:val="en-GB"/>
        </w:rPr>
        <w:t>UPERVISOR</w:t>
      </w:r>
      <w:r w:rsidRPr="00802C03">
        <w:rPr>
          <w:rFonts w:ascii="Garamond" w:hAnsi="Garamond"/>
          <w:b/>
          <w:sz w:val="20"/>
          <w:lang w:val="en-GB"/>
        </w:rPr>
        <w:t>:</w:t>
      </w:r>
    </w:p>
    <w:p w:rsidR="001C7C52" w:rsidRPr="00802C03" w:rsidRDefault="001C7C52" w:rsidP="002742DC">
      <w:pPr>
        <w:spacing w:line="240" w:lineRule="auto"/>
        <w:rPr>
          <w:rFonts w:ascii="Garamond" w:hAnsi="Garamond"/>
          <w:sz w:val="20"/>
          <w:lang w:val="en-GB"/>
        </w:rPr>
      </w:pPr>
      <w:r w:rsidRPr="00802C03">
        <w:rPr>
          <w:rFonts w:ascii="Garamond" w:hAnsi="Garamond"/>
          <w:sz w:val="20"/>
          <w:lang w:val="en-GB"/>
        </w:rPr>
        <w:t>Prof. Dr. Willem F.C. Verschoor, Chairman of the Department of Finance</w:t>
      </w:r>
    </w:p>
    <w:p w:rsidR="001C7C52" w:rsidRPr="00802C03" w:rsidRDefault="001C7C52" w:rsidP="002742DC">
      <w:pPr>
        <w:spacing w:line="280" w:lineRule="exact"/>
        <w:rPr>
          <w:rFonts w:ascii="Garamond" w:hAnsi="Garamond"/>
          <w:szCs w:val="22"/>
          <w:lang w:val="en-GB"/>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rsidP="00F75640">
      <w:pPr>
        <w:spacing w:line="280" w:lineRule="exact"/>
        <w:jc w:val="center"/>
        <w:rPr>
          <w:rFonts w:ascii="Garamond" w:hAnsi="Garamond" w:cs="NimbusRomNo9L-Regu"/>
          <w:szCs w:val="22"/>
          <w:lang w:val="en-GB" w:eastAsia="nl-NL"/>
        </w:rPr>
      </w:pPr>
    </w:p>
    <w:p w:rsidR="001C7C52" w:rsidRPr="00802C03" w:rsidRDefault="001C7C52">
      <w:pPr>
        <w:rPr>
          <w:rFonts w:ascii="Garamond" w:hAnsi="Garamond"/>
          <w:lang w:val="en-GB"/>
        </w:rPr>
      </w:pPr>
    </w:p>
    <w:tbl>
      <w:tblPr>
        <w:tblW w:w="10708" w:type="dxa"/>
        <w:tblInd w:w="-1276" w:type="dxa"/>
        <w:tblCellMar>
          <w:left w:w="0" w:type="dxa"/>
          <w:right w:w="0" w:type="dxa"/>
        </w:tblCellMar>
        <w:tblLook w:val="00A0"/>
      </w:tblPr>
      <w:tblGrid>
        <w:gridCol w:w="1276"/>
        <w:gridCol w:w="20"/>
        <w:gridCol w:w="9392"/>
        <w:gridCol w:w="20"/>
      </w:tblGrid>
      <w:tr w:rsidR="001C7C52" w:rsidRPr="00802C03" w:rsidTr="002E2E49">
        <w:trPr>
          <w:gridAfter w:val="1"/>
          <w:wAfter w:w="20" w:type="dxa"/>
        </w:trPr>
        <w:tc>
          <w:tcPr>
            <w:tcW w:w="1276" w:type="dxa"/>
          </w:tcPr>
          <w:p w:rsidR="001C7C52" w:rsidRPr="002E2E49" w:rsidRDefault="001C7C52" w:rsidP="002E2E49">
            <w:pPr>
              <w:spacing w:line="280" w:lineRule="exact"/>
              <w:rPr>
                <w:rFonts w:ascii="Garamond" w:hAnsi="Garamond"/>
                <w:lang w:val="en-GB"/>
              </w:rPr>
            </w:pPr>
          </w:p>
        </w:tc>
        <w:tc>
          <w:tcPr>
            <w:tcW w:w="9412" w:type="dxa"/>
            <w:gridSpan w:val="2"/>
            <w:tcBorders>
              <w:bottom w:val="single" w:sz="4" w:space="0" w:color="auto"/>
            </w:tcBorders>
          </w:tcPr>
          <w:p w:rsidR="001C7C52" w:rsidRPr="002E2E49" w:rsidRDefault="001C7C52" w:rsidP="002E2E49">
            <w:pPr>
              <w:spacing w:line="280" w:lineRule="exact"/>
              <w:rPr>
                <w:rFonts w:ascii="Garamond" w:hAnsi="Garamond"/>
                <w:sz w:val="26"/>
                <w:szCs w:val="26"/>
                <w:lang w:val="en-GB"/>
              </w:rPr>
            </w:pPr>
            <w:r w:rsidRPr="002E2E49">
              <w:rPr>
                <w:rFonts w:ascii="Garamond" w:hAnsi="Garamond" w:cs="NimbusRomNo9L-Regu"/>
                <w:b/>
                <w:sz w:val="26"/>
                <w:szCs w:val="26"/>
                <w:lang w:val="en-GB" w:eastAsia="nl-NL"/>
              </w:rPr>
              <w:t>C</w:t>
            </w:r>
            <w:r w:rsidRPr="002E2E49">
              <w:rPr>
                <w:rFonts w:ascii="Garamond" w:hAnsi="Garamond" w:cs="NimbusRomNo9L-Regu"/>
                <w:b/>
                <w:sz w:val="20"/>
                <w:lang w:val="en-GB" w:eastAsia="nl-NL"/>
              </w:rPr>
              <w:t>ONTENTS</w:t>
            </w:r>
          </w:p>
        </w:tc>
      </w:tr>
      <w:tr w:rsidR="001C7C52" w:rsidRPr="00802C03" w:rsidTr="002E2E49">
        <w:tc>
          <w:tcPr>
            <w:tcW w:w="1276" w:type="dxa"/>
          </w:tcPr>
          <w:p w:rsidR="001C7C52" w:rsidRPr="002E2E49" w:rsidRDefault="001C7C52" w:rsidP="002E2E49">
            <w:pPr>
              <w:spacing w:line="40" w:lineRule="exact"/>
              <w:rPr>
                <w:rFonts w:ascii="Garamond" w:hAnsi="Garamond"/>
                <w:lang w:val="en-GB"/>
              </w:rPr>
            </w:pPr>
          </w:p>
        </w:tc>
        <w:tc>
          <w:tcPr>
            <w:tcW w:w="20" w:type="dxa"/>
          </w:tcPr>
          <w:p w:rsidR="001C7C52" w:rsidRPr="002E2E49" w:rsidRDefault="001C7C52" w:rsidP="002E2E49">
            <w:pPr>
              <w:spacing w:line="40" w:lineRule="exact"/>
              <w:rPr>
                <w:rFonts w:ascii="Garamond" w:hAnsi="Garamond"/>
                <w:lang w:val="en-GB"/>
              </w:rPr>
            </w:pPr>
            <w:r>
              <w:rPr>
                <w:noProof/>
                <w:lang w:val="en-US"/>
              </w:rPr>
              <w:pict>
                <v:rect id="_x0000_s1047" style="position:absolute;margin-left:.1pt;margin-top:-.3pt;width:470.25pt;height:.85pt;z-index:-251647488;mso-position-horizontal-relative:page;mso-position-vertical-relative:text" fillcolor="black" stroked="f">
                  <v:fill rotate="t" angle="-90" focus="100%" type="gradient"/>
                  <w10:wrap anchorx="margin"/>
                </v:rect>
              </w:pict>
            </w:r>
          </w:p>
        </w:tc>
        <w:tc>
          <w:tcPr>
            <w:tcW w:w="9412" w:type="dxa"/>
            <w:gridSpan w:val="2"/>
          </w:tcPr>
          <w:p w:rsidR="001C7C52" w:rsidRPr="002E2E49" w:rsidRDefault="001C7C52" w:rsidP="002E2E49">
            <w:pPr>
              <w:spacing w:line="40" w:lineRule="exact"/>
              <w:rPr>
                <w:rFonts w:ascii="Garamond" w:hAnsi="Garamond"/>
                <w:lang w:val="en-GB"/>
              </w:rPr>
            </w:pPr>
          </w:p>
        </w:tc>
      </w:tr>
    </w:tbl>
    <w:p w:rsidR="001C7C52" w:rsidRPr="00F83994" w:rsidRDefault="001C7C52" w:rsidP="0007400D">
      <w:pPr>
        <w:pStyle w:val="000"/>
        <w:tabs>
          <w:tab w:val="left" w:pos="7655"/>
          <w:tab w:val="right" w:pos="8789"/>
        </w:tabs>
        <w:spacing w:line="240" w:lineRule="exact"/>
        <w:ind w:left="567"/>
        <w:rPr>
          <w:rFonts w:ascii="Garamond" w:hAnsi="Garamond"/>
        </w:rPr>
      </w:pPr>
    </w:p>
    <w:p w:rsidR="001C7C52" w:rsidRPr="0007400D" w:rsidRDefault="001C7C52" w:rsidP="0007400D">
      <w:pPr>
        <w:pStyle w:val="000"/>
        <w:tabs>
          <w:tab w:val="left" w:pos="7655"/>
          <w:tab w:val="right" w:pos="8789"/>
        </w:tabs>
        <w:spacing w:before="40" w:after="40" w:line="280" w:lineRule="exact"/>
        <w:ind w:left="567"/>
        <w:rPr>
          <w:rFonts w:ascii="Garamond" w:hAnsi="Garamond"/>
          <w:b/>
          <w:szCs w:val="22"/>
        </w:rPr>
      </w:pPr>
      <w:hyperlink w:anchor="Preface" w:history="1">
        <w:r w:rsidRPr="0007400D">
          <w:rPr>
            <w:rStyle w:val="Hyperlink"/>
            <w:rFonts w:ascii="Garamond" w:hAnsi="Garamond"/>
            <w:b/>
            <w:color w:val="000000"/>
            <w:szCs w:val="22"/>
            <w:u w:val="none"/>
          </w:rPr>
          <w:t>P</w:t>
        </w:r>
        <w:r w:rsidRPr="0007400D">
          <w:rPr>
            <w:rStyle w:val="Hyperlink"/>
            <w:rFonts w:ascii="Garamond" w:hAnsi="Garamond"/>
            <w:b/>
            <w:color w:val="000000"/>
            <w:sz w:val="18"/>
            <w:szCs w:val="18"/>
            <w:u w:val="none"/>
          </w:rPr>
          <w:t>REFACE</w:t>
        </w:r>
      </w:hyperlink>
      <w:r w:rsidRPr="0007400D">
        <w:rPr>
          <w:rFonts w:ascii="Garamond" w:hAnsi="Garamond"/>
          <w:b/>
          <w:szCs w:val="22"/>
        </w:rPr>
        <w:tab/>
      </w:r>
      <w:r w:rsidRPr="0007400D">
        <w:rPr>
          <w:rFonts w:ascii="Garamond" w:hAnsi="Garamond"/>
          <w:b/>
          <w:szCs w:val="22"/>
        </w:rPr>
        <w:tab/>
      </w:r>
      <w:r w:rsidRPr="0007400D">
        <w:rPr>
          <w:rFonts w:ascii="Garamond" w:hAnsi="Garamond"/>
          <w:b/>
          <w:sz w:val="20"/>
        </w:rPr>
        <w:t>ix</w:t>
      </w:r>
    </w:p>
    <w:p w:rsidR="001C7C52" w:rsidRPr="0007400D" w:rsidRDefault="001C7C52" w:rsidP="0007400D">
      <w:pPr>
        <w:pStyle w:val="000"/>
        <w:tabs>
          <w:tab w:val="left" w:pos="7655"/>
          <w:tab w:val="right" w:pos="8789"/>
        </w:tabs>
        <w:spacing w:before="40" w:after="40" w:line="280" w:lineRule="exact"/>
        <w:ind w:left="567"/>
        <w:rPr>
          <w:rFonts w:ascii="Garamond" w:hAnsi="Garamond"/>
          <w:b/>
          <w:color w:val="000000"/>
          <w:szCs w:val="22"/>
          <w:lang w:val="en-GB"/>
        </w:rPr>
      </w:pPr>
      <w:hyperlink w:anchor="C1_Introduction" w:history="1">
        <w:r w:rsidRPr="0007400D">
          <w:rPr>
            <w:rStyle w:val="Hyperlink"/>
            <w:rFonts w:ascii="Garamond" w:hAnsi="Garamond"/>
            <w:b/>
            <w:color w:val="000000"/>
            <w:szCs w:val="22"/>
            <w:u w:val="none"/>
            <w:lang w:val="en-GB"/>
          </w:rPr>
          <w:t>I</w:t>
        </w:r>
        <w:r w:rsidRPr="0007400D">
          <w:rPr>
            <w:rStyle w:val="Hyperlink"/>
            <w:rFonts w:ascii="Garamond" w:hAnsi="Garamond"/>
            <w:b/>
            <w:color w:val="000000"/>
            <w:sz w:val="18"/>
            <w:szCs w:val="18"/>
            <w:u w:val="none"/>
            <w:lang w:val="en-GB"/>
          </w:rPr>
          <w:t>NTRODUCTION</w:t>
        </w:r>
      </w:hyperlink>
      <w:r w:rsidRPr="0007400D">
        <w:rPr>
          <w:rFonts w:ascii="Garamond" w:hAnsi="Garamond"/>
          <w:b/>
          <w:color w:val="000000"/>
          <w:szCs w:val="22"/>
          <w:lang w:val="en-GB"/>
        </w:rPr>
        <w:tab/>
      </w:r>
      <w:r w:rsidRPr="0007400D">
        <w:rPr>
          <w:rFonts w:ascii="Garamond" w:hAnsi="Garamond"/>
          <w:b/>
          <w:color w:val="000000"/>
          <w:szCs w:val="22"/>
          <w:lang w:val="en-GB"/>
        </w:rPr>
        <w:tab/>
      </w:r>
      <w:r w:rsidRPr="0007400D">
        <w:rPr>
          <w:rFonts w:ascii="Garamond" w:hAnsi="Garamond"/>
          <w:b/>
          <w:color w:val="000000"/>
          <w:sz w:val="20"/>
          <w:lang w:val="en-GB"/>
        </w:rPr>
        <w:t>11</w:t>
      </w:r>
    </w:p>
    <w:p w:rsidR="001C7C52" w:rsidRPr="0007400D" w:rsidRDefault="001C7C52" w:rsidP="0007400D">
      <w:pPr>
        <w:pStyle w:val="000"/>
        <w:tabs>
          <w:tab w:val="right" w:pos="8789"/>
        </w:tabs>
        <w:spacing w:before="40" w:after="40" w:line="280" w:lineRule="exact"/>
        <w:ind w:left="567"/>
        <w:rPr>
          <w:rFonts w:ascii="Garamond" w:hAnsi="Garamond"/>
          <w:b/>
          <w:color w:val="000000"/>
          <w:szCs w:val="22"/>
          <w:lang w:val="en-GB"/>
        </w:rPr>
      </w:pPr>
      <w:hyperlink w:anchor="C2_Part1" w:history="1">
        <w:r w:rsidRPr="0007400D">
          <w:rPr>
            <w:rStyle w:val="Hyperlink"/>
            <w:rFonts w:ascii="Garamond" w:hAnsi="Garamond"/>
            <w:b/>
            <w:color w:val="000000"/>
            <w:szCs w:val="22"/>
            <w:u w:val="none"/>
            <w:lang w:val="en-GB"/>
          </w:rPr>
          <w:t>P</w:t>
        </w:r>
        <w:r w:rsidRPr="0007400D">
          <w:rPr>
            <w:rStyle w:val="Hyperlink"/>
            <w:rFonts w:ascii="Garamond" w:hAnsi="Garamond"/>
            <w:b/>
            <w:color w:val="000000"/>
            <w:sz w:val="18"/>
            <w:szCs w:val="18"/>
            <w:u w:val="none"/>
            <w:lang w:val="en-GB"/>
          </w:rPr>
          <w:t>ART</w:t>
        </w:r>
        <w:r w:rsidRPr="0007400D">
          <w:rPr>
            <w:rStyle w:val="Hyperlink"/>
            <w:rFonts w:ascii="Garamond" w:hAnsi="Garamond"/>
            <w:b/>
            <w:color w:val="000000"/>
            <w:szCs w:val="22"/>
            <w:u w:val="none"/>
            <w:lang w:val="en-GB"/>
          </w:rPr>
          <w:t xml:space="preserve"> I: M</w:t>
        </w:r>
        <w:r w:rsidRPr="0007400D">
          <w:rPr>
            <w:rStyle w:val="Hyperlink"/>
            <w:rFonts w:ascii="Garamond" w:hAnsi="Garamond"/>
            <w:b/>
            <w:color w:val="000000"/>
            <w:sz w:val="18"/>
            <w:szCs w:val="18"/>
            <w:u w:val="none"/>
            <w:lang w:val="en-GB"/>
          </w:rPr>
          <w:t>ODEL</w:t>
        </w:r>
        <w:r w:rsidRPr="0007400D">
          <w:rPr>
            <w:rStyle w:val="Hyperlink"/>
            <w:rFonts w:ascii="Garamond" w:hAnsi="Garamond"/>
            <w:b/>
            <w:color w:val="000000"/>
            <w:szCs w:val="22"/>
            <w:u w:val="none"/>
            <w:lang w:val="en-GB"/>
          </w:rPr>
          <w:t xml:space="preserve"> C</w:t>
        </w:r>
        <w:r w:rsidRPr="0007400D">
          <w:rPr>
            <w:rStyle w:val="Hyperlink"/>
            <w:rFonts w:ascii="Garamond" w:hAnsi="Garamond"/>
            <w:b/>
            <w:color w:val="000000"/>
            <w:sz w:val="18"/>
            <w:szCs w:val="18"/>
            <w:u w:val="none"/>
            <w:lang w:val="en-GB"/>
          </w:rPr>
          <w:t>ONSTRUCTION</w:t>
        </w:r>
      </w:hyperlink>
      <w:r w:rsidRPr="0007400D">
        <w:rPr>
          <w:rFonts w:ascii="Garamond" w:hAnsi="Garamond"/>
          <w:b/>
          <w:color w:val="000000"/>
          <w:szCs w:val="22"/>
          <w:lang w:val="en-GB"/>
        </w:rPr>
        <w:t xml:space="preserve"> </w:t>
      </w:r>
      <w:r w:rsidRPr="0007400D">
        <w:rPr>
          <w:rFonts w:ascii="Garamond" w:hAnsi="Garamond"/>
          <w:b/>
          <w:color w:val="000000"/>
          <w:szCs w:val="22"/>
          <w:lang w:val="en-GB"/>
        </w:rPr>
        <w:tab/>
      </w:r>
      <w:r w:rsidRPr="0007400D">
        <w:rPr>
          <w:rFonts w:ascii="Garamond" w:hAnsi="Garamond"/>
          <w:b/>
          <w:color w:val="000000"/>
          <w:sz w:val="20"/>
          <w:lang w:val="en-GB"/>
        </w:rPr>
        <w:t>14</w:t>
      </w:r>
      <w:r w:rsidRPr="0007400D">
        <w:rPr>
          <w:rFonts w:ascii="Garamond" w:hAnsi="Garamond"/>
          <w:b/>
          <w:color w:val="000000"/>
          <w:szCs w:val="22"/>
          <w:lang w:val="en-GB"/>
        </w:rPr>
        <w:tab/>
      </w:r>
    </w:p>
    <w:p w:rsidR="001C7C52" w:rsidRPr="0007400D" w:rsidRDefault="001C7C52" w:rsidP="0007400D">
      <w:pPr>
        <w:pStyle w:val="000"/>
        <w:numPr>
          <w:ilvl w:val="1"/>
          <w:numId w:val="10"/>
        </w:numPr>
        <w:tabs>
          <w:tab w:val="clear" w:pos="570"/>
          <w:tab w:val="num" w:pos="1276"/>
          <w:tab w:val="right" w:pos="8789"/>
        </w:tabs>
        <w:spacing w:before="30" w:after="30" w:line="240" w:lineRule="auto"/>
        <w:ind w:left="709" w:firstLine="142"/>
        <w:rPr>
          <w:rFonts w:ascii="Garamond" w:hAnsi="Garamond"/>
          <w:b/>
          <w:color w:val="000000"/>
          <w:sz w:val="20"/>
          <w:lang w:val="en-GB"/>
        </w:rPr>
      </w:pPr>
      <w:hyperlink w:anchor="S110" w:history="1">
        <w:r w:rsidRPr="0007400D">
          <w:rPr>
            <w:rStyle w:val="Hyperlink"/>
            <w:rFonts w:ascii="Garamond" w:hAnsi="Garamond"/>
            <w:b/>
            <w:color w:val="000000"/>
            <w:sz w:val="20"/>
            <w:u w:val="none"/>
            <w:lang w:val="en-GB"/>
          </w:rPr>
          <w:t>Description of the Basel Committee’s Proposal</w:t>
        </w:r>
      </w:hyperlink>
      <w:r w:rsidRPr="0007400D">
        <w:rPr>
          <w:rFonts w:ascii="Garamond" w:hAnsi="Garamond"/>
          <w:b/>
          <w:color w:val="000000"/>
          <w:sz w:val="20"/>
          <w:lang w:val="en-GB"/>
        </w:rPr>
        <w:tab/>
        <w:t>15</w:t>
      </w:r>
      <w:r w:rsidRPr="0007400D">
        <w:rPr>
          <w:rFonts w:ascii="Garamond" w:hAnsi="Garamond"/>
          <w:b/>
          <w:color w:val="000000"/>
          <w:sz w:val="20"/>
          <w:lang w:val="en-GB"/>
        </w:rPr>
        <w:tab/>
      </w:r>
    </w:p>
    <w:p w:rsidR="001C7C52" w:rsidRPr="0007400D" w:rsidRDefault="001C7C52" w:rsidP="0007400D">
      <w:pPr>
        <w:pStyle w:val="000"/>
        <w:numPr>
          <w:ilvl w:val="1"/>
          <w:numId w:val="10"/>
        </w:numPr>
        <w:tabs>
          <w:tab w:val="clear" w:pos="570"/>
          <w:tab w:val="num" w:pos="1276"/>
          <w:tab w:val="left" w:pos="7938"/>
          <w:tab w:val="right" w:pos="8789"/>
        </w:tabs>
        <w:spacing w:before="30" w:after="30" w:line="240" w:lineRule="auto"/>
        <w:ind w:left="709" w:firstLine="142"/>
        <w:rPr>
          <w:rFonts w:ascii="Garamond" w:hAnsi="Garamond"/>
          <w:color w:val="000000"/>
          <w:sz w:val="20"/>
          <w:lang w:val="en-GB"/>
        </w:rPr>
      </w:pPr>
      <w:hyperlink w:anchor="S120" w:history="1">
        <w:r w:rsidRPr="0007400D">
          <w:rPr>
            <w:rStyle w:val="Hyperlink"/>
            <w:rFonts w:ascii="Garamond" w:hAnsi="Garamond"/>
            <w:b/>
            <w:color w:val="000000"/>
            <w:sz w:val="20"/>
            <w:u w:val="none"/>
            <w:lang w:val="en-GB"/>
          </w:rPr>
          <w:t>Starting Point</w:t>
        </w:r>
      </w:hyperlink>
      <w:r w:rsidRPr="0007400D">
        <w:rPr>
          <w:rFonts w:ascii="Garamond" w:hAnsi="Garamond"/>
          <w:color w:val="000000"/>
          <w:sz w:val="20"/>
          <w:lang w:val="en-GB"/>
        </w:rPr>
        <w:tab/>
      </w:r>
      <w:r w:rsidRPr="0007400D">
        <w:rPr>
          <w:rFonts w:ascii="Garamond" w:hAnsi="Garamond"/>
          <w:color w:val="000000"/>
          <w:sz w:val="20"/>
          <w:lang w:val="en-GB"/>
        </w:rPr>
        <w:tab/>
        <w:t>17</w:t>
      </w:r>
    </w:p>
    <w:p w:rsidR="001C7C52" w:rsidRPr="0007400D" w:rsidRDefault="001C7C52" w:rsidP="0007400D">
      <w:pPr>
        <w:pStyle w:val="000"/>
        <w:numPr>
          <w:ilvl w:val="2"/>
          <w:numId w:val="10"/>
        </w:numPr>
        <w:tabs>
          <w:tab w:val="clear" w:pos="720"/>
          <w:tab w:val="num" w:pos="1276"/>
          <w:tab w:val="left" w:pos="1985"/>
          <w:tab w:val="left" w:pos="7655"/>
          <w:tab w:val="right" w:pos="8789"/>
        </w:tabs>
        <w:spacing w:line="240" w:lineRule="auto"/>
        <w:ind w:left="1276" w:firstLine="0"/>
        <w:rPr>
          <w:rFonts w:ascii="Garamond" w:hAnsi="Garamond"/>
          <w:color w:val="000000"/>
          <w:sz w:val="20"/>
          <w:lang w:val="en-GB"/>
        </w:rPr>
      </w:pPr>
      <w:hyperlink w:anchor="S121" w:history="1">
        <w:r w:rsidRPr="0007400D">
          <w:rPr>
            <w:rStyle w:val="Hyperlink"/>
            <w:rFonts w:ascii="Garamond" w:hAnsi="Garamond"/>
            <w:color w:val="000000"/>
            <w:sz w:val="20"/>
            <w:u w:val="none"/>
            <w:lang w:val="en-GB"/>
          </w:rPr>
          <w:t>General Structure of the Incremental Risk Model</w:t>
        </w:r>
      </w:hyperlink>
      <w:r w:rsidRPr="0007400D">
        <w:rPr>
          <w:rFonts w:ascii="Garamond" w:hAnsi="Garamond"/>
          <w:color w:val="000000"/>
          <w:sz w:val="20"/>
          <w:lang w:val="en-GB"/>
        </w:rPr>
        <w:tab/>
      </w:r>
      <w:r w:rsidRPr="0007400D">
        <w:rPr>
          <w:rFonts w:ascii="Garamond" w:hAnsi="Garamond"/>
          <w:color w:val="000000"/>
          <w:sz w:val="20"/>
          <w:lang w:val="en-GB"/>
        </w:rPr>
        <w:tab/>
        <w:t>17</w:t>
      </w:r>
    </w:p>
    <w:p w:rsidR="001C7C52" w:rsidRPr="0007400D" w:rsidRDefault="001C7C52" w:rsidP="0007400D">
      <w:pPr>
        <w:pStyle w:val="000"/>
        <w:numPr>
          <w:ilvl w:val="2"/>
          <w:numId w:val="10"/>
        </w:numPr>
        <w:tabs>
          <w:tab w:val="clear" w:pos="720"/>
          <w:tab w:val="num" w:pos="1276"/>
          <w:tab w:val="left" w:pos="1985"/>
          <w:tab w:val="left" w:pos="7797"/>
          <w:tab w:val="right" w:pos="8789"/>
        </w:tabs>
        <w:spacing w:line="240" w:lineRule="auto"/>
        <w:ind w:left="1276" w:firstLine="0"/>
        <w:rPr>
          <w:rFonts w:ascii="Garamond" w:hAnsi="Garamond"/>
          <w:color w:val="000000"/>
          <w:sz w:val="20"/>
          <w:lang w:val="en-GB"/>
        </w:rPr>
      </w:pPr>
      <w:hyperlink w:anchor="S122" w:history="1">
        <w:r w:rsidRPr="0007400D">
          <w:rPr>
            <w:rStyle w:val="Hyperlink"/>
            <w:rFonts w:ascii="Garamond" w:hAnsi="Garamond"/>
            <w:color w:val="000000"/>
            <w:sz w:val="20"/>
            <w:u w:val="none"/>
            <w:lang w:val="en-GB"/>
          </w:rPr>
          <w:t>The CreditMetrics Model</w:t>
        </w:r>
      </w:hyperlink>
      <w:r w:rsidRPr="0007400D">
        <w:rPr>
          <w:rFonts w:ascii="Garamond" w:hAnsi="Garamond"/>
          <w:color w:val="000000"/>
          <w:sz w:val="20"/>
          <w:lang w:val="en-GB"/>
        </w:rPr>
        <w:tab/>
      </w:r>
      <w:r w:rsidRPr="0007400D">
        <w:rPr>
          <w:rFonts w:ascii="Garamond" w:hAnsi="Garamond"/>
          <w:color w:val="000000"/>
          <w:sz w:val="20"/>
          <w:lang w:val="en-GB"/>
        </w:rPr>
        <w:tab/>
        <w:t>18</w:t>
      </w:r>
    </w:p>
    <w:p w:rsidR="001C7C52" w:rsidRPr="0007400D" w:rsidRDefault="001C7C52" w:rsidP="0007400D">
      <w:pPr>
        <w:pStyle w:val="000"/>
        <w:numPr>
          <w:ilvl w:val="1"/>
          <w:numId w:val="10"/>
        </w:numPr>
        <w:tabs>
          <w:tab w:val="clear" w:pos="570"/>
          <w:tab w:val="num" w:pos="1276"/>
          <w:tab w:val="left" w:pos="7797"/>
          <w:tab w:val="right" w:pos="8789"/>
        </w:tabs>
        <w:spacing w:before="30" w:after="30" w:line="240" w:lineRule="auto"/>
        <w:ind w:left="1276" w:hanging="425"/>
        <w:rPr>
          <w:rFonts w:ascii="Garamond" w:hAnsi="Garamond"/>
          <w:b/>
          <w:color w:val="000000"/>
          <w:sz w:val="20"/>
          <w:lang w:val="en-GB"/>
        </w:rPr>
      </w:pPr>
      <w:hyperlink w:anchor="S130" w:history="1">
        <w:r w:rsidRPr="0007400D">
          <w:rPr>
            <w:rStyle w:val="Hyperlink"/>
            <w:rFonts w:ascii="Garamond" w:hAnsi="Garamond"/>
            <w:b/>
            <w:color w:val="000000"/>
            <w:sz w:val="20"/>
            <w:u w:val="none"/>
            <w:lang w:val="en-GB"/>
          </w:rPr>
          <w:t>The Multi-Period Simulation Model</w:t>
        </w:r>
      </w:hyperlink>
      <w:r w:rsidRPr="0007400D">
        <w:rPr>
          <w:rFonts w:ascii="Garamond" w:hAnsi="Garamond"/>
          <w:b/>
          <w:color w:val="000000"/>
          <w:sz w:val="20"/>
          <w:lang w:val="en-GB"/>
        </w:rPr>
        <w:tab/>
      </w:r>
      <w:r w:rsidRPr="0007400D">
        <w:rPr>
          <w:rFonts w:ascii="Garamond" w:hAnsi="Garamond"/>
          <w:b/>
          <w:color w:val="000000"/>
          <w:sz w:val="20"/>
          <w:lang w:val="en-GB"/>
        </w:rPr>
        <w:tab/>
        <w:t>20</w:t>
      </w:r>
      <w:r w:rsidRPr="0007400D">
        <w:rPr>
          <w:rFonts w:ascii="Garamond" w:hAnsi="Garamond"/>
          <w:b/>
          <w:color w:val="000000"/>
          <w:sz w:val="20"/>
          <w:lang w:val="en-GB"/>
        </w:rPr>
        <w:tab/>
      </w:r>
    </w:p>
    <w:p w:rsidR="001C7C52" w:rsidRPr="0007400D" w:rsidRDefault="001C7C52" w:rsidP="0007400D">
      <w:pPr>
        <w:pStyle w:val="000"/>
        <w:numPr>
          <w:ilvl w:val="2"/>
          <w:numId w:val="10"/>
        </w:numPr>
        <w:tabs>
          <w:tab w:val="clear" w:pos="720"/>
          <w:tab w:val="num" w:pos="1276"/>
          <w:tab w:val="left" w:pos="1985"/>
          <w:tab w:val="left" w:pos="7797"/>
          <w:tab w:val="right" w:pos="8789"/>
        </w:tabs>
        <w:spacing w:line="240" w:lineRule="auto"/>
        <w:ind w:left="1276" w:firstLine="0"/>
        <w:rPr>
          <w:rFonts w:ascii="Garamond" w:hAnsi="Garamond"/>
          <w:color w:val="000000"/>
          <w:sz w:val="20"/>
          <w:lang w:val="en-GB"/>
        </w:rPr>
      </w:pPr>
      <w:hyperlink w:anchor="S131" w:history="1">
        <w:r w:rsidRPr="0007400D">
          <w:rPr>
            <w:rStyle w:val="Hyperlink"/>
            <w:rFonts w:ascii="Garamond" w:hAnsi="Garamond"/>
            <w:color w:val="000000"/>
            <w:sz w:val="20"/>
            <w:u w:val="none"/>
            <w:lang w:val="en-GB"/>
          </w:rPr>
          <w:t>Multi-Period Credit Rating Simulation</w:t>
        </w:r>
      </w:hyperlink>
      <w:r w:rsidRPr="0007400D">
        <w:rPr>
          <w:rFonts w:ascii="Garamond" w:hAnsi="Garamond"/>
          <w:color w:val="000000"/>
          <w:sz w:val="20"/>
          <w:lang w:val="en-GB"/>
        </w:rPr>
        <w:tab/>
      </w:r>
      <w:r w:rsidRPr="0007400D">
        <w:rPr>
          <w:rFonts w:ascii="Garamond" w:hAnsi="Garamond"/>
          <w:color w:val="000000"/>
          <w:sz w:val="20"/>
          <w:lang w:val="en-GB"/>
        </w:rPr>
        <w:tab/>
        <w:t>21</w:t>
      </w:r>
    </w:p>
    <w:p w:rsidR="001C7C52" w:rsidRPr="0007400D" w:rsidRDefault="001C7C52" w:rsidP="0007400D">
      <w:pPr>
        <w:pStyle w:val="000"/>
        <w:numPr>
          <w:ilvl w:val="2"/>
          <w:numId w:val="10"/>
        </w:numPr>
        <w:tabs>
          <w:tab w:val="clear" w:pos="720"/>
          <w:tab w:val="num" w:pos="1276"/>
          <w:tab w:val="left" w:pos="1985"/>
          <w:tab w:val="left" w:pos="7797"/>
          <w:tab w:val="right" w:pos="8789"/>
        </w:tabs>
        <w:spacing w:line="240" w:lineRule="auto"/>
        <w:ind w:left="1276" w:firstLine="0"/>
        <w:rPr>
          <w:rFonts w:ascii="Garamond" w:hAnsi="Garamond"/>
          <w:color w:val="000000"/>
          <w:sz w:val="20"/>
          <w:lang w:val="en-GB"/>
        </w:rPr>
      </w:pPr>
      <w:hyperlink w:anchor="S132" w:history="1">
        <w:r w:rsidRPr="0007400D">
          <w:rPr>
            <w:rStyle w:val="Hyperlink"/>
            <w:rFonts w:ascii="Garamond" w:hAnsi="Garamond"/>
            <w:color w:val="000000"/>
            <w:sz w:val="20"/>
            <w:u w:val="none"/>
            <w:lang w:val="en-GB"/>
          </w:rPr>
          <w:t>Valuation</w:t>
        </w:r>
      </w:hyperlink>
      <w:r w:rsidRPr="0007400D">
        <w:rPr>
          <w:rFonts w:ascii="Garamond" w:hAnsi="Garamond"/>
          <w:color w:val="000000"/>
          <w:sz w:val="20"/>
          <w:lang w:val="en-GB"/>
        </w:rPr>
        <w:tab/>
      </w:r>
      <w:r w:rsidRPr="0007400D">
        <w:rPr>
          <w:rFonts w:ascii="Garamond" w:hAnsi="Garamond"/>
          <w:color w:val="000000"/>
          <w:sz w:val="20"/>
          <w:lang w:val="en-GB"/>
        </w:rPr>
        <w:tab/>
        <w:t>23</w:t>
      </w:r>
    </w:p>
    <w:p w:rsidR="001C7C52" w:rsidRPr="0007400D" w:rsidRDefault="001C7C52" w:rsidP="0007400D">
      <w:pPr>
        <w:pStyle w:val="000"/>
        <w:numPr>
          <w:ilvl w:val="2"/>
          <w:numId w:val="10"/>
        </w:numPr>
        <w:tabs>
          <w:tab w:val="clear" w:pos="720"/>
          <w:tab w:val="num" w:pos="1276"/>
          <w:tab w:val="left" w:pos="1985"/>
          <w:tab w:val="left" w:pos="7797"/>
          <w:tab w:val="right" w:pos="8789"/>
        </w:tabs>
        <w:spacing w:line="240" w:lineRule="auto"/>
        <w:ind w:left="1276" w:firstLine="0"/>
        <w:rPr>
          <w:rFonts w:ascii="Garamond" w:hAnsi="Garamond"/>
          <w:color w:val="000000"/>
          <w:sz w:val="20"/>
          <w:lang w:val="en-GB"/>
        </w:rPr>
      </w:pPr>
      <w:hyperlink w:anchor="S133" w:history="1">
        <w:r w:rsidRPr="0007400D">
          <w:rPr>
            <w:rStyle w:val="Hyperlink"/>
            <w:rFonts w:ascii="Garamond" w:hAnsi="Garamond"/>
            <w:color w:val="000000"/>
            <w:sz w:val="20"/>
            <w:u w:val="none"/>
            <w:lang w:val="en-GB"/>
          </w:rPr>
          <w:t>Default Value</w:t>
        </w:r>
      </w:hyperlink>
      <w:r w:rsidRPr="0007400D">
        <w:rPr>
          <w:rFonts w:ascii="Garamond" w:hAnsi="Garamond"/>
          <w:color w:val="000000"/>
          <w:sz w:val="20"/>
          <w:lang w:val="en-GB"/>
        </w:rPr>
        <w:tab/>
      </w:r>
      <w:r w:rsidRPr="0007400D">
        <w:rPr>
          <w:rFonts w:ascii="Garamond" w:hAnsi="Garamond"/>
          <w:color w:val="000000"/>
          <w:sz w:val="20"/>
          <w:lang w:val="en-GB"/>
        </w:rPr>
        <w:tab/>
        <w:t>25</w:t>
      </w:r>
    </w:p>
    <w:p w:rsidR="001C7C52" w:rsidRPr="0007400D" w:rsidRDefault="001C7C52" w:rsidP="0007400D">
      <w:pPr>
        <w:pStyle w:val="000"/>
        <w:numPr>
          <w:ilvl w:val="2"/>
          <w:numId w:val="10"/>
        </w:numPr>
        <w:tabs>
          <w:tab w:val="clear" w:pos="720"/>
          <w:tab w:val="num" w:pos="1276"/>
          <w:tab w:val="left" w:pos="1985"/>
          <w:tab w:val="left" w:pos="7938"/>
          <w:tab w:val="right" w:pos="8789"/>
        </w:tabs>
        <w:spacing w:line="240" w:lineRule="auto"/>
        <w:ind w:left="1276" w:firstLine="0"/>
        <w:rPr>
          <w:rFonts w:ascii="Garamond" w:hAnsi="Garamond"/>
          <w:color w:val="000000"/>
          <w:sz w:val="20"/>
          <w:lang w:val="en-GB"/>
        </w:rPr>
      </w:pPr>
      <w:hyperlink w:anchor="S134" w:history="1">
        <w:r w:rsidRPr="0007400D">
          <w:rPr>
            <w:rStyle w:val="Hyperlink"/>
            <w:rFonts w:ascii="Garamond" w:hAnsi="Garamond"/>
            <w:color w:val="000000"/>
            <w:sz w:val="20"/>
            <w:u w:val="none"/>
            <w:lang w:val="en-GB"/>
          </w:rPr>
          <w:t>Model Output</w:t>
        </w:r>
      </w:hyperlink>
      <w:r w:rsidRPr="0007400D">
        <w:rPr>
          <w:rFonts w:ascii="Garamond" w:hAnsi="Garamond"/>
          <w:color w:val="000000"/>
          <w:sz w:val="20"/>
          <w:lang w:val="en-GB"/>
        </w:rPr>
        <w:tab/>
      </w:r>
      <w:r w:rsidRPr="0007400D">
        <w:rPr>
          <w:rFonts w:ascii="Garamond" w:hAnsi="Garamond"/>
          <w:color w:val="000000"/>
          <w:sz w:val="20"/>
          <w:lang w:val="en-GB"/>
        </w:rPr>
        <w:tab/>
        <w:t>28</w:t>
      </w:r>
    </w:p>
    <w:p w:rsidR="001C7C52" w:rsidRPr="0007400D" w:rsidRDefault="001C7C52" w:rsidP="0007400D">
      <w:pPr>
        <w:pStyle w:val="000"/>
        <w:numPr>
          <w:ilvl w:val="1"/>
          <w:numId w:val="10"/>
        </w:numPr>
        <w:tabs>
          <w:tab w:val="clear" w:pos="570"/>
          <w:tab w:val="num" w:pos="1276"/>
          <w:tab w:val="left" w:pos="7938"/>
          <w:tab w:val="right" w:pos="8789"/>
        </w:tabs>
        <w:spacing w:before="30" w:after="30" w:line="240" w:lineRule="auto"/>
        <w:ind w:left="1276" w:hanging="425"/>
        <w:rPr>
          <w:rFonts w:ascii="Garamond" w:hAnsi="Garamond"/>
          <w:b/>
          <w:color w:val="000000"/>
          <w:sz w:val="20"/>
          <w:lang w:val="en-GB"/>
        </w:rPr>
      </w:pPr>
      <w:hyperlink w:anchor="S140" w:history="1">
        <w:r w:rsidRPr="0007400D">
          <w:rPr>
            <w:rStyle w:val="Hyperlink"/>
            <w:rFonts w:ascii="Garamond" w:hAnsi="Garamond"/>
            <w:b/>
            <w:color w:val="000000"/>
            <w:sz w:val="20"/>
            <w:u w:val="none"/>
            <w:lang w:val="en-GB"/>
          </w:rPr>
          <w:t>The Correlation Structure</w:t>
        </w:r>
      </w:hyperlink>
      <w:r w:rsidRPr="0007400D">
        <w:rPr>
          <w:rFonts w:ascii="Garamond" w:hAnsi="Garamond"/>
          <w:b/>
          <w:color w:val="000000"/>
          <w:sz w:val="20"/>
          <w:lang w:val="en-GB"/>
        </w:rPr>
        <w:tab/>
      </w:r>
      <w:r w:rsidRPr="0007400D">
        <w:rPr>
          <w:rFonts w:ascii="Garamond" w:hAnsi="Garamond"/>
          <w:b/>
          <w:color w:val="000000"/>
          <w:sz w:val="20"/>
          <w:lang w:val="en-GB"/>
        </w:rPr>
        <w:tab/>
        <w:t>29</w:t>
      </w:r>
    </w:p>
    <w:p w:rsidR="001C7C52" w:rsidRPr="0007400D" w:rsidRDefault="001C7C52" w:rsidP="0007400D">
      <w:pPr>
        <w:pStyle w:val="000"/>
        <w:numPr>
          <w:ilvl w:val="2"/>
          <w:numId w:val="10"/>
        </w:numPr>
        <w:tabs>
          <w:tab w:val="clear" w:pos="720"/>
          <w:tab w:val="num" w:pos="1985"/>
          <w:tab w:val="left" w:pos="7797"/>
          <w:tab w:val="right" w:pos="8789"/>
        </w:tabs>
        <w:spacing w:line="240" w:lineRule="auto"/>
        <w:ind w:left="1276" w:firstLine="0"/>
        <w:rPr>
          <w:rFonts w:ascii="Garamond" w:hAnsi="Garamond"/>
          <w:color w:val="000000"/>
          <w:sz w:val="20"/>
          <w:lang w:val="en-GB"/>
        </w:rPr>
      </w:pPr>
      <w:hyperlink w:anchor="S141" w:history="1">
        <w:r w:rsidRPr="0007400D">
          <w:rPr>
            <w:rStyle w:val="Hyperlink"/>
            <w:rFonts w:ascii="Garamond" w:hAnsi="Garamond"/>
            <w:color w:val="000000"/>
            <w:sz w:val="20"/>
            <w:u w:val="none"/>
            <w:lang w:val="en-GB"/>
          </w:rPr>
          <w:t>Objectives and Definitions in the Correlation Structure</w:t>
        </w:r>
      </w:hyperlink>
      <w:r w:rsidRPr="0007400D">
        <w:rPr>
          <w:rFonts w:ascii="Garamond" w:hAnsi="Garamond"/>
          <w:color w:val="000000"/>
          <w:sz w:val="20"/>
          <w:lang w:val="en-GB"/>
        </w:rPr>
        <w:tab/>
      </w:r>
      <w:r w:rsidRPr="0007400D">
        <w:rPr>
          <w:rFonts w:ascii="Garamond" w:hAnsi="Garamond"/>
          <w:color w:val="000000"/>
          <w:sz w:val="20"/>
          <w:lang w:val="en-GB"/>
        </w:rPr>
        <w:tab/>
        <w:t>29</w:t>
      </w:r>
    </w:p>
    <w:p w:rsidR="001C7C52" w:rsidRPr="0007400D" w:rsidRDefault="001C7C52" w:rsidP="0007400D">
      <w:pPr>
        <w:pStyle w:val="000"/>
        <w:numPr>
          <w:ilvl w:val="2"/>
          <w:numId w:val="10"/>
        </w:numPr>
        <w:tabs>
          <w:tab w:val="clear" w:pos="720"/>
          <w:tab w:val="num" w:pos="1985"/>
          <w:tab w:val="left" w:pos="7797"/>
          <w:tab w:val="right" w:pos="8789"/>
        </w:tabs>
        <w:spacing w:line="240" w:lineRule="auto"/>
        <w:ind w:left="1276" w:firstLine="0"/>
        <w:rPr>
          <w:rFonts w:ascii="Garamond" w:hAnsi="Garamond"/>
          <w:color w:val="000000"/>
          <w:sz w:val="20"/>
          <w:lang w:val="en-GB"/>
        </w:rPr>
      </w:pPr>
      <w:hyperlink w:anchor="S142" w:history="1">
        <w:r w:rsidRPr="0007400D">
          <w:rPr>
            <w:rStyle w:val="Hyperlink"/>
            <w:rFonts w:ascii="Garamond" w:hAnsi="Garamond"/>
            <w:color w:val="000000"/>
            <w:sz w:val="20"/>
            <w:u w:val="none"/>
            <w:lang w:val="en-GB"/>
          </w:rPr>
          <w:t>Copulas</w:t>
        </w:r>
      </w:hyperlink>
      <w:r w:rsidRPr="0007400D">
        <w:rPr>
          <w:rFonts w:ascii="Garamond" w:hAnsi="Garamond"/>
          <w:color w:val="000000"/>
          <w:sz w:val="20"/>
          <w:lang w:val="en-GB"/>
        </w:rPr>
        <w:tab/>
      </w:r>
      <w:r w:rsidRPr="0007400D">
        <w:rPr>
          <w:rFonts w:ascii="Garamond" w:hAnsi="Garamond"/>
          <w:color w:val="000000"/>
          <w:sz w:val="20"/>
          <w:lang w:val="en-GB"/>
        </w:rPr>
        <w:tab/>
        <w:t>31</w:t>
      </w:r>
    </w:p>
    <w:p w:rsidR="001C7C52" w:rsidRPr="0007400D" w:rsidRDefault="001C7C52" w:rsidP="0007400D">
      <w:pPr>
        <w:pStyle w:val="000"/>
        <w:numPr>
          <w:ilvl w:val="2"/>
          <w:numId w:val="10"/>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143" w:history="1">
        <w:r w:rsidRPr="0007400D">
          <w:rPr>
            <w:rStyle w:val="Hyperlink"/>
            <w:rFonts w:ascii="Garamond" w:hAnsi="Garamond"/>
            <w:color w:val="000000"/>
            <w:sz w:val="20"/>
            <w:u w:val="none"/>
            <w:lang w:val="en-GB"/>
          </w:rPr>
          <w:t>The First Copula: Issuer Correlations</w:t>
        </w:r>
      </w:hyperlink>
      <w:r w:rsidRPr="0007400D">
        <w:rPr>
          <w:rFonts w:ascii="Garamond" w:hAnsi="Garamond"/>
          <w:color w:val="000000"/>
          <w:sz w:val="20"/>
          <w:lang w:val="en-GB"/>
        </w:rPr>
        <w:tab/>
      </w:r>
      <w:r w:rsidRPr="0007400D">
        <w:rPr>
          <w:rFonts w:ascii="Garamond" w:hAnsi="Garamond"/>
          <w:color w:val="000000"/>
          <w:sz w:val="20"/>
          <w:lang w:val="en-GB"/>
        </w:rPr>
        <w:tab/>
        <w:t>34</w:t>
      </w:r>
    </w:p>
    <w:p w:rsidR="001C7C52" w:rsidRPr="0007400D" w:rsidRDefault="001C7C52" w:rsidP="0007400D">
      <w:pPr>
        <w:pStyle w:val="000"/>
        <w:numPr>
          <w:ilvl w:val="2"/>
          <w:numId w:val="10"/>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144" w:history="1">
        <w:r w:rsidRPr="0007400D">
          <w:rPr>
            <w:rStyle w:val="Hyperlink"/>
            <w:rFonts w:ascii="Garamond" w:hAnsi="Garamond"/>
            <w:color w:val="000000"/>
            <w:sz w:val="20"/>
            <w:u w:val="none"/>
            <w:lang w:val="en-GB"/>
          </w:rPr>
          <w:t>The Second Copula: Autocorrelation</w:t>
        </w:r>
      </w:hyperlink>
      <w:r w:rsidRPr="0007400D">
        <w:rPr>
          <w:rFonts w:ascii="Garamond" w:hAnsi="Garamond"/>
          <w:color w:val="000000"/>
          <w:sz w:val="20"/>
          <w:lang w:val="en-GB"/>
        </w:rPr>
        <w:tab/>
      </w:r>
      <w:r w:rsidRPr="0007400D">
        <w:rPr>
          <w:rFonts w:ascii="Garamond" w:hAnsi="Garamond"/>
          <w:color w:val="000000"/>
          <w:sz w:val="20"/>
          <w:lang w:val="en-GB"/>
        </w:rPr>
        <w:tab/>
        <w:t>34</w:t>
      </w:r>
    </w:p>
    <w:p w:rsidR="001C7C52" w:rsidRPr="0007400D" w:rsidRDefault="001C7C52" w:rsidP="0007400D">
      <w:pPr>
        <w:pStyle w:val="000"/>
        <w:numPr>
          <w:ilvl w:val="2"/>
          <w:numId w:val="10"/>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145" w:history="1">
        <w:r w:rsidRPr="0007400D">
          <w:rPr>
            <w:rStyle w:val="Hyperlink"/>
            <w:rFonts w:ascii="Garamond" w:hAnsi="Garamond"/>
            <w:color w:val="000000"/>
            <w:sz w:val="20"/>
            <w:u w:val="none"/>
            <w:lang w:val="en-GB"/>
          </w:rPr>
          <w:t>Effects of the Second Copula</w:t>
        </w:r>
      </w:hyperlink>
      <w:r w:rsidRPr="0007400D">
        <w:rPr>
          <w:rFonts w:ascii="Garamond" w:hAnsi="Garamond"/>
          <w:color w:val="000000"/>
          <w:sz w:val="20"/>
          <w:lang w:val="en-GB"/>
        </w:rPr>
        <w:tab/>
      </w:r>
      <w:r w:rsidRPr="0007400D">
        <w:rPr>
          <w:rFonts w:ascii="Garamond" w:hAnsi="Garamond"/>
          <w:color w:val="000000"/>
          <w:sz w:val="20"/>
          <w:lang w:val="en-GB"/>
        </w:rPr>
        <w:tab/>
        <w:t>35</w:t>
      </w:r>
    </w:p>
    <w:p w:rsidR="001C7C52" w:rsidRPr="0007400D" w:rsidRDefault="001C7C52" w:rsidP="0007400D">
      <w:pPr>
        <w:pStyle w:val="000"/>
        <w:numPr>
          <w:ilvl w:val="2"/>
          <w:numId w:val="10"/>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146" w:history="1">
        <w:r w:rsidRPr="0007400D">
          <w:rPr>
            <w:rStyle w:val="Hyperlink"/>
            <w:rFonts w:ascii="Garamond" w:hAnsi="Garamond"/>
            <w:color w:val="000000"/>
            <w:sz w:val="20"/>
            <w:u w:val="none"/>
            <w:lang w:val="en-GB"/>
          </w:rPr>
          <w:t>Rebalancing Moments</w:t>
        </w:r>
      </w:hyperlink>
      <w:r w:rsidRPr="0007400D">
        <w:rPr>
          <w:rFonts w:ascii="Garamond" w:hAnsi="Garamond"/>
          <w:color w:val="000000"/>
          <w:sz w:val="20"/>
          <w:lang w:val="en-GB"/>
        </w:rPr>
        <w:tab/>
      </w:r>
      <w:r w:rsidRPr="0007400D">
        <w:rPr>
          <w:rFonts w:ascii="Garamond" w:hAnsi="Garamond"/>
          <w:color w:val="000000"/>
          <w:sz w:val="20"/>
          <w:lang w:val="en-GB"/>
        </w:rPr>
        <w:tab/>
        <w:t>39</w:t>
      </w:r>
    </w:p>
    <w:p w:rsidR="001C7C52" w:rsidRPr="0007400D" w:rsidRDefault="001C7C52" w:rsidP="0007400D">
      <w:pPr>
        <w:pStyle w:val="000"/>
        <w:tabs>
          <w:tab w:val="left" w:pos="7938"/>
          <w:tab w:val="right" w:pos="8789"/>
        </w:tabs>
        <w:spacing w:before="40" w:after="40" w:line="280" w:lineRule="exact"/>
        <w:ind w:left="567"/>
        <w:rPr>
          <w:rFonts w:ascii="Garamond" w:hAnsi="Garamond"/>
          <w:b/>
          <w:color w:val="000000"/>
          <w:szCs w:val="22"/>
          <w:lang w:val="en-GB"/>
        </w:rPr>
      </w:pPr>
      <w:hyperlink w:anchor="C3_Part2" w:history="1">
        <w:r w:rsidRPr="0007400D">
          <w:rPr>
            <w:rStyle w:val="Hyperlink"/>
            <w:rFonts w:ascii="Garamond" w:hAnsi="Garamond"/>
            <w:b/>
            <w:color w:val="000000"/>
            <w:szCs w:val="22"/>
            <w:u w:val="none"/>
            <w:lang w:val="en-GB"/>
          </w:rPr>
          <w:t>P</w:t>
        </w:r>
        <w:r w:rsidRPr="0007400D">
          <w:rPr>
            <w:rStyle w:val="Hyperlink"/>
            <w:rFonts w:ascii="Garamond" w:hAnsi="Garamond"/>
            <w:b/>
            <w:color w:val="000000"/>
            <w:sz w:val="18"/>
            <w:szCs w:val="18"/>
            <w:u w:val="none"/>
            <w:lang w:val="en-GB"/>
          </w:rPr>
          <w:t>ART</w:t>
        </w:r>
        <w:r w:rsidRPr="0007400D">
          <w:rPr>
            <w:rStyle w:val="Hyperlink"/>
            <w:rFonts w:ascii="Garamond" w:hAnsi="Garamond"/>
            <w:b/>
            <w:color w:val="000000"/>
            <w:szCs w:val="22"/>
            <w:u w:val="none"/>
            <w:lang w:val="en-GB"/>
          </w:rPr>
          <w:t xml:space="preserve"> II: I</w:t>
        </w:r>
        <w:r w:rsidRPr="0007400D">
          <w:rPr>
            <w:rStyle w:val="Hyperlink"/>
            <w:rFonts w:ascii="Garamond" w:hAnsi="Garamond"/>
            <w:b/>
            <w:color w:val="000000"/>
            <w:sz w:val="18"/>
            <w:szCs w:val="18"/>
            <w:u w:val="none"/>
            <w:lang w:val="en-GB"/>
          </w:rPr>
          <w:t>NPUT</w:t>
        </w:r>
        <w:r w:rsidRPr="0007400D">
          <w:rPr>
            <w:rStyle w:val="Hyperlink"/>
            <w:rFonts w:ascii="Garamond" w:hAnsi="Garamond"/>
            <w:b/>
            <w:color w:val="000000"/>
            <w:szCs w:val="22"/>
            <w:u w:val="none"/>
            <w:lang w:val="en-GB"/>
          </w:rPr>
          <w:t xml:space="preserve"> E</w:t>
        </w:r>
        <w:r w:rsidRPr="0007400D">
          <w:rPr>
            <w:rStyle w:val="Hyperlink"/>
            <w:rFonts w:ascii="Garamond" w:hAnsi="Garamond"/>
            <w:b/>
            <w:color w:val="000000"/>
            <w:sz w:val="18"/>
            <w:szCs w:val="18"/>
            <w:u w:val="none"/>
            <w:lang w:val="en-GB"/>
          </w:rPr>
          <w:t>STIMATION</w:t>
        </w:r>
      </w:hyperlink>
      <w:r w:rsidRPr="0007400D">
        <w:rPr>
          <w:rFonts w:ascii="Garamond" w:hAnsi="Garamond"/>
          <w:b/>
          <w:color w:val="000000"/>
          <w:szCs w:val="22"/>
          <w:lang w:val="en-GB"/>
        </w:rPr>
        <w:tab/>
      </w:r>
      <w:r w:rsidRPr="0007400D">
        <w:rPr>
          <w:rFonts w:ascii="Garamond" w:hAnsi="Garamond"/>
          <w:b/>
          <w:color w:val="000000"/>
          <w:szCs w:val="22"/>
          <w:lang w:val="en-GB"/>
        </w:rPr>
        <w:tab/>
      </w:r>
      <w:r w:rsidRPr="0007400D">
        <w:rPr>
          <w:rFonts w:ascii="Garamond" w:hAnsi="Garamond"/>
          <w:b/>
          <w:color w:val="000000"/>
          <w:sz w:val="20"/>
          <w:lang w:val="en-GB"/>
        </w:rPr>
        <w:t>41</w:t>
      </w:r>
    </w:p>
    <w:p w:rsidR="001C7C52" w:rsidRPr="0007400D" w:rsidRDefault="001C7C52" w:rsidP="0007400D">
      <w:pPr>
        <w:pStyle w:val="000"/>
        <w:numPr>
          <w:ilvl w:val="1"/>
          <w:numId w:val="11"/>
        </w:numPr>
        <w:tabs>
          <w:tab w:val="clear" w:pos="570"/>
          <w:tab w:val="num" w:pos="1276"/>
          <w:tab w:val="left" w:pos="7938"/>
          <w:tab w:val="right" w:pos="8789"/>
        </w:tabs>
        <w:spacing w:before="30" w:after="30" w:line="240" w:lineRule="auto"/>
        <w:ind w:left="1276" w:hanging="425"/>
        <w:rPr>
          <w:rFonts w:ascii="Garamond" w:hAnsi="Garamond"/>
          <w:b/>
          <w:color w:val="000000"/>
          <w:sz w:val="20"/>
          <w:lang w:val="en-GB"/>
        </w:rPr>
      </w:pPr>
      <w:hyperlink w:anchor="S210" w:history="1">
        <w:r w:rsidRPr="0007400D">
          <w:rPr>
            <w:rStyle w:val="Hyperlink"/>
            <w:rFonts w:ascii="Garamond" w:hAnsi="Garamond"/>
            <w:b/>
            <w:color w:val="000000"/>
            <w:sz w:val="20"/>
            <w:u w:val="none"/>
            <w:lang w:val="en-GB"/>
          </w:rPr>
          <w:t>Credit Migration Matrices</w:t>
        </w:r>
      </w:hyperlink>
      <w:r w:rsidRPr="0007400D">
        <w:rPr>
          <w:rFonts w:ascii="Garamond" w:hAnsi="Garamond"/>
          <w:b/>
          <w:color w:val="000000"/>
          <w:sz w:val="20"/>
          <w:lang w:val="en-GB"/>
        </w:rPr>
        <w:tab/>
      </w:r>
      <w:r w:rsidRPr="0007400D">
        <w:rPr>
          <w:rFonts w:ascii="Garamond" w:hAnsi="Garamond"/>
          <w:b/>
          <w:color w:val="000000"/>
          <w:sz w:val="20"/>
          <w:lang w:val="en-GB"/>
        </w:rPr>
        <w:tab/>
        <w:t>42</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11" w:history="1">
        <w:r w:rsidRPr="0007400D">
          <w:rPr>
            <w:rStyle w:val="Hyperlink"/>
            <w:rFonts w:ascii="Garamond" w:hAnsi="Garamond"/>
            <w:color w:val="000000"/>
            <w:sz w:val="20"/>
            <w:u w:val="none"/>
            <w:lang w:val="en-GB"/>
          </w:rPr>
          <w:t>Standard &amp; Poor’s Credit Ratings Data</w:t>
        </w:r>
      </w:hyperlink>
      <w:r w:rsidRPr="0007400D">
        <w:rPr>
          <w:rFonts w:ascii="Garamond" w:hAnsi="Garamond"/>
          <w:color w:val="000000"/>
          <w:sz w:val="20"/>
          <w:lang w:val="en-GB"/>
        </w:rPr>
        <w:tab/>
      </w:r>
      <w:r w:rsidRPr="0007400D">
        <w:rPr>
          <w:rFonts w:ascii="Garamond" w:hAnsi="Garamond"/>
          <w:color w:val="000000"/>
          <w:sz w:val="20"/>
          <w:lang w:val="en-GB"/>
        </w:rPr>
        <w:tab/>
        <w:t>42</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12" w:history="1">
        <w:r w:rsidRPr="0007400D">
          <w:rPr>
            <w:rStyle w:val="Hyperlink"/>
            <w:rFonts w:ascii="Garamond" w:hAnsi="Garamond"/>
            <w:color w:val="000000"/>
            <w:sz w:val="20"/>
            <w:u w:val="none"/>
            <w:lang w:val="en-GB"/>
          </w:rPr>
          <w:t>The Cohort Method</w:t>
        </w:r>
      </w:hyperlink>
      <w:r w:rsidRPr="0007400D">
        <w:rPr>
          <w:rFonts w:ascii="Garamond" w:hAnsi="Garamond"/>
          <w:color w:val="000000"/>
          <w:sz w:val="20"/>
          <w:lang w:val="en-GB"/>
        </w:rPr>
        <w:tab/>
      </w:r>
      <w:r w:rsidRPr="0007400D">
        <w:rPr>
          <w:rFonts w:ascii="Garamond" w:hAnsi="Garamond"/>
          <w:color w:val="000000"/>
          <w:sz w:val="20"/>
          <w:lang w:val="en-GB"/>
        </w:rPr>
        <w:tab/>
        <w:t>43</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13" w:history="1">
        <w:r w:rsidRPr="0007400D">
          <w:rPr>
            <w:rStyle w:val="Hyperlink"/>
            <w:rFonts w:ascii="Garamond" w:hAnsi="Garamond"/>
            <w:color w:val="000000"/>
            <w:sz w:val="20"/>
            <w:u w:val="none"/>
            <w:lang w:val="en-GB"/>
          </w:rPr>
          <w:t>The Duration Method</w:t>
        </w:r>
      </w:hyperlink>
      <w:r w:rsidRPr="0007400D">
        <w:rPr>
          <w:rFonts w:ascii="Garamond" w:hAnsi="Garamond"/>
          <w:color w:val="000000"/>
          <w:sz w:val="20"/>
          <w:lang w:val="en-GB"/>
        </w:rPr>
        <w:tab/>
      </w:r>
      <w:r w:rsidRPr="0007400D">
        <w:rPr>
          <w:rFonts w:ascii="Garamond" w:hAnsi="Garamond"/>
          <w:color w:val="000000"/>
          <w:sz w:val="20"/>
          <w:lang w:val="en-GB"/>
        </w:rPr>
        <w:tab/>
        <w:t>44</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14" w:history="1">
        <w:r w:rsidRPr="0007400D">
          <w:rPr>
            <w:rStyle w:val="Hyperlink"/>
            <w:rFonts w:ascii="Garamond" w:hAnsi="Garamond"/>
            <w:color w:val="000000"/>
            <w:sz w:val="20"/>
            <w:u w:val="none"/>
            <w:lang w:val="en-GB"/>
          </w:rPr>
          <w:t>The Aalen-Johansen Estimator</w:t>
        </w:r>
      </w:hyperlink>
      <w:r w:rsidRPr="0007400D">
        <w:rPr>
          <w:rFonts w:ascii="Garamond" w:hAnsi="Garamond"/>
          <w:color w:val="000000"/>
          <w:sz w:val="20"/>
          <w:lang w:val="en-GB"/>
        </w:rPr>
        <w:tab/>
      </w:r>
      <w:r w:rsidRPr="0007400D">
        <w:rPr>
          <w:rFonts w:ascii="Garamond" w:hAnsi="Garamond"/>
          <w:color w:val="000000"/>
          <w:sz w:val="20"/>
          <w:lang w:val="en-GB"/>
        </w:rPr>
        <w:tab/>
        <w:t>45</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15" w:history="1">
        <w:r w:rsidRPr="0007400D">
          <w:rPr>
            <w:rStyle w:val="Hyperlink"/>
            <w:rFonts w:ascii="Garamond" w:hAnsi="Garamond"/>
            <w:color w:val="000000"/>
            <w:sz w:val="20"/>
            <w:u w:val="none"/>
            <w:lang w:val="en-GB"/>
          </w:rPr>
          <w:t>Results and Comparison</w:t>
        </w:r>
      </w:hyperlink>
      <w:r w:rsidRPr="0007400D">
        <w:rPr>
          <w:rFonts w:ascii="Garamond" w:hAnsi="Garamond"/>
          <w:color w:val="000000"/>
          <w:sz w:val="20"/>
          <w:lang w:val="en-GB"/>
        </w:rPr>
        <w:tab/>
      </w:r>
      <w:r w:rsidRPr="0007400D">
        <w:rPr>
          <w:rFonts w:ascii="Garamond" w:hAnsi="Garamond"/>
          <w:color w:val="000000"/>
          <w:sz w:val="20"/>
          <w:lang w:val="en-GB"/>
        </w:rPr>
        <w:tab/>
        <w:t>46</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16" w:history="1">
        <w:r w:rsidRPr="0007400D">
          <w:rPr>
            <w:rStyle w:val="Hyperlink"/>
            <w:rFonts w:ascii="Garamond" w:hAnsi="Garamond"/>
            <w:color w:val="000000"/>
            <w:sz w:val="20"/>
            <w:u w:val="none"/>
            <w:lang w:val="en-GB"/>
          </w:rPr>
          <w:t>Conditional Credit Migration Matrices</w:t>
        </w:r>
      </w:hyperlink>
      <w:r w:rsidRPr="0007400D">
        <w:rPr>
          <w:rFonts w:ascii="Garamond" w:hAnsi="Garamond"/>
          <w:color w:val="000000"/>
          <w:sz w:val="20"/>
          <w:lang w:val="en-GB"/>
        </w:rPr>
        <w:tab/>
      </w:r>
      <w:r w:rsidRPr="0007400D">
        <w:rPr>
          <w:rFonts w:ascii="Garamond" w:hAnsi="Garamond"/>
          <w:color w:val="000000"/>
          <w:sz w:val="20"/>
          <w:lang w:val="en-GB"/>
        </w:rPr>
        <w:tab/>
        <w:t>49</w:t>
      </w:r>
    </w:p>
    <w:p w:rsidR="001C7C52" w:rsidRPr="0007400D" w:rsidRDefault="001C7C52" w:rsidP="0007400D">
      <w:pPr>
        <w:pStyle w:val="000"/>
        <w:numPr>
          <w:ilvl w:val="1"/>
          <w:numId w:val="11"/>
        </w:numPr>
        <w:tabs>
          <w:tab w:val="clear" w:pos="570"/>
          <w:tab w:val="num" w:pos="1276"/>
          <w:tab w:val="left" w:pos="7938"/>
          <w:tab w:val="right" w:pos="8789"/>
        </w:tabs>
        <w:spacing w:before="30" w:after="30" w:line="240" w:lineRule="auto"/>
        <w:ind w:left="1276" w:hanging="425"/>
        <w:rPr>
          <w:rFonts w:ascii="Garamond" w:hAnsi="Garamond"/>
          <w:b/>
          <w:color w:val="000000"/>
          <w:sz w:val="20"/>
          <w:lang w:val="en-GB"/>
        </w:rPr>
      </w:pPr>
      <w:hyperlink w:anchor="S220" w:history="1">
        <w:r w:rsidRPr="0007400D">
          <w:rPr>
            <w:rStyle w:val="Hyperlink"/>
            <w:rFonts w:ascii="Garamond" w:hAnsi="Garamond"/>
            <w:b/>
            <w:color w:val="000000"/>
            <w:sz w:val="20"/>
            <w:u w:val="none"/>
            <w:lang w:val="en-GB"/>
          </w:rPr>
          <w:t>Issuer Correlation and Autocorrelation</w:t>
        </w:r>
      </w:hyperlink>
      <w:r w:rsidRPr="0007400D">
        <w:rPr>
          <w:rFonts w:ascii="Garamond" w:hAnsi="Garamond"/>
          <w:b/>
          <w:color w:val="000000"/>
          <w:sz w:val="20"/>
          <w:lang w:val="en-GB"/>
        </w:rPr>
        <w:tab/>
      </w:r>
      <w:r w:rsidRPr="0007400D">
        <w:rPr>
          <w:rFonts w:ascii="Garamond" w:hAnsi="Garamond"/>
          <w:b/>
          <w:color w:val="000000"/>
          <w:sz w:val="20"/>
          <w:lang w:val="en-GB"/>
        </w:rPr>
        <w:tab/>
        <w:t>51</w:t>
      </w:r>
    </w:p>
    <w:p w:rsidR="001C7C52" w:rsidRPr="0007400D" w:rsidRDefault="001C7C52" w:rsidP="0007400D">
      <w:pPr>
        <w:pStyle w:val="000"/>
        <w:numPr>
          <w:ilvl w:val="2"/>
          <w:numId w:val="11"/>
        </w:numPr>
        <w:tabs>
          <w:tab w:val="clear" w:pos="720"/>
          <w:tab w:val="left" w:pos="7938"/>
          <w:tab w:val="right" w:pos="8789"/>
        </w:tabs>
        <w:spacing w:line="240" w:lineRule="auto"/>
        <w:ind w:left="1985" w:hanging="709"/>
        <w:rPr>
          <w:rFonts w:ascii="Garamond" w:hAnsi="Garamond"/>
          <w:color w:val="000000"/>
          <w:sz w:val="20"/>
          <w:lang w:val="en-GB"/>
        </w:rPr>
      </w:pPr>
      <w:hyperlink w:anchor="S221" w:history="1">
        <w:r w:rsidRPr="0007400D">
          <w:rPr>
            <w:rStyle w:val="Hyperlink"/>
            <w:rFonts w:ascii="Garamond" w:hAnsi="Garamond"/>
            <w:color w:val="000000"/>
            <w:sz w:val="20"/>
            <w:u w:val="none"/>
            <w:lang w:val="en-GB"/>
          </w:rPr>
          <w:t>Equity Return Correlation</w:t>
        </w:r>
      </w:hyperlink>
      <w:r w:rsidRPr="0007400D">
        <w:rPr>
          <w:rFonts w:ascii="Garamond" w:hAnsi="Garamond"/>
          <w:color w:val="000000"/>
          <w:sz w:val="20"/>
          <w:lang w:val="en-GB"/>
        </w:rPr>
        <w:tab/>
      </w:r>
      <w:r w:rsidRPr="0007400D">
        <w:rPr>
          <w:rFonts w:ascii="Garamond" w:hAnsi="Garamond"/>
          <w:color w:val="000000"/>
          <w:sz w:val="20"/>
          <w:lang w:val="en-GB"/>
        </w:rPr>
        <w:tab/>
        <w:t>51</w:t>
      </w:r>
    </w:p>
    <w:p w:rsidR="001C7C52" w:rsidRPr="0007400D" w:rsidRDefault="001C7C52" w:rsidP="0007400D">
      <w:pPr>
        <w:pStyle w:val="000"/>
        <w:numPr>
          <w:ilvl w:val="2"/>
          <w:numId w:val="11"/>
        </w:numPr>
        <w:tabs>
          <w:tab w:val="clear" w:pos="720"/>
          <w:tab w:val="left" w:pos="7938"/>
          <w:tab w:val="right" w:pos="8789"/>
        </w:tabs>
        <w:spacing w:line="240" w:lineRule="auto"/>
        <w:ind w:left="1985" w:hanging="709"/>
        <w:rPr>
          <w:rFonts w:ascii="Garamond" w:hAnsi="Garamond"/>
          <w:color w:val="000000"/>
          <w:sz w:val="20"/>
          <w:lang w:val="en-GB"/>
        </w:rPr>
      </w:pPr>
      <w:hyperlink w:anchor="S222" w:history="1">
        <w:r w:rsidRPr="0007400D">
          <w:rPr>
            <w:rStyle w:val="Hyperlink"/>
            <w:rFonts w:ascii="Garamond" w:hAnsi="Garamond"/>
            <w:color w:val="000000"/>
            <w:sz w:val="20"/>
            <w:u w:val="none"/>
            <w:lang w:val="en-GB"/>
          </w:rPr>
          <w:t>Asset Correlation based on Default Rates</w:t>
        </w:r>
      </w:hyperlink>
      <w:r w:rsidRPr="0007400D">
        <w:rPr>
          <w:rFonts w:ascii="Garamond" w:hAnsi="Garamond"/>
          <w:color w:val="000000"/>
          <w:sz w:val="20"/>
          <w:lang w:val="en-GB"/>
        </w:rPr>
        <w:tab/>
      </w:r>
      <w:r w:rsidRPr="0007400D">
        <w:rPr>
          <w:rFonts w:ascii="Garamond" w:hAnsi="Garamond"/>
          <w:color w:val="000000"/>
          <w:sz w:val="20"/>
          <w:lang w:val="en-GB"/>
        </w:rPr>
        <w:tab/>
        <w:t>54</w:t>
      </w:r>
    </w:p>
    <w:p w:rsidR="001C7C52" w:rsidRPr="0007400D" w:rsidRDefault="001C7C52" w:rsidP="0007400D">
      <w:pPr>
        <w:pStyle w:val="000"/>
        <w:numPr>
          <w:ilvl w:val="1"/>
          <w:numId w:val="11"/>
        </w:numPr>
        <w:tabs>
          <w:tab w:val="clear" w:pos="570"/>
          <w:tab w:val="num" w:pos="1276"/>
          <w:tab w:val="left" w:pos="7938"/>
          <w:tab w:val="right" w:pos="8789"/>
        </w:tabs>
        <w:spacing w:before="30" w:after="30" w:line="240" w:lineRule="auto"/>
        <w:ind w:left="1276" w:hanging="425"/>
        <w:rPr>
          <w:rFonts w:ascii="Garamond" w:hAnsi="Garamond"/>
          <w:b/>
          <w:color w:val="000000"/>
          <w:sz w:val="20"/>
          <w:lang w:val="en-GB"/>
        </w:rPr>
      </w:pPr>
      <w:hyperlink w:anchor="S230" w:history="1">
        <w:r w:rsidRPr="0007400D">
          <w:rPr>
            <w:rStyle w:val="Hyperlink"/>
            <w:rFonts w:ascii="Garamond" w:hAnsi="Garamond"/>
            <w:b/>
            <w:color w:val="000000"/>
            <w:sz w:val="20"/>
            <w:u w:val="none"/>
            <w:lang w:val="en-GB"/>
          </w:rPr>
          <w:t>Corporate Bond Portfolios</w:t>
        </w:r>
      </w:hyperlink>
      <w:r w:rsidRPr="0007400D">
        <w:rPr>
          <w:rFonts w:ascii="Garamond" w:hAnsi="Garamond"/>
          <w:b/>
          <w:color w:val="000000"/>
          <w:sz w:val="20"/>
          <w:lang w:val="en-GB"/>
        </w:rPr>
        <w:tab/>
      </w:r>
      <w:r w:rsidRPr="0007400D">
        <w:rPr>
          <w:rFonts w:ascii="Garamond" w:hAnsi="Garamond"/>
          <w:b/>
          <w:color w:val="000000"/>
          <w:sz w:val="20"/>
          <w:lang w:val="en-GB"/>
        </w:rPr>
        <w:tab/>
        <w:t>58</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31" w:history="1">
        <w:r w:rsidRPr="0007400D">
          <w:rPr>
            <w:rStyle w:val="Hyperlink"/>
            <w:rFonts w:ascii="Garamond" w:hAnsi="Garamond"/>
            <w:color w:val="000000"/>
            <w:sz w:val="20"/>
            <w:u w:val="none"/>
            <w:lang w:val="en-GB"/>
          </w:rPr>
          <w:t>Portfolio Construction</w:t>
        </w:r>
      </w:hyperlink>
      <w:r w:rsidRPr="0007400D">
        <w:rPr>
          <w:rFonts w:ascii="Garamond" w:hAnsi="Garamond"/>
          <w:color w:val="000000"/>
          <w:sz w:val="20"/>
          <w:lang w:val="en-GB"/>
        </w:rPr>
        <w:tab/>
      </w:r>
      <w:r w:rsidRPr="0007400D">
        <w:rPr>
          <w:rFonts w:ascii="Garamond" w:hAnsi="Garamond"/>
          <w:color w:val="000000"/>
          <w:sz w:val="20"/>
          <w:lang w:val="en-GB"/>
        </w:rPr>
        <w:tab/>
        <w:t>58</w:t>
      </w:r>
    </w:p>
    <w:p w:rsidR="001C7C52" w:rsidRPr="0007400D" w:rsidRDefault="001C7C52" w:rsidP="0007400D">
      <w:pPr>
        <w:pStyle w:val="000"/>
        <w:numPr>
          <w:ilvl w:val="2"/>
          <w:numId w:val="11"/>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232" w:history="1">
        <w:r w:rsidRPr="0007400D">
          <w:rPr>
            <w:rStyle w:val="Hyperlink"/>
            <w:rFonts w:ascii="Garamond" w:hAnsi="Garamond"/>
            <w:color w:val="000000"/>
            <w:sz w:val="20"/>
            <w:u w:val="none"/>
            <w:lang w:val="en-GB"/>
          </w:rPr>
          <w:t>Liquidity horizons</w:t>
        </w:r>
      </w:hyperlink>
      <w:r w:rsidRPr="0007400D">
        <w:rPr>
          <w:rFonts w:ascii="Garamond" w:hAnsi="Garamond"/>
          <w:color w:val="000000"/>
          <w:sz w:val="20"/>
          <w:lang w:val="en-GB"/>
        </w:rPr>
        <w:tab/>
      </w:r>
      <w:r w:rsidRPr="0007400D">
        <w:rPr>
          <w:rFonts w:ascii="Garamond" w:hAnsi="Garamond"/>
          <w:color w:val="000000"/>
          <w:sz w:val="20"/>
          <w:lang w:val="en-GB"/>
        </w:rPr>
        <w:tab/>
        <w:t>61</w:t>
      </w:r>
    </w:p>
    <w:p w:rsidR="001C7C52" w:rsidRPr="0007400D" w:rsidRDefault="001C7C52" w:rsidP="0007400D">
      <w:pPr>
        <w:pStyle w:val="000"/>
        <w:tabs>
          <w:tab w:val="left" w:pos="7938"/>
          <w:tab w:val="right" w:pos="8789"/>
        </w:tabs>
        <w:spacing w:before="40" w:after="40" w:line="280" w:lineRule="exact"/>
        <w:ind w:left="567"/>
        <w:rPr>
          <w:rFonts w:ascii="Garamond" w:hAnsi="Garamond"/>
          <w:b/>
          <w:color w:val="000000"/>
          <w:szCs w:val="22"/>
          <w:lang w:val="en-GB"/>
        </w:rPr>
      </w:pPr>
      <w:hyperlink w:anchor="C4_Part3" w:history="1">
        <w:r w:rsidRPr="0007400D">
          <w:rPr>
            <w:rStyle w:val="Hyperlink"/>
            <w:rFonts w:ascii="Garamond" w:hAnsi="Garamond"/>
            <w:b/>
            <w:color w:val="000000"/>
            <w:szCs w:val="22"/>
            <w:u w:val="none"/>
            <w:lang w:val="en-GB"/>
          </w:rPr>
          <w:t>P</w:t>
        </w:r>
        <w:r w:rsidRPr="0007400D">
          <w:rPr>
            <w:rStyle w:val="Hyperlink"/>
            <w:rFonts w:ascii="Garamond" w:hAnsi="Garamond"/>
            <w:b/>
            <w:color w:val="000000"/>
            <w:sz w:val="18"/>
            <w:szCs w:val="18"/>
            <w:u w:val="none"/>
            <w:lang w:val="en-GB"/>
          </w:rPr>
          <w:t>ART</w:t>
        </w:r>
        <w:r w:rsidRPr="0007400D">
          <w:rPr>
            <w:rStyle w:val="Hyperlink"/>
            <w:rFonts w:ascii="Garamond" w:hAnsi="Garamond"/>
            <w:b/>
            <w:color w:val="000000"/>
            <w:szCs w:val="22"/>
            <w:u w:val="none"/>
            <w:lang w:val="en-GB"/>
          </w:rPr>
          <w:t xml:space="preserve"> III: M</w:t>
        </w:r>
        <w:r w:rsidRPr="0007400D">
          <w:rPr>
            <w:rStyle w:val="Hyperlink"/>
            <w:rFonts w:ascii="Garamond" w:hAnsi="Garamond"/>
            <w:b/>
            <w:color w:val="000000"/>
            <w:sz w:val="18"/>
            <w:szCs w:val="18"/>
            <w:u w:val="none"/>
            <w:lang w:val="en-GB"/>
          </w:rPr>
          <w:t>ODEL</w:t>
        </w:r>
        <w:r w:rsidRPr="0007400D">
          <w:rPr>
            <w:rStyle w:val="Hyperlink"/>
            <w:rFonts w:ascii="Garamond" w:hAnsi="Garamond"/>
            <w:b/>
            <w:color w:val="000000"/>
            <w:szCs w:val="22"/>
            <w:u w:val="none"/>
            <w:lang w:val="en-GB"/>
          </w:rPr>
          <w:t xml:space="preserve"> A</w:t>
        </w:r>
        <w:r w:rsidRPr="0007400D">
          <w:rPr>
            <w:rStyle w:val="Hyperlink"/>
            <w:rFonts w:ascii="Garamond" w:hAnsi="Garamond"/>
            <w:b/>
            <w:color w:val="000000"/>
            <w:sz w:val="18"/>
            <w:szCs w:val="18"/>
            <w:u w:val="none"/>
            <w:lang w:val="en-GB"/>
          </w:rPr>
          <w:t>SSESSMENT</w:t>
        </w:r>
      </w:hyperlink>
      <w:r w:rsidRPr="0007400D">
        <w:rPr>
          <w:rFonts w:ascii="Garamond" w:hAnsi="Garamond"/>
          <w:b/>
          <w:color w:val="000000"/>
          <w:szCs w:val="22"/>
          <w:lang w:val="en-GB"/>
        </w:rPr>
        <w:tab/>
      </w:r>
      <w:r w:rsidRPr="0007400D">
        <w:rPr>
          <w:rFonts w:ascii="Garamond" w:hAnsi="Garamond"/>
          <w:b/>
          <w:color w:val="000000"/>
          <w:szCs w:val="22"/>
          <w:lang w:val="en-GB"/>
        </w:rPr>
        <w:tab/>
      </w:r>
      <w:r w:rsidRPr="0007400D">
        <w:rPr>
          <w:rFonts w:ascii="Garamond" w:hAnsi="Garamond"/>
          <w:b/>
          <w:color w:val="000000"/>
          <w:sz w:val="20"/>
          <w:lang w:val="en-GB"/>
        </w:rPr>
        <w:t>62</w:t>
      </w:r>
    </w:p>
    <w:p w:rsidR="001C7C52" w:rsidRPr="0007400D" w:rsidRDefault="001C7C52" w:rsidP="0007400D">
      <w:pPr>
        <w:pStyle w:val="000"/>
        <w:numPr>
          <w:ilvl w:val="1"/>
          <w:numId w:val="12"/>
        </w:numPr>
        <w:tabs>
          <w:tab w:val="clear" w:pos="570"/>
          <w:tab w:val="num" w:pos="1276"/>
          <w:tab w:val="left" w:pos="7938"/>
          <w:tab w:val="right" w:pos="8789"/>
        </w:tabs>
        <w:spacing w:before="30" w:after="30" w:line="240" w:lineRule="auto"/>
        <w:ind w:left="1276" w:hanging="425"/>
        <w:rPr>
          <w:rFonts w:ascii="Garamond" w:hAnsi="Garamond"/>
          <w:b/>
          <w:color w:val="000000"/>
          <w:sz w:val="20"/>
          <w:lang w:val="en-GB"/>
        </w:rPr>
      </w:pPr>
      <w:hyperlink w:anchor="S310" w:history="1">
        <w:r w:rsidRPr="0007400D">
          <w:rPr>
            <w:rStyle w:val="Hyperlink"/>
            <w:rFonts w:ascii="Garamond" w:hAnsi="Garamond"/>
            <w:b/>
            <w:color w:val="000000"/>
            <w:sz w:val="20"/>
            <w:u w:val="none"/>
            <w:lang w:val="en-GB"/>
          </w:rPr>
          <w:t>Model Estimation</w:t>
        </w:r>
      </w:hyperlink>
      <w:r w:rsidRPr="0007400D">
        <w:rPr>
          <w:rFonts w:ascii="Garamond" w:hAnsi="Garamond"/>
          <w:b/>
          <w:color w:val="000000"/>
          <w:sz w:val="20"/>
          <w:lang w:val="en-GB"/>
        </w:rPr>
        <w:tab/>
      </w:r>
      <w:r w:rsidRPr="0007400D">
        <w:rPr>
          <w:rFonts w:ascii="Garamond" w:hAnsi="Garamond"/>
          <w:b/>
          <w:color w:val="000000"/>
          <w:sz w:val="20"/>
          <w:lang w:val="en-GB"/>
        </w:rPr>
        <w:tab/>
        <w:t>63</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11" w:history="1">
        <w:r w:rsidRPr="0007400D">
          <w:rPr>
            <w:rStyle w:val="Hyperlink"/>
            <w:rFonts w:ascii="Garamond" w:hAnsi="Garamond"/>
            <w:color w:val="000000"/>
            <w:sz w:val="20"/>
            <w:u w:val="none"/>
            <w:lang w:val="en-GB"/>
          </w:rPr>
          <w:t>Stand-Alone Risk</w:t>
        </w:r>
      </w:hyperlink>
      <w:r w:rsidRPr="0007400D">
        <w:rPr>
          <w:rFonts w:ascii="Garamond" w:hAnsi="Garamond"/>
          <w:color w:val="000000"/>
          <w:sz w:val="20"/>
          <w:lang w:val="en-GB"/>
        </w:rPr>
        <w:tab/>
      </w:r>
      <w:r w:rsidRPr="0007400D">
        <w:rPr>
          <w:rFonts w:ascii="Garamond" w:hAnsi="Garamond"/>
          <w:color w:val="000000"/>
          <w:sz w:val="20"/>
          <w:lang w:val="en-GB"/>
        </w:rPr>
        <w:tab/>
        <w:t>64</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12" w:history="1">
        <w:r w:rsidRPr="0007400D">
          <w:rPr>
            <w:rStyle w:val="Hyperlink"/>
            <w:rFonts w:ascii="Garamond" w:hAnsi="Garamond"/>
            <w:color w:val="000000"/>
            <w:sz w:val="20"/>
            <w:u w:val="none"/>
            <w:lang w:val="en-GB"/>
          </w:rPr>
          <w:t>Correlations</w:t>
        </w:r>
      </w:hyperlink>
      <w:r w:rsidRPr="0007400D">
        <w:rPr>
          <w:rFonts w:ascii="Garamond" w:hAnsi="Garamond"/>
          <w:color w:val="000000"/>
          <w:sz w:val="20"/>
          <w:lang w:val="en-GB"/>
        </w:rPr>
        <w:tab/>
      </w:r>
      <w:r w:rsidRPr="0007400D">
        <w:rPr>
          <w:rFonts w:ascii="Garamond" w:hAnsi="Garamond"/>
          <w:color w:val="000000"/>
          <w:sz w:val="20"/>
          <w:lang w:val="en-GB"/>
        </w:rPr>
        <w:tab/>
        <w:t>68</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13" w:history="1">
        <w:r w:rsidRPr="0007400D">
          <w:rPr>
            <w:rStyle w:val="Hyperlink"/>
            <w:rFonts w:ascii="Garamond" w:hAnsi="Garamond"/>
            <w:color w:val="000000"/>
            <w:sz w:val="20"/>
            <w:u w:val="none"/>
            <w:lang w:val="en-GB"/>
          </w:rPr>
          <w:t>Liquidity Horizons</w:t>
        </w:r>
      </w:hyperlink>
      <w:r w:rsidRPr="0007400D">
        <w:rPr>
          <w:rFonts w:ascii="Garamond" w:hAnsi="Garamond"/>
          <w:color w:val="000000"/>
          <w:sz w:val="20"/>
          <w:lang w:val="en-GB"/>
        </w:rPr>
        <w:tab/>
      </w:r>
      <w:r w:rsidRPr="0007400D">
        <w:rPr>
          <w:rFonts w:ascii="Garamond" w:hAnsi="Garamond"/>
          <w:color w:val="000000"/>
          <w:sz w:val="20"/>
          <w:lang w:val="en-GB"/>
        </w:rPr>
        <w:tab/>
        <w:t>73</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14" w:history="1">
        <w:r w:rsidRPr="0007400D">
          <w:rPr>
            <w:rStyle w:val="Hyperlink"/>
            <w:rFonts w:ascii="Garamond" w:hAnsi="Garamond"/>
            <w:color w:val="000000"/>
            <w:sz w:val="20"/>
            <w:u w:val="none"/>
            <w:lang w:val="en-GB"/>
          </w:rPr>
          <w:t>Concentrated Positions</w:t>
        </w:r>
      </w:hyperlink>
      <w:r w:rsidRPr="0007400D">
        <w:rPr>
          <w:rFonts w:ascii="Garamond" w:hAnsi="Garamond"/>
          <w:color w:val="000000"/>
          <w:sz w:val="20"/>
          <w:lang w:val="en-GB"/>
        </w:rPr>
        <w:tab/>
      </w:r>
      <w:r w:rsidRPr="0007400D">
        <w:rPr>
          <w:rFonts w:ascii="Garamond" w:hAnsi="Garamond"/>
          <w:color w:val="000000"/>
          <w:sz w:val="20"/>
          <w:lang w:val="en-GB"/>
        </w:rPr>
        <w:tab/>
        <w:t>76</w:t>
      </w:r>
    </w:p>
    <w:p w:rsidR="001C7C52" w:rsidRPr="0007400D" w:rsidRDefault="001C7C52" w:rsidP="0007400D">
      <w:pPr>
        <w:pStyle w:val="000"/>
        <w:numPr>
          <w:ilvl w:val="1"/>
          <w:numId w:val="12"/>
        </w:numPr>
        <w:tabs>
          <w:tab w:val="clear" w:pos="570"/>
          <w:tab w:val="num" w:pos="1276"/>
          <w:tab w:val="left" w:pos="7938"/>
          <w:tab w:val="right" w:pos="8789"/>
        </w:tabs>
        <w:spacing w:before="30" w:after="30" w:line="240" w:lineRule="auto"/>
        <w:ind w:left="1276" w:hanging="425"/>
        <w:rPr>
          <w:rFonts w:ascii="Garamond" w:hAnsi="Garamond"/>
          <w:b/>
          <w:color w:val="000000"/>
          <w:sz w:val="20"/>
          <w:lang w:val="en-GB"/>
        </w:rPr>
      </w:pPr>
      <w:hyperlink w:anchor="S320" w:history="1">
        <w:r w:rsidRPr="0007400D">
          <w:rPr>
            <w:rStyle w:val="Hyperlink"/>
            <w:rFonts w:ascii="Garamond" w:hAnsi="Garamond"/>
            <w:b/>
            <w:color w:val="000000"/>
            <w:sz w:val="20"/>
            <w:u w:val="none"/>
            <w:lang w:val="en-GB"/>
          </w:rPr>
          <w:t>Interpretations, Extensions and Limitations</w:t>
        </w:r>
      </w:hyperlink>
      <w:r w:rsidRPr="0007400D">
        <w:rPr>
          <w:rFonts w:ascii="Garamond" w:hAnsi="Garamond"/>
          <w:b/>
          <w:color w:val="000000"/>
          <w:sz w:val="20"/>
          <w:lang w:val="en-GB"/>
        </w:rPr>
        <w:tab/>
      </w:r>
      <w:r w:rsidRPr="0007400D">
        <w:rPr>
          <w:rFonts w:ascii="Garamond" w:hAnsi="Garamond"/>
          <w:b/>
          <w:color w:val="000000"/>
          <w:sz w:val="20"/>
          <w:lang w:val="en-GB"/>
        </w:rPr>
        <w:tab/>
        <w:t>78</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21" w:history="1">
        <w:r w:rsidRPr="0007400D">
          <w:rPr>
            <w:rStyle w:val="Hyperlink"/>
            <w:rFonts w:ascii="Garamond" w:hAnsi="Garamond"/>
            <w:color w:val="000000"/>
            <w:sz w:val="20"/>
            <w:u w:val="none"/>
            <w:lang w:val="en-GB"/>
          </w:rPr>
          <w:t>Crucial Inputs and Assumptions</w:t>
        </w:r>
      </w:hyperlink>
      <w:r w:rsidRPr="0007400D">
        <w:rPr>
          <w:rFonts w:ascii="Garamond" w:hAnsi="Garamond"/>
          <w:color w:val="000000"/>
          <w:sz w:val="20"/>
          <w:lang w:val="en-GB"/>
        </w:rPr>
        <w:tab/>
      </w:r>
      <w:r w:rsidRPr="0007400D">
        <w:rPr>
          <w:rFonts w:ascii="Garamond" w:hAnsi="Garamond"/>
          <w:color w:val="000000"/>
          <w:sz w:val="20"/>
          <w:lang w:val="en-GB"/>
        </w:rPr>
        <w:tab/>
        <w:t>78</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22" w:history="1">
        <w:r w:rsidRPr="0007400D">
          <w:rPr>
            <w:rStyle w:val="Hyperlink"/>
            <w:rFonts w:ascii="Garamond" w:hAnsi="Garamond"/>
            <w:color w:val="000000"/>
            <w:sz w:val="20"/>
            <w:u w:val="none"/>
            <w:lang w:val="en-GB"/>
          </w:rPr>
          <w:t>The Scope of the Exercise</w:t>
        </w:r>
      </w:hyperlink>
      <w:r w:rsidRPr="0007400D">
        <w:rPr>
          <w:rFonts w:ascii="Garamond" w:hAnsi="Garamond"/>
          <w:color w:val="000000"/>
          <w:sz w:val="20"/>
          <w:lang w:val="en-GB"/>
        </w:rPr>
        <w:tab/>
      </w:r>
      <w:r w:rsidRPr="0007400D">
        <w:rPr>
          <w:rFonts w:ascii="Garamond" w:hAnsi="Garamond"/>
          <w:color w:val="000000"/>
          <w:sz w:val="20"/>
          <w:lang w:val="en-GB"/>
        </w:rPr>
        <w:tab/>
        <w:t>82</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23" w:history="1">
        <w:r w:rsidRPr="0007400D">
          <w:rPr>
            <w:rStyle w:val="Hyperlink"/>
            <w:rFonts w:ascii="Garamond" w:hAnsi="Garamond"/>
            <w:color w:val="000000"/>
            <w:sz w:val="20"/>
            <w:u w:val="none"/>
            <w:lang w:val="en-GB"/>
          </w:rPr>
          <w:t>Stand-Alone Risk</w:t>
        </w:r>
      </w:hyperlink>
      <w:r w:rsidRPr="0007400D">
        <w:rPr>
          <w:rFonts w:ascii="Garamond" w:hAnsi="Garamond"/>
          <w:color w:val="000000"/>
          <w:sz w:val="20"/>
          <w:lang w:val="en-GB"/>
        </w:rPr>
        <w:tab/>
      </w:r>
      <w:r w:rsidRPr="0007400D">
        <w:rPr>
          <w:rFonts w:ascii="Garamond" w:hAnsi="Garamond"/>
          <w:color w:val="000000"/>
          <w:sz w:val="20"/>
          <w:lang w:val="en-GB"/>
        </w:rPr>
        <w:tab/>
        <w:t>83</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24" w:history="1">
        <w:r w:rsidRPr="0007400D">
          <w:rPr>
            <w:rStyle w:val="Hyperlink"/>
            <w:rFonts w:ascii="Garamond" w:hAnsi="Garamond"/>
            <w:color w:val="000000"/>
            <w:sz w:val="20"/>
            <w:u w:val="none"/>
            <w:lang w:val="en-GB"/>
          </w:rPr>
          <w:t>Correlations</w:t>
        </w:r>
      </w:hyperlink>
      <w:r w:rsidRPr="0007400D">
        <w:rPr>
          <w:rFonts w:ascii="Garamond" w:hAnsi="Garamond"/>
          <w:color w:val="000000"/>
          <w:sz w:val="20"/>
          <w:lang w:val="en-GB"/>
        </w:rPr>
        <w:tab/>
      </w:r>
      <w:r w:rsidRPr="0007400D">
        <w:rPr>
          <w:rFonts w:ascii="Garamond" w:hAnsi="Garamond"/>
          <w:color w:val="000000"/>
          <w:sz w:val="20"/>
          <w:lang w:val="en-GB"/>
        </w:rPr>
        <w:tab/>
        <w:t>88</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25" w:history="1">
        <w:r w:rsidRPr="0007400D">
          <w:rPr>
            <w:rStyle w:val="Hyperlink"/>
            <w:rFonts w:ascii="Garamond" w:hAnsi="Garamond"/>
            <w:color w:val="000000"/>
            <w:sz w:val="20"/>
            <w:u w:val="none"/>
            <w:lang w:val="en-GB"/>
          </w:rPr>
          <w:t>Constant Level of Risk Assumption</w:t>
        </w:r>
      </w:hyperlink>
      <w:r w:rsidRPr="0007400D">
        <w:rPr>
          <w:rFonts w:ascii="Garamond" w:hAnsi="Garamond"/>
          <w:color w:val="000000"/>
          <w:sz w:val="20"/>
          <w:lang w:val="en-GB"/>
        </w:rPr>
        <w:tab/>
      </w:r>
      <w:r w:rsidRPr="0007400D">
        <w:rPr>
          <w:rFonts w:ascii="Garamond" w:hAnsi="Garamond"/>
          <w:color w:val="000000"/>
          <w:sz w:val="20"/>
          <w:lang w:val="en-GB"/>
        </w:rPr>
        <w:tab/>
        <w:t>90</w:t>
      </w:r>
    </w:p>
    <w:p w:rsidR="001C7C52" w:rsidRPr="0007400D"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26" w:history="1">
        <w:r w:rsidRPr="0007400D">
          <w:rPr>
            <w:rStyle w:val="Hyperlink"/>
            <w:rFonts w:ascii="Garamond" w:hAnsi="Garamond"/>
            <w:color w:val="000000"/>
            <w:sz w:val="20"/>
            <w:u w:val="none"/>
            <w:lang w:val="en-GB"/>
          </w:rPr>
          <w:t>Additional Valuation Assumptions</w:t>
        </w:r>
      </w:hyperlink>
      <w:r w:rsidRPr="0007400D">
        <w:rPr>
          <w:rFonts w:ascii="Garamond" w:hAnsi="Garamond"/>
          <w:color w:val="000000"/>
          <w:sz w:val="20"/>
          <w:lang w:val="en-GB"/>
        </w:rPr>
        <w:tab/>
      </w:r>
      <w:r w:rsidRPr="0007400D">
        <w:rPr>
          <w:rFonts w:ascii="Garamond" w:hAnsi="Garamond"/>
          <w:color w:val="000000"/>
          <w:sz w:val="20"/>
          <w:lang w:val="en-GB"/>
        </w:rPr>
        <w:tab/>
        <w:t>92</w:t>
      </w:r>
    </w:p>
    <w:p w:rsidR="001C7C52" w:rsidRPr="004831C2" w:rsidRDefault="001C7C52" w:rsidP="0007400D">
      <w:pPr>
        <w:pStyle w:val="000"/>
        <w:numPr>
          <w:ilvl w:val="2"/>
          <w:numId w:val="12"/>
        </w:numPr>
        <w:tabs>
          <w:tab w:val="clear" w:pos="720"/>
          <w:tab w:val="num" w:pos="1985"/>
          <w:tab w:val="left" w:pos="7938"/>
          <w:tab w:val="right" w:pos="8789"/>
        </w:tabs>
        <w:spacing w:line="240" w:lineRule="auto"/>
        <w:ind w:left="1276" w:firstLine="0"/>
        <w:rPr>
          <w:rFonts w:ascii="Garamond" w:hAnsi="Garamond"/>
          <w:color w:val="000000"/>
          <w:sz w:val="20"/>
          <w:lang w:val="en-GB"/>
        </w:rPr>
      </w:pPr>
      <w:hyperlink w:anchor="S327" w:history="1">
        <w:r w:rsidRPr="004831C2">
          <w:rPr>
            <w:rStyle w:val="Hyperlink"/>
            <w:rFonts w:ascii="Garamond" w:hAnsi="Garamond"/>
            <w:color w:val="000000"/>
            <w:sz w:val="20"/>
            <w:u w:val="none"/>
            <w:lang w:val="en-GB"/>
          </w:rPr>
          <w:t>The Position of the Incremental Risk Model within the Basel II Framework</w:t>
        </w:r>
      </w:hyperlink>
      <w:r w:rsidRPr="004831C2">
        <w:rPr>
          <w:rFonts w:ascii="Garamond" w:hAnsi="Garamond"/>
          <w:color w:val="000000"/>
          <w:sz w:val="20"/>
          <w:lang w:val="en-GB"/>
        </w:rPr>
        <w:tab/>
      </w:r>
      <w:r w:rsidRPr="004831C2">
        <w:rPr>
          <w:rFonts w:ascii="Garamond" w:hAnsi="Garamond"/>
          <w:color w:val="000000"/>
          <w:sz w:val="20"/>
          <w:lang w:val="en-GB"/>
        </w:rPr>
        <w:tab/>
        <w:t>94</w:t>
      </w:r>
    </w:p>
    <w:p w:rsidR="001C7C52" w:rsidRPr="0007400D" w:rsidRDefault="001C7C52" w:rsidP="0007400D">
      <w:pPr>
        <w:pStyle w:val="000"/>
        <w:tabs>
          <w:tab w:val="left" w:pos="7938"/>
          <w:tab w:val="right" w:pos="8789"/>
        </w:tabs>
        <w:spacing w:before="40" w:after="40" w:line="280" w:lineRule="exact"/>
        <w:ind w:left="567"/>
        <w:rPr>
          <w:rFonts w:ascii="Garamond" w:hAnsi="Garamond"/>
          <w:b/>
          <w:color w:val="000000"/>
          <w:szCs w:val="22"/>
          <w:lang w:val="en-GB"/>
        </w:rPr>
      </w:pPr>
      <w:hyperlink w:anchor="C5_Conclusions" w:history="1">
        <w:r w:rsidRPr="0007400D">
          <w:rPr>
            <w:rStyle w:val="Hyperlink"/>
            <w:rFonts w:ascii="Garamond" w:hAnsi="Garamond"/>
            <w:b/>
            <w:color w:val="000000"/>
            <w:szCs w:val="22"/>
            <w:u w:val="none"/>
            <w:lang w:val="en-GB"/>
          </w:rPr>
          <w:t>C</w:t>
        </w:r>
        <w:r w:rsidRPr="0007400D">
          <w:rPr>
            <w:rStyle w:val="Hyperlink"/>
            <w:rFonts w:ascii="Garamond" w:hAnsi="Garamond"/>
            <w:b/>
            <w:color w:val="000000"/>
            <w:sz w:val="18"/>
            <w:szCs w:val="18"/>
            <w:u w:val="none"/>
            <w:lang w:val="en-GB"/>
          </w:rPr>
          <w:t>ONCLUSIONS</w:t>
        </w:r>
      </w:hyperlink>
      <w:r w:rsidRPr="0007400D">
        <w:rPr>
          <w:rFonts w:ascii="Garamond" w:hAnsi="Garamond"/>
          <w:b/>
          <w:color w:val="000000"/>
          <w:szCs w:val="22"/>
          <w:lang w:val="en-GB"/>
        </w:rPr>
        <w:tab/>
      </w:r>
      <w:r w:rsidRPr="0007400D">
        <w:rPr>
          <w:rFonts w:ascii="Garamond" w:hAnsi="Garamond"/>
          <w:b/>
          <w:color w:val="000000"/>
          <w:szCs w:val="22"/>
          <w:lang w:val="en-GB"/>
        </w:rPr>
        <w:tab/>
      </w:r>
      <w:r w:rsidRPr="0007400D">
        <w:rPr>
          <w:rFonts w:ascii="Garamond" w:hAnsi="Garamond"/>
          <w:b/>
          <w:color w:val="000000"/>
          <w:sz w:val="20"/>
          <w:lang w:val="en-GB"/>
        </w:rPr>
        <w:t>96</w:t>
      </w:r>
    </w:p>
    <w:p w:rsidR="001C7C52" w:rsidRPr="0007400D" w:rsidRDefault="001C7C52" w:rsidP="0007400D">
      <w:pPr>
        <w:tabs>
          <w:tab w:val="left" w:pos="7938"/>
          <w:tab w:val="right" w:pos="8789"/>
        </w:tabs>
        <w:spacing w:before="40" w:after="40" w:line="280" w:lineRule="exact"/>
        <w:ind w:left="567"/>
        <w:rPr>
          <w:rFonts w:ascii="Garamond" w:hAnsi="Garamond"/>
          <w:b/>
          <w:color w:val="000000"/>
          <w:szCs w:val="22"/>
          <w:lang w:val="en-GB"/>
        </w:rPr>
      </w:pPr>
      <w:hyperlink w:anchor="C6_Appendices" w:history="1">
        <w:r w:rsidRPr="0007400D">
          <w:rPr>
            <w:rStyle w:val="Hyperlink"/>
            <w:rFonts w:ascii="Garamond" w:hAnsi="Garamond"/>
            <w:b/>
            <w:color w:val="000000"/>
            <w:szCs w:val="22"/>
            <w:u w:val="none"/>
            <w:lang w:val="en-GB"/>
          </w:rPr>
          <w:t>A</w:t>
        </w:r>
        <w:r w:rsidRPr="0007400D">
          <w:rPr>
            <w:rStyle w:val="Hyperlink"/>
            <w:rFonts w:ascii="Garamond" w:hAnsi="Garamond"/>
            <w:b/>
            <w:color w:val="000000"/>
            <w:sz w:val="18"/>
            <w:szCs w:val="18"/>
            <w:u w:val="none"/>
            <w:lang w:val="en-GB"/>
          </w:rPr>
          <w:t>PPENDICES</w:t>
        </w:r>
      </w:hyperlink>
      <w:r w:rsidRPr="0007400D">
        <w:rPr>
          <w:rFonts w:ascii="Garamond" w:hAnsi="Garamond"/>
          <w:b/>
          <w:color w:val="000000"/>
          <w:szCs w:val="22"/>
          <w:lang w:val="en-GB"/>
        </w:rPr>
        <w:tab/>
      </w:r>
      <w:r w:rsidRPr="0007400D">
        <w:rPr>
          <w:rFonts w:ascii="Garamond" w:hAnsi="Garamond"/>
          <w:b/>
          <w:color w:val="000000"/>
          <w:szCs w:val="22"/>
          <w:lang w:val="en-GB"/>
        </w:rPr>
        <w:tab/>
      </w:r>
      <w:r w:rsidRPr="0007400D">
        <w:rPr>
          <w:rFonts w:ascii="Garamond" w:hAnsi="Garamond"/>
          <w:b/>
          <w:color w:val="000000"/>
          <w:sz w:val="20"/>
          <w:lang w:val="en-GB"/>
        </w:rPr>
        <w:t>100</w:t>
      </w:r>
    </w:p>
    <w:p w:rsidR="001C7C52" w:rsidRPr="0007400D" w:rsidRDefault="001C7C52" w:rsidP="004831C2">
      <w:pPr>
        <w:tabs>
          <w:tab w:val="left" w:pos="1276"/>
          <w:tab w:val="left" w:pos="7938"/>
          <w:tab w:val="right" w:pos="8789"/>
        </w:tabs>
        <w:spacing w:before="30" w:after="30" w:line="240" w:lineRule="auto"/>
        <w:ind w:left="851"/>
        <w:rPr>
          <w:rFonts w:ascii="Garamond" w:hAnsi="Garamond"/>
          <w:color w:val="000000"/>
          <w:sz w:val="20"/>
          <w:lang w:val="en-GB"/>
        </w:rPr>
      </w:pPr>
      <w:r w:rsidRPr="0007400D">
        <w:rPr>
          <w:rFonts w:ascii="Garamond" w:hAnsi="Garamond"/>
          <w:color w:val="000000"/>
          <w:sz w:val="20"/>
          <w:lang w:val="en-GB"/>
        </w:rPr>
        <w:t>A.1</w:t>
      </w:r>
      <w:r w:rsidRPr="0007400D">
        <w:rPr>
          <w:rFonts w:ascii="Garamond" w:hAnsi="Garamond"/>
          <w:color w:val="000000"/>
          <w:sz w:val="20"/>
          <w:lang w:val="en-GB"/>
        </w:rPr>
        <w:tab/>
      </w:r>
      <w:hyperlink w:anchor="SA1" w:history="1">
        <w:r w:rsidRPr="0007400D">
          <w:rPr>
            <w:rStyle w:val="Hyperlink"/>
            <w:rFonts w:ascii="Garamond" w:hAnsi="Garamond"/>
            <w:color w:val="000000"/>
            <w:sz w:val="20"/>
            <w:u w:val="none"/>
            <w:lang w:val="en-GB"/>
          </w:rPr>
          <w:t>The Two-Period Two-Issuer Correlation Correction</w:t>
        </w:r>
      </w:hyperlink>
      <w:r w:rsidRPr="0007400D">
        <w:rPr>
          <w:rFonts w:ascii="Garamond" w:hAnsi="Garamond"/>
          <w:color w:val="000000"/>
          <w:sz w:val="20"/>
          <w:lang w:val="en-GB"/>
        </w:rPr>
        <w:tab/>
      </w:r>
      <w:r w:rsidRPr="0007400D">
        <w:rPr>
          <w:rFonts w:ascii="Garamond" w:hAnsi="Garamond"/>
          <w:color w:val="000000"/>
          <w:sz w:val="20"/>
          <w:lang w:val="en-GB"/>
        </w:rPr>
        <w:tab/>
        <w:t>100</w:t>
      </w:r>
    </w:p>
    <w:p w:rsidR="001C7C52" w:rsidRPr="0007400D" w:rsidRDefault="001C7C52" w:rsidP="004831C2">
      <w:pPr>
        <w:tabs>
          <w:tab w:val="left" w:pos="1276"/>
          <w:tab w:val="left" w:pos="7655"/>
          <w:tab w:val="right" w:pos="8789"/>
        </w:tabs>
        <w:spacing w:before="30" w:after="30" w:line="240" w:lineRule="auto"/>
        <w:ind w:left="851"/>
        <w:rPr>
          <w:rFonts w:ascii="Garamond" w:hAnsi="Garamond"/>
          <w:color w:val="000000"/>
          <w:sz w:val="20"/>
          <w:lang w:val="en-GB"/>
        </w:rPr>
      </w:pPr>
      <w:r w:rsidRPr="0007400D">
        <w:rPr>
          <w:rFonts w:ascii="Garamond" w:hAnsi="Garamond"/>
          <w:color w:val="000000"/>
          <w:sz w:val="20"/>
          <w:lang w:val="en-GB"/>
        </w:rPr>
        <w:t>A.2</w:t>
      </w:r>
      <w:r w:rsidRPr="0007400D">
        <w:rPr>
          <w:rFonts w:ascii="Garamond" w:hAnsi="Garamond"/>
          <w:color w:val="000000"/>
          <w:sz w:val="20"/>
          <w:lang w:val="en-GB"/>
        </w:rPr>
        <w:tab/>
      </w:r>
      <w:hyperlink w:anchor="SA2" w:history="1">
        <w:r w:rsidRPr="0007400D">
          <w:rPr>
            <w:rStyle w:val="Hyperlink"/>
            <w:rFonts w:ascii="Garamond" w:hAnsi="Garamond"/>
            <w:color w:val="000000"/>
            <w:sz w:val="20"/>
            <w:u w:val="none"/>
            <w:lang w:val="en-GB"/>
          </w:rPr>
          <w:t>Default Correlation Estimates</w:t>
        </w:r>
      </w:hyperlink>
      <w:r w:rsidRPr="0007400D">
        <w:rPr>
          <w:rFonts w:ascii="Garamond" w:hAnsi="Garamond"/>
          <w:color w:val="000000"/>
          <w:sz w:val="20"/>
          <w:lang w:val="en-GB"/>
        </w:rPr>
        <w:tab/>
        <w:t xml:space="preserve">    </w:t>
      </w:r>
      <w:r w:rsidRPr="0007400D">
        <w:rPr>
          <w:rFonts w:ascii="Garamond" w:hAnsi="Garamond"/>
          <w:color w:val="000000"/>
          <w:sz w:val="20"/>
          <w:lang w:val="en-GB"/>
        </w:rPr>
        <w:tab/>
        <w:t>102</w:t>
      </w:r>
    </w:p>
    <w:p w:rsidR="001C7C52" w:rsidRPr="0007400D" w:rsidRDefault="001C7C52" w:rsidP="004831C2">
      <w:pPr>
        <w:tabs>
          <w:tab w:val="left" w:pos="1276"/>
          <w:tab w:val="left" w:pos="7655"/>
          <w:tab w:val="right" w:pos="8789"/>
        </w:tabs>
        <w:spacing w:before="30" w:after="30" w:line="240" w:lineRule="auto"/>
        <w:ind w:left="851"/>
        <w:rPr>
          <w:rFonts w:ascii="Garamond" w:hAnsi="Garamond"/>
          <w:color w:val="000000"/>
          <w:sz w:val="20"/>
          <w:lang w:val="en-GB"/>
        </w:rPr>
      </w:pPr>
      <w:r w:rsidRPr="0007400D">
        <w:rPr>
          <w:rFonts w:ascii="Garamond" w:hAnsi="Garamond"/>
          <w:color w:val="000000"/>
          <w:sz w:val="20"/>
          <w:lang w:val="en-GB"/>
        </w:rPr>
        <w:t>A.3</w:t>
      </w:r>
      <w:r w:rsidRPr="0007400D">
        <w:rPr>
          <w:rFonts w:ascii="Garamond" w:hAnsi="Garamond"/>
          <w:color w:val="000000"/>
          <w:sz w:val="20"/>
          <w:lang w:val="en-GB"/>
        </w:rPr>
        <w:tab/>
      </w:r>
      <w:hyperlink w:anchor="SA3" w:history="1">
        <w:r w:rsidRPr="0007400D">
          <w:rPr>
            <w:rStyle w:val="Hyperlink"/>
            <w:rFonts w:ascii="Garamond" w:hAnsi="Garamond"/>
            <w:color w:val="000000"/>
            <w:sz w:val="20"/>
            <w:u w:val="none"/>
            <w:lang w:val="en-GB"/>
          </w:rPr>
          <w:t>Constituent Lists of the Corporate Bond Portfolios</w:t>
        </w:r>
      </w:hyperlink>
      <w:r w:rsidRPr="0007400D">
        <w:rPr>
          <w:rFonts w:ascii="Garamond" w:hAnsi="Garamond"/>
          <w:color w:val="000000"/>
          <w:sz w:val="20"/>
          <w:lang w:val="en-GB"/>
        </w:rPr>
        <w:tab/>
        <w:t xml:space="preserve">   </w:t>
      </w:r>
      <w:r w:rsidRPr="0007400D">
        <w:rPr>
          <w:rFonts w:ascii="Garamond" w:hAnsi="Garamond"/>
          <w:color w:val="000000"/>
          <w:sz w:val="20"/>
          <w:lang w:val="en-GB"/>
        </w:rPr>
        <w:tab/>
        <w:t xml:space="preserve"> 102</w:t>
      </w:r>
    </w:p>
    <w:p w:rsidR="001C7C52" w:rsidRPr="0007400D" w:rsidRDefault="001C7C52" w:rsidP="004831C2">
      <w:pPr>
        <w:tabs>
          <w:tab w:val="left" w:pos="1276"/>
          <w:tab w:val="left" w:pos="7655"/>
          <w:tab w:val="right" w:pos="8789"/>
        </w:tabs>
        <w:spacing w:before="30" w:after="30" w:line="240" w:lineRule="auto"/>
        <w:ind w:left="851"/>
        <w:rPr>
          <w:rFonts w:ascii="Garamond" w:hAnsi="Garamond"/>
          <w:color w:val="000000"/>
          <w:sz w:val="20"/>
          <w:lang w:val="en-GB"/>
        </w:rPr>
      </w:pPr>
      <w:r w:rsidRPr="0007400D">
        <w:rPr>
          <w:rFonts w:ascii="Garamond" w:hAnsi="Garamond"/>
          <w:color w:val="000000"/>
          <w:sz w:val="20"/>
          <w:lang w:val="en-GB"/>
        </w:rPr>
        <w:t>A.4</w:t>
      </w:r>
      <w:r w:rsidRPr="0007400D">
        <w:rPr>
          <w:rFonts w:ascii="Garamond" w:hAnsi="Garamond"/>
          <w:color w:val="000000"/>
          <w:sz w:val="20"/>
          <w:lang w:val="en-GB"/>
        </w:rPr>
        <w:tab/>
      </w:r>
      <w:hyperlink w:anchor="SA4" w:history="1">
        <w:r w:rsidRPr="0007400D">
          <w:rPr>
            <w:rStyle w:val="Hyperlink"/>
            <w:rFonts w:ascii="Garamond" w:hAnsi="Garamond"/>
            <w:color w:val="000000"/>
            <w:sz w:val="20"/>
            <w:u w:val="none"/>
            <w:lang w:val="en-GB"/>
          </w:rPr>
          <w:t>Credit Curves</w:t>
        </w:r>
      </w:hyperlink>
      <w:r w:rsidRPr="0007400D">
        <w:rPr>
          <w:rFonts w:ascii="Garamond" w:hAnsi="Garamond"/>
          <w:color w:val="000000"/>
          <w:sz w:val="20"/>
          <w:lang w:val="en-GB"/>
        </w:rPr>
        <w:tab/>
        <w:t xml:space="preserve">    </w:t>
      </w:r>
      <w:r w:rsidRPr="0007400D">
        <w:rPr>
          <w:rFonts w:ascii="Garamond" w:hAnsi="Garamond"/>
          <w:color w:val="000000"/>
          <w:sz w:val="20"/>
          <w:lang w:val="en-GB"/>
        </w:rPr>
        <w:tab/>
        <w:t>104</w:t>
      </w:r>
    </w:p>
    <w:p w:rsidR="001C7C52" w:rsidRPr="0007400D" w:rsidRDefault="001C7C52" w:rsidP="0007400D">
      <w:pPr>
        <w:tabs>
          <w:tab w:val="left" w:pos="7655"/>
          <w:tab w:val="right" w:pos="8789"/>
        </w:tabs>
        <w:spacing w:before="40" w:after="40" w:line="280" w:lineRule="exact"/>
        <w:ind w:left="567"/>
        <w:rPr>
          <w:rFonts w:ascii="Garamond" w:hAnsi="Garamond"/>
          <w:color w:val="000000"/>
          <w:szCs w:val="22"/>
          <w:lang w:val="en-GB"/>
        </w:rPr>
      </w:pPr>
      <w:hyperlink w:anchor="C7_References" w:history="1">
        <w:r w:rsidRPr="0007400D">
          <w:rPr>
            <w:rStyle w:val="Hyperlink"/>
            <w:rFonts w:ascii="Garamond" w:hAnsi="Garamond"/>
            <w:b/>
            <w:color w:val="000000"/>
            <w:szCs w:val="22"/>
            <w:u w:val="none"/>
            <w:lang w:val="en-GB"/>
          </w:rPr>
          <w:t>R</w:t>
        </w:r>
        <w:r w:rsidRPr="0007400D">
          <w:rPr>
            <w:rStyle w:val="Hyperlink"/>
            <w:rFonts w:ascii="Garamond" w:hAnsi="Garamond"/>
            <w:b/>
            <w:color w:val="000000"/>
            <w:sz w:val="18"/>
            <w:szCs w:val="18"/>
            <w:u w:val="none"/>
            <w:lang w:val="en-GB"/>
          </w:rPr>
          <w:t>EFERENCES</w:t>
        </w:r>
      </w:hyperlink>
      <w:r w:rsidRPr="0007400D">
        <w:rPr>
          <w:rFonts w:ascii="Garamond" w:hAnsi="Garamond"/>
          <w:b/>
          <w:color w:val="000000"/>
          <w:szCs w:val="22"/>
          <w:lang w:val="en-GB"/>
        </w:rPr>
        <w:tab/>
        <w:t xml:space="preserve">   </w:t>
      </w:r>
      <w:r w:rsidRPr="0007400D">
        <w:rPr>
          <w:rFonts w:ascii="Garamond" w:hAnsi="Garamond"/>
          <w:b/>
          <w:color w:val="000000"/>
          <w:szCs w:val="22"/>
          <w:lang w:val="en-GB"/>
        </w:rPr>
        <w:tab/>
      </w:r>
      <w:r w:rsidRPr="0007400D">
        <w:rPr>
          <w:rFonts w:ascii="Garamond" w:hAnsi="Garamond"/>
          <w:b/>
          <w:color w:val="000000"/>
          <w:sz w:val="20"/>
          <w:lang w:val="en-GB"/>
        </w:rPr>
        <w:t xml:space="preserve"> 105</w:t>
      </w: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Default="001C7C52">
      <w:pPr>
        <w:rPr>
          <w:rFonts w:ascii="Garamond" w:hAnsi="Garamond"/>
          <w:lang w:val="en-GB"/>
        </w:rPr>
      </w:pPr>
    </w:p>
    <w:p w:rsidR="001C7C52" w:rsidRPr="00802C03" w:rsidRDefault="001C7C52">
      <w:pPr>
        <w:rPr>
          <w:rFonts w:ascii="Garamond" w:hAnsi="Garamond"/>
          <w:lang w:val="en-GB"/>
        </w:rPr>
      </w:pPr>
    </w:p>
    <w:tbl>
      <w:tblPr>
        <w:tblW w:w="10708" w:type="dxa"/>
        <w:tblInd w:w="-1276" w:type="dxa"/>
        <w:tblCellMar>
          <w:left w:w="0" w:type="dxa"/>
          <w:right w:w="0" w:type="dxa"/>
        </w:tblCellMar>
        <w:tblLook w:val="00A0"/>
      </w:tblPr>
      <w:tblGrid>
        <w:gridCol w:w="1276"/>
        <w:gridCol w:w="20"/>
        <w:gridCol w:w="9392"/>
        <w:gridCol w:w="20"/>
      </w:tblGrid>
      <w:tr w:rsidR="001C7C52" w:rsidRPr="00802C03" w:rsidTr="002E2E49">
        <w:trPr>
          <w:gridAfter w:val="1"/>
          <w:wAfter w:w="20" w:type="dxa"/>
        </w:trPr>
        <w:tc>
          <w:tcPr>
            <w:tcW w:w="1276" w:type="dxa"/>
          </w:tcPr>
          <w:p w:rsidR="001C7C52" w:rsidRPr="002E2E49" w:rsidRDefault="001C7C52" w:rsidP="002E2E49">
            <w:pPr>
              <w:spacing w:line="280" w:lineRule="exact"/>
              <w:rPr>
                <w:rFonts w:ascii="Garamond" w:hAnsi="Garamond"/>
                <w:lang w:val="en-GB"/>
              </w:rPr>
            </w:pPr>
          </w:p>
        </w:tc>
        <w:tc>
          <w:tcPr>
            <w:tcW w:w="9412" w:type="dxa"/>
            <w:gridSpan w:val="2"/>
            <w:tcBorders>
              <w:bottom w:val="single" w:sz="4" w:space="0" w:color="auto"/>
            </w:tcBorders>
          </w:tcPr>
          <w:p w:rsidR="001C7C52" w:rsidRPr="002E2E49" w:rsidRDefault="001C7C52" w:rsidP="002E2E49">
            <w:pPr>
              <w:spacing w:line="280" w:lineRule="exact"/>
              <w:rPr>
                <w:rFonts w:ascii="Garamond" w:hAnsi="Garamond"/>
                <w:sz w:val="26"/>
                <w:szCs w:val="26"/>
                <w:lang w:val="en-GB"/>
              </w:rPr>
            </w:pPr>
            <w:r w:rsidRPr="002E2E49">
              <w:rPr>
                <w:rFonts w:ascii="Garamond" w:hAnsi="Garamond" w:cs="NimbusRomNo9L-Regu"/>
                <w:b/>
                <w:sz w:val="26"/>
                <w:szCs w:val="26"/>
                <w:lang w:val="en-GB" w:eastAsia="nl-NL"/>
              </w:rPr>
              <w:t>T</w:t>
            </w:r>
            <w:r w:rsidRPr="002E2E49">
              <w:rPr>
                <w:rFonts w:ascii="Garamond" w:hAnsi="Garamond" w:cs="NimbusRomNo9L-Regu"/>
                <w:b/>
                <w:sz w:val="20"/>
                <w:lang w:val="en-GB" w:eastAsia="nl-NL"/>
              </w:rPr>
              <w:t>ABLES</w:t>
            </w:r>
            <w:r w:rsidRPr="002E2E49">
              <w:rPr>
                <w:rFonts w:ascii="Garamond" w:hAnsi="Garamond" w:cs="NimbusRomNo9L-Regu"/>
                <w:b/>
                <w:sz w:val="26"/>
                <w:szCs w:val="26"/>
                <w:lang w:val="en-GB" w:eastAsia="nl-NL"/>
              </w:rPr>
              <w:t xml:space="preserve"> </w:t>
            </w:r>
            <w:r w:rsidRPr="002E2E49">
              <w:rPr>
                <w:rFonts w:ascii="Garamond" w:hAnsi="Garamond" w:cs="NimbusRomNo9L-Regu"/>
                <w:b/>
                <w:sz w:val="20"/>
                <w:lang w:val="en-GB" w:eastAsia="nl-NL"/>
              </w:rPr>
              <w:t>AND</w:t>
            </w:r>
            <w:r w:rsidRPr="002E2E49">
              <w:rPr>
                <w:rFonts w:ascii="Garamond" w:hAnsi="Garamond" w:cs="NimbusRomNo9L-Regu"/>
                <w:b/>
                <w:sz w:val="26"/>
                <w:szCs w:val="26"/>
                <w:lang w:val="en-GB" w:eastAsia="nl-NL"/>
              </w:rPr>
              <w:t xml:space="preserve"> F</w:t>
            </w:r>
            <w:r w:rsidRPr="002E2E49">
              <w:rPr>
                <w:rFonts w:ascii="Garamond" w:hAnsi="Garamond" w:cs="NimbusRomNo9L-Regu"/>
                <w:b/>
                <w:sz w:val="20"/>
                <w:lang w:val="en-GB" w:eastAsia="nl-NL"/>
              </w:rPr>
              <w:t>IGURES</w:t>
            </w:r>
          </w:p>
        </w:tc>
      </w:tr>
      <w:tr w:rsidR="001C7C52" w:rsidRPr="00802C03" w:rsidTr="002E2E49">
        <w:tc>
          <w:tcPr>
            <w:tcW w:w="1276" w:type="dxa"/>
          </w:tcPr>
          <w:p w:rsidR="001C7C52" w:rsidRPr="002E2E49" w:rsidRDefault="001C7C52" w:rsidP="002E2E49">
            <w:pPr>
              <w:spacing w:line="40" w:lineRule="exact"/>
              <w:rPr>
                <w:rFonts w:ascii="Garamond" w:hAnsi="Garamond"/>
                <w:lang w:val="en-GB"/>
              </w:rPr>
            </w:pPr>
          </w:p>
        </w:tc>
        <w:tc>
          <w:tcPr>
            <w:tcW w:w="20" w:type="dxa"/>
          </w:tcPr>
          <w:p w:rsidR="001C7C52" w:rsidRPr="002E2E49" w:rsidRDefault="001C7C52" w:rsidP="002E2E49">
            <w:pPr>
              <w:spacing w:line="40" w:lineRule="exact"/>
              <w:rPr>
                <w:rFonts w:ascii="Garamond" w:hAnsi="Garamond"/>
                <w:lang w:val="en-GB"/>
              </w:rPr>
            </w:pPr>
            <w:r>
              <w:rPr>
                <w:noProof/>
                <w:lang w:val="en-US"/>
              </w:rPr>
              <w:pict>
                <v:rect id="_x0000_s1048" style="position:absolute;margin-left:.1pt;margin-top:-.3pt;width:470.25pt;height:.85pt;z-index:-251646464;mso-position-horizontal-relative:page;mso-position-vertical-relative:text" fillcolor="black" stroked="f">
                  <v:fill rotate="t" angle="-90" focus="100%" type="gradient"/>
                  <w10:wrap anchorx="margin"/>
                </v:rect>
              </w:pict>
            </w:r>
          </w:p>
        </w:tc>
        <w:tc>
          <w:tcPr>
            <w:tcW w:w="9412" w:type="dxa"/>
            <w:gridSpan w:val="2"/>
          </w:tcPr>
          <w:p w:rsidR="001C7C52" w:rsidRPr="002E2E49" w:rsidRDefault="001C7C52" w:rsidP="002E2E49">
            <w:pPr>
              <w:spacing w:line="40" w:lineRule="exact"/>
              <w:rPr>
                <w:rFonts w:ascii="Garamond" w:hAnsi="Garamond"/>
                <w:lang w:val="en-GB"/>
              </w:rPr>
            </w:pPr>
          </w:p>
        </w:tc>
      </w:tr>
    </w:tbl>
    <w:p w:rsidR="001C7C52" w:rsidRPr="004831C2" w:rsidRDefault="001C7C52" w:rsidP="004831C2">
      <w:pPr>
        <w:pStyle w:val="000"/>
        <w:spacing w:after="180" w:line="300" w:lineRule="exact"/>
        <w:rPr>
          <w:rFonts w:ascii="Garamond" w:hAnsi="Garamond"/>
          <w:b/>
          <w:sz w:val="20"/>
          <w:lang w:val="en-GB"/>
        </w:rPr>
      </w:pPr>
    </w:p>
    <w:tbl>
      <w:tblPr>
        <w:tblW w:w="0" w:type="auto"/>
        <w:tblLayout w:type="fixed"/>
        <w:tblCellMar>
          <w:left w:w="0" w:type="dxa"/>
          <w:right w:w="0" w:type="dxa"/>
        </w:tblCellMar>
        <w:tblLook w:val="00A0"/>
      </w:tblPr>
      <w:tblGrid>
        <w:gridCol w:w="567"/>
        <w:gridCol w:w="1843"/>
      </w:tblGrid>
      <w:tr w:rsidR="001C7C52" w:rsidRPr="00802C03" w:rsidTr="002E2E49">
        <w:tc>
          <w:tcPr>
            <w:tcW w:w="567" w:type="dxa"/>
          </w:tcPr>
          <w:p w:rsidR="001C7C52" w:rsidRPr="002E2E49" w:rsidRDefault="001C7C52" w:rsidP="002E2E49">
            <w:pPr>
              <w:pStyle w:val="000"/>
              <w:spacing w:line="280" w:lineRule="exact"/>
              <w:rPr>
                <w:rFonts w:ascii="Garamond" w:hAnsi="Garamond"/>
                <w:b/>
                <w:lang w:val="en-GB"/>
              </w:rPr>
            </w:pPr>
          </w:p>
        </w:tc>
        <w:tc>
          <w:tcPr>
            <w:tcW w:w="1843" w:type="dxa"/>
          </w:tcPr>
          <w:p w:rsidR="001C7C52" w:rsidRPr="002E2E49" w:rsidRDefault="001C7C52" w:rsidP="002E2E49">
            <w:pPr>
              <w:pStyle w:val="000"/>
              <w:spacing w:line="280" w:lineRule="exact"/>
              <w:rPr>
                <w:rFonts w:ascii="Garamond" w:hAnsi="Garamond"/>
                <w:b/>
                <w:lang w:val="en-GB"/>
              </w:rPr>
            </w:pPr>
            <w:r w:rsidRPr="002E2E49">
              <w:rPr>
                <w:rFonts w:ascii="Garamond" w:hAnsi="Garamond"/>
                <w:b/>
                <w:lang w:val="en-GB"/>
              </w:rPr>
              <w:t>L</w:t>
            </w:r>
            <w:r w:rsidRPr="002E2E49">
              <w:rPr>
                <w:rFonts w:ascii="Garamond" w:hAnsi="Garamond"/>
                <w:b/>
                <w:sz w:val="18"/>
                <w:szCs w:val="18"/>
                <w:lang w:val="en-GB"/>
              </w:rPr>
              <w:t>IST</w:t>
            </w:r>
            <w:r w:rsidRPr="002E2E49">
              <w:rPr>
                <w:rFonts w:ascii="Garamond" w:hAnsi="Garamond"/>
                <w:b/>
                <w:lang w:val="en-GB"/>
              </w:rPr>
              <w:t xml:space="preserve"> </w:t>
            </w:r>
            <w:r w:rsidRPr="002E2E49">
              <w:rPr>
                <w:rFonts w:ascii="Garamond" w:hAnsi="Garamond"/>
                <w:b/>
                <w:sz w:val="18"/>
                <w:szCs w:val="18"/>
                <w:lang w:val="en-GB"/>
              </w:rPr>
              <w:t>OF</w:t>
            </w:r>
            <w:r w:rsidRPr="002E2E49">
              <w:rPr>
                <w:rFonts w:ascii="Garamond" w:hAnsi="Garamond"/>
                <w:b/>
                <w:lang w:val="en-GB"/>
              </w:rPr>
              <w:t xml:space="preserve"> T</w:t>
            </w:r>
            <w:r w:rsidRPr="002E2E49">
              <w:rPr>
                <w:rFonts w:ascii="Garamond" w:hAnsi="Garamond"/>
                <w:b/>
                <w:sz w:val="18"/>
                <w:szCs w:val="18"/>
                <w:lang w:val="en-GB"/>
              </w:rPr>
              <w:t>ABLES</w:t>
            </w:r>
          </w:p>
        </w:tc>
      </w:tr>
    </w:tbl>
    <w:p w:rsidR="001C7C52" w:rsidRPr="004831C2" w:rsidRDefault="001C7C52" w:rsidP="004831C2">
      <w:pPr>
        <w:pStyle w:val="000"/>
        <w:tabs>
          <w:tab w:val="left" w:pos="851"/>
          <w:tab w:val="left" w:pos="1560"/>
          <w:tab w:val="right" w:pos="8789"/>
          <w:tab w:val="left" w:pos="9072"/>
        </w:tabs>
        <w:spacing w:before="180"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w:t>
      </w:r>
      <w:r w:rsidRPr="004831C2">
        <w:rPr>
          <w:rFonts w:ascii="Garamond" w:hAnsi="Garamond"/>
          <w:sz w:val="20"/>
          <w:lang w:val="en-GB"/>
        </w:rPr>
        <w:tab/>
      </w:r>
      <w:hyperlink w:anchor="T1" w:history="1">
        <w:r w:rsidRPr="004831C2">
          <w:rPr>
            <w:rStyle w:val="Hyperlink"/>
            <w:rFonts w:ascii="Garamond" w:hAnsi="Garamond"/>
            <w:color w:val="auto"/>
            <w:sz w:val="20"/>
            <w:u w:val="none"/>
            <w:lang w:val="en-GB"/>
          </w:rPr>
          <w:t>Credit Migration Matrix: Cohort Method</w:t>
        </w:r>
      </w:hyperlink>
      <w:r w:rsidRPr="004831C2">
        <w:rPr>
          <w:rFonts w:ascii="Garamond" w:hAnsi="Garamond"/>
          <w:sz w:val="20"/>
          <w:lang w:val="en-GB"/>
        </w:rPr>
        <w:tab/>
        <w:t>47</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II</w:t>
      </w:r>
      <w:r w:rsidRPr="004831C2">
        <w:rPr>
          <w:rFonts w:ascii="Garamond" w:hAnsi="Garamond"/>
          <w:sz w:val="20"/>
          <w:lang w:val="en-GB"/>
        </w:rPr>
        <w:tab/>
      </w:r>
      <w:hyperlink w:anchor="T2" w:history="1">
        <w:r w:rsidRPr="004831C2">
          <w:rPr>
            <w:rStyle w:val="Hyperlink"/>
            <w:rFonts w:ascii="Garamond" w:hAnsi="Garamond"/>
            <w:color w:val="auto"/>
            <w:sz w:val="20"/>
            <w:u w:val="none"/>
            <w:lang w:val="en-GB"/>
          </w:rPr>
          <w:t>Credit Migration Matrix: Duration Method</w:t>
        </w:r>
      </w:hyperlink>
      <w:r w:rsidRPr="004831C2">
        <w:rPr>
          <w:rFonts w:ascii="Garamond" w:hAnsi="Garamond"/>
          <w:sz w:val="20"/>
          <w:lang w:val="en-GB"/>
        </w:rPr>
        <w:tab/>
        <w:t>48</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III</w:t>
      </w:r>
      <w:r w:rsidRPr="004831C2">
        <w:rPr>
          <w:rFonts w:ascii="Garamond" w:hAnsi="Garamond"/>
          <w:sz w:val="20"/>
          <w:lang w:val="en-GB"/>
        </w:rPr>
        <w:tab/>
      </w:r>
      <w:hyperlink w:anchor="T3" w:history="1">
        <w:r w:rsidRPr="004831C2">
          <w:rPr>
            <w:rStyle w:val="Hyperlink"/>
            <w:rFonts w:ascii="Garamond" w:hAnsi="Garamond"/>
            <w:color w:val="auto"/>
            <w:sz w:val="20"/>
            <w:u w:val="none"/>
            <w:lang w:val="en-GB"/>
          </w:rPr>
          <w:t>Credit Migration Matrix: Aalen-Johansen Estimator</w:t>
        </w:r>
      </w:hyperlink>
      <w:r w:rsidRPr="004831C2">
        <w:rPr>
          <w:rFonts w:ascii="Garamond" w:hAnsi="Garamond"/>
          <w:sz w:val="20"/>
          <w:lang w:val="en-GB"/>
        </w:rPr>
        <w:tab/>
        <w:t>48</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IV</w:t>
      </w:r>
      <w:r w:rsidRPr="004831C2">
        <w:rPr>
          <w:rFonts w:ascii="Garamond" w:hAnsi="Garamond"/>
          <w:sz w:val="20"/>
          <w:lang w:val="en-GB"/>
        </w:rPr>
        <w:tab/>
      </w:r>
      <w:hyperlink w:anchor="T4" w:history="1">
        <w:r w:rsidRPr="004831C2">
          <w:rPr>
            <w:rStyle w:val="Hyperlink"/>
            <w:rFonts w:ascii="Garamond" w:hAnsi="Garamond"/>
            <w:color w:val="auto"/>
            <w:sz w:val="20"/>
            <w:u w:val="none"/>
            <w:lang w:val="en-GB"/>
          </w:rPr>
          <w:t>Conditional Credit Migration Matrix: Duration Method</w:t>
        </w:r>
      </w:hyperlink>
      <w:r w:rsidRPr="004831C2">
        <w:rPr>
          <w:rFonts w:ascii="Garamond" w:hAnsi="Garamond"/>
          <w:sz w:val="20"/>
          <w:lang w:val="en-GB"/>
        </w:rPr>
        <w:tab/>
        <w:t>50</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w:t>
      </w:r>
      <w:r w:rsidRPr="004831C2">
        <w:rPr>
          <w:rFonts w:ascii="Garamond" w:hAnsi="Garamond"/>
          <w:sz w:val="20"/>
          <w:lang w:val="en-GB"/>
        </w:rPr>
        <w:tab/>
      </w:r>
      <w:hyperlink w:anchor="T5" w:history="1">
        <w:r w:rsidRPr="004831C2">
          <w:rPr>
            <w:rStyle w:val="Hyperlink"/>
            <w:rFonts w:ascii="Garamond" w:hAnsi="Garamond"/>
            <w:color w:val="auto"/>
            <w:sz w:val="20"/>
            <w:u w:val="none"/>
            <w:lang w:val="en-GB"/>
          </w:rPr>
          <w:t>Implied Issuer Asset Correlations based on Observed Default Rates</w:t>
        </w:r>
      </w:hyperlink>
      <w:r w:rsidRPr="004831C2">
        <w:rPr>
          <w:rFonts w:ascii="Garamond" w:hAnsi="Garamond"/>
          <w:sz w:val="20"/>
          <w:lang w:val="en-GB"/>
        </w:rPr>
        <w:tab/>
        <w:t>57</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VI</w:t>
      </w:r>
      <w:r w:rsidRPr="004831C2">
        <w:rPr>
          <w:rFonts w:ascii="Garamond" w:hAnsi="Garamond"/>
          <w:sz w:val="20"/>
          <w:lang w:val="en-GB"/>
        </w:rPr>
        <w:tab/>
      </w:r>
      <w:hyperlink w:anchor="T6" w:history="1">
        <w:r w:rsidRPr="004831C2">
          <w:rPr>
            <w:rStyle w:val="Hyperlink"/>
            <w:rFonts w:ascii="Garamond" w:hAnsi="Garamond"/>
            <w:color w:val="auto"/>
            <w:sz w:val="20"/>
            <w:u w:val="none"/>
            <w:lang w:val="en-GB"/>
          </w:rPr>
          <w:t>Portfolio Details of the Long and Long-Short Corporate Bond Portfolios</w:t>
        </w:r>
      </w:hyperlink>
      <w:r w:rsidRPr="004831C2">
        <w:rPr>
          <w:rFonts w:ascii="Garamond" w:hAnsi="Garamond"/>
          <w:sz w:val="20"/>
          <w:lang w:val="en-GB"/>
        </w:rPr>
        <w:tab/>
        <w:t>59</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VII</w:t>
      </w:r>
      <w:r w:rsidRPr="004831C2">
        <w:rPr>
          <w:rFonts w:ascii="Garamond" w:hAnsi="Garamond"/>
          <w:sz w:val="20"/>
          <w:lang w:val="en-GB"/>
        </w:rPr>
        <w:tab/>
      </w:r>
      <w:hyperlink w:anchor="T7" w:history="1">
        <w:r w:rsidRPr="004831C2">
          <w:rPr>
            <w:rStyle w:val="Hyperlink"/>
            <w:rFonts w:ascii="Garamond" w:hAnsi="Garamond"/>
            <w:color w:val="auto"/>
            <w:sz w:val="20"/>
            <w:u w:val="none"/>
            <w:lang w:val="en-GB"/>
          </w:rPr>
          <w:t>Incremental Risk Model Estimates: Credit Migration Matrices</w:t>
        </w:r>
      </w:hyperlink>
      <w:r w:rsidRPr="004831C2">
        <w:rPr>
          <w:rFonts w:ascii="Garamond" w:hAnsi="Garamond"/>
          <w:sz w:val="20"/>
          <w:lang w:val="en-GB"/>
        </w:rPr>
        <w:tab/>
        <w:t>65</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VIII</w:t>
      </w:r>
      <w:r w:rsidRPr="004831C2">
        <w:rPr>
          <w:rFonts w:ascii="Garamond" w:hAnsi="Garamond"/>
          <w:sz w:val="20"/>
          <w:lang w:val="en-GB"/>
        </w:rPr>
        <w:tab/>
      </w:r>
      <w:hyperlink w:anchor="T8" w:history="1">
        <w:r w:rsidRPr="004831C2">
          <w:rPr>
            <w:rStyle w:val="Hyperlink"/>
            <w:rFonts w:ascii="Garamond" w:hAnsi="Garamond"/>
            <w:color w:val="auto"/>
            <w:sz w:val="20"/>
            <w:u w:val="none"/>
            <w:lang w:val="en-GB"/>
          </w:rPr>
          <w:t>Incremental Risk Model Estimates: Issuer Asset Correlations</w:t>
        </w:r>
      </w:hyperlink>
      <w:r w:rsidRPr="004831C2">
        <w:rPr>
          <w:rFonts w:ascii="Garamond" w:hAnsi="Garamond"/>
          <w:sz w:val="20"/>
          <w:lang w:val="en-GB"/>
        </w:rPr>
        <w:tab/>
        <w:t>69</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IX</w:t>
      </w:r>
      <w:r w:rsidRPr="004831C2">
        <w:rPr>
          <w:rFonts w:ascii="Garamond" w:hAnsi="Garamond"/>
          <w:sz w:val="20"/>
          <w:lang w:val="en-GB"/>
        </w:rPr>
        <w:tab/>
      </w:r>
      <w:hyperlink w:anchor="T9" w:history="1">
        <w:r w:rsidRPr="004831C2">
          <w:rPr>
            <w:rStyle w:val="Hyperlink"/>
            <w:rFonts w:ascii="Garamond" w:hAnsi="Garamond"/>
            <w:color w:val="auto"/>
            <w:sz w:val="20"/>
            <w:u w:val="none"/>
            <w:lang w:val="en-GB"/>
          </w:rPr>
          <w:t>Incremental Risk Model Estimates: Autocorrelations</w:t>
        </w:r>
      </w:hyperlink>
      <w:r w:rsidRPr="004831C2">
        <w:rPr>
          <w:rFonts w:ascii="Garamond" w:hAnsi="Garamond"/>
          <w:sz w:val="20"/>
          <w:lang w:val="en-GB"/>
        </w:rPr>
        <w:tab/>
        <w:t>72</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X</w:t>
      </w:r>
      <w:r w:rsidRPr="004831C2">
        <w:rPr>
          <w:rFonts w:ascii="Garamond" w:hAnsi="Garamond"/>
          <w:sz w:val="20"/>
          <w:lang w:val="en-GB"/>
        </w:rPr>
        <w:tab/>
      </w:r>
      <w:hyperlink w:anchor="T10" w:history="1">
        <w:r w:rsidRPr="004831C2">
          <w:rPr>
            <w:rStyle w:val="Hyperlink"/>
            <w:rFonts w:ascii="Garamond" w:hAnsi="Garamond"/>
            <w:color w:val="auto"/>
            <w:sz w:val="20"/>
            <w:u w:val="none"/>
            <w:lang w:val="en-GB"/>
          </w:rPr>
          <w:t>Incremental Risk Model Estimates: Liquidity Horizons</w:t>
        </w:r>
      </w:hyperlink>
      <w:r w:rsidRPr="004831C2">
        <w:rPr>
          <w:rFonts w:ascii="Garamond" w:hAnsi="Garamond"/>
          <w:sz w:val="20"/>
          <w:lang w:val="en-GB"/>
        </w:rPr>
        <w:tab/>
        <w:t>74</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XI</w:t>
      </w:r>
      <w:r w:rsidRPr="004831C2">
        <w:rPr>
          <w:rFonts w:ascii="Garamond" w:hAnsi="Garamond"/>
          <w:sz w:val="20"/>
          <w:lang w:val="en-GB"/>
        </w:rPr>
        <w:tab/>
      </w:r>
      <w:hyperlink w:anchor="T11" w:history="1">
        <w:r w:rsidRPr="004831C2">
          <w:rPr>
            <w:rStyle w:val="Hyperlink"/>
            <w:rFonts w:ascii="Garamond" w:hAnsi="Garamond"/>
            <w:color w:val="auto"/>
            <w:sz w:val="20"/>
            <w:u w:val="none"/>
            <w:lang w:val="en-GB"/>
          </w:rPr>
          <w:t>Incremental Risk Model Estimates: Concentrations</w:t>
        </w:r>
      </w:hyperlink>
      <w:r w:rsidRPr="004831C2">
        <w:rPr>
          <w:rFonts w:ascii="Garamond" w:hAnsi="Garamond"/>
          <w:sz w:val="20"/>
          <w:lang w:val="en-GB"/>
        </w:rPr>
        <w:tab/>
        <w:t>77</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XII</w:t>
      </w:r>
      <w:r w:rsidRPr="004831C2">
        <w:rPr>
          <w:rFonts w:ascii="Garamond" w:hAnsi="Garamond"/>
          <w:sz w:val="20"/>
          <w:lang w:val="en-GB"/>
        </w:rPr>
        <w:tab/>
      </w:r>
      <w:hyperlink w:anchor="T12" w:history="1">
        <w:r w:rsidRPr="004831C2">
          <w:rPr>
            <w:rStyle w:val="Hyperlink"/>
            <w:rFonts w:ascii="Garamond" w:hAnsi="Garamond"/>
            <w:color w:val="auto"/>
            <w:sz w:val="20"/>
            <w:u w:val="none"/>
            <w:lang w:val="en-GB"/>
          </w:rPr>
          <w:t>Default Correlations</w:t>
        </w:r>
      </w:hyperlink>
      <w:r w:rsidRPr="004831C2">
        <w:rPr>
          <w:rFonts w:ascii="Garamond" w:hAnsi="Garamond"/>
          <w:sz w:val="20"/>
          <w:lang w:val="en-GB"/>
        </w:rPr>
        <w:tab/>
      </w:r>
      <w:r w:rsidRPr="004831C2">
        <w:rPr>
          <w:rFonts w:ascii="Garamond" w:hAnsi="Garamond"/>
          <w:color w:val="000000"/>
          <w:sz w:val="20"/>
          <w:lang w:val="en-GB"/>
        </w:rPr>
        <w:t xml:space="preserve">    </w:t>
      </w:r>
      <w:r w:rsidRPr="004831C2">
        <w:rPr>
          <w:rFonts w:ascii="Garamond" w:hAnsi="Garamond"/>
          <w:sz w:val="20"/>
          <w:lang w:val="en-GB"/>
        </w:rPr>
        <w:t>102</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XIII</w:t>
      </w:r>
      <w:r w:rsidRPr="004831C2">
        <w:rPr>
          <w:rFonts w:ascii="Garamond" w:hAnsi="Garamond"/>
          <w:sz w:val="20"/>
          <w:lang w:val="en-GB"/>
        </w:rPr>
        <w:tab/>
      </w:r>
      <w:hyperlink w:anchor="SA3" w:history="1">
        <w:r w:rsidRPr="004831C2">
          <w:rPr>
            <w:rStyle w:val="Hyperlink"/>
            <w:rFonts w:ascii="Garamond" w:hAnsi="Garamond"/>
            <w:color w:val="000000"/>
            <w:sz w:val="20"/>
            <w:u w:val="none"/>
            <w:lang w:val="en-GB"/>
          </w:rPr>
          <w:t>Constituent Lists of the Corporate Bond Portfolios</w:t>
        </w:r>
      </w:hyperlink>
      <w:r w:rsidRPr="004831C2">
        <w:rPr>
          <w:rFonts w:ascii="Garamond" w:hAnsi="Garamond"/>
          <w:sz w:val="20"/>
          <w:lang w:val="en-GB"/>
        </w:rPr>
        <w:tab/>
      </w:r>
      <w:r w:rsidRPr="004831C2">
        <w:rPr>
          <w:rFonts w:ascii="Garamond" w:hAnsi="Garamond"/>
          <w:color w:val="000000"/>
          <w:sz w:val="20"/>
          <w:lang w:val="en-GB"/>
        </w:rPr>
        <w:t xml:space="preserve">    </w:t>
      </w:r>
      <w:r w:rsidRPr="004831C2">
        <w:rPr>
          <w:rFonts w:ascii="Garamond" w:hAnsi="Garamond"/>
          <w:sz w:val="20"/>
          <w:lang w:val="en-GB"/>
        </w:rPr>
        <w:t>102</w:t>
      </w:r>
    </w:p>
    <w:p w:rsidR="001C7C52" w:rsidRPr="004831C2" w:rsidRDefault="001C7C52" w:rsidP="004831C2">
      <w:pPr>
        <w:pStyle w:val="000"/>
        <w:spacing w:after="120" w:line="300" w:lineRule="exact"/>
        <w:rPr>
          <w:rFonts w:ascii="Garamond" w:hAnsi="Garamond"/>
          <w:sz w:val="20"/>
          <w:lang w:val="en-GB"/>
        </w:rPr>
      </w:pPr>
    </w:p>
    <w:tbl>
      <w:tblPr>
        <w:tblW w:w="0" w:type="auto"/>
        <w:tblLayout w:type="fixed"/>
        <w:tblCellMar>
          <w:left w:w="0" w:type="dxa"/>
          <w:right w:w="0" w:type="dxa"/>
        </w:tblCellMar>
        <w:tblLook w:val="00A0"/>
      </w:tblPr>
      <w:tblGrid>
        <w:gridCol w:w="567"/>
        <w:gridCol w:w="1985"/>
      </w:tblGrid>
      <w:tr w:rsidR="001C7C52" w:rsidRPr="00802C03" w:rsidTr="002E2E49">
        <w:tc>
          <w:tcPr>
            <w:tcW w:w="567" w:type="dxa"/>
          </w:tcPr>
          <w:p w:rsidR="001C7C52" w:rsidRPr="002E2E49" w:rsidRDefault="001C7C52" w:rsidP="002E2E49">
            <w:pPr>
              <w:pStyle w:val="000"/>
              <w:spacing w:line="280" w:lineRule="exact"/>
              <w:rPr>
                <w:rFonts w:ascii="Garamond" w:hAnsi="Garamond"/>
                <w:b/>
                <w:lang w:val="en-GB"/>
              </w:rPr>
            </w:pPr>
          </w:p>
        </w:tc>
        <w:tc>
          <w:tcPr>
            <w:tcW w:w="1985" w:type="dxa"/>
          </w:tcPr>
          <w:p w:rsidR="001C7C52" w:rsidRPr="002E2E49" w:rsidRDefault="001C7C52" w:rsidP="002E2E49">
            <w:pPr>
              <w:pStyle w:val="000"/>
              <w:spacing w:line="280" w:lineRule="exact"/>
              <w:rPr>
                <w:rFonts w:ascii="Garamond" w:hAnsi="Garamond"/>
                <w:b/>
                <w:lang w:val="en-GB"/>
              </w:rPr>
            </w:pPr>
            <w:r w:rsidRPr="002E2E49">
              <w:rPr>
                <w:rFonts w:ascii="Garamond" w:hAnsi="Garamond"/>
                <w:b/>
                <w:lang w:val="en-GB"/>
              </w:rPr>
              <w:t>L</w:t>
            </w:r>
            <w:r w:rsidRPr="002E2E49">
              <w:rPr>
                <w:rFonts w:ascii="Garamond" w:hAnsi="Garamond"/>
                <w:b/>
                <w:sz w:val="18"/>
                <w:szCs w:val="18"/>
                <w:lang w:val="en-GB"/>
              </w:rPr>
              <w:t>IST</w:t>
            </w:r>
            <w:r w:rsidRPr="002E2E49">
              <w:rPr>
                <w:rFonts w:ascii="Garamond" w:hAnsi="Garamond"/>
                <w:b/>
                <w:lang w:val="en-GB"/>
              </w:rPr>
              <w:t xml:space="preserve"> </w:t>
            </w:r>
            <w:r w:rsidRPr="002E2E49">
              <w:rPr>
                <w:rFonts w:ascii="Garamond" w:hAnsi="Garamond"/>
                <w:b/>
                <w:sz w:val="18"/>
                <w:szCs w:val="18"/>
                <w:lang w:val="en-GB"/>
              </w:rPr>
              <w:t>OF</w:t>
            </w:r>
            <w:r w:rsidRPr="002E2E49">
              <w:rPr>
                <w:rFonts w:ascii="Garamond" w:hAnsi="Garamond"/>
                <w:b/>
                <w:lang w:val="en-GB"/>
              </w:rPr>
              <w:t xml:space="preserve"> F</w:t>
            </w:r>
            <w:r w:rsidRPr="002E2E49">
              <w:rPr>
                <w:rFonts w:ascii="Garamond" w:hAnsi="Garamond"/>
                <w:b/>
                <w:sz w:val="18"/>
                <w:szCs w:val="18"/>
                <w:lang w:val="en-GB"/>
              </w:rPr>
              <w:t>IGURES</w:t>
            </w:r>
          </w:p>
        </w:tc>
      </w:tr>
    </w:tbl>
    <w:p w:rsidR="001C7C52" w:rsidRPr="004831C2" w:rsidRDefault="001C7C52" w:rsidP="004831C2">
      <w:pPr>
        <w:pStyle w:val="000"/>
        <w:tabs>
          <w:tab w:val="left" w:pos="851"/>
          <w:tab w:val="left" w:pos="1560"/>
          <w:tab w:val="right" w:pos="8789"/>
          <w:tab w:val="left" w:pos="9072"/>
        </w:tabs>
        <w:spacing w:before="180"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w:t>
      </w:r>
      <w:r w:rsidRPr="004831C2">
        <w:rPr>
          <w:rFonts w:ascii="Garamond" w:hAnsi="Garamond"/>
          <w:sz w:val="20"/>
          <w:lang w:val="en-GB"/>
        </w:rPr>
        <w:tab/>
      </w:r>
      <w:hyperlink w:anchor="F1" w:history="1">
        <w:r w:rsidRPr="004831C2">
          <w:rPr>
            <w:rStyle w:val="Hyperlink"/>
            <w:rFonts w:ascii="Garamond" w:hAnsi="Garamond"/>
            <w:color w:val="auto"/>
            <w:sz w:val="20"/>
            <w:u w:val="none"/>
            <w:lang w:val="en-GB"/>
          </w:rPr>
          <w:t>General Structure of the Incremental Risk Model</w:t>
        </w:r>
      </w:hyperlink>
      <w:r w:rsidRPr="004831C2">
        <w:rPr>
          <w:rFonts w:ascii="Garamond" w:hAnsi="Garamond"/>
          <w:sz w:val="20"/>
          <w:lang w:val="en-GB"/>
        </w:rPr>
        <w:tab/>
        <w:t>18</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II</w:t>
      </w:r>
      <w:r w:rsidRPr="004831C2">
        <w:rPr>
          <w:rFonts w:ascii="Garamond" w:hAnsi="Garamond"/>
          <w:sz w:val="20"/>
          <w:lang w:val="en-GB"/>
        </w:rPr>
        <w:tab/>
      </w:r>
      <w:hyperlink w:anchor="F2" w:history="1">
        <w:r w:rsidRPr="004831C2">
          <w:rPr>
            <w:rStyle w:val="Hyperlink"/>
            <w:rFonts w:ascii="Garamond" w:hAnsi="Garamond"/>
            <w:color w:val="auto"/>
            <w:sz w:val="20"/>
            <w:u w:val="none"/>
            <w:lang w:val="en-GB"/>
          </w:rPr>
          <w:t>Asset Return Thresholds (</w:t>
        </w:r>
        <w:r w:rsidRPr="004831C2">
          <w:rPr>
            <w:rStyle w:val="Hyperlink"/>
            <w:rFonts w:ascii="Garamond" w:hAnsi="Garamond"/>
            <w:i/>
            <w:color w:val="auto"/>
            <w:sz w:val="20"/>
            <w:u w:val="none"/>
            <w:lang w:val="en-GB"/>
          </w:rPr>
          <w:t>Z</w:t>
        </w:r>
        <w:r w:rsidRPr="004831C2">
          <w:rPr>
            <w:rStyle w:val="Hyperlink"/>
            <w:rFonts w:ascii="Garamond" w:hAnsi="Garamond"/>
            <w:color w:val="auto"/>
            <w:sz w:val="20"/>
            <w:u w:val="none"/>
            <w:lang w:val="en-GB"/>
          </w:rPr>
          <w:t>-Values)</w:t>
        </w:r>
      </w:hyperlink>
      <w:r w:rsidRPr="004831C2">
        <w:rPr>
          <w:rFonts w:ascii="Garamond" w:hAnsi="Garamond"/>
          <w:sz w:val="20"/>
          <w:lang w:val="en-GB"/>
        </w:rPr>
        <w:tab/>
        <w:t>19</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III</w:t>
      </w:r>
      <w:r w:rsidRPr="004831C2">
        <w:rPr>
          <w:rFonts w:ascii="Garamond" w:hAnsi="Garamond"/>
          <w:sz w:val="20"/>
          <w:lang w:val="en-GB"/>
        </w:rPr>
        <w:tab/>
      </w:r>
      <w:hyperlink w:anchor="F3" w:history="1">
        <w:r w:rsidRPr="004831C2">
          <w:rPr>
            <w:rStyle w:val="Hyperlink"/>
            <w:rFonts w:ascii="Garamond" w:hAnsi="Garamond"/>
            <w:color w:val="auto"/>
            <w:sz w:val="20"/>
            <w:u w:val="none"/>
            <w:lang w:val="en-GB"/>
          </w:rPr>
          <w:t>Recovery Rate Distribution</w:t>
        </w:r>
      </w:hyperlink>
      <w:r w:rsidRPr="004831C2">
        <w:rPr>
          <w:rFonts w:ascii="Garamond" w:hAnsi="Garamond"/>
          <w:sz w:val="20"/>
          <w:lang w:val="en-GB"/>
        </w:rPr>
        <w:tab/>
        <w:t>27</w:t>
      </w:r>
    </w:p>
    <w:p w:rsidR="001C7C52" w:rsidRPr="004831C2" w:rsidRDefault="001C7C52" w:rsidP="004831C2">
      <w:pPr>
        <w:pStyle w:val="000"/>
        <w:tabs>
          <w:tab w:val="left" w:pos="851"/>
          <w:tab w:val="left" w:pos="1560"/>
          <w:tab w:val="right" w:pos="8789"/>
          <w:tab w:val="left" w:pos="9072"/>
        </w:tabs>
        <w:spacing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IV</w:t>
      </w:r>
      <w:r w:rsidRPr="004831C2">
        <w:rPr>
          <w:rFonts w:ascii="Garamond" w:hAnsi="Garamond"/>
          <w:sz w:val="20"/>
          <w:lang w:val="en-GB"/>
        </w:rPr>
        <w:tab/>
      </w:r>
      <w:hyperlink w:anchor="F4" w:history="1">
        <w:r w:rsidRPr="004831C2">
          <w:rPr>
            <w:rStyle w:val="Hyperlink"/>
            <w:rFonts w:ascii="Garamond" w:hAnsi="Garamond"/>
            <w:color w:val="auto"/>
            <w:sz w:val="20"/>
            <w:u w:val="none"/>
            <w:lang w:val="en-GB"/>
          </w:rPr>
          <w:t>Portfolio Return Probability Distribution:</w:t>
        </w:r>
      </w:hyperlink>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sz w:val="20"/>
          <w:lang w:val="en-GB"/>
        </w:rPr>
        <w:tab/>
      </w:r>
      <w:hyperlink w:anchor="F4" w:history="1">
        <w:r w:rsidRPr="004831C2">
          <w:rPr>
            <w:rStyle w:val="Hyperlink"/>
            <w:rFonts w:ascii="Garamond" w:hAnsi="Garamond"/>
            <w:color w:val="auto"/>
            <w:sz w:val="20"/>
            <w:u w:val="none"/>
            <w:lang w:val="en-GB"/>
          </w:rPr>
          <w:t>Credit Migration Matrix Comparison</w:t>
        </w:r>
      </w:hyperlink>
      <w:r w:rsidRPr="004831C2">
        <w:rPr>
          <w:rFonts w:ascii="Garamond" w:hAnsi="Garamond"/>
          <w:sz w:val="20"/>
          <w:lang w:val="en-GB"/>
        </w:rPr>
        <w:tab/>
        <w:t>66</w:t>
      </w:r>
    </w:p>
    <w:p w:rsidR="001C7C52" w:rsidRPr="004831C2" w:rsidRDefault="001C7C52" w:rsidP="004831C2">
      <w:pPr>
        <w:pStyle w:val="000"/>
        <w:tabs>
          <w:tab w:val="left" w:pos="851"/>
          <w:tab w:val="left" w:pos="1560"/>
          <w:tab w:val="right" w:pos="8789"/>
          <w:tab w:val="left" w:pos="9072"/>
        </w:tabs>
        <w:spacing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w:t>
      </w:r>
      <w:r w:rsidRPr="004831C2">
        <w:rPr>
          <w:rFonts w:ascii="Garamond" w:hAnsi="Garamond"/>
          <w:sz w:val="20"/>
          <w:lang w:val="en-GB"/>
        </w:rPr>
        <w:tab/>
      </w:r>
      <w:hyperlink w:anchor="F5" w:history="1">
        <w:r w:rsidRPr="004831C2">
          <w:rPr>
            <w:rStyle w:val="Hyperlink"/>
            <w:rFonts w:ascii="Garamond" w:hAnsi="Garamond"/>
            <w:color w:val="auto"/>
            <w:sz w:val="20"/>
            <w:u w:val="none"/>
            <w:lang w:val="en-GB"/>
          </w:rPr>
          <w:t>Cumulative Portfolio Return Probability Distribution:</w:t>
        </w:r>
      </w:hyperlink>
      <w:r w:rsidRPr="004831C2">
        <w:rPr>
          <w:rFonts w:ascii="Garamond" w:hAnsi="Garamond"/>
          <w:sz w:val="20"/>
          <w:lang w:val="en-GB"/>
        </w:rPr>
        <w:t xml:space="preserve"> </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sz w:val="20"/>
          <w:lang w:val="en-GB"/>
        </w:rPr>
        <w:tab/>
      </w:r>
      <w:hyperlink w:anchor="F5" w:history="1">
        <w:r w:rsidRPr="004831C2">
          <w:rPr>
            <w:rStyle w:val="Hyperlink"/>
            <w:rFonts w:ascii="Garamond" w:hAnsi="Garamond"/>
            <w:color w:val="auto"/>
            <w:sz w:val="20"/>
            <w:u w:val="none"/>
            <w:lang w:val="en-GB"/>
          </w:rPr>
          <w:t>Credit Migration Matrix Comparison</w:t>
        </w:r>
      </w:hyperlink>
      <w:r w:rsidRPr="004831C2">
        <w:rPr>
          <w:rFonts w:ascii="Garamond" w:hAnsi="Garamond"/>
          <w:sz w:val="20"/>
          <w:lang w:val="en-GB"/>
        </w:rPr>
        <w:tab/>
        <w:t>66</w:t>
      </w:r>
    </w:p>
    <w:p w:rsidR="001C7C52" w:rsidRPr="004831C2" w:rsidRDefault="001C7C52" w:rsidP="004831C2">
      <w:pPr>
        <w:pStyle w:val="000"/>
        <w:tabs>
          <w:tab w:val="left" w:pos="851"/>
          <w:tab w:val="left" w:pos="1560"/>
          <w:tab w:val="right" w:pos="8789"/>
          <w:tab w:val="left" w:pos="9072"/>
        </w:tabs>
        <w:spacing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VI</w:t>
      </w:r>
      <w:r w:rsidRPr="004831C2">
        <w:rPr>
          <w:rFonts w:ascii="Garamond" w:hAnsi="Garamond"/>
          <w:sz w:val="20"/>
          <w:lang w:val="en-GB"/>
        </w:rPr>
        <w:tab/>
      </w:r>
      <w:hyperlink w:anchor="F6" w:history="1">
        <w:r w:rsidRPr="004831C2">
          <w:rPr>
            <w:rStyle w:val="Hyperlink"/>
            <w:rFonts w:ascii="Garamond" w:hAnsi="Garamond"/>
            <w:color w:val="auto"/>
            <w:sz w:val="20"/>
            <w:u w:val="none"/>
            <w:lang w:val="en-GB"/>
          </w:rPr>
          <w:t>Cumulative Portfolio Return Probability Distribution:</w:t>
        </w:r>
      </w:hyperlink>
      <w:r w:rsidRPr="004831C2">
        <w:rPr>
          <w:rFonts w:ascii="Garamond" w:hAnsi="Garamond"/>
          <w:sz w:val="20"/>
          <w:lang w:val="en-GB"/>
        </w:rPr>
        <w:t xml:space="preserve"> </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sz w:val="20"/>
          <w:lang w:val="en-GB"/>
        </w:rPr>
        <w:tab/>
      </w:r>
      <w:hyperlink w:anchor="F6" w:history="1">
        <w:r w:rsidRPr="004831C2">
          <w:rPr>
            <w:rStyle w:val="Hyperlink"/>
            <w:rFonts w:ascii="Garamond" w:hAnsi="Garamond"/>
            <w:color w:val="auto"/>
            <w:sz w:val="20"/>
            <w:u w:val="none"/>
            <w:lang w:val="en-GB"/>
          </w:rPr>
          <w:t>Copula Assumption Comparison</w:t>
        </w:r>
      </w:hyperlink>
      <w:r w:rsidRPr="004831C2">
        <w:rPr>
          <w:rFonts w:ascii="Garamond" w:hAnsi="Garamond"/>
          <w:sz w:val="20"/>
          <w:lang w:val="en-GB"/>
        </w:rPr>
        <w:tab/>
        <w:t>67</w:t>
      </w:r>
    </w:p>
    <w:p w:rsidR="001C7C52" w:rsidRPr="004831C2" w:rsidRDefault="001C7C52" w:rsidP="004831C2">
      <w:pPr>
        <w:pStyle w:val="000"/>
        <w:tabs>
          <w:tab w:val="left" w:pos="851"/>
          <w:tab w:val="left" w:pos="1560"/>
          <w:tab w:val="right" w:pos="8789"/>
          <w:tab w:val="left" w:pos="9072"/>
        </w:tabs>
        <w:spacing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VII</w:t>
      </w:r>
      <w:r w:rsidRPr="004831C2">
        <w:rPr>
          <w:rFonts w:ascii="Garamond" w:hAnsi="Garamond"/>
          <w:sz w:val="20"/>
          <w:lang w:val="en-GB"/>
        </w:rPr>
        <w:tab/>
      </w:r>
      <w:hyperlink w:anchor="F7" w:history="1">
        <w:r w:rsidRPr="004831C2">
          <w:rPr>
            <w:rStyle w:val="Hyperlink"/>
            <w:rFonts w:ascii="Garamond" w:hAnsi="Garamond"/>
            <w:color w:val="auto"/>
            <w:sz w:val="20"/>
            <w:u w:val="none"/>
            <w:lang w:val="en-GB"/>
          </w:rPr>
          <w:t>Cumulative Portfolio Return Probability Distribution:</w:t>
        </w:r>
      </w:hyperlink>
      <w:r w:rsidRPr="004831C2">
        <w:rPr>
          <w:rFonts w:ascii="Garamond" w:hAnsi="Garamond"/>
          <w:sz w:val="20"/>
          <w:lang w:val="en-GB"/>
        </w:rPr>
        <w:t xml:space="preserve"> </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sz w:val="20"/>
          <w:lang w:val="en-GB"/>
        </w:rPr>
        <w:tab/>
      </w:r>
      <w:hyperlink w:anchor="F7" w:history="1">
        <w:r w:rsidRPr="004831C2">
          <w:rPr>
            <w:rStyle w:val="Hyperlink"/>
            <w:rFonts w:ascii="Garamond" w:hAnsi="Garamond"/>
            <w:color w:val="auto"/>
            <w:sz w:val="20"/>
            <w:u w:val="none"/>
            <w:lang w:val="en-GB"/>
          </w:rPr>
          <w:t>Issuer Asset Correlation Comparison</w:t>
        </w:r>
      </w:hyperlink>
      <w:r w:rsidRPr="004831C2">
        <w:rPr>
          <w:rFonts w:ascii="Garamond" w:hAnsi="Garamond"/>
          <w:sz w:val="20"/>
          <w:lang w:val="en-GB"/>
        </w:rPr>
        <w:tab/>
        <w:t>70</w:t>
      </w:r>
    </w:p>
    <w:p w:rsidR="001C7C52" w:rsidRPr="004831C2" w:rsidRDefault="001C7C52" w:rsidP="004831C2">
      <w:pPr>
        <w:pStyle w:val="000"/>
        <w:tabs>
          <w:tab w:val="left" w:pos="851"/>
          <w:tab w:val="left" w:pos="1560"/>
          <w:tab w:val="right" w:pos="8789"/>
          <w:tab w:val="left" w:pos="9072"/>
        </w:tabs>
        <w:spacing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VIII</w:t>
      </w:r>
      <w:r w:rsidRPr="004831C2">
        <w:rPr>
          <w:rFonts w:ascii="Garamond" w:hAnsi="Garamond"/>
          <w:sz w:val="20"/>
          <w:lang w:val="en-GB"/>
        </w:rPr>
        <w:tab/>
      </w:r>
      <w:hyperlink w:anchor="F8" w:history="1">
        <w:r w:rsidRPr="004831C2">
          <w:rPr>
            <w:rStyle w:val="Hyperlink"/>
            <w:rFonts w:ascii="Garamond" w:hAnsi="Garamond"/>
            <w:color w:val="auto"/>
            <w:sz w:val="20"/>
            <w:u w:val="none"/>
            <w:lang w:val="en-GB"/>
          </w:rPr>
          <w:t>Cumulative Portfolio Return Probability Distribution:</w:t>
        </w:r>
      </w:hyperlink>
      <w:r w:rsidRPr="004831C2">
        <w:rPr>
          <w:rFonts w:ascii="Garamond" w:hAnsi="Garamond"/>
          <w:sz w:val="20"/>
          <w:lang w:val="en-GB"/>
        </w:rPr>
        <w:t xml:space="preserve"> </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sz w:val="20"/>
          <w:lang w:val="en-GB"/>
        </w:rPr>
        <w:tab/>
      </w:r>
      <w:hyperlink w:anchor="F8" w:history="1">
        <w:r w:rsidRPr="004831C2">
          <w:rPr>
            <w:rStyle w:val="Hyperlink"/>
            <w:rFonts w:ascii="Garamond" w:hAnsi="Garamond"/>
            <w:color w:val="auto"/>
            <w:sz w:val="20"/>
            <w:u w:val="none"/>
            <w:lang w:val="en-GB"/>
          </w:rPr>
          <w:t>Autocorrelation Comparison</w:t>
        </w:r>
      </w:hyperlink>
      <w:r w:rsidRPr="004831C2">
        <w:rPr>
          <w:rFonts w:ascii="Garamond" w:hAnsi="Garamond"/>
          <w:sz w:val="20"/>
          <w:lang w:val="en-GB"/>
        </w:rPr>
        <w:tab/>
        <w:t>73</w:t>
      </w:r>
    </w:p>
    <w:p w:rsidR="001C7C52" w:rsidRPr="004831C2" w:rsidRDefault="001C7C52" w:rsidP="004831C2">
      <w:pPr>
        <w:pStyle w:val="000"/>
        <w:tabs>
          <w:tab w:val="left" w:pos="851"/>
          <w:tab w:val="left" w:pos="1560"/>
          <w:tab w:val="right" w:pos="8789"/>
          <w:tab w:val="left" w:pos="9072"/>
        </w:tabs>
        <w:spacing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IX</w:t>
      </w:r>
      <w:r w:rsidRPr="004831C2">
        <w:rPr>
          <w:rFonts w:ascii="Garamond" w:hAnsi="Garamond"/>
          <w:sz w:val="20"/>
          <w:lang w:val="en-GB"/>
        </w:rPr>
        <w:tab/>
      </w:r>
      <w:hyperlink w:anchor="F9" w:history="1">
        <w:r w:rsidRPr="004831C2">
          <w:rPr>
            <w:rStyle w:val="Hyperlink"/>
            <w:rFonts w:ascii="Garamond" w:hAnsi="Garamond"/>
            <w:color w:val="auto"/>
            <w:sz w:val="20"/>
            <w:u w:val="none"/>
            <w:lang w:val="en-GB"/>
          </w:rPr>
          <w:t>Portfolio Return Probability Distribution:</w:t>
        </w:r>
      </w:hyperlink>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sz w:val="20"/>
          <w:lang w:val="en-GB"/>
        </w:rPr>
        <w:tab/>
      </w:r>
      <w:hyperlink w:anchor="F9" w:history="1">
        <w:r w:rsidRPr="004831C2">
          <w:rPr>
            <w:rStyle w:val="Hyperlink"/>
            <w:rFonts w:ascii="Garamond" w:hAnsi="Garamond"/>
            <w:color w:val="auto"/>
            <w:sz w:val="20"/>
            <w:u w:val="none"/>
            <w:lang w:val="en-GB"/>
          </w:rPr>
          <w:t>Liquidity Horizon Assumption Comparison</w:t>
        </w:r>
      </w:hyperlink>
      <w:r w:rsidRPr="004831C2">
        <w:rPr>
          <w:rFonts w:ascii="Garamond" w:hAnsi="Garamond"/>
          <w:sz w:val="20"/>
          <w:lang w:val="en-GB"/>
        </w:rPr>
        <w:tab/>
        <w:t>75</w:t>
      </w:r>
    </w:p>
    <w:p w:rsidR="001C7C52" w:rsidRPr="004831C2" w:rsidRDefault="001C7C52" w:rsidP="004831C2">
      <w:pPr>
        <w:pStyle w:val="000"/>
        <w:tabs>
          <w:tab w:val="left" w:pos="851"/>
          <w:tab w:val="left" w:pos="1560"/>
          <w:tab w:val="right" w:pos="8789"/>
          <w:tab w:val="left" w:pos="9072"/>
        </w:tabs>
        <w:spacing w:line="240" w:lineRule="auto"/>
        <w:rPr>
          <w:rFonts w:ascii="Garamond" w:hAnsi="Garamond"/>
          <w:sz w:val="20"/>
          <w:lang w:val="en-GB"/>
        </w:rPr>
      </w:pPr>
      <w:r w:rsidRPr="004831C2">
        <w:rPr>
          <w:rFonts w:ascii="Garamond" w:hAnsi="Garamond"/>
          <w:sz w:val="20"/>
          <w:lang w:val="en-GB"/>
        </w:rPr>
        <w:tab/>
      </w:r>
      <w:r w:rsidRPr="004831C2">
        <w:rPr>
          <w:rFonts w:ascii="Garamond" w:hAnsi="Garamond"/>
          <w:b/>
          <w:sz w:val="20"/>
          <w:lang w:val="en-GB"/>
        </w:rPr>
        <w:t>X</w:t>
      </w:r>
      <w:r w:rsidRPr="004831C2">
        <w:rPr>
          <w:rFonts w:ascii="Garamond" w:hAnsi="Garamond"/>
          <w:sz w:val="20"/>
          <w:lang w:val="en-GB"/>
        </w:rPr>
        <w:tab/>
      </w:r>
      <w:hyperlink w:anchor="F10" w:history="1">
        <w:r w:rsidRPr="004831C2">
          <w:rPr>
            <w:rStyle w:val="Hyperlink"/>
            <w:rFonts w:ascii="Garamond" w:hAnsi="Garamond"/>
            <w:color w:val="auto"/>
            <w:sz w:val="20"/>
            <w:u w:val="none"/>
            <w:lang w:val="en-GB"/>
          </w:rPr>
          <w:t>Cumulative Portfolio Return Probability Distribution:</w:t>
        </w:r>
      </w:hyperlink>
      <w:r w:rsidRPr="004831C2">
        <w:rPr>
          <w:rFonts w:ascii="Garamond" w:hAnsi="Garamond"/>
          <w:sz w:val="20"/>
          <w:lang w:val="en-GB"/>
        </w:rPr>
        <w:t xml:space="preserve"> </w:t>
      </w:r>
    </w:p>
    <w:p w:rsidR="001C7C52" w:rsidRPr="004831C2" w:rsidRDefault="001C7C52" w:rsidP="004831C2">
      <w:pPr>
        <w:pStyle w:val="000"/>
        <w:tabs>
          <w:tab w:val="left" w:pos="851"/>
          <w:tab w:val="left" w:pos="1560"/>
          <w:tab w:val="right" w:pos="8789"/>
          <w:tab w:val="left" w:pos="9072"/>
        </w:tabs>
        <w:spacing w:after="60" w:line="240" w:lineRule="auto"/>
        <w:rPr>
          <w:rFonts w:ascii="Garamond" w:hAnsi="Garamond"/>
          <w:sz w:val="20"/>
          <w:lang w:val="en-GB"/>
        </w:rPr>
      </w:pPr>
      <w:r w:rsidRPr="004831C2">
        <w:rPr>
          <w:rFonts w:ascii="Garamond" w:hAnsi="Garamond"/>
          <w:sz w:val="20"/>
          <w:lang w:val="en-GB"/>
        </w:rPr>
        <w:tab/>
      </w:r>
      <w:r w:rsidRPr="004831C2">
        <w:rPr>
          <w:rFonts w:ascii="Garamond" w:hAnsi="Garamond"/>
          <w:sz w:val="20"/>
          <w:lang w:val="en-GB"/>
        </w:rPr>
        <w:tab/>
      </w:r>
      <w:hyperlink w:anchor="F10" w:history="1">
        <w:r w:rsidRPr="004831C2">
          <w:rPr>
            <w:rStyle w:val="Hyperlink"/>
            <w:rFonts w:ascii="Garamond" w:hAnsi="Garamond"/>
            <w:color w:val="auto"/>
            <w:sz w:val="20"/>
            <w:u w:val="none"/>
            <w:lang w:val="en-GB"/>
          </w:rPr>
          <w:t>Liquidity Horizon Assumption Comparison</w:t>
        </w:r>
      </w:hyperlink>
      <w:r w:rsidRPr="004831C2">
        <w:rPr>
          <w:rFonts w:ascii="Garamond" w:hAnsi="Garamond"/>
          <w:sz w:val="20"/>
          <w:lang w:val="en-GB"/>
        </w:rPr>
        <w:tab/>
        <w:t>75</w:t>
      </w:r>
    </w:p>
    <w:p w:rsidR="001C7C52" w:rsidRPr="004E14FC" w:rsidRDefault="001C7C52" w:rsidP="004E14FC">
      <w:pPr>
        <w:spacing w:before="40" w:after="30" w:line="300" w:lineRule="exact"/>
        <w:rPr>
          <w:rFonts w:ascii="Garamond" w:hAnsi="Garamond"/>
          <w:szCs w:val="22"/>
          <w:lang w:val="en-GB"/>
        </w:rPr>
      </w:pPr>
    </w:p>
    <w:p w:rsidR="001C7C52" w:rsidRPr="00802C03" w:rsidRDefault="001C7C52" w:rsidP="004E14FC">
      <w:pPr>
        <w:spacing w:line="300" w:lineRule="exact"/>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Pr="00802C03"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Default="001C7C52">
      <w:pPr>
        <w:rPr>
          <w:rFonts w:ascii="Garamond" w:hAnsi="Garamond"/>
          <w:lang w:val="en-GB"/>
        </w:rPr>
      </w:pPr>
    </w:p>
    <w:p w:rsidR="001C7C52" w:rsidRPr="00802C03" w:rsidRDefault="001C7C52" w:rsidP="00F83994">
      <w:pPr>
        <w:spacing w:line="280" w:lineRule="exact"/>
        <w:jc w:val="center"/>
        <w:rPr>
          <w:rFonts w:ascii="Garamond" w:hAnsi="Garamond" w:cs="NimbusRomNo9L-Regu"/>
          <w:szCs w:val="22"/>
          <w:lang w:val="en-GB" w:eastAsia="nl-NL"/>
        </w:rPr>
      </w:pPr>
    </w:p>
    <w:tbl>
      <w:tblPr>
        <w:tblW w:w="10708" w:type="dxa"/>
        <w:tblInd w:w="-1276" w:type="dxa"/>
        <w:tblCellMar>
          <w:left w:w="0" w:type="dxa"/>
          <w:right w:w="0" w:type="dxa"/>
        </w:tblCellMar>
        <w:tblLook w:val="00A0"/>
      </w:tblPr>
      <w:tblGrid>
        <w:gridCol w:w="1276"/>
        <w:gridCol w:w="20"/>
        <w:gridCol w:w="9392"/>
        <w:gridCol w:w="20"/>
      </w:tblGrid>
      <w:tr w:rsidR="001C7C52" w:rsidRPr="00802C03" w:rsidTr="002E2E49">
        <w:trPr>
          <w:gridAfter w:val="1"/>
          <w:wAfter w:w="20" w:type="dxa"/>
        </w:trPr>
        <w:tc>
          <w:tcPr>
            <w:tcW w:w="1276" w:type="dxa"/>
          </w:tcPr>
          <w:p w:rsidR="001C7C52" w:rsidRPr="002E2E49" w:rsidRDefault="001C7C52" w:rsidP="002E2E49">
            <w:pPr>
              <w:spacing w:line="280" w:lineRule="exact"/>
              <w:rPr>
                <w:rFonts w:ascii="Garamond" w:hAnsi="Garamond"/>
                <w:lang w:val="en-GB"/>
              </w:rPr>
            </w:pPr>
          </w:p>
        </w:tc>
        <w:tc>
          <w:tcPr>
            <w:tcW w:w="9412" w:type="dxa"/>
            <w:gridSpan w:val="2"/>
            <w:tcBorders>
              <w:bottom w:val="single" w:sz="4" w:space="0" w:color="auto"/>
            </w:tcBorders>
          </w:tcPr>
          <w:p w:rsidR="001C7C52" w:rsidRPr="002E2E49" w:rsidRDefault="001C7C52" w:rsidP="002E2E49">
            <w:pPr>
              <w:spacing w:line="280" w:lineRule="exact"/>
              <w:rPr>
                <w:rFonts w:ascii="Garamond" w:hAnsi="Garamond"/>
                <w:sz w:val="26"/>
                <w:szCs w:val="26"/>
                <w:lang w:val="en-GB"/>
              </w:rPr>
            </w:pPr>
            <w:bookmarkStart w:id="0" w:name="Preface"/>
            <w:bookmarkEnd w:id="0"/>
            <w:r w:rsidRPr="002E2E49">
              <w:rPr>
                <w:rFonts w:ascii="Garamond" w:hAnsi="Garamond" w:cs="NimbusRomNo9L-Regu"/>
                <w:b/>
                <w:sz w:val="26"/>
                <w:szCs w:val="26"/>
                <w:lang w:val="en-GB" w:eastAsia="nl-NL"/>
              </w:rPr>
              <w:t>P</w:t>
            </w:r>
            <w:r w:rsidRPr="002E2E49">
              <w:rPr>
                <w:rFonts w:ascii="Garamond" w:hAnsi="Garamond" w:cs="NimbusRomNo9L-Regu"/>
                <w:b/>
                <w:sz w:val="20"/>
                <w:lang w:val="en-GB" w:eastAsia="nl-NL"/>
              </w:rPr>
              <w:t>REFACE</w:t>
            </w:r>
          </w:p>
        </w:tc>
      </w:tr>
      <w:tr w:rsidR="001C7C52" w:rsidRPr="00802C03" w:rsidTr="002E2E49">
        <w:tc>
          <w:tcPr>
            <w:tcW w:w="1276" w:type="dxa"/>
          </w:tcPr>
          <w:p w:rsidR="001C7C52" w:rsidRPr="002E2E49" w:rsidRDefault="001C7C52" w:rsidP="002E2E49">
            <w:pPr>
              <w:spacing w:line="40" w:lineRule="exact"/>
              <w:rPr>
                <w:rFonts w:ascii="Garamond" w:hAnsi="Garamond"/>
                <w:lang w:val="en-GB"/>
              </w:rPr>
            </w:pPr>
          </w:p>
        </w:tc>
        <w:tc>
          <w:tcPr>
            <w:tcW w:w="20" w:type="dxa"/>
          </w:tcPr>
          <w:p w:rsidR="001C7C52" w:rsidRPr="002E2E49" w:rsidRDefault="001C7C52" w:rsidP="002E2E49">
            <w:pPr>
              <w:spacing w:line="40" w:lineRule="exact"/>
              <w:rPr>
                <w:rFonts w:ascii="Garamond" w:hAnsi="Garamond"/>
                <w:lang w:val="en-GB"/>
              </w:rPr>
            </w:pPr>
            <w:r>
              <w:rPr>
                <w:noProof/>
                <w:lang w:val="en-US"/>
              </w:rPr>
              <w:pict>
                <v:rect id="_x0000_s1049" style="position:absolute;margin-left:0;margin-top:-.3pt;width:470.4pt;height:.85pt;z-index:-251639296;mso-position-horizontal-relative:page;mso-position-vertical-relative:text" fillcolor="black" stroked="f">
                  <v:fill rotate="t" angle="-90" focus="100%" type="gradient"/>
                  <w10:wrap anchorx="margin"/>
                </v:rect>
              </w:pict>
            </w:r>
          </w:p>
        </w:tc>
        <w:tc>
          <w:tcPr>
            <w:tcW w:w="9412" w:type="dxa"/>
            <w:gridSpan w:val="2"/>
          </w:tcPr>
          <w:p w:rsidR="001C7C52" w:rsidRPr="002E2E49" w:rsidRDefault="001C7C52" w:rsidP="002E2E49">
            <w:pPr>
              <w:spacing w:line="40" w:lineRule="exact"/>
              <w:rPr>
                <w:rFonts w:ascii="Garamond" w:hAnsi="Garamond"/>
                <w:lang w:val="en-GB"/>
              </w:rPr>
            </w:pPr>
          </w:p>
        </w:tc>
      </w:tr>
    </w:tbl>
    <w:p w:rsidR="001C7C52" w:rsidRPr="00802C03" w:rsidRDefault="001C7C52" w:rsidP="00F83994">
      <w:pPr>
        <w:spacing w:line="280" w:lineRule="exact"/>
        <w:rPr>
          <w:rFonts w:ascii="Garamond" w:hAnsi="Garamond"/>
          <w:sz w:val="20"/>
          <w:lang w:val="en-GB"/>
        </w:rPr>
      </w:pPr>
    </w:p>
    <w:p w:rsidR="001C7C52" w:rsidRPr="00EE5FDF" w:rsidRDefault="001C7C52" w:rsidP="00F83994">
      <w:pPr>
        <w:pStyle w:val="000"/>
        <w:spacing w:line="280" w:lineRule="exact"/>
        <w:ind w:left="851" w:right="573" w:hanging="851"/>
        <w:jc w:val="both"/>
        <w:rPr>
          <w:rFonts w:ascii="Garamond" w:hAnsi="Garamond"/>
          <w:szCs w:val="22"/>
          <w:lang w:val="en-GB"/>
        </w:rPr>
      </w:pPr>
      <w:r w:rsidRPr="00EE5FDF">
        <w:rPr>
          <w:rFonts w:ascii="Garamond" w:hAnsi="Garamond"/>
          <w:b/>
          <w:szCs w:val="22"/>
          <w:lang w:val="en-GB"/>
        </w:rPr>
        <w:t>This document</w:t>
      </w:r>
      <w:r w:rsidRPr="00EE5FDF">
        <w:rPr>
          <w:rFonts w:ascii="Garamond" w:hAnsi="Garamond"/>
          <w:szCs w:val="22"/>
          <w:lang w:val="en-GB"/>
        </w:rPr>
        <w:t xml:space="preserve"> is written as a Master Thesis Financial Economics for the Erasmus School of Economics, during an internship at Ernst &amp; Young FSRM in Amsterdam. Hence,</w:t>
      </w:r>
      <w:r w:rsidRPr="00EE5FDF">
        <w:rPr>
          <w:rFonts w:ascii="Garamond" w:hAnsi="Garamond"/>
          <w:b/>
          <w:szCs w:val="22"/>
          <w:lang w:val="en-GB"/>
        </w:rPr>
        <w:t xml:space="preserve"> </w:t>
      </w:r>
      <w:r w:rsidRPr="00EE5FDF">
        <w:rPr>
          <w:rFonts w:ascii="Garamond" w:hAnsi="Garamond"/>
          <w:szCs w:val="22"/>
          <w:lang w:val="en-GB"/>
        </w:rPr>
        <w:t xml:space="preserve">I must thank Ernst &amp; Young FSRM Amsterdam, since they have provided me with the opportunity to compose my Master Thesis in a corporate environment, which offered me a glimpse of the actual practices in world of Finance. In particular, I wish to thank both of my Ernst &amp; Young FSRM supervisors, Gerd-Jan van Wiggen for useful conversations and his comments on some particular topics that are addressed in the study and Boudewijn van Zijl for his comments on the first draft version of this study. </w:t>
      </w:r>
    </w:p>
    <w:p w:rsidR="001C7C52" w:rsidRPr="00EE5FDF" w:rsidRDefault="001C7C52" w:rsidP="00F83994">
      <w:pPr>
        <w:spacing w:line="280" w:lineRule="exact"/>
        <w:ind w:left="851" w:right="573"/>
        <w:jc w:val="both"/>
        <w:rPr>
          <w:rFonts w:ascii="Garamond" w:hAnsi="Garamond"/>
          <w:szCs w:val="22"/>
          <w:lang w:val="en-GB"/>
        </w:rPr>
      </w:pPr>
      <w:r w:rsidRPr="00EE5FDF">
        <w:rPr>
          <w:rFonts w:ascii="Garamond" w:hAnsi="Garamond"/>
          <w:szCs w:val="22"/>
          <w:lang w:val="en-GB"/>
        </w:rPr>
        <w:t>I also wish to thank my Erasmus School of Economics supervisor, Prof. Dr. Willem F. C. Verschoor, for the refereeing of the first draft version and the final version (this version) of my Master Thesis. Moreover, I am pleased with the freedom that he has given me in both the creation of my Thesis and in the format or structure of my Thesis.</w:t>
      </w:r>
    </w:p>
    <w:p w:rsidR="001C7C52" w:rsidRPr="00EE5FDF" w:rsidRDefault="001C7C52" w:rsidP="00F83994">
      <w:pPr>
        <w:spacing w:after="180" w:line="280" w:lineRule="exact"/>
        <w:ind w:left="851" w:right="573"/>
        <w:jc w:val="both"/>
        <w:rPr>
          <w:rFonts w:ascii="Garamond" w:hAnsi="Garamond"/>
          <w:szCs w:val="22"/>
          <w:lang w:val="en-GB"/>
        </w:rPr>
      </w:pPr>
      <w:r w:rsidRPr="00EE5FDF">
        <w:rPr>
          <w:rFonts w:ascii="Garamond" w:hAnsi="Garamond"/>
          <w:szCs w:val="22"/>
          <w:lang w:val="en-GB"/>
        </w:rPr>
        <w:t>Lastly, to avoid any confusion on the subject, I must note that even though I had three supervisors in the process, the complete content of this study, as well as its layout, is a product of my own mind. In this context, the source of all errors it may still contain is naturally revealed as well.</w:t>
      </w:r>
    </w:p>
    <w:p w:rsidR="001C7C52" w:rsidRPr="004E14FC" w:rsidRDefault="001C7C52" w:rsidP="00F83994">
      <w:pPr>
        <w:spacing w:after="180" w:line="280" w:lineRule="exact"/>
        <w:ind w:left="851" w:right="573" w:hanging="851"/>
        <w:jc w:val="both"/>
        <w:rPr>
          <w:rFonts w:ascii="Garamond" w:hAnsi="Garamond"/>
          <w:szCs w:val="22"/>
          <w:lang w:val="en-GB"/>
        </w:rPr>
      </w:pPr>
      <w:r w:rsidRPr="004E14FC">
        <w:rPr>
          <w:rFonts w:ascii="Garamond" w:hAnsi="Garamond"/>
          <w:b/>
          <w:szCs w:val="22"/>
          <w:lang w:val="en-GB"/>
        </w:rPr>
        <w:t>CreditMetrics:</w:t>
      </w:r>
      <w:r w:rsidRPr="004E14FC">
        <w:rPr>
          <w:rFonts w:ascii="Garamond" w:hAnsi="Garamond"/>
          <w:szCs w:val="22"/>
          <w:lang w:val="en-GB"/>
        </w:rPr>
        <w:t xml:space="preserve"> The central topic in this study is the Incremental Risk Capital Charge and the incremental risk model on which this regulatory capital charge is based. The Incremental Risk Capital Charge has been in the consultative trajectory since June 2007 and is additional capital charge in the Basel II Market Risk Framework that must provide a capital buffer against the default and migration incremental to the credit positions in a bank’s trading book. Hence, an incremental risk model must address default and migration risk in the trading book. For this particular purpose, the CreditMetrics model (</w:t>
      </w:r>
      <w:hyperlink w:anchor="Gupton_et_al_1997" w:history="1">
        <w:r w:rsidRPr="004E14FC">
          <w:rPr>
            <w:rStyle w:val="Hyperlink"/>
            <w:rFonts w:ascii="Garamond" w:hAnsi="Garamond"/>
            <w:color w:val="000066"/>
            <w:szCs w:val="22"/>
            <w:u w:val="none"/>
            <w:lang w:val="en-GB"/>
          </w:rPr>
          <w:t>Gupton et al., 1997</w:t>
        </w:r>
      </w:hyperlink>
      <w:r w:rsidRPr="004E14FC">
        <w:rPr>
          <w:rFonts w:ascii="Garamond" w:hAnsi="Garamond"/>
          <w:szCs w:val="22"/>
          <w:lang w:val="en-GB"/>
        </w:rPr>
        <w:t xml:space="preserve">) is utilized as a basis on which the incremental risk model that is proposed in the study is built. Although the CreditMetrics model on itself is discussed in the study, it is essential to note that it is assumed that the reader is to some degree familiar with the model. More importantly, the assumption is made that the reader is familiar with its intuition. </w:t>
      </w:r>
    </w:p>
    <w:p w:rsidR="001C7C52" w:rsidRDefault="001C7C52" w:rsidP="00F83994">
      <w:pPr>
        <w:spacing w:line="280" w:lineRule="exact"/>
        <w:ind w:left="851" w:right="573" w:hanging="851"/>
        <w:jc w:val="both"/>
        <w:rPr>
          <w:rFonts w:ascii="Garamond" w:hAnsi="Garamond" w:cs="NimbusRomNo9L-Regu"/>
          <w:szCs w:val="22"/>
          <w:lang w:val="en-GB" w:eastAsia="nl-NL"/>
        </w:rPr>
      </w:pPr>
      <w:r w:rsidRPr="004E14FC">
        <w:rPr>
          <w:rFonts w:ascii="Garamond" w:hAnsi="Garamond"/>
          <w:b/>
          <w:szCs w:val="22"/>
          <w:lang w:val="en-GB"/>
        </w:rPr>
        <w:t>Finalized incremental risk model guidelines:</w:t>
      </w:r>
      <w:r w:rsidRPr="004E14FC">
        <w:rPr>
          <w:rFonts w:ascii="Garamond" w:hAnsi="Garamond"/>
          <w:szCs w:val="22"/>
          <w:lang w:val="en-GB"/>
        </w:rPr>
        <w:t xml:space="preserve"> The last important note to the reader is that this study, and therefore the incremental risk model that is proposed in this study, are based on the incremental risk model guidelines that were released in January 2009 by the Basel Committee on Banking Supervision (</w:t>
      </w:r>
      <w:hyperlink w:anchor="BCBS_2009a" w:history="1">
        <w:r w:rsidRPr="004E14FC">
          <w:rPr>
            <w:rStyle w:val="Hyperlink"/>
            <w:rFonts w:ascii="Garamond" w:hAnsi="Garamond"/>
            <w:color w:val="000066"/>
            <w:szCs w:val="22"/>
            <w:u w:val="none"/>
            <w:lang w:val="en-GB"/>
          </w:rPr>
          <w:t>BCBS, 2009a</w:t>
        </w:r>
      </w:hyperlink>
      <w:r w:rsidRPr="004E14FC">
        <w:rPr>
          <w:rFonts w:ascii="Garamond" w:hAnsi="Garamond"/>
          <w:szCs w:val="22"/>
          <w:lang w:val="en-GB"/>
        </w:rPr>
        <w:t xml:space="preserve">). This particular document is of consultative nature, which indicates that the guidelines that it contains were not finalized yet at that point in time. Nonetheless, in July 2009 during the creation of this study’s content, the Basel Committee of Banking Supervision has released the finalized version on the incremental risk model guidelines: </w:t>
      </w:r>
      <w:r w:rsidRPr="004E14FC">
        <w:rPr>
          <w:rFonts w:ascii="Garamond" w:hAnsi="Garamond" w:cs="NimbusRomNo9L-Regu"/>
          <w:i/>
          <w:szCs w:val="22"/>
          <w:lang w:val="en-GB" w:eastAsia="nl-NL"/>
        </w:rPr>
        <w:t>Guidelines for Computing Capital for Incremental Risk in the Trading Book</w:t>
      </w:r>
      <w:r w:rsidRPr="004E14FC">
        <w:rPr>
          <w:rFonts w:ascii="Garamond" w:hAnsi="Garamond" w:cs="NimbusRomNo9L-Regu"/>
          <w:szCs w:val="22"/>
          <w:lang w:val="en-GB" w:eastAsia="nl-NL"/>
        </w:rPr>
        <w:t xml:space="preserve"> (</w:t>
      </w:r>
      <w:hyperlink w:anchor="BCBS_2009d" w:history="1">
        <w:r w:rsidRPr="004E14FC">
          <w:rPr>
            <w:rStyle w:val="Hyperlink"/>
            <w:rFonts w:ascii="Garamond" w:hAnsi="Garamond" w:cs="NimbusRomNo9L-Regu"/>
            <w:color w:val="000066"/>
            <w:szCs w:val="22"/>
            <w:u w:val="none"/>
            <w:lang w:val="en-GB" w:eastAsia="nl-NL"/>
          </w:rPr>
          <w:t>BCBS, 2009d</w:t>
        </w:r>
      </w:hyperlink>
      <w:r w:rsidRPr="004E14FC">
        <w:rPr>
          <w:rFonts w:ascii="Garamond" w:hAnsi="Garamond" w:cs="NimbusRomNo9L-Regu"/>
          <w:szCs w:val="22"/>
          <w:lang w:val="en-GB" w:eastAsia="nl-NL"/>
        </w:rPr>
        <w:t>). I am especially pleased to inform you that none of the essential aspects in the consultative paper of January 2009 have been changed in the final version of the incremental risk model guidelines of July 2009. Consequently, the findings and conclusions that are presented in this study apply to the finalized guidelines of incremental risk model as well.</w:t>
      </w: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Default="001C7C52" w:rsidP="00F83994">
      <w:pPr>
        <w:spacing w:line="280" w:lineRule="exact"/>
        <w:ind w:left="851" w:right="573" w:hanging="851"/>
        <w:jc w:val="both"/>
        <w:rPr>
          <w:rFonts w:ascii="Garamond" w:hAnsi="Garamond"/>
          <w:szCs w:val="22"/>
          <w:lang w:val="en-GB"/>
        </w:rPr>
      </w:pPr>
    </w:p>
    <w:p w:rsidR="001C7C52" w:rsidRPr="004E14FC" w:rsidRDefault="001C7C52" w:rsidP="00F83994">
      <w:pPr>
        <w:spacing w:line="280" w:lineRule="exact"/>
        <w:ind w:left="851" w:right="573" w:hanging="851"/>
        <w:jc w:val="both"/>
        <w:rPr>
          <w:rFonts w:ascii="Garamond" w:hAnsi="Garamond"/>
          <w:szCs w:val="22"/>
          <w:lang w:val="en-GB"/>
        </w:rPr>
      </w:pPr>
    </w:p>
    <w:p w:rsidR="001C7C52" w:rsidRPr="00802C03" w:rsidRDefault="001C7C52" w:rsidP="00F83994">
      <w:pPr>
        <w:spacing w:line="280" w:lineRule="exact"/>
        <w:jc w:val="both"/>
        <w:rPr>
          <w:rFonts w:ascii="Garamond" w:hAnsi="Garamond"/>
          <w:lang w:val="en-GB"/>
        </w:rPr>
      </w:pPr>
    </w:p>
    <w:p w:rsidR="001C7C52" w:rsidRPr="00802C03" w:rsidRDefault="001C7C52">
      <w:pPr>
        <w:rPr>
          <w:rFonts w:ascii="Garamond" w:hAnsi="Garamond"/>
          <w:lang w:val="en-GB"/>
        </w:rPr>
      </w:pPr>
    </w:p>
    <w:p w:rsidR="001C7C52" w:rsidRPr="00802C03" w:rsidRDefault="001C7C52" w:rsidP="00AD4A0E">
      <w:pPr>
        <w:pStyle w:val="000"/>
        <w:tabs>
          <w:tab w:val="left" w:pos="284"/>
          <w:tab w:val="left" w:pos="851"/>
          <w:tab w:val="left" w:pos="8505"/>
        </w:tabs>
        <w:spacing w:after="36" w:line="280" w:lineRule="exact"/>
        <w:rPr>
          <w:rFonts w:ascii="Garamond" w:hAnsi="Garamond"/>
          <w:szCs w:val="22"/>
          <w:lang w:val="en-GB"/>
        </w:rPr>
      </w:pPr>
    </w:p>
    <w:p w:rsidR="001C7C52" w:rsidRPr="00802C03" w:rsidRDefault="001C7C52" w:rsidP="000B21BC">
      <w:pPr>
        <w:spacing w:line="280" w:lineRule="exact"/>
        <w:rPr>
          <w:rFonts w:ascii="Garamond" w:hAnsi="Garamond"/>
          <w:lang w:val="en-GB"/>
        </w:rPr>
        <w:sectPr w:rsidR="001C7C52" w:rsidRPr="00802C03" w:rsidSect="001446ED">
          <w:footerReference w:type="even" r:id="rId11"/>
          <w:footerReference w:type="first" r:id="rId12"/>
          <w:footnotePr>
            <w:numFmt w:val="chicago"/>
          </w:footnotePr>
          <w:pgSz w:w="11906" w:h="16838"/>
          <w:pgMar w:top="1247" w:right="1247" w:bottom="1247" w:left="1247" w:header="907" w:footer="567" w:gutter="0"/>
          <w:pgNumType w:fmt="lowerRoman"/>
          <w:cols w:space="708"/>
          <w:titlePg/>
          <w:docGrid w:linePitch="360"/>
        </w:sectPr>
      </w:pPr>
    </w:p>
    <w:tbl>
      <w:tblPr>
        <w:tblW w:w="10708" w:type="dxa"/>
        <w:tblInd w:w="-1276" w:type="dxa"/>
        <w:tblCellMar>
          <w:left w:w="0" w:type="dxa"/>
          <w:right w:w="0" w:type="dxa"/>
        </w:tblCellMar>
        <w:tblLook w:val="00A0"/>
      </w:tblPr>
      <w:tblGrid>
        <w:gridCol w:w="1276"/>
        <w:gridCol w:w="20"/>
        <w:gridCol w:w="9392"/>
        <w:gridCol w:w="20"/>
      </w:tblGrid>
      <w:tr w:rsidR="001C7C52" w:rsidRPr="00802C03" w:rsidTr="002E2E49">
        <w:trPr>
          <w:gridAfter w:val="1"/>
          <w:wAfter w:w="20" w:type="dxa"/>
        </w:trPr>
        <w:tc>
          <w:tcPr>
            <w:tcW w:w="1276" w:type="dxa"/>
          </w:tcPr>
          <w:p w:rsidR="001C7C52" w:rsidRPr="002E2E49" w:rsidRDefault="001C7C52" w:rsidP="002E2E49">
            <w:pPr>
              <w:spacing w:line="280" w:lineRule="exact"/>
              <w:rPr>
                <w:rFonts w:ascii="Garamond" w:hAnsi="Garamond"/>
                <w:lang w:val="en-GB"/>
              </w:rPr>
            </w:pPr>
          </w:p>
        </w:tc>
        <w:tc>
          <w:tcPr>
            <w:tcW w:w="9412" w:type="dxa"/>
            <w:gridSpan w:val="2"/>
            <w:tcBorders>
              <w:bottom w:val="single" w:sz="4" w:space="0" w:color="auto"/>
            </w:tcBorders>
          </w:tcPr>
          <w:p w:rsidR="001C7C52" w:rsidRPr="002E2E49" w:rsidRDefault="001C7C52" w:rsidP="002E2E49">
            <w:pPr>
              <w:spacing w:line="280" w:lineRule="exact"/>
              <w:jc w:val="center"/>
              <w:rPr>
                <w:rFonts w:ascii="Garamond" w:hAnsi="Garamond"/>
                <w:lang w:val="en-GB"/>
              </w:rPr>
            </w:pPr>
            <w:bookmarkStart w:id="1" w:name="C1_Introduction"/>
            <w:bookmarkEnd w:id="1"/>
            <w:r w:rsidRPr="002E2E49">
              <w:rPr>
                <w:rFonts w:ascii="Garamond" w:hAnsi="Garamond" w:cs="NimbusRomNo9L-Regu"/>
                <w:b/>
                <w:sz w:val="30"/>
                <w:szCs w:val="30"/>
                <w:lang w:val="en-GB" w:eastAsia="nl-NL"/>
              </w:rPr>
              <w:t>I</w:t>
            </w:r>
            <w:r w:rsidRPr="002E2E49">
              <w:rPr>
                <w:rFonts w:ascii="Garamond" w:hAnsi="Garamond" w:cs="NimbusRomNo9L-Regu"/>
                <w:b/>
                <w:sz w:val="24"/>
                <w:szCs w:val="24"/>
                <w:lang w:val="en-GB" w:eastAsia="nl-NL"/>
              </w:rPr>
              <w:t>NTRODUCTION</w:t>
            </w:r>
          </w:p>
        </w:tc>
      </w:tr>
      <w:tr w:rsidR="001C7C52" w:rsidRPr="00802C03" w:rsidTr="002E2E49">
        <w:tc>
          <w:tcPr>
            <w:tcW w:w="1276" w:type="dxa"/>
          </w:tcPr>
          <w:p w:rsidR="001C7C52" w:rsidRPr="002E2E49" w:rsidRDefault="001C7C52" w:rsidP="002E2E49">
            <w:pPr>
              <w:spacing w:line="40" w:lineRule="exact"/>
              <w:rPr>
                <w:rFonts w:ascii="Garamond" w:hAnsi="Garamond"/>
                <w:lang w:val="en-GB"/>
              </w:rPr>
            </w:pPr>
          </w:p>
        </w:tc>
        <w:tc>
          <w:tcPr>
            <w:tcW w:w="20" w:type="dxa"/>
          </w:tcPr>
          <w:p w:rsidR="001C7C52" w:rsidRPr="002E2E49" w:rsidRDefault="001C7C52" w:rsidP="002E2E49">
            <w:pPr>
              <w:spacing w:line="40" w:lineRule="exact"/>
              <w:rPr>
                <w:rFonts w:ascii="Garamond" w:hAnsi="Garamond"/>
                <w:lang w:val="en-GB"/>
              </w:rPr>
            </w:pPr>
            <w:r>
              <w:rPr>
                <w:noProof/>
                <w:lang w:val="en-US"/>
              </w:rPr>
              <w:pict>
                <v:rect id="_x0000_s1050" style="position:absolute;margin-left:0;margin-top:-.3pt;width:470.65pt;height:1.15pt;z-index:-251651584;mso-position-horizontal-relative:text;mso-position-vertical-relative:text" fillcolor="black" stroked="f">
                  <v:fill rotate="t" angle="-90" focus="50%" type="gradient"/>
                </v:rect>
              </w:pict>
            </w:r>
          </w:p>
        </w:tc>
        <w:tc>
          <w:tcPr>
            <w:tcW w:w="9412" w:type="dxa"/>
            <w:gridSpan w:val="2"/>
          </w:tcPr>
          <w:p w:rsidR="001C7C52" w:rsidRPr="002E2E49" w:rsidRDefault="001C7C52" w:rsidP="002E2E49">
            <w:pPr>
              <w:spacing w:line="40" w:lineRule="exact"/>
              <w:rPr>
                <w:rFonts w:ascii="Garamond" w:hAnsi="Garamond"/>
                <w:lang w:val="en-GB"/>
              </w:rPr>
            </w:pPr>
          </w:p>
        </w:tc>
      </w:tr>
    </w:tbl>
    <w:p w:rsidR="001C7C52" w:rsidRPr="00802C03" w:rsidRDefault="001C7C52" w:rsidP="00FA6A9F">
      <w:pPr>
        <w:spacing w:line="280" w:lineRule="exact"/>
        <w:jc w:val="both"/>
        <w:rPr>
          <w:rFonts w:ascii="Garamond" w:hAnsi="Garamond" w:cs="NimbusRomNo9L-Regu"/>
          <w:color w:val="000000"/>
          <w:szCs w:val="22"/>
          <w:lang w:val="en-GB" w:eastAsia="nl-NL"/>
        </w:rPr>
      </w:pPr>
    </w:p>
    <w:p w:rsidR="001C7C52" w:rsidRPr="00D06E3E" w:rsidRDefault="001C7C52" w:rsidP="00017255">
      <w:pPr>
        <w:keepNext/>
        <w:framePr w:dropCap="drop" w:lines="2" w:wrap="around" w:vAnchor="text" w:hAnchor="text"/>
        <w:spacing w:line="560" w:lineRule="exact"/>
        <w:jc w:val="both"/>
        <w:rPr>
          <w:rFonts w:ascii="Times New Roman" w:hAnsi="Times New Roman"/>
          <w:color w:val="000000"/>
          <w:position w:val="-6"/>
          <w:sz w:val="65"/>
          <w:szCs w:val="65"/>
          <w:lang w:val="en-GB" w:eastAsia="nl-NL"/>
        </w:rPr>
      </w:pPr>
      <w:r w:rsidRPr="00D06E3E">
        <w:rPr>
          <w:rFonts w:ascii="Times New Roman" w:hAnsi="Times New Roman"/>
          <w:color w:val="000000"/>
          <w:position w:val="-6"/>
          <w:sz w:val="65"/>
          <w:szCs w:val="65"/>
          <w:lang w:val="en-GB" w:eastAsia="nl-NL"/>
        </w:rPr>
        <w:t>A</w:t>
      </w:r>
    </w:p>
    <w:p w:rsidR="001C7C52" w:rsidRPr="00802C03" w:rsidRDefault="001C7C52" w:rsidP="00FA6A9F">
      <w:pPr>
        <w:spacing w:line="280" w:lineRule="exact"/>
        <w:jc w:val="both"/>
        <w:rPr>
          <w:rFonts w:ascii="Garamond" w:hAnsi="Garamond" w:cs="NimbusRomNo9L-Regu"/>
          <w:color w:val="000000"/>
          <w:szCs w:val="22"/>
          <w:lang w:val="en-GB" w:eastAsia="nl-NL"/>
        </w:rPr>
      </w:pPr>
      <w:r>
        <w:rPr>
          <w:rFonts w:ascii="Garamond" w:hAnsi="Garamond" w:cs="NimbusRomNo9L-Regu"/>
          <w:color w:val="000000"/>
          <w:szCs w:val="22"/>
          <w:lang w:val="en-GB" w:eastAsia="nl-NL"/>
        </w:rPr>
        <w:t>mid</w:t>
      </w:r>
      <w:r w:rsidRPr="00802C03">
        <w:rPr>
          <w:rFonts w:ascii="Garamond" w:hAnsi="Garamond" w:cs="NimbusRomNo9L-Regu"/>
          <w:color w:val="000000"/>
          <w:szCs w:val="22"/>
          <w:lang w:val="en-GB" w:eastAsia="nl-NL"/>
        </w:rPr>
        <w:t>st the</w:t>
      </w:r>
      <w:r>
        <w:rPr>
          <w:rFonts w:ascii="Garamond" w:hAnsi="Garamond" w:cs="NimbusRomNo9L-Regu"/>
          <w:color w:val="000000"/>
          <w:szCs w:val="22"/>
          <w:lang w:val="en-GB" w:eastAsia="nl-NL"/>
        </w:rPr>
        <w:t xml:space="preserve"> global financial crisis that originated during 2007, </w:t>
      </w:r>
      <w:r w:rsidRPr="00802C03">
        <w:rPr>
          <w:rFonts w:ascii="Garamond" w:hAnsi="Garamond" w:cs="NimbusRomNo9L-Regu"/>
          <w:color w:val="000000"/>
          <w:szCs w:val="22"/>
          <w:lang w:val="en-GB" w:eastAsia="nl-NL"/>
        </w:rPr>
        <w:t>the Basel II banking capi</w:t>
      </w:r>
      <w:r>
        <w:rPr>
          <w:rFonts w:ascii="Garamond" w:hAnsi="Garamond" w:cs="NimbusRomNo9L-Regu"/>
          <w:color w:val="000000"/>
          <w:szCs w:val="22"/>
          <w:lang w:val="en-GB" w:eastAsia="nl-NL"/>
        </w:rPr>
        <w:t>tal standard has been proclaimed</w:t>
      </w:r>
      <w:r w:rsidRPr="00802C03">
        <w:rPr>
          <w:rFonts w:ascii="Garamond" w:hAnsi="Garamond" w:cs="NimbusRomNo9L-Regu"/>
          <w:color w:val="000000"/>
          <w:szCs w:val="22"/>
          <w:lang w:val="en-GB" w:eastAsia="nl-NL"/>
        </w:rPr>
        <w:t xml:space="preserve"> to be among the many</w:t>
      </w:r>
      <w:r>
        <w:rPr>
          <w:rFonts w:ascii="Garamond" w:hAnsi="Garamond" w:cs="NimbusRomNo9L-Regu"/>
          <w:color w:val="000000"/>
          <w:szCs w:val="22"/>
          <w:lang w:val="en-GB" w:eastAsia="nl-NL"/>
        </w:rPr>
        <w:t xml:space="preserve"> causes</w:t>
      </w:r>
      <w:r w:rsidRPr="00802C03">
        <w:rPr>
          <w:rFonts w:ascii="Garamond" w:hAnsi="Garamond" w:cs="NimbusRomNo9L-Regu"/>
          <w:color w:val="000000"/>
          <w:szCs w:val="22"/>
          <w:lang w:val="en-GB" w:eastAsia="nl-NL"/>
        </w:rPr>
        <w:t xml:space="preserve">. Ever since the appearance of its first consultative paper in June 1999, the Basel II standard has been evolving, yet this not so subtle point easily becomes lost in the debate. Even so, the Basel Committee on Banking Supervision (the Basel Committee) has identified many of the shortcomings in the regulatory framework and has undertaken swift actions to address them. One such step is the recent publication of a package of consultative papers that set forth </w:t>
      </w:r>
      <w:r>
        <w:rPr>
          <w:rFonts w:ascii="Garamond" w:hAnsi="Garamond" w:cs="NimbusRomNo9L-Regu"/>
          <w:color w:val="000000"/>
          <w:szCs w:val="22"/>
          <w:lang w:val="en-GB" w:eastAsia="nl-NL"/>
        </w:rPr>
        <w:t>amendments</w:t>
      </w:r>
      <w:r w:rsidRPr="00802C03">
        <w:rPr>
          <w:rFonts w:ascii="Garamond" w:hAnsi="Garamond" w:cs="NimbusRomNo9L-Regu"/>
          <w:color w:val="000000"/>
          <w:szCs w:val="22"/>
          <w:lang w:val="en-GB" w:eastAsia="nl-NL"/>
        </w:rPr>
        <w:t xml:space="preserve"> and additions to the Basel II Market Risk Framework (</w:t>
      </w:r>
      <w:hyperlink w:anchor="BCBS_2009a" w:history="1">
        <w:r w:rsidRPr="00802C03">
          <w:rPr>
            <w:rStyle w:val="Hyperlink"/>
            <w:rFonts w:ascii="Garamond" w:hAnsi="Garamond" w:cs="NimbusRomNo9L-Regu"/>
            <w:color w:val="000066"/>
            <w:szCs w:val="22"/>
            <w:u w:val="none"/>
            <w:lang w:val="en-GB" w:eastAsia="nl-NL"/>
          </w:rPr>
          <w:t>BCBS, 2009a</w:t>
        </w:r>
      </w:hyperlink>
      <w:r w:rsidRPr="00FC7187">
        <w:rPr>
          <w:rFonts w:ascii="Garamond" w:hAnsi="Garamond" w:cs="NimbusRomNo9L-Regu"/>
          <w:color w:val="000000"/>
          <w:szCs w:val="22"/>
          <w:lang w:val="en-US" w:eastAsia="nl-NL"/>
        </w:rPr>
        <w:t>,</w:t>
      </w:r>
      <w:r w:rsidRPr="00802C03">
        <w:rPr>
          <w:rFonts w:ascii="Garamond" w:hAnsi="Garamond" w:cs="NimbusRomNo9L-Regu"/>
          <w:color w:val="000000"/>
          <w:szCs w:val="22"/>
          <w:lang w:val="en-GB" w:eastAsia="nl-NL"/>
        </w:rPr>
        <w:t xml:space="preserve"> </w:t>
      </w:r>
      <w:hyperlink w:anchor="BCBS_2009b" w:history="1">
        <w:r w:rsidRPr="00802C03">
          <w:rPr>
            <w:rStyle w:val="Hyperlink"/>
            <w:rFonts w:ascii="Garamond" w:hAnsi="Garamond" w:cs="NimbusRomNo9L-Regu"/>
            <w:color w:val="000066"/>
            <w:szCs w:val="22"/>
            <w:u w:val="none"/>
            <w:lang w:val="en-GB" w:eastAsia="nl-NL"/>
          </w:rPr>
          <w:t>2009b</w:t>
        </w:r>
      </w:hyperlink>
      <w:r w:rsidRPr="00802C03">
        <w:rPr>
          <w:rFonts w:ascii="Garamond" w:hAnsi="Garamond" w:cs="NimbusRomNo9L-Regu"/>
          <w:color w:val="000000"/>
          <w:szCs w:val="22"/>
          <w:lang w:val="en-GB" w:eastAsia="nl-NL"/>
        </w:rPr>
        <w:t xml:space="preserve">). </w:t>
      </w:r>
    </w:p>
    <w:p w:rsidR="001C7C52" w:rsidRPr="00802C03" w:rsidRDefault="001C7C52" w:rsidP="009E1C4A">
      <w:pPr>
        <w:spacing w:line="280" w:lineRule="exact"/>
        <w:jc w:val="both"/>
        <w:rPr>
          <w:rFonts w:ascii="Garamond" w:hAnsi="Garamond" w:cs="NimbusRomNo9L-Regu"/>
          <w:color w:val="000000"/>
          <w:szCs w:val="22"/>
          <w:lang w:val="en-GB" w:eastAsia="nl-NL"/>
        </w:rPr>
      </w:pPr>
      <w:r w:rsidRPr="00802C03">
        <w:rPr>
          <w:rFonts w:ascii="Garamond" w:hAnsi="Garamond" w:cs="NimbusRomNo9L-Regu"/>
          <w:color w:val="000000"/>
          <w:szCs w:val="22"/>
          <w:lang w:val="en-GB" w:eastAsia="nl-NL"/>
        </w:rPr>
        <w:t>Although not yet finalized, the new regulation addresses many critical shortcomings of the current Market Risk Framework. In the Basel II Framework, banks are required to make a separation between assets held in the trading book and assets held in the banking book.</w:t>
      </w:r>
      <w:r>
        <w:rPr>
          <w:rFonts w:ascii="Garamond" w:hAnsi="Garamond" w:cs="NimbusRomNo9L-Regu"/>
          <w:color w:val="000000"/>
          <w:szCs w:val="22"/>
          <w:lang w:val="en-GB" w:eastAsia="nl-NL"/>
        </w:rPr>
        <w:t xml:space="preserve"> </w:t>
      </w:r>
      <w:r w:rsidRPr="00802C03">
        <w:rPr>
          <w:rFonts w:ascii="Garamond" w:hAnsi="Garamond" w:cs="NimbusRomNo9L-Regu"/>
          <w:color w:val="000000"/>
          <w:szCs w:val="22"/>
          <w:lang w:val="en-GB" w:eastAsia="nl-NL"/>
        </w:rPr>
        <w:t>The minimum regulatory capital required for trading book positions are predominantly computed using value-at-risk measures, and require much lower capital weights than banking book positions. The Basel Committee recognized that since the financial crisis began in the middle of 2007, the majority of losses and build up of leverage occurred in the trading book (</w:t>
      </w:r>
      <w:hyperlink w:anchor="BCBS_2009a" w:history="1">
        <w:r w:rsidRPr="00802C03">
          <w:rPr>
            <w:rStyle w:val="Hyperlink"/>
            <w:rFonts w:ascii="Garamond" w:hAnsi="Garamond" w:cs="NimbusRomNo9L-Regu"/>
            <w:color w:val="000066"/>
            <w:szCs w:val="22"/>
            <w:u w:val="none"/>
            <w:lang w:val="en-GB" w:eastAsia="nl-NL"/>
          </w:rPr>
          <w:t>BCBS, 2009a</w:t>
        </w:r>
      </w:hyperlink>
      <w:r w:rsidRPr="00802C03">
        <w:rPr>
          <w:rFonts w:ascii="Garamond" w:hAnsi="Garamond" w:cs="NimbusRomNo9L-Regu"/>
          <w:color w:val="000000"/>
          <w:szCs w:val="22"/>
          <w:lang w:val="en-GB" w:eastAsia="nl-NL"/>
        </w:rPr>
        <w:t xml:space="preserve">). Moreover, trading book losses were substantially higher than the minimum capital requirements. </w:t>
      </w:r>
    </w:p>
    <w:p w:rsidR="001C7C52" w:rsidRPr="00802C03" w:rsidRDefault="001C7C52" w:rsidP="009E1C4A">
      <w:pPr>
        <w:spacing w:line="280" w:lineRule="exact"/>
        <w:jc w:val="both"/>
        <w:rPr>
          <w:rFonts w:ascii="Garamond" w:hAnsi="Garamond"/>
          <w:szCs w:val="22"/>
          <w:lang w:val="en-GB"/>
        </w:rPr>
      </w:pPr>
      <w:r w:rsidRPr="00802C03">
        <w:rPr>
          <w:rFonts w:ascii="Garamond" w:hAnsi="Garamond" w:cs="NimbusRomNo9L-Regu"/>
          <w:color w:val="000000"/>
          <w:szCs w:val="22"/>
          <w:lang w:val="en-GB" w:eastAsia="nl-NL"/>
        </w:rPr>
        <w:t>Herein, multiple contributing factors can be identified. First of all, the applied value-at-risk models underestimated risk since they were based on a benign period in financial markets. In addition, some key risks were not adequately captured in the value-at-risk models. The most imperative types of unaddressed risk being the default and migration risk imbedded in credit positions in the trading book. In the spectrum of US corporations that are rated by Standard &amp; Poor’s, for example, the number of AAA-rated issuers has declined by 40% during the crisis. Moreover, the number of CCC/C-rated issuers has increased with a staggering 140% and roughly 75% of all defaults of S&amp;P-rated issuers since the start of 2005 have occurred in the last two years.</w:t>
      </w:r>
      <w:r w:rsidRPr="00802C03">
        <w:rPr>
          <w:rStyle w:val="FootnoteReference"/>
          <w:rFonts w:ascii="Garamond" w:hAnsi="Garamond" w:cs="NimbusRomNo9L-Regu"/>
          <w:color w:val="000000"/>
          <w:szCs w:val="22"/>
          <w:lang w:val="en-GB" w:eastAsia="nl-NL"/>
        </w:rPr>
        <w:footnoteReference w:id="3"/>
      </w:r>
      <w:r w:rsidRPr="00802C03">
        <w:rPr>
          <w:rFonts w:ascii="Garamond" w:hAnsi="Garamond" w:cs="NimbusRomNo9L-Regu"/>
          <w:color w:val="000000"/>
          <w:szCs w:val="22"/>
          <w:lang w:val="en-GB" w:eastAsia="nl-NL"/>
        </w:rPr>
        <w:t xml:space="preserve"> A third large problem, as clarified by </w:t>
      </w:r>
      <w:hyperlink w:anchor="Parsons_2009" w:history="1">
        <w:r w:rsidRPr="00802C03">
          <w:rPr>
            <w:rStyle w:val="Hyperlink"/>
            <w:rFonts w:ascii="Garamond" w:hAnsi="Garamond" w:cs="NimbusRomNo9L-Regu"/>
            <w:color w:val="000066"/>
            <w:szCs w:val="22"/>
            <w:u w:val="none"/>
            <w:lang w:val="en-GB" w:eastAsia="nl-NL"/>
          </w:rPr>
          <w:t>Parsons (2009)</w:t>
        </w:r>
      </w:hyperlink>
      <w:r w:rsidRPr="00802C03">
        <w:rPr>
          <w:rFonts w:ascii="Garamond" w:hAnsi="Garamond" w:cs="NimbusRomNo9L-Regu"/>
          <w:color w:val="000000"/>
          <w:szCs w:val="22"/>
          <w:lang w:val="en-GB" w:eastAsia="nl-NL"/>
        </w:rPr>
        <w:t xml:space="preserve">, has been that many banks were holding assets in the trading book to benefit from the lower regulatory capital requirements, compared to the banking book. </w:t>
      </w:r>
      <w:r w:rsidRPr="00802C03">
        <w:rPr>
          <w:rFonts w:ascii="Garamond" w:hAnsi="Garamond"/>
          <w:szCs w:val="22"/>
          <w:lang w:val="en-GB"/>
        </w:rPr>
        <w:t xml:space="preserve">Hence, large differences between the capital required for trading book positions and banking book positions led to an undesired form of ‘regulatory capital arbitrage’. In essence, </w:t>
      </w:r>
      <w:r w:rsidRPr="00802C03">
        <w:rPr>
          <w:rFonts w:ascii="Garamond" w:hAnsi="Garamond" w:cs="NimbusRomNo9L-Regu"/>
          <w:color w:val="000000"/>
          <w:szCs w:val="22"/>
          <w:lang w:val="en-GB" w:eastAsia="nl-NL"/>
        </w:rPr>
        <w:t>one of the main causes of the high level of unrecognized leverage, from a capital adequacy perspective, in the trading books of many banks is identified here as well.</w:t>
      </w:r>
      <w:r w:rsidRPr="00802C03">
        <w:rPr>
          <w:rStyle w:val="FootnoteReference"/>
          <w:rFonts w:ascii="Garamond" w:hAnsi="Garamond" w:cs="NimbusRomNo9L-Regu"/>
          <w:color w:val="000000"/>
          <w:szCs w:val="22"/>
          <w:lang w:val="en-GB" w:eastAsia="nl-NL"/>
        </w:rPr>
        <w:footnoteReference w:id="4"/>
      </w:r>
      <w:r w:rsidRPr="00802C03">
        <w:rPr>
          <w:rFonts w:ascii="Garamond" w:hAnsi="Garamond" w:cs="NimbusRomNo9L-Regu"/>
          <w:color w:val="000000"/>
          <w:szCs w:val="22"/>
          <w:lang w:val="en-GB" w:eastAsia="nl-NL"/>
        </w:rPr>
        <w:t xml:space="preserve"> </w:t>
      </w:r>
      <w:r w:rsidRPr="00802C03">
        <w:rPr>
          <w:rFonts w:ascii="Garamond" w:hAnsi="Garamond"/>
          <w:szCs w:val="22"/>
          <w:lang w:val="en-GB"/>
        </w:rPr>
        <w:t xml:space="preserve">Banks simply held super senior and AAA-tranches of securitized assets in the trading book, as being held for trade or sale, to ensure they could be placed in the trading book. In practice, however, large inventories were accumulated that were subject to low capital requirements, resulting in a relative large the return on capital. When circumstances started to deteriorate, not only losses were generated on these extremely leveraged positions, but also capital requirements to support them increased. </w:t>
      </w:r>
    </w:p>
    <w:p w:rsidR="001C7C52" w:rsidRPr="00802C03" w:rsidRDefault="001C7C52" w:rsidP="009E1C4A">
      <w:pPr>
        <w:pStyle w:val="NormalWeb"/>
        <w:spacing w:before="0" w:beforeAutospacing="0" w:after="0" w:afterAutospacing="0" w:line="280" w:lineRule="exact"/>
        <w:jc w:val="both"/>
        <w:rPr>
          <w:rFonts w:ascii="Garamond" w:hAnsi="Garamond"/>
          <w:sz w:val="22"/>
          <w:szCs w:val="22"/>
          <w:lang w:val="en-GB"/>
        </w:rPr>
      </w:pPr>
      <w:r w:rsidRPr="00802C03">
        <w:rPr>
          <w:rFonts w:ascii="Garamond" w:hAnsi="Garamond"/>
          <w:sz w:val="22"/>
          <w:szCs w:val="22"/>
          <w:lang w:val="en-GB"/>
        </w:rPr>
        <w:t>Complementary to the shortcomings that were identified in the Market Risk Framework, the importance of adequately capturing liquidity risk has been severely amplified by the recent episodes of global financial turmoil as well. Consequently, liquidity risk has become of significant importance in the Basel Committee’s agenda. Throughout the crisis liquidity risks have been prominent, as numerous banks suffered from asset/liability mismatches, since they held inadequate cash and liquid assets while wholesale funding sources and even the interbank market dried up (</w:t>
      </w:r>
      <w:hyperlink w:anchor="Parsons_2009" w:history="1">
        <w:r w:rsidRPr="00802C03">
          <w:rPr>
            <w:rStyle w:val="Hyperlink"/>
            <w:rFonts w:ascii="Garamond" w:hAnsi="Garamond"/>
            <w:color w:val="000066"/>
            <w:sz w:val="22"/>
            <w:szCs w:val="22"/>
            <w:u w:val="none"/>
            <w:lang w:val="en-GB"/>
          </w:rPr>
          <w:t>Parsons, 2009</w:t>
        </w:r>
      </w:hyperlink>
      <w:r w:rsidRPr="00802C03">
        <w:rPr>
          <w:rFonts w:ascii="Garamond" w:hAnsi="Garamond"/>
          <w:sz w:val="22"/>
          <w:szCs w:val="22"/>
          <w:lang w:val="en-GB"/>
        </w:rPr>
        <w:t xml:space="preserve">). The most obvious example here is the nationalization of Northern Rock in the United Kingdom. One of the weaknesses of the current Basel II Market Risk Framework therefore is that it hardly touches the subject of liquidity in the trading book. </w:t>
      </w:r>
    </w:p>
    <w:p w:rsidR="001C7C52" w:rsidRPr="00802C03" w:rsidRDefault="001C7C52" w:rsidP="009E1C4A">
      <w:pPr>
        <w:spacing w:line="280" w:lineRule="exact"/>
        <w:jc w:val="both"/>
        <w:rPr>
          <w:rFonts w:ascii="Garamond" w:hAnsi="Garamond" w:cs="NimbusRomNo9L-Regu"/>
          <w:color w:val="000000"/>
          <w:lang w:val="en-GB" w:eastAsia="nl-NL"/>
        </w:rPr>
      </w:pPr>
      <w:r w:rsidRPr="00802C03">
        <w:rPr>
          <w:rFonts w:ascii="Garamond" w:hAnsi="Garamond"/>
          <w:szCs w:val="22"/>
          <w:lang w:val="en-GB"/>
        </w:rPr>
        <w:t>On January 16, 2009, the Basel Committee released the consultative paper ‘</w:t>
      </w:r>
      <w:r w:rsidRPr="00802C03">
        <w:rPr>
          <w:rFonts w:ascii="Garamond" w:hAnsi="Garamond"/>
          <w:i/>
          <w:szCs w:val="22"/>
          <w:lang w:val="en-GB"/>
        </w:rPr>
        <w:t>Revisions to the Basel II Market Risk Framework</w:t>
      </w:r>
      <w:r w:rsidRPr="00802C03">
        <w:rPr>
          <w:rFonts w:ascii="Garamond" w:hAnsi="Garamond"/>
          <w:szCs w:val="22"/>
          <w:lang w:val="en-GB"/>
        </w:rPr>
        <w:t>’ (</w:t>
      </w:r>
      <w:hyperlink w:anchor="BCBS_2009b" w:history="1">
        <w:r w:rsidRPr="00802C03">
          <w:rPr>
            <w:rStyle w:val="Hyperlink"/>
            <w:rFonts w:ascii="Garamond" w:hAnsi="Garamond"/>
            <w:color w:val="000066"/>
            <w:szCs w:val="22"/>
            <w:u w:val="none"/>
            <w:lang w:val="en-GB"/>
          </w:rPr>
          <w:t>BCBS, 2009b</w:t>
        </w:r>
      </w:hyperlink>
      <w:r w:rsidRPr="00802C03">
        <w:rPr>
          <w:rFonts w:ascii="Garamond" w:hAnsi="Garamond"/>
          <w:szCs w:val="22"/>
          <w:lang w:val="en-GB"/>
        </w:rPr>
        <w:t>) that proposes amendments to the current framework in order to address the issues and weaknesses explained above. Banks expect the</w:t>
      </w:r>
      <w:r>
        <w:rPr>
          <w:rFonts w:ascii="Garamond" w:hAnsi="Garamond"/>
          <w:szCs w:val="22"/>
          <w:lang w:val="en-GB"/>
        </w:rPr>
        <w:t>se</w:t>
      </w:r>
      <w:r w:rsidRPr="00802C03">
        <w:rPr>
          <w:rFonts w:ascii="Garamond" w:hAnsi="Garamond"/>
          <w:szCs w:val="22"/>
          <w:lang w:val="en-GB"/>
        </w:rPr>
        <w:t xml:space="preserve"> new capital rules to raise the minimum capital required to support trading book positions by up to three times (</w:t>
      </w:r>
      <w:hyperlink w:anchor="Parsons_2009" w:history="1">
        <w:r w:rsidRPr="00802C03">
          <w:rPr>
            <w:rStyle w:val="Hyperlink"/>
            <w:rFonts w:ascii="Garamond" w:hAnsi="Garamond"/>
            <w:color w:val="000066"/>
            <w:szCs w:val="22"/>
            <w:u w:val="none"/>
            <w:lang w:val="en-GB"/>
          </w:rPr>
          <w:t>Parsons, 2009</w:t>
        </w:r>
      </w:hyperlink>
      <w:r w:rsidRPr="00802C03">
        <w:rPr>
          <w:rFonts w:ascii="Garamond" w:hAnsi="Garamond"/>
          <w:szCs w:val="22"/>
          <w:lang w:val="en-GB"/>
        </w:rPr>
        <w:t>). In the market risk capital regime set forth by the current proposal, the traditional ten-day 99% VaR has been preserved, as it is only subject to minor changes. In addition to the traditional VaR-measure, a ten-day 99% stressed VaR is introduced, w</w:t>
      </w:r>
      <w:r w:rsidRPr="00802C03">
        <w:rPr>
          <w:rFonts w:ascii="Garamond" w:hAnsi="Garamond" w:cs="NimbusRomNo9L-Regu"/>
          <w:color w:val="000000"/>
          <w:lang w:val="en-GB" w:eastAsia="nl-NL"/>
        </w:rPr>
        <w:t>hich is approximately equivalent to the traditional ten-day 99% VaR conditioned to a year of economic turmoil (</w:t>
      </w:r>
      <w:hyperlink w:anchor="BCBS_2009b" w:history="1">
        <w:r w:rsidRPr="00802C03">
          <w:rPr>
            <w:rStyle w:val="Hyperlink"/>
            <w:rFonts w:ascii="Garamond" w:hAnsi="Garamond" w:cs="NimbusRomNo9L-Regu"/>
            <w:color w:val="000066"/>
            <w:u w:val="none"/>
            <w:lang w:val="en-GB" w:eastAsia="nl-NL"/>
          </w:rPr>
          <w:t>BCBS, 2009b</w:t>
        </w:r>
      </w:hyperlink>
      <w:r w:rsidRPr="00802C03">
        <w:rPr>
          <w:rFonts w:ascii="Garamond" w:hAnsi="Garamond" w:cs="NimbusRomNo9L-Regu"/>
          <w:color w:val="000000"/>
          <w:lang w:val="en-GB" w:eastAsia="nl-NL"/>
        </w:rPr>
        <w:t>). The stressed VaR has to ensure that the market risk capital requirements are not completely based on benign market conditions at such periods. In addition, it should also reduce the undesired pro-cyclicality in the market risk capital requirements under the current framework.</w:t>
      </w:r>
      <w:r w:rsidRPr="00802C03">
        <w:rPr>
          <w:rStyle w:val="FootnoteReference"/>
          <w:rFonts w:ascii="Garamond" w:hAnsi="Garamond" w:cs="NimbusRomNo9L-Regu"/>
          <w:color w:val="000000"/>
          <w:lang w:val="en-GB" w:eastAsia="nl-NL"/>
        </w:rPr>
        <w:footnoteReference w:id="5"/>
      </w:r>
      <w:r w:rsidRPr="00802C03">
        <w:rPr>
          <w:rFonts w:ascii="Garamond" w:hAnsi="Garamond" w:cs="NimbusRomNo9L-Regu"/>
          <w:color w:val="000000"/>
          <w:lang w:val="en-GB" w:eastAsia="nl-NL"/>
        </w:rPr>
        <w:t xml:space="preserve"> </w:t>
      </w:r>
      <w:r w:rsidRPr="00BD271E">
        <w:rPr>
          <w:rFonts w:ascii="Garamond" w:hAnsi="Garamond" w:cs="NimbusRomNo9L-Regu"/>
          <w:color w:val="000000"/>
          <w:lang w:val="en-GB" w:eastAsia="nl-NL"/>
        </w:rPr>
        <w:t>Furthermore, to address the recognized problems within structured credit markets that lay at the core of the crisis, relatively high mandatory standardized specific risk charges for positions of a securitized nature have been introduced in the trading book capital regime</w:t>
      </w:r>
      <w:r w:rsidRPr="00802C03">
        <w:rPr>
          <w:rFonts w:ascii="Garamond" w:hAnsi="Garamond" w:cs="NimbusRomNo9L-Regu"/>
          <w:color w:val="000000"/>
          <w:lang w:val="en-GB" w:eastAsia="nl-NL"/>
        </w:rPr>
        <w:t>.</w:t>
      </w:r>
      <w:r w:rsidRPr="00802C03">
        <w:rPr>
          <w:rStyle w:val="FootnoteReference"/>
          <w:rFonts w:ascii="Garamond" w:hAnsi="Garamond" w:cs="NimbusRomNo9L-Regu"/>
          <w:color w:val="000000"/>
          <w:lang w:val="en-GB" w:eastAsia="nl-NL"/>
        </w:rPr>
        <w:footnoteReference w:id="6"/>
      </w:r>
      <w:r w:rsidRPr="00802C03">
        <w:rPr>
          <w:rFonts w:ascii="Garamond" w:hAnsi="Garamond" w:cs="NimbusRomNo9L-Regu"/>
          <w:color w:val="000000"/>
          <w:lang w:val="en-GB" w:eastAsia="nl-NL"/>
        </w:rPr>
        <w:t xml:space="preserve"> </w:t>
      </w:r>
    </w:p>
    <w:p w:rsidR="001C7C52" w:rsidRPr="00802C03" w:rsidRDefault="001C7C52" w:rsidP="009E1C4A">
      <w:pPr>
        <w:spacing w:line="280" w:lineRule="exact"/>
        <w:jc w:val="both"/>
        <w:rPr>
          <w:rFonts w:ascii="Garamond" w:hAnsi="Garamond" w:cs="NimbusRomNo9L-Regu"/>
          <w:szCs w:val="22"/>
          <w:lang w:val="en-GB" w:eastAsia="nl-NL"/>
        </w:rPr>
      </w:pPr>
      <w:r w:rsidRPr="00802C03">
        <w:rPr>
          <w:rFonts w:ascii="Garamond" w:hAnsi="Garamond" w:cs="NimbusRomNo9L-Regu"/>
          <w:color w:val="000000"/>
          <w:lang w:val="en-GB" w:eastAsia="nl-NL"/>
        </w:rPr>
        <w:t xml:space="preserve">The remainder of the credit risk embedded in trading book positions, in the form of default and migration risk, is to be captured by the newly proposed Incremental Risk Capital Charge, </w:t>
      </w:r>
      <w:r w:rsidRPr="00FC7187">
        <w:rPr>
          <w:rFonts w:ascii="Garamond" w:hAnsi="Garamond" w:cs="NimbusRomNo9L-Regu"/>
          <w:lang w:val="en-GB" w:eastAsia="nl-NL"/>
        </w:rPr>
        <w:t xml:space="preserve">which </w:t>
      </w:r>
      <w:r>
        <w:rPr>
          <w:rFonts w:ascii="Garamond" w:hAnsi="Garamond" w:cs="NimbusRomNo9L-Regu"/>
          <w:szCs w:val="22"/>
          <w:lang w:val="en-GB" w:eastAsia="nl-NL"/>
        </w:rPr>
        <w:t>can</w:t>
      </w:r>
      <w:r w:rsidRPr="00FC7187">
        <w:rPr>
          <w:rFonts w:ascii="Garamond" w:hAnsi="Garamond" w:cs="NimbusRomNo9L-Regu"/>
          <w:szCs w:val="22"/>
          <w:lang w:val="en-GB" w:eastAsia="nl-NL"/>
        </w:rPr>
        <w:t xml:space="preserve"> be considered one</w:t>
      </w:r>
      <w:r>
        <w:rPr>
          <w:rFonts w:ascii="Garamond" w:hAnsi="Garamond" w:cs="NimbusRomNo9L-Regu"/>
          <w:szCs w:val="22"/>
          <w:lang w:val="en-GB" w:eastAsia="nl-NL"/>
        </w:rPr>
        <w:t xml:space="preserve"> of</w:t>
      </w:r>
      <w:r w:rsidRPr="00FC7187">
        <w:rPr>
          <w:rFonts w:ascii="Garamond" w:hAnsi="Garamond" w:cs="NimbusRomNo9L-Regu"/>
          <w:szCs w:val="22"/>
          <w:lang w:val="en-GB" w:eastAsia="nl-NL"/>
        </w:rPr>
        <w:t xml:space="preserve"> the main regulatory responses to the credit crisis</w:t>
      </w:r>
      <w:r w:rsidRPr="00802C03">
        <w:rPr>
          <w:rFonts w:ascii="Garamond" w:hAnsi="Garamond" w:cs="NimbusRomNo9L-Regu"/>
          <w:szCs w:val="22"/>
          <w:lang w:val="en-GB" w:eastAsia="nl-NL"/>
        </w:rPr>
        <w:t>.</w:t>
      </w:r>
      <w:r w:rsidRPr="00802C03">
        <w:rPr>
          <w:rFonts w:ascii="Garamond" w:hAnsi="Garamond" w:cs="NimbusRomNo9L-Regu"/>
          <w:color w:val="000000"/>
          <w:lang w:val="en-GB" w:eastAsia="nl-NL"/>
        </w:rPr>
        <w:t xml:space="preserve"> </w:t>
      </w:r>
      <w:r w:rsidRPr="00802C03">
        <w:rPr>
          <w:rFonts w:ascii="Garamond" w:hAnsi="Garamond" w:cs="NimbusRomNo9L-Regu"/>
          <w:szCs w:val="22"/>
          <w:lang w:val="en-GB" w:eastAsia="nl-NL"/>
        </w:rPr>
        <w:t>This charge was formerly proposed as the incremental default risk charge (</w:t>
      </w:r>
      <w:hyperlink w:anchor="BCBS_2007" w:history="1">
        <w:r w:rsidRPr="00802C03">
          <w:rPr>
            <w:rStyle w:val="Hyperlink"/>
            <w:rFonts w:ascii="Garamond" w:hAnsi="Garamond" w:cs="NimbusRomNo9L-Regu"/>
            <w:color w:val="000066"/>
            <w:szCs w:val="22"/>
            <w:u w:val="none"/>
            <w:lang w:val="en-GB" w:eastAsia="nl-NL"/>
          </w:rPr>
          <w:t>BCBS, 2007</w:t>
        </w:r>
      </w:hyperlink>
      <w:r w:rsidRPr="00802C03">
        <w:rPr>
          <w:rFonts w:ascii="Garamond" w:hAnsi="Garamond" w:cs="NimbusRomNo9L-Regu"/>
          <w:szCs w:val="22"/>
          <w:lang w:val="en-GB" w:eastAsia="nl-NL"/>
        </w:rPr>
        <w:t>). Later the scope was expanded to also include migration risk, since it was recognized that the majority of the losses, not captured by the traditional market risk VaR, had not arisen from actual defaults but rather from credit migrations in combination with the widening of credit spreads (</w:t>
      </w:r>
      <w:hyperlink w:anchor="BCBS_2008a" w:history="1">
        <w:r w:rsidRPr="00802C03">
          <w:rPr>
            <w:rStyle w:val="Hyperlink"/>
            <w:rFonts w:ascii="Garamond" w:hAnsi="Garamond" w:cs="NimbusRomNo9L-Regu"/>
            <w:color w:val="000066"/>
            <w:szCs w:val="22"/>
            <w:u w:val="none"/>
            <w:lang w:val="en-GB" w:eastAsia="nl-NL"/>
          </w:rPr>
          <w:t>BCBS, 2008a</w:t>
        </w:r>
      </w:hyperlink>
      <w:r w:rsidRPr="00802C03">
        <w:rPr>
          <w:rFonts w:ascii="Garamond" w:hAnsi="Garamond" w:cs="NimbusRomNo9L-Regu"/>
          <w:szCs w:val="22"/>
          <w:lang w:val="en-GB" w:eastAsia="nl-NL"/>
        </w:rPr>
        <w:t>). In the guidelines of the model underlying the Incremental Risk Capital Charge, particular attention is directed towards liquidity risk as well.</w:t>
      </w:r>
      <w:r w:rsidRPr="00802C03">
        <w:rPr>
          <w:rStyle w:val="FootnoteReference"/>
          <w:rFonts w:ascii="Garamond" w:hAnsi="Garamond" w:cs="NimbusRomNo9L-Regu"/>
          <w:szCs w:val="22"/>
          <w:lang w:val="en-GB" w:eastAsia="nl-NL"/>
        </w:rPr>
        <w:footnoteReference w:id="7"/>
      </w:r>
      <w:r w:rsidRPr="00802C03">
        <w:rPr>
          <w:rFonts w:ascii="Garamond" w:hAnsi="Garamond" w:cs="NimbusRomNo9L-Regu"/>
          <w:szCs w:val="22"/>
          <w:lang w:val="en-GB" w:eastAsia="nl-NL"/>
        </w:rPr>
        <w:t xml:space="preserve"> In addition, one of the most profound reasons behind the introduction of the charge is the prevention of regulatory capital arbitrage. Although not finalized, the new regulation represent an important step to closing a gap in the existing capital rules – credit risk in trading portfolios – that has been severely exposed by recent events (</w:t>
      </w:r>
      <w:hyperlink w:anchor="Finger_2009" w:history="1">
        <w:r w:rsidRPr="00802C03">
          <w:rPr>
            <w:rStyle w:val="Hyperlink"/>
            <w:rFonts w:ascii="Garamond" w:hAnsi="Garamond" w:cs="NimbusRomNo9L-Regu"/>
            <w:color w:val="000066"/>
            <w:szCs w:val="22"/>
            <w:u w:val="none"/>
            <w:lang w:val="en-GB" w:eastAsia="nl-NL"/>
          </w:rPr>
          <w:t>Finger, 2009</w:t>
        </w:r>
      </w:hyperlink>
      <w:r w:rsidRPr="00802C03">
        <w:rPr>
          <w:rFonts w:ascii="Garamond" w:hAnsi="Garamond" w:cs="NimbusRomNo9L-Regu"/>
          <w:szCs w:val="22"/>
          <w:lang w:val="en-GB" w:eastAsia="nl-NL"/>
        </w:rPr>
        <w:t>)</w:t>
      </w:r>
      <w:r>
        <w:rPr>
          <w:rFonts w:ascii="Garamond" w:hAnsi="Garamond" w:cs="NimbusRomNo9L-Regu"/>
          <w:szCs w:val="22"/>
          <w:lang w:val="en-GB" w:eastAsia="nl-NL"/>
        </w:rPr>
        <w:t>.</w:t>
      </w:r>
    </w:p>
    <w:p w:rsidR="001C7C52" w:rsidRPr="00802C03" w:rsidRDefault="001C7C52" w:rsidP="009E1C4A">
      <w:pPr>
        <w:spacing w:line="280" w:lineRule="exact"/>
        <w:jc w:val="both"/>
        <w:rPr>
          <w:rFonts w:ascii="Garamond" w:hAnsi="Garamond" w:cs="NimbusRomNo9L-Regu"/>
          <w:szCs w:val="22"/>
          <w:lang w:val="en-GB" w:eastAsia="nl-NL"/>
        </w:rPr>
      </w:pPr>
      <w:r w:rsidRPr="00802C03">
        <w:rPr>
          <w:rFonts w:ascii="Garamond" w:hAnsi="Garamond" w:cs="NimbusRomNo9L-Regu"/>
          <w:szCs w:val="22"/>
          <w:lang w:val="en-GB" w:eastAsia="nl-NL"/>
        </w:rPr>
        <w:t xml:space="preserve">The third consecutive paper on the incremental risk charge, released in January 2009, was titled: </w:t>
      </w:r>
      <w:r w:rsidRPr="00802C03">
        <w:rPr>
          <w:rFonts w:ascii="Garamond" w:hAnsi="Garamond" w:cs="NimbusRomNo9L-Regu"/>
          <w:i/>
          <w:szCs w:val="22"/>
          <w:lang w:val="en-GB" w:eastAsia="nl-NL"/>
        </w:rPr>
        <w:t>Guidelines for Computing Capital for Incremental Risk in the Trading Book</w:t>
      </w:r>
      <w:r w:rsidRPr="00802C03">
        <w:rPr>
          <w:rFonts w:ascii="Garamond" w:hAnsi="Garamond" w:cs="NimbusRomNo9L-Regu"/>
          <w:szCs w:val="22"/>
          <w:lang w:val="en-GB" w:eastAsia="nl-NL"/>
        </w:rPr>
        <w:t xml:space="preserve"> (</w:t>
      </w:r>
      <w:hyperlink w:anchor="BCBS_2009a" w:history="1">
        <w:r w:rsidRPr="00802C03">
          <w:rPr>
            <w:rStyle w:val="Hyperlink"/>
            <w:rFonts w:ascii="Garamond" w:hAnsi="Garamond" w:cs="NimbusRomNo9L-Regu"/>
            <w:color w:val="000066"/>
            <w:szCs w:val="22"/>
            <w:u w:val="none"/>
            <w:lang w:val="en-GB" w:eastAsia="nl-NL"/>
          </w:rPr>
          <w:t>BCBS, 2009a</w:t>
        </w:r>
      </w:hyperlink>
      <w:r w:rsidRPr="00802C03">
        <w:rPr>
          <w:rFonts w:ascii="Garamond" w:hAnsi="Garamond" w:cs="NimbusRomNo9L-Regu"/>
          <w:szCs w:val="22"/>
          <w:lang w:val="en-GB" w:eastAsia="nl-NL"/>
        </w:rPr>
        <w:t>). This consultative document lays down the principles and requirements of the incremental risk model underlying the Incremental Risk Capital Charge. The particular liquidity risk related specification requirements within this model ensure that completely new migration/default risk models have to be developed. Hence, the derivation of such a model is exactly what will be the main objective of this study.</w:t>
      </w:r>
    </w:p>
    <w:p w:rsidR="001C7C52" w:rsidRPr="00802C03" w:rsidRDefault="001C7C52" w:rsidP="00E17C8F">
      <w:pPr>
        <w:spacing w:line="160" w:lineRule="exact"/>
        <w:jc w:val="both"/>
        <w:rPr>
          <w:rFonts w:ascii="Garamond" w:hAnsi="Garamond" w:cs="NimbusRomNo9L-Regu"/>
          <w:szCs w:val="22"/>
          <w:lang w:val="en-GB" w:eastAsia="nl-NL"/>
        </w:rPr>
      </w:pPr>
    </w:p>
    <w:p w:rsidR="001C7C52" w:rsidRPr="00802C03" w:rsidRDefault="001C7C52" w:rsidP="009E1C4A">
      <w:pPr>
        <w:pStyle w:val="FootnoteText"/>
        <w:spacing w:line="280" w:lineRule="exact"/>
        <w:ind w:left="0" w:firstLine="0"/>
        <w:jc w:val="both"/>
        <w:rPr>
          <w:rFonts w:ascii="Garamond" w:hAnsi="Garamond"/>
          <w:sz w:val="22"/>
          <w:szCs w:val="22"/>
          <w:lang w:val="en-GB"/>
        </w:rPr>
      </w:pPr>
      <w:r w:rsidRPr="00802C03">
        <w:rPr>
          <w:rFonts w:ascii="Garamond" w:hAnsi="Garamond" w:cs="NimbusRomNo9L-Regu"/>
          <w:sz w:val="22"/>
          <w:szCs w:val="22"/>
          <w:lang w:val="en-GB" w:eastAsia="nl-NL"/>
        </w:rPr>
        <w:t xml:space="preserve">In the credit risk related literature, obvious examples of </w:t>
      </w:r>
      <w:r w:rsidRPr="00802C03">
        <w:rPr>
          <w:rFonts w:ascii="Garamond" w:hAnsi="Garamond"/>
          <w:sz w:val="22"/>
          <w:szCs w:val="22"/>
          <w:lang w:val="en-GB"/>
        </w:rPr>
        <w:t>practical approaches to mode</w:t>
      </w:r>
      <w:r>
        <w:rPr>
          <w:rFonts w:ascii="Garamond" w:hAnsi="Garamond"/>
          <w:sz w:val="22"/>
          <w:szCs w:val="22"/>
          <w:lang w:val="en-GB"/>
        </w:rPr>
        <w:t>l</w:t>
      </w:r>
      <w:r w:rsidRPr="00802C03">
        <w:rPr>
          <w:rFonts w:ascii="Garamond" w:hAnsi="Garamond"/>
          <w:sz w:val="22"/>
          <w:szCs w:val="22"/>
          <w:lang w:val="en-GB"/>
        </w:rPr>
        <w:t>ling migration and default risk in the portfolio context are RiskMetrics Group’s CreditMetrics model (</w:t>
      </w:r>
      <w:hyperlink w:anchor="Gupton_et_al_1997" w:history="1">
        <w:r w:rsidRPr="00802C03">
          <w:rPr>
            <w:rStyle w:val="Hyperlink"/>
            <w:rFonts w:ascii="Garamond" w:hAnsi="Garamond"/>
            <w:color w:val="000066"/>
            <w:sz w:val="22"/>
            <w:szCs w:val="22"/>
            <w:u w:val="none"/>
            <w:lang w:val="en-GB"/>
          </w:rPr>
          <w:t>Gupton et al., 1997</w:t>
        </w:r>
      </w:hyperlink>
      <w:r w:rsidRPr="00802C03">
        <w:rPr>
          <w:rFonts w:ascii="Garamond" w:hAnsi="Garamond"/>
          <w:sz w:val="22"/>
          <w:szCs w:val="22"/>
          <w:lang w:val="en-GB"/>
        </w:rPr>
        <w:t>), Credit Suisse Financial Product’s CreditRisk+ model (</w:t>
      </w:r>
      <w:hyperlink w:anchor="Wilde_1997" w:history="1">
        <w:r w:rsidRPr="00802C03">
          <w:rPr>
            <w:rStyle w:val="Hyperlink"/>
            <w:rFonts w:ascii="Garamond" w:hAnsi="Garamond"/>
            <w:color w:val="000066"/>
            <w:sz w:val="22"/>
            <w:szCs w:val="22"/>
            <w:u w:val="none"/>
            <w:lang w:val="en-GB"/>
          </w:rPr>
          <w:t>Wilde, 1997</w:t>
        </w:r>
      </w:hyperlink>
      <w:r w:rsidRPr="00802C03">
        <w:rPr>
          <w:rFonts w:ascii="Garamond" w:hAnsi="Garamond"/>
          <w:sz w:val="22"/>
          <w:szCs w:val="22"/>
          <w:lang w:val="en-GB"/>
        </w:rPr>
        <w:t>), Moody’s KMV’s KMV-model</w:t>
      </w:r>
      <w:r w:rsidRPr="00802C03">
        <w:rPr>
          <w:rStyle w:val="FootnoteReference"/>
          <w:rFonts w:ascii="Garamond" w:hAnsi="Garamond" w:cs="NimbusRomNo9L-Regu"/>
          <w:color w:val="000000"/>
          <w:lang w:val="en-GB" w:eastAsia="nl-NL"/>
        </w:rPr>
        <w:footnoteReference w:id="8"/>
      </w:r>
      <w:r w:rsidRPr="00802C03">
        <w:rPr>
          <w:rFonts w:ascii="Garamond" w:hAnsi="Garamond"/>
          <w:sz w:val="22"/>
          <w:szCs w:val="22"/>
          <w:lang w:val="en-GB"/>
        </w:rPr>
        <w:t xml:space="preserve"> (</w:t>
      </w:r>
      <w:hyperlink w:anchor="Bohn_Crosbie_2003" w:history="1">
        <w:r w:rsidRPr="00802C03">
          <w:rPr>
            <w:rStyle w:val="Hyperlink"/>
            <w:rFonts w:ascii="Garamond" w:hAnsi="Garamond"/>
            <w:color w:val="000066"/>
            <w:sz w:val="22"/>
            <w:szCs w:val="22"/>
            <w:u w:val="none"/>
            <w:lang w:val="en-GB"/>
          </w:rPr>
          <w:t>Bohn &amp; Crosbie, 2003</w:t>
        </w:r>
      </w:hyperlink>
      <w:r w:rsidRPr="00802C03">
        <w:rPr>
          <w:rFonts w:ascii="Garamond" w:hAnsi="Garamond"/>
          <w:sz w:val="22"/>
          <w:szCs w:val="22"/>
          <w:lang w:val="en-GB"/>
        </w:rPr>
        <w:t>) and McKinsey’s CreditPortfolioView (</w:t>
      </w:r>
      <w:hyperlink w:anchor="Wilson_1997" w:history="1">
        <w:r w:rsidRPr="00802C03">
          <w:rPr>
            <w:rStyle w:val="Hyperlink"/>
            <w:rFonts w:ascii="Garamond" w:hAnsi="Garamond"/>
            <w:color w:val="000066"/>
            <w:sz w:val="22"/>
            <w:szCs w:val="22"/>
            <w:u w:val="none"/>
            <w:lang w:val="en-GB"/>
          </w:rPr>
          <w:t>Wilson, 1997</w:t>
        </w:r>
      </w:hyperlink>
      <w:r w:rsidRPr="00802C03">
        <w:rPr>
          <w:rFonts w:ascii="Garamond" w:hAnsi="Garamond"/>
          <w:sz w:val="22"/>
          <w:szCs w:val="22"/>
          <w:lang w:val="en-GB"/>
        </w:rPr>
        <w:t>). These models describe default and migration risk in theoretically appealing and practical ways. Nevertheless, none of them allows for simple adjustments to enable the incorporation of the incremental risk model requirements, as set forth by the Basel Committee’s model guidelines. In fact, not yet any literature exists about the mode</w:t>
      </w:r>
      <w:r>
        <w:rPr>
          <w:rFonts w:ascii="Garamond" w:hAnsi="Garamond"/>
          <w:sz w:val="22"/>
          <w:szCs w:val="22"/>
          <w:lang w:val="en-GB"/>
        </w:rPr>
        <w:t>l</w:t>
      </w:r>
      <w:r w:rsidRPr="00802C03">
        <w:rPr>
          <w:rFonts w:ascii="Garamond" w:hAnsi="Garamond"/>
          <w:sz w:val="22"/>
          <w:szCs w:val="22"/>
          <w:lang w:val="en-GB"/>
        </w:rPr>
        <w:t>ling of the incremental risk model. The literature on the regulatory Basel II Framework mainly focuses on subjects such as the information content of the traditional market risk VaR disclosures or Basel capital ratios and VaR mode</w:t>
      </w:r>
      <w:r>
        <w:rPr>
          <w:rFonts w:ascii="Garamond" w:hAnsi="Garamond"/>
          <w:sz w:val="22"/>
          <w:szCs w:val="22"/>
          <w:lang w:val="en-GB"/>
        </w:rPr>
        <w:t>l</w:t>
      </w:r>
      <w:r w:rsidRPr="00802C03">
        <w:rPr>
          <w:rFonts w:ascii="Garamond" w:hAnsi="Garamond"/>
          <w:sz w:val="22"/>
          <w:szCs w:val="22"/>
          <w:lang w:val="en-GB"/>
        </w:rPr>
        <w:t>ling approaches.</w:t>
      </w:r>
      <w:r w:rsidRPr="00802C03">
        <w:rPr>
          <w:rStyle w:val="FootnoteReference"/>
          <w:rFonts w:ascii="Garamond" w:hAnsi="Garamond"/>
          <w:szCs w:val="22"/>
          <w:lang w:val="en-GB"/>
        </w:rPr>
        <w:footnoteReference w:id="9"/>
      </w:r>
      <w:r w:rsidRPr="00802C03">
        <w:rPr>
          <w:rFonts w:ascii="Garamond" w:hAnsi="Garamond"/>
          <w:sz w:val="22"/>
          <w:szCs w:val="22"/>
          <w:lang w:val="en-GB"/>
        </w:rPr>
        <w:t xml:space="preserve"> The market risk VaR has been in existence for a relatively long period of time and therefore it has made numerous appearances in the literature. In contrast, the incremental risk model specifications have not even be finalized yet. Consequently, no literature on the current version of the incremental risk model proposal exists. Two studies, </w:t>
      </w:r>
      <w:hyperlink w:anchor="Dunn_et_al_2006" w:history="1">
        <w:r w:rsidRPr="00802C03">
          <w:rPr>
            <w:rStyle w:val="Hyperlink"/>
            <w:rFonts w:ascii="Garamond" w:hAnsi="Garamond"/>
            <w:color w:val="000066"/>
            <w:sz w:val="22"/>
            <w:szCs w:val="22"/>
            <w:u w:val="none"/>
            <w:lang w:val="en-GB"/>
          </w:rPr>
          <w:t>Dunn et al. (2006)</w:t>
        </w:r>
      </w:hyperlink>
      <w:r w:rsidRPr="00802C03">
        <w:rPr>
          <w:rFonts w:ascii="Garamond" w:hAnsi="Garamond"/>
          <w:sz w:val="22"/>
          <w:szCs w:val="22"/>
          <w:lang w:val="en-GB"/>
        </w:rPr>
        <w:t xml:space="preserve"> and </w:t>
      </w:r>
      <w:hyperlink w:anchor="Dunn_2008" w:history="1">
        <w:r w:rsidRPr="00802C03">
          <w:rPr>
            <w:rStyle w:val="Hyperlink"/>
            <w:rFonts w:ascii="Garamond" w:hAnsi="Garamond"/>
            <w:color w:val="000066"/>
            <w:sz w:val="22"/>
            <w:szCs w:val="22"/>
            <w:u w:val="none"/>
            <w:lang w:val="en-GB"/>
          </w:rPr>
          <w:t>Dunn (2008)</w:t>
        </w:r>
      </w:hyperlink>
      <w:r w:rsidRPr="00802C03">
        <w:rPr>
          <w:rFonts w:ascii="Garamond" w:hAnsi="Garamond"/>
          <w:sz w:val="22"/>
          <w:szCs w:val="22"/>
          <w:lang w:val="en-GB"/>
        </w:rPr>
        <w:t>, do exist in which an incremental default risk model is developed and assessed, according to the set of rules that was proposed by the Basel Committee in the first consultative paper on the subject. Nonetheless, since crucial aspects have been changed in the two consecutive consultative documents, a comparison between the results of these studies and those that will be produced in this study is meaningless.</w:t>
      </w:r>
    </w:p>
    <w:p w:rsidR="001C7C52" w:rsidRPr="00802C03" w:rsidRDefault="001C7C52" w:rsidP="00E17C8F">
      <w:pPr>
        <w:pStyle w:val="FootnoteText"/>
        <w:spacing w:line="160" w:lineRule="exact"/>
        <w:ind w:left="0" w:firstLine="0"/>
        <w:jc w:val="both"/>
        <w:rPr>
          <w:rFonts w:ascii="Garamond" w:hAnsi="Garamond"/>
          <w:sz w:val="22"/>
          <w:szCs w:val="22"/>
          <w:lang w:val="en-GB"/>
        </w:rPr>
      </w:pPr>
    </w:p>
    <w:p w:rsidR="001C7C52" w:rsidRPr="00802C03" w:rsidRDefault="001C7C52" w:rsidP="009E1C4A">
      <w:pPr>
        <w:pStyle w:val="FootnoteText"/>
        <w:spacing w:line="280" w:lineRule="exact"/>
        <w:ind w:left="0" w:firstLine="0"/>
        <w:jc w:val="both"/>
        <w:rPr>
          <w:rFonts w:ascii="Garamond" w:hAnsi="Garamond"/>
          <w:sz w:val="22"/>
          <w:szCs w:val="22"/>
          <w:lang w:val="en-GB"/>
        </w:rPr>
      </w:pPr>
      <w:r w:rsidRPr="00802C03">
        <w:rPr>
          <w:rFonts w:ascii="Garamond" w:hAnsi="Garamond"/>
          <w:sz w:val="22"/>
          <w:szCs w:val="22"/>
          <w:lang w:val="en-GB"/>
        </w:rPr>
        <w:t>In the derivation of the incremental risk model in this study, the CreditMetrics model is used as a starting point. The Basel Committee’s incremental risk model guidelines specify a setting in which a multi-period model is the most appropriate model structure. The CreditMetrics framework will therefore be modified and extended to a multi-period setting to display the Basel Committee’s mode</w:t>
      </w:r>
      <w:r>
        <w:rPr>
          <w:rFonts w:ascii="Garamond" w:hAnsi="Garamond"/>
          <w:sz w:val="22"/>
          <w:szCs w:val="22"/>
          <w:lang w:val="en-GB"/>
        </w:rPr>
        <w:t>l</w:t>
      </w:r>
      <w:r w:rsidRPr="00802C03">
        <w:rPr>
          <w:rFonts w:ascii="Garamond" w:hAnsi="Garamond"/>
          <w:sz w:val="22"/>
          <w:szCs w:val="22"/>
          <w:lang w:val="en-GB"/>
        </w:rPr>
        <w:t>ling requirements. Besides the model itself, the inputs that are required in such a model will also be estimated, applying various common approaches or techniques from the relevant literature. Multiple aspects of the credit risk related literature are therefore evaluated and applied in the proposed model. The initial objective of the study is to construct an incremental risk model according to the Basel Committee’s standards, albeit in a somewhat stylized setting. A more important objective is, however, that numerous alternative supplementary inputs and assumptions will be employed in this model. Such an application ensures that a detailed assessment can be made on the importance of the required inputs and assumptions in the model.</w:t>
      </w:r>
      <w:r w:rsidRPr="00802C03">
        <w:rPr>
          <w:rStyle w:val="FootnoteReference"/>
          <w:rFonts w:ascii="Garamond" w:hAnsi="Garamond"/>
          <w:szCs w:val="22"/>
          <w:lang w:val="en-GB"/>
        </w:rPr>
        <w:footnoteReference w:id="10"/>
      </w:r>
      <w:r w:rsidRPr="00802C03">
        <w:rPr>
          <w:rFonts w:ascii="Garamond" w:hAnsi="Garamond"/>
          <w:sz w:val="22"/>
          <w:szCs w:val="22"/>
          <w:lang w:val="en-GB"/>
        </w:rPr>
        <w:t xml:space="preserve"> Moreover, an attempt is made to compose such an assessment in a setting in which most of the model specific conclusions, with respect to the importance of the inputs and assumptions, can be extended to the incremental risk model in general. </w:t>
      </w:r>
    </w:p>
    <w:p w:rsidR="001C7C52" w:rsidRPr="00802C03" w:rsidRDefault="001C7C52" w:rsidP="009E1C4A">
      <w:pPr>
        <w:pStyle w:val="FootnoteText"/>
        <w:spacing w:line="280" w:lineRule="exact"/>
        <w:ind w:left="0" w:firstLine="0"/>
        <w:jc w:val="both"/>
        <w:rPr>
          <w:rFonts w:ascii="Garamond" w:hAnsi="Garamond"/>
          <w:sz w:val="22"/>
          <w:szCs w:val="22"/>
          <w:lang w:val="en-GB"/>
        </w:rPr>
      </w:pPr>
      <w:r w:rsidRPr="00802C03">
        <w:rPr>
          <w:rFonts w:ascii="Garamond" w:hAnsi="Garamond"/>
          <w:sz w:val="22"/>
          <w:szCs w:val="22"/>
          <w:lang w:val="en-GB"/>
        </w:rPr>
        <w:t>The implications of this assessment are quite obvious in the regulatory, mode</w:t>
      </w:r>
      <w:r>
        <w:rPr>
          <w:rFonts w:ascii="Garamond" w:hAnsi="Garamond"/>
          <w:sz w:val="22"/>
          <w:szCs w:val="22"/>
          <w:lang w:val="en-GB"/>
        </w:rPr>
        <w:t>l</w:t>
      </w:r>
      <w:r w:rsidRPr="00802C03">
        <w:rPr>
          <w:rFonts w:ascii="Garamond" w:hAnsi="Garamond"/>
          <w:sz w:val="22"/>
          <w:szCs w:val="22"/>
          <w:lang w:val="en-GB"/>
        </w:rPr>
        <w:t>ling and model validation context. First of all, since publicly available information on the incremental risk model is severely limited, any information presented in this study is relevant for anyone who has any interest in the incremental risk model. More specifically, this study may have regulatory implications, as regulators can to some extent identify whether the initial objectives behind the model are likely to be reached, based on the results of this study. Moreover, model development implications are obvious, as not only a somewhat stylized incremental risk model will be developed, but also numerous ideas with respect to the improvement of the constructed model or an incremental risk model in general are proposed. Lastly, in the validation context, the results of this study will shed light on the importance of the assumptions and inputs in the incremental risk model. As with any new model, the validation standard is still to be developed to some extent and is therefore still evolving. The identification of the most imperative inputs and assumptions, in the estimation of the required risk measure, is crucial in the development of such a validation standard. In essence, the information presented in this study may show model validators on which model aspects emphasis must be placed in the validation process of an actual</w:t>
      </w:r>
      <w:r>
        <w:rPr>
          <w:rFonts w:ascii="Garamond" w:hAnsi="Garamond"/>
          <w:sz w:val="22"/>
          <w:szCs w:val="22"/>
          <w:lang w:val="en-GB"/>
        </w:rPr>
        <w:t xml:space="preserve"> incremental risk model.</w:t>
      </w:r>
    </w:p>
    <w:p w:rsidR="001C7C52" w:rsidRPr="00802C03" w:rsidRDefault="001C7C52" w:rsidP="00E17C8F">
      <w:pPr>
        <w:pStyle w:val="FootnoteText"/>
        <w:spacing w:line="160" w:lineRule="exact"/>
        <w:ind w:left="0" w:firstLine="0"/>
        <w:jc w:val="both"/>
        <w:rPr>
          <w:rFonts w:ascii="Garamond" w:hAnsi="Garamond"/>
          <w:sz w:val="22"/>
          <w:szCs w:val="22"/>
          <w:lang w:val="en-GB"/>
        </w:rPr>
      </w:pPr>
    </w:p>
    <w:p w:rsidR="001C7C52" w:rsidRPr="00802C03" w:rsidRDefault="001C7C52" w:rsidP="009E1C4A">
      <w:pPr>
        <w:pStyle w:val="FootnoteText"/>
        <w:spacing w:line="280" w:lineRule="exact"/>
        <w:ind w:left="0" w:firstLine="0"/>
        <w:jc w:val="both"/>
        <w:rPr>
          <w:rFonts w:ascii="Garamond" w:hAnsi="Garamond"/>
          <w:sz w:val="22"/>
          <w:szCs w:val="22"/>
          <w:lang w:val="en-GB"/>
        </w:rPr>
      </w:pPr>
      <w:r w:rsidRPr="00802C03">
        <w:rPr>
          <w:rFonts w:ascii="Garamond" w:hAnsi="Garamond"/>
          <w:sz w:val="22"/>
          <w:szCs w:val="22"/>
          <w:lang w:val="en-GB"/>
        </w:rPr>
        <w:t xml:space="preserve">The study is organized in three parts. In </w:t>
      </w:r>
      <w:hyperlink w:anchor="C2_Part1" w:history="1">
        <w:r w:rsidRPr="00802C03">
          <w:rPr>
            <w:rStyle w:val="Hyperlink"/>
            <w:rFonts w:ascii="Garamond" w:hAnsi="Garamond"/>
            <w:color w:val="000066"/>
            <w:sz w:val="22"/>
            <w:szCs w:val="22"/>
            <w:u w:val="none"/>
            <w:lang w:val="en-GB"/>
          </w:rPr>
          <w:t>Part I</w:t>
        </w:r>
      </w:hyperlink>
      <w:r w:rsidRPr="00802C03">
        <w:rPr>
          <w:rFonts w:ascii="Garamond" w:hAnsi="Garamond"/>
          <w:sz w:val="22"/>
          <w:szCs w:val="22"/>
          <w:lang w:val="en-GB"/>
        </w:rPr>
        <w:t xml:space="preserve">, the requirements and principles of the model will be discussed and the complete model will be derived in terms of a simulation model and a correlation structure. In </w:t>
      </w:r>
      <w:hyperlink w:anchor="C3_Part2" w:history="1">
        <w:r w:rsidRPr="00802C03">
          <w:rPr>
            <w:rStyle w:val="Hyperlink"/>
            <w:rFonts w:ascii="Garamond" w:hAnsi="Garamond"/>
            <w:color w:val="000066"/>
            <w:sz w:val="22"/>
            <w:szCs w:val="22"/>
            <w:u w:val="none"/>
            <w:lang w:val="en-GB"/>
          </w:rPr>
          <w:t>Part II</w:t>
        </w:r>
      </w:hyperlink>
      <w:r w:rsidRPr="00802C03">
        <w:rPr>
          <w:rFonts w:ascii="Garamond" w:hAnsi="Garamond"/>
          <w:sz w:val="22"/>
          <w:szCs w:val="22"/>
          <w:lang w:val="en-GB"/>
        </w:rPr>
        <w:t xml:space="preserve">, the required inputs in the derived model are estimated with the use of alternative methodologies. In addition, three portfolios are built that allow for the estimation of the proposed model and assessment of the effects of its inputs and assumptions. The last part, </w:t>
      </w:r>
      <w:hyperlink w:anchor="C4_Part3" w:history="1">
        <w:r w:rsidRPr="00802C03">
          <w:rPr>
            <w:rStyle w:val="Hyperlink"/>
            <w:rFonts w:ascii="Garamond" w:hAnsi="Garamond"/>
            <w:color w:val="000066"/>
            <w:sz w:val="22"/>
            <w:szCs w:val="22"/>
            <w:u w:val="none"/>
            <w:lang w:val="en-GB"/>
          </w:rPr>
          <w:t>Part III</w:t>
        </w:r>
      </w:hyperlink>
      <w:r w:rsidRPr="00802C03">
        <w:rPr>
          <w:rFonts w:ascii="Garamond" w:hAnsi="Garamond"/>
          <w:sz w:val="22"/>
          <w:szCs w:val="22"/>
          <w:lang w:val="en-GB"/>
        </w:rPr>
        <w:t xml:space="preserve">, will contain this assessment of the model and its inputs and assumptions. Basically, the model will be estimated with the use various alternative inputs under multiple alternative assumptions. The interpretations of these estimations are presented here as well. Moreover, all components of the model are discussed once again and possible limitations and model improvements are highlighted in this assessment. Lastly, the </w:t>
      </w:r>
      <w:hyperlink w:anchor="C5_Conclusions" w:history="1">
        <w:r w:rsidRPr="00802C03">
          <w:rPr>
            <w:rStyle w:val="Hyperlink"/>
            <w:rFonts w:ascii="Garamond" w:hAnsi="Garamond"/>
            <w:color w:val="000066"/>
            <w:sz w:val="22"/>
            <w:szCs w:val="22"/>
            <w:u w:val="none"/>
            <w:lang w:val="en-GB"/>
          </w:rPr>
          <w:t>conclusions</w:t>
        </w:r>
      </w:hyperlink>
      <w:r w:rsidRPr="00802C03">
        <w:rPr>
          <w:rFonts w:ascii="Garamond" w:hAnsi="Garamond"/>
          <w:sz w:val="22"/>
          <w:szCs w:val="22"/>
          <w:lang w:val="en-GB"/>
        </w:rPr>
        <w:t xml:space="preserve"> will provide a summary of all relevant aspects that are discussed in the study. Herein, the eventual implications of the proposed incremental risk model and its model estimation are a central topic as well.</w:t>
      </w:r>
    </w:p>
    <w:p w:rsidR="001C7C52" w:rsidRPr="00802C03" w:rsidRDefault="001C7C52" w:rsidP="009E1C4A">
      <w:pPr>
        <w:pStyle w:val="FootnoteText"/>
        <w:spacing w:line="280" w:lineRule="exact"/>
        <w:ind w:left="0" w:firstLine="0"/>
        <w:jc w:val="both"/>
        <w:rPr>
          <w:rFonts w:ascii="Garamond" w:hAnsi="Garamond"/>
          <w:sz w:val="22"/>
          <w:szCs w:val="22"/>
          <w:lang w:val="en-GB"/>
        </w:rPr>
        <w:sectPr w:rsidR="001C7C52" w:rsidRPr="00802C03" w:rsidSect="00FC23CC">
          <w:headerReference w:type="even" r:id="rId13"/>
          <w:headerReference w:type="default" r:id="rId14"/>
          <w:footerReference w:type="even" r:id="rId15"/>
          <w:footerReference w:type="default" r:id="rId16"/>
          <w:headerReference w:type="first" r:id="rId17"/>
          <w:footerReference w:type="first" r:id="rId18"/>
          <w:footnotePr>
            <w:numRestart w:val="eachSect"/>
          </w:footnotePr>
          <w:type w:val="continuous"/>
          <w:pgSz w:w="11906" w:h="16838"/>
          <w:pgMar w:top="1247" w:right="1247" w:bottom="1247" w:left="1247" w:header="907" w:footer="907" w:gutter="0"/>
          <w:cols w:space="708"/>
          <w:titlePg/>
          <w:docGrid w:linePitch="360"/>
        </w:sectPr>
      </w:pPr>
    </w:p>
    <w:tbl>
      <w:tblPr>
        <w:tblW w:w="0" w:type="auto"/>
        <w:tblInd w:w="-1106" w:type="dxa"/>
        <w:tblCellMar>
          <w:left w:w="170" w:type="dxa"/>
          <w:right w:w="170" w:type="dxa"/>
        </w:tblCellMar>
        <w:tblLook w:val="00A0"/>
      </w:tblPr>
      <w:tblGrid>
        <w:gridCol w:w="709"/>
        <w:gridCol w:w="567"/>
        <w:gridCol w:w="5170"/>
        <w:gridCol w:w="670"/>
        <w:gridCol w:w="3542"/>
      </w:tblGrid>
      <w:tr w:rsidR="001C7C52" w:rsidRPr="000B0ADE" w:rsidTr="002E2E49">
        <w:trPr>
          <w:gridBefore w:val="1"/>
        </w:trPr>
        <w:tc>
          <w:tcPr>
            <w:tcW w:w="6407" w:type="dxa"/>
            <w:gridSpan w:val="3"/>
            <w:tcBorders>
              <w:right w:val="single" w:sz="4" w:space="0" w:color="auto"/>
            </w:tcBorders>
          </w:tcPr>
          <w:p w:rsidR="001C7C52" w:rsidRPr="002E2E49" w:rsidRDefault="001C7C52" w:rsidP="002E2E49">
            <w:pPr>
              <w:spacing w:line="280" w:lineRule="atLeast"/>
              <w:jc w:val="right"/>
              <w:rPr>
                <w:rFonts w:ascii="Garamond" w:hAnsi="Garamond" w:cs="NimbusRomNo9L-Regu"/>
                <w:b/>
                <w:sz w:val="80"/>
                <w:szCs w:val="80"/>
                <w:lang w:val="en-GB" w:eastAsia="nl-NL"/>
              </w:rPr>
            </w:pPr>
            <w:bookmarkStart w:id="2" w:name="C2_Part1"/>
            <w:bookmarkEnd w:id="2"/>
          </w:p>
          <w:p w:rsidR="001C7C52" w:rsidRPr="002E2E49" w:rsidRDefault="001C7C52" w:rsidP="002E2E49">
            <w:pPr>
              <w:spacing w:line="280" w:lineRule="atLeast"/>
              <w:jc w:val="right"/>
              <w:rPr>
                <w:rFonts w:ascii="Garamond" w:hAnsi="Garamond" w:cs="NimbusRomNo9L-Regu"/>
                <w:b/>
                <w:sz w:val="80"/>
                <w:szCs w:val="80"/>
                <w:lang w:val="en-GB" w:eastAsia="nl-NL"/>
              </w:rPr>
            </w:pPr>
          </w:p>
          <w:p w:rsidR="001C7C52" w:rsidRPr="002E2E49" w:rsidRDefault="001C7C52" w:rsidP="002E2E49">
            <w:pPr>
              <w:spacing w:line="280" w:lineRule="atLeast"/>
              <w:jc w:val="right"/>
              <w:rPr>
                <w:rFonts w:ascii="Garamond" w:hAnsi="Garamond" w:cs="NimbusRomNo9L-Regu"/>
                <w:b/>
                <w:sz w:val="80"/>
                <w:szCs w:val="80"/>
                <w:lang w:val="en-GB" w:eastAsia="nl-NL"/>
              </w:rPr>
            </w:pPr>
            <w:r w:rsidRPr="002E2E49">
              <w:rPr>
                <w:rFonts w:ascii="Garamond" w:hAnsi="Garamond" w:cs="NimbusRomNo9L-Regu"/>
                <w:b/>
                <w:sz w:val="80"/>
                <w:szCs w:val="80"/>
                <w:lang w:val="en-GB" w:eastAsia="nl-NL"/>
              </w:rPr>
              <w:t>P</w:t>
            </w:r>
            <w:r w:rsidRPr="002E2E49">
              <w:rPr>
                <w:rFonts w:ascii="Garamond" w:hAnsi="Garamond" w:cs="NimbusRomNo9L-Regu"/>
                <w:b/>
                <w:sz w:val="60"/>
                <w:szCs w:val="60"/>
                <w:lang w:val="en-GB" w:eastAsia="nl-NL"/>
              </w:rPr>
              <w:t>ART</w:t>
            </w:r>
            <w:r w:rsidRPr="002E2E49">
              <w:rPr>
                <w:rFonts w:ascii="Garamond" w:hAnsi="Garamond" w:cs="NimbusRomNo9L-Regu"/>
                <w:b/>
                <w:sz w:val="80"/>
                <w:szCs w:val="80"/>
                <w:lang w:val="en-GB" w:eastAsia="nl-NL"/>
              </w:rPr>
              <w:t xml:space="preserve"> I</w:t>
            </w:r>
          </w:p>
          <w:p w:rsidR="001C7C52" w:rsidRPr="002E2E49" w:rsidRDefault="001C7C52" w:rsidP="002E2E49">
            <w:pPr>
              <w:spacing w:line="280" w:lineRule="atLeast"/>
              <w:jc w:val="right"/>
              <w:rPr>
                <w:rFonts w:ascii="Garamond" w:hAnsi="Garamond" w:cs="NimbusRomNo9L-Regu"/>
                <w:b/>
                <w:sz w:val="44"/>
                <w:szCs w:val="44"/>
                <w:lang w:val="en-GB" w:eastAsia="nl-NL"/>
              </w:rPr>
            </w:pPr>
            <w:r w:rsidRPr="002E2E49">
              <w:rPr>
                <w:rFonts w:ascii="Garamond" w:hAnsi="Garamond" w:cs="NimbusRomNo9L-Regu"/>
                <w:b/>
                <w:sz w:val="52"/>
                <w:szCs w:val="52"/>
                <w:lang w:val="en-GB" w:eastAsia="nl-NL"/>
              </w:rPr>
              <w:t>M</w:t>
            </w:r>
            <w:r w:rsidRPr="002E2E49">
              <w:rPr>
                <w:rFonts w:ascii="Garamond" w:hAnsi="Garamond" w:cs="NimbusRomNo9L-Regu"/>
                <w:b/>
                <w:sz w:val="44"/>
                <w:szCs w:val="44"/>
                <w:lang w:val="en-GB" w:eastAsia="nl-NL"/>
              </w:rPr>
              <w:t xml:space="preserve">ODEL </w:t>
            </w:r>
            <w:r w:rsidRPr="002E2E49">
              <w:rPr>
                <w:rFonts w:ascii="Garamond" w:hAnsi="Garamond" w:cs="NimbusRomNo9L-Regu"/>
                <w:b/>
                <w:sz w:val="52"/>
                <w:szCs w:val="52"/>
                <w:lang w:val="en-GB" w:eastAsia="nl-NL"/>
              </w:rPr>
              <w:t>C</w:t>
            </w:r>
            <w:r w:rsidRPr="002E2E49">
              <w:rPr>
                <w:rFonts w:ascii="Garamond" w:hAnsi="Garamond" w:cs="NimbusRomNo9L-Regu"/>
                <w:b/>
                <w:sz w:val="44"/>
                <w:szCs w:val="44"/>
                <w:lang w:val="en-GB" w:eastAsia="nl-NL"/>
              </w:rPr>
              <w:t>ONSTRUCTION</w:t>
            </w: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AA4E23">
            <w:pPr>
              <w:rPr>
                <w:rFonts w:ascii="Garamond" w:hAnsi="Garamond" w:cs="NimbusRomNo9L-Regu"/>
                <w:sz w:val="44"/>
                <w:szCs w:val="44"/>
                <w:lang w:val="en-GB" w:eastAsia="nl-NL"/>
              </w:rPr>
            </w:pPr>
          </w:p>
        </w:tc>
        <w:tc>
          <w:tcPr>
            <w:tcW w:w="3145" w:type="dxa"/>
            <w:tcBorders>
              <w:left w:val="single" w:sz="4" w:space="0" w:color="auto"/>
            </w:tcBorders>
          </w:tcPr>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sz w:val="20"/>
                <w:lang w:val="en-GB" w:eastAsia="nl-NL"/>
              </w:rPr>
            </w:pPr>
            <w:r w:rsidRPr="002E2E49">
              <w:rPr>
                <w:rFonts w:ascii="Garamond" w:hAnsi="Garamond" w:cs="NimbusRomNo9L-Regu"/>
                <w:i/>
                <w:sz w:val="20"/>
                <w:lang w:val="en-GB" w:eastAsia="nl-NL"/>
              </w:rPr>
              <w:t xml:space="preserve">In Part I of this study, first, a detailed description is presented of the guidelines and principles that provide the regulatory basis of the incremental risk model, as set forth by the Basel Committee. Naturally, an assessment of the underlying principles and guidelines is appropriate in the construction of such a model. Taking the guidelines into consideration, </w:t>
            </w:r>
            <w:hyperlink w:anchor="S120" w:history="1">
              <w:r w:rsidRPr="002E2E49">
                <w:rPr>
                  <w:rStyle w:val="Hyperlink"/>
                  <w:rFonts w:ascii="Garamond" w:hAnsi="Garamond" w:cs="NimbusRomNo9L-Regu"/>
                  <w:i/>
                  <w:color w:val="auto"/>
                  <w:sz w:val="20"/>
                  <w:u w:val="none"/>
                  <w:lang w:val="en-GB" w:eastAsia="nl-NL"/>
                </w:rPr>
                <w:t>section 1.2</w:t>
              </w:r>
            </w:hyperlink>
            <w:r w:rsidRPr="002E2E49">
              <w:rPr>
                <w:rFonts w:ascii="Garamond" w:hAnsi="Garamond" w:cs="NimbusRomNo9L-Regu"/>
                <w:i/>
                <w:sz w:val="20"/>
                <w:lang w:val="en-GB" w:eastAsia="nl-NL"/>
              </w:rPr>
              <w:t xml:space="preserve"> specifies the required starting point for the construction of the incremental risk model that is proposed in this study. This starting point comprises a general structure that is based on the guidelines and a technical approach, which is the CreditMetrics model as stated in the </w:t>
            </w:r>
            <w:hyperlink w:anchor="C1_Introduction" w:history="1">
              <w:r w:rsidRPr="002E2E49">
                <w:rPr>
                  <w:rStyle w:val="Hyperlink"/>
                  <w:rFonts w:ascii="Garamond" w:hAnsi="Garamond" w:cs="NimbusRomNo9L-Regu"/>
                  <w:i/>
                  <w:color w:val="auto"/>
                  <w:sz w:val="20"/>
                  <w:u w:val="none"/>
                  <w:lang w:val="en-GB" w:eastAsia="nl-NL"/>
                </w:rPr>
                <w:t>introduction</w:t>
              </w:r>
            </w:hyperlink>
            <w:r w:rsidRPr="002E2E49">
              <w:rPr>
                <w:rFonts w:ascii="Garamond" w:hAnsi="Garamond" w:cs="NimbusRomNo9L-Regu"/>
                <w:i/>
                <w:sz w:val="20"/>
                <w:lang w:val="en-GB" w:eastAsia="nl-NL"/>
              </w:rPr>
              <w:t xml:space="preserve">. The actual incremental risk model is constructed in </w:t>
            </w:r>
            <w:hyperlink w:anchor="S130" w:history="1">
              <w:r w:rsidRPr="002E2E49">
                <w:rPr>
                  <w:rStyle w:val="Hyperlink"/>
                  <w:rFonts w:ascii="Garamond" w:hAnsi="Garamond" w:cs="NimbusRomNo9L-Regu"/>
                  <w:i/>
                  <w:color w:val="auto"/>
                  <w:sz w:val="20"/>
                  <w:u w:val="none"/>
                  <w:lang w:val="en-GB" w:eastAsia="nl-NL"/>
                </w:rPr>
                <w:t>section 1.3</w:t>
              </w:r>
            </w:hyperlink>
            <w:r w:rsidRPr="002E2E49">
              <w:rPr>
                <w:rFonts w:ascii="Garamond" w:hAnsi="Garamond" w:cs="NimbusRomNo9L-Regu"/>
                <w:i/>
                <w:sz w:val="20"/>
                <w:lang w:val="en-GB" w:eastAsia="nl-NL"/>
              </w:rPr>
              <w:t xml:space="preserve">. Herein, a credit rating simulation model and a valuation model are derived, which together form the simulation model. Essentially, the CreditMetrics single-period setting is extended to a multiple period model that accounts for the Basel Committee’s technical requirements, in the form of rebalancing opportunities to maintain a constant level of risk throughout the pre-specified risk horizon. In the last section of Part I of the study, </w:t>
            </w:r>
            <w:hyperlink w:anchor="S140" w:history="1">
              <w:r w:rsidRPr="002E2E49">
                <w:rPr>
                  <w:rStyle w:val="Hyperlink"/>
                  <w:rFonts w:ascii="Garamond" w:hAnsi="Garamond" w:cs="NimbusRomNo9L-Regu"/>
                  <w:i/>
                  <w:color w:val="auto"/>
                  <w:sz w:val="20"/>
                  <w:u w:val="none"/>
                  <w:lang w:val="en-GB" w:eastAsia="nl-NL"/>
                </w:rPr>
                <w:t>section 1.4</w:t>
              </w:r>
            </w:hyperlink>
            <w:r w:rsidRPr="002E2E49">
              <w:rPr>
                <w:rFonts w:ascii="Garamond" w:hAnsi="Garamond" w:cs="NimbusRomNo9L-Regu"/>
                <w:i/>
                <w:sz w:val="20"/>
                <w:lang w:val="en-GB" w:eastAsia="nl-NL"/>
              </w:rPr>
              <w:t xml:space="preserve">, a structure is derived that addresses the interactions between the migration and default risks embedded in the individual positions in the model. It encompasses the correlations between the credit quality levels of the issuers, underlying the assessed credit positions in the trading book, as well as the autocorrelations for individual issuers. This correlation structure is obviously complementary to the model derived in </w:t>
            </w:r>
            <w:hyperlink w:anchor="S130" w:history="1">
              <w:r w:rsidRPr="002E2E49">
                <w:rPr>
                  <w:rStyle w:val="Hyperlink"/>
                  <w:rFonts w:ascii="Garamond" w:hAnsi="Garamond" w:cs="NimbusRomNo9L-Regu"/>
                  <w:i/>
                  <w:color w:val="auto"/>
                  <w:sz w:val="20"/>
                  <w:u w:val="none"/>
                  <w:lang w:val="en-GB" w:eastAsia="nl-NL"/>
                </w:rPr>
                <w:t>section 1.3</w:t>
              </w:r>
            </w:hyperlink>
            <w:r w:rsidRPr="002E2E49">
              <w:rPr>
                <w:rFonts w:ascii="Garamond" w:hAnsi="Garamond" w:cs="NimbusRomNo9L-Regu"/>
                <w:i/>
                <w:sz w:val="20"/>
                <w:lang w:val="en-GB" w:eastAsia="nl-NL"/>
              </w:rPr>
              <w:t>.</w:t>
            </w:r>
          </w:p>
          <w:p w:rsidR="001C7C52" w:rsidRPr="002E2E49" w:rsidRDefault="001C7C52" w:rsidP="002E2E49">
            <w:pPr>
              <w:spacing w:line="280" w:lineRule="exact"/>
              <w:jc w:val="both"/>
              <w:rPr>
                <w:rFonts w:ascii="Garamond" w:hAnsi="Garamond" w:cs="NimbusRomNo9L-Regu"/>
                <w:i/>
                <w:lang w:val="en-GB" w:eastAsia="nl-NL"/>
              </w:rPr>
            </w:pPr>
          </w:p>
        </w:tc>
      </w:tr>
      <w:tr w:rsidR="001C7C52" w:rsidRPr="000B0ADE" w:rsidTr="002E2E49">
        <w:tblPrEx>
          <w:tblCellMar>
            <w:left w:w="0" w:type="dxa"/>
            <w:right w:w="0" w:type="dxa"/>
          </w:tblCellMar>
        </w:tblPrEx>
        <w:trPr>
          <w:gridAfter w:val="2"/>
          <w:wAfter w:w="4212" w:type="dxa"/>
        </w:trPr>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1.1</w:t>
            </w:r>
          </w:p>
        </w:tc>
        <w:tc>
          <w:tcPr>
            <w:tcW w:w="5170" w:type="dxa"/>
          </w:tcPr>
          <w:p w:rsidR="001C7C52" w:rsidRPr="002E2E49" w:rsidRDefault="001C7C52" w:rsidP="002E2E49">
            <w:pPr>
              <w:spacing w:line="280" w:lineRule="exact"/>
              <w:jc w:val="both"/>
              <w:rPr>
                <w:rFonts w:ascii="Garamond" w:hAnsi="Garamond" w:cs="NimbusRomNo9L-Regu"/>
                <w:lang w:val="en-GB" w:eastAsia="nl-NL"/>
              </w:rPr>
            </w:pPr>
            <w:bookmarkStart w:id="3" w:name="S110"/>
            <w:bookmarkEnd w:id="3"/>
            <w:r w:rsidRPr="002E2E49">
              <w:rPr>
                <w:rFonts w:ascii="Garamond" w:hAnsi="Garamond" w:cs="NimbusRomNo9L-Regu"/>
                <w:b/>
                <w:lang w:val="en-GB" w:eastAsia="nl-NL"/>
              </w:rPr>
              <w:t>D</w:t>
            </w:r>
            <w:r w:rsidRPr="002E2E49">
              <w:rPr>
                <w:rFonts w:ascii="Garamond" w:hAnsi="Garamond" w:cs="NimbusRomNo9L-Regu"/>
                <w:b/>
                <w:sz w:val="18"/>
                <w:szCs w:val="18"/>
                <w:lang w:val="en-GB" w:eastAsia="nl-NL"/>
              </w:rPr>
              <w:t>ESCRIPTION</w:t>
            </w:r>
            <w:r w:rsidRPr="002E2E49">
              <w:rPr>
                <w:rFonts w:ascii="Garamond" w:hAnsi="Garamond" w:cs="NimbusRomNo9L-Regu"/>
                <w:b/>
                <w:lang w:val="en-GB" w:eastAsia="nl-NL"/>
              </w:rPr>
              <w:t xml:space="preserve"> </w:t>
            </w:r>
            <w:r w:rsidRPr="002E2E49">
              <w:rPr>
                <w:rFonts w:ascii="Garamond" w:hAnsi="Garamond" w:cs="NimbusRomNo9L-Regu"/>
                <w:b/>
                <w:sz w:val="18"/>
                <w:szCs w:val="18"/>
                <w:lang w:val="en-GB" w:eastAsia="nl-NL"/>
              </w:rPr>
              <w:t>OF</w:t>
            </w:r>
            <w:r w:rsidRPr="002E2E49">
              <w:rPr>
                <w:rFonts w:ascii="Garamond" w:hAnsi="Garamond" w:cs="NimbusRomNo9L-Regu"/>
                <w:b/>
                <w:lang w:val="en-GB" w:eastAsia="nl-NL"/>
              </w:rPr>
              <w:t xml:space="preserve"> </w:t>
            </w:r>
            <w:r w:rsidRPr="002E2E49">
              <w:rPr>
                <w:rFonts w:ascii="Garamond" w:hAnsi="Garamond" w:cs="NimbusRomNo9L-Regu"/>
                <w:b/>
                <w:sz w:val="18"/>
                <w:szCs w:val="18"/>
                <w:lang w:val="en-GB" w:eastAsia="nl-NL"/>
              </w:rPr>
              <w:t>THE</w:t>
            </w:r>
            <w:r w:rsidRPr="002E2E49">
              <w:rPr>
                <w:rFonts w:ascii="Garamond" w:hAnsi="Garamond" w:cs="NimbusRomNo9L-Regu"/>
                <w:b/>
                <w:lang w:val="en-GB" w:eastAsia="nl-NL"/>
              </w:rPr>
              <w:t xml:space="preserve"> B</w:t>
            </w:r>
            <w:r w:rsidRPr="002E2E49">
              <w:rPr>
                <w:rFonts w:ascii="Garamond" w:hAnsi="Garamond" w:cs="NimbusRomNo9L-Regu"/>
                <w:b/>
                <w:sz w:val="18"/>
                <w:szCs w:val="18"/>
                <w:lang w:val="en-GB" w:eastAsia="nl-NL"/>
              </w:rPr>
              <w:t>ASEL</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OMMITTEE</w:t>
            </w:r>
            <w:r w:rsidRPr="002E2E49">
              <w:rPr>
                <w:rFonts w:ascii="Garamond" w:hAnsi="Garamond" w:cs="NimbusRomNo9L-Regu"/>
                <w:b/>
                <w:lang w:val="en-GB" w:eastAsia="nl-NL"/>
              </w:rPr>
              <w:t>’</w:t>
            </w:r>
            <w:r w:rsidRPr="002E2E49">
              <w:rPr>
                <w:rFonts w:ascii="Garamond" w:hAnsi="Garamond" w:cs="NimbusRomNo9L-Regu"/>
                <w:b/>
                <w:sz w:val="18"/>
                <w:szCs w:val="18"/>
                <w:lang w:val="en-GB" w:eastAsia="nl-NL"/>
              </w:rPr>
              <w:t>S</w:t>
            </w:r>
            <w:r w:rsidRPr="002E2E49">
              <w:rPr>
                <w:rFonts w:ascii="Garamond" w:hAnsi="Garamond" w:cs="NimbusRomNo9L-Regu"/>
                <w:b/>
                <w:lang w:val="en-GB" w:eastAsia="nl-NL"/>
              </w:rPr>
              <w:t xml:space="preserve"> P</w:t>
            </w:r>
            <w:r w:rsidRPr="002E2E49">
              <w:rPr>
                <w:rFonts w:ascii="Garamond" w:hAnsi="Garamond" w:cs="NimbusRomNo9L-Regu"/>
                <w:b/>
                <w:sz w:val="18"/>
                <w:szCs w:val="18"/>
                <w:lang w:val="en-GB" w:eastAsia="nl-NL"/>
              </w:rPr>
              <w:t>ROPOSAL</w:t>
            </w:r>
          </w:p>
        </w:tc>
      </w:tr>
    </w:tbl>
    <w:p w:rsidR="001C7C52" w:rsidRPr="00802C03" w:rsidRDefault="001C7C52" w:rsidP="005B3319">
      <w:pPr>
        <w:autoSpaceDE/>
        <w:autoSpaceDN/>
        <w:adjustRightInd/>
        <w:spacing w:before="160" w:line="280" w:lineRule="exact"/>
        <w:jc w:val="both"/>
        <w:rPr>
          <w:rFonts w:ascii="Garamond" w:hAnsi="Garamond"/>
          <w:lang w:val="en-GB"/>
        </w:rPr>
      </w:pPr>
      <w:r w:rsidRPr="00802C03">
        <w:rPr>
          <w:rFonts w:ascii="Garamond" w:hAnsi="Garamond"/>
          <w:lang w:val="en-GB"/>
        </w:rPr>
        <w:t xml:space="preserve">In the construction of an incremental risk model that is in accordance with the Basel Committee’s standards, first, the most recent incremental risk charge proposal, as released by the Basel Committee, must be examined. Accordingly, this section will provide an overview of the most relevant aspects, in the context of this study, as presented in </w:t>
      </w:r>
      <w:r w:rsidRPr="00802C03">
        <w:rPr>
          <w:rFonts w:ascii="Garamond" w:hAnsi="Garamond" w:cs="NimbusRomNo9L-Regu"/>
          <w:i/>
          <w:lang w:val="en-GB" w:eastAsia="nl-NL"/>
        </w:rPr>
        <w:t>Guidelines for Computing Capital for Incremental Risk in the Trading Book: Consultative Document</w:t>
      </w:r>
      <w:r w:rsidRPr="00802C03">
        <w:rPr>
          <w:rFonts w:ascii="Garamond" w:hAnsi="Garamond" w:cs="NimbusRomNo9L-Regu"/>
          <w:lang w:val="en-GB" w:eastAsia="nl-NL"/>
        </w:rPr>
        <w:t xml:space="preserve"> (</w:t>
      </w:r>
      <w:hyperlink w:anchor="BCBS_2009a" w:history="1">
        <w:r w:rsidRPr="00802C03">
          <w:rPr>
            <w:rStyle w:val="Hyperlink"/>
            <w:rFonts w:ascii="Garamond" w:hAnsi="Garamond" w:cs="NimbusRomNo9L-Regu"/>
            <w:color w:val="000066"/>
            <w:u w:val="none"/>
            <w:lang w:val="en-GB" w:eastAsia="nl-NL"/>
          </w:rPr>
          <w:t>BCBS, 2009a</w:t>
        </w:r>
      </w:hyperlink>
      <w:r w:rsidRPr="00802C03">
        <w:rPr>
          <w:rFonts w:ascii="Garamond" w:hAnsi="Garamond" w:cs="NimbusRomNo9L-Regu"/>
          <w:lang w:val="en-GB" w:eastAsia="nl-NL"/>
        </w:rPr>
        <w:t xml:space="preserve">). </w:t>
      </w:r>
      <w:r w:rsidRPr="00802C03">
        <w:rPr>
          <w:rFonts w:ascii="Garamond" w:hAnsi="Garamond"/>
          <w:lang w:val="en-GB"/>
        </w:rPr>
        <w:t>The guidelines presented in this document set forth the requirements and principles to which an actual incremental risk model must comply.</w:t>
      </w:r>
      <w:r w:rsidRPr="00802C03">
        <w:rPr>
          <w:rStyle w:val="FootnoteReference"/>
          <w:rFonts w:ascii="Garamond" w:hAnsi="Garamond" w:cs="NimbusRomNo9L-Regu"/>
          <w:lang w:val="en-GB" w:eastAsia="nl-NL"/>
        </w:rPr>
        <w:footnoteReference w:id="11"/>
      </w:r>
      <w:r w:rsidRPr="00802C03">
        <w:rPr>
          <w:rFonts w:ascii="Garamond" w:hAnsi="Garamond"/>
          <w:lang w:val="en-GB"/>
        </w:rPr>
        <w:t xml:space="preserve"> </w:t>
      </w:r>
    </w:p>
    <w:p w:rsidR="001C7C52" w:rsidRPr="00802C03" w:rsidRDefault="001C7C52" w:rsidP="00E17C8F">
      <w:pPr>
        <w:autoSpaceDE/>
        <w:autoSpaceDN/>
        <w:adjustRightInd/>
        <w:spacing w:line="160" w:lineRule="exact"/>
        <w:jc w:val="both"/>
        <w:rPr>
          <w:rFonts w:ascii="Garamond" w:hAnsi="Garamond"/>
          <w:lang w:val="en-GB"/>
        </w:rPr>
      </w:pPr>
    </w:p>
    <w:p w:rsidR="001C7C52" w:rsidRPr="00802C03" w:rsidRDefault="001C7C52" w:rsidP="009E1C4A">
      <w:pPr>
        <w:autoSpaceDE/>
        <w:autoSpaceDN/>
        <w:adjustRightInd/>
        <w:spacing w:line="280" w:lineRule="exact"/>
        <w:jc w:val="both"/>
        <w:rPr>
          <w:rFonts w:ascii="Garamond" w:hAnsi="Garamond"/>
          <w:lang w:val="en-GB"/>
        </w:rPr>
      </w:pPr>
      <w:r w:rsidRPr="00802C03">
        <w:rPr>
          <w:rFonts w:ascii="Garamond" w:hAnsi="Garamond"/>
          <w:lang w:val="en-GB"/>
        </w:rPr>
        <w:t>The incremental risk model must capture the migration and default risk incremental to the positions in the trading book of a bank. The Incremental Risk Capital Charge encompasses all positions subject to the capital charge for specific interest rate risk according to the internal models approach to specific market risk, regardless of their perceived liquidity. However, securitization and re-securitization exposures are not considered by the Incremental Risk Capital Charge. Basically, all unsecuritized credit products in the trading book are covered by the Incremental Risk Capital Charge</w:t>
      </w:r>
      <w:r>
        <w:rPr>
          <w:rFonts w:ascii="Garamond" w:hAnsi="Garamond"/>
          <w:lang w:val="en-GB"/>
        </w:rPr>
        <w:t>, whereas</w:t>
      </w:r>
      <w:r w:rsidRPr="00802C03">
        <w:rPr>
          <w:rFonts w:ascii="Garamond" w:hAnsi="Garamond"/>
          <w:lang w:val="en-GB"/>
        </w:rPr>
        <w:t xml:space="preserve"> all securitization and re-securitization exposures are covered by prescribed standardized specific risk capital charges. </w:t>
      </w:r>
    </w:p>
    <w:p w:rsidR="001C7C52" w:rsidRPr="00802C03" w:rsidRDefault="001C7C52" w:rsidP="00CC0FF4">
      <w:pPr>
        <w:autoSpaceDE/>
        <w:autoSpaceDN/>
        <w:adjustRightInd/>
        <w:spacing w:line="160" w:lineRule="exact"/>
        <w:jc w:val="both"/>
        <w:rPr>
          <w:rFonts w:ascii="Garamond" w:hAnsi="Garamond"/>
          <w:lang w:val="en-GB"/>
        </w:rPr>
      </w:pP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One of the objectives of the proposed Incremental Risk Capital Charge is to achieve consistency between capital charges for similar positions in the trading book and the banking book, though adjusted for illiquidity. Therefore the soundness standard or confidence interval is 99.9% with a one-year capital horizon. More specifically, the incremental risk model should measure default and migration risk at the 99.9% confidence interval over a capital horizon of one year, taking into account the liquidity horizons for the individual trading positions or sets of positions (one-year 99.9% value-at-risk).</w:t>
      </w:r>
      <w:r w:rsidRPr="00802C03">
        <w:rPr>
          <w:rStyle w:val="FootnoteReference"/>
          <w:rFonts w:ascii="Garamond" w:hAnsi="Garamond"/>
          <w:lang w:val="en-GB"/>
        </w:rPr>
        <w:footnoteReference w:id="12"/>
      </w:r>
      <w:r w:rsidRPr="00802C03">
        <w:rPr>
          <w:rFonts w:ascii="Garamond" w:hAnsi="Garamond"/>
          <w:lang w:val="en-GB"/>
        </w:rPr>
        <w:t xml:space="preserve"> Losses caused by larger market-wide events affecting more issues/issuers are also captured by this definition. The incremental risk model should also capture the impact of rebalancing the positions at the end of their liquidity horizons in a way to achieve a constant risk level over a one-year horizon.</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The relatively long length of the capital horizon and the high soundness standard are consistent with the ‘going concern’ principle that is pursued by the Basel Committee. The aim of regulatory capital requirements according to this principle is that banks can withstand losses, and are able to continue their normal activities without the need to raise additional capital. Such a principle is warranted as recent events have demonstrated that banks are not likely to be able to raise additional capital during periods of severe economic turbulence. Moreover, the one-year 99.9% soundness standard is in accordance with the standard that is applied in the banking book (the internal ratings-based model).</w:t>
      </w:r>
    </w:p>
    <w:p w:rsidR="001C7C52" w:rsidRPr="00802C03" w:rsidRDefault="001C7C52" w:rsidP="009E1C4A">
      <w:pPr>
        <w:spacing w:line="160" w:lineRule="exact"/>
        <w:jc w:val="both"/>
        <w:rPr>
          <w:rFonts w:ascii="Garamond" w:hAnsi="Garamond"/>
          <w:b/>
          <w:lang w:val="en-GB"/>
        </w:rPr>
      </w:pP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 xml:space="preserve">Stressed credit market events have shown that banks cannot assume that market remain liquid under those conditions. Banks experienced significant illiquidity in a wide range of credit products held in the trading book. Banks should therefore pay particular attention to the appropriate liquidity horizon assumption in their incremental risk model. For this purpose, the Basel Committee introduces the concept of the liquidity horizon. The liquidity horizon represents the time required to sell the position or to hedge all material risks covered by the incremental risk model in stressed market conditions. </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The floor of the liquidity horizon is set to three months. Furthermore, within a given product type a non-investment grade position is expected to have a longer assumed liquidity horizon than an investment grade position. Conservative assumptions regarding non-investment grade positions are warranted, until further evidence is gained regarding the market’s liquidity in period of systematic and idiosyncratic stress. Banks should also use conservative assumptions, regardless of the credit rating, for positions where the secondary market liquidity is not deep, during periods of financial market volatility and investor aversion. The application of prudent liquidity assumptions is particularly important for rapidly growing product classes that have not yet been tested in a downturn.</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The liquidity horizon is expected to be higher for positions that are concentrated, reflecting the longer period that is required to liquidate such positions. This is necessary to provide adequate capital against two types of concentration: issuer concentration and market concentration. A concentrated portfolio should attract a higher capital charge than a more granular portfolio. Concentrations that can arise within and across product classes under stressed conditions must also be reflected.</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In the application of the liquidity horizon, an incremental risk model must incorporate a constant level of risk assumption of the capital horizon. The constant risk level implies that a bank rebalances or rolls over its trading positions over the one-year capital horizon in a way that preserves the risk level, as indicated by a metric such as value-at-risk or the profile of the exposure by credit rating and concentration. This implies that positions with credit characteristics that have deteriorated or improved should be replaced in the process by positions with the initial risk level at the start of the liquidity horizon. Moreover, the rebalancing process should mainly be dependent on the liquidity horizon of the position. In summary, the incremental risk model must be configured such that the positions are rebalanced to their initial risk level at the end of their liquidity horizons.</w:t>
      </w:r>
    </w:p>
    <w:p w:rsidR="001C7C52" w:rsidRPr="00802C03" w:rsidRDefault="001C7C52" w:rsidP="00E17C8F">
      <w:pPr>
        <w:spacing w:line="160" w:lineRule="exact"/>
        <w:jc w:val="both"/>
        <w:rPr>
          <w:rFonts w:ascii="Garamond" w:hAnsi="Garamond"/>
          <w:b/>
          <w:lang w:val="en-GB"/>
        </w:rPr>
      </w:pP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In addition, correlations between default and migration events should be incorporated in the incremental risk model, as financial and economic dependence amongst obligors tends to generate clusters of default and migration events during economic recessions (i.e. the bottom of the business or credit cycle). Consequently, the Incremental Risk Capital Charge must include the impact of correlations between default and migration events amongst obligors.</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 xml:space="preserve">Furthermore, the Basel Committee argues that the impact of diversification between default and migration risks in the trading book and other risks in the trading books is currently not well understood and should therefore not be captured by the incremental risk model. This is consistent with the Basel II Framework, which does not allow for diversification benefits when capital requirements regarding market risk and credit risk are combined. Accordingly, the capital charge for incremental risk is added to the value-at-risk-based capital charge for market risk. </w:t>
      </w:r>
    </w:p>
    <w:p w:rsidR="001C7C52" w:rsidRPr="00802C03" w:rsidRDefault="001C7C52" w:rsidP="00E17C8F">
      <w:pPr>
        <w:spacing w:line="160" w:lineRule="exact"/>
        <w:jc w:val="both"/>
        <w:rPr>
          <w:rFonts w:ascii="Garamond" w:hAnsi="Garamond"/>
          <w:lang w:val="en-GB"/>
        </w:rPr>
      </w:pP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In the model validation context, the validation principles in the Basel II Framework, regarding designing, maintaining and testing the model, should be applied. This includes evaluating conceptual soundness, ongoing monitoring that includes process verification and benchmarking, and outcome analysis.</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 xml:space="preserve">Liquidity horizons should reflect actual practice and experience during periods of both systematic and idiosyncratic stress. The model that measures default and migration risks should take objective data into account over the relevant horizon and should include a comparison of risks estimated for a rebalanced portfolio with that of one with fixed positions. </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Correlation assumptions must be supported by analysis of objective data. In a multi-period model, the bank should evaluate the implied correlations to ensure that they are reasonably in line with observed annual correlations. It has to be validated that the model</w:t>
      </w:r>
      <w:r>
        <w:rPr>
          <w:rFonts w:ascii="Garamond" w:hAnsi="Garamond"/>
          <w:lang w:val="en-GB"/>
        </w:rPr>
        <w:t>l</w:t>
      </w:r>
      <w:r w:rsidRPr="00802C03">
        <w:rPr>
          <w:rFonts w:ascii="Garamond" w:hAnsi="Garamond"/>
          <w:lang w:val="en-GB"/>
        </w:rPr>
        <w:t>ing approach for correlations is appropriate for the banks portfolio.</w:t>
      </w:r>
    </w:p>
    <w:p w:rsidR="001C7C52" w:rsidRPr="00802C03" w:rsidRDefault="001C7C52" w:rsidP="00FA7804">
      <w:pPr>
        <w:spacing w:line="280" w:lineRule="exact"/>
        <w:jc w:val="both"/>
        <w:rPr>
          <w:rFonts w:ascii="Garamond" w:hAnsi="Garamond"/>
          <w:lang w:val="en-GB"/>
        </w:rPr>
      </w:pPr>
      <w:r w:rsidRPr="00802C03">
        <w:rPr>
          <w:rFonts w:ascii="Garamond" w:hAnsi="Garamond"/>
          <w:lang w:val="en-GB"/>
        </w:rPr>
        <w:t xml:space="preserve">Backtesting regarding the 99.9% one-year soundness standard is not possible. Consequently, validation of the incremental risk model must rely more heavily on indirect methods including but not limited to stress tests, sensitivity analysis and scenario analysis, to assess its qualitative and quantitative reasonableness (particularly with regard to the models treatment of concentrations). Such tests should not be limited to a range of historical events. </w:t>
      </w:r>
    </w:p>
    <w:p w:rsidR="001C7C52" w:rsidRPr="00802C03" w:rsidRDefault="001C7C52" w:rsidP="00FA7804">
      <w:pPr>
        <w:spacing w:line="280" w:lineRule="exact"/>
        <w:jc w:val="both"/>
        <w:rPr>
          <w:rFonts w:ascii="Garamond" w:hAnsi="Garamond"/>
          <w:lang w:val="en-GB"/>
        </w:rPr>
      </w:pPr>
      <w:r w:rsidRPr="00802C03">
        <w:rPr>
          <w:rFonts w:ascii="Garamond" w:hAnsi="Garamond"/>
          <w:lang w:val="en-GB"/>
        </w:rPr>
        <w:t>The validation of a model represents an ongoing process in which supervisors and banks jointly determine the exact set of validation procedures to be employed. Banks should develop relevant internal mode</w:t>
      </w:r>
      <w:r>
        <w:rPr>
          <w:rFonts w:ascii="Garamond" w:hAnsi="Garamond"/>
          <w:lang w:val="en-GB"/>
        </w:rPr>
        <w:t>l</w:t>
      </w:r>
      <w:r w:rsidRPr="00802C03">
        <w:rPr>
          <w:rFonts w:ascii="Garamond" w:hAnsi="Garamond"/>
          <w:lang w:val="en-GB"/>
        </w:rPr>
        <w:t xml:space="preserve">ling benchmarks to assess the overall accuracy of their incremental risk models. </w:t>
      </w:r>
    </w:p>
    <w:p w:rsidR="001C7C52" w:rsidRPr="00802C03" w:rsidRDefault="001C7C52" w:rsidP="0033263B">
      <w:pPr>
        <w:spacing w:line="280" w:lineRule="exact"/>
        <w:jc w:val="both"/>
        <w:rPr>
          <w:rFonts w:ascii="Garamond" w:hAnsi="Garamond" w:cs="NimbusRomNo9L-Regu"/>
          <w:lang w:val="en-GB" w:eastAsia="nl-NL"/>
        </w:rPr>
      </w:pPr>
    </w:p>
    <w:tbl>
      <w:tblPr>
        <w:tblW w:w="2920" w:type="dxa"/>
        <w:tblInd w:w="-1276" w:type="dxa"/>
        <w:tblLayout w:type="fixed"/>
        <w:tblCellMar>
          <w:left w:w="0" w:type="dxa"/>
          <w:right w:w="0" w:type="dxa"/>
        </w:tblCellMar>
        <w:tblLook w:val="00A0"/>
      </w:tblPr>
      <w:tblGrid>
        <w:gridCol w:w="709"/>
        <w:gridCol w:w="567"/>
        <w:gridCol w:w="1644"/>
      </w:tblGrid>
      <w:tr w:rsidR="001C7C52" w:rsidRPr="00802C03"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1.2</w:t>
            </w:r>
          </w:p>
        </w:tc>
        <w:tc>
          <w:tcPr>
            <w:tcW w:w="1644" w:type="dxa"/>
          </w:tcPr>
          <w:p w:rsidR="001C7C52" w:rsidRPr="002E2E49" w:rsidRDefault="001C7C52" w:rsidP="002E2E49">
            <w:pPr>
              <w:spacing w:line="280" w:lineRule="exact"/>
              <w:jc w:val="both"/>
              <w:rPr>
                <w:rFonts w:ascii="Garamond" w:hAnsi="Garamond" w:cs="NimbusRomNo9L-Regu"/>
                <w:lang w:val="en-GB" w:eastAsia="nl-NL"/>
              </w:rPr>
            </w:pPr>
            <w:bookmarkStart w:id="4" w:name="S120"/>
            <w:bookmarkEnd w:id="4"/>
            <w:r w:rsidRPr="002E2E49">
              <w:rPr>
                <w:rFonts w:ascii="Garamond" w:hAnsi="Garamond" w:cs="NimbusRomNo9L-Regu"/>
                <w:b/>
                <w:lang w:val="en-GB" w:eastAsia="nl-NL"/>
              </w:rPr>
              <w:t>S</w:t>
            </w:r>
            <w:r w:rsidRPr="002E2E49">
              <w:rPr>
                <w:rFonts w:ascii="Garamond" w:hAnsi="Garamond" w:cs="NimbusRomNo9L-Regu"/>
                <w:b/>
                <w:sz w:val="18"/>
                <w:szCs w:val="18"/>
                <w:lang w:val="en-GB" w:eastAsia="nl-NL"/>
              </w:rPr>
              <w:t>TARTING</w:t>
            </w:r>
            <w:r w:rsidRPr="002E2E49">
              <w:rPr>
                <w:rFonts w:ascii="Garamond" w:hAnsi="Garamond" w:cs="NimbusRomNo9L-Regu"/>
                <w:b/>
                <w:lang w:val="en-GB" w:eastAsia="nl-NL"/>
              </w:rPr>
              <w:t xml:space="preserve"> P</w:t>
            </w:r>
            <w:r w:rsidRPr="002E2E49">
              <w:rPr>
                <w:rFonts w:ascii="Garamond" w:hAnsi="Garamond" w:cs="NimbusRomNo9L-Regu"/>
                <w:b/>
                <w:sz w:val="18"/>
                <w:szCs w:val="18"/>
                <w:lang w:val="en-GB" w:eastAsia="nl-NL"/>
              </w:rPr>
              <w:t>OINT</w:t>
            </w:r>
          </w:p>
        </w:tc>
      </w:tr>
    </w:tbl>
    <w:p w:rsidR="001C7C52" w:rsidRPr="00802C03" w:rsidRDefault="001C7C52" w:rsidP="005B3319">
      <w:pPr>
        <w:tabs>
          <w:tab w:val="left" w:pos="851"/>
        </w:tabs>
        <w:spacing w:before="160" w:line="280" w:lineRule="exact"/>
        <w:jc w:val="both"/>
        <w:rPr>
          <w:rFonts w:ascii="Garamond" w:hAnsi="Garamond" w:cs="NimbusRomNo9L-Regu"/>
          <w:lang w:val="en-GB" w:eastAsia="nl-NL"/>
        </w:rPr>
      </w:pPr>
      <w:r w:rsidRPr="00802C03">
        <w:rPr>
          <w:rFonts w:ascii="Garamond" w:hAnsi="Garamond" w:cs="NimbusRomNo9L-Regu"/>
          <w:lang w:val="en-GB" w:eastAsia="nl-NL"/>
        </w:rPr>
        <w:t>The guidelines and requirements presented in the previous section form a general regulatory setting on which the incremental risk model must be built. In the model</w:t>
      </w:r>
      <w:r>
        <w:rPr>
          <w:rFonts w:ascii="Garamond" w:hAnsi="Garamond" w:cs="NimbusRomNo9L-Regu"/>
          <w:lang w:val="en-GB" w:eastAsia="nl-NL"/>
        </w:rPr>
        <w:t>l</w:t>
      </w:r>
      <w:r w:rsidRPr="00802C03">
        <w:rPr>
          <w:rFonts w:ascii="Garamond" w:hAnsi="Garamond" w:cs="NimbusRomNo9L-Regu"/>
          <w:lang w:val="en-GB" w:eastAsia="nl-NL"/>
        </w:rPr>
        <w:t xml:space="preserve">ing process, the first step is to construct a general model structure of the components and the links between these individual components within the incremental risk model. Subsequently, a technical credit risk model is required to form a technical starting point that can be modified in order to incorporate this general model structure (in terms of the migration risk, default risk and liquidity risk according to the guidelines and principles as defined in the Basel Committee’s proposal). </w:t>
      </w:r>
    </w:p>
    <w:p w:rsidR="001C7C52" w:rsidRPr="00802C03" w:rsidRDefault="001C7C52" w:rsidP="0033263B">
      <w:pPr>
        <w:tabs>
          <w:tab w:val="left" w:pos="851"/>
        </w:tabs>
        <w:spacing w:line="28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cs="NimbusRomNo9L-Regu"/>
          <w:b/>
          <w:lang w:val="en-GB" w:eastAsia="nl-NL"/>
        </w:rPr>
      </w:pPr>
      <w:r w:rsidRPr="00802C03">
        <w:rPr>
          <w:rFonts w:ascii="Garamond" w:hAnsi="Garamond" w:cs="NimbusRomNo9L-Regu"/>
          <w:b/>
          <w:lang w:val="en-GB" w:eastAsia="nl-NL"/>
        </w:rPr>
        <w:t>1.2.1</w:t>
      </w:r>
      <w:r w:rsidRPr="00802C03">
        <w:rPr>
          <w:rFonts w:ascii="Garamond" w:hAnsi="Garamond" w:cs="NimbusRomNo9L-Regu"/>
          <w:b/>
          <w:lang w:val="en-GB" w:eastAsia="nl-NL"/>
        </w:rPr>
        <w:tab/>
      </w:r>
      <w:bookmarkStart w:id="5" w:name="S121"/>
      <w:bookmarkEnd w:id="5"/>
      <w:r w:rsidRPr="00802C03">
        <w:rPr>
          <w:rFonts w:ascii="Garamond" w:hAnsi="Garamond" w:cs="NimbusRomNo9L-Regu"/>
          <w:b/>
          <w:lang w:val="en-GB" w:eastAsia="nl-NL"/>
        </w:rPr>
        <w:t>General Structure of the Incremental Risk Model</w:t>
      </w:r>
    </w:p>
    <w:p w:rsidR="001C7C52" w:rsidRPr="00802C03" w:rsidRDefault="001C7C52" w:rsidP="00B837F1">
      <w:pPr>
        <w:spacing w:line="280" w:lineRule="exact"/>
        <w:jc w:val="both"/>
        <w:rPr>
          <w:rFonts w:ascii="Garamond" w:hAnsi="Garamond" w:cs="NimbusRomNo9L-Regu"/>
          <w:lang w:val="en-GB" w:eastAsia="nl-NL"/>
        </w:rPr>
      </w:pPr>
      <w:hyperlink w:anchor="F1" w:history="1">
        <w:r w:rsidRPr="00802C03">
          <w:rPr>
            <w:rStyle w:val="Hyperlink"/>
            <w:rFonts w:ascii="Garamond" w:hAnsi="Garamond" w:cs="NimbusRomNo9L-Regu"/>
            <w:color w:val="000066"/>
            <w:u w:val="none"/>
            <w:lang w:val="en-GB" w:eastAsia="nl-NL"/>
          </w:rPr>
          <w:t>Figure I</w:t>
        </w:r>
      </w:hyperlink>
      <w:r w:rsidRPr="00802C03">
        <w:rPr>
          <w:rFonts w:ascii="Garamond" w:hAnsi="Garamond" w:cs="NimbusRomNo9L-Regu"/>
          <w:lang w:val="en-GB" w:eastAsia="nl-NL"/>
        </w:rPr>
        <w:t xml:space="preserve"> (on the next page) incorporates the most imperative model requirements into the general model structure. It displays the likely relations between the components, generating the shape that the incremental risk model should take on. </w:t>
      </w:r>
      <w:r w:rsidRPr="00802C03">
        <w:rPr>
          <w:rFonts w:ascii="Garamond" w:hAnsi="Garamond"/>
          <w:lang w:val="en-GB"/>
        </w:rPr>
        <w:t>In essence, all unsecuritized credit products in the trading book of the bank (the portfolio) must be assessed in the model. All these positions have individual characteristics: the exposure, the migration and default probabilities, the expected losses on the positions due to default or due to migration and lastly, the liquidity horizon of the position. Together, these characteristics generate the primary description of the counterparty migration and default risk of the individual positions in a way that is consistent with the specifications prescribed by the Basel Committee. The second important aspect that a model of this kind should comprise is the interaction between those individual risks. These relations must to be model</w:t>
      </w:r>
      <w:r>
        <w:rPr>
          <w:rFonts w:ascii="Garamond" w:hAnsi="Garamond"/>
          <w:lang w:val="en-GB"/>
        </w:rPr>
        <w:t>l</w:t>
      </w:r>
      <w:r w:rsidRPr="00802C03">
        <w:rPr>
          <w:rFonts w:ascii="Garamond" w:hAnsi="Garamond"/>
          <w:lang w:val="en-GB"/>
        </w:rPr>
        <w:t>ed, using the correlations between the credit quality levels of the underlying issuers, to address the default and migration risk incremental to the entire portfolio. Moreover, the correlations between the issuers can produce issuer concentrations or market concentrations, which in their turn must be reflected in the liquidity horizons of these respective positions.</w:t>
      </w:r>
    </w:p>
    <w:p w:rsidR="001C7C52" w:rsidRPr="00802C03" w:rsidRDefault="001C7C52" w:rsidP="00AA2005">
      <w:pPr>
        <w:spacing w:line="280" w:lineRule="exact"/>
        <w:jc w:val="both"/>
        <w:rPr>
          <w:rFonts w:ascii="Garamond" w:hAnsi="Garamond"/>
          <w:lang w:val="en-GB"/>
        </w:rPr>
      </w:pPr>
      <w:r w:rsidRPr="00802C03">
        <w:rPr>
          <w:rFonts w:ascii="Garamond" w:hAnsi="Garamond"/>
          <w:lang w:val="en-GB"/>
        </w:rPr>
        <w:t xml:space="preserve">Subsequently, in the derivation of the eventual Incremental Risk Capital Charge, the constant level of risk assumption must be taken into account. In essence, the Incremental Risk Capital Charge is nothing more than a one-year 99.9% value-at-risk measure. This constant level of risk assumption sets forth the requirements that the underlying model must meet in order to combine </w:t>
      </w:r>
      <w:r>
        <w:rPr>
          <w:rFonts w:ascii="Garamond" w:hAnsi="Garamond"/>
          <w:lang w:val="en-GB"/>
        </w:rPr>
        <w:t>the</w:t>
      </w:r>
      <w:r w:rsidRPr="00802C03">
        <w:rPr>
          <w:rFonts w:ascii="Garamond" w:hAnsi="Garamond"/>
          <w:lang w:val="en-GB"/>
        </w:rPr>
        <w:t xml:space="preserve"> </w:t>
      </w:r>
      <w:r>
        <w:rPr>
          <w:rFonts w:ascii="Garamond" w:hAnsi="Garamond"/>
          <w:lang w:val="en-GB"/>
        </w:rPr>
        <w:t>consecutive</w:t>
      </w:r>
      <w:r w:rsidRPr="00802C03">
        <w:rPr>
          <w:rFonts w:ascii="Garamond" w:hAnsi="Garamond"/>
          <w:lang w:val="en-GB"/>
        </w:rPr>
        <w:t xml:space="preserve"> liquidity horizons of all positions in the portfolio into the single capital horizon of one year. The structure that is required to achieve this should depend mainly on the liquidity horizons of the positions in the model, since they must be the driving factors behind effects of the constant level of risk assumption. Obviously, the assumption affects the way issuer correlations are model</w:t>
      </w:r>
      <w:r>
        <w:rPr>
          <w:rFonts w:ascii="Garamond" w:hAnsi="Garamond"/>
          <w:lang w:val="en-GB"/>
        </w:rPr>
        <w:t>l</w:t>
      </w:r>
      <w:r w:rsidRPr="00802C03">
        <w:rPr>
          <w:rFonts w:ascii="Garamond" w:hAnsi="Garamond"/>
          <w:lang w:val="en-GB"/>
        </w:rPr>
        <w:t xml:space="preserve">ed, </w:t>
      </w:r>
      <w:r>
        <w:rPr>
          <w:rFonts w:ascii="Garamond" w:hAnsi="Garamond"/>
          <w:lang w:val="en-GB"/>
        </w:rPr>
        <w:t>al</w:t>
      </w:r>
      <w:r w:rsidRPr="00802C03">
        <w:rPr>
          <w:rFonts w:ascii="Garamond" w:hAnsi="Garamond"/>
          <w:lang w:val="en-GB"/>
        </w:rPr>
        <w:t>though this aspect is a practical or technical issue.</w:t>
      </w:r>
    </w:p>
    <w:p w:rsidR="001C7C52" w:rsidRPr="00802C03" w:rsidRDefault="001C7C52" w:rsidP="00AA2005">
      <w:pPr>
        <w:spacing w:line="160" w:lineRule="exact"/>
        <w:jc w:val="both"/>
        <w:rPr>
          <w:rFonts w:ascii="Garamond" w:hAnsi="Garamond"/>
          <w:lang w:val="en-GB"/>
        </w:rPr>
      </w:pPr>
    </w:p>
    <w:p w:rsidR="001C7C52" w:rsidRPr="00802C03" w:rsidRDefault="001C7C52" w:rsidP="00AA2005">
      <w:pPr>
        <w:spacing w:line="280" w:lineRule="exact"/>
        <w:jc w:val="both"/>
        <w:rPr>
          <w:rFonts w:ascii="Garamond" w:hAnsi="Garamond"/>
          <w:lang w:val="en-GB"/>
        </w:rPr>
      </w:pPr>
      <w:r w:rsidRPr="00802C03">
        <w:rPr>
          <w:rFonts w:ascii="Garamond" w:hAnsi="Garamond"/>
          <w:lang w:val="en-GB"/>
        </w:rPr>
        <w:t>Besides this general structure, a technical approach is required, as there are many viable approaches in the subject of portfolio credit risk.</w:t>
      </w:r>
      <w:r w:rsidRPr="00802C03">
        <w:rPr>
          <w:rStyle w:val="FootnoteReference"/>
          <w:rFonts w:ascii="Garamond" w:hAnsi="Garamond"/>
          <w:lang w:val="en-GB"/>
        </w:rPr>
        <w:footnoteReference w:id="13"/>
      </w:r>
      <w:r w:rsidRPr="00802C03">
        <w:rPr>
          <w:rFonts w:ascii="Garamond" w:hAnsi="Garamond"/>
          <w:lang w:val="en-GB"/>
        </w:rPr>
        <w:t xml:space="preserve"> The model handles the two key credit risk aspects, default and migration risk, and therefore the eventual portfolio value distribution is expected to be highly asymmetric and is not likely to be assessable with a distribution assumption of any kind. Consequently, simulation is the only feasible approach in the estimation of an eventual portfolio value distribution. </w:t>
      </w:r>
    </w:p>
    <w:p w:rsidR="001C7C52" w:rsidRPr="00802C03" w:rsidRDefault="001C7C52" w:rsidP="00AA2005">
      <w:pPr>
        <w:spacing w:line="280" w:lineRule="exact"/>
        <w:jc w:val="both"/>
        <w:rPr>
          <w:rFonts w:ascii="Garamond" w:hAnsi="Garamond"/>
          <w:lang w:val="en-GB"/>
        </w:rPr>
      </w:pPr>
      <w:r w:rsidRPr="00802C03">
        <w:rPr>
          <w:rFonts w:ascii="Garamond" w:hAnsi="Garamond"/>
          <w:lang w:val="en-GB"/>
        </w:rPr>
        <w:t xml:space="preserve">The first well known application of the portfolio credit risk subject in this form is provided in the almost classical </w:t>
      </w:r>
      <w:r w:rsidRPr="00802C03">
        <w:rPr>
          <w:rFonts w:ascii="Garamond" w:hAnsi="Garamond"/>
          <w:i/>
          <w:lang w:val="en-GB"/>
        </w:rPr>
        <w:t>Technical Document</w:t>
      </w:r>
      <w:r w:rsidRPr="00802C03">
        <w:rPr>
          <w:rFonts w:ascii="Garamond" w:hAnsi="Garamond"/>
          <w:lang w:val="en-GB"/>
        </w:rPr>
        <w:t xml:space="preserve"> of CreditMetrics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The approach presented in this document is straightforward and is intuitively appealing. One could argue that it marked the start of model</w:t>
      </w:r>
      <w:r>
        <w:rPr>
          <w:rFonts w:ascii="Garamond" w:hAnsi="Garamond"/>
          <w:lang w:val="en-GB"/>
        </w:rPr>
        <w:t>l</w:t>
      </w:r>
      <w:r w:rsidRPr="00802C03">
        <w:rPr>
          <w:rFonts w:ascii="Garamond" w:hAnsi="Garamond"/>
          <w:lang w:val="en-GB"/>
        </w:rPr>
        <w:t>ing credit and migration risk in a portfolio setting in a general portfolio form. The incremental risk model that is constructed in this study will be a modified or extended version of this particular credit risk model. Basically, the CreditMetrics model is tailored to fit the Basel Committee guidelines. In this process, the original idea and intuition behind the model will be preserved to a great extent.</w:t>
      </w:r>
    </w:p>
    <w:tbl>
      <w:tblPr>
        <w:tblW w:w="943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434"/>
      </w:tblGrid>
      <w:tr w:rsidR="001C7C52" w:rsidRPr="000B0ADE" w:rsidTr="004C37CB">
        <w:tc>
          <w:tcPr>
            <w:tcW w:w="9434" w:type="dxa"/>
            <w:tcBorders>
              <w:top w:val="nil"/>
              <w:left w:val="nil"/>
              <w:bottom w:val="single" w:sz="4" w:space="0" w:color="auto"/>
              <w:right w:val="nil"/>
            </w:tcBorders>
            <w:vAlign w:val="center"/>
          </w:tcPr>
          <w:p w:rsidR="001C7C52" w:rsidRPr="00802C03" w:rsidRDefault="001C7C52" w:rsidP="00E74C7C">
            <w:pPr>
              <w:spacing w:line="240" w:lineRule="auto"/>
              <w:rPr>
                <w:rFonts w:ascii="Garamond" w:hAnsi="Garamond"/>
                <w:sz w:val="18"/>
                <w:szCs w:val="18"/>
                <w:lang w:val="en-GB"/>
              </w:rPr>
            </w:pPr>
            <w:bookmarkStart w:id="6" w:name="F1"/>
            <w:bookmarkEnd w:id="6"/>
            <w:r w:rsidRPr="00802C03">
              <w:rPr>
                <w:rFonts w:ascii="Garamond" w:hAnsi="Garamond"/>
                <w:b/>
                <w:lang w:val="en-GB"/>
              </w:rPr>
              <w:t>F</w:t>
            </w:r>
            <w:r w:rsidRPr="00802C03">
              <w:rPr>
                <w:rFonts w:ascii="Garamond" w:hAnsi="Garamond"/>
                <w:b/>
                <w:sz w:val="18"/>
                <w:szCs w:val="18"/>
                <w:lang w:val="en-GB"/>
              </w:rPr>
              <w:t>IGURE</w:t>
            </w:r>
            <w:r w:rsidRPr="00802C03">
              <w:rPr>
                <w:rFonts w:ascii="Garamond" w:hAnsi="Garamond"/>
                <w:b/>
                <w:lang w:val="en-GB"/>
              </w:rPr>
              <w:t xml:space="preserve"> I </w:t>
            </w:r>
            <w:r w:rsidRPr="00802C03">
              <w:rPr>
                <w:rFonts w:ascii="Garamond" w:hAnsi="Garamond"/>
                <w:lang w:val="en-GB"/>
              </w:rPr>
              <w:t>-</w:t>
            </w:r>
            <w:r w:rsidRPr="00802C03">
              <w:rPr>
                <w:rFonts w:ascii="Garamond" w:hAnsi="Garamond"/>
                <w:b/>
                <w:lang w:val="en-GB"/>
              </w:rPr>
              <w:t xml:space="preserve"> </w:t>
            </w:r>
            <w:r w:rsidRPr="00802C03">
              <w:rPr>
                <w:rFonts w:ascii="Garamond" w:hAnsi="Garamond"/>
                <w:sz w:val="20"/>
                <w:lang w:val="en-GB"/>
              </w:rPr>
              <w:t>General Structure of the Incremental Risk Model</w:t>
            </w:r>
          </w:p>
        </w:tc>
      </w:tr>
      <w:tr w:rsidR="001C7C52" w:rsidRPr="000B0ADE" w:rsidTr="004C37CB">
        <w:tc>
          <w:tcPr>
            <w:tcW w:w="9434" w:type="dxa"/>
            <w:tcBorders>
              <w:top w:val="single" w:sz="4" w:space="0" w:color="auto"/>
              <w:left w:val="nil"/>
              <w:bottom w:val="nil"/>
              <w:right w:val="nil"/>
            </w:tcBorders>
            <w:vAlign w:val="center"/>
          </w:tcPr>
          <w:p w:rsidR="001C7C52" w:rsidRPr="00802C03" w:rsidRDefault="001C7C52" w:rsidP="003F4E41">
            <w:pPr>
              <w:spacing w:line="200" w:lineRule="exact"/>
              <w:rPr>
                <w:rFonts w:ascii="Garamond" w:hAnsi="Garamond"/>
                <w:b/>
                <w:lang w:val="en-GB"/>
              </w:rPr>
            </w:pPr>
          </w:p>
        </w:tc>
      </w:tr>
    </w:tbl>
    <w:p w:rsidR="001C7C52" w:rsidRPr="00802C03" w:rsidRDefault="001C7C52" w:rsidP="003F4E41">
      <w:pPr>
        <w:jc w:val="center"/>
        <w:rPr>
          <w:rFonts w:ascii="Garamond" w:hAnsi="Garamond"/>
          <w:b/>
          <w:lang w:val="en-GB"/>
        </w:rPr>
      </w:pPr>
      <w:r>
        <w:rPr>
          <w:noProof/>
          <w:lang w:val="en-US"/>
        </w:rPr>
      </w:r>
      <w:r w:rsidRPr="005E2D6F">
        <w:rPr>
          <w:i/>
          <w:iCs/>
          <w:lang w:val="en-GB"/>
        </w:rPr>
        <w:pict>
          <v:group id="_x0000_s1051" editas="canvas" style="width:397.6pt;height:322.45pt;mso-position-horizontal-relative:char;mso-position-vertical-relative:line" coordorigin="2873,2197" coordsize="6312,5119">
            <o:lock v:ext="edit" aspectratio="t"/>
            <v:shape id="_x0000_s1052" type="#_x0000_t75" style="position:absolute;left:2873;top:2197;width:6312;height:5119" o:preferrelative="f">
              <v:fill o:detectmouseclick="t"/>
              <v:path o:extrusionok="t" o:connecttype="none"/>
              <o:lock v:ext="edit" text="t"/>
            </v:shape>
            <v:roundrect id="_x0000_s1053" style="position:absolute;left:5354;top:2266;width:1339;height:829;v-text-anchor:middle" arcsize="10923f">
              <v:textbox style="mso-next-textbox:#_x0000_s1053">
                <w:txbxContent>
                  <w:p w:rsidR="001C7C52" w:rsidRPr="00534F96" w:rsidRDefault="001C7C52" w:rsidP="003F4E41">
                    <w:pPr>
                      <w:spacing w:line="276" w:lineRule="auto"/>
                      <w:jc w:val="center"/>
                      <w:rPr>
                        <w:rFonts w:ascii="Garamond" w:hAnsi="Garamond"/>
                        <w:sz w:val="18"/>
                        <w:szCs w:val="18"/>
                        <w:lang w:val="en-US"/>
                      </w:rPr>
                    </w:pPr>
                    <w:r w:rsidRPr="00534F96">
                      <w:rPr>
                        <w:rFonts w:ascii="Garamond" w:hAnsi="Garamond"/>
                        <w:sz w:val="18"/>
                        <w:szCs w:val="18"/>
                        <w:lang w:val="en-US"/>
                      </w:rPr>
                      <w:t>All unsecuritized credit products in the trading book</w:t>
                    </w:r>
                  </w:p>
                </w:txbxContent>
              </v:textbox>
            </v:roundrect>
            <v:roundrect id="_x0000_s1054" style="position:absolute;left:3367;top:2787;width:1493;height:308;v-text-anchor:middle" arcsize="10923f">
              <v:textbox style="mso-next-textbox:#_x0000_s1054">
                <w:txbxContent>
                  <w:p w:rsidR="001C7C52" w:rsidRPr="00C97A83" w:rsidRDefault="001C7C52" w:rsidP="003F4E41">
                    <w:pPr>
                      <w:spacing w:line="240" w:lineRule="auto"/>
                      <w:jc w:val="center"/>
                      <w:rPr>
                        <w:rFonts w:ascii="Garamond" w:hAnsi="Garamond"/>
                        <w:sz w:val="18"/>
                        <w:szCs w:val="18"/>
                        <w:lang w:val="en-US"/>
                      </w:rPr>
                    </w:pPr>
                    <w:r w:rsidRPr="00C97A83">
                      <w:rPr>
                        <w:rFonts w:ascii="Garamond" w:hAnsi="Garamond"/>
                        <w:sz w:val="18"/>
                        <w:szCs w:val="18"/>
                        <w:lang w:val="en-US"/>
                      </w:rPr>
                      <w:t>Loss due to default</w:t>
                    </w:r>
                  </w:p>
                </w:txbxContent>
              </v:textbox>
            </v:roundrect>
            <v:roundrect id="_x0000_s1055" style="position:absolute;left:7188;top:2787;width:1493;height:308;v-text-anchor:middle" arcsize="10923f">
              <v:textbox style="mso-next-textbox:#_x0000_s1055">
                <w:txbxContent>
                  <w:p w:rsidR="001C7C52" w:rsidRPr="00534F96" w:rsidRDefault="001C7C52" w:rsidP="003F4E41">
                    <w:pPr>
                      <w:spacing w:line="240" w:lineRule="auto"/>
                      <w:jc w:val="center"/>
                      <w:rPr>
                        <w:rFonts w:ascii="Garamond" w:hAnsi="Garamond"/>
                        <w:sz w:val="18"/>
                        <w:szCs w:val="18"/>
                      </w:rPr>
                    </w:pPr>
                    <w:r w:rsidRPr="00534F96">
                      <w:rPr>
                        <w:rFonts w:ascii="Garamond" w:hAnsi="Garamond"/>
                        <w:sz w:val="18"/>
                        <w:szCs w:val="18"/>
                      </w:rPr>
                      <w:t xml:space="preserve">Loss </w:t>
                    </w:r>
                    <w:r w:rsidRPr="00C97A83">
                      <w:rPr>
                        <w:rFonts w:ascii="Garamond" w:hAnsi="Garamond"/>
                        <w:sz w:val="18"/>
                        <w:szCs w:val="18"/>
                        <w:lang w:val="en-US"/>
                      </w:rPr>
                      <w:t>due to migration</w:t>
                    </w:r>
                  </w:p>
                </w:txbxContent>
              </v:textbox>
            </v:roundrect>
            <v:roundrect id="_x0000_s1056" style="position:absolute;left:7589;top:2268;width:1541;height:308;v-text-anchor:middle" arcsize="10923f">
              <v:textbox style="mso-next-textbox:#_x0000_s1056">
                <w:txbxContent>
                  <w:p w:rsidR="001C7C52" w:rsidRPr="00C97A83" w:rsidRDefault="001C7C52" w:rsidP="003F4E41">
                    <w:pPr>
                      <w:spacing w:line="240" w:lineRule="auto"/>
                      <w:jc w:val="center"/>
                      <w:rPr>
                        <w:rFonts w:ascii="Garamond" w:hAnsi="Garamond"/>
                        <w:sz w:val="18"/>
                        <w:szCs w:val="18"/>
                        <w:lang w:val="en-US"/>
                      </w:rPr>
                    </w:pPr>
                    <w:r w:rsidRPr="00C97A83">
                      <w:rPr>
                        <w:rFonts w:ascii="Garamond" w:hAnsi="Garamond"/>
                        <w:sz w:val="18"/>
                        <w:szCs w:val="18"/>
                        <w:lang w:val="en-US"/>
                      </w:rPr>
                      <w:t>Migration probabilities</w:t>
                    </w:r>
                  </w:p>
                </w:txbxContent>
              </v:textbox>
            </v:roundrect>
            <v:roundrect id="_x0000_s1057" style="position:absolute;left:2929;top:2266;width:1540;height:308;v-text-anchor:middle" arcsize="10923f">
              <v:textbox style="mso-next-textbox:#_x0000_s1057">
                <w:txbxContent>
                  <w:p w:rsidR="001C7C52" w:rsidRPr="00C97A83" w:rsidRDefault="001C7C52" w:rsidP="003F4E41">
                    <w:pPr>
                      <w:spacing w:line="240" w:lineRule="auto"/>
                      <w:jc w:val="center"/>
                      <w:rPr>
                        <w:rFonts w:ascii="Garamond" w:hAnsi="Garamond"/>
                        <w:sz w:val="18"/>
                        <w:szCs w:val="18"/>
                        <w:lang w:val="en-US"/>
                      </w:rPr>
                    </w:pPr>
                    <w:r w:rsidRPr="00C97A83">
                      <w:rPr>
                        <w:rFonts w:ascii="Garamond" w:hAnsi="Garamond"/>
                        <w:sz w:val="18"/>
                        <w:szCs w:val="18"/>
                        <w:lang w:val="en-US"/>
                      </w:rPr>
                      <w:t>Default probabilities</w:t>
                    </w:r>
                  </w:p>
                </w:txbxContent>
              </v:textbox>
            </v:roundrect>
            <v:roundrect id="_x0000_s1058" style="position:absolute;left:5100;top:3350;width:979;height:308;v-text-anchor:middle" arcsize="10923f">
              <v:textbox style="mso-next-textbox:#_x0000_s1058">
                <w:txbxContent>
                  <w:p w:rsidR="001C7C52" w:rsidRPr="00C97A83" w:rsidRDefault="001C7C52" w:rsidP="003F4E41">
                    <w:pPr>
                      <w:spacing w:line="240" w:lineRule="auto"/>
                      <w:jc w:val="center"/>
                      <w:rPr>
                        <w:rFonts w:ascii="Garamond" w:hAnsi="Garamond"/>
                        <w:sz w:val="18"/>
                        <w:szCs w:val="18"/>
                        <w:lang w:val="en-US"/>
                      </w:rPr>
                    </w:pPr>
                    <w:r w:rsidRPr="00C97A83">
                      <w:rPr>
                        <w:rFonts w:ascii="Garamond" w:hAnsi="Garamond"/>
                        <w:sz w:val="18"/>
                        <w:szCs w:val="18"/>
                        <w:lang w:val="en-US"/>
                      </w:rPr>
                      <w:t>Exposures</w:t>
                    </w:r>
                  </w:p>
                </w:txbxContent>
              </v:textbox>
            </v:roundrect>
            <v:roundrect id="_x0000_s1059" style="position:absolute;left:5354;top:3819;width:1339;height:306;v-text-anchor:middle" arcsize="10923f">
              <v:textbox style="mso-next-textbox:#_x0000_s1059">
                <w:txbxContent>
                  <w:p w:rsidR="001C7C52" w:rsidRPr="00534F96" w:rsidRDefault="001C7C52" w:rsidP="003F4E41">
                    <w:pPr>
                      <w:spacing w:line="276" w:lineRule="auto"/>
                      <w:jc w:val="center"/>
                      <w:rPr>
                        <w:rFonts w:ascii="Garamond" w:hAnsi="Garamond"/>
                        <w:sz w:val="18"/>
                        <w:szCs w:val="18"/>
                        <w:lang w:val="en-US"/>
                      </w:rPr>
                    </w:pPr>
                    <w:r>
                      <w:rPr>
                        <w:rFonts w:ascii="Garamond" w:hAnsi="Garamond"/>
                        <w:sz w:val="18"/>
                        <w:szCs w:val="18"/>
                        <w:lang w:val="en-US"/>
                      </w:rPr>
                      <w:t>Liquidity horizons</w:t>
                    </w:r>
                  </w:p>
                </w:txbxContent>
              </v:textbox>
            </v:roundrect>
            <v:roundrect id="_x0000_s1060" style="position:absolute;left:7791;top:3818;width:1339;height:307;v-text-anchor:middle" arcsize="10923f">
              <v:textbox style="mso-next-textbox:#_x0000_s1060">
                <w:txbxContent>
                  <w:p w:rsidR="001C7C52" w:rsidRPr="00534F96" w:rsidRDefault="001C7C52" w:rsidP="003F4E41">
                    <w:pPr>
                      <w:spacing w:line="276" w:lineRule="auto"/>
                      <w:jc w:val="center"/>
                      <w:rPr>
                        <w:rFonts w:ascii="Garamond" w:hAnsi="Garamond"/>
                        <w:sz w:val="18"/>
                        <w:szCs w:val="18"/>
                        <w:lang w:val="en-US"/>
                      </w:rPr>
                    </w:pPr>
                    <w:r>
                      <w:rPr>
                        <w:rFonts w:ascii="Garamond" w:hAnsi="Garamond"/>
                        <w:sz w:val="18"/>
                        <w:szCs w:val="18"/>
                        <w:lang w:val="en-US"/>
                      </w:rPr>
                      <w:t>Migration risk</w:t>
                    </w:r>
                  </w:p>
                </w:txbxContent>
              </v:textbox>
            </v:roundrect>
            <v:roundrect id="_x0000_s1061" style="position:absolute;left:2929;top:3819;width:1339;height:307;v-text-anchor:middle" arcsize="10923f">
              <v:textbox style="mso-next-textbox:#_x0000_s1061">
                <w:txbxContent>
                  <w:p w:rsidR="001C7C52" w:rsidRPr="00534F96" w:rsidRDefault="001C7C52" w:rsidP="003F4E41">
                    <w:pPr>
                      <w:spacing w:line="276" w:lineRule="auto"/>
                      <w:jc w:val="center"/>
                      <w:rPr>
                        <w:rFonts w:ascii="Garamond" w:hAnsi="Garamond"/>
                        <w:sz w:val="18"/>
                        <w:szCs w:val="18"/>
                        <w:lang w:val="en-US"/>
                      </w:rPr>
                    </w:pPr>
                    <w:r>
                      <w:rPr>
                        <w:rFonts w:ascii="Garamond" w:hAnsi="Garamond"/>
                        <w:sz w:val="18"/>
                        <w:szCs w:val="18"/>
                        <w:lang w:val="en-US"/>
                      </w:rPr>
                      <w:t>Default risk</w:t>
                    </w:r>
                  </w:p>
                </w:txbxContent>
              </v:textbox>
            </v:roundrect>
            <v:roundrect id="_x0000_s1062" style="position:absolute;left:5354;top:4271;width:1339;height:495;v-text-anchor:middle" arcsize="10923f">
              <v:textbox style="mso-next-textbox:#_x0000_s1062">
                <w:txbxContent>
                  <w:p w:rsidR="001C7C52" w:rsidRPr="00534F96" w:rsidRDefault="001C7C52" w:rsidP="003F4E41">
                    <w:pPr>
                      <w:spacing w:line="240" w:lineRule="auto"/>
                      <w:jc w:val="center"/>
                      <w:rPr>
                        <w:rFonts w:ascii="Garamond" w:hAnsi="Garamond"/>
                        <w:sz w:val="18"/>
                        <w:szCs w:val="18"/>
                        <w:lang w:val="en-US"/>
                      </w:rPr>
                    </w:pPr>
                    <w:r>
                      <w:rPr>
                        <w:rFonts w:ascii="Garamond" w:hAnsi="Garamond"/>
                        <w:sz w:val="18"/>
                        <w:szCs w:val="18"/>
                        <w:lang w:val="en-US"/>
                      </w:rPr>
                      <w:t>Issuer and market concentrations</w:t>
                    </w:r>
                  </w:p>
                </w:txbxContent>
              </v:textbox>
            </v:roundrect>
            <v:roundrect id="_x0000_s1063" style="position:absolute;left:5150;top:4911;width:1739;height:665;v-text-anchor:middle" arcsize="10923f">
              <v:textbox style="mso-next-textbox:#_x0000_s1063">
                <w:txbxContent>
                  <w:p w:rsidR="001C7C52" w:rsidRPr="00534F96" w:rsidRDefault="001C7C52" w:rsidP="003F4E41">
                    <w:pPr>
                      <w:spacing w:line="240" w:lineRule="auto"/>
                      <w:jc w:val="center"/>
                      <w:rPr>
                        <w:rFonts w:ascii="Garamond" w:hAnsi="Garamond"/>
                        <w:sz w:val="18"/>
                        <w:szCs w:val="18"/>
                        <w:lang w:val="en-US"/>
                      </w:rPr>
                    </w:pPr>
                    <w:r>
                      <w:rPr>
                        <w:rFonts w:ascii="Garamond" w:hAnsi="Garamond"/>
                        <w:sz w:val="18"/>
                        <w:szCs w:val="18"/>
                        <w:lang w:val="en-US"/>
                      </w:rPr>
                      <w:t xml:space="preserve">Default and migration risk correlations between multiple issuers </w:t>
                    </w:r>
                  </w:p>
                </w:txbxContent>
              </v:textbox>
            </v:roundrect>
            <v:roundrect id="_x0000_s1064" style="position:absolute;left:4860;top:5772;width:2328;height:307;v-text-anchor:middle" arcsize="10923f">
              <v:textbox style="mso-next-textbox:#_x0000_s1064">
                <w:txbxContent>
                  <w:p w:rsidR="001C7C52" w:rsidRPr="00534F96" w:rsidRDefault="001C7C52" w:rsidP="003F4E41">
                    <w:pPr>
                      <w:spacing w:line="276" w:lineRule="auto"/>
                      <w:jc w:val="center"/>
                      <w:rPr>
                        <w:rFonts w:ascii="Garamond" w:hAnsi="Garamond"/>
                        <w:sz w:val="18"/>
                        <w:szCs w:val="18"/>
                        <w:lang w:val="en-US"/>
                      </w:rPr>
                    </w:pPr>
                    <w:r>
                      <w:rPr>
                        <w:rFonts w:ascii="Garamond" w:hAnsi="Garamond"/>
                        <w:sz w:val="18"/>
                        <w:szCs w:val="18"/>
                        <w:lang w:val="en-US"/>
                      </w:rPr>
                      <w:t>Constant level of risk assumption</w:t>
                    </w:r>
                  </w:p>
                </w:txbxContent>
              </v:textbox>
            </v:roundrect>
            <v:roundrect id="_x0000_s1065" style="position:absolute;left:4469;top:6270;width:3120;height:483;v-text-anchor:middle" arcsize="10923f">
              <v:textbox style="mso-next-textbox:#_x0000_s1065">
                <w:txbxContent>
                  <w:p w:rsidR="001C7C52" w:rsidRPr="0060654B" w:rsidRDefault="001C7C52" w:rsidP="003F4E41">
                    <w:pPr>
                      <w:spacing w:line="240" w:lineRule="auto"/>
                      <w:jc w:val="center"/>
                      <w:rPr>
                        <w:sz w:val="18"/>
                        <w:szCs w:val="18"/>
                        <w:lang w:val="en-US"/>
                      </w:rPr>
                    </w:pPr>
                    <w:r>
                      <w:rPr>
                        <w:rFonts w:ascii="Garamond" w:hAnsi="Garamond"/>
                        <w:sz w:val="18"/>
                        <w:szCs w:val="18"/>
                        <w:lang w:val="en-US"/>
                      </w:rPr>
                      <w:t>Default and migration r</w:t>
                    </w:r>
                    <w:r w:rsidRPr="00DA1A61">
                      <w:rPr>
                        <w:rFonts w:ascii="Garamond" w:hAnsi="Garamond"/>
                        <w:sz w:val="18"/>
                        <w:szCs w:val="18"/>
                        <w:lang w:val="en-US"/>
                      </w:rPr>
                      <w:t>isk at the 99.9% confidence interval over a capital horizon of one year</w:t>
                    </w:r>
                  </w:p>
                  <w:p w:rsidR="001C7C52" w:rsidRPr="0018749B" w:rsidRDefault="001C7C52" w:rsidP="003F4E41">
                    <w:pPr>
                      <w:rPr>
                        <w:lang w:val="en-US"/>
                      </w:rPr>
                    </w:pPr>
                  </w:p>
                </w:txbxContent>
              </v:textbox>
            </v:roundrect>
            <v:roundrect id="_x0000_s1066" style="position:absolute;left:4928;top:6949;width:2183;height:307;v-text-anchor:middle" arcsize="10923f">
              <v:textbox style="mso-next-textbox:#_x0000_s1066">
                <w:txbxContent>
                  <w:p w:rsidR="001C7C52" w:rsidRPr="00534F96" w:rsidRDefault="001C7C52" w:rsidP="003F4E41">
                    <w:pPr>
                      <w:spacing w:line="276" w:lineRule="auto"/>
                      <w:jc w:val="center"/>
                      <w:rPr>
                        <w:rFonts w:ascii="Garamond" w:hAnsi="Garamond"/>
                        <w:sz w:val="18"/>
                        <w:szCs w:val="18"/>
                        <w:lang w:val="en-US"/>
                      </w:rPr>
                    </w:pPr>
                    <w:r>
                      <w:rPr>
                        <w:rFonts w:ascii="Garamond" w:hAnsi="Garamond"/>
                        <w:sz w:val="18"/>
                        <w:szCs w:val="18"/>
                        <w:lang w:val="en-US"/>
                      </w:rPr>
                      <w:t>Incremental Risk Capital Charge</w:t>
                    </w:r>
                  </w:p>
                </w:txbxContent>
              </v:textbox>
            </v:roundrect>
            <v:shape id="_x0000_s1067" type="#_x0000_t32" style="position:absolute;left:6693;top:2418;width:896;height:1" o:connectortype="straight">
              <v:stroke endarrow="block"/>
            </v:shape>
            <v:shape id="_x0000_s1068" type="#_x0000_t32" style="position:absolute;left:4469;top:2417;width:885;height:1;flip:x" o:connectortype="straight">
              <v:stroke endarrow="block"/>
            </v:shape>
            <v:shape id="_x0000_s1069" type="#_x0000_t32" style="position:absolute;left:4860;top:2941;width:494;height:1;flip:x" o:connectortype="straight">
              <v:stroke endarrow="block"/>
            </v:shape>
            <v:shape id="_x0000_s1070" type="#_x0000_t32" style="position:absolute;left:6693;top:2940;width:495;height:1" o:connectortype="straight">
              <v:stroke endarrow="block"/>
            </v:shape>
            <v:shape id="_x0000_s1071" type="#_x0000_t32" style="position:absolute;left:5686;top:3094;width:2;height:256" o:connectortype="straight">
              <v:stroke endarrow="block"/>
            </v:shape>
            <v:shape id="_x0000_s1072" type="#_x0000_t32" style="position:absolute;left:3170;top:2574;width:1;height:1244" o:connectortype="straight">
              <v:stroke endarrow="block"/>
            </v:shape>
            <v:shape id="_x0000_s1073" type="#_x0000_t32" style="position:absolute;left:3625;top:3094;width:1;height:724" o:connectortype="straight">
              <v:stroke endarrow="block"/>
            </v:shape>
            <v:shape id="_x0000_s1074" type="#_x0000_t32" style="position:absolute;left:8906;top:2576;width:3;height:1243" o:connectortype="straight">
              <v:stroke endarrow="block"/>
            </v:shape>
            <v:shape id="_x0000_s1075" type="#_x0000_t32" style="position:absolute;left:8476;top:3094;width:1;height:722" o:connectortype="straight">
              <v:stroke endarrow="block"/>
            </v:shape>
            <v:shape id="_x0000_s1076" type="#_x0000_t32" style="position:absolute;left:6024;top:4125;width:1;height:146;flip:y" o:connectortype="straight">
              <v:stroke endarrow="block"/>
            </v:shape>
            <v:shape id="_x0000_s1077" type="#_x0000_t32" style="position:absolute;left:6024;top:4766;width:1;height:145;flip:y" o:connectortype="straight">
              <v:stroke endarrow="block"/>
            </v:shape>
            <v:shape id="_x0000_s1078" type="#_x0000_t32" style="position:absolute;left:6024;top:6753;width:1;height:196" o:connectortype="straight">
              <v:stroke endarrow="block"/>
            </v:shape>
            <v:shape id="_x0000_s1079" type="#_x0000_t32" style="position:absolute;left:6693;top:3972;width:1098;height:1" o:connectortype="straight">
              <v:stroke endarrow="block"/>
            </v:shape>
            <v:shape id="_x0000_s1080" type="#_x0000_t32" style="position:absolute;left:4268;top:3914;width:1086;height:1;flip:x" o:connectortype="straight">
              <v:stroke endarrow="block"/>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81" type="#_x0000_t19" style="position:absolute;left:4981;top:4036;width:119;height:118;flip:x" strokeweight="1pt"/>
            <v:shape id="_x0000_s1082" type="#_x0000_t32" style="position:absolute;left:4982;top:4154;width:1;height:1618" o:connectortype="straight">
              <v:stroke endarrow="block"/>
            </v:shape>
            <v:shape id="_x0000_s1083" type="#_x0000_t32" style="position:absolute;left:5100;top:4035;width:254;height:1" o:connectortype="straight" strokeweight="1pt"/>
            <v:shape id="_x0000_s1084" type="#_x0000_t32" style="position:absolute;left:4150;top:3504;width:950;height:1;flip:x" o:connectortype="straight" strokeweight="1pt"/>
            <v:shape id="_x0000_s1085" type="#_x0000_t19" style="position:absolute;left:4036;top:3504;width:113;height:114;flip:x" strokeweight="1pt"/>
            <v:shape id="_x0000_s1086" type="#_x0000_t32" style="position:absolute;left:4037;top:3618;width:1;height:201" o:connectortype="straight">
              <v:stroke endarrow="block"/>
            </v:shape>
            <v:shape id="_x0000_s1087" type="#_x0000_t32" style="position:absolute;left:6081;top:3502;width:1797;height:2" o:connectortype="straight" strokeweight="1pt"/>
            <v:shape id="_x0000_s1088" type="#_x0000_t19" style="position:absolute;left:7878;top:3504;width:114;height:114" strokeweight="1pt"/>
            <v:shape id="_x0000_s1089" type="#_x0000_t32" style="position:absolute;left:7992;top:3618;width:1;height:194" o:connectortype="straight">
              <v:stroke endarrow="block"/>
            </v:shape>
            <v:shape id="_x0000_s1090" type="#_x0000_t32" style="position:absolute;left:4150;top:5243;width:1000;height:1;flip:x" o:connectortype="straight" strokeweight="1pt"/>
            <v:shape id="_x0000_s1091" type="#_x0000_t32" style="position:absolute;left:4037;top:4127;width:1;height:1003;flip:y" o:connectortype="straight">
              <v:stroke endarrow="block"/>
            </v:shape>
            <v:shape id="_x0000_s1092" type="#_x0000_t19" style="position:absolute;left:4036;top:5129;width:113;height:114;flip:x y" strokeweight="1pt"/>
            <v:shape id="_x0000_s1093" type="#_x0000_t32" style="position:absolute;left:7991;top:4124;width:1;height:1006;flip:y" o:connectortype="straight">
              <v:stroke endarrow="block"/>
            </v:shape>
            <v:shape id="_x0000_s1094" type="#_x0000_t32" style="position:absolute;left:6889;top:5243;width:989;height:1" o:connectortype="straight" strokeweight="1pt"/>
            <v:shape id="_x0000_s1095" type="#_x0000_t19" style="position:absolute;left:7878;top:5129;width:113;height:114;flip:y" strokeweight="1pt"/>
            <v:shape id="_x0000_s1096" type="#_x0000_t32" style="position:absolute;left:3573;top:4126;width:1;height:2274" o:connectortype="straight" strokeweight="1pt"/>
            <v:shape id="_x0000_s1097" type="#_x0000_t32" style="position:absolute;left:3687;top:6513;width:782;height:1" o:connectortype="straight">
              <v:stroke endarrow="block"/>
            </v:shape>
            <v:shape id="_x0000_s1098" type="#_x0000_t19" style="position:absolute;left:3574;top:6400;width:113;height:113;flip:x y" strokeweight="1pt"/>
            <v:shape id="_x0000_s1099" type="#_x0000_t32" style="position:absolute;left:8475;top:4120;width:2;height:2282" o:connectortype="straight" strokeweight="1pt"/>
            <v:shape id="_x0000_s1100" type="#_x0000_t32" style="position:absolute;left:7589;top:6515;width:774;height:1;flip:x" o:connectortype="straight">
              <v:stroke endarrow="block"/>
            </v:shape>
            <v:shape id="_x0000_s1101" type="#_x0000_t19" style="position:absolute;left:8363;top:6401;width:114;height:113;flip:y" strokeweight="1pt"/>
            <v:shape id="_x0000_s1102" type="#_x0000_t19" style="position:absolute;left:3573;top:5926;width:147;height:214;flip:x">
              <v:stroke endarrow="block"/>
            </v:shape>
            <v:shape id="_x0000_s1103" type="#_x0000_t32" style="position:absolute;left:3721;top:5926;width:1139;height:1" o:connectortype="straight" strokeweight="1pt"/>
            <v:shape id="_x0000_s1104" type="#_x0000_t32" style="position:absolute;left:7188;top:5926;width:1123;height:1" o:connectortype="straight" strokeweight="1pt"/>
            <v:shape id="_x0000_s1105" type="#_x0000_t19" style="position:absolute;left:8311;top:5926;width:164;height:214">
              <v:stroke endarrow="block"/>
            </v:shape>
            <v:shape id="_x0000_s1106" type="#_x0000_t32" style="position:absolute;left:6344;top:3095;width:1;height:724" o:connectortype="straight">
              <v:stroke endarrow="block"/>
            </v:shape>
            <w10:anchorlock/>
          </v:group>
        </w:pict>
      </w:r>
    </w:p>
    <w:tbl>
      <w:tblPr>
        <w:tblW w:w="94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434"/>
      </w:tblGrid>
      <w:tr w:rsidR="001C7C52" w:rsidRPr="00802C03" w:rsidTr="004C37CB">
        <w:tc>
          <w:tcPr>
            <w:tcW w:w="9434" w:type="dxa"/>
            <w:tcBorders>
              <w:top w:val="nil"/>
              <w:left w:val="nil"/>
              <w:bottom w:val="single" w:sz="4" w:space="0" w:color="auto"/>
              <w:right w:val="nil"/>
            </w:tcBorders>
            <w:vAlign w:val="center"/>
          </w:tcPr>
          <w:p w:rsidR="001C7C52" w:rsidRPr="00802C03" w:rsidRDefault="001C7C52" w:rsidP="00F46E7D">
            <w:pPr>
              <w:spacing w:line="200" w:lineRule="exact"/>
              <w:rPr>
                <w:rFonts w:ascii="Garamond" w:hAnsi="Garamond"/>
                <w:sz w:val="16"/>
                <w:szCs w:val="16"/>
                <w:lang w:val="en-GB"/>
              </w:rPr>
            </w:pPr>
          </w:p>
        </w:tc>
      </w:tr>
      <w:tr w:rsidR="001C7C52" w:rsidRPr="000B0ADE" w:rsidTr="004C37CB">
        <w:tc>
          <w:tcPr>
            <w:tcW w:w="9434" w:type="dxa"/>
            <w:tcBorders>
              <w:top w:val="single" w:sz="4" w:space="0" w:color="auto"/>
              <w:left w:val="nil"/>
              <w:bottom w:val="nil"/>
              <w:right w:val="nil"/>
            </w:tcBorders>
            <w:vAlign w:val="center"/>
          </w:tcPr>
          <w:p w:rsidR="001C7C52" w:rsidRPr="00802C03" w:rsidRDefault="001C7C52" w:rsidP="000C4E1E">
            <w:pPr>
              <w:spacing w:after="40" w:line="180" w:lineRule="exact"/>
              <w:rPr>
                <w:rFonts w:ascii="Garamond" w:hAnsi="Garamond"/>
                <w:sz w:val="16"/>
                <w:szCs w:val="16"/>
                <w:lang w:val="en-GB"/>
              </w:rPr>
            </w:pPr>
            <w:r w:rsidRPr="00802C03">
              <w:rPr>
                <w:rFonts w:ascii="Garamond" w:hAnsi="Garamond"/>
                <w:sz w:val="16"/>
                <w:szCs w:val="16"/>
                <w:lang w:val="en-GB"/>
              </w:rPr>
              <w:t>Default risk and migration default may be combined in the model instead of the separation that is displayed above.</w:t>
            </w:r>
          </w:p>
        </w:tc>
      </w:tr>
    </w:tbl>
    <w:p w:rsidR="001C7C52" w:rsidRPr="00802C03" w:rsidRDefault="001C7C52" w:rsidP="00D715CF">
      <w:pPr>
        <w:spacing w:line="280" w:lineRule="exact"/>
        <w:jc w:val="both"/>
        <w:rPr>
          <w:rFonts w:ascii="Garamond" w:hAnsi="Garamond"/>
          <w:lang w:val="en-GB"/>
        </w:rPr>
      </w:pPr>
    </w:p>
    <w:p w:rsidR="001C7C52" w:rsidRPr="00802C03" w:rsidRDefault="001C7C52" w:rsidP="00E7085F">
      <w:pPr>
        <w:tabs>
          <w:tab w:val="left" w:pos="851"/>
        </w:tabs>
        <w:spacing w:line="28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cs="NimbusRomNo9L-Regu"/>
          <w:b/>
          <w:lang w:val="en-GB" w:eastAsia="nl-NL"/>
        </w:rPr>
      </w:pPr>
      <w:r w:rsidRPr="00802C03">
        <w:rPr>
          <w:rFonts w:ascii="Garamond" w:hAnsi="Garamond" w:cs="NimbusRomNo9L-Regu"/>
          <w:b/>
          <w:lang w:val="en-GB" w:eastAsia="nl-NL"/>
        </w:rPr>
        <w:t>1.2.2</w:t>
      </w:r>
      <w:r w:rsidRPr="00802C03">
        <w:rPr>
          <w:rFonts w:ascii="Garamond" w:hAnsi="Garamond" w:cs="NimbusRomNo9L-Regu"/>
          <w:b/>
          <w:lang w:val="en-GB" w:eastAsia="nl-NL"/>
        </w:rPr>
        <w:tab/>
      </w:r>
      <w:bookmarkStart w:id="7" w:name="S122"/>
      <w:bookmarkEnd w:id="7"/>
      <w:r w:rsidRPr="00802C03">
        <w:rPr>
          <w:rFonts w:ascii="Garamond" w:hAnsi="Garamond"/>
          <w:b/>
          <w:lang w:val="en-GB"/>
        </w:rPr>
        <w:t>The CreditMetrics Model</w:t>
      </w:r>
    </w:p>
    <w:p w:rsidR="001C7C52" w:rsidRPr="00802C03" w:rsidRDefault="001C7C52" w:rsidP="00B837F1">
      <w:pPr>
        <w:spacing w:line="280" w:lineRule="exact"/>
        <w:jc w:val="both"/>
        <w:rPr>
          <w:rFonts w:ascii="Garamond" w:hAnsi="Garamond"/>
          <w:lang w:val="en-GB"/>
        </w:rPr>
      </w:pPr>
      <w:r w:rsidRPr="00802C03">
        <w:rPr>
          <w:rFonts w:ascii="Garamond" w:hAnsi="Garamond"/>
          <w:lang w:val="en-GB"/>
        </w:rPr>
        <w:t>To utilize the CreditMetrics model as a technical starting point, first, an assessment of the CreditMetrics model is required. The model starts off with the specification of the stand-alone default and migration risk embedded in the credit products in the portfolio. This risk is presented in the form of a credit migration matrix. The credit migration matrix is an 8 x 8 matrix that contains the probabilities of any issuer, underlying the relevant credit product, to travel from a given initial credit rating to any other credit rating (including default and its initial credit rating) in a preset time horizon.</w:t>
      </w:r>
      <w:r w:rsidRPr="00802C03">
        <w:rPr>
          <w:rStyle w:val="FootnoteReference"/>
          <w:rFonts w:ascii="Garamond" w:hAnsi="Garamond"/>
          <w:lang w:val="en-GB"/>
        </w:rPr>
        <w:footnoteReference w:id="14"/>
      </w:r>
      <w:r w:rsidRPr="00802C03">
        <w:rPr>
          <w:rFonts w:ascii="Garamond" w:hAnsi="Garamond"/>
          <w:lang w:val="en-GB"/>
        </w:rPr>
        <w:t xml:space="preserve"> </w:t>
      </w:r>
      <w:hyperlink w:anchor="T1" w:history="1">
        <w:r w:rsidRPr="00802C03">
          <w:rPr>
            <w:rStyle w:val="Hyperlink"/>
            <w:rFonts w:ascii="Garamond" w:hAnsi="Garamond"/>
            <w:color w:val="000066"/>
            <w:u w:val="none"/>
            <w:lang w:val="en-GB"/>
          </w:rPr>
          <w:t>Tables I</w:t>
        </w:r>
      </w:hyperlink>
      <w:r w:rsidRPr="00802C03">
        <w:rPr>
          <w:rFonts w:ascii="Garamond" w:hAnsi="Garamond"/>
          <w:lang w:val="en-GB"/>
        </w:rPr>
        <w:t xml:space="preserve">, </w:t>
      </w:r>
      <w:hyperlink w:anchor="T2" w:history="1">
        <w:r w:rsidRPr="00802C03">
          <w:rPr>
            <w:rStyle w:val="Hyperlink"/>
            <w:rFonts w:ascii="Garamond" w:hAnsi="Garamond"/>
            <w:color w:val="000066"/>
            <w:u w:val="none"/>
            <w:lang w:val="en-GB"/>
          </w:rPr>
          <w:t>II</w:t>
        </w:r>
      </w:hyperlink>
      <w:r w:rsidRPr="00802C03">
        <w:rPr>
          <w:rFonts w:ascii="Garamond" w:hAnsi="Garamond"/>
          <w:lang w:val="en-GB"/>
        </w:rPr>
        <w:t xml:space="preserve"> and </w:t>
      </w:r>
      <w:hyperlink w:anchor="T3" w:history="1">
        <w:r w:rsidRPr="00802C03">
          <w:rPr>
            <w:rStyle w:val="Hyperlink"/>
            <w:rFonts w:ascii="Garamond" w:hAnsi="Garamond"/>
            <w:color w:val="000066"/>
            <w:u w:val="none"/>
            <w:lang w:val="en-GB"/>
          </w:rPr>
          <w:t>III</w:t>
        </w:r>
      </w:hyperlink>
      <w:r w:rsidRPr="00802C03">
        <w:rPr>
          <w:rFonts w:ascii="Garamond" w:hAnsi="Garamond"/>
          <w:lang w:val="en-GB"/>
        </w:rPr>
        <w:t xml:space="preserve"> on page 47 and 48 in </w:t>
      </w:r>
      <w:hyperlink w:anchor="S215" w:history="1">
        <w:r w:rsidRPr="00802C03">
          <w:rPr>
            <w:rStyle w:val="Hyperlink"/>
            <w:rFonts w:ascii="Garamond" w:hAnsi="Garamond"/>
            <w:color w:val="000066"/>
            <w:u w:val="none"/>
            <w:lang w:val="en-GB"/>
          </w:rPr>
          <w:t>Part II section 2.1.5</w:t>
        </w:r>
      </w:hyperlink>
      <w:r w:rsidRPr="00802C03">
        <w:rPr>
          <w:rFonts w:ascii="Garamond" w:hAnsi="Garamond"/>
          <w:lang w:val="en-GB"/>
        </w:rPr>
        <w:t xml:space="preserve"> are examples of credit migration matrices. Such a matrix of migration probabilities provides the information that is required to simulate the credit ratings of the underlying issuers at the end of the horizon. The simulation of those credit ratings underlying the positions in the assessed portfolio is where the second important component of model</w:t>
      </w:r>
      <w:r>
        <w:rPr>
          <w:rFonts w:ascii="Garamond" w:hAnsi="Garamond"/>
          <w:lang w:val="en-GB"/>
        </w:rPr>
        <w:t>l</w:t>
      </w:r>
      <w:r w:rsidRPr="00802C03">
        <w:rPr>
          <w:rFonts w:ascii="Garamond" w:hAnsi="Garamond"/>
          <w:lang w:val="en-GB"/>
        </w:rPr>
        <w:t xml:space="preserve">ing any sort of risk on the portfolio level is integrated, namely the interactions between the stand-alone risks of the different positions in the portfolio. </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 xml:space="preserve">The Basel Committee states that the migration and default events amongst issuers tend to cluster. This claim is confirmed by a large body of literature on the default and migration correlation. The number of studies on default correlation has been growing rapidly since well known studies such as </w:t>
      </w:r>
      <w:hyperlink w:anchor="Lucas_1995" w:history="1">
        <w:r w:rsidRPr="00802C03">
          <w:rPr>
            <w:rStyle w:val="Hyperlink"/>
            <w:rFonts w:ascii="Garamond" w:hAnsi="Garamond"/>
            <w:color w:val="000066"/>
            <w:u w:val="none"/>
            <w:lang w:val="en-GB"/>
          </w:rPr>
          <w:t>Lucas (1995)</w:t>
        </w:r>
      </w:hyperlink>
      <w:r w:rsidRPr="00802C03">
        <w:rPr>
          <w:rFonts w:ascii="Garamond" w:hAnsi="Garamond"/>
          <w:lang w:val="en-GB"/>
        </w:rPr>
        <w:t xml:space="preserve"> and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color w:val="000000"/>
          <w:lang w:val="en-GB"/>
        </w:rPr>
        <w:t xml:space="preserve">, </w:t>
      </w:r>
      <w:r w:rsidRPr="00802C03">
        <w:rPr>
          <w:rFonts w:ascii="Garamond" w:hAnsi="Garamond"/>
          <w:lang w:val="en-GB"/>
        </w:rPr>
        <w:t xml:space="preserve">i.e. the </w:t>
      </w:r>
      <w:r w:rsidRPr="00802C03">
        <w:rPr>
          <w:rFonts w:ascii="Garamond" w:hAnsi="Garamond"/>
          <w:color w:val="000000"/>
          <w:lang w:val="en-GB"/>
        </w:rPr>
        <w:t>Technical Document of CreditMetrics, h</w:t>
      </w:r>
      <w:r w:rsidRPr="00802C03">
        <w:rPr>
          <w:rFonts w:ascii="Garamond" w:hAnsi="Garamond"/>
          <w:lang w:val="en-GB"/>
        </w:rPr>
        <w:t>ave appeared. The existence of correlation amongst issuers in their level of creditworthiness (or asset values) has more or less become a stylized fact in financial economics and is easily explained by the fact that large groups of issuers are affected by the same economic (risk) factors. The more similarities these issuers share, the larger the likelihood that when one issuer’s asset value degenerates, the same will happen to others. Then when one considers a portfolio of credit products with multiple underlying issuers, these correlations ensure that the chance of a deterioration of credit quality of multiple issuers at the same</w:t>
      </w:r>
      <w:r>
        <w:rPr>
          <w:rFonts w:ascii="Garamond" w:hAnsi="Garamond"/>
          <w:lang w:val="en-GB"/>
        </w:rPr>
        <w:t xml:space="preserve"> </w:t>
      </w:r>
      <w:r w:rsidRPr="00802C03">
        <w:rPr>
          <w:rFonts w:ascii="Garamond" w:hAnsi="Garamond"/>
          <w:lang w:val="en-GB"/>
        </w:rPr>
        <w:t>time is larger than implied by credit migration matrices. Hence, issuer correlations generate an extra source of risk in a credit portfolio.</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CreditMetrics accounts for this issue by applying the intuition of the Merton model (</w:t>
      </w:r>
      <w:hyperlink w:anchor="Merton_1974" w:history="1">
        <w:r w:rsidRPr="00802C03">
          <w:rPr>
            <w:rStyle w:val="Hyperlink"/>
            <w:rFonts w:ascii="Garamond" w:hAnsi="Garamond"/>
            <w:color w:val="000066"/>
            <w:u w:val="none"/>
            <w:lang w:val="en-GB"/>
          </w:rPr>
          <w:t>Merton, 1974</w:t>
        </w:r>
      </w:hyperlink>
      <w:r w:rsidRPr="00802C03">
        <w:rPr>
          <w:rFonts w:ascii="Garamond" w:hAnsi="Garamond"/>
          <w:lang w:val="en-GB"/>
        </w:rPr>
        <w:t xml:space="preserve">). </w:t>
      </w:r>
      <w:r w:rsidRPr="00802C03">
        <w:rPr>
          <w:rFonts w:ascii="Garamond" w:hAnsi="Garamond" w:cs="NimbusRomNo9L-Regu"/>
          <w:lang w:val="en-GB" w:eastAsia="nl-NL"/>
        </w:rPr>
        <w:t>This well known model simply states that a company defaults when the value of its assets drops below the value of its debt. Furthermore, since the credit quality of an issuer signals the likelihood of non</w:t>
      </w:r>
      <w:r>
        <w:rPr>
          <w:rFonts w:ascii="Garamond" w:hAnsi="Garamond" w:cs="NimbusRomNo9L-Regu"/>
          <w:lang w:val="en-GB" w:eastAsia="nl-NL"/>
        </w:rPr>
        <w:t>-</w:t>
      </w:r>
      <w:r w:rsidRPr="00802C03">
        <w:rPr>
          <w:rFonts w:ascii="Garamond" w:hAnsi="Garamond" w:cs="NimbusRomNo9L-Regu"/>
          <w:lang w:val="en-GB" w:eastAsia="nl-NL"/>
        </w:rPr>
        <w:t xml:space="preserve">payment of its debt obligations, the credit rating of a company or issuer should reflect likelihood of the value of the assets dropping below the value of the company’s debt. Hence, there is a direct theoretical link between the issuer’s asset value (and asset returns) and its credit quality. More specifically, the dynamics of the asset returns of issuers and the relations between the asset returns of multiple issuers should capture the credit quality correlations between the issuers. Essentially, when the actual correlation between the asset returns of two issuers is known, the migration and default correlations between these issuers can be described. </w:t>
      </w:r>
      <w:r w:rsidRPr="00802C03">
        <w:rPr>
          <w:rFonts w:ascii="Garamond" w:hAnsi="Garamond"/>
          <w:lang w:val="en-GB"/>
        </w:rPr>
        <w:t xml:space="preserve"> </w:t>
      </w:r>
    </w:p>
    <w:p w:rsidR="001C7C52" w:rsidRPr="00802C03" w:rsidRDefault="001C7C52" w:rsidP="009E1C4A">
      <w:pPr>
        <w:spacing w:line="280" w:lineRule="exact"/>
        <w:jc w:val="both"/>
        <w:rPr>
          <w:rFonts w:ascii="Garamond" w:hAnsi="Garamond"/>
          <w:lang w:val="en-GB"/>
        </w:rPr>
      </w:pP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implement the asset correlation concept in their CreditMetrics simulation framework. First, employing the credit migration matrix, asset return thresholds are specified with respect to issuer assets returns (</w:t>
      </w:r>
      <w:r w:rsidRPr="00100BDF">
        <w:rPr>
          <w:rFonts w:ascii="Garamond" w:hAnsi="Garamond"/>
          <w:position w:val="-4"/>
          <w:lang w:val="en-GB"/>
        </w:rPr>
        <w:object w:dxaOrig="220" w:dyaOrig="220">
          <v:shape id="_x0000_i1026" type="#_x0000_t75" style="width:11.25pt;height:11.25pt" o:ole="">
            <v:imagedata r:id="rId19" o:title=""/>
          </v:shape>
          <o:OLEObject Type="Embed" ProgID="Equation.DSMT4" ShapeID="_x0000_i1026" DrawAspect="Content" ObjectID="_1324893569" r:id="rId20"/>
        </w:object>
      </w:r>
      <w:r w:rsidRPr="00802C03">
        <w:rPr>
          <w:rFonts w:ascii="Garamond" w:hAnsi="Garamond"/>
          <w:lang w:val="en-GB"/>
        </w:rPr>
        <w:t>) for each possible migration event (or probability) given each initial credit rating. In this context, issuer asset returns are assumed to be normally distributed. The thresholds (</w:t>
      </w:r>
      <w:r w:rsidRPr="00802C03">
        <w:rPr>
          <w:rFonts w:ascii="Garamond" w:hAnsi="Garamond"/>
          <w:i/>
          <w:lang w:val="en-GB"/>
        </w:rPr>
        <w:t>Z</w:t>
      </w:r>
      <w:r w:rsidRPr="00802C03">
        <w:rPr>
          <w:rFonts w:ascii="Garamond" w:hAnsi="Garamond"/>
          <w:lang w:val="en-GB"/>
        </w:rPr>
        <w:t>-values) are found by fitting the migration probabilities under the cumulative standard normal distribution function. For example, for BBB-rated issuers the asset return thresholds derived as follows:</w:t>
      </w:r>
    </w:p>
    <w:p w:rsidR="001C7C52" w:rsidRPr="00802C03" w:rsidRDefault="001C7C52" w:rsidP="00E81216">
      <w:pPr>
        <w:tabs>
          <w:tab w:val="left" w:pos="567"/>
          <w:tab w:val="left" w:pos="8505"/>
        </w:tabs>
        <w:spacing w:before="80" w:line="320" w:lineRule="exact"/>
        <w:ind w:firstLine="567"/>
        <w:jc w:val="both"/>
        <w:rPr>
          <w:rFonts w:ascii="Garamond" w:hAnsi="Garamond"/>
          <w:lang w:val="en-GB"/>
        </w:rPr>
      </w:pPr>
      <w:r w:rsidRPr="005E2D6F">
        <w:rPr>
          <w:rFonts w:ascii="Garamond" w:hAnsi="Garamond"/>
          <w:position w:val="-10"/>
          <w:lang w:val="en-GB"/>
        </w:rPr>
        <w:object w:dxaOrig="3540" w:dyaOrig="300">
          <v:shape id="_x0000_i1027" type="#_x0000_t75" style="width:177pt;height:15pt" o:ole="">
            <v:imagedata r:id="rId21" o:title=""/>
          </v:shape>
          <o:OLEObject Type="Embed" ProgID="Equation.DSMT4" ShapeID="_x0000_i1027" DrawAspect="Content" ObjectID="_1324893570" r:id="rId22"/>
        </w:object>
      </w:r>
      <w:r w:rsidRPr="00802C03">
        <w:rPr>
          <w:rFonts w:ascii="Garamond" w:hAnsi="Garamond"/>
          <w:lang w:val="en-GB"/>
        </w:rPr>
        <w:t>,</w:t>
      </w:r>
      <w:r w:rsidRPr="00802C03">
        <w:rPr>
          <w:rFonts w:ascii="Garamond" w:hAnsi="Garamond"/>
          <w:lang w:val="en-GB"/>
        </w:rPr>
        <w:tab/>
        <w:t>(1.1)</w:t>
      </w:r>
    </w:p>
    <w:p w:rsidR="001C7C52" w:rsidRPr="00802C03" w:rsidRDefault="001C7C52" w:rsidP="00E81216">
      <w:pPr>
        <w:tabs>
          <w:tab w:val="left" w:pos="567"/>
          <w:tab w:val="left" w:pos="8505"/>
        </w:tabs>
        <w:spacing w:before="120" w:line="320" w:lineRule="exact"/>
        <w:ind w:firstLine="567"/>
        <w:jc w:val="both"/>
        <w:rPr>
          <w:rFonts w:ascii="Garamond" w:hAnsi="Garamond"/>
          <w:lang w:val="en-GB"/>
        </w:rPr>
      </w:pPr>
      <w:r w:rsidRPr="005E2D6F">
        <w:rPr>
          <w:rFonts w:ascii="Garamond" w:hAnsi="Garamond"/>
          <w:position w:val="-10"/>
          <w:lang w:val="en-GB"/>
        </w:rPr>
        <w:object w:dxaOrig="6259" w:dyaOrig="300">
          <v:shape id="_x0000_i1028" type="#_x0000_t75" style="width:312.75pt;height:15pt" o:ole="">
            <v:imagedata r:id="rId23" o:title=""/>
          </v:shape>
          <o:OLEObject Type="Embed" ProgID="Equation.DSMT4" ShapeID="_x0000_i1028" DrawAspect="Content" ObjectID="_1324893571" r:id="rId24"/>
        </w:object>
      </w:r>
      <w:r w:rsidRPr="00802C03">
        <w:rPr>
          <w:rFonts w:ascii="Garamond" w:hAnsi="Garamond"/>
          <w:lang w:val="en-GB"/>
        </w:rPr>
        <w:t>,</w:t>
      </w:r>
      <w:r w:rsidRPr="00802C03">
        <w:rPr>
          <w:rFonts w:ascii="Garamond" w:hAnsi="Garamond"/>
          <w:lang w:val="en-GB"/>
        </w:rPr>
        <w:tab/>
        <w:t>(1.2)</w:t>
      </w:r>
    </w:p>
    <w:p w:rsidR="001C7C52" w:rsidRPr="00802C03" w:rsidRDefault="001C7C52" w:rsidP="00E81216">
      <w:pPr>
        <w:tabs>
          <w:tab w:val="left" w:pos="567"/>
          <w:tab w:val="left" w:pos="8505"/>
        </w:tabs>
        <w:spacing w:before="120" w:line="320" w:lineRule="exact"/>
        <w:ind w:firstLine="567"/>
        <w:jc w:val="both"/>
        <w:rPr>
          <w:rFonts w:ascii="Garamond" w:hAnsi="Garamond"/>
          <w:lang w:val="en-GB"/>
        </w:rPr>
      </w:pPr>
      <w:r w:rsidRPr="005E2D6F">
        <w:rPr>
          <w:rFonts w:ascii="Garamond" w:hAnsi="Garamond"/>
          <w:position w:val="-10"/>
          <w:lang w:val="en-GB"/>
        </w:rPr>
        <w:object w:dxaOrig="5679" w:dyaOrig="300">
          <v:shape id="_x0000_i1029" type="#_x0000_t75" style="width:284.25pt;height:15pt" o:ole="">
            <v:imagedata r:id="rId25" o:title=""/>
          </v:shape>
          <o:OLEObject Type="Embed" ProgID="Equation.DSMT4" ShapeID="_x0000_i1029" DrawAspect="Content" ObjectID="_1324893572" r:id="rId26"/>
        </w:object>
      </w:r>
      <w:r w:rsidRPr="00802C03">
        <w:rPr>
          <w:rFonts w:ascii="Garamond" w:hAnsi="Garamond"/>
          <w:lang w:val="en-GB"/>
        </w:rPr>
        <w:t>,</w:t>
      </w:r>
      <w:r w:rsidRPr="00802C03">
        <w:rPr>
          <w:rFonts w:ascii="Garamond" w:hAnsi="Garamond"/>
          <w:lang w:val="en-GB"/>
        </w:rPr>
        <w:tab/>
        <w:t>(1.3)</w:t>
      </w:r>
    </w:p>
    <w:p w:rsidR="001C7C52" w:rsidRPr="00802C03" w:rsidRDefault="001C7C52" w:rsidP="00E81216">
      <w:pPr>
        <w:tabs>
          <w:tab w:val="left" w:pos="567"/>
          <w:tab w:val="left" w:pos="8505"/>
        </w:tabs>
        <w:spacing w:before="120" w:line="320" w:lineRule="exact"/>
        <w:ind w:firstLine="567"/>
        <w:jc w:val="both"/>
        <w:rPr>
          <w:rFonts w:ascii="Garamond" w:hAnsi="Garamond"/>
          <w:lang w:val="en-GB"/>
        </w:rPr>
      </w:pPr>
      <w:r w:rsidRPr="005E2D6F">
        <w:rPr>
          <w:rFonts w:ascii="Garamond" w:hAnsi="Garamond"/>
          <w:position w:val="-10"/>
          <w:lang w:val="en-GB"/>
        </w:rPr>
        <w:object w:dxaOrig="5440" w:dyaOrig="300">
          <v:shape id="_x0000_i1030" type="#_x0000_t75" style="width:269.25pt;height:15pt" o:ole="">
            <v:imagedata r:id="rId27" o:title=""/>
          </v:shape>
          <o:OLEObject Type="Embed" ProgID="Equation.DSMT4" ShapeID="_x0000_i1030" DrawAspect="Content" ObjectID="_1324893573" r:id="rId28"/>
        </w:object>
      </w:r>
      <w:r w:rsidRPr="00802C03">
        <w:rPr>
          <w:rFonts w:ascii="Garamond" w:hAnsi="Garamond"/>
          <w:lang w:val="en-GB"/>
        </w:rPr>
        <w:t>,</w:t>
      </w:r>
      <w:r w:rsidRPr="00802C03">
        <w:rPr>
          <w:rFonts w:ascii="Garamond" w:hAnsi="Garamond"/>
          <w:lang w:val="en-GB"/>
        </w:rPr>
        <w:tab/>
        <w:t>(1.4)</w:t>
      </w:r>
    </w:p>
    <w:p w:rsidR="001C7C52" w:rsidRPr="00802C03" w:rsidRDefault="001C7C52" w:rsidP="00E81216">
      <w:pPr>
        <w:tabs>
          <w:tab w:val="left" w:pos="567"/>
          <w:tab w:val="left" w:pos="8505"/>
        </w:tabs>
        <w:spacing w:before="120" w:line="320" w:lineRule="exact"/>
        <w:ind w:firstLine="567"/>
        <w:jc w:val="both"/>
        <w:rPr>
          <w:rFonts w:ascii="Garamond" w:hAnsi="Garamond"/>
          <w:lang w:val="en-GB"/>
        </w:rPr>
      </w:pPr>
      <w:r w:rsidRPr="005E2D6F">
        <w:rPr>
          <w:rFonts w:ascii="Garamond" w:hAnsi="Garamond"/>
          <w:position w:val="-10"/>
          <w:lang w:val="en-GB"/>
        </w:rPr>
        <w:object w:dxaOrig="5800" w:dyaOrig="300">
          <v:shape id="_x0000_i1031" type="#_x0000_t75" style="width:290.25pt;height:15pt" o:ole="">
            <v:imagedata r:id="rId29" o:title=""/>
          </v:shape>
          <o:OLEObject Type="Embed" ProgID="Equation.DSMT4" ShapeID="_x0000_i1031" DrawAspect="Content" ObjectID="_1324893574" r:id="rId30"/>
        </w:object>
      </w:r>
      <w:r w:rsidRPr="00802C03">
        <w:rPr>
          <w:rFonts w:ascii="Garamond" w:hAnsi="Garamond"/>
          <w:lang w:val="en-GB"/>
        </w:rPr>
        <w:t>,</w:t>
      </w:r>
      <w:r w:rsidRPr="00802C03">
        <w:rPr>
          <w:rFonts w:ascii="Garamond" w:hAnsi="Garamond"/>
          <w:lang w:val="en-GB"/>
        </w:rPr>
        <w:tab/>
        <w:t>(1.5)</w:t>
      </w:r>
    </w:p>
    <w:p w:rsidR="001C7C52" w:rsidRPr="00802C03" w:rsidRDefault="001C7C52" w:rsidP="00E81216">
      <w:pPr>
        <w:tabs>
          <w:tab w:val="left" w:pos="567"/>
          <w:tab w:val="left" w:pos="8505"/>
        </w:tabs>
        <w:spacing w:before="120" w:line="320" w:lineRule="exact"/>
        <w:ind w:firstLine="567"/>
        <w:jc w:val="both"/>
        <w:rPr>
          <w:rFonts w:ascii="Garamond" w:hAnsi="Garamond"/>
          <w:lang w:val="en-GB"/>
        </w:rPr>
      </w:pPr>
      <w:r w:rsidRPr="005E2D6F">
        <w:rPr>
          <w:rFonts w:ascii="Garamond" w:hAnsi="Garamond"/>
          <w:position w:val="-10"/>
          <w:lang w:val="en-GB"/>
        </w:rPr>
        <w:object w:dxaOrig="5440" w:dyaOrig="300">
          <v:shape id="_x0000_i1032" type="#_x0000_t75" style="width:269.25pt;height:15pt" o:ole="">
            <v:imagedata r:id="rId31" o:title=""/>
          </v:shape>
          <o:OLEObject Type="Embed" ProgID="Equation.DSMT4" ShapeID="_x0000_i1032" DrawAspect="Content" ObjectID="_1324893575" r:id="rId32"/>
        </w:object>
      </w:r>
      <w:r w:rsidRPr="00802C03">
        <w:rPr>
          <w:rFonts w:ascii="Garamond" w:hAnsi="Garamond"/>
          <w:lang w:val="en-GB"/>
        </w:rPr>
        <w:t>,</w:t>
      </w:r>
      <w:r w:rsidRPr="00802C03">
        <w:rPr>
          <w:rFonts w:ascii="Garamond" w:hAnsi="Garamond"/>
          <w:lang w:val="en-GB"/>
        </w:rPr>
        <w:tab/>
        <w:t>(1.6)</w:t>
      </w:r>
    </w:p>
    <w:p w:rsidR="001C7C52" w:rsidRPr="00802C03" w:rsidRDefault="001C7C52" w:rsidP="00E81216">
      <w:pPr>
        <w:tabs>
          <w:tab w:val="left" w:pos="567"/>
          <w:tab w:val="left" w:pos="8505"/>
        </w:tabs>
        <w:spacing w:before="120" w:line="320" w:lineRule="exact"/>
        <w:ind w:firstLine="567"/>
        <w:jc w:val="both"/>
        <w:rPr>
          <w:rFonts w:ascii="Garamond" w:hAnsi="Garamond"/>
          <w:lang w:val="en-GB"/>
        </w:rPr>
      </w:pPr>
      <w:r w:rsidRPr="005E2D6F">
        <w:rPr>
          <w:rFonts w:ascii="Garamond" w:hAnsi="Garamond"/>
          <w:position w:val="-10"/>
          <w:lang w:val="en-GB"/>
        </w:rPr>
        <w:object w:dxaOrig="5440" w:dyaOrig="300">
          <v:shape id="_x0000_i1033" type="#_x0000_t75" style="width:269.25pt;height:15pt" o:ole="">
            <v:imagedata r:id="rId33" o:title=""/>
          </v:shape>
          <o:OLEObject Type="Embed" ProgID="Equation.DSMT4" ShapeID="_x0000_i1033" DrawAspect="Content" ObjectID="_1324893576" r:id="rId34"/>
        </w:object>
      </w:r>
      <w:r w:rsidRPr="00802C03">
        <w:rPr>
          <w:rFonts w:ascii="Garamond" w:hAnsi="Garamond"/>
          <w:lang w:val="en-GB"/>
        </w:rPr>
        <w:t>,</w:t>
      </w:r>
      <w:r w:rsidRPr="00802C03">
        <w:rPr>
          <w:rFonts w:ascii="Garamond" w:hAnsi="Garamond"/>
          <w:lang w:val="en-GB"/>
        </w:rPr>
        <w:tab/>
      </w:r>
      <w:r w:rsidRPr="00802C03">
        <w:rPr>
          <w:rFonts w:ascii="Garamond" w:hAnsi="Garamond"/>
          <w:lang w:val="en-GB"/>
        </w:rPr>
        <w:tab/>
        <w:t>(1.7)</w:t>
      </w:r>
    </w:p>
    <w:p w:rsidR="001C7C52" w:rsidRPr="00802C03" w:rsidRDefault="001C7C52" w:rsidP="008239E8">
      <w:pPr>
        <w:tabs>
          <w:tab w:val="left" w:pos="567"/>
          <w:tab w:val="left" w:pos="8505"/>
        </w:tabs>
        <w:spacing w:before="160" w:after="160" w:line="280" w:lineRule="exact"/>
        <w:jc w:val="both"/>
        <w:rPr>
          <w:rFonts w:ascii="Garamond" w:hAnsi="Garamond" w:cs="NimbusRomNo9L-Regu"/>
          <w:lang w:val="en-GB" w:eastAsia="nl-NL"/>
        </w:rPr>
      </w:pPr>
      <w:r w:rsidRPr="00802C03">
        <w:rPr>
          <w:rFonts w:ascii="Garamond" w:hAnsi="Garamond"/>
          <w:lang w:val="en-GB"/>
        </w:rPr>
        <w:tab/>
        <w:t xml:space="preserve">where </w:t>
      </w:r>
      <w:r w:rsidRPr="00802C03">
        <w:rPr>
          <w:rFonts w:ascii="Garamond" w:hAnsi="Garamond" w:cs="NimbusRomNo9L-Regu"/>
          <w:lang w:val="en-GB" w:eastAsia="nl-NL"/>
        </w:rPr>
        <w:t xml:space="preserve">the cumulative univariate standard normal distribution function is denoted by </w:t>
      </w:r>
      <w:r w:rsidRPr="00100BDF">
        <w:rPr>
          <w:rFonts w:ascii="Garamond" w:hAnsi="Garamond" w:cs="NimbusRomNo9L-Regu"/>
          <w:position w:val="-10"/>
          <w:lang w:val="en-GB" w:eastAsia="nl-NL"/>
        </w:rPr>
        <w:object w:dxaOrig="420" w:dyaOrig="300">
          <v:shape id="_x0000_i1034" type="#_x0000_t75" style="width:21pt;height:15pt" o:ole="">
            <v:imagedata r:id="rId35" o:title=""/>
          </v:shape>
          <o:OLEObject Type="Embed" ProgID="Equation.DSMT4" ShapeID="_x0000_i1034" DrawAspect="Content" ObjectID="_1324893577" r:id="rId36"/>
        </w:object>
      </w:r>
      <w:r w:rsidRPr="00802C03">
        <w:rPr>
          <w:rFonts w:ascii="Garamond" w:hAnsi="Garamond" w:cs="NimbusRomNo9L-Regu"/>
          <w:lang w:val="en-GB" w:eastAsia="nl-NL"/>
        </w:rPr>
        <w:t>.</w:t>
      </w:r>
    </w:p>
    <w:p w:rsidR="001C7C52" w:rsidRPr="00802C03" w:rsidRDefault="001C7C52" w:rsidP="009E1C4A">
      <w:pPr>
        <w:spacing w:line="280" w:lineRule="exact"/>
        <w:jc w:val="both"/>
        <w:rPr>
          <w:rFonts w:ascii="Garamond" w:hAnsi="Garamond"/>
          <w:lang w:val="en-GB"/>
        </w:rPr>
      </w:pPr>
      <w:r>
        <w:rPr>
          <w:noProof/>
          <w:lang w:val="en-US"/>
        </w:rPr>
        <w:pict>
          <v:shapetype id="_x0000_t202" coordsize="21600,21600" o:spt="202" path="m,l,21600r21600,l21600,xe">
            <v:stroke joinstyle="miter"/>
            <v:path gradientshapeok="t" o:connecttype="rect"/>
          </v:shapetype>
          <v:shape id="_x0000_s1107" type="#_x0000_t202" style="position:absolute;left:0;text-align:left;margin-left:213.5pt;margin-top:126.15pt;width:228.35pt;height:17.2pt;z-index:251639296" filled="f" stroked="f">
            <v:textbox style="mso-next-textbox:#_x0000_s1107">
              <w:txbxContent>
                <w:p w:rsidR="001C7C52" w:rsidRDefault="001C7C52" w:rsidP="00BD5CBD">
                  <w:pPr>
                    <w:spacing w:line="240" w:lineRule="auto"/>
                  </w:pPr>
                  <w:r>
                    <w:rPr>
                      <w:rFonts w:ascii="Times New Roman" w:hAnsi="Times New Roman"/>
                      <w:i/>
                      <w:iCs/>
                      <w:sz w:val="18"/>
                      <w:szCs w:val="18"/>
                    </w:rPr>
                    <w:t xml:space="preserve">        </w:t>
                  </w:r>
                  <w:r w:rsidRPr="00924C96">
                    <w:rPr>
                      <w:rFonts w:ascii="Times New Roman" w:hAnsi="Times New Roman"/>
                      <w:i/>
                      <w:iCs/>
                      <w:sz w:val="18"/>
                      <w:szCs w:val="18"/>
                    </w:rPr>
                    <w:t>Z</w:t>
                  </w:r>
                  <w:r w:rsidRPr="00924C96">
                    <w:rPr>
                      <w:rFonts w:ascii="Times New Roman" w:hAnsi="Times New Roman"/>
                      <w:i/>
                      <w:iCs/>
                      <w:sz w:val="18"/>
                      <w:szCs w:val="18"/>
                      <w:vertAlign w:val="subscript"/>
                    </w:rPr>
                    <w:t>D</w:t>
                  </w:r>
                  <w:r>
                    <w:rPr>
                      <w:rFonts w:ascii="Times New Roman" w:hAnsi="Times New Roman"/>
                      <w:i/>
                      <w:iCs/>
                      <w:sz w:val="18"/>
                      <w:szCs w:val="18"/>
                      <w:vertAlign w:val="subscript"/>
                    </w:rPr>
                    <w:t xml:space="preserve">   </w:t>
                  </w:r>
                  <w:r w:rsidRPr="00924C96">
                    <w:rPr>
                      <w:rFonts w:ascii="Times New Roman" w:hAnsi="Times New Roman"/>
                      <w:i/>
                      <w:iCs/>
                      <w:sz w:val="18"/>
                      <w:szCs w:val="18"/>
                    </w:rPr>
                    <w:t>Z</w:t>
                  </w:r>
                  <w:r w:rsidRPr="00924C96">
                    <w:rPr>
                      <w:rFonts w:ascii="Times New Roman" w:hAnsi="Times New Roman"/>
                      <w:i/>
                      <w:iCs/>
                      <w:sz w:val="18"/>
                      <w:szCs w:val="18"/>
                      <w:vertAlign w:val="subscript"/>
                    </w:rPr>
                    <w:t>CCC/C</w:t>
                  </w:r>
                  <w:r w:rsidRPr="00924C96">
                    <w:rPr>
                      <w:rFonts w:ascii="Times New Roman" w:hAnsi="Times New Roman"/>
                      <w:i/>
                      <w:iCs/>
                      <w:sz w:val="18"/>
                      <w:szCs w:val="18"/>
                    </w:rPr>
                    <w:t xml:space="preserve"> </w:t>
                  </w:r>
                  <w:r>
                    <w:rPr>
                      <w:rFonts w:ascii="Times New Roman" w:hAnsi="Times New Roman"/>
                      <w:i/>
                      <w:iCs/>
                      <w:sz w:val="18"/>
                      <w:szCs w:val="18"/>
                    </w:rPr>
                    <w:t xml:space="preserve"> </w:t>
                  </w:r>
                  <w:r w:rsidRPr="00924C96">
                    <w:rPr>
                      <w:rFonts w:ascii="Times New Roman" w:hAnsi="Times New Roman"/>
                      <w:i/>
                      <w:iCs/>
                      <w:sz w:val="18"/>
                      <w:szCs w:val="18"/>
                    </w:rPr>
                    <w:t>Z</w:t>
                  </w:r>
                  <w:r w:rsidRPr="00924C96">
                    <w:rPr>
                      <w:rFonts w:ascii="Times New Roman" w:hAnsi="Times New Roman"/>
                      <w:i/>
                      <w:iCs/>
                      <w:sz w:val="18"/>
                      <w:szCs w:val="18"/>
                      <w:vertAlign w:val="subscript"/>
                    </w:rPr>
                    <w:t>B</w:t>
                  </w:r>
                  <w:r>
                    <w:rPr>
                      <w:rFonts w:ascii="Times New Roman" w:hAnsi="Times New Roman"/>
                      <w:i/>
                      <w:iCs/>
                      <w:sz w:val="18"/>
                      <w:szCs w:val="18"/>
                      <w:vertAlign w:val="subscript"/>
                    </w:rPr>
                    <w:t xml:space="preserve"> </w:t>
                  </w:r>
                  <w:r>
                    <w:rPr>
                      <w:rFonts w:ascii="Times New Roman" w:hAnsi="Times New Roman"/>
                      <w:i/>
                      <w:iCs/>
                      <w:sz w:val="18"/>
                      <w:szCs w:val="18"/>
                    </w:rPr>
                    <w:t xml:space="preserve"> </w:t>
                  </w:r>
                  <w:r w:rsidRPr="00A13C31">
                    <w:rPr>
                      <w:rFonts w:ascii="Times New Roman" w:hAnsi="Times New Roman"/>
                      <w:i/>
                      <w:iCs/>
                      <w:sz w:val="18"/>
                      <w:szCs w:val="18"/>
                    </w:rPr>
                    <w:t xml:space="preserve">   </w:t>
                  </w:r>
                  <w:r>
                    <w:rPr>
                      <w:rFonts w:ascii="Times New Roman" w:hAnsi="Times New Roman"/>
                      <w:i/>
                      <w:iCs/>
                      <w:sz w:val="18"/>
                      <w:szCs w:val="18"/>
                    </w:rPr>
                    <w:t xml:space="preserve"> </w:t>
                  </w:r>
                  <w:r w:rsidRPr="00924C96">
                    <w:rPr>
                      <w:rFonts w:ascii="Times New Roman" w:hAnsi="Times New Roman"/>
                      <w:i/>
                      <w:iCs/>
                      <w:sz w:val="18"/>
                      <w:szCs w:val="18"/>
                    </w:rPr>
                    <w:t>Z</w:t>
                  </w:r>
                  <w:r>
                    <w:rPr>
                      <w:rFonts w:ascii="Times New Roman" w:hAnsi="Times New Roman"/>
                      <w:i/>
                      <w:iCs/>
                      <w:sz w:val="18"/>
                      <w:szCs w:val="18"/>
                      <w:vertAlign w:val="subscript"/>
                    </w:rPr>
                    <w:t>BB</w:t>
                  </w:r>
                  <w:r w:rsidRPr="00A13C31">
                    <w:rPr>
                      <w:rFonts w:ascii="Times New Roman" w:hAnsi="Times New Roman"/>
                      <w:i/>
                      <w:iCs/>
                      <w:sz w:val="18"/>
                      <w:szCs w:val="18"/>
                    </w:rPr>
                    <w:t xml:space="preserve"> </w:t>
                  </w:r>
                  <w:r>
                    <w:rPr>
                      <w:rFonts w:ascii="Times New Roman" w:hAnsi="Times New Roman"/>
                      <w:i/>
                      <w:iCs/>
                      <w:sz w:val="18"/>
                      <w:szCs w:val="18"/>
                    </w:rPr>
                    <w:t xml:space="preserve">  </w:t>
                  </w:r>
                  <w:r w:rsidRPr="002D549D">
                    <w:rPr>
                      <w:rFonts w:ascii="Times New Roman" w:hAnsi="Times New Roman"/>
                      <w:i/>
                      <w:iCs/>
                      <w:sz w:val="16"/>
                      <w:szCs w:val="16"/>
                    </w:rPr>
                    <w:t xml:space="preserve"> </w:t>
                  </w:r>
                  <w:r w:rsidRPr="002D549D">
                    <w:rPr>
                      <w:rFonts w:ascii="Times New Roman" w:hAnsi="Times New Roman"/>
                      <w:i/>
                      <w:iCs/>
                      <w:sz w:val="18"/>
                      <w:szCs w:val="18"/>
                    </w:rPr>
                    <w:t xml:space="preserve"> </w:t>
                  </w:r>
                  <w:r w:rsidRPr="002D549D">
                    <w:rPr>
                      <w:rFonts w:ascii="Times New Roman" w:hAnsi="Times New Roman"/>
                      <w:i/>
                      <w:iCs/>
                      <w:sz w:val="16"/>
                      <w:szCs w:val="16"/>
                    </w:rPr>
                    <w:t xml:space="preserve">  </w:t>
                  </w:r>
                  <w:r w:rsidRPr="0034789E">
                    <w:rPr>
                      <w:rFonts w:ascii="Times New Roman" w:hAnsi="Times New Roman"/>
                      <w:i/>
                      <w:iCs/>
                      <w:szCs w:val="22"/>
                    </w:rPr>
                    <w:t xml:space="preserve"> </w:t>
                  </w:r>
                  <w:r>
                    <w:rPr>
                      <w:rFonts w:ascii="Times New Roman" w:hAnsi="Times New Roman"/>
                      <w:i/>
                      <w:iCs/>
                      <w:sz w:val="18"/>
                      <w:szCs w:val="18"/>
                    </w:rPr>
                    <w:t xml:space="preserve"> </w:t>
                  </w:r>
                  <w:r>
                    <w:rPr>
                      <w:rFonts w:ascii="Times New Roman" w:hAnsi="Times New Roman"/>
                      <w:iCs/>
                      <w:sz w:val="18"/>
                      <w:szCs w:val="18"/>
                    </w:rPr>
                    <w:t>0</w:t>
                  </w:r>
                  <w:r>
                    <w:rPr>
                      <w:rFonts w:ascii="Times New Roman" w:hAnsi="Times New Roman"/>
                      <w:i/>
                      <w:iCs/>
                      <w:sz w:val="18"/>
                      <w:szCs w:val="18"/>
                      <w:vertAlign w:val="subscript"/>
                    </w:rPr>
                    <w:t xml:space="preserve">                  </w:t>
                  </w:r>
                  <w:r w:rsidRPr="00924C96">
                    <w:rPr>
                      <w:rFonts w:ascii="Times New Roman" w:hAnsi="Times New Roman"/>
                      <w:i/>
                      <w:iCs/>
                      <w:sz w:val="18"/>
                      <w:szCs w:val="18"/>
                    </w:rPr>
                    <w:t>Z</w:t>
                  </w:r>
                  <w:r w:rsidRPr="00924C96">
                    <w:rPr>
                      <w:rFonts w:ascii="Times New Roman" w:hAnsi="Times New Roman"/>
                      <w:i/>
                      <w:iCs/>
                      <w:sz w:val="18"/>
                      <w:szCs w:val="18"/>
                      <w:vertAlign w:val="subscript"/>
                    </w:rPr>
                    <w:t>BBB</w:t>
                  </w:r>
                  <w:r>
                    <w:rPr>
                      <w:rFonts w:ascii="Times New Roman" w:hAnsi="Times New Roman"/>
                      <w:i/>
                      <w:iCs/>
                      <w:sz w:val="18"/>
                      <w:szCs w:val="18"/>
                      <w:vertAlign w:val="subscript"/>
                    </w:rPr>
                    <w:t xml:space="preserve">     </w:t>
                  </w:r>
                  <w:r w:rsidRPr="00924C96">
                    <w:rPr>
                      <w:rFonts w:ascii="Times New Roman" w:hAnsi="Times New Roman"/>
                      <w:i/>
                      <w:iCs/>
                      <w:sz w:val="18"/>
                      <w:szCs w:val="18"/>
                    </w:rPr>
                    <w:t>Z</w:t>
                  </w:r>
                  <w:r w:rsidRPr="00924C96">
                    <w:rPr>
                      <w:rFonts w:ascii="Times New Roman" w:hAnsi="Times New Roman"/>
                      <w:i/>
                      <w:iCs/>
                      <w:sz w:val="18"/>
                      <w:szCs w:val="18"/>
                      <w:vertAlign w:val="subscript"/>
                    </w:rPr>
                    <w:t>A</w:t>
                  </w:r>
                  <w:r>
                    <w:rPr>
                      <w:rFonts w:ascii="Times New Roman" w:hAnsi="Times New Roman"/>
                      <w:i/>
                      <w:iCs/>
                      <w:sz w:val="18"/>
                      <w:szCs w:val="18"/>
                      <w:vertAlign w:val="subscript"/>
                    </w:rPr>
                    <w:t xml:space="preserve">        </w:t>
                  </w:r>
                  <w:r w:rsidRPr="00924C96">
                    <w:rPr>
                      <w:rFonts w:ascii="Times New Roman" w:hAnsi="Times New Roman"/>
                      <w:i/>
                      <w:iCs/>
                      <w:sz w:val="18"/>
                      <w:szCs w:val="18"/>
                    </w:rPr>
                    <w:t>Z</w:t>
                  </w:r>
                  <w:r w:rsidRPr="00924C96">
                    <w:rPr>
                      <w:rFonts w:ascii="Times New Roman" w:hAnsi="Times New Roman"/>
                      <w:i/>
                      <w:iCs/>
                      <w:sz w:val="18"/>
                      <w:szCs w:val="18"/>
                      <w:vertAlign w:val="subscript"/>
                    </w:rPr>
                    <w:t>AA</w:t>
                  </w:r>
                </w:p>
              </w:txbxContent>
            </v:textbox>
          </v:shape>
        </w:pict>
      </w:r>
      <w:r>
        <w:rPr>
          <w:noProof/>
          <w:lang w:val="en-US"/>
        </w:rPr>
        <w:pict>
          <v:shape id="_x0000_s1108" type="#_x0000_t32" style="position:absolute;left:0;text-align:left;margin-left:336pt;margin-top:124.1pt;width:.05pt;height:2.05pt;z-index:251640320" o:connectortype="straight" strokeweight=".5pt"/>
        </w:pict>
      </w:r>
      <w:r>
        <w:rPr>
          <w:noProof/>
          <w:lang w:val="en-US"/>
        </w:rPr>
        <w:pict>
          <v:shape id="_x0000_s1109" type="#_x0000_t202" style="position:absolute;left:0;text-align:left;margin-left:186.5pt;margin-top:1.4pt;width:305.95pt;height:202.1pt;z-index:251637248" stroked="f">
            <v:textbox style="mso-next-textbox:#_x0000_s1109" inset="6.5mm,0">
              <w:txbxContent>
                <w:tbl>
                  <w:tblPr>
                    <w:tblW w:w="0" w:type="auto"/>
                    <w:tblBorders>
                      <w:bottom w:val="single" w:sz="4" w:space="0" w:color="auto"/>
                    </w:tblBorders>
                    <w:tblLook w:val="00A0"/>
                  </w:tblPr>
                  <w:tblGrid>
                    <w:gridCol w:w="5495"/>
                  </w:tblGrid>
                  <w:tr w:rsidR="001C7C52" w:rsidRPr="000B0ADE" w:rsidTr="0034789E">
                    <w:tc>
                      <w:tcPr>
                        <w:tcW w:w="5495" w:type="dxa"/>
                        <w:tcBorders>
                          <w:bottom w:val="single" w:sz="4" w:space="0" w:color="auto"/>
                        </w:tcBorders>
                        <w:vAlign w:val="center"/>
                      </w:tcPr>
                      <w:p w:rsidR="001C7C52" w:rsidRPr="003805EF" w:rsidRDefault="001C7C52" w:rsidP="001568FB">
                        <w:pPr>
                          <w:spacing w:line="240" w:lineRule="auto"/>
                          <w:rPr>
                            <w:rFonts w:ascii="Garamond" w:hAnsi="Garamond"/>
                            <w:sz w:val="20"/>
                            <w:lang w:val="en-US"/>
                          </w:rPr>
                        </w:pPr>
                        <w:bookmarkStart w:id="8" w:name="F2"/>
                        <w:bookmarkEnd w:id="8"/>
                        <w:r w:rsidRPr="00991170">
                          <w:rPr>
                            <w:rFonts w:ascii="Garamond" w:hAnsi="Garamond"/>
                            <w:b/>
                            <w:color w:val="000000"/>
                            <w:lang w:val="en-US"/>
                          </w:rPr>
                          <w:t>F</w:t>
                        </w:r>
                        <w:r w:rsidRPr="00991170">
                          <w:rPr>
                            <w:rFonts w:ascii="Garamond" w:hAnsi="Garamond"/>
                            <w:b/>
                            <w:color w:val="000000"/>
                            <w:sz w:val="18"/>
                            <w:szCs w:val="18"/>
                            <w:lang w:val="en-US"/>
                          </w:rPr>
                          <w:t>IGURE</w:t>
                        </w:r>
                        <w:r w:rsidRPr="00991170">
                          <w:rPr>
                            <w:rFonts w:ascii="Garamond" w:hAnsi="Garamond"/>
                            <w:b/>
                            <w:color w:val="000000"/>
                            <w:lang w:val="en-US"/>
                          </w:rPr>
                          <w:t xml:space="preserve"> II</w:t>
                        </w:r>
                        <w:r>
                          <w:rPr>
                            <w:rFonts w:ascii="Garamond" w:hAnsi="Garamond"/>
                            <w:b/>
                            <w:color w:val="000000"/>
                            <w:lang w:val="en-US"/>
                          </w:rPr>
                          <w:t xml:space="preserve"> </w:t>
                        </w:r>
                        <w:r>
                          <w:rPr>
                            <w:rFonts w:ascii="Garamond" w:hAnsi="Garamond"/>
                            <w:color w:val="000000"/>
                            <w:lang w:val="en-US"/>
                          </w:rPr>
                          <w:t xml:space="preserve">- </w:t>
                        </w:r>
                        <w:r w:rsidRPr="00B21777">
                          <w:rPr>
                            <w:rFonts w:ascii="Garamond" w:hAnsi="Garamond"/>
                            <w:color w:val="000000"/>
                            <w:sz w:val="20"/>
                            <w:lang w:val="en-US"/>
                          </w:rPr>
                          <w:t>Asset Return Thresholds (</w:t>
                        </w:r>
                        <w:r w:rsidRPr="00B21777">
                          <w:rPr>
                            <w:rFonts w:ascii="Garamond" w:hAnsi="Garamond"/>
                            <w:i/>
                            <w:color w:val="000000"/>
                            <w:sz w:val="20"/>
                            <w:lang w:val="en-US"/>
                          </w:rPr>
                          <w:t>Z</w:t>
                        </w:r>
                        <w:r w:rsidRPr="00B21777">
                          <w:rPr>
                            <w:rFonts w:ascii="Garamond" w:hAnsi="Garamond"/>
                            <w:color w:val="000000"/>
                            <w:sz w:val="20"/>
                            <w:lang w:val="en-US"/>
                          </w:rPr>
                          <w:t>-Values)</w:t>
                        </w:r>
                      </w:p>
                    </w:tc>
                  </w:tr>
                  <w:tr w:rsidR="001C7C52" w:rsidRPr="000B0ADE" w:rsidTr="0034789E">
                    <w:tc>
                      <w:tcPr>
                        <w:tcW w:w="5495" w:type="dxa"/>
                        <w:tcBorders>
                          <w:top w:val="single" w:sz="4" w:space="0" w:color="auto"/>
                          <w:bottom w:val="nil"/>
                        </w:tcBorders>
                        <w:vAlign w:val="center"/>
                      </w:tcPr>
                      <w:p w:rsidR="001C7C52" w:rsidRPr="003805EF" w:rsidRDefault="001C7C52" w:rsidP="00822317">
                        <w:pPr>
                          <w:spacing w:line="60" w:lineRule="exact"/>
                          <w:rPr>
                            <w:rFonts w:ascii="Garamond" w:hAnsi="Garamond"/>
                            <w:sz w:val="20"/>
                            <w:lang w:val="en-US"/>
                          </w:rPr>
                        </w:pPr>
                      </w:p>
                    </w:tc>
                  </w:tr>
                </w:tbl>
                <w:p w:rsidR="001C7C52" w:rsidRPr="003805EF" w:rsidRDefault="001C7C52" w:rsidP="00B81119">
                  <w:pPr>
                    <w:spacing w:line="140" w:lineRule="exact"/>
                    <w:rPr>
                      <w:rFonts w:ascii="Garamond" w:hAnsi="Garamond"/>
                      <w:lang w:val="en-US"/>
                    </w:rPr>
                  </w:pPr>
                </w:p>
                <w:p w:rsidR="001C7C52" w:rsidRDefault="001C7C52" w:rsidP="00382FA6">
                  <w:pPr>
                    <w:ind w:hanging="567"/>
                    <w:rPr>
                      <w:rFonts w:ascii="Garamond" w:hAnsi="Garamond"/>
                      <w:sz w:val="8"/>
                      <w:szCs w:val="8"/>
                      <w:lang w:val="en-US"/>
                    </w:rPr>
                  </w:pPr>
                  <w:r w:rsidRPr="002E2E49">
                    <w:rPr>
                      <w:rFonts w:ascii="Garamond" w:hAnsi="Garamond"/>
                      <w:noProof/>
                      <w:sz w:val="8"/>
                      <w:szCs w:val="8"/>
                      <w:lang w:val="en-US"/>
                    </w:rPr>
                    <w:pict>
                      <v:shape id="Chart 1" o:spid="_x0000_i1036" type="#_x0000_t75" style="width:309pt;height:128.2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">
                        <v:imagedata r:id="rId37" o:title="" croptop="-968f" cropbottom="-153f" cropleft="-5363f" cropright="-12242f"/>
                        <o:lock v:ext="edit" aspectratio="f"/>
                      </v:shape>
                    </w:pict>
                  </w:r>
                </w:p>
                <w:tbl>
                  <w:tblPr>
                    <w:tblW w:w="0" w:type="auto"/>
                    <w:tblBorders>
                      <w:insideH w:val="single" w:sz="4" w:space="0" w:color="auto"/>
                    </w:tblBorders>
                    <w:tblLook w:val="00A0"/>
                  </w:tblPr>
                  <w:tblGrid>
                    <w:gridCol w:w="5495"/>
                  </w:tblGrid>
                  <w:tr w:rsidR="001C7C52" w:rsidTr="002E2E49">
                    <w:tc>
                      <w:tcPr>
                        <w:tcW w:w="5495" w:type="dxa"/>
                      </w:tcPr>
                      <w:p w:rsidR="001C7C52" w:rsidRPr="002E2E49" w:rsidRDefault="001C7C52" w:rsidP="002E2E49">
                        <w:pPr>
                          <w:spacing w:line="60" w:lineRule="atLeast"/>
                          <w:rPr>
                            <w:rFonts w:ascii="Garamond" w:hAnsi="Garamond"/>
                            <w:sz w:val="8"/>
                            <w:szCs w:val="8"/>
                            <w:lang w:val="en-US"/>
                          </w:rPr>
                        </w:pPr>
                      </w:p>
                    </w:tc>
                  </w:tr>
                  <w:tr w:rsidR="001C7C52" w:rsidRPr="007F52FA" w:rsidTr="002E2E49">
                    <w:trPr>
                      <w:trHeight w:val="307"/>
                    </w:trPr>
                    <w:tc>
                      <w:tcPr>
                        <w:tcW w:w="5495" w:type="dxa"/>
                      </w:tcPr>
                      <w:p w:rsidR="001C7C52" w:rsidRPr="002E2E49" w:rsidRDefault="001C7C52" w:rsidP="002E2E49">
                        <w:pPr>
                          <w:spacing w:after="40" w:line="180" w:lineRule="exact"/>
                          <w:jc w:val="both"/>
                          <w:rPr>
                            <w:rFonts w:ascii="Garamond" w:hAnsi="Garamond"/>
                            <w:sz w:val="16"/>
                            <w:szCs w:val="16"/>
                            <w:lang w:val="en-US"/>
                          </w:rPr>
                        </w:pPr>
                        <w:r w:rsidRPr="002E2E49">
                          <w:rPr>
                            <w:rFonts w:ascii="Garamond" w:hAnsi="Garamond"/>
                            <w:sz w:val="16"/>
                            <w:szCs w:val="16"/>
                            <w:lang w:val="en-US"/>
                          </w:rPr>
                          <w:t>The asset return thresholds specify the simulated credit rating at the end of the risk horizon, based on the simulated issuer asset return. The displayed example concerns an issuer with BBB initial credit rating. Moreover, the assumed asset return distribution is Gaussian.</w:t>
                        </w:r>
                      </w:p>
                    </w:tc>
                  </w:tr>
                </w:tbl>
                <w:p w:rsidR="001C7C52" w:rsidRDefault="001C7C52">
                  <w:pPr>
                    <w:rPr>
                      <w:rFonts w:ascii="Garamond" w:hAnsi="Garamond"/>
                      <w:sz w:val="8"/>
                      <w:szCs w:val="8"/>
                      <w:lang w:val="en-US"/>
                    </w:rPr>
                  </w:pPr>
                </w:p>
              </w:txbxContent>
            </v:textbox>
            <w10:wrap type="square"/>
          </v:shape>
        </w:pict>
      </w:r>
      <w:hyperlink w:anchor="F2" w:history="1">
        <w:r w:rsidRPr="00802C03">
          <w:rPr>
            <w:rStyle w:val="Hyperlink"/>
            <w:rFonts w:ascii="Garamond" w:hAnsi="Garamond" w:cs="NimbusRomNo9L-Regu"/>
            <w:color w:val="000066"/>
            <w:u w:val="none"/>
            <w:lang w:val="en-GB" w:eastAsia="nl-NL"/>
          </w:rPr>
          <w:t>Figure II</w:t>
        </w:r>
      </w:hyperlink>
      <w:r w:rsidRPr="00802C03">
        <w:rPr>
          <w:rFonts w:ascii="Garamond" w:hAnsi="Garamond" w:cs="NimbusRomNo9L-Regu"/>
          <w:lang w:val="en-GB" w:eastAsia="nl-NL"/>
        </w:rPr>
        <w:t xml:space="preserve"> displays the thresholds in graphical form. The </w:t>
      </w:r>
      <w:r w:rsidRPr="00100BDF">
        <w:rPr>
          <w:rFonts w:ascii="Garamond" w:hAnsi="Garamond" w:cs="NimbusRomNo9L-Regu"/>
          <w:position w:val="-8"/>
          <w:lang w:val="en-GB" w:eastAsia="nl-NL"/>
        </w:rPr>
        <w:object w:dxaOrig="580" w:dyaOrig="279">
          <v:shape id="_x0000_i1037" type="#_x0000_t75" style="width:28.5pt;height:13.5pt" o:ole="">
            <v:imagedata r:id="rId38" o:title=""/>
          </v:shape>
          <o:OLEObject Type="Embed" ProgID="Equation.DSMT4" ShapeID="_x0000_i1037" DrawAspect="Content" ObjectID="_1324893578" r:id="rId39"/>
        </w:object>
      </w:r>
      <w:r w:rsidRPr="00802C03">
        <w:rPr>
          <w:rFonts w:ascii="Garamond" w:hAnsi="Garamond"/>
          <w:lang w:val="en-GB"/>
        </w:rPr>
        <w:t xml:space="preserve"> threshold value (</w:t>
      </w:r>
      <w:r w:rsidRPr="00100BDF">
        <w:rPr>
          <w:rFonts w:ascii="Garamond" w:hAnsi="Garamond"/>
          <w:position w:val="-8"/>
          <w:lang w:val="en-GB"/>
        </w:rPr>
        <w:object w:dxaOrig="279" w:dyaOrig="279">
          <v:shape id="_x0000_i1038" type="#_x0000_t75" style="width:13.5pt;height:13.5pt" o:ole="">
            <v:imagedata r:id="rId40" o:title=""/>
          </v:shape>
          <o:OLEObject Type="Embed" ProgID="Equation.DSMT4" ShapeID="_x0000_i1038" DrawAspect="Content" ObjectID="_1324893579" r:id="rId41"/>
        </w:object>
      </w:r>
      <w:r w:rsidRPr="00802C03">
        <w:rPr>
          <w:rFonts w:ascii="Garamond" w:hAnsi="Garamond"/>
          <w:lang w:val="en-GB"/>
        </w:rPr>
        <w:t xml:space="preserve"> in the figure),  for example, specifies that a simulated issuer asset return of a BBB-rated issuer below that particular value produces a simulated default of that BBB-rated issuer at the end of the considered horizon. Note that no threshold concerning the migration to the AAA-rating is specified, as an asset return higher than </w:t>
      </w:r>
      <w:r w:rsidRPr="00100BDF">
        <w:rPr>
          <w:rFonts w:ascii="Garamond" w:hAnsi="Garamond"/>
          <w:position w:val="-10"/>
          <w:lang w:val="en-GB"/>
        </w:rPr>
        <w:object w:dxaOrig="580" w:dyaOrig="300">
          <v:shape id="_x0000_i1039" type="#_x0000_t75" style="width:28.5pt;height:15pt" o:ole="">
            <v:imagedata r:id="rId42" o:title=""/>
          </v:shape>
          <o:OLEObject Type="Embed" ProgID="Equation.DSMT4" ShapeID="_x0000_i1039" DrawAspect="Content" ObjectID="_1324893580" r:id="rId43"/>
        </w:object>
      </w:r>
      <w:r w:rsidRPr="00802C03">
        <w:rPr>
          <w:rFonts w:ascii="Garamond" w:hAnsi="Garamond"/>
          <w:lang w:val="en-GB"/>
        </w:rPr>
        <w:t xml:space="preserve"> always implies a transition to the AAA-rating. For each credit rating (</w:t>
      </w:r>
      <w:r w:rsidRPr="00100BDF">
        <w:rPr>
          <w:rFonts w:ascii="Garamond" w:hAnsi="Garamond"/>
          <w:position w:val="-8"/>
          <w:lang w:val="en-GB"/>
        </w:rPr>
        <w:object w:dxaOrig="360" w:dyaOrig="279">
          <v:shape id="_x0000_i1040" type="#_x0000_t75" style="width:18pt;height:13.5pt" o:ole="">
            <v:imagedata r:id="rId44" o:title=""/>
          </v:shape>
          <o:OLEObject Type="Embed" ProgID="Equation.DSMT4" ShapeID="_x0000_i1040" DrawAspect="Content" ObjectID="_1324893581" r:id="rId45"/>
        </w:object>
      </w:r>
      <w:r w:rsidRPr="00802C03">
        <w:rPr>
          <w:rFonts w:ascii="Garamond" w:hAnsi="Garamond" w:cs="NimbusRomNo9L-Regu"/>
          <w:lang w:val="en-GB" w:eastAsia="nl-NL"/>
        </w:rPr>
        <w:t>)</w:t>
      </w:r>
      <w:r w:rsidRPr="00802C03">
        <w:rPr>
          <w:rFonts w:ascii="Garamond" w:hAnsi="Garamond"/>
          <w:lang w:val="en-GB"/>
        </w:rPr>
        <w:t xml:space="preserve">, except the default rating, the seven </w:t>
      </w:r>
      <w:r w:rsidRPr="00802C03">
        <w:rPr>
          <w:rFonts w:ascii="Garamond" w:hAnsi="Garamond"/>
          <w:i/>
          <w:lang w:val="en-GB"/>
        </w:rPr>
        <w:t>Z</w:t>
      </w:r>
      <w:r w:rsidRPr="00802C03">
        <w:rPr>
          <w:rFonts w:ascii="Garamond" w:hAnsi="Garamond"/>
          <w:lang w:val="en-GB"/>
        </w:rPr>
        <w:t>-values are computed.</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Consequently, when an asset return is simulated for each issuer in the portfolio, the credit rating for each issuer at the end of the considered (risk) horizon can be obtained, conditional to its initial credit rating. A simulated issuer asset return in this framework is a standard normally distributed random variable. The generation of the credit rating (</w:t>
      </w:r>
      <w:r w:rsidRPr="00100BDF">
        <w:rPr>
          <w:rFonts w:ascii="Garamond" w:hAnsi="Garamond"/>
          <w:position w:val="-10"/>
          <w:lang w:val="en-GB"/>
        </w:rPr>
        <w:object w:dxaOrig="540" w:dyaOrig="300">
          <v:shape id="_x0000_i1041" type="#_x0000_t75" style="width:27pt;height:15pt" o:ole="">
            <v:imagedata r:id="rId46" o:title=""/>
          </v:shape>
          <o:OLEObject Type="Embed" ProgID="Equation.DSMT4" ShapeID="_x0000_i1041" DrawAspect="Content" ObjectID="_1324893582" r:id="rId47"/>
        </w:object>
      </w:r>
      <w:r w:rsidRPr="00802C03">
        <w:rPr>
          <w:rFonts w:ascii="Garamond" w:hAnsi="Garamond" w:cs="NimbusRomNo9L-Regu"/>
          <w:lang w:val="en-GB" w:eastAsia="nl-NL"/>
        </w:rPr>
        <w:t xml:space="preserve">) </w:t>
      </w:r>
      <w:r w:rsidRPr="00802C03">
        <w:rPr>
          <w:rFonts w:ascii="Garamond" w:hAnsi="Garamond"/>
          <w:lang w:val="en-GB"/>
        </w:rPr>
        <w:t>at the end of considered risk horizon (</w:t>
      </w:r>
      <w:r w:rsidRPr="00100BDF">
        <w:rPr>
          <w:rFonts w:ascii="Garamond" w:hAnsi="Garamond"/>
          <w:position w:val="-6"/>
          <w:lang w:val="en-GB"/>
        </w:rPr>
        <w:object w:dxaOrig="180" w:dyaOrig="260">
          <v:shape id="_x0000_i1042" type="#_x0000_t75" style="width:9pt;height:13.5pt" o:ole="">
            <v:imagedata r:id="rId48" o:title=""/>
          </v:shape>
          <o:OLEObject Type="Embed" ProgID="Equation.DSMT4" ShapeID="_x0000_i1042" DrawAspect="Content" ObjectID="_1324893583" r:id="rId49"/>
        </w:object>
      </w:r>
      <w:r w:rsidRPr="00802C03">
        <w:rPr>
          <w:rFonts w:ascii="Garamond" w:hAnsi="Garamond"/>
          <w:lang w:val="en-GB"/>
        </w:rPr>
        <w:t xml:space="preserve">), using </w:t>
      </w:r>
      <w:r w:rsidRPr="00802C03">
        <w:rPr>
          <w:rFonts w:ascii="Garamond" w:hAnsi="Garamond" w:cs="NimbusRomNo9L-Regu"/>
          <w:lang w:val="en-GB" w:eastAsia="nl-NL"/>
        </w:rPr>
        <w:t>the initial credit rating (</w:t>
      </w:r>
      <w:r w:rsidRPr="00100BDF">
        <w:rPr>
          <w:rFonts w:ascii="Garamond" w:hAnsi="Garamond" w:cs="NimbusRomNo9L-Regu"/>
          <w:position w:val="-10"/>
          <w:lang w:val="en-GB" w:eastAsia="nl-NL"/>
        </w:rPr>
        <w:object w:dxaOrig="420" w:dyaOrig="300">
          <v:shape id="_x0000_i1043" type="#_x0000_t75" style="width:21pt;height:15pt" o:ole="">
            <v:imagedata r:id="rId50" o:title=""/>
          </v:shape>
          <o:OLEObject Type="Embed" ProgID="Equation.DSMT4" ShapeID="_x0000_i1043" DrawAspect="Content" ObjectID="_1324893584" r:id="rId51"/>
        </w:object>
      </w:r>
      <w:r w:rsidRPr="00802C03">
        <w:rPr>
          <w:rFonts w:ascii="Garamond" w:hAnsi="Garamond" w:cs="NimbusRomNo9L-Regu"/>
          <w:lang w:val="en-GB" w:eastAsia="nl-NL"/>
        </w:rPr>
        <w:t>) and</w:t>
      </w:r>
      <w:r w:rsidRPr="00802C03">
        <w:rPr>
          <w:rFonts w:ascii="Garamond" w:hAnsi="Garamond"/>
          <w:lang w:val="en-GB"/>
        </w:rPr>
        <w:t xml:space="preserve"> the simulated issuer asset return (</w:t>
      </w:r>
      <w:r w:rsidRPr="00100BDF">
        <w:rPr>
          <w:rFonts w:ascii="Garamond" w:hAnsi="Garamond"/>
          <w:position w:val="-8"/>
          <w:lang w:val="en-GB"/>
        </w:rPr>
        <w:object w:dxaOrig="200" w:dyaOrig="279">
          <v:shape id="_x0000_i1044" type="#_x0000_t75" style="width:9.75pt;height:13.5pt" o:ole="">
            <v:imagedata r:id="rId52" o:title=""/>
          </v:shape>
          <o:OLEObject Type="Embed" ProgID="Equation.DSMT4" ShapeID="_x0000_i1044" DrawAspect="Content" ObjectID="_1324893585" r:id="rId53"/>
        </w:object>
      </w:r>
      <w:r w:rsidRPr="00802C03">
        <w:rPr>
          <w:rFonts w:ascii="Garamond" w:hAnsi="Garamond" w:cs="NimbusRomNo9L-Regu"/>
          <w:lang w:val="en-GB" w:eastAsia="nl-NL"/>
        </w:rPr>
        <w:t xml:space="preserve">) underlying the credit position </w:t>
      </w:r>
      <w:r w:rsidRPr="00100BDF">
        <w:rPr>
          <w:rFonts w:ascii="Garamond" w:hAnsi="Garamond" w:cs="NimbusRomNo9L-Regu"/>
          <w:position w:val="-6"/>
          <w:lang w:val="en-GB" w:eastAsia="nl-NL"/>
        </w:rPr>
        <w:object w:dxaOrig="139" w:dyaOrig="240">
          <v:shape id="_x0000_i1045" type="#_x0000_t75" style="width:6.75pt;height:12pt" o:ole="">
            <v:imagedata r:id="rId54" o:title=""/>
          </v:shape>
          <o:OLEObject Type="Embed" ProgID="Equation.DSMT4" ShapeID="_x0000_i1045" DrawAspect="Content" ObjectID="_1324893586" r:id="rId55"/>
        </w:object>
      </w:r>
      <w:r w:rsidRPr="00802C03">
        <w:rPr>
          <w:rFonts w:ascii="Garamond" w:hAnsi="Garamond" w:cs="NimbusRomNo9L-Regu"/>
          <w:lang w:val="en-GB" w:eastAsia="nl-NL"/>
        </w:rPr>
        <w:t xml:space="preserve">, </w:t>
      </w:r>
      <w:r w:rsidRPr="00802C03">
        <w:rPr>
          <w:rFonts w:ascii="Garamond" w:hAnsi="Garamond"/>
          <w:lang w:val="en-GB"/>
        </w:rPr>
        <w:t>is expressed as follows:</w:t>
      </w:r>
    </w:p>
    <w:p w:rsidR="001C7C52" w:rsidRPr="00802C03" w:rsidRDefault="001C7C52" w:rsidP="00AA625C">
      <w:pPr>
        <w:tabs>
          <w:tab w:val="left" w:pos="567"/>
          <w:tab w:val="left" w:pos="8505"/>
        </w:tabs>
        <w:spacing w:before="12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18"/>
          <w:lang w:val="en-GB" w:eastAsia="nl-NL"/>
        </w:rPr>
        <w:object w:dxaOrig="3720" w:dyaOrig="2460">
          <v:shape id="_x0000_i1046" type="#_x0000_t75" style="width:186pt;height:121.5pt" o:ole="">
            <v:imagedata r:id="rId56" o:title=""/>
          </v:shape>
          <o:OLEObject Type="Embed" ProgID="Equation.DSMT4" ShapeID="_x0000_i1046" DrawAspect="Content" ObjectID="_1324893587" r:id="rId57"/>
        </w:object>
      </w:r>
      <w:r w:rsidRPr="00802C03">
        <w:rPr>
          <w:rFonts w:ascii="Garamond" w:hAnsi="Garamond" w:cs="NimbusRomNo9L-Regu"/>
          <w:lang w:val="en-GB" w:eastAsia="nl-NL"/>
        </w:rPr>
        <w:t>,</w:t>
      </w:r>
      <w:r w:rsidRPr="00802C03">
        <w:rPr>
          <w:rFonts w:ascii="Garamond" w:hAnsi="Garamond" w:cs="NimbusRomNo9L-Regu"/>
          <w:lang w:val="en-GB" w:eastAsia="nl-NL"/>
        </w:rPr>
        <w:tab/>
        <w:t>(1.8)</w:t>
      </w:r>
    </w:p>
    <w:p w:rsidR="001C7C52" w:rsidRPr="00802C03" w:rsidRDefault="001C7C52" w:rsidP="00AA625C">
      <w:pPr>
        <w:tabs>
          <w:tab w:val="left" w:pos="567"/>
          <w:tab w:val="left" w:pos="8505"/>
        </w:tabs>
        <w:spacing w:before="120" w:after="160" w:line="280" w:lineRule="exact"/>
        <w:jc w:val="both"/>
        <w:rPr>
          <w:rFonts w:ascii="Garamond" w:hAnsi="Garamond" w:cs="NimbusRomNo9L-Regu"/>
          <w:lang w:val="en-GB" w:eastAsia="nl-NL"/>
        </w:rPr>
      </w:pPr>
      <w:r w:rsidRPr="00802C03">
        <w:rPr>
          <w:rFonts w:ascii="Garamond" w:hAnsi="Garamond" w:cs="NimbusRomNo9L-Regu"/>
          <w:lang w:val="en-GB" w:eastAsia="nl-NL"/>
        </w:rPr>
        <w:tab/>
        <w:t xml:space="preserve">where </w:t>
      </w:r>
      <w:r w:rsidRPr="00100BDF">
        <w:rPr>
          <w:rFonts w:ascii="Garamond" w:hAnsi="Garamond" w:cs="NimbusRomNo9L-Regu"/>
          <w:position w:val="-10"/>
          <w:lang w:val="en-GB" w:eastAsia="nl-NL"/>
        </w:rPr>
        <w:object w:dxaOrig="960" w:dyaOrig="300">
          <v:shape id="_x0000_i1047" type="#_x0000_t75" style="width:48pt;height:15pt" o:ole="">
            <v:imagedata r:id="rId58" o:title=""/>
          </v:shape>
          <o:OLEObject Type="Embed" ProgID="Equation.DSMT4" ShapeID="_x0000_i1047" DrawAspect="Content" ObjectID="_1324893588" r:id="rId59"/>
        </w:object>
      </w:r>
      <w:r w:rsidRPr="00802C03">
        <w:rPr>
          <w:rFonts w:ascii="Garamond" w:hAnsi="Garamond" w:cs="NimbusRomNo9L-Regu"/>
          <w:lang w:val="en-GB" w:eastAsia="nl-NL"/>
        </w:rPr>
        <w:t>.</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The issuer asset correlations are incorporated by generating random drawings from the standard normal distribution that are correlated according to the actual asset correlations between the issuers. Consequently, the simulated credit migrations are correlated. The only remaining step is the calculation of the value of each position at the end of the horizon, given the simulated credit rating. The sum of these values is the total portfolio value at the end of the considered risk horizon for one particular simulation scenario of issuer asset returns. The total portfolio value distribution is produced by generating a large number of correlated asset return scenarios and obtaining their resulting total portfolio values. The required value-at-risk measure can simply be taken from this distribution.</w:t>
      </w:r>
    </w:p>
    <w:p w:rsidR="001C7C52" w:rsidRPr="00802C03" w:rsidRDefault="001C7C52" w:rsidP="00E17C8F">
      <w:pPr>
        <w:spacing w:line="160" w:lineRule="exact"/>
        <w:jc w:val="both"/>
        <w:rPr>
          <w:rFonts w:ascii="Garamond" w:hAnsi="Garamond"/>
          <w:lang w:val="en-GB"/>
        </w:rPr>
      </w:pP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 xml:space="preserve">The CreditMetrics model provides a powerful and intuitively appealing simulation framework. Notice that the assumption that the issuer asset returns are normally distributed does not actually imply that these returns must be normally distributed in reality. The assumption essentially states that the nature of the issuer asset correlations is Gaussian (normal), which </w:t>
      </w:r>
      <w:r>
        <w:rPr>
          <w:rFonts w:ascii="Garamond" w:hAnsi="Garamond"/>
          <w:lang w:val="en-GB"/>
        </w:rPr>
        <w:t xml:space="preserve">obviously </w:t>
      </w:r>
      <w:r w:rsidRPr="00802C03">
        <w:rPr>
          <w:rFonts w:ascii="Garamond" w:hAnsi="Garamond"/>
          <w:lang w:val="en-GB"/>
        </w:rPr>
        <w:t>is a less strict assumption than the assumption that asset returns are actually normally distributed.</w:t>
      </w:r>
    </w:p>
    <w:p w:rsidR="001C7C52" w:rsidRPr="00802C03" w:rsidRDefault="001C7C52" w:rsidP="00FA7804">
      <w:pPr>
        <w:spacing w:line="280" w:lineRule="exact"/>
        <w:jc w:val="both"/>
        <w:rPr>
          <w:rFonts w:ascii="Garamond" w:hAnsi="Garamond"/>
          <w:lang w:val="en-GB"/>
        </w:rPr>
      </w:pPr>
      <w:r w:rsidRPr="00802C03">
        <w:rPr>
          <w:rFonts w:ascii="Garamond" w:hAnsi="Garamond"/>
          <w:lang w:val="en-GB"/>
        </w:rPr>
        <w:t xml:space="preserve">The CreditMetrics model serves as an excellent starting point in the derivation of an incremental risk model. It incorporates the majority of the Basel Committee’s requirements directly, though there is an essential aspect it cannot handle. Namely, the CreditMetrics model incorporates a single risk horizon that is equal for all </w:t>
      </w:r>
      <w:r>
        <w:rPr>
          <w:rFonts w:ascii="Garamond" w:hAnsi="Garamond"/>
          <w:lang w:val="en-GB"/>
        </w:rPr>
        <w:t>positions in the evaluated portfolio</w:t>
      </w:r>
      <w:r w:rsidRPr="00802C03">
        <w:rPr>
          <w:rFonts w:ascii="Garamond" w:hAnsi="Garamond"/>
          <w:lang w:val="en-GB"/>
        </w:rPr>
        <w:t>. Moreover, the model does not allow for rebalancing of positions before the end of that single uniform risk horizon. In such a structure, the effects of the constant level of risk assumption and the concept of the liquidity horizon (that may differ for all positions in the portfolio), clearly cannot be accurately captured or implemented. The main complication lies within single-period nature of the technical correlation structure of the CreditMetrics model. Essentially, a multi-period model is warranted to handle the possible variety of different liquidity horizons of the positions in a bank’s trading book.</w:t>
      </w:r>
    </w:p>
    <w:p w:rsidR="001C7C52" w:rsidRPr="00802C03" w:rsidRDefault="001C7C52" w:rsidP="00CF6DB4">
      <w:pPr>
        <w:spacing w:line="280" w:lineRule="exact"/>
        <w:jc w:val="both"/>
        <w:rPr>
          <w:rFonts w:ascii="Garamond" w:hAnsi="Garamond" w:cs="NimbusRomNo9L-Regu"/>
          <w:lang w:val="en-GB" w:eastAsia="nl-NL"/>
        </w:rPr>
      </w:pPr>
    </w:p>
    <w:tbl>
      <w:tblPr>
        <w:tblW w:w="5301" w:type="dxa"/>
        <w:tblInd w:w="-1276" w:type="dxa"/>
        <w:tblLayout w:type="fixed"/>
        <w:tblCellMar>
          <w:left w:w="0" w:type="dxa"/>
          <w:right w:w="0" w:type="dxa"/>
        </w:tblCellMar>
        <w:tblLook w:val="00A0"/>
      </w:tblPr>
      <w:tblGrid>
        <w:gridCol w:w="709"/>
        <w:gridCol w:w="567"/>
        <w:gridCol w:w="4025"/>
      </w:tblGrid>
      <w:tr w:rsidR="001C7C52" w:rsidRPr="000B0ADE"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1.3</w:t>
            </w:r>
          </w:p>
        </w:tc>
        <w:tc>
          <w:tcPr>
            <w:tcW w:w="4025" w:type="dxa"/>
          </w:tcPr>
          <w:p w:rsidR="001C7C52" w:rsidRPr="002E2E49" w:rsidRDefault="001C7C52" w:rsidP="002E2E49">
            <w:pPr>
              <w:spacing w:line="280" w:lineRule="exact"/>
              <w:jc w:val="both"/>
              <w:rPr>
                <w:rFonts w:ascii="Garamond" w:hAnsi="Garamond" w:cs="NimbusRomNo9L-Regu"/>
                <w:lang w:val="en-GB" w:eastAsia="nl-NL"/>
              </w:rPr>
            </w:pPr>
            <w:bookmarkStart w:id="9" w:name="S130"/>
            <w:bookmarkEnd w:id="9"/>
            <w:r w:rsidRPr="002E2E49">
              <w:rPr>
                <w:rFonts w:ascii="Garamond" w:hAnsi="Garamond" w:cs="NimbusRomNo9L-Regu"/>
                <w:b/>
                <w:lang w:val="en-GB" w:eastAsia="nl-NL"/>
              </w:rPr>
              <w:t>T</w:t>
            </w:r>
            <w:r w:rsidRPr="002E2E49">
              <w:rPr>
                <w:rFonts w:ascii="Garamond" w:hAnsi="Garamond" w:cs="NimbusRomNo9L-Regu"/>
                <w:b/>
                <w:sz w:val="18"/>
                <w:szCs w:val="18"/>
                <w:lang w:val="en-GB" w:eastAsia="nl-NL"/>
              </w:rPr>
              <w:t>HE</w:t>
            </w:r>
            <w:r w:rsidRPr="002E2E49">
              <w:rPr>
                <w:rFonts w:ascii="Garamond" w:hAnsi="Garamond" w:cs="NimbusRomNo9L-Regu"/>
                <w:b/>
                <w:lang w:val="en-GB" w:eastAsia="nl-NL"/>
              </w:rPr>
              <w:t xml:space="preserve"> M</w:t>
            </w:r>
            <w:r w:rsidRPr="002E2E49">
              <w:rPr>
                <w:rFonts w:ascii="Garamond" w:hAnsi="Garamond" w:cs="NimbusRomNo9L-Regu"/>
                <w:b/>
                <w:sz w:val="18"/>
                <w:szCs w:val="18"/>
                <w:lang w:val="en-GB" w:eastAsia="nl-NL"/>
              </w:rPr>
              <w:t>ULTI</w:t>
            </w:r>
            <w:r w:rsidRPr="002E2E49">
              <w:rPr>
                <w:rFonts w:ascii="Garamond" w:hAnsi="Garamond" w:cs="NimbusRomNo9L-Regu"/>
                <w:b/>
                <w:lang w:val="en-GB" w:eastAsia="nl-NL"/>
              </w:rPr>
              <w:t>-P</w:t>
            </w:r>
            <w:r w:rsidRPr="002E2E49">
              <w:rPr>
                <w:rFonts w:ascii="Garamond" w:hAnsi="Garamond" w:cs="NimbusRomNo9L-Regu"/>
                <w:b/>
                <w:sz w:val="18"/>
                <w:szCs w:val="18"/>
                <w:lang w:val="en-GB" w:eastAsia="nl-NL"/>
              </w:rPr>
              <w:t>ERIOD</w:t>
            </w:r>
            <w:r w:rsidRPr="002E2E49">
              <w:rPr>
                <w:rFonts w:ascii="Garamond" w:hAnsi="Garamond" w:cs="NimbusRomNo9L-Regu"/>
                <w:b/>
                <w:lang w:val="en-GB" w:eastAsia="nl-NL"/>
              </w:rPr>
              <w:t xml:space="preserve"> S</w:t>
            </w:r>
            <w:r w:rsidRPr="002E2E49">
              <w:rPr>
                <w:rFonts w:ascii="Garamond" w:hAnsi="Garamond" w:cs="NimbusRomNo9L-Regu"/>
                <w:b/>
                <w:sz w:val="18"/>
                <w:szCs w:val="18"/>
                <w:lang w:val="en-GB" w:eastAsia="nl-NL"/>
              </w:rPr>
              <w:t>IMULATION</w:t>
            </w:r>
            <w:r w:rsidRPr="002E2E49">
              <w:rPr>
                <w:rFonts w:ascii="Garamond" w:hAnsi="Garamond" w:cs="NimbusRomNo9L-Regu"/>
                <w:b/>
                <w:lang w:val="en-GB" w:eastAsia="nl-NL"/>
              </w:rPr>
              <w:t xml:space="preserve"> M</w:t>
            </w:r>
            <w:r w:rsidRPr="002E2E49">
              <w:rPr>
                <w:rFonts w:ascii="Garamond" w:hAnsi="Garamond" w:cs="NimbusRomNo9L-Regu"/>
                <w:b/>
                <w:sz w:val="18"/>
                <w:szCs w:val="18"/>
                <w:lang w:val="en-GB" w:eastAsia="nl-NL"/>
              </w:rPr>
              <w:t>ODEL</w:t>
            </w:r>
          </w:p>
        </w:tc>
      </w:tr>
    </w:tbl>
    <w:p w:rsidR="001C7C52" w:rsidRPr="00802C03" w:rsidRDefault="001C7C52" w:rsidP="005B3319">
      <w:pPr>
        <w:spacing w:before="160"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primary objective of the multi-period model is the incorporation of the constant risk assumption into the simulation model. In other words, a method must be devised that ensures that the complete horizon considered by the model (i.e. the capital horizon of one year) can be divided into liquidity horizons for different positions, allowing for rebalancing to the initial risk of the position at the end of each liquidity horizon. Therefore, the specification of the multi-period model should depend mainly on the length of liquidity horizons of the credit products in the portfolio. Furthermore, ‘the initial risk level’ is defined as a position of the same class and size as the original position, with the same credit rating as the initial credit rating underlying the position and with an underlying issuer with similar issuer correlations as the original exposure. This definition of the initial risk level is consistent with the Basel Committee’s guidelines. </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idea behind the multi-period setting is that rebalancing possibilities are generated at the end of every period. In such a model, not only the credit ratings underlying the positions at the end of the capital horizon are simulated, but also the credit ratings at the end of every single-period in the model before the end of the capital horizon. The credit rating, on which the simulated rating at the end of each single-period is based, is either the credit rating at the end of previous single-period if no rebalancing occurs, or the initial credit rating of the original issuer underlying the position if the position is rebalanced to its initial risk level. </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The constant risk assumption basically implies that rebalancing occurs at the end of every liquidity horizon or when the simulated credit rating of the issuer at the end of the period signals a default. The latter actually implies that a single position can account for multiple defaults within one liquidity horizon and within the capital horizon.</w:t>
      </w:r>
      <w:r w:rsidRPr="00802C03">
        <w:rPr>
          <w:rStyle w:val="FootnoteReference"/>
          <w:rFonts w:ascii="Garamond" w:hAnsi="Garamond" w:cs="NimbusRomNo9L-Regu"/>
          <w:lang w:val="en-GB" w:eastAsia="nl-NL"/>
        </w:rPr>
        <w:footnoteReference w:id="15"/>
      </w:r>
      <w:r w:rsidRPr="00802C03">
        <w:rPr>
          <w:rFonts w:ascii="Garamond" w:hAnsi="Garamond" w:cs="NimbusRomNo9L-Regu"/>
          <w:lang w:val="en-GB" w:eastAsia="nl-NL"/>
        </w:rPr>
        <w:t xml:space="preserve"> As a consequence, the loss on a single position in the complete capital horizon can be larger than its loss given default. Furthermore, when a position is rebalanced, the underlying issuer effectively changes, as the original issuer has been either upgraded or downgraded and does not match the initial risk level anymore. Nevertheless, since it is assumed that the new issuer has the equivalent risk characteristics compared to the original issuer, the issuer asset correlations of the original issuer are applied to specify the risk characteristics of the new issuer, in combination with the initial credit rating of the original issuer. The new position after rebalancing to the initial risk level is therefore purely hypothetical. </w:t>
      </w:r>
    </w:p>
    <w:p w:rsidR="001C7C52" w:rsidRPr="00802C03" w:rsidRDefault="001C7C52" w:rsidP="00E17C8F">
      <w:pPr>
        <w:spacing w:line="160" w:lineRule="exact"/>
        <w:jc w:val="both"/>
        <w:rPr>
          <w:rFonts w:ascii="Garamond" w:hAnsi="Garamond" w:cs="NimbusRomNo9L-Regu"/>
          <w:lang w:val="en-GB" w:eastAsia="nl-NL"/>
        </w:rPr>
      </w:pPr>
    </w:p>
    <w:p w:rsidR="001C7C52" w:rsidRPr="00802C03" w:rsidRDefault="001C7C52" w:rsidP="009E1C4A">
      <w:pPr>
        <w:spacing w:line="280" w:lineRule="exact"/>
        <w:jc w:val="both"/>
        <w:rPr>
          <w:rFonts w:ascii="Garamond" w:hAnsi="Garamond"/>
          <w:lang w:val="en-GB"/>
        </w:rPr>
      </w:pPr>
      <w:r w:rsidRPr="00802C03">
        <w:rPr>
          <w:rFonts w:ascii="Garamond" w:hAnsi="Garamond" w:cs="NimbusRomNo9L-Regu"/>
          <w:lang w:val="en-GB" w:eastAsia="nl-NL"/>
        </w:rPr>
        <w:t>In this study, a four-period model is derived. Hence, the model contains four three-month periods that together constitute the capital horizon of one year. The liquidity horizon of a credit product may</w:t>
      </w:r>
      <w:r>
        <w:rPr>
          <w:rFonts w:ascii="Garamond" w:hAnsi="Garamond" w:cs="NimbusRomNo9L-Regu"/>
          <w:lang w:val="en-GB" w:eastAsia="nl-NL"/>
        </w:rPr>
        <w:t xml:space="preserve"> therefore</w:t>
      </w:r>
      <w:r w:rsidRPr="00802C03">
        <w:rPr>
          <w:rFonts w:ascii="Garamond" w:hAnsi="Garamond" w:cs="NimbusRomNo9L-Regu"/>
          <w:lang w:val="en-GB" w:eastAsia="nl-NL"/>
        </w:rPr>
        <w:t xml:space="preserve"> be set to three, six, nine or twelve months. At the end of each single-period one must determine whether each position should be rebalanced or not (e.g. a position with a liquidity horizon of nine months may not be rebalanced to its initial risk at the end of the first period of three months, but will be rebalanced at the end of the third period, which is the end of its liquidity horizon). In practice, a better specification</w:t>
      </w:r>
      <w:r w:rsidRPr="00802C03">
        <w:rPr>
          <w:rFonts w:ascii="Garamond" w:hAnsi="Garamond"/>
          <w:lang w:val="en-GB"/>
        </w:rPr>
        <w:t xml:space="preserve"> is twelve one-month periods or even more and shorter periods, since a more detailed specification of liquidity horizon lengths is possible in a model with a larger number of periods. </w:t>
      </w:r>
      <w:r>
        <w:rPr>
          <w:rFonts w:ascii="Garamond" w:hAnsi="Garamond"/>
          <w:lang w:val="en-GB"/>
        </w:rPr>
        <w:t>Even so</w:t>
      </w:r>
      <w:r w:rsidRPr="00802C03">
        <w:rPr>
          <w:rFonts w:ascii="Garamond" w:hAnsi="Garamond"/>
          <w:lang w:val="en-GB"/>
        </w:rPr>
        <w:t>, in this study a four-period model is considered, since it is more convenient in a practical sense and still allows for an extensive examination of the model and the effects of its underlying assumptions and inputs.</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 xml:space="preserve">In the four-period model, each position has four underlying simulated three-month issuer asset returns. Similar to the CreditMetrics model, these simulated issuer asset returns are random correlated drawings from a pre-specified distribution. The construction of such a correlated issuer asset return structure will be discussed in </w:t>
      </w:r>
      <w:hyperlink w:anchor="S140" w:history="1">
        <w:r w:rsidRPr="00802C03">
          <w:rPr>
            <w:rStyle w:val="Hyperlink"/>
            <w:rFonts w:ascii="Garamond" w:hAnsi="Garamond"/>
            <w:color w:val="000066"/>
            <w:u w:val="none"/>
            <w:lang w:val="en-GB"/>
          </w:rPr>
          <w:t>section 1.4</w:t>
        </w:r>
      </w:hyperlink>
      <w:r w:rsidRPr="00802C03">
        <w:rPr>
          <w:rFonts w:ascii="Garamond" w:hAnsi="Garamond"/>
          <w:lang w:val="en-GB"/>
        </w:rPr>
        <w:t xml:space="preserve">. In the remainder of the current section, the model is constructed that converts these correlated simulated single-period issuer asset returns into the required simulated credit ratings. In addition, a complementary valuation model will be created, in which these simulated credit ratings for each position at the end of each of the four periods are converted to the portfolio value at the end of the capital horizon. The simulation model basically becomes a sequence of four CreditMetrics credit rating simulation models. </w:t>
      </w:r>
    </w:p>
    <w:p w:rsidR="001C7C52" w:rsidRPr="00802C03" w:rsidRDefault="001C7C52" w:rsidP="009E1C4A">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1.3.1</w:t>
      </w:r>
      <w:r w:rsidRPr="00802C03">
        <w:rPr>
          <w:rFonts w:ascii="Garamond" w:hAnsi="Garamond"/>
          <w:b/>
          <w:lang w:val="en-GB"/>
        </w:rPr>
        <w:tab/>
      </w:r>
      <w:bookmarkStart w:id="10" w:name="S131"/>
      <w:bookmarkEnd w:id="10"/>
      <w:r w:rsidRPr="00802C03">
        <w:rPr>
          <w:rFonts w:ascii="Garamond" w:hAnsi="Garamond"/>
          <w:b/>
          <w:lang w:val="en-GB"/>
        </w:rPr>
        <w:t>Multi-Period Credit Rating Simulation</w:t>
      </w:r>
    </w:p>
    <w:p w:rsidR="001C7C52" w:rsidRPr="00802C03" w:rsidRDefault="001C7C52" w:rsidP="009E1C4A">
      <w:pPr>
        <w:spacing w:line="280" w:lineRule="exact"/>
        <w:jc w:val="both"/>
        <w:rPr>
          <w:rFonts w:ascii="Garamond" w:hAnsi="Garamond"/>
          <w:lang w:val="en-GB"/>
        </w:rPr>
      </w:pPr>
      <w:r w:rsidRPr="00802C03">
        <w:rPr>
          <w:rFonts w:ascii="Garamond" w:hAnsi="Garamond"/>
          <w:lang w:val="en-GB"/>
        </w:rPr>
        <w:t>In the credit rating simulation model, first of all, the stand-alone risk specification for all single positions has to be defined. Like the CreditMetrics model, credit migration matrices and their corresponding asset return thresholds (</w:t>
      </w:r>
      <w:r w:rsidRPr="00802C03">
        <w:rPr>
          <w:rFonts w:ascii="Garamond" w:hAnsi="Garamond"/>
          <w:i/>
          <w:lang w:val="en-GB"/>
        </w:rPr>
        <w:t>Z</w:t>
      </w:r>
      <w:r w:rsidRPr="00802C03">
        <w:rPr>
          <w:rFonts w:ascii="Garamond" w:hAnsi="Garamond"/>
          <w:lang w:val="en-GB"/>
        </w:rPr>
        <w:t xml:space="preserve">-values) are used for this purpose. The only difference is that the credit migration matrix has to be calibrated to a horizon of three months, as the credit rating underlying each product is simulated three months ahead in each single-period. The estimation of credit migration matrices will be discussed in </w:t>
      </w:r>
      <w:hyperlink w:anchor="S210" w:history="1">
        <w:r w:rsidRPr="00802C03">
          <w:rPr>
            <w:rStyle w:val="Hyperlink"/>
            <w:rFonts w:ascii="Garamond" w:hAnsi="Garamond"/>
            <w:color w:val="000066"/>
            <w:u w:val="none"/>
            <w:lang w:val="en-GB"/>
          </w:rPr>
          <w:t>Part II section 2.1</w:t>
        </w:r>
      </w:hyperlink>
      <w:r w:rsidRPr="00802C03">
        <w:rPr>
          <w:rFonts w:ascii="Garamond" w:hAnsi="Garamond"/>
          <w:lang w:val="en-GB"/>
        </w:rPr>
        <w:t xml:space="preserve">. For now, it suffices to assume that all </w:t>
      </w:r>
      <w:r w:rsidRPr="00802C03">
        <w:rPr>
          <w:rFonts w:ascii="Garamond" w:hAnsi="Garamond"/>
          <w:i/>
          <w:lang w:val="en-GB"/>
        </w:rPr>
        <w:t>Z</w:t>
      </w:r>
      <w:r w:rsidRPr="00802C03">
        <w:rPr>
          <w:rFonts w:ascii="Garamond" w:hAnsi="Garamond"/>
          <w:lang w:val="en-GB"/>
        </w:rPr>
        <w:t>-values for all initial rating classes are known.</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lang w:val="en-GB"/>
        </w:rPr>
        <w:t xml:space="preserve">Subsequently, the </w:t>
      </w:r>
      <w:r w:rsidRPr="00802C03">
        <w:rPr>
          <w:rFonts w:ascii="Garamond" w:hAnsi="Garamond" w:cs="NimbusRomNo9L-Regu"/>
          <w:lang w:val="en-GB" w:eastAsia="nl-NL"/>
        </w:rPr>
        <w:t>simulated three-month asset returns of the issuers underlying each credit product (</w:t>
      </w:r>
      <w:r w:rsidRPr="00100BDF">
        <w:rPr>
          <w:rFonts w:ascii="Garamond" w:hAnsi="Garamond" w:cs="NimbusRomNo9L-Regu"/>
          <w:position w:val="-6"/>
          <w:lang w:val="en-GB" w:eastAsia="nl-NL"/>
        </w:rPr>
        <w:object w:dxaOrig="139" w:dyaOrig="240">
          <v:shape id="_x0000_i1048" type="#_x0000_t75" style="width:6.75pt;height:12pt" o:ole="">
            <v:imagedata r:id="rId60" o:title=""/>
          </v:shape>
          <o:OLEObject Type="Embed" ProgID="Equation.DSMT4" ShapeID="_x0000_i1048" DrawAspect="Content" ObjectID="_1324893589" r:id="rId61"/>
        </w:object>
      </w:r>
      <w:r w:rsidRPr="00802C03">
        <w:rPr>
          <w:rFonts w:ascii="Garamond" w:hAnsi="Garamond" w:cs="NimbusRomNo9L-Regu"/>
          <w:lang w:val="en-GB" w:eastAsia="nl-NL"/>
        </w:rPr>
        <w:t xml:space="preserve">) are required, for all four single-periods of the model: </w:t>
      </w:r>
    </w:p>
    <w:p w:rsidR="001C7C52" w:rsidRPr="00802C03" w:rsidRDefault="001C7C52" w:rsidP="008239E8">
      <w:pPr>
        <w:spacing w:before="8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1160" w:dyaOrig="320">
          <v:shape id="_x0000_i1049" type="#_x0000_t75" style="width:57.75pt;height:15.75pt" o:ole="">
            <v:imagedata r:id="rId62" o:title=""/>
          </v:shape>
          <o:OLEObject Type="Embed" ProgID="Equation.DSMT4" ShapeID="_x0000_i1049" DrawAspect="Content" ObjectID="_1324893590" r:id="rId63"/>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20" w:dyaOrig="320">
          <v:shape id="_x0000_i1050" type="#_x0000_t75" style="width:21pt;height:15.75pt" o:ole="">
            <v:imagedata r:id="rId64" o:title=""/>
          </v:shape>
          <o:OLEObject Type="Embed" ProgID="Equation.DSMT4" ShapeID="_x0000_i1050" DrawAspect="Content" ObjectID="_1324893591" r:id="rId65"/>
        </w:object>
      </w:r>
      <w:r w:rsidRPr="00802C03">
        <w:rPr>
          <w:rFonts w:ascii="Garamond" w:hAnsi="Garamond" w:cs="NimbusRomNo9L-Regu"/>
          <w:position w:val="-10"/>
          <w:lang w:val="en-GB" w:eastAsia="nl-NL"/>
        </w:rPr>
        <w:t xml:space="preserve"> </w:t>
      </w:r>
      <w:r w:rsidRPr="00802C03">
        <w:rPr>
          <w:rFonts w:ascii="Garamond" w:hAnsi="Garamond" w:cs="NimbusRomNo9L-Regu"/>
          <w:lang w:val="en-GB" w:eastAsia="nl-NL"/>
        </w:rPr>
        <w:t xml:space="preserve">for </w:t>
      </w:r>
      <w:r w:rsidRPr="00100BDF">
        <w:rPr>
          <w:rFonts w:ascii="Garamond" w:hAnsi="Garamond" w:cs="NimbusRomNo9L-Regu"/>
          <w:position w:val="-8"/>
          <w:lang w:val="en-GB" w:eastAsia="nl-NL"/>
        </w:rPr>
        <w:object w:dxaOrig="800" w:dyaOrig="260">
          <v:shape id="_x0000_i1051" type="#_x0000_t75" style="width:39.75pt;height:13.5pt" o:ole="">
            <v:imagedata r:id="rId66" o:title=""/>
          </v:shape>
          <o:OLEObject Type="Embed" ProgID="Equation.DSMT4" ShapeID="_x0000_i1051" DrawAspect="Content" ObjectID="_1324893592" r:id="rId67"/>
        </w:object>
      </w:r>
      <w:r w:rsidRPr="00802C03">
        <w:rPr>
          <w:rFonts w:ascii="Garamond" w:hAnsi="Garamond" w:cs="NimbusRomNo9L-Regu"/>
          <w:lang w:val="en-GB" w:eastAsia="nl-NL"/>
        </w:rPr>
        <w:t xml:space="preserve">, </w:t>
      </w:r>
    </w:p>
    <w:p w:rsidR="001C7C52" w:rsidRPr="00802C03" w:rsidRDefault="001C7C52" w:rsidP="008239E8">
      <w:pPr>
        <w:spacing w:before="16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6"/>
          <w:lang w:val="en-GB" w:eastAsia="nl-NL"/>
        </w:rPr>
        <w:object w:dxaOrig="180" w:dyaOrig="200">
          <v:shape id="_x0000_i1052" type="#_x0000_t75" style="width:9pt;height:9.75pt" o:ole="">
            <v:imagedata r:id="rId68" o:title=""/>
          </v:shape>
          <o:OLEObject Type="Embed" ProgID="Equation.DSMT4" ShapeID="_x0000_i1052" DrawAspect="Content" ObjectID="_1324893593" r:id="rId69"/>
        </w:object>
      </w:r>
      <w:r w:rsidRPr="00802C03">
        <w:rPr>
          <w:rFonts w:ascii="Garamond" w:hAnsi="Garamond" w:cs="NimbusRomNo9L-Regu"/>
          <w:lang w:val="en-GB" w:eastAsia="nl-NL"/>
        </w:rPr>
        <w:t xml:space="preserve"> is the number of credit positions in the portfolio (</w:t>
      </w:r>
      <w:r w:rsidRPr="00100BDF">
        <w:rPr>
          <w:rFonts w:ascii="Garamond" w:hAnsi="Garamond" w:cs="NimbusRomNo9L-Regu"/>
          <w:position w:val="-6"/>
          <w:lang w:val="en-GB" w:eastAsia="nl-NL"/>
        </w:rPr>
        <w:object w:dxaOrig="139" w:dyaOrig="220">
          <v:shape id="_x0000_i1053" type="#_x0000_t75" style="width:6.75pt;height:11.25pt" o:ole="">
            <v:imagedata r:id="rId70" o:title=""/>
          </v:shape>
          <o:OLEObject Type="Embed" ProgID="Equation.DSMT4" ShapeID="_x0000_i1053" DrawAspect="Content" ObjectID="_1324893594" r:id="rId71"/>
        </w:object>
      </w:r>
      <w:r w:rsidRPr="00802C03">
        <w:rPr>
          <w:rFonts w:ascii="Garamond" w:hAnsi="Garamond" w:cs="NimbusRomNo9L-Regu"/>
          <w:lang w:val="en-GB" w:eastAsia="nl-NL"/>
        </w:rPr>
        <w:t xml:space="preserve"> is in months).</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All four simulated issuer asset returns for each position are random drawings from the standard normal distribution and therefore: </w:t>
      </w:r>
      <w:r w:rsidRPr="00100BDF">
        <w:rPr>
          <w:rFonts w:ascii="Garamond" w:hAnsi="Garamond" w:cs="NimbusRomNo9L-Regu"/>
          <w:position w:val="-10"/>
          <w:lang w:val="en-GB" w:eastAsia="nl-NL"/>
        </w:rPr>
        <w:object w:dxaOrig="1140" w:dyaOrig="300">
          <v:shape id="_x0000_i1054" type="#_x0000_t75" style="width:56.25pt;height:15pt" o:ole="">
            <v:imagedata r:id="rId72" o:title=""/>
          </v:shape>
          <o:OLEObject Type="Embed" ProgID="Equation.DSMT4" ShapeID="_x0000_i1054" DrawAspect="Content" ObjectID="_1324893595" r:id="rId73"/>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1060" w:dyaOrig="279">
          <v:shape id="_x0000_i1055" type="#_x0000_t75" style="width:53.25pt;height:13.5pt" o:ole="">
            <v:imagedata r:id="rId74" o:title=""/>
          </v:shape>
          <o:OLEObject Type="Embed" ProgID="Equation.DSMT4" ShapeID="_x0000_i1055" DrawAspect="Content" ObjectID="_1324893596" r:id="rId75"/>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800" w:dyaOrig="260">
          <v:shape id="_x0000_i1056" type="#_x0000_t75" style="width:39.75pt;height:13.5pt" o:ole="">
            <v:imagedata r:id="rId76" o:title=""/>
          </v:shape>
          <o:OLEObject Type="Embed" ProgID="Equation.DSMT4" ShapeID="_x0000_i1056" DrawAspect="Content" ObjectID="_1324893597" r:id="rId77"/>
        </w:object>
      </w:r>
      <w:r w:rsidRPr="00802C03">
        <w:rPr>
          <w:rFonts w:ascii="Garamond" w:hAnsi="Garamond" w:cs="NimbusRomNo9L-Regu"/>
          <w:lang w:val="en-GB" w:eastAsia="nl-NL"/>
        </w:rPr>
        <w:t xml:space="preserve"> (</w:t>
      </w:r>
      <w:r w:rsidRPr="00100BDF">
        <w:rPr>
          <w:rFonts w:ascii="Garamond" w:hAnsi="Garamond" w:cs="NimbusRomNo9L-Regu"/>
          <w:position w:val="-6"/>
          <w:lang w:val="en-GB" w:eastAsia="nl-NL"/>
        </w:rPr>
        <w:object w:dxaOrig="180" w:dyaOrig="260">
          <v:shape id="_x0000_i1057" type="#_x0000_t75" style="width:9pt;height:13.5pt" o:ole="">
            <v:imagedata r:id="rId78" o:title=""/>
          </v:shape>
          <o:OLEObject Type="Embed" ProgID="Equation.DSMT4" ShapeID="_x0000_i1057" DrawAspect="Content" ObjectID="_1324893598" r:id="rId79"/>
        </w:object>
      </w:r>
      <w:r w:rsidRPr="00802C03">
        <w:rPr>
          <w:rFonts w:ascii="Garamond" w:hAnsi="Garamond" w:cs="NimbusRomNo9L-Regu"/>
          <w:lang w:val="en-GB" w:eastAsia="nl-NL"/>
        </w:rPr>
        <w:t xml:space="preserve"> specifies the end of each single-period and is in denoted in months). The additional portfolio induced correlation risk is incorporated through issuer asset correlations and autocorrelations. Hence, the simulated issuer asset returns of all positions are correlated according to an estimated or observed issuer correlation matrix and the simulated issuer asset returns are auto-correlated in subsequent single-periods per issuer according to estimated or observed issuer asset autocorrelations. The methodology underlying this double correlation structure is addressed in </w:t>
      </w:r>
      <w:hyperlink w:anchor="S140" w:history="1">
        <w:r w:rsidRPr="00802C03">
          <w:rPr>
            <w:rStyle w:val="Hyperlink"/>
            <w:rFonts w:ascii="Garamond" w:hAnsi="Garamond" w:cs="NimbusRomNo9L-Regu"/>
            <w:color w:val="000066"/>
            <w:u w:val="none"/>
            <w:lang w:val="en-GB" w:eastAsia="nl-NL"/>
          </w:rPr>
          <w:t>section 1.4</w:t>
        </w:r>
      </w:hyperlink>
      <w:r w:rsidRPr="00802C03">
        <w:rPr>
          <w:rFonts w:ascii="Garamond" w:hAnsi="Garamond" w:cs="NimbusRomNo9L-Regu"/>
          <w:lang w:val="en-GB" w:eastAsia="nl-NL"/>
        </w:rPr>
        <w:t xml:space="preserve">. Again, for now it suffices to assume that the simulated issuer asset returns are correlated properly. </w:t>
      </w:r>
    </w:p>
    <w:p w:rsidR="001C7C52" w:rsidRPr="00802C03" w:rsidRDefault="001C7C52" w:rsidP="00E17C8F">
      <w:pPr>
        <w:spacing w:line="160" w:lineRule="exact"/>
        <w:jc w:val="both"/>
        <w:rPr>
          <w:rFonts w:ascii="Garamond" w:hAnsi="Garamond" w:cs="NimbusRomNo9L-Regu"/>
          <w:lang w:val="en-GB" w:eastAsia="nl-NL"/>
        </w:rPr>
      </w:pP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next step is to define the rebalancing structure in the model. </w:t>
      </w:r>
      <w:r w:rsidRPr="00802C03">
        <w:rPr>
          <w:rFonts w:ascii="Garamond" w:hAnsi="Garamond"/>
          <w:lang w:val="en-GB"/>
        </w:rPr>
        <w:t xml:space="preserve">The basic objective in the multi-period setting is to simulate </w:t>
      </w:r>
      <w:r w:rsidRPr="00802C03">
        <w:rPr>
          <w:rFonts w:ascii="Garamond" w:hAnsi="Garamond" w:cs="NimbusRomNo9L-Regu"/>
          <w:lang w:val="en-GB" w:eastAsia="nl-NL"/>
        </w:rPr>
        <w:t>the end-of-period credit ratings for each period (</w:t>
      </w:r>
      <w:r w:rsidRPr="00100BDF">
        <w:rPr>
          <w:rFonts w:ascii="Garamond" w:hAnsi="Garamond" w:cs="NimbusRomNo9L-Regu"/>
          <w:position w:val="-10"/>
          <w:lang w:val="en-GB" w:eastAsia="nl-NL"/>
        </w:rPr>
        <w:object w:dxaOrig="540" w:dyaOrig="300">
          <v:shape id="_x0000_i1058" type="#_x0000_t75" style="width:27pt;height:15pt" o:ole="">
            <v:imagedata r:id="rId80" o:title=""/>
          </v:shape>
          <o:OLEObject Type="Embed" ProgID="Equation.DSMT4" ShapeID="_x0000_i1058" DrawAspect="Content" ObjectID="_1324893599" r:id="rId81"/>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1060" w:dyaOrig="279">
          <v:shape id="_x0000_i1059" type="#_x0000_t75" style="width:53.25pt;height:13.5pt" o:ole="">
            <v:imagedata r:id="rId82" o:title=""/>
          </v:shape>
          <o:OLEObject Type="Embed" ProgID="Equation.DSMT4" ShapeID="_x0000_i1059" DrawAspect="Content" ObjectID="_1324893600" r:id="rId83"/>
        </w:object>
      </w:r>
      <w:r w:rsidRPr="00802C03">
        <w:rPr>
          <w:rFonts w:ascii="Garamond" w:hAnsi="Garamond" w:cs="NimbusRomNo9L-Regu"/>
          <w:lang w:val="en-GB" w:eastAsia="nl-NL"/>
        </w:rPr>
        <w:t>), while only the initial credit rating (</w:t>
      </w:r>
      <w:r w:rsidRPr="00100BDF">
        <w:rPr>
          <w:rFonts w:ascii="Garamond" w:hAnsi="Garamond" w:cs="NimbusRomNo9L-Regu"/>
          <w:position w:val="-10"/>
          <w:lang w:val="en-GB" w:eastAsia="nl-NL"/>
        </w:rPr>
        <w:object w:dxaOrig="420" w:dyaOrig="300">
          <v:shape id="_x0000_i1060" type="#_x0000_t75" style="width:21pt;height:15pt" o:ole="">
            <v:imagedata r:id="rId84" o:title=""/>
          </v:shape>
          <o:OLEObject Type="Embed" ProgID="Equation.DSMT4" ShapeID="_x0000_i1060" DrawAspect="Content" ObjectID="_1324893601" r:id="rId85"/>
        </w:object>
      </w:r>
      <w:r w:rsidRPr="00802C03">
        <w:rPr>
          <w:rFonts w:ascii="Garamond" w:hAnsi="Garamond" w:cs="NimbusRomNo9L-Regu"/>
          <w:lang w:val="en-GB" w:eastAsia="nl-NL"/>
        </w:rPr>
        <w:t xml:space="preserve">) is known. Obviously, this simulation is performed for each position </w:t>
      </w:r>
      <w:r w:rsidRPr="00100BDF">
        <w:rPr>
          <w:rFonts w:ascii="Garamond" w:hAnsi="Garamond" w:cs="NimbusRomNo9L-Regu"/>
          <w:position w:val="-6"/>
          <w:lang w:val="en-GB" w:eastAsia="nl-NL"/>
        </w:rPr>
        <w:object w:dxaOrig="139" w:dyaOrig="240">
          <v:shape id="_x0000_i1061" type="#_x0000_t75" style="width:6.75pt;height:12pt" o:ole="">
            <v:imagedata r:id="rId86" o:title=""/>
          </v:shape>
          <o:OLEObject Type="Embed" ProgID="Equation.DSMT4" ShapeID="_x0000_i1061" DrawAspect="Content" ObjectID="_1324893602" r:id="rId87"/>
        </w:object>
      </w:r>
      <w:r w:rsidRPr="00802C03">
        <w:rPr>
          <w:rFonts w:ascii="Garamond" w:hAnsi="Garamond" w:cs="NimbusRomNo9L-Regu"/>
          <w:lang w:val="en-GB" w:eastAsia="nl-NL"/>
        </w:rPr>
        <w:t xml:space="preserve"> in the portfolio (for </w:t>
      </w:r>
      <w:r w:rsidRPr="00100BDF">
        <w:rPr>
          <w:rFonts w:ascii="Garamond" w:hAnsi="Garamond" w:cs="NimbusRomNo9L-Regu"/>
          <w:position w:val="-8"/>
          <w:lang w:val="en-GB" w:eastAsia="nl-NL"/>
        </w:rPr>
        <w:object w:dxaOrig="800" w:dyaOrig="260">
          <v:shape id="_x0000_i1062" type="#_x0000_t75" style="width:39.75pt;height:13.5pt" o:ole="">
            <v:imagedata r:id="rId88" o:title=""/>
          </v:shape>
          <o:OLEObject Type="Embed" ProgID="Equation.DSMT4" ShapeID="_x0000_i1062" DrawAspect="Content" ObjectID="_1324893603" r:id="rId89"/>
        </w:object>
      </w:r>
      <w:r w:rsidRPr="00802C03">
        <w:rPr>
          <w:rFonts w:ascii="Garamond" w:hAnsi="Garamond" w:cs="NimbusRomNo9L-Regu"/>
          <w:lang w:val="en-GB" w:eastAsia="nl-NL"/>
        </w:rPr>
        <w:t>). As mentioned, the credit rating on which the end-of-period rating is based, is either the end-of-period credit rating of the previous period (</w:t>
      </w:r>
      <w:r w:rsidRPr="00100BDF">
        <w:rPr>
          <w:rFonts w:ascii="Garamond" w:hAnsi="Garamond" w:cs="NimbusRomNo9L-Regu"/>
          <w:position w:val="-10"/>
          <w:lang w:val="en-GB" w:eastAsia="nl-NL"/>
        </w:rPr>
        <w:object w:dxaOrig="639" w:dyaOrig="300">
          <v:shape id="_x0000_i1063" type="#_x0000_t75" style="width:32.25pt;height:15pt" o:ole="">
            <v:imagedata r:id="rId90" o:title=""/>
          </v:shape>
          <o:OLEObject Type="Embed" ProgID="Equation.DSMT4" ShapeID="_x0000_i1063" DrawAspect="Content" ObjectID="_1324893604" r:id="rId91"/>
        </w:object>
      </w:r>
      <w:r w:rsidRPr="00802C03">
        <w:rPr>
          <w:rFonts w:ascii="Garamond" w:hAnsi="Garamond" w:cs="NimbusRomNo9L-Regu"/>
          <w:lang w:val="en-GB" w:eastAsia="nl-NL"/>
        </w:rPr>
        <w:t>) if no rebalancing has occurred, or the initial credit rating of the original issuer underlying the position (</w:t>
      </w:r>
      <w:r w:rsidRPr="00100BDF">
        <w:rPr>
          <w:rFonts w:ascii="Garamond" w:hAnsi="Garamond" w:cs="NimbusRomNo9L-Regu"/>
          <w:position w:val="-10"/>
          <w:lang w:val="en-GB" w:eastAsia="nl-NL"/>
        </w:rPr>
        <w:object w:dxaOrig="420" w:dyaOrig="300">
          <v:shape id="_x0000_i1064" type="#_x0000_t75" style="width:21pt;height:15pt" o:ole="">
            <v:imagedata r:id="rId92" o:title=""/>
          </v:shape>
          <o:OLEObject Type="Embed" ProgID="Equation.DSMT4" ShapeID="_x0000_i1064" DrawAspect="Content" ObjectID="_1324893605" r:id="rId93"/>
        </w:object>
      </w:r>
      <w:r w:rsidRPr="00802C03">
        <w:rPr>
          <w:rFonts w:ascii="Garamond" w:hAnsi="Garamond" w:cs="NimbusRomNo9L-Regu"/>
          <w:lang w:val="en-GB" w:eastAsia="nl-NL"/>
        </w:rPr>
        <w:t xml:space="preserve">) if the position is rebalanced to the initial risk level at the end of the previous period. To devise a mathematical expression that displays these conditions, the credit rating on which the simulated end-of-period rating is based is defined as the input credit rating: </w:t>
      </w:r>
      <w:r w:rsidRPr="00100BDF">
        <w:rPr>
          <w:rFonts w:ascii="Garamond" w:hAnsi="Garamond" w:cs="NimbusRomNo9L-Regu"/>
          <w:position w:val="-10"/>
          <w:lang w:val="en-GB" w:eastAsia="nl-NL"/>
        </w:rPr>
        <w:object w:dxaOrig="600" w:dyaOrig="300">
          <v:shape id="_x0000_i1065" type="#_x0000_t75" style="width:30pt;height:15pt" o:ole="">
            <v:imagedata r:id="rId94" o:title=""/>
          </v:shape>
          <o:OLEObject Type="Embed" ProgID="Equation.DSMT4" ShapeID="_x0000_i1065" DrawAspect="Content" ObjectID="_1324893606" r:id="rId95"/>
        </w:object>
      </w:r>
      <w:r w:rsidRPr="00802C03">
        <w:rPr>
          <w:rFonts w:ascii="Garamond" w:hAnsi="Garamond" w:cs="NimbusRomNo9L-Regu"/>
          <w:lang w:val="en-GB" w:eastAsia="nl-NL"/>
        </w:rPr>
        <w:t xml:space="preserve">. The credit rating simulation specification is as follows: </w:t>
      </w:r>
      <w:r w:rsidRPr="00100BDF">
        <w:rPr>
          <w:rFonts w:ascii="Garamond" w:hAnsi="Garamond" w:cs="NimbusRomNo9L-Regu"/>
          <w:position w:val="-10"/>
          <w:lang w:val="en-GB" w:eastAsia="nl-NL"/>
        </w:rPr>
        <w:object w:dxaOrig="520" w:dyaOrig="300">
          <v:shape id="_x0000_i1066" type="#_x0000_t75" style="width:26.25pt;height:15pt" o:ole="">
            <v:imagedata r:id="rId96" o:title=""/>
          </v:shape>
          <o:OLEObject Type="Embed" ProgID="Equation.DSMT4" ShapeID="_x0000_i1066" DrawAspect="Content" ObjectID="_1324893607" r:id="rId97"/>
        </w:object>
      </w:r>
      <w:r w:rsidRPr="00802C03">
        <w:rPr>
          <w:rFonts w:ascii="Garamond" w:hAnsi="Garamond" w:cs="NimbusRomNo9L-Regu"/>
          <w:lang w:val="en-GB" w:eastAsia="nl-NL"/>
        </w:rPr>
        <w:t xml:space="preserve"> is dependent on </w:t>
      </w:r>
      <w:r w:rsidRPr="00100BDF">
        <w:rPr>
          <w:rFonts w:ascii="Garamond" w:hAnsi="Garamond" w:cs="NimbusRomNo9L-Regu"/>
          <w:position w:val="-10"/>
          <w:lang w:val="en-GB" w:eastAsia="nl-NL"/>
        </w:rPr>
        <w:object w:dxaOrig="600" w:dyaOrig="300">
          <v:shape id="_x0000_i1067" type="#_x0000_t75" style="width:30pt;height:15pt" o:ole="">
            <v:imagedata r:id="rId98" o:title=""/>
          </v:shape>
          <o:OLEObject Type="Embed" ProgID="Equation.DSMT4" ShapeID="_x0000_i1067" DrawAspect="Content" ObjectID="_1324893608" r:id="rId99"/>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520" w:dyaOrig="300">
          <v:shape id="_x0000_i1068" type="#_x0000_t75" style="width:26.25pt;height:15pt" o:ole="">
            <v:imagedata r:id="rId100" o:title=""/>
          </v:shape>
          <o:OLEObject Type="Embed" ProgID="Equation.DSMT4" ShapeID="_x0000_i1068" DrawAspect="Content" ObjectID="_1324893609" r:id="rId101"/>
        </w:object>
      </w:r>
      <w:r w:rsidRPr="00802C03">
        <w:rPr>
          <w:rFonts w:ascii="Garamond" w:hAnsi="Garamond" w:cs="NimbusRomNo9L-Regu"/>
          <w:lang w:val="en-GB" w:eastAsia="nl-NL"/>
        </w:rPr>
        <w:t xml:space="preserve"> depends on </w:t>
      </w:r>
      <w:r w:rsidRPr="00100BDF">
        <w:rPr>
          <w:rFonts w:ascii="Garamond" w:hAnsi="Garamond" w:cs="NimbusRomNo9L-Regu"/>
          <w:position w:val="-10"/>
          <w:lang w:val="en-GB" w:eastAsia="nl-NL"/>
        </w:rPr>
        <w:object w:dxaOrig="600" w:dyaOrig="300">
          <v:shape id="_x0000_i1069" type="#_x0000_t75" style="width:30pt;height:15pt" o:ole="">
            <v:imagedata r:id="rId102" o:title=""/>
          </v:shape>
          <o:OLEObject Type="Embed" ProgID="Equation.DSMT4" ShapeID="_x0000_i1069" DrawAspect="Content" ObjectID="_1324893610" r:id="rId103"/>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520" w:dyaOrig="300">
          <v:shape id="_x0000_i1070" type="#_x0000_t75" style="width:26.25pt;height:15pt" o:ole="">
            <v:imagedata r:id="rId104" o:title=""/>
          </v:shape>
          <o:OLEObject Type="Embed" ProgID="Equation.DSMT4" ShapeID="_x0000_i1070" DrawAspect="Content" ObjectID="_1324893611" r:id="rId105"/>
        </w:object>
      </w:r>
      <w:r w:rsidRPr="00802C03">
        <w:rPr>
          <w:rFonts w:ascii="Garamond" w:hAnsi="Garamond" w:cs="NimbusRomNo9L-Regu"/>
          <w:lang w:val="en-GB" w:eastAsia="nl-NL"/>
        </w:rPr>
        <w:t xml:space="preserve"> on </w:t>
      </w:r>
      <w:r w:rsidRPr="00100BDF">
        <w:rPr>
          <w:rFonts w:ascii="Garamond" w:hAnsi="Garamond" w:cs="NimbusRomNo9L-Regu"/>
          <w:position w:val="-10"/>
          <w:lang w:val="en-GB" w:eastAsia="nl-NL"/>
        </w:rPr>
        <w:object w:dxaOrig="600" w:dyaOrig="300">
          <v:shape id="_x0000_i1071" type="#_x0000_t75" style="width:30pt;height:15pt" o:ole="">
            <v:imagedata r:id="rId106" o:title=""/>
          </v:shape>
          <o:OLEObject Type="Embed" ProgID="Equation.DSMT4" ShapeID="_x0000_i1071" DrawAspect="Content" ObjectID="_1324893612" r:id="rId107"/>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560" w:dyaOrig="300">
          <v:shape id="_x0000_i1072" type="#_x0000_t75" style="width:27.75pt;height:15pt" o:ole="">
            <v:imagedata r:id="rId108" o:title=""/>
          </v:shape>
          <o:OLEObject Type="Embed" ProgID="Equation.DSMT4" ShapeID="_x0000_i1072" DrawAspect="Content" ObjectID="_1324893613" r:id="rId109"/>
        </w:object>
      </w:r>
      <w:r w:rsidRPr="00802C03">
        <w:rPr>
          <w:rFonts w:ascii="Garamond" w:hAnsi="Garamond" w:cs="NimbusRomNo9L-Regu"/>
          <w:lang w:val="en-GB" w:eastAsia="nl-NL"/>
        </w:rPr>
        <w:t xml:space="preserve"> on </w:t>
      </w:r>
      <w:r w:rsidRPr="00100BDF">
        <w:rPr>
          <w:rFonts w:ascii="Garamond" w:hAnsi="Garamond" w:cs="NimbusRomNo9L-Regu"/>
          <w:position w:val="-10"/>
          <w:lang w:val="en-GB" w:eastAsia="nl-NL"/>
        </w:rPr>
        <w:object w:dxaOrig="639" w:dyaOrig="300">
          <v:shape id="_x0000_i1073" type="#_x0000_t75" style="width:32.25pt;height:15pt" o:ole="">
            <v:imagedata r:id="rId110" o:title=""/>
          </v:shape>
          <o:OLEObject Type="Embed" ProgID="Equation.DSMT4" ShapeID="_x0000_i1073" DrawAspect="Content" ObjectID="_1324893614" r:id="rId111"/>
        </w:object>
      </w:r>
      <w:r w:rsidRPr="00802C03">
        <w:rPr>
          <w:rFonts w:ascii="Garamond" w:hAnsi="Garamond" w:cs="NimbusRomNo9L-Regu"/>
          <w:lang w:val="en-GB" w:eastAsia="nl-NL"/>
        </w:rPr>
        <w:t xml:space="preserve">. One can interpret </w:t>
      </w:r>
      <w:r w:rsidRPr="00100BDF">
        <w:rPr>
          <w:rFonts w:ascii="Garamond" w:hAnsi="Garamond" w:cs="NimbusRomNo9L-Regu"/>
          <w:position w:val="-10"/>
          <w:lang w:val="en-GB" w:eastAsia="nl-NL"/>
        </w:rPr>
        <w:object w:dxaOrig="600" w:dyaOrig="300">
          <v:shape id="_x0000_i1074" type="#_x0000_t75" style="width:30pt;height:15pt" o:ole="">
            <v:imagedata r:id="rId112" o:title=""/>
          </v:shape>
          <o:OLEObject Type="Embed" ProgID="Equation.DSMT4" ShapeID="_x0000_i1074" DrawAspect="Content" ObjectID="_1324893615" r:id="rId113"/>
        </w:object>
      </w:r>
      <w:r w:rsidRPr="00802C03">
        <w:rPr>
          <w:rFonts w:ascii="Garamond" w:hAnsi="Garamond" w:cs="NimbusRomNo9L-Regu"/>
          <w:lang w:val="en-GB" w:eastAsia="nl-NL"/>
        </w:rPr>
        <w:t xml:space="preserve"> as the credit rating underlying position </w:t>
      </w:r>
      <w:r w:rsidRPr="00100BDF">
        <w:rPr>
          <w:rFonts w:ascii="Garamond" w:hAnsi="Garamond" w:cs="NimbusRomNo9L-Regu"/>
          <w:position w:val="-6"/>
          <w:lang w:val="en-GB" w:eastAsia="nl-NL"/>
        </w:rPr>
        <w:object w:dxaOrig="139" w:dyaOrig="240">
          <v:shape id="_x0000_i1075" type="#_x0000_t75" style="width:6.75pt;height:12pt" o:ole="">
            <v:imagedata r:id="rId114" o:title=""/>
          </v:shape>
          <o:OLEObject Type="Embed" ProgID="Equation.DSMT4" ShapeID="_x0000_i1075" DrawAspect="Content" ObjectID="_1324893616" r:id="rId115"/>
        </w:object>
      </w:r>
      <w:r w:rsidRPr="00802C03">
        <w:rPr>
          <w:rFonts w:ascii="Garamond" w:hAnsi="Garamond" w:cs="NimbusRomNo9L-Regu"/>
          <w:position w:val="-6"/>
          <w:lang w:val="en-GB" w:eastAsia="nl-NL"/>
        </w:rPr>
        <w:t xml:space="preserve"> </w:t>
      </w:r>
      <w:r w:rsidRPr="00802C03">
        <w:rPr>
          <w:rFonts w:ascii="Garamond" w:hAnsi="Garamond" w:cs="NimbusRomNo9L-Regu"/>
          <w:lang w:val="en-GB" w:eastAsia="nl-NL"/>
        </w:rPr>
        <w:t>at the start of the period that ends at time ‘</w:t>
      </w:r>
      <w:r w:rsidRPr="00100BDF">
        <w:rPr>
          <w:rFonts w:ascii="Garamond" w:hAnsi="Garamond" w:cs="NimbusRomNo9L-Regu"/>
          <w:position w:val="-6"/>
          <w:lang w:val="en-GB" w:eastAsia="nl-NL"/>
        </w:rPr>
        <w:object w:dxaOrig="420" w:dyaOrig="260">
          <v:shape id="_x0000_i1076" type="#_x0000_t75" style="width:21pt;height:13.5pt" o:ole="">
            <v:imagedata r:id="rId116" o:title=""/>
          </v:shape>
          <o:OLEObject Type="Embed" ProgID="Equation.DSMT4" ShapeID="_x0000_i1076" DrawAspect="Content" ObjectID="_1324893617" r:id="rId117"/>
        </w:object>
      </w:r>
      <w:r w:rsidRPr="00802C03">
        <w:rPr>
          <w:rFonts w:ascii="Garamond" w:hAnsi="Garamond" w:cs="NimbusRomNo9L-Regu"/>
          <w:lang w:val="en-GB" w:eastAsia="nl-NL"/>
        </w:rPr>
        <w:t>’.</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Subsequently, an expression must be derived concerning the value (the credit rating) that variable </w:t>
      </w:r>
      <w:r w:rsidRPr="00100BDF">
        <w:rPr>
          <w:rFonts w:ascii="Garamond" w:hAnsi="Garamond" w:cs="NimbusRomNo9L-Regu"/>
          <w:position w:val="-10"/>
          <w:lang w:val="en-GB" w:eastAsia="nl-NL"/>
        </w:rPr>
        <w:object w:dxaOrig="600" w:dyaOrig="300">
          <v:shape id="_x0000_i1077" type="#_x0000_t75" style="width:30pt;height:15pt" o:ole="">
            <v:imagedata r:id="rId118" o:title=""/>
          </v:shape>
          <o:OLEObject Type="Embed" ProgID="Equation.DSMT4" ShapeID="_x0000_i1077" DrawAspect="Content" ObjectID="_1324893618" r:id="rId119"/>
        </w:object>
      </w:r>
      <w:r w:rsidRPr="00802C03">
        <w:rPr>
          <w:rFonts w:ascii="Garamond" w:hAnsi="Garamond" w:cs="NimbusRomNo9L-Regu"/>
          <w:lang w:val="en-GB" w:eastAsia="nl-NL"/>
        </w:rPr>
        <w:t xml:space="preserve"> must hold in each single-period for each specific position </w:t>
      </w:r>
      <w:r w:rsidRPr="00100BDF">
        <w:rPr>
          <w:rFonts w:ascii="Garamond" w:hAnsi="Garamond" w:cs="NimbusRomNo9L-Regu"/>
          <w:position w:val="-6"/>
          <w:lang w:val="en-GB" w:eastAsia="nl-NL"/>
        </w:rPr>
        <w:object w:dxaOrig="139" w:dyaOrig="240">
          <v:shape id="_x0000_i1078" type="#_x0000_t75" style="width:6.75pt;height:12pt" o:ole="">
            <v:imagedata r:id="rId120" o:title=""/>
          </v:shape>
          <o:OLEObject Type="Embed" ProgID="Equation.DSMT4" ShapeID="_x0000_i1078" DrawAspect="Content" ObjectID="_1324893619" r:id="rId121"/>
        </w:object>
      </w:r>
      <w:r w:rsidRPr="00802C03">
        <w:rPr>
          <w:rFonts w:ascii="Garamond" w:hAnsi="Garamond" w:cs="NimbusRomNo9L-Regu"/>
          <w:lang w:val="en-GB" w:eastAsia="nl-NL"/>
        </w:rPr>
        <w:t>. Basically, if rebalancing has occurred at the end of the previous period then ‘</w:t>
      </w:r>
      <w:r w:rsidRPr="00100BDF">
        <w:rPr>
          <w:rFonts w:ascii="Garamond" w:hAnsi="Garamond" w:cs="NimbusRomNo9L-Regu"/>
          <w:position w:val="-10"/>
          <w:lang w:val="en-GB" w:eastAsia="nl-NL"/>
        </w:rPr>
        <w:object w:dxaOrig="1180" w:dyaOrig="300">
          <v:shape id="_x0000_i1079" type="#_x0000_t75" style="width:58.5pt;height:15pt" o:ole="">
            <v:imagedata r:id="rId122" o:title=""/>
          </v:shape>
          <o:OLEObject Type="Embed" ProgID="Equation.DSMT4" ShapeID="_x0000_i1079" DrawAspect="Content" ObjectID="_1324893620" r:id="rId123"/>
        </w:object>
      </w:r>
      <w:r w:rsidRPr="00802C03">
        <w:rPr>
          <w:rFonts w:ascii="Garamond" w:hAnsi="Garamond" w:cs="NimbusRomNo9L-Regu"/>
          <w:lang w:val="en-GB" w:eastAsia="nl-NL"/>
        </w:rPr>
        <w:t>’ and if no rebalancing has occurred then ‘</w:t>
      </w:r>
      <w:r w:rsidRPr="00100BDF">
        <w:rPr>
          <w:rFonts w:ascii="Garamond" w:hAnsi="Garamond" w:cs="NimbusRomNo9L-Regu"/>
          <w:position w:val="-10"/>
          <w:lang w:val="en-GB" w:eastAsia="nl-NL"/>
        </w:rPr>
        <w:object w:dxaOrig="1400" w:dyaOrig="300">
          <v:shape id="_x0000_i1080" type="#_x0000_t75" style="width:69.75pt;height:15pt" o:ole="">
            <v:imagedata r:id="rId124" o:title=""/>
          </v:shape>
          <o:OLEObject Type="Embed" ProgID="Equation.DSMT4" ShapeID="_x0000_i1080" DrawAspect="Content" ObjectID="_1324893621" r:id="rId125"/>
        </w:object>
      </w:r>
      <w:r w:rsidRPr="00802C03">
        <w:rPr>
          <w:rFonts w:ascii="Garamond" w:hAnsi="Garamond" w:cs="NimbusRomNo9L-Regu"/>
          <w:lang w:val="en-GB" w:eastAsia="nl-NL"/>
        </w:rPr>
        <w:t xml:space="preserve">’. Rebalancing should occur when one of two conditions is met: </w:t>
      </w:r>
    </w:p>
    <w:p w:rsidR="001C7C52" w:rsidRPr="00802C03" w:rsidRDefault="001C7C52" w:rsidP="00886EF5">
      <w:pPr>
        <w:tabs>
          <w:tab w:val="left" w:pos="993"/>
        </w:tabs>
        <w:spacing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(1) </w:t>
      </w:r>
      <w:r>
        <w:rPr>
          <w:rFonts w:ascii="Garamond" w:hAnsi="Garamond" w:cs="NimbusRomNo9L-Regu"/>
          <w:lang w:val="en-GB" w:eastAsia="nl-NL"/>
        </w:rPr>
        <w:tab/>
      </w:r>
      <w:r w:rsidRPr="00802C03">
        <w:rPr>
          <w:rFonts w:ascii="Garamond" w:hAnsi="Garamond" w:cs="NimbusRomNo9L-Regu"/>
          <w:lang w:val="en-GB" w:eastAsia="nl-NL"/>
        </w:rPr>
        <w:t xml:space="preserve">either the end of the liquidity horizon has arisen, or </w:t>
      </w:r>
    </w:p>
    <w:p w:rsidR="001C7C52" w:rsidRPr="00802C03" w:rsidRDefault="001C7C52" w:rsidP="00886EF5">
      <w:pPr>
        <w:tabs>
          <w:tab w:val="left" w:pos="993"/>
        </w:tabs>
        <w:spacing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(2) </w:t>
      </w:r>
      <w:r>
        <w:rPr>
          <w:rFonts w:ascii="Garamond" w:hAnsi="Garamond" w:cs="NimbusRomNo9L-Regu"/>
          <w:lang w:val="en-GB" w:eastAsia="nl-NL"/>
        </w:rPr>
        <w:tab/>
      </w:r>
      <w:r w:rsidRPr="00802C03">
        <w:rPr>
          <w:rFonts w:ascii="Garamond" w:hAnsi="Garamond" w:cs="NimbusRomNo9L-Regu"/>
          <w:lang w:val="en-GB" w:eastAsia="nl-NL"/>
        </w:rPr>
        <w:t xml:space="preserve">the issuer underlying the position has defaulted. </w:t>
      </w:r>
    </w:p>
    <w:p w:rsidR="001C7C52" w:rsidRPr="00802C03" w:rsidRDefault="001C7C52" w:rsidP="007F5C1D">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To derive these conditions in mathematical terms, the length of the liquidity horizon of a position is defined as </w:t>
      </w:r>
      <w:r w:rsidRPr="00100BDF">
        <w:rPr>
          <w:rFonts w:ascii="Garamond" w:hAnsi="Garamond" w:cs="NimbusRomNo9L-Regu"/>
          <w:position w:val="-10"/>
          <w:lang w:val="en-GB" w:eastAsia="nl-NL"/>
        </w:rPr>
        <w:object w:dxaOrig="200" w:dyaOrig="300">
          <v:shape id="_x0000_i1081" type="#_x0000_t75" style="width:9.75pt;height:15pt" o:ole="">
            <v:imagedata r:id="rId126" o:title=""/>
          </v:shape>
          <o:OLEObject Type="Embed" ProgID="Equation.DSMT4" ShapeID="_x0000_i1081" DrawAspect="Content" ObjectID="_1324893622" r:id="rId127"/>
        </w:object>
      </w:r>
      <w:r w:rsidRPr="00802C03">
        <w:rPr>
          <w:rFonts w:ascii="Garamond" w:hAnsi="Garamond" w:cs="NimbusRomNo9L-Regu"/>
          <w:lang w:val="en-GB" w:eastAsia="nl-NL"/>
        </w:rPr>
        <w:t xml:space="preserve"> and the numerical value of each single-period as </w:t>
      </w:r>
      <w:r w:rsidRPr="00100BDF">
        <w:rPr>
          <w:rFonts w:ascii="Garamond" w:hAnsi="Garamond" w:cs="NimbusRomNo9L-Regu"/>
          <w:position w:val="-6"/>
          <w:lang w:val="en-GB" w:eastAsia="nl-NL"/>
        </w:rPr>
        <w:object w:dxaOrig="180" w:dyaOrig="260">
          <v:shape id="_x0000_i1082" type="#_x0000_t75" style="width:9pt;height:13.5pt" o:ole="">
            <v:imagedata r:id="rId128" o:title=""/>
          </v:shape>
          <o:OLEObject Type="Embed" ProgID="Equation.DSMT4" ShapeID="_x0000_i1082" DrawAspect="Content" ObjectID="_1324893623" r:id="rId129"/>
        </w:object>
      </w:r>
      <w:r w:rsidRPr="00802C03">
        <w:rPr>
          <w:rFonts w:ascii="Garamond" w:hAnsi="Garamond" w:cs="NimbusRomNo9L-Regu"/>
          <w:lang w:val="en-GB" w:eastAsia="nl-NL"/>
        </w:rPr>
        <w:t>, which is simply equivalent to ‘</w:t>
      </w:r>
      <w:r w:rsidRPr="00100BDF">
        <w:rPr>
          <w:rFonts w:ascii="Garamond" w:hAnsi="Garamond" w:cs="NimbusRomNo9L-Regu"/>
          <w:position w:val="-6"/>
          <w:lang w:val="en-GB" w:eastAsia="nl-NL"/>
        </w:rPr>
        <w:object w:dxaOrig="400" w:dyaOrig="260">
          <v:shape id="_x0000_i1083" type="#_x0000_t75" style="width:20.25pt;height:13.5pt" o:ole="">
            <v:imagedata r:id="rId130" o:title=""/>
          </v:shape>
          <o:OLEObject Type="Embed" ProgID="Equation.DSMT4" ShapeID="_x0000_i1083" DrawAspect="Content" ObjectID="_1324893624" r:id="rId131"/>
        </w:object>
      </w:r>
      <w:r w:rsidRPr="00802C03">
        <w:rPr>
          <w:rFonts w:ascii="Garamond" w:hAnsi="Garamond" w:cs="NimbusRomNo9L-Regu"/>
          <w:lang w:val="en-GB" w:eastAsia="nl-NL"/>
        </w:rPr>
        <w:t>’ when the length of a single period is three months (</w:t>
      </w:r>
      <w:r w:rsidRPr="00100BDF">
        <w:rPr>
          <w:rFonts w:ascii="Garamond" w:hAnsi="Garamond" w:cs="NimbusRomNo9L-Regu"/>
          <w:position w:val="-6"/>
          <w:lang w:val="en-GB" w:eastAsia="nl-NL"/>
        </w:rPr>
        <w:object w:dxaOrig="720" w:dyaOrig="260">
          <v:shape id="_x0000_i1084" type="#_x0000_t75" style="width:36pt;height:13.5pt" o:ole="">
            <v:imagedata r:id="rId132" o:title=""/>
          </v:shape>
          <o:OLEObject Type="Embed" ProgID="Equation.DSMT4" ShapeID="_x0000_i1084" DrawAspect="Content" ObjectID="_1324893625" r:id="rId133"/>
        </w:object>
      </w:r>
      <w:r w:rsidRPr="00802C03">
        <w:rPr>
          <w:rFonts w:ascii="Garamond" w:hAnsi="Garamond" w:cs="NimbusRomNo9L-Regu"/>
          <w:lang w:val="en-GB" w:eastAsia="nl-NL"/>
        </w:rPr>
        <w:t xml:space="preserve">). Consequently, each single-period input credit rating </w:t>
      </w:r>
      <w:r w:rsidRPr="00100BDF">
        <w:rPr>
          <w:rFonts w:ascii="Garamond" w:hAnsi="Garamond" w:cs="NimbusRomNo9L-Regu"/>
          <w:position w:val="-10"/>
          <w:lang w:val="en-GB" w:eastAsia="nl-NL"/>
        </w:rPr>
        <w:object w:dxaOrig="600" w:dyaOrig="300">
          <v:shape id="_x0000_i1085" type="#_x0000_t75" style="width:30pt;height:15pt" o:ole="">
            <v:imagedata r:id="rId134" o:title=""/>
          </v:shape>
          <o:OLEObject Type="Embed" ProgID="Equation.DSMT4" ShapeID="_x0000_i1085" DrawAspect="Content" ObjectID="_1324893626" r:id="rId135"/>
        </w:object>
      </w:r>
      <w:r w:rsidRPr="00802C03">
        <w:rPr>
          <w:rFonts w:ascii="Garamond" w:hAnsi="Garamond" w:cs="NimbusRomNo9L-Regu"/>
          <w:lang w:val="en-GB" w:eastAsia="nl-NL"/>
        </w:rPr>
        <w:t xml:space="preserve"> underlying each position </w:t>
      </w:r>
      <w:r w:rsidRPr="00100BDF">
        <w:rPr>
          <w:rFonts w:ascii="Garamond" w:hAnsi="Garamond" w:cs="NimbusRomNo9L-Regu"/>
          <w:position w:val="-6"/>
          <w:lang w:val="en-GB" w:eastAsia="nl-NL"/>
        </w:rPr>
        <w:object w:dxaOrig="139" w:dyaOrig="240">
          <v:shape id="_x0000_i1086" type="#_x0000_t75" style="width:6.75pt;height:12pt" o:ole="">
            <v:imagedata r:id="rId136" o:title=""/>
          </v:shape>
          <o:OLEObject Type="Embed" ProgID="Equation.DSMT4" ShapeID="_x0000_i1086" DrawAspect="Content" ObjectID="_1324893627" r:id="rId137"/>
        </w:object>
      </w:r>
      <w:r w:rsidRPr="00802C03">
        <w:rPr>
          <w:rFonts w:ascii="Garamond" w:hAnsi="Garamond" w:cs="NimbusRomNo9L-Regu"/>
          <w:lang w:val="en-GB" w:eastAsia="nl-NL"/>
        </w:rPr>
        <w:t xml:space="preserve"> can be expressed as:</w:t>
      </w:r>
    </w:p>
    <w:p w:rsidR="001C7C52" w:rsidRPr="00802C03" w:rsidRDefault="001C7C52" w:rsidP="00AA625C">
      <w:pPr>
        <w:tabs>
          <w:tab w:val="left" w:pos="567"/>
          <w:tab w:val="left" w:pos="8505"/>
        </w:tabs>
        <w:spacing w:before="160" w:line="320" w:lineRule="atLeast"/>
        <w:ind w:firstLine="567"/>
        <w:jc w:val="both"/>
        <w:rPr>
          <w:rFonts w:ascii="Garamond" w:hAnsi="Garamond" w:cs="NimbusRomNo9L-Regu"/>
          <w:lang w:val="en-GB" w:eastAsia="nl-NL"/>
        </w:rPr>
      </w:pPr>
      <w:r w:rsidRPr="005E2D6F">
        <w:rPr>
          <w:rFonts w:ascii="Garamond" w:hAnsi="Garamond" w:cs="NimbusRomNo9L-Regu"/>
          <w:position w:val="-42"/>
          <w:lang w:val="en-GB" w:eastAsia="nl-NL"/>
        </w:rPr>
        <w:object w:dxaOrig="4200" w:dyaOrig="940">
          <v:shape id="_x0000_i1087" type="#_x0000_t75" style="width:207.75pt;height:46.5pt" o:ole="">
            <v:imagedata r:id="rId138" o:title=""/>
          </v:shape>
          <o:OLEObject Type="Embed" ProgID="Equation.DSMT4" ShapeID="_x0000_i1087" DrawAspect="Content" ObjectID="_1324893628" r:id="rId139"/>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t>(1.9)</w:t>
      </w:r>
    </w:p>
    <w:p w:rsidR="001C7C52" w:rsidRPr="00802C03" w:rsidRDefault="001C7C52" w:rsidP="00AA625C">
      <w:pPr>
        <w:spacing w:before="120" w:after="16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for </w:t>
      </w:r>
      <w:r w:rsidRPr="00100BDF">
        <w:rPr>
          <w:rFonts w:ascii="Garamond" w:hAnsi="Garamond" w:cs="NimbusRomNo9L-Regu"/>
          <w:position w:val="-8"/>
          <w:lang w:val="en-GB" w:eastAsia="nl-NL"/>
        </w:rPr>
        <w:object w:dxaOrig="1060" w:dyaOrig="279">
          <v:shape id="_x0000_i1088" type="#_x0000_t75" style="width:53.25pt;height:13.5pt" o:ole="">
            <v:imagedata r:id="rId140" o:title=""/>
          </v:shape>
          <o:OLEObject Type="Embed" ProgID="Equation.DSMT4" ShapeID="_x0000_i1088" DrawAspect="Content" ObjectID="_1324893629" r:id="rId141"/>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800" w:dyaOrig="260">
          <v:shape id="_x0000_i1089" type="#_x0000_t75" style="width:39.75pt;height:13.5pt" o:ole="">
            <v:imagedata r:id="rId142" o:title=""/>
          </v:shape>
          <o:OLEObject Type="Embed" ProgID="Equation.DSMT4" ShapeID="_x0000_i1089" DrawAspect="Content" ObjectID="_1324893630" r:id="rId143"/>
        </w:object>
      </w:r>
      <w:r w:rsidRPr="00802C03">
        <w:rPr>
          <w:rFonts w:ascii="Garamond" w:hAnsi="Garamond" w:cs="NimbusRomNo9L-Regu"/>
          <w:lang w:val="en-GB" w:eastAsia="nl-NL"/>
        </w:rPr>
        <w:t xml:space="preserve">. </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w:t>
      </w:r>
      <w:r>
        <w:rPr>
          <w:rFonts w:ascii="Garamond" w:hAnsi="Garamond" w:cs="NimbusRomNo9L-Regu"/>
          <w:lang w:val="en-GB" w:eastAsia="nl-NL"/>
        </w:rPr>
        <w:t>equation</w:t>
      </w:r>
      <w:r w:rsidRPr="00802C03">
        <w:rPr>
          <w:rFonts w:ascii="Garamond" w:hAnsi="Garamond" w:cs="NimbusRomNo9L-Regu"/>
          <w:lang w:val="en-GB" w:eastAsia="nl-NL"/>
        </w:rPr>
        <w:t>s that employ the first condition, ‘</w:t>
      </w:r>
      <w:r w:rsidRPr="00100BDF">
        <w:rPr>
          <w:rFonts w:ascii="Garamond" w:hAnsi="Garamond" w:cs="NimbusRomNo9L-Regu"/>
          <w:position w:val="-10"/>
          <w:lang w:val="en-GB" w:eastAsia="nl-NL"/>
        </w:rPr>
        <w:object w:dxaOrig="1020" w:dyaOrig="300">
          <v:shape id="_x0000_i1090" type="#_x0000_t75" style="width:50.25pt;height:15pt" o:ole="">
            <v:imagedata r:id="rId144" o:title=""/>
          </v:shape>
          <o:OLEObject Type="Embed" ProgID="Equation.DSMT4" ShapeID="_x0000_i1090" DrawAspect="Content" ObjectID="_1324893631" r:id="rId145"/>
        </w:object>
      </w:r>
      <w:r w:rsidRPr="00802C03">
        <w:rPr>
          <w:rFonts w:ascii="Garamond" w:hAnsi="Garamond" w:cs="NimbusRomNo9L-Regu"/>
          <w:lang w:val="en-GB" w:eastAsia="nl-NL"/>
        </w:rPr>
        <w:t>’ and ‘</w:t>
      </w:r>
      <w:r w:rsidRPr="00100BDF">
        <w:rPr>
          <w:rFonts w:ascii="Garamond" w:hAnsi="Garamond" w:cs="NimbusRomNo9L-Regu"/>
          <w:position w:val="-10"/>
          <w:lang w:val="en-GB" w:eastAsia="nl-NL"/>
        </w:rPr>
        <w:object w:dxaOrig="1020" w:dyaOrig="300">
          <v:shape id="_x0000_i1091" type="#_x0000_t75" style="width:50.25pt;height:15pt" o:ole="">
            <v:imagedata r:id="rId146" o:title=""/>
          </v:shape>
          <o:OLEObject Type="Embed" ProgID="Equation.DSMT4" ShapeID="_x0000_i1091" DrawAspect="Content" ObjectID="_1324893632" r:id="rId147"/>
        </w:object>
      </w:r>
      <w:r w:rsidRPr="00802C03">
        <w:rPr>
          <w:rFonts w:ascii="Garamond" w:hAnsi="Garamond" w:cs="NimbusRomNo9L-Regu"/>
          <w:lang w:val="en-GB" w:eastAsia="nl-NL"/>
        </w:rPr>
        <w:t xml:space="preserve">’, are easily understood, </w:t>
      </w:r>
      <w:r>
        <w:rPr>
          <w:rFonts w:ascii="Garamond" w:hAnsi="Garamond" w:cs="NimbusRomNo9L-Regu"/>
          <w:lang w:val="en-GB" w:eastAsia="nl-NL"/>
        </w:rPr>
        <w:t>since</w:t>
      </w:r>
      <w:r w:rsidRPr="00802C03">
        <w:rPr>
          <w:rFonts w:ascii="Garamond" w:hAnsi="Garamond" w:cs="NimbusRomNo9L-Regu"/>
          <w:lang w:val="en-GB" w:eastAsia="nl-NL"/>
        </w:rPr>
        <w:t xml:space="preserve"> they entail nothing more than the identification of either a simulated default of position </w:t>
      </w:r>
      <w:r w:rsidRPr="00100BDF">
        <w:rPr>
          <w:rFonts w:ascii="Garamond" w:hAnsi="Garamond" w:cs="NimbusRomNo9L-Regu"/>
          <w:position w:val="-6"/>
          <w:lang w:val="en-GB" w:eastAsia="nl-NL"/>
        </w:rPr>
        <w:object w:dxaOrig="139" w:dyaOrig="240">
          <v:shape id="_x0000_i1092" type="#_x0000_t75" style="width:6.75pt;height:12pt" o:ole="">
            <v:imagedata r:id="rId148" o:title=""/>
          </v:shape>
          <o:OLEObject Type="Embed" ProgID="Equation.DSMT4" ShapeID="_x0000_i1092" DrawAspect="Content" ObjectID="_1324893633" r:id="rId149"/>
        </w:object>
      </w:r>
      <w:r w:rsidRPr="00802C03">
        <w:rPr>
          <w:rFonts w:ascii="Garamond" w:hAnsi="Garamond" w:cs="NimbusRomNo9L-Regu"/>
          <w:lang w:val="en-GB" w:eastAsia="nl-NL"/>
        </w:rPr>
        <w:t xml:space="preserve"> in the previous single-period (</w:t>
      </w:r>
      <w:r w:rsidRPr="00100BDF">
        <w:rPr>
          <w:rFonts w:ascii="Garamond" w:hAnsi="Garamond" w:cs="NimbusRomNo9L-Regu"/>
          <w:position w:val="-10"/>
          <w:lang w:val="en-GB" w:eastAsia="nl-NL"/>
        </w:rPr>
        <w:object w:dxaOrig="1020" w:dyaOrig="300">
          <v:shape id="_x0000_i1093" type="#_x0000_t75" style="width:50.25pt;height:15pt" o:ole="">
            <v:imagedata r:id="rId150" o:title=""/>
          </v:shape>
          <o:OLEObject Type="Embed" ProgID="Equation.DSMT4" ShapeID="_x0000_i1093" DrawAspect="Content" ObjectID="_1324893634" r:id="rId151"/>
        </w:object>
      </w:r>
      <w:r w:rsidRPr="00802C03">
        <w:rPr>
          <w:rFonts w:ascii="Garamond" w:hAnsi="Garamond" w:cs="NimbusRomNo9L-Regu"/>
          <w:lang w:val="en-GB" w:eastAsia="nl-NL"/>
        </w:rPr>
        <w:t>) or a non-default in the previous single-period (</w:t>
      </w:r>
      <w:r w:rsidRPr="00100BDF">
        <w:rPr>
          <w:rFonts w:ascii="Garamond" w:hAnsi="Garamond" w:cs="NimbusRomNo9L-Regu"/>
          <w:position w:val="-10"/>
          <w:lang w:val="en-GB" w:eastAsia="nl-NL"/>
        </w:rPr>
        <w:object w:dxaOrig="1020" w:dyaOrig="300">
          <v:shape id="_x0000_i1094" type="#_x0000_t75" style="width:50.25pt;height:15pt" o:ole="">
            <v:imagedata r:id="rId152" o:title=""/>
          </v:shape>
          <o:OLEObject Type="Embed" ProgID="Equation.DSMT4" ShapeID="_x0000_i1094" DrawAspect="Content" ObjectID="_1324893635" r:id="rId153"/>
        </w:object>
      </w:r>
      <w:r w:rsidRPr="00802C03">
        <w:rPr>
          <w:rFonts w:ascii="Garamond" w:hAnsi="Garamond" w:cs="NimbusRomNo9L-Regu"/>
          <w:lang w:val="en-GB" w:eastAsia="nl-NL"/>
        </w:rPr>
        <w:t xml:space="preserve">). </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The expression of the second condition, ‘</w:t>
      </w:r>
      <w:r w:rsidRPr="00100BDF">
        <w:rPr>
          <w:rFonts w:ascii="Garamond" w:hAnsi="Garamond" w:cs="NimbusRomNo9L-Regu"/>
          <w:position w:val="-10"/>
          <w:lang w:val="en-GB" w:eastAsia="nl-NL"/>
        </w:rPr>
        <w:object w:dxaOrig="900" w:dyaOrig="300">
          <v:shape id="_x0000_i1095" type="#_x0000_t75" style="width:45pt;height:15pt" o:ole="">
            <v:imagedata r:id="rId154" o:title=""/>
          </v:shape>
          <o:OLEObject Type="Embed" ProgID="Equation.DSMT4" ShapeID="_x0000_i1095" DrawAspect="Content" ObjectID="_1324893636" r:id="rId155"/>
        </w:object>
      </w:r>
      <w:r w:rsidRPr="00802C03">
        <w:rPr>
          <w:rFonts w:ascii="Garamond" w:hAnsi="Garamond" w:cs="NimbusRomNo9L-Regu"/>
          <w:lang w:val="en-GB" w:eastAsia="nl-NL"/>
        </w:rPr>
        <w:t>’, must be clarified in more detail. Essentially, the equation states that rebalancing has occurred at the end of the previous period, when the end of previous period (</w:t>
      </w:r>
      <w:r w:rsidRPr="00100BDF">
        <w:rPr>
          <w:rFonts w:ascii="Garamond" w:hAnsi="Garamond" w:cs="NimbusRomNo9L-Regu"/>
          <w:position w:val="-6"/>
          <w:lang w:val="en-GB" w:eastAsia="nl-NL"/>
        </w:rPr>
        <w:object w:dxaOrig="440" w:dyaOrig="260">
          <v:shape id="_x0000_i1096" type="#_x0000_t75" style="width:21.75pt;height:13.5pt" o:ole="">
            <v:imagedata r:id="rId156" o:title=""/>
          </v:shape>
          <o:OLEObject Type="Embed" ProgID="Equation.DSMT4" ShapeID="_x0000_i1096" DrawAspect="Content" ObjectID="_1324893637" r:id="rId157"/>
        </w:object>
      </w:r>
      <w:r w:rsidRPr="00802C03">
        <w:rPr>
          <w:rFonts w:ascii="Garamond" w:hAnsi="Garamond" w:cs="NimbusRomNo9L-Regu"/>
          <w:lang w:val="en-GB" w:eastAsia="nl-NL"/>
        </w:rPr>
        <w:t>) is equal to one or multiple times the length of the liquidity horizon (</w:t>
      </w:r>
      <w:r w:rsidRPr="00100BDF">
        <w:rPr>
          <w:rFonts w:ascii="Garamond" w:hAnsi="Garamond" w:cs="NimbusRomNo9L-Regu"/>
          <w:position w:val="-10"/>
          <w:lang w:val="en-GB" w:eastAsia="nl-NL"/>
        </w:rPr>
        <w:object w:dxaOrig="320" w:dyaOrig="300">
          <v:shape id="_x0000_i1097" type="#_x0000_t75" style="width:15.75pt;height:15pt" o:ole="">
            <v:imagedata r:id="rId158" o:title=""/>
          </v:shape>
          <o:OLEObject Type="Embed" ProgID="Equation.DSMT4" ShapeID="_x0000_i1097" DrawAspect="Content" ObjectID="_1324893638" r:id="rId159"/>
        </w:object>
      </w:r>
      <w:r w:rsidRPr="00802C03">
        <w:rPr>
          <w:rFonts w:ascii="Garamond" w:hAnsi="Garamond" w:cs="NimbusRomNo9L-Regu"/>
          <w:lang w:val="en-GB" w:eastAsia="nl-NL"/>
        </w:rPr>
        <w:t>). Hence, when this condition is satisfied the input credit rating (</w:t>
      </w:r>
      <w:r w:rsidRPr="00100BDF">
        <w:rPr>
          <w:rFonts w:ascii="Garamond" w:hAnsi="Garamond" w:cs="NimbusRomNo9L-Regu"/>
          <w:position w:val="-10"/>
          <w:lang w:val="en-GB" w:eastAsia="nl-NL"/>
        </w:rPr>
        <w:object w:dxaOrig="600" w:dyaOrig="300">
          <v:shape id="_x0000_i1098" type="#_x0000_t75" style="width:30pt;height:15pt" o:ole="">
            <v:imagedata r:id="rId160" o:title=""/>
          </v:shape>
          <o:OLEObject Type="Embed" ProgID="Equation.DSMT4" ShapeID="_x0000_i1098" DrawAspect="Content" ObjectID="_1324893639" r:id="rId161"/>
        </w:object>
      </w:r>
      <w:r w:rsidRPr="00802C03">
        <w:rPr>
          <w:rFonts w:ascii="Garamond" w:hAnsi="Garamond" w:cs="NimbusRomNo9L-Regu"/>
          <w:lang w:val="en-GB" w:eastAsia="nl-NL"/>
        </w:rPr>
        <w:t>) must be equal to the initial risks credit rating (</w:t>
      </w:r>
      <w:r w:rsidRPr="00100BDF">
        <w:rPr>
          <w:rFonts w:ascii="Garamond" w:hAnsi="Garamond" w:cs="NimbusRomNo9L-Regu"/>
          <w:position w:val="-10"/>
          <w:lang w:val="en-GB" w:eastAsia="nl-NL"/>
        </w:rPr>
        <w:object w:dxaOrig="420" w:dyaOrig="300">
          <v:shape id="_x0000_i1099" type="#_x0000_t75" style="width:21pt;height:15pt" o:ole="">
            <v:imagedata r:id="rId162" o:title=""/>
          </v:shape>
          <o:OLEObject Type="Embed" ProgID="Equation.DSMT4" ShapeID="_x0000_i1099" DrawAspect="Content" ObjectID="_1324893640" r:id="rId163"/>
        </w:object>
      </w:r>
      <w:r w:rsidRPr="00802C03">
        <w:rPr>
          <w:rFonts w:ascii="Garamond" w:hAnsi="Garamond" w:cs="NimbusRomNo9L-Regu"/>
          <w:lang w:val="en-GB" w:eastAsia="nl-NL"/>
        </w:rPr>
        <w:t xml:space="preserve">). </w:t>
      </w:r>
    </w:p>
    <w:p w:rsidR="001C7C52" w:rsidRPr="00802C03" w:rsidRDefault="001C7C52" w:rsidP="009E1C4A">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last step in the construction of the credit rating simulation model is to combine all the variables that are defined above into a single multi-period credit rating simulation expression: </w:t>
      </w:r>
    </w:p>
    <w:p w:rsidR="001C7C52" w:rsidRPr="00802C03" w:rsidRDefault="001C7C52" w:rsidP="00AA625C">
      <w:pPr>
        <w:tabs>
          <w:tab w:val="left" w:pos="567"/>
          <w:tab w:val="left" w:pos="8505"/>
        </w:tabs>
        <w:spacing w:before="100" w:line="320" w:lineRule="atLeast"/>
        <w:ind w:firstLine="567"/>
        <w:jc w:val="both"/>
        <w:rPr>
          <w:rFonts w:ascii="Garamond" w:hAnsi="Garamond" w:cs="NimbusRomNo9L-Regu"/>
          <w:lang w:val="en-GB" w:eastAsia="nl-NL"/>
        </w:rPr>
      </w:pPr>
      <w:r w:rsidRPr="005E2D6F">
        <w:rPr>
          <w:rFonts w:ascii="Garamond" w:hAnsi="Garamond" w:cs="NimbusRomNo9L-Regu"/>
          <w:position w:val="-118"/>
          <w:lang w:val="en-GB" w:eastAsia="nl-NL"/>
        </w:rPr>
        <w:object w:dxaOrig="4180" w:dyaOrig="2460">
          <v:shape id="_x0000_i1100" type="#_x0000_t75" style="width:209.25pt;height:121.5pt" o:ole="">
            <v:imagedata r:id="rId164" o:title=""/>
          </v:shape>
          <o:OLEObject Type="Embed" ProgID="Equation.DSMT4" ShapeID="_x0000_i1100" DrawAspect="Content" ObjectID="_1324893641" r:id="rId165"/>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t>(1.10)</w:t>
      </w:r>
    </w:p>
    <w:p w:rsidR="001C7C52" w:rsidRPr="00802C03" w:rsidRDefault="001C7C52" w:rsidP="00AA625C">
      <w:pPr>
        <w:spacing w:before="10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for </w:t>
      </w:r>
      <w:r w:rsidRPr="00100BDF">
        <w:rPr>
          <w:rFonts w:ascii="Garamond" w:hAnsi="Garamond" w:cs="NimbusRomNo9L-Regu"/>
          <w:position w:val="-8"/>
          <w:lang w:val="en-GB" w:eastAsia="nl-NL"/>
        </w:rPr>
        <w:object w:dxaOrig="1060" w:dyaOrig="279">
          <v:shape id="_x0000_i1101" type="#_x0000_t75" style="width:53.25pt;height:13.5pt" o:ole="">
            <v:imagedata r:id="rId166" o:title=""/>
          </v:shape>
          <o:OLEObject Type="Embed" ProgID="Equation.DSMT4" ShapeID="_x0000_i1101" DrawAspect="Content" ObjectID="_1324893642" r:id="rId167"/>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800" w:dyaOrig="260">
          <v:shape id="_x0000_i1102" type="#_x0000_t75" style="width:39.75pt;height:13.5pt" o:ole="">
            <v:imagedata r:id="rId168" o:title=""/>
          </v:shape>
          <o:OLEObject Type="Embed" ProgID="Equation.DSMT4" ShapeID="_x0000_i1102" DrawAspect="Content" ObjectID="_1324893643" r:id="rId169"/>
        </w:object>
      </w:r>
      <w:r w:rsidRPr="00802C03">
        <w:rPr>
          <w:rFonts w:ascii="Garamond" w:hAnsi="Garamond" w:cs="NimbusRomNo9L-Regu"/>
          <w:lang w:val="en-GB" w:eastAsia="nl-NL"/>
        </w:rPr>
        <w:t>,</w:t>
      </w:r>
    </w:p>
    <w:p w:rsidR="001C7C52" w:rsidRPr="00802C03" w:rsidRDefault="001C7C52" w:rsidP="008239E8">
      <w:pPr>
        <w:spacing w:before="160" w:after="160" w:line="320" w:lineRule="atLeast"/>
        <w:jc w:val="both"/>
        <w:rPr>
          <w:rFonts w:ascii="Garamond" w:hAnsi="Garamond" w:cs="NimbusRomNo9L-Regu"/>
          <w:lang w:val="en-GB" w:eastAsia="nl-NL"/>
        </w:rPr>
      </w:pPr>
      <w:r w:rsidRPr="00802C03">
        <w:rPr>
          <w:rFonts w:ascii="Garamond" w:hAnsi="Garamond" w:cs="NimbusRomNo9L-Regu"/>
          <w:lang w:val="en-GB" w:eastAsia="nl-NL"/>
        </w:rPr>
        <w:tab/>
        <w:t xml:space="preserve">where </w:t>
      </w:r>
      <w:r w:rsidRPr="00100BDF">
        <w:rPr>
          <w:rFonts w:ascii="Garamond" w:hAnsi="Garamond" w:cs="NimbusRomNo9L-Regu"/>
          <w:position w:val="-42"/>
          <w:lang w:val="en-GB" w:eastAsia="nl-NL"/>
        </w:rPr>
        <w:object w:dxaOrig="4200" w:dyaOrig="940">
          <v:shape id="_x0000_i1103" type="#_x0000_t75" style="width:207.75pt;height:46.5pt" o:ole="">
            <v:imagedata r:id="rId170" o:title=""/>
          </v:shape>
          <o:OLEObject Type="Embed" ProgID="Equation.DSMT4" ShapeID="_x0000_i1103" DrawAspect="Content" ObjectID="_1324893644" r:id="rId171"/>
        </w:object>
      </w:r>
      <w:r w:rsidRPr="00802C03">
        <w:rPr>
          <w:rFonts w:ascii="Garamond" w:hAnsi="Garamond" w:cs="NimbusRomNo9L-Regu"/>
          <w:lang w:val="en-GB" w:eastAsia="nl-NL"/>
        </w:rPr>
        <w:t>.</w:t>
      </w:r>
    </w:p>
    <w:p w:rsidR="001C7C52" w:rsidRPr="00802C03" w:rsidRDefault="001C7C52" w:rsidP="00FA7804">
      <w:pPr>
        <w:spacing w:line="280" w:lineRule="exact"/>
        <w:jc w:val="both"/>
        <w:rPr>
          <w:rFonts w:ascii="Garamond" w:hAnsi="Garamond" w:cs="NimbusRomNo9L-Regu"/>
          <w:lang w:val="en-GB" w:eastAsia="nl-NL"/>
        </w:rPr>
      </w:pPr>
      <w:r w:rsidRPr="00802C03">
        <w:rPr>
          <w:rFonts w:ascii="Garamond" w:hAnsi="Garamond" w:cs="NimbusRomNo9L-Regu"/>
          <w:lang w:val="en-GB" w:eastAsia="nl-NL"/>
        </w:rPr>
        <w:t>The end-of-period credit rating (</w:t>
      </w:r>
      <w:r w:rsidRPr="00100BDF">
        <w:rPr>
          <w:rFonts w:ascii="Garamond" w:hAnsi="Garamond" w:cs="NimbusRomNo9L-Regu"/>
          <w:position w:val="-10"/>
          <w:lang w:val="en-GB" w:eastAsia="nl-NL"/>
        </w:rPr>
        <w:object w:dxaOrig="540" w:dyaOrig="300">
          <v:shape id="_x0000_i1104" type="#_x0000_t75" style="width:27pt;height:15pt" o:ole="">
            <v:imagedata r:id="rId172" o:title=""/>
          </v:shape>
          <o:OLEObject Type="Embed" ProgID="Equation.DSMT4" ShapeID="_x0000_i1104" DrawAspect="Content" ObjectID="_1324893645" r:id="rId173"/>
        </w:object>
      </w:r>
      <w:r w:rsidRPr="00802C03">
        <w:rPr>
          <w:rFonts w:ascii="Garamond" w:hAnsi="Garamond" w:cs="NimbusRomNo9L-Regu"/>
          <w:lang w:val="en-GB" w:eastAsia="nl-NL"/>
        </w:rPr>
        <w:t xml:space="preserve">) for each position </w:t>
      </w:r>
      <w:r w:rsidRPr="00100BDF">
        <w:rPr>
          <w:rFonts w:ascii="Garamond" w:hAnsi="Garamond" w:cs="NimbusRomNo9L-Regu"/>
          <w:position w:val="-6"/>
          <w:lang w:val="en-GB" w:eastAsia="nl-NL"/>
        </w:rPr>
        <w:object w:dxaOrig="139" w:dyaOrig="240">
          <v:shape id="_x0000_i1105" type="#_x0000_t75" style="width:6.75pt;height:12pt" o:ole="">
            <v:imagedata r:id="rId174" o:title=""/>
          </v:shape>
          <o:OLEObject Type="Embed" ProgID="Equation.DSMT4" ShapeID="_x0000_i1105" DrawAspect="Content" ObjectID="_1324893646" r:id="rId175"/>
        </w:object>
      </w:r>
      <w:r w:rsidRPr="00802C03">
        <w:rPr>
          <w:rFonts w:ascii="Garamond" w:hAnsi="Garamond" w:cs="NimbusRomNo9L-Regu"/>
          <w:lang w:val="en-GB" w:eastAsia="nl-NL"/>
        </w:rPr>
        <w:t xml:space="preserve"> for each period is computed by applying the asset returns thresholds (</w:t>
      </w:r>
      <w:r w:rsidRPr="00802C03">
        <w:rPr>
          <w:rFonts w:ascii="Garamond" w:hAnsi="Garamond" w:cs="NimbusRomNo9L-Regu"/>
          <w:i/>
          <w:lang w:val="en-GB" w:eastAsia="nl-NL"/>
        </w:rPr>
        <w:t>Z</w:t>
      </w:r>
      <w:r w:rsidRPr="00802C03">
        <w:rPr>
          <w:rFonts w:ascii="Garamond" w:hAnsi="Garamond" w:cs="NimbusRomNo9L-Regu"/>
          <w:lang w:val="en-GB" w:eastAsia="nl-NL"/>
        </w:rPr>
        <w:t xml:space="preserve">-values) in exactly the same way as in the CreditMetrics model. The only differences with the CreditMetrics model are that four credit rating are simulated (one for the end of each period) instead of only one and that the formulation of the input credit ratings is more difficult due to rebalancing requirements. The application of the above expression ensures that for each position </w:t>
      </w:r>
      <w:r w:rsidRPr="00100BDF">
        <w:rPr>
          <w:rFonts w:ascii="Garamond" w:hAnsi="Garamond" w:cs="NimbusRomNo9L-Regu"/>
          <w:position w:val="-6"/>
          <w:lang w:val="en-GB" w:eastAsia="nl-NL"/>
        </w:rPr>
        <w:object w:dxaOrig="139" w:dyaOrig="240">
          <v:shape id="_x0000_i1106" type="#_x0000_t75" style="width:6.75pt;height:12pt" o:ole="">
            <v:imagedata r:id="rId176" o:title=""/>
          </v:shape>
          <o:OLEObject Type="Embed" ProgID="Equation.DSMT4" ShapeID="_x0000_i1106" DrawAspect="Content" ObjectID="_1324893647" r:id="rId177"/>
        </w:object>
      </w:r>
      <w:r w:rsidRPr="00802C03">
        <w:rPr>
          <w:rFonts w:ascii="Garamond" w:hAnsi="Garamond" w:cs="NimbusRomNo9L-Regu"/>
          <w:lang w:val="en-GB" w:eastAsia="nl-NL"/>
        </w:rPr>
        <w:t xml:space="preserve"> in the portfolio the input credit rating for each single-period can be determined (</w:t>
      </w:r>
      <w:r w:rsidRPr="00100BDF">
        <w:rPr>
          <w:rFonts w:ascii="Garamond" w:hAnsi="Garamond" w:cs="NimbusRomNo9L-Regu"/>
          <w:position w:val="-10"/>
          <w:lang w:val="en-GB" w:eastAsia="nl-NL"/>
        </w:rPr>
        <w:object w:dxaOrig="600" w:dyaOrig="300">
          <v:shape id="_x0000_i1107" type="#_x0000_t75" style="width:30pt;height:15pt" o:ole="">
            <v:imagedata r:id="rId178" o:title=""/>
          </v:shape>
          <o:OLEObject Type="Embed" ProgID="Equation.DSMT4" ShapeID="_x0000_i1107" DrawAspect="Content" ObjectID="_1324893648" r:id="rId179"/>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1060" w:dyaOrig="279">
          <v:shape id="_x0000_i1108" type="#_x0000_t75" style="width:53.25pt;height:13.5pt" o:ole="">
            <v:imagedata r:id="rId180" o:title=""/>
          </v:shape>
          <o:OLEObject Type="Embed" ProgID="Equation.DSMT4" ShapeID="_x0000_i1108" DrawAspect="Content" ObjectID="_1324893649" r:id="rId181"/>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800" w:dyaOrig="260">
          <v:shape id="_x0000_i1109" type="#_x0000_t75" style="width:39.75pt;height:13.5pt" o:ole="">
            <v:imagedata r:id="rId182" o:title=""/>
          </v:shape>
          <o:OLEObject Type="Embed" ProgID="Equation.DSMT4" ShapeID="_x0000_i1109" DrawAspect="Content" ObjectID="_1324893650" r:id="rId183"/>
        </w:object>
      </w:r>
      <w:r w:rsidRPr="00802C03">
        <w:rPr>
          <w:rFonts w:ascii="Garamond" w:hAnsi="Garamond" w:cs="NimbusRomNo9L-Regu"/>
          <w:lang w:val="en-GB" w:eastAsia="nl-NL"/>
        </w:rPr>
        <w:t>) and that subsequently the simulated end-of-period credit rating can be computed (</w:t>
      </w:r>
      <w:r w:rsidRPr="00100BDF">
        <w:rPr>
          <w:rFonts w:ascii="Garamond" w:hAnsi="Garamond" w:cs="NimbusRomNo9L-Regu"/>
          <w:position w:val="-10"/>
          <w:lang w:val="en-GB" w:eastAsia="nl-NL"/>
        </w:rPr>
        <w:object w:dxaOrig="540" w:dyaOrig="300">
          <v:shape id="_x0000_i1110" type="#_x0000_t75" style="width:27pt;height:15pt" o:ole="">
            <v:imagedata r:id="rId184" o:title=""/>
          </v:shape>
          <o:OLEObject Type="Embed" ProgID="Equation.DSMT4" ShapeID="_x0000_i1110" DrawAspect="Content" ObjectID="_1324893651" r:id="rId185"/>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1060" w:dyaOrig="279">
          <v:shape id="_x0000_i1111" type="#_x0000_t75" style="width:53.25pt;height:13.5pt" o:ole="">
            <v:imagedata r:id="rId186" o:title=""/>
          </v:shape>
          <o:OLEObject Type="Embed" ProgID="Equation.DSMT4" ShapeID="_x0000_i1111" DrawAspect="Content" ObjectID="_1324893652" r:id="rId187"/>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800" w:dyaOrig="260">
          <v:shape id="_x0000_i1112" type="#_x0000_t75" style="width:39.75pt;height:13.5pt" o:ole="">
            <v:imagedata r:id="rId188" o:title=""/>
          </v:shape>
          <o:OLEObject Type="Embed" ProgID="Equation.DSMT4" ShapeID="_x0000_i1112" DrawAspect="Content" ObjectID="_1324893653" r:id="rId189"/>
        </w:object>
      </w:r>
      <w:r w:rsidRPr="00802C03">
        <w:rPr>
          <w:rFonts w:ascii="Garamond" w:hAnsi="Garamond" w:cs="NimbusRomNo9L-Regu"/>
          <w:lang w:val="en-GB" w:eastAsia="nl-NL"/>
        </w:rPr>
        <w:t>). Herein, the input credit rating of each position in each single-period is used to calibrate the asset return thresholds in the simulation of end-of-period credit rating for each single-period. Obviously, the initial credit rating is already known. This initial rating is equal to the credit rating at the start of the first period (</w:t>
      </w:r>
      <w:r w:rsidRPr="00100BDF">
        <w:rPr>
          <w:rFonts w:ascii="Garamond" w:hAnsi="Garamond" w:cs="NimbusRomNo9L-Regu"/>
          <w:position w:val="-10"/>
          <w:lang w:val="en-GB" w:eastAsia="nl-NL"/>
        </w:rPr>
        <w:object w:dxaOrig="1180" w:dyaOrig="300">
          <v:shape id="_x0000_i1113" type="#_x0000_t75" style="width:58.5pt;height:15pt" o:ole="">
            <v:imagedata r:id="rId190" o:title=""/>
          </v:shape>
          <o:OLEObject Type="Embed" ProgID="Equation.DSMT4" ShapeID="_x0000_i1113" DrawAspect="Content" ObjectID="_1324893654" r:id="rId191"/>
        </w:object>
      </w:r>
      <w:r w:rsidRPr="00802C03">
        <w:rPr>
          <w:rFonts w:ascii="Garamond" w:hAnsi="Garamond" w:cs="NimbusRomNo9L-Regu"/>
          <w:lang w:val="en-GB" w:eastAsia="nl-NL"/>
        </w:rPr>
        <w:t>).</w:t>
      </w:r>
    </w:p>
    <w:p w:rsidR="001C7C52" w:rsidRPr="00802C03" w:rsidRDefault="001C7C52" w:rsidP="00FA7804">
      <w:pPr>
        <w:spacing w:line="28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1.3.2</w:t>
      </w:r>
      <w:r w:rsidRPr="00802C03">
        <w:rPr>
          <w:rFonts w:ascii="Garamond" w:hAnsi="Garamond"/>
          <w:b/>
          <w:lang w:val="en-GB"/>
        </w:rPr>
        <w:tab/>
      </w:r>
      <w:bookmarkStart w:id="11" w:name="S132"/>
      <w:bookmarkEnd w:id="11"/>
      <w:r w:rsidRPr="00802C03">
        <w:rPr>
          <w:rFonts w:ascii="Garamond" w:hAnsi="Garamond"/>
          <w:b/>
          <w:lang w:val="en-GB"/>
        </w:rPr>
        <w:t>Valuation</w:t>
      </w:r>
    </w:p>
    <w:p w:rsidR="001C7C52" w:rsidRPr="00802C03" w:rsidRDefault="001C7C52" w:rsidP="00FA7804">
      <w:pPr>
        <w:spacing w:line="280" w:lineRule="exact"/>
        <w:jc w:val="both"/>
        <w:rPr>
          <w:rFonts w:ascii="Garamond" w:hAnsi="Garamond" w:cs="NimbusRomNo9L-Regu"/>
          <w:lang w:val="en-GB" w:eastAsia="nl-NL"/>
        </w:rPr>
      </w:pPr>
      <w:r w:rsidRPr="00802C03">
        <w:rPr>
          <w:rFonts w:ascii="Garamond" w:hAnsi="Garamond"/>
          <w:lang w:val="en-GB"/>
        </w:rPr>
        <w:t>The next topic in the multi-period simulation model is the valuation of each position at the end of the capital horizon. The information that is required in this valuation process is the output of the credit rating simulation (</w:t>
      </w:r>
      <w:r w:rsidRPr="00100BDF">
        <w:rPr>
          <w:rFonts w:ascii="Garamond" w:hAnsi="Garamond"/>
          <w:position w:val="-10"/>
          <w:lang w:val="en-GB"/>
        </w:rPr>
        <w:object w:dxaOrig="540" w:dyaOrig="300">
          <v:shape id="_x0000_i1114" type="#_x0000_t75" style="width:27pt;height:15pt" o:ole="">
            <v:imagedata r:id="rId192" o:title=""/>
          </v:shape>
          <o:OLEObject Type="Embed" ProgID="Equation.DSMT4" ShapeID="_x0000_i1114" DrawAspect="Content" ObjectID="_1324893655" r:id="rId193"/>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600" w:dyaOrig="300">
          <v:shape id="_x0000_i1115" type="#_x0000_t75" style="width:30pt;height:15pt" o:ole="">
            <v:imagedata r:id="rId194" o:title=""/>
          </v:shape>
          <o:OLEObject Type="Embed" ProgID="Equation.DSMT4" ShapeID="_x0000_i1115" DrawAspect="Content" ObjectID="_1324893656" r:id="rId195"/>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1060" w:dyaOrig="279">
          <v:shape id="_x0000_i1116" type="#_x0000_t75" style="width:53.25pt;height:13.5pt" o:ole="">
            <v:imagedata r:id="rId196" o:title=""/>
          </v:shape>
          <o:OLEObject Type="Embed" ProgID="Equation.DSMT4" ShapeID="_x0000_i1116" DrawAspect="Content" ObjectID="_1324893657" r:id="rId197"/>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800" w:dyaOrig="260">
          <v:shape id="_x0000_i1117" type="#_x0000_t75" style="width:39.75pt;height:13.5pt" o:ole="">
            <v:imagedata r:id="rId198" o:title=""/>
          </v:shape>
          <o:OLEObject Type="Embed" ProgID="Equation.DSMT4" ShapeID="_x0000_i1117" DrawAspect="Content" ObjectID="_1324893658" r:id="rId199"/>
        </w:object>
      </w:r>
      <w:r w:rsidRPr="00802C03">
        <w:rPr>
          <w:rFonts w:ascii="Garamond" w:hAnsi="Garamond" w:cs="NimbusRomNo9L-Regu"/>
          <w:lang w:val="en-GB" w:eastAsia="nl-NL"/>
        </w:rPr>
        <w:t xml:space="preserve">). Moreover, the value of each position at the end of every single-period for each possible credit rating has to be computed as well. </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In this study, only corporate bond portfolios will be assessed in the model estimations, since this simplifies the exercise considerably. In addition, only the US corporate bond market is considered.</w:t>
      </w:r>
      <w:r w:rsidRPr="00802C03">
        <w:rPr>
          <w:rStyle w:val="FootnoteReference"/>
          <w:rFonts w:ascii="Garamond" w:hAnsi="Garamond"/>
          <w:lang w:val="en-GB"/>
        </w:rPr>
        <w:footnoteReference w:id="16"/>
      </w:r>
      <w:r w:rsidRPr="00802C03">
        <w:rPr>
          <w:rFonts w:ascii="Garamond" w:hAnsi="Garamond"/>
          <w:lang w:val="en-GB"/>
        </w:rPr>
        <w:t xml:space="preserve"> To obtain the values of the bonds at the end of each single-period in the model for each possible credit rating (except default), forward bond (re)valuation is applied. In other words, the remaining cash flows of each position </w:t>
      </w:r>
      <w:r w:rsidRPr="00100BDF">
        <w:rPr>
          <w:rFonts w:ascii="Garamond" w:hAnsi="Garamond"/>
          <w:position w:val="-6"/>
          <w:lang w:val="en-GB"/>
        </w:rPr>
        <w:object w:dxaOrig="139" w:dyaOrig="240">
          <v:shape id="_x0000_i1118" type="#_x0000_t75" style="width:6.75pt;height:12pt" o:ole="">
            <v:imagedata r:id="rId200" o:title=""/>
          </v:shape>
          <o:OLEObject Type="Embed" ProgID="Equation.DSMT4" ShapeID="_x0000_i1118" DrawAspect="Content" ObjectID="_1324893659" r:id="rId201"/>
        </w:object>
      </w:r>
      <w:r w:rsidRPr="00802C03">
        <w:rPr>
          <w:rFonts w:ascii="Garamond" w:hAnsi="Garamond"/>
          <w:lang w:val="en-GB"/>
        </w:rPr>
        <w:t xml:space="preserve"> are discounted at the forward zero credit curve of the relevant credit rating:</w:t>
      </w:r>
    </w:p>
    <w:p w:rsidR="001C7C52" w:rsidRPr="00802C03" w:rsidRDefault="001C7C52" w:rsidP="008239E8">
      <w:pPr>
        <w:tabs>
          <w:tab w:val="left" w:pos="567"/>
          <w:tab w:val="left" w:pos="8505"/>
        </w:tabs>
        <w:spacing w:before="100" w:line="320" w:lineRule="atLeast"/>
        <w:ind w:firstLine="567"/>
        <w:jc w:val="both"/>
        <w:rPr>
          <w:rFonts w:ascii="Garamond" w:hAnsi="Garamond" w:cs="NimbusRomNo9L-Regu"/>
          <w:lang w:val="en-GB" w:eastAsia="nl-NL"/>
        </w:rPr>
      </w:pPr>
      <w:r w:rsidRPr="005E2D6F">
        <w:rPr>
          <w:rFonts w:ascii="Garamond" w:hAnsi="Garamond" w:cs="NimbusRomNo9L-Regu"/>
          <w:position w:val="-26"/>
          <w:lang w:val="en-GB" w:eastAsia="nl-NL"/>
        </w:rPr>
        <w:object w:dxaOrig="2340" w:dyaOrig="600">
          <v:shape id="_x0000_i1119" type="#_x0000_t75" style="width:117pt;height:30pt" o:ole="">
            <v:imagedata r:id="rId202" o:title=""/>
          </v:shape>
          <o:OLEObject Type="Embed" ProgID="Equation.DSMT4" ShapeID="_x0000_i1119" DrawAspect="Content" ObjectID="_1324893660" r:id="rId203"/>
        </w:object>
      </w:r>
      <w:r w:rsidRPr="00802C03">
        <w:rPr>
          <w:rFonts w:ascii="Garamond" w:hAnsi="Garamond" w:cs="NimbusRomNo9L-Regu"/>
          <w:lang w:val="en-GB" w:eastAsia="nl-NL"/>
        </w:rPr>
        <w:t xml:space="preserve"> </w:t>
      </w:r>
      <w:bookmarkStart w:id="12" w:name="E1N11"/>
      <w:bookmarkEnd w:id="12"/>
      <w:r w:rsidRPr="00802C03">
        <w:rPr>
          <w:rFonts w:ascii="Garamond" w:hAnsi="Garamond" w:cs="NimbusRomNo9L-Regu"/>
          <w:lang w:val="en-GB" w:eastAsia="nl-NL"/>
        </w:rPr>
        <w:tab/>
        <w:t>(1.11)</w:t>
      </w:r>
    </w:p>
    <w:p w:rsidR="001C7C52" w:rsidRPr="00802C03" w:rsidRDefault="001C7C52" w:rsidP="008239E8">
      <w:pPr>
        <w:spacing w:before="14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for </w:t>
      </w:r>
      <w:r w:rsidRPr="00100BDF">
        <w:rPr>
          <w:rFonts w:ascii="Garamond" w:hAnsi="Garamond" w:cs="NimbusRomNo9L-Regu"/>
          <w:position w:val="-8"/>
          <w:lang w:val="en-GB" w:eastAsia="nl-NL"/>
        </w:rPr>
        <w:object w:dxaOrig="1060" w:dyaOrig="279">
          <v:shape id="_x0000_i1120" type="#_x0000_t75" style="width:53.25pt;height:13.5pt" o:ole="">
            <v:imagedata r:id="rId204" o:title=""/>
          </v:shape>
          <o:OLEObject Type="Embed" ProgID="Equation.DSMT4" ShapeID="_x0000_i1120" DrawAspect="Content" ObjectID="_1324893661" r:id="rId205"/>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800" w:dyaOrig="260">
          <v:shape id="_x0000_i1121" type="#_x0000_t75" style="width:39.75pt;height:13.5pt" o:ole="">
            <v:imagedata r:id="rId206" o:title=""/>
          </v:shape>
          <o:OLEObject Type="Embed" ProgID="Equation.DSMT4" ShapeID="_x0000_i1121" DrawAspect="Content" ObjectID="_1324893662" r:id="rId207"/>
        </w:object>
      </w:r>
      <w:r w:rsidRPr="00802C03">
        <w:rPr>
          <w:rFonts w:ascii="Garamond" w:hAnsi="Garamond" w:cs="NimbusRomNo9L-Regu"/>
          <w:lang w:val="en-GB" w:eastAsia="nl-NL"/>
        </w:rPr>
        <w:t xml:space="preserve">, where </w:t>
      </w:r>
      <w:r w:rsidRPr="00100BDF">
        <w:rPr>
          <w:rFonts w:ascii="Garamond" w:hAnsi="Garamond" w:cs="NimbusRomNo9L-Regu"/>
          <w:position w:val="-10"/>
          <w:lang w:val="en-GB" w:eastAsia="nl-NL"/>
        </w:rPr>
        <w:object w:dxaOrig="920" w:dyaOrig="300">
          <v:shape id="_x0000_i1122" type="#_x0000_t75" style="width:45.75pt;height:15pt" o:ole="">
            <v:imagedata r:id="rId208" o:title=""/>
          </v:shape>
          <o:OLEObject Type="Embed" ProgID="Equation.DSMT4" ShapeID="_x0000_i1122" DrawAspect="Content" ObjectID="_1324893663" r:id="rId209"/>
        </w:object>
      </w:r>
      <w:r w:rsidRPr="00802C03">
        <w:rPr>
          <w:rFonts w:ascii="Garamond" w:hAnsi="Garamond" w:cs="NimbusRomNo9L-Regu"/>
          <w:lang w:val="en-GB" w:eastAsia="nl-NL"/>
        </w:rPr>
        <w: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this equation, </w:t>
      </w:r>
      <w:r w:rsidRPr="00100BDF">
        <w:rPr>
          <w:rFonts w:ascii="Garamond" w:hAnsi="Garamond" w:cs="NimbusRomNo9L-Regu"/>
          <w:position w:val="-10"/>
          <w:lang w:val="en-GB" w:eastAsia="nl-NL"/>
        </w:rPr>
        <w:object w:dxaOrig="460" w:dyaOrig="300">
          <v:shape id="_x0000_i1123" type="#_x0000_t75" style="width:23.25pt;height:15pt" o:ole="">
            <v:imagedata r:id="rId210" o:title=""/>
          </v:shape>
          <o:OLEObject Type="Embed" ProgID="Equation.DSMT4" ShapeID="_x0000_i1123" DrawAspect="Content" ObjectID="_1324893664" r:id="rId211"/>
        </w:object>
      </w:r>
      <w:r w:rsidRPr="00802C03">
        <w:rPr>
          <w:rFonts w:ascii="Garamond" w:hAnsi="Garamond" w:cs="NimbusRomNo9L-Regu"/>
          <w:lang w:val="en-GB" w:eastAsia="nl-NL"/>
        </w:rPr>
        <w:t xml:space="preserve"> is a cash flow (coupon payment or notional payment) at time </w:t>
      </w:r>
      <w:r w:rsidRPr="00100BDF">
        <w:rPr>
          <w:rFonts w:ascii="Garamond" w:hAnsi="Garamond" w:cs="NimbusRomNo9L-Regu"/>
          <w:position w:val="-6"/>
          <w:lang w:val="en-GB" w:eastAsia="nl-NL"/>
        </w:rPr>
        <w:object w:dxaOrig="220" w:dyaOrig="200">
          <v:shape id="_x0000_i1124" type="#_x0000_t75" style="width:11.25pt;height:9.75pt" o:ole="">
            <v:imagedata r:id="rId212" o:title=""/>
          </v:shape>
          <o:OLEObject Type="Embed" ProgID="Equation.DSMT4" ShapeID="_x0000_i1124" DrawAspect="Content" ObjectID="_1324893665" r:id="rId213"/>
        </w:object>
      </w:r>
      <w:r w:rsidRPr="00802C03">
        <w:rPr>
          <w:rFonts w:ascii="Garamond" w:hAnsi="Garamond" w:cs="NimbusRomNo9L-Regu"/>
          <w:lang w:val="en-GB" w:eastAsia="nl-NL"/>
        </w:rPr>
        <w:t xml:space="preserve">, </w:t>
      </w:r>
      <w:r w:rsidRPr="00100BDF">
        <w:rPr>
          <w:rFonts w:ascii="Garamond" w:hAnsi="Garamond" w:cs="NimbusRomNo9L-Regu"/>
          <w:position w:val="-8"/>
          <w:lang w:val="en-GB" w:eastAsia="nl-NL"/>
        </w:rPr>
        <w:object w:dxaOrig="300" w:dyaOrig="279">
          <v:shape id="_x0000_i1125" type="#_x0000_t75" style="width:15pt;height:13.5pt" o:ole="">
            <v:imagedata r:id="rId214" o:title=""/>
          </v:shape>
          <o:OLEObject Type="Embed" ProgID="Equation.DSMT4" ShapeID="_x0000_i1125" DrawAspect="Content" ObjectID="_1324893666" r:id="rId215"/>
        </w:object>
      </w:r>
      <w:r w:rsidRPr="00802C03">
        <w:rPr>
          <w:rFonts w:ascii="Garamond" w:hAnsi="Garamond" w:cs="NimbusRomNo9L-Regu"/>
          <w:lang w:val="en-GB" w:eastAsia="nl-NL"/>
        </w:rPr>
        <w:t xml:space="preserve"> is the maturity of the bond in months (</w:t>
      </w:r>
      <w:r w:rsidRPr="00100BDF">
        <w:rPr>
          <w:rFonts w:ascii="Garamond" w:hAnsi="Garamond" w:cs="NimbusRomNo9L-Regu"/>
          <w:position w:val="-6"/>
          <w:lang w:val="en-GB" w:eastAsia="nl-NL"/>
        </w:rPr>
        <w:object w:dxaOrig="220" w:dyaOrig="200">
          <v:shape id="_x0000_i1126" type="#_x0000_t75" style="width:11.25pt;height:9.75pt" o:ole="">
            <v:imagedata r:id="rId216" o:title=""/>
          </v:shape>
          <o:OLEObject Type="Embed" ProgID="Equation.DSMT4" ShapeID="_x0000_i1126" DrawAspect="Content" ObjectID="_1324893667" r:id="rId217"/>
        </w:object>
      </w:r>
      <w:r w:rsidRPr="00802C03">
        <w:rPr>
          <w:rFonts w:ascii="Garamond" w:hAnsi="Garamond" w:cs="NimbusRomNo9L-Regu"/>
          <w:lang w:val="en-GB" w:eastAsia="nl-NL"/>
        </w:rPr>
        <w:t xml:space="preserve"> is in months as well), </w:t>
      </w:r>
      <w:r w:rsidRPr="00100BDF">
        <w:rPr>
          <w:rFonts w:ascii="Garamond" w:hAnsi="Garamond" w:cs="NimbusRomNo9L-Regu"/>
          <w:position w:val="-10"/>
          <w:lang w:val="en-GB" w:eastAsia="nl-NL"/>
        </w:rPr>
        <w:object w:dxaOrig="540" w:dyaOrig="300">
          <v:shape id="_x0000_i1127" type="#_x0000_t75" style="width:27pt;height:15pt" o:ole="">
            <v:imagedata r:id="rId218" o:title=""/>
          </v:shape>
          <o:OLEObject Type="Embed" ProgID="Equation.DSMT4" ShapeID="_x0000_i1127" DrawAspect="Content" ObjectID="_1324893668" r:id="rId219"/>
        </w:object>
      </w:r>
      <w:r w:rsidRPr="00802C03">
        <w:rPr>
          <w:rFonts w:ascii="Garamond" w:hAnsi="Garamond" w:cs="NimbusRomNo9L-Regu"/>
          <w:lang w:val="en-GB" w:eastAsia="nl-NL"/>
        </w:rPr>
        <w:t xml:space="preserve"> is the simulated credit rating at time ‘</w:t>
      </w:r>
      <w:r w:rsidRPr="00100BDF">
        <w:rPr>
          <w:rFonts w:ascii="Garamond" w:hAnsi="Garamond" w:cs="NimbusRomNo9L-Regu"/>
          <w:position w:val="-6"/>
          <w:lang w:val="en-GB" w:eastAsia="nl-NL"/>
        </w:rPr>
        <w:object w:dxaOrig="420" w:dyaOrig="260">
          <v:shape id="_x0000_i1128" type="#_x0000_t75" style="width:21pt;height:13.5pt" o:ole="">
            <v:imagedata r:id="rId220" o:title=""/>
          </v:shape>
          <o:OLEObject Type="Embed" ProgID="Equation.DSMT4" ShapeID="_x0000_i1128" DrawAspect="Content" ObjectID="_1324893669" r:id="rId221"/>
        </w:object>
      </w:r>
      <w:r w:rsidRPr="00802C03">
        <w:rPr>
          <w:rFonts w:ascii="Garamond" w:hAnsi="Garamond" w:cs="NimbusRomNo9L-Regu"/>
          <w:lang w:val="en-GB" w:eastAsia="nl-NL"/>
        </w:rPr>
        <w:t xml:space="preserve">’ (the end of each single-period in the model) and </w:t>
      </w:r>
      <w:r w:rsidRPr="00100BDF">
        <w:rPr>
          <w:rFonts w:ascii="Garamond" w:hAnsi="Garamond" w:cs="NimbusRomNo9L-Regu"/>
          <w:position w:val="-10"/>
          <w:lang w:val="en-GB" w:eastAsia="nl-NL"/>
        </w:rPr>
        <w:object w:dxaOrig="540" w:dyaOrig="320">
          <v:shape id="_x0000_i1129" type="#_x0000_t75" style="width:27pt;height:15.75pt" o:ole="">
            <v:imagedata r:id="rId222" o:title=""/>
          </v:shape>
          <o:OLEObject Type="Embed" ProgID="Equation.DSMT4" ShapeID="_x0000_i1129" DrawAspect="Content" ObjectID="_1324893670" r:id="rId223"/>
        </w:object>
      </w:r>
      <w:r w:rsidRPr="00802C03">
        <w:rPr>
          <w:rFonts w:ascii="Garamond" w:hAnsi="Garamond" w:cs="NimbusRomNo9L-Regu"/>
          <w:lang w:val="en-GB" w:eastAsia="nl-NL"/>
        </w:rPr>
        <w:t xml:space="preserve"> is the forward zero credit yield of rating </w:t>
      </w:r>
      <w:r w:rsidRPr="00100BDF">
        <w:rPr>
          <w:rFonts w:ascii="Garamond" w:hAnsi="Garamond" w:cs="NimbusRomNo9L-Regu"/>
          <w:position w:val="-10"/>
          <w:lang w:val="en-GB" w:eastAsia="nl-NL"/>
        </w:rPr>
        <w:object w:dxaOrig="540" w:dyaOrig="300">
          <v:shape id="_x0000_i1130" type="#_x0000_t75" style="width:27pt;height:15pt" o:ole="">
            <v:imagedata r:id="rId224" o:title=""/>
          </v:shape>
          <o:OLEObject Type="Embed" ProgID="Equation.DSMT4" ShapeID="_x0000_i1130" DrawAspect="Content" ObjectID="_1324893671" r:id="rId225"/>
        </w:object>
      </w:r>
      <w:r w:rsidRPr="00802C03">
        <w:rPr>
          <w:rFonts w:ascii="Garamond" w:hAnsi="Garamond" w:cs="NimbusRomNo9L-Regu"/>
          <w:lang w:val="en-GB" w:eastAsia="nl-NL"/>
        </w:rPr>
        <w:t xml:space="preserve">, observed at time </w:t>
      </w:r>
      <w:r w:rsidRPr="00100BDF">
        <w:rPr>
          <w:rFonts w:ascii="Garamond" w:hAnsi="Garamond" w:cs="NimbusRomNo9L-Regu"/>
          <w:position w:val="-6"/>
          <w:lang w:val="en-GB" w:eastAsia="nl-NL"/>
        </w:rPr>
        <w:object w:dxaOrig="139" w:dyaOrig="220">
          <v:shape id="_x0000_i1131" type="#_x0000_t75" style="width:6.75pt;height:11.25pt" o:ole="">
            <v:imagedata r:id="rId226" o:title=""/>
          </v:shape>
          <o:OLEObject Type="Embed" ProgID="Equation.DSMT4" ShapeID="_x0000_i1131" DrawAspect="Content" ObjectID="_1324893672" r:id="rId227"/>
        </w:object>
      </w:r>
      <w:r w:rsidRPr="00802C03">
        <w:rPr>
          <w:rFonts w:ascii="Garamond" w:hAnsi="Garamond" w:cs="NimbusRomNo9L-Regu"/>
          <w:lang w:val="en-GB" w:eastAsia="nl-NL"/>
        </w:rPr>
        <w:t xml:space="preserve">, referring to the period between </w:t>
      </w:r>
      <w:r w:rsidRPr="00100BDF">
        <w:rPr>
          <w:rFonts w:ascii="Garamond" w:hAnsi="Garamond" w:cs="NimbusRomNo9L-Regu"/>
          <w:position w:val="-6"/>
          <w:lang w:val="en-GB" w:eastAsia="nl-NL"/>
        </w:rPr>
        <w:object w:dxaOrig="180" w:dyaOrig="260">
          <v:shape id="_x0000_i1132" type="#_x0000_t75" style="width:9pt;height:13.5pt" o:ole="">
            <v:imagedata r:id="rId228" o:title=""/>
          </v:shape>
          <o:OLEObject Type="Embed" ProgID="Equation.DSMT4" ShapeID="_x0000_i1132" DrawAspect="Content" ObjectID="_1324893673" r:id="rId229"/>
        </w:object>
      </w:r>
      <w:r w:rsidRPr="00802C03">
        <w:rPr>
          <w:rFonts w:ascii="Garamond" w:hAnsi="Garamond" w:cs="NimbusRomNo9L-Regu"/>
          <w:lang w:val="en-GB" w:eastAsia="nl-NL"/>
        </w:rPr>
        <w:t xml:space="preserve"> months (the point for which the value of the position is calculated) and </w:t>
      </w:r>
      <w:r w:rsidRPr="00100BDF">
        <w:rPr>
          <w:rFonts w:ascii="Garamond" w:hAnsi="Garamond" w:cs="NimbusRomNo9L-Regu"/>
          <w:position w:val="-6"/>
          <w:lang w:val="en-GB" w:eastAsia="nl-NL"/>
        </w:rPr>
        <w:object w:dxaOrig="220" w:dyaOrig="200">
          <v:shape id="_x0000_i1133" type="#_x0000_t75" style="width:11.25pt;height:9.75pt" o:ole="">
            <v:imagedata r:id="rId230" o:title=""/>
          </v:shape>
          <o:OLEObject Type="Embed" ProgID="Equation.DSMT4" ShapeID="_x0000_i1133" DrawAspect="Content" ObjectID="_1324893674" r:id="rId231"/>
        </w:object>
      </w:r>
      <w:r w:rsidRPr="00802C03">
        <w:rPr>
          <w:rFonts w:ascii="Garamond" w:hAnsi="Garamond" w:cs="NimbusRomNo9L-Regu"/>
          <w:lang w:val="en-GB" w:eastAsia="nl-NL"/>
        </w:rPr>
        <w:t xml:space="preserve"> months from now (the time at which the cash flow occurs).</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Obviously, the value of a position that is subject to default cannot be estimated with credit curves. Therefore, the above expression only applies when the simulated credit rating at time ‘</w:t>
      </w:r>
      <w:r w:rsidRPr="00100BDF">
        <w:rPr>
          <w:rFonts w:ascii="Garamond" w:hAnsi="Garamond" w:cs="NimbusRomNo9L-Regu"/>
          <w:position w:val="-6"/>
          <w:lang w:val="en-GB" w:eastAsia="nl-NL"/>
        </w:rPr>
        <w:object w:dxaOrig="420" w:dyaOrig="260">
          <v:shape id="_x0000_i1134" type="#_x0000_t75" style="width:21pt;height:13.5pt" o:ole="">
            <v:imagedata r:id="rId232" o:title=""/>
          </v:shape>
          <o:OLEObject Type="Embed" ProgID="Equation.DSMT4" ShapeID="_x0000_i1134" DrawAspect="Content" ObjectID="_1324893675" r:id="rId233"/>
        </w:object>
      </w:r>
      <w:r w:rsidRPr="00802C03">
        <w:rPr>
          <w:rFonts w:ascii="Garamond" w:hAnsi="Garamond" w:cs="NimbusRomNo9L-Regu"/>
          <w:lang w:val="en-GB" w:eastAsia="nl-NL"/>
        </w:rPr>
        <w:t>’ is not equal to D (default). The value of a defaulted position (</w:t>
      </w:r>
      <w:r w:rsidRPr="00100BDF">
        <w:rPr>
          <w:rFonts w:ascii="Garamond" w:hAnsi="Garamond" w:cs="NimbusRomNo9L-Regu"/>
          <w:position w:val="-10"/>
          <w:lang w:val="en-GB" w:eastAsia="nl-NL"/>
        </w:rPr>
        <w:object w:dxaOrig="380" w:dyaOrig="320">
          <v:shape id="_x0000_i1135" type="#_x0000_t75" style="width:18.75pt;height:15.75pt" o:ole="">
            <v:imagedata r:id="rId234" o:title=""/>
          </v:shape>
          <o:OLEObject Type="Embed" ProgID="Equation.DSMT4" ShapeID="_x0000_i1135" DrawAspect="Content" ObjectID="_1324893676" r:id="rId235"/>
        </w:object>
      </w:r>
      <w:r w:rsidRPr="00802C03">
        <w:rPr>
          <w:rFonts w:ascii="Garamond" w:hAnsi="Garamond" w:cs="NimbusRomNo9L-Regu"/>
          <w:lang w:val="en-GB" w:eastAsia="nl-NL"/>
        </w:rPr>
        <w:t>) is approached as follows:</w:t>
      </w:r>
    </w:p>
    <w:p w:rsidR="001C7C52" w:rsidRPr="00802C03" w:rsidRDefault="001C7C52" w:rsidP="008239E8">
      <w:pPr>
        <w:tabs>
          <w:tab w:val="left" w:pos="567"/>
          <w:tab w:val="left" w:pos="8505"/>
        </w:tabs>
        <w:spacing w:before="8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1300" w:dyaOrig="320">
          <v:shape id="_x0000_i1136" type="#_x0000_t75" style="width:65.25pt;height:15.75pt" o:ole="">
            <v:imagedata r:id="rId236" o:title=""/>
          </v:shape>
          <o:OLEObject Type="Embed" ProgID="Equation.DSMT4" ShapeID="_x0000_i1136" DrawAspect="Content" ObjectID="_1324893677" r:id="rId237"/>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t>(1.12)</w:t>
      </w:r>
    </w:p>
    <w:p w:rsidR="001C7C52" w:rsidRPr="00802C03" w:rsidRDefault="001C7C52" w:rsidP="008239E8">
      <w:pPr>
        <w:spacing w:before="160" w:after="16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4"/>
          <w:lang w:val="en-GB" w:eastAsia="nl-NL"/>
        </w:rPr>
        <w:object w:dxaOrig="240" w:dyaOrig="180">
          <v:shape id="_x0000_i1137" type="#_x0000_t75" style="width:12pt;height:9pt" o:ole="">
            <v:imagedata r:id="rId238" o:title=""/>
          </v:shape>
          <o:OLEObject Type="Embed" ProgID="Equation.DSMT4" ShapeID="_x0000_i1137" DrawAspect="Content" ObjectID="_1324893678" r:id="rId239"/>
        </w:object>
      </w:r>
      <w:r w:rsidRPr="00802C03">
        <w:rPr>
          <w:rFonts w:ascii="Garamond" w:hAnsi="Garamond" w:cs="NimbusRomNo9L-Regu"/>
          <w:lang w:val="en-GB" w:eastAsia="nl-NL"/>
        </w:rPr>
        <w:t xml:space="preserve"> is the (discounted) recovery rate and </w:t>
      </w:r>
      <w:r w:rsidRPr="00100BDF">
        <w:rPr>
          <w:rFonts w:ascii="Garamond" w:hAnsi="Garamond" w:cs="NimbusRomNo9L-Regu"/>
          <w:position w:val="-8"/>
          <w:lang w:val="en-GB" w:eastAsia="nl-NL"/>
        </w:rPr>
        <w:object w:dxaOrig="499" w:dyaOrig="279">
          <v:shape id="_x0000_i1138" type="#_x0000_t75" style="width:24.75pt;height:13.5pt" o:ole="">
            <v:imagedata r:id="rId240" o:title=""/>
          </v:shape>
          <o:OLEObject Type="Embed" ProgID="Equation.DSMT4" ShapeID="_x0000_i1138" DrawAspect="Content" ObjectID="_1324893679" r:id="rId241"/>
        </w:object>
      </w:r>
      <w:r w:rsidRPr="00802C03">
        <w:rPr>
          <w:rFonts w:ascii="Garamond" w:hAnsi="Garamond" w:cs="NimbusRomNo9L-Regu"/>
          <w:lang w:val="en-GB" w:eastAsia="nl-NL"/>
        </w:rPr>
        <w:t xml:space="preserve"> is the exposure at default.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this expression, the (discounted) recovery rate is assumed to be stochastic, as it is highly uncertain (volatile) in reality. The exact details of the value of a position at default will be discussed in the next section. </w:t>
      </w:r>
    </w:p>
    <w:p w:rsidR="001C7C52" w:rsidRPr="00802C03" w:rsidRDefault="001C7C52" w:rsidP="00E17C8F">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above equations ensure that all corporate bonds can be valued at the end of each single-period and for every credit rating, including default. Applying this information, the value of each position </w:t>
      </w:r>
      <w:r w:rsidRPr="00100BDF">
        <w:rPr>
          <w:rFonts w:ascii="Garamond" w:hAnsi="Garamond" w:cs="NimbusRomNo9L-Regu"/>
          <w:position w:val="-6"/>
          <w:lang w:val="en-GB" w:eastAsia="nl-NL"/>
        </w:rPr>
        <w:object w:dxaOrig="139" w:dyaOrig="240">
          <v:shape id="_x0000_i1139" type="#_x0000_t75" style="width:6.75pt;height:12pt" o:ole="">
            <v:imagedata r:id="rId242" o:title=""/>
          </v:shape>
          <o:OLEObject Type="Embed" ProgID="Equation.DSMT4" ShapeID="_x0000_i1139" DrawAspect="Content" ObjectID="_1324893680" r:id="rId243"/>
        </w:object>
      </w:r>
      <w:r w:rsidRPr="00802C03">
        <w:rPr>
          <w:rFonts w:ascii="Garamond" w:hAnsi="Garamond" w:cs="NimbusRomNo9L-Regu"/>
          <w:position w:val="-8"/>
          <w:lang w:val="en-GB" w:eastAsia="nl-NL"/>
        </w:rPr>
        <w:t xml:space="preserve"> </w:t>
      </w:r>
      <w:r w:rsidRPr="00802C03">
        <w:rPr>
          <w:rFonts w:ascii="Garamond" w:hAnsi="Garamond" w:cs="NimbusRomNo9L-Regu"/>
          <w:lang w:val="en-GB" w:eastAsia="nl-NL"/>
        </w:rPr>
        <w:t>in the portfolio at the end of the capital horizon (</w:t>
      </w:r>
      <w:r w:rsidRPr="00100BDF">
        <w:rPr>
          <w:rFonts w:ascii="Garamond" w:hAnsi="Garamond" w:cs="NimbusRomNo9L-Regu"/>
          <w:position w:val="-10"/>
          <w:lang w:val="en-GB" w:eastAsia="nl-NL"/>
        </w:rPr>
        <w:object w:dxaOrig="420" w:dyaOrig="300">
          <v:shape id="_x0000_i1140" type="#_x0000_t75" style="width:21pt;height:15pt" o:ole="">
            <v:imagedata r:id="rId244" o:title=""/>
          </v:shape>
          <o:OLEObject Type="Embed" ProgID="Equation.DSMT4" ShapeID="_x0000_i1140" DrawAspect="Content" ObjectID="_1324893681" r:id="rId245"/>
        </w:object>
      </w:r>
      <w:r w:rsidRPr="00802C03">
        <w:rPr>
          <w:rFonts w:ascii="Garamond" w:hAnsi="Garamond" w:cs="NimbusRomNo9L-Regu"/>
          <w:lang w:val="en-GB" w:eastAsia="nl-NL"/>
        </w:rPr>
        <w:t>) can be calculated. Note that the value of a position at the end of the capital horizon (</w:t>
      </w:r>
      <w:r w:rsidRPr="00100BDF">
        <w:rPr>
          <w:rFonts w:ascii="Garamond" w:hAnsi="Garamond" w:cs="NimbusRomNo9L-Regu"/>
          <w:position w:val="-6"/>
          <w:lang w:val="en-GB" w:eastAsia="nl-NL"/>
        </w:rPr>
        <w:object w:dxaOrig="499" w:dyaOrig="240">
          <v:shape id="_x0000_i1141" type="#_x0000_t75" style="width:24.75pt;height:12pt" o:ole="">
            <v:imagedata r:id="rId246" o:title=""/>
          </v:shape>
          <o:OLEObject Type="Embed" ProgID="Equation.DSMT4" ShapeID="_x0000_i1141" DrawAspect="Content" ObjectID="_1324893682" r:id="rId247"/>
        </w:object>
      </w:r>
      <w:r w:rsidRPr="00802C03">
        <w:rPr>
          <w:rFonts w:ascii="Garamond" w:hAnsi="Garamond" w:cs="NimbusRomNo9L-Regu"/>
          <w:lang w:val="en-GB" w:eastAsia="nl-NL"/>
        </w:rPr>
        <w:t xml:space="preserve">) is not simply equal to the value of the position at the end of the last period (also   </w:t>
      </w:r>
      <w:r w:rsidRPr="00100BDF">
        <w:rPr>
          <w:rFonts w:ascii="Garamond" w:hAnsi="Garamond" w:cs="NimbusRomNo9L-Regu"/>
          <w:position w:val="-6"/>
          <w:lang w:val="en-GB" w:eastAsia="nl-NL"/>
        </w:rPr>
        <w:object w:dxaOrig="499" w:dyaOrig="240">
          <v:shape id="_x0000_i1142" type="#_x0000_t75" style="width:24.75pt;height:12pt" o:ole="">
            <v:imagedata r:id="rId248" o:title=""/>
          </v:shape>
          <o:OLEObject Type="Embed" ProgID="Equation.DSMT4" ShapeID="_x0000_i1142" DrawAspect="Content" ObjectID="_1324893683" r:id="rId249"/>
        </w:object>
      </w:r>
      <w:r w:rsidRPr="00802C03">
        <w:rPr>
          <w:rFonts w:ascii="Garamond" w:hAnsi="Garamond" w:cs="NimbusRomNo9L-Regu"/>
          <w:lang w:val="en-GB" w:eastAsia="nl-NL"/>
        </w:rPr>
        <w:t>) given its simulated credit rating at that particular moment (</w:t>
      </w:r>
      <w:r w:rsidRPr="00100BDF">
        <w:rPr>
          <w:rFonts w:ascii="Garamond" w:hAnsi="Garamond" w:cs="NimbusRomNo9L-Regu"/>
          <w:position w:val="-10"/>
          <w:lang w:val="en-GB" w:eastAsia="nl-NL"/>
        </w:rPr>
        <w:object w:dxaOrig="560" w:dyaOrig="300">
          <v:shape id="_x0000_i1143" type="#_x0000_t75" style="width:27.75pt;height:15pt" o:ole="">
            <v:imagedata r:id="rId250" o:title=""/>
          </v:shape>
          <o:OLEObject Type="Embed" ProgID="Equation.DSMT4" ShapeID="_x0000_i1143" DrawAspect="Content" ObjectID="_1324893684" r:id="rId251"/>
        </w:object>
      </w:r>
      <w:r w:rsidRPr="00802C03">
        <w:rPr>
          <w:rFonts w:ascii="Garamond" w:hAnsi="Garamond" w:cs="NimbusRomNo9L-Regu"/>
          <w:lang w:val="en-GB" w:eastAsia="nl-NL"/>
        </w:rPr>
        <w:t xml:space="preserve">), as losses and gains resulting from rebalancing are ignored in this value. To account for possible rebalancing results at the end of each single-period in the valuation of position </w:t>
      </w:r>
      <w:r w:rsidRPr="00100BDF">
        <w:rPr>
          <w:rFonts w:ascii="Garamond" w:hAnsi="Garamond" w:cs="NimbusRomNo9L-Regu"/>
          <w:position w:val="-6"/>
          <w:lang w:val="en-GB" w:eastAsia="nl-NL"/>
        </w:rPr>
        <w:object w:dxaOrig="139" w:dyaOrig="240">
          <v:shape id="_x0000_i1144" type="#_x0000_t75" style="width:6.75pt;height:12pt" o:ole="">
            <v:imagedata r:id="rId252" o:title=""/>
          </v:shape>
          <o:OLEObject Type="Embed" ProgID="Equation.DSMT4" ShapeID="_x0000_i1144" DrawAspect="Content" ObjectID="_1324893685" r:id="rId253"/>
        </w:object>
      </w:r>
      <w:r w:rsidRPr="00802C03">
        <w:rPr>
          <w:rFonts w:ascii="Garamond" w:hAnsi="Garamond" w:cs="NimbusRomNo9L-Regu"/>
          <w:lang w:val="en-GB" w:eastAsia="nl-NL"/>
        </w:rPr>
        <w:t xml:space="preserve"> at the end of the capital horizon, the following valuation expression must be applied:</w:t>
      </w:r>
    </w:p>
    <w:p w:rsidR="001C7C52" w:rsidRPr="00802C03" w:rsidRDefault="001C7C52" w:rsidP="0085505D">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5820" w:dyaOrig="320">
          <v:shape id="_x0000_i1145" type="#_x0000_t75" style="width:291pt;height:15.75pt" o:ole="">
            <v:imagedata r:id="rId254" o:title=""/>
          </v:shape>
          <o:OLEObject Type="Embed" ProgID="Equation.DSMT4" ShapeID="_x0000_i1145" DrawAspect="Content" ObjectID="_1324893686" r:id="rId255"/>
        </w:object>
      </w:r>
      <w:r w:rsidRPr="00802C03">
        <w:rPr>
          <w:rFonts w:ascii="Garamond" w:hAnsi="Garamond" w:cs="NimbusRomNo9L-Regu"/>
          <w:lang w:val="en-GB" w:eastAsia="nl-NL"/>
        </w:rPr>
        <w:t>,</w:t>
      </w:r>
      <w:r w:rsidRPr="00802C03">
        <w:rPr>
          <w:rFonts w:ascii="Garamond" w:hAnsi="Garamond" w:cs="NimbusRomNo9L-Regu"/>
          <w:lang w:val="en-GB" w:eastAsia="nl-NL"/>
        </w:rPr>
        <w:tab/>
        <w:t>(1.13)</w:t>
      </w:r>
    </w:p>
    <w:p w:rsidR="001C7C52" w:rsidRPr="00802C03" w:rsidRDefault="001C7C52" w:rsidP="00CE001F">
      <w:pPr>
        <w:spacing w:before="160" w:after="160" w:line="280" w:lineRule="exact"/>
        <w:jc w:val="both"/>
        <w:rPr>
          <w:rFonts w:ascii="Garamond" w:hAnsi="Garamond" w:cs="NimbusRomNo9L-Regu"/>
          <w:lang w:val="en-GB" w:eastAsia="nl-NL"/>
        </w:rPr>
      </w:pPr>
      <w:r w:rsidRPr="00802C03">
        <w:rPr>
          <w:rFonts w:ascii="Garamond" w:hAnsi="Garamond" w:cs="NimbusRomNo9L-Regu"/>
          <w:lang w:val="en-GB" w:eastAsia="nl-NL"/>
        </w:rPr>
        <w:tab/>
        <w:t xml:space="preserve">for </w:t>
      </w:r>
      <w:r w:rsidRPr="00100BDF">
        <w:rPr>
          <w:rFonts w:ascii="Garamond" w:hAnsi="Garamond" w:cs="NimbusRomNo9L-Regu"/>
          <w:position w:val="-8"/>
          <w:lang w:val="en-GB" w:eastAsia="nl-NL"/>
        </w:rPr>
        <w:object w:dxaOrig="800" w:dyaOrig="260">
          <v:shape id="_x0000_i1146" type="#_x0000_t75" style="width:39.75pt;height:13.5pt" o:ole="">
            <v:imagedata r:id="rId256" o:title=""/>
          </v:shape>
          <o:OLEObject Type="Embed" ProgID="Equation.DSMT4" ShapeID="_x0000_i1146" DrawAspect="Content" ObjectID="_1324893687" r:id="rId257"/>
        </w:object>
      </w:r>
      <w:r w:rsidRPr="00802C03">
        <w:rPr>
          <w:rFonts w:ascii="Garamond" w:hAnsi="Garamond" w:cs="NimbusRomNo9L-Regu"/>
          <w:lang w:val="en-GB" w:eastAsia="nl-NL"/>
        </w:rPr>
        <w:t xml:space="preserve">, where </w:t>
      </w:r>
      <w:r w:rsidRPr="00100BDF">
        <w:rPr>
          <w:rFonts w:ascii="Garamond" w:hAnsi="Garamond" w:cs="NimbusRomNo9L-Regu"/>
          <w:position w:val="-10"/>
          <w:lang w:val="en-GB" w:eastAsia="nl-NL"/>
        </w:rPr>
        <w:object w:dxaOrig="1860" w:dyaOrig="320">
          <v:shape id="_x0000_i1147" type="#_x0000_t75" style="width:93pt;height:15.75pt" o:ole="">
            <v:imagedata r:id="rId258" o:title=""/>
          </v:shape>
          <o:OLEObject Type="Embed" ProgID="Equation.DSMT4" ShapeID="_x0000_i1147" DrawAspect="Content" ObjectID="_1324893688" r:id="rId259"/>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820" w:dyaOrig="279">
          <v:shape id="_x0000_i1148" type="#_x0000_t75" style="width:40.5pt;height:13.5pt" o:ole="">
            <v:imagedata r:id="rId260" o:title=""/>
          </v:shape>
          <o:OLEObject Type="Embed" ProgID="Equation.DSMT4" ShapeID="_x0000_i1148" DrawAspect="Content" ObjectID="_1324893689" r:id="rId261"/>
        </w:object>
      </w:r>
      <w:r w:rsidRPr="00802C03">
        <w:rPr>
          <w:rFonts w:ascii="Garamond" w:hAnsi="Garamond" w:cs="NimbusRomNo9L-Regu"/>
          <w:lang w:val="en-GB" w:eastAsia="nl-NL"/>
        </w:rPr>
        <w: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expression implies that the value of position </w:t>
      </w:r>
      <w:r w:rsidRPr="00100BDF">
        <w:rPr>
          <w:rFonts w:ascii="Garamond" w:hAnsi="Garamond" w:cs="NimbusRomNo9L-Regu"/>
          <w:position w:val="-6"/>
          <w:lang w:val="en-GB" w:eastAsia="nl-NL"/>
        </w:rPr>
        <w:object w:dxaOrig="139" w:dyaOrig="240">
          <v:shape id="_x0000_i1149" type="#_x0000_t75" style="width:6.75pt;height:12pt" o:ole="">
            <v:imagedata r:id="rId262" o:title=""/>
          </v:shape>
          <o:OLEObject Type="Embed" ProgID="Equation.DSMT4" ShapeID="_x0000_i1149" DrawAspect="Content" ObjectID="_1324893690" r:id="rId263"/>
        </w:object>
      </w:r>
      <w:r w:rsidRPr="00802C03">
        <w:rPr>
          <w:rFonts w:ascii="Garamond" w:hAnsi="Garamond" w:cs="NimbusRomNo9L-Regu"/>
          <w:lang w:val="en-GB" w:eastAsia="nl-NL"/>
        </w:rPr>
        <w:t xml:space="preserve"> at the end of the capital horizon is equal to value of the position at the end of the last period (</w:t>
      </w:r>
      <w:r w:rsidRPr="00100BDF">
        <w:rPr>
          <w:rFonts w:ascii="Garamond" w:hAnsi="Garamond" w:cs="NimbusRomNo9L-Regu"/>
          <w:position w:val="-6"/>
          <w:lang w:val="en-GB" w:eastAsia="nl-NL"/>
        </w:rPr>
        <w:object w:dxaOrig="499" w:dyaOrig="240">
          <v:shape id="_x0000_i1150" type="#_x0000_t75" style="width:24.75pt;height:12pt" o:ole="">
            <v:imagedata r:id="rId264" o:title=""/>
          </v:shape>
          <o:OLEObject Type="Embed" ProgID="Equation.DSMT4" ShapeID="_x0000_i1150" DrawAspect="Content" ObjectID="_1324893691" r:id="rId265"/>
        </w:object>
      </w:r>
      <w:r w:rsidRPr="00802C03">
        <w:rPr>
          <w:rFonts w:ascii="Garamond" w:hAnsi="Garamond" w:cs="NimbusRomNo9L-Regu"/>
          <w:lang w:val="en-GB" w:eastAsia="nl-NL"/>
        </w:rPr>
        <w:t>), given its simulated credit rating at that moment (</w:t>
      </w:r>
      <w:r w:rsidRPr="00100BDF">
        <w:rPr>
          <w:rFonts w:ascii="Garamond" w:hAnsi="Garamond" w:cs="NimbusRomNo9L-Regu"/>
          <w:position w:val="-10"/>
          <w:lang w:val="en-GB" w:eastAsia="nl-NL"/>
        </w:rPr>
        <w:object w:dxaOrig="560" w:dyaOrig="300">
          <v:shape id="_x0000_i1151" type="#_x0000_t75" style="width:27.75pt;height:15pt" o:ole="">
            <v:imagedata r:id="rId266" o:title=""/>
          </v:shape>
          <o:OLEObject Type="Embed" ProgID="Equation.DSMT4" ShapeID="_x0000_i1151" DrawAspect="Content" ObjectID="_1324893692" r:id="rId267"/>
        </w:object>
      </w:r>
      <w:r w:rsidRPr="00802C03">
        <w:rPr>
          <w:rFonts w:ascii="Garamond" w:hAnsi="Garamond" w:cs="NimbusRomNo9L-Regu"/>
          <w:lang w:val="en-GB" w:eastAsia="nl-NL"/>
        </w:rPr>
        <w:t>), plus the rebalancing results of the previous single-periods (</w:t>
      </w:r>
      <w:r w:rsidRPr="00100BDF">
        <w:rPr>
          <w:rFonts w:ascii="Garamond" w:hAnsi="Garamond" w:cs="NimbusRomNo9L-Regu"/>
          <w:position w:val="-10"/>
          <w:lang w:val="en-GB" w:eastAsia="nl-NL"/>
        </w:rPr>
        <w:object w:dxaOrig="400" w:dyaOrig="300">
          <v:shape id="_x0000_i1152" type="#_x0000_t75" style="width:20.25pt;height:15pt" o:ole="">
            <v:imagedata r:id="rId268" o:title=""/>
          </v:shape>
          <o:OLEObject Type="Embed" ProgID="Equation.DSMT4" ShapeID="_x0000_i1152" DrawAspect="Content" ObjectID="_1324893693" r:id="rId269"/>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820" w:dyaOrig="279">
          <v:shape id="_x0000_i1153" type="#_x0000_t75" style="width:40.5pt;height:13.5pt" o:ole="">
            <v:imagedata r:id="rId270" o:title=""/>
          </v:shape>
          <o:OLEObject Type="Embed" ProgID="Equation.DSMT4" ShapeID="_x0000_i1153" DrawAspect="Content" ObjectID="_1324893694" r:id="rId271"/>
        </w:object>
      </w:r>
      <w:r w:rsidRPr="00802C03">
        <w:rPr>
          <w:rFonts w:ascii="Garamond" w:hAnsi="Garamond" w:cs="NimbusRomNo9L-Regu"/>
          <w:lang w:val="en-GB" w:eastAsia="nl-NL"/>
        </w:rPr>
        <w:t>), which are carried to the end of the capital horizon at a forward zero credit yield. The rebalancing results are defined as the difference between the value of the position at the end of each single-period (</w:t>
      </w:r>
      <w:r w:rsidRPr="00100BDF">
        <w:rPr>
          <w:rFonts w:ascii="Garamond" w:hAnsi="Garamond" w:cs="NimbusRomNo9L-Regu"/>
          <w:position w:val="-10"/>
          <w:lang w:val="en-GB" w:eastAsia="nl-NL"/>
        </w:rPr>
        <w:object w:dxaOrig="520" w:dyaOrig="320">
          <v:shape id="_x0000_i1154" type="#_x0000_t75" style="width:26.25pt;height:15.75pt" o:ole="">
            <v:imagedata r:id="rId272" o:title=""/>
          </v:shape>
          <o:OLEObject Type="Embed" ProgID="Equation.DSMT4" ShapeID="_x0000_i1154" DrawAspect="Content" ObjectID="_1324893695" r:id="rId273"/>
        </w:object>
      </w:r>
      <w:r w:rsidRPr="00802C03">
        <w:rPr>
          <w:rFonts w:ascii="Garamond" w:hAnsi="Garamond" w:cs="NimbusRomNo9L-Regu"/>
          <w:lang w:val="en-GB" w:eastAsia="nl-NL"/>
        </w:rPr>
        <w:t>) given the simulated credit rating at that moment           (</w:t>
      </w:r>
      <w:r w:rsidRPr="00100BDF">
        <w:rPr>
          <w:rFonts w:ascii="Garamond" w:hAnsi="Garamond" w:cs="NimbusRomNo9L-Regu"/>
          <w:position w:val="-10"/>
          <w:lang w:val="en-GB" w:eastAsia="nl-NL"/>
        </w:rPr>
        <w:object w:dxaOrig="540" w:dyaOrig="300">
          <v:shape id="_x0000_i1155" type="#_x0000_t75" style="width:27pt;height:15pt" o:ole="">
            <v:imagedata r:id="rId274" o:title=""/>
          </v:shape>
          <o:OLEObject Type="Embed" ProgID="Equation.DSMT4" ShapeID="_x0000_i1155" DrawAspect="Content" ObjectID="_1324893696" r:id="rId275"/>
        </w:object>
      </w:r>
      <w:r w:rsidRPr="00802C03">
        <w:rPr>
          <w:rFonts w:ascii="Garamond" w:hAnsi="Garamond" w:cs="NimbusRomNo9L-Regu"/>
          <w:lang w:val="en-GB" w:eastAsia="nl-NL"/>
        </w:rPr>
        <w:t>), and the value of the position at the same</w:t>
      </w:r>
      <w:r>
        <w:rPr>
          <w:rFonts w:ascii="Garamond" w:hAnsi="Garamond" w:cs="NimbusRomNo9L-Regu"/>
          <w:lang w:val="en-GB" w:eastAsia="nl-NL"/>
        </w:rPr>
        <w:t xml:space="preserve"> point in</w:t>
      </w:r>
      <w:r w:rsidRPr="00802C03">
        <w:rPr>
          <w:rFonts w:ascii="Garamond" w:hAnsi="Garamond" w:cs="NimbusRomNo9L-Regu"/>
          <w:lang w:val="en-GB" w:eastAsia="nl-NL"/>
        </w:rPr>
        <w:t xml:space="preserve"> time (</w:t>
      </w:r>
      <w:r w:rsidRPr="00100BDF">
        <w:rPr>
          <w:rFonts w:ascii="Garamond" w:hAnsi="Garamond" w:cs="NimbusRomNo9L-Regu"/>
          <w:position w:val="-10"/>
          <w:lang w:val="en-GB" w:eastAsia="nl-NL"/>
        </w:rPr>
        <w:object w:dxaOrig="639" w:dyaOrig="320">
          <v:shape id="_x0000_i1156" type="#_x0000_t75" style="width:32.25pt;height:15.75pt" o:ole="">
            <v:imagedata r:id="rId276" o:title=""/>
          </v:shape>
          <o:OLEObject Type="Embed" ProgID="Equation.DSMT4" ShapeID="_x0000_i1156" DrawAspect="Content" ObjectID="_1324893697" r:id="rId277"/>
        </w:object>
      </w:r>
      <w:r w:rsidRPr="00802C03">
        <w:rPr>
          <w:rFonts w:ascii="Garamond" w:hAnsi="Garamond" w:cs="NimbusRomNo9L-Regu"/>
          <w:lang w:val="en-GB" w:eastAsia="nl-NL"/>
        </w:rPr>
        <w:t>) given the credit rating at the start of the next period (</w:t>
      </w:r>
      <w:r w:rsidRPr="00100BDF">
        <w:rPr>
          <w:rFonts w:ascii="Garamond" w:hAnsi="Garamond" w:cs="NimbusRomNo9L-Regu"/>
          <w:position w:val="-10"/>
          <w:lang w:val="en-GB" w:eastAsia="nl-NL"/>
        </w:rPr>
        <w:object w:dxaOrig="720" w:dyaOrig="300">
          <v:shape id="_x0000_i1157" type="#_x0000_t75" style="width:36pt;height:15pt" o:ole="">
            <v:imagedata r:id="rId278" o:title=""/>
          </v:shape>
          <o:OLEObject Type="Embed" ProgID="Equation.DSMT4" ShapeID="_x0000_i1157" DrawAspect="Content" ObjectID="_1324893698" r:id="rId279"/>
        </w:object>
      </w:r>
      <w:r w:rsidRPr="00802C03">
        <w:rPr>
          <w:rFonts w:ascii="Garamond" w:hAnsi="Garamond" w:cs="NimbusRomNo9L-Regu"/>
          <w:lang w:val="en-GB" w:eastAsia="nl-NL"/>
        </w:rPr>
        <w:t xml:space="preserve">).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expression simply states that the position is sold at the end of each period and that the same position with the input credit rating of the next period is bought again. The values of both these positions are equal when no rebalancing occurs and therefore yield no result at such moments. When rebalancing does occur, the difference between both values displays exactly what the losses or gains of rebalancing are at that moment. These gains or losses do not occur at the end of the capital horizon and therefore they are pushed into the future, applying the relevant forward zero credit yield (or more specifically, the relevant forward accrual rate). </w:t>
      </w:r>
    </w:p>
    <w:p w:rsidR="001C7C52" w:rsidRPr="00802C03" w:rsidRDefault="001C7C52" w:rsidP="006851C7">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Obviously, the following question arises: Which forward zero credit yield curve should be used? Naturally, the forward credit curve of the initial credit rating (</w:t>
      </w:r>
      <w:r w:rsidRPr="00100BDF">
        <w:rPr>
          <w:rFonts w:ascii="Garamond" w:hAnsi="Garamond" w:cs="NimbusRomNo9L-Regu"/>
          <w:position w:val="-10"/>
          <w:lang w:val="en-GB" w:eastAsia="nl-NL"/>
        </w:rPr>
        <w:object w:dxaOrig="560" w:dyaOrig="320">
          <v:shape id="_x0000_i1158" type="#_x0000_t75" style="width:27.75pt;height:15.75pt" o:ole="">
            <v:imagedata r:id="rId280" o:title=""/>
          </v:shape>
          <o:OLEObject Type="Embed" ProgID="Equation.DSMT4" ShapeID="_x0000_i1158" DrawAspect="Content" ObjectID="_1324893699" r:id="rId281"/>
        </w:object>
      </w:r>
      <w:r w:rsidRPr="00802C03">
        <w:rPr>
          <w:rFonts w:ascii="Garamond" w:hAnsi="Garamond" w:cs="NimbusRomNo9L-Regu"/>
          <w:lang w:val="en-GB" w:eastAsia="nl-NL"/>
        </w:rPr>
        <w:t>) is an appealing accrual rate in this setting, as it is consistent with the formulation in the simulation model and the constant or initial risk assumption. Moreover, applying the forward zero credit yield corresponding to the credit rating of the position that is sold at the rebalancing moment is not always possible. This position could be in default, yet there is no available credit yield curve for the default rating.</w:t>
      </w:r>
    </w:p>
    <w:p w:rsidR="001C7C52" w:rsidRPr="00802C03" w:rsidRDefault="001C7C52" w:rsidP="006851C7">
      <w:pPr>
        <w:pStyle w:val="FootnoteText"/>
        <w:spacing w:line="280" w:lineRule="exact"/>
        <w:ind w:left="0" w:firstLine="0"/>
        <w:jc w:val="both"/>
        <w:rPr>
          <w:sz w:val="22"/>
          <w:szCs w:val="22"/>
          <w:lang w:val="en-GB"/>
        </w:rPr>
      </w:pPr>
      <w:r w:rsidRPr="00802C03">
        <w:rPr>
          <w:rFonts w:ascii="Garamond" w:hAnsi="Garamond" w:cs="NimbusRomNo9L-Regu"/>
          <w:sz w:val="22"/>
          <w:szCs w:val="22"/>
          <w:lang w:val="en-GB" w:eastAsia="nl-NL"/>
        </w:rPr>
        <w:t xml:space="preserve">Nonetheless, from a portfolio point of view the forward credit yield of initial credit rating is less appealing, since rebalancing profits on a AAA-position would be pushed forward in time with a different yield than losses on a B-position that occur at the same </w:t>
      </w:r>
      <w:r>
        <w:rPr>
          <w:rFonts w:ascii="Garamond" w:hAnsi="Garamond" w:cs="NimbusRomNo9L-Regu"/>
          <w:sz w:val="22"/>
          <w:szCs w:val="22"/>
          <w:lang w:val="en-GB" w:eastAsia="nl-NL"/>
        </w:rPr>
        <w:t xml:space="preserve">point in </w:t>
      </w:r>
      <w:r w:rsidRPr="00802C03">
        <w:rPr>
          <w:rFonts w:ascii="Garamond" w:hAnsi="Garamond" w:cs="NimbusRomNo9L-Regu"/>
          <w:sz w:val="22"/>
          <w:szCs w:val="22"/>
          <w:lang w:val="en-GB" w:eastAsia="nl-NL"/>
        </w:rPr>
        <w:t xml:space="preserve">time. In such a setting, when the rebalancing of one position results in a profit while the other position results in a loss, these profits and losses would naturally cover each other in a portfolio, which implies that the same accrual rate should be applied. The resulting alternative is the construction of a value-weighted credit curve based on the credit ratings of the positions in the portfolio and the relative exposure in the portfolio to each credit rating. Nevertheless, this curve would have some theoretical and practical issues. For example, most rebalancing results can be expected to be generated on the lower rated positions. Consequently, the value-weighted yield curve may not be conservative enough, since it is applied more often to the lower rated positions than implied by the value-weighted share of these positions in the yield curve.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Hence, carrying the rebalancing results forward at the forward zero credit yield with respect to the initial credit rating seems like the most viable option that takes into account a reasonable level of (opportunity) costs of capital.</w:t>
      </w:r>
      <w:r w:rsidRPr="00802C03">
        <w:rPr>
          <w:rStyle w:val="FootnoteReference"/>
          <w:rFonts w:ascii="Garamond" w:hAnsi="Garamond" w:cs="NimbusRomNo9L-Regu"/>
          <w:lang w:val="en-GB" w:eastAsia="nl-NL"/>
        </w:rPr>
        <w:footnoteReference w:id="17"/>
      </w:r>
      <w:r w:rsidRPr="00802C03">
        <w:rPr>
          <w:rFonts w:ascii="Garamond" w:hAnsi="Garamond" w:cs="NimbusRomNo9L-Regu"/>
          <w:lang w:val="en-GB" w:eastAsia="nl-NL"/>
        </w:rPr>
        <w:t xml:space="preserve"> Therefore, in the model estimations in </w:t>
      </w:r>
      <w:hyperlink w:anchor="S310" w:history="1">
        <w:r w:rsidRPr="00802C03">
          <w:rPr>
            <w:rStyle w:val="Hyperlink"/>
            <w:rFonts w:ascii="Garamond" w:hAnsi="Garamond" w:cs="NimbusRomNo9L-Regu"/>
            <w:color w:val="000066"/>
            <w:u w:val="none"/>
            <w:lang w:val="en-GB" w:eastAsia="nl-NL"/>
          </w:rPr>
          <w:t>Part III</w:t>
        </w:r>
      </w:hyperlink>
      <w:r w:rsidRPr="00802C03">
        <w:rPr>
          <w:rFonts w:ascii="Garamond" w:hAnsi="Garamond" w:cs="NimbusRomNo9L-Regu"/>
          <w:lang w:val="en-GB" w:eastAsia="nl-NL"/>
        </w:rPr>
        <w:t xml:space="preserve">, this methodology will be applied for the valuation of the positions. </w:t>
      </w:r>
      <w:r w:rsidRPr="00802C03">
        <w:rPr>
          <w:rFonts w:ascii="Garamond" w:hAnsi="Garamond" w:cs="NimbusRomNo9L-Regu"/>
          <w:szCs w:val="22"/>
          <w:lang w:val="en-GB" w:eastAsia="nl-NL"/>
        </w:rPr>
        <w:t xml:space="preserve">(The forward accrual rate issue will be discussed more thoroughly in </w:t>
      </w:r>
      <w:hyperlink w:anchor="S326" w:history="1">
        <w:r w:rsidRPr="00802C03">
          <w:rPr>
            <w:rStyle w:val="Hyperlink"/>
            <w:rFonts w:ascii="Garamond" w:hAnsi="Garamond" w:cs="NimbusRomNo9L-Regu"/>
            <w:color w:val="000066"/>
            <w:szCs w:val="22"/>
            <w:u w:val="none"/>
            <w:lang w:val="en-GB" w:eastAsia="nl-NL"/>
          </w:rPr>
          <w:t>Part III section 3.2.6</w:t>
        </w:r>
      </w:hyperlink>
      <w:r w:rsidRPr="00802C03">
        <w:rPr>
          <w:rFonts w:ascii="Garamond" w:hAnsi="Garamond" w:cs="NimbusRomNo9L-Regu"/>
          <w:szCs w:val="22"/>
          <w:lang w:val="en-GB" w:eastAsia="nl-NL"/>
        </w:rPr>
        <w:t>.)</w:t>
      </w:r>
    </w:p>
    <w:p w:rsidR="001C7C52" w:rsidRPr="00802C03" w:rsidRDefault="001C7C52" w:rsidP="006851C7">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lang w:val="en-GB"/>
        </w:rPr>
      </w:pPr>
      <w:r w:rsidRPr="00802C03">
        <w:rPr>
          <w:rFonts w:ascii="Garamond" w:hAnsi="Garamond" w:cs="NimbusRomNo9L-Regu"/>
          <w:lang w:val="en-GB" w:eastAsia="nl-NL"/>
        </w:rPr>
        <w:t>The valuation model above applies to corporate bonds only. However, it is important to be aware of the fact that</w:t>
      </w:r>
      <w:r w:rsidRPr="00802C03">
        <w:rPr>
          <w:rFonts w:ascii="Garamond" w:hAnsi="Garamond"/>
          <w:lang w:val="en-GB"/>
        </w:rPr>
        <w:t xml:space="preserve"> any type of credit product can be inserted in the proposed model, as long as the change in value as a result of migration or default can be clearly assessed. The value and revaluation of the respective credit product as a result of upgrading, downgrading, default or retaining of the initial credit rating are the only types of specific information that are required in model of the type constructed here. Hence, the model can easily be extended to cover a multitude of different credit products.</w:t>
      </w:r>
    </w:p>
    <w:p w:rsidR="001C7C52" w:rsidRPr="00802C03" w:rsidRDefault="001C7C52" w:rsidP="006851C7">
      <w:pPr>
        <w:spacing w:line="280" w:lineRule="exact"/>
        <w:jc w:val="both"/>
        <w:rPr>
          <w:rFonts w:ascii="Garamond" w:hAnsi="Garamond"/>
          <w:lang w:val="en-GB"/>
        </w:rPr>
      </w:pPr>
      <w:r w:rsidRPr="00802C03">
        <w:rPr>
          <w:rFonts w:ascii="Garamond" w:hAnsi="Garamond" w:cs="NimbusRomNo9L-Regu"/>
          <w:lang w:val="en-GB" w:eastAsia="nl-NL"/>
        </w:rPr>
        <w:t xml:space="preserve">To complete the valuation component of the simulation model, the value of the complete portfolio in a simulation scenario must be obtained. Obviously, this value is the sum of all individual position valuations in a single simulation scenario. </w:t>
      </w:r>
      <w:r w:rsidRPr="00802C03">
        <w:rPr>
          <w:rFonts w:ascii="Garamond" w:hAnsi="Garamond"/>
          <w:lang w:val="en-GB"/>
        </w:rPr>
        <w:t xml:space="preserve">The valuation of the portfolio in any given simulation scenario ensures that by generating a large number of simulation scenarios a portfolio value distribution at the end of the capital horizon can be produced. How this distribution is assessed to obtain the relevant risk measure is addressed in </w:t>
      </w:r>
      <w:hyperlink w:anchor="S134" w:history="1">
        <w:r w:rsidRPr="00802C03">
          <w:rPr>
            <w:rStyle w:val="Hyperlink"/>
            <w:rFonts w:ascii="Garamond" w:hAnsi="Garamond"/>
            <w:color w:val="000066"/>
            <w:u w:val="none"/>
            <w:lang w:val="en-GB"/>
          </w:rPr>
          <w:t>section 1.3.4</w:t>
        </w:r>
      </w:hyperlink>
      <w:r w:rsidRPr="00802C03">
        <w:rPr>
          <w:rFonts w:ascii="Garamond" w:hAnsi="Garamond"/>
          <w:lang w:val="en-GB"/>
        </w:rPr>
        <w:t>. First, the default value is discussed in more detail.</w:t>
      </w:r>
    </w:p>
    <w:p w:rsidR="001C7C52" w:rsidRPr="00802C03" w:rsidRDefault="001C7C52" w:rsidP="006851C7">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1.3.3</w:t>
      </w:r>
      <w:r w:rsidRPr="00802C03">
        <w:rPr>
          <w:rFonts w:ascii="Garamond" w:hAnsi="Garamond"/>
          <w:b/>
          <w:lang w:val="en-GB"/>
        </w:rPr>
        <w:tab/>
      </w:r>
      <w:bookmarkStart w:id="14" w:name="S133"/>
      <w:bookmarkEnd w:id="14"/>
      <w:r w:rsidRPr="00802C03">
        <w:rPr>
          <w:rFonts w:ascii="Garamond" w:hAnsi="Garamond"/>
          <w:b/>
          <w:lang w:val="en-GB"/>
        </w:rPr>
        <w:t>Default Value</w:t>
      </w:r>
    </w:p>
    <w:p w:rsidR="001C7C52" w:rsidRPr="00802C03" w:rsidRDefault="001C7C52" w:rsidP="004655AE">
      <w:pPr>
        <w:spacing w:line="280" w:lineRule="exact"/>
        <w:jc w:val="both"/>
        <w:rPr>
          <w:rFonts w:ascii="Garamond" w:hAnsi="Garamond" w:cs="NimbusRomNo9L-Regu"/>
          <w:lang w:val="en-GB" w:eastAsia="nl-NL"/>
        </w:rPr>
      </w:pPr>
      <w:r w:rsidRPr="00802C03">
        <w:rPr>
          <w:rFonts w:ascii="Garamond" w:hAnsi="Garamond" w:cs="NimbusRomNo9L-Regu"/>
          <w:lang w:val="en-GB" w:eastAsia="nl-NL"/>
        </w:rPr>
        <w:t>The default value or recovery value (</w:t>
      </w:r>
      <w:r w:rsidRPr="00100BDF">
        <w:rPr>
          <w:rFonts w:ascii="Garamond" w:hAnsi="Garamond" w:cs="NimbusRomNo9L-Regu"/>
          <w:position w:val="-10"/>
          <w:lang w:val="en-GB" w:eastAsia="nl-NL"/>
        </w:rPr>
        <w:object w:dxaOrig="380" w:dyaOrig="320">
          <v:shape id="_x0000_i1159" type="#_x0000_t75" style="width:18.75pt;height:15.75pt" o:ole="">
            <v:imagedata r:id="rId282" o:title=""/>
          </v:shape>
          <o:OLEObject Type="Embed" ProgID="Equation.DSMT4" ShapeID="_x0000_i1159" DrawAspect="Content" ObjectID="_1324893700" r:id="rId283"/>
        </w:object>
      </w:r>
      <w:r w:rsidRPr="00802C03">
        <w:rPr>
          <w:rFonts w:ascii="Garamond" w:hAnsi="Garamond" w:cs="NimbusRomNo9L-Regu"/>
          <w:lang w:val="en-GB" w:eastAsia="nl-NL"/>
        </w:rPr>
        <w:t>) was addressed only briefly in the previous section. In this section, first, the standard model</w:t>
      </w:r>
      <w:r>
        <w:rPr>
          <w:rFonts w:ascii="Garamond" w:hAnsi="Garamond" w:cs="NimbusRomNo9L-Regu"/>
          <w:lang w:val="en-GB" w:eastAsia="nl-NL"/>
        </w:rPr>
        <w:t>l</w:t>
      </w:r>
      <w:r w:rsidRPr="00802C03">
        <w:rPr>
          <w:rFonts w:ascii="Garamond" w:hAnsi="Garamond" w:cs="NimbusRomNo9L-Regu"/>
          <w:lang w:val="en-GB" w:eastAsia="nl-NL"/>
        </w:rPr>
        <w:t xml:space="preserve">ing practices of the default value in this particular model setting are addressed. Subsequently, a modification to this standard default value model is introduced. The modification is proposed to be able to deal with some critical issues that will emerge when the standard default value model is applied in the model estimations in </w:t>
      </w:r>
      <w:hyperlink w:anchor="S310" w:history="1">
        <w:r w:rsidRPr="00802C03">
          <w:rPr>
            <w:rStyle w:val="Hyperlink"/>
            <w:rFonts w:ascii="Garamond" w:hAnsi="Garamond" w:cs="NimbusRomNo9L-Regu"/>
            <w:color w:val="000066"/>
            <w:u w:val="none"/>
            <w:lang w:val="en-GB" w:eastAsia="nl-NL"/>
          </w:rPr>
          <w:t>Part III</w:t>
        </w:r>
      </w:hyperlink>
      <w:r w:rsidRPr="00802C03">
        <w:rPr>
          <w:rFonts w:ascii="Garamond" w:hAnsi="Garamond" w:cs="NimbusRomNo9L-Regu"/>
          <w:lang w:val="en-GB" w:eastAsia="nl-NL"/>
        </w:rPr>
        <w:t>.</w:t>
      </w:r>
    </w:p>
    <w:p w:rsidR="001C7C52" w:rsidRPr="00802C03" w:rsidRDefault="001C7C52" w:rsidP="006D1133">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In a standard default value model, the expression of the result at the end of a period (</w:t>
      </w:r>
      <w:r w:rsidRPr="00100BDF">
        <w:rPr>
          <w:rFonts w:ascii="Garamond" w:hAnsi="Garamond" w:cs="NimbusRomNo9L-Regu"/>
          <w:position w:val="-6"/>
          <w:lang w:val="en-GB" w:eastAsia="nl-NL"/>
        </w:rPr>
        <w:object w:dxaOrig="420" w:dyaOrig="260">
          <v:shape id="_x0000_i1160" type="#_x0000_t75" style="width:21pt;height:13.5pt" o:ole="">
            <v:imagedata r:id="rId284" o:title=""/>
          </v:shape>
          <o:OLEObject Type="Embed" ProgID="Equation.DSMT4" ShapeID="_x0000_i1160" DrawAspect="Content" ObjectID="_1324893701" r:id="rId285"/>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1060" w:dyaOrig="279">
          <v:shape id="_x0000_i1161" type="#_x0000_t75" style="width:53.25pt;height:13.5pt" o:ole="">
            <v:imagedata r:id="rId286" o:title=""/>
          </v:shape>
          <o:OLEObject Type="Embed" ProgID="Equation.DSMT4" ShapeID="_x0000_i1161" DrawAspect="Content" ObjectID="_1324893702" r:id="rId287"/>
        </w:object>
      </w:r>
      <w:r w:rsidRPr="00802C03">
        <w:rPr>
          <w:rFonts w:ascii="Garamond" w:hAnsi="Garamond" w:cs="NimbusRomNo9L-Regu"/>
          <w:lang w:val="en-GB" w:eastAsia="nl-NL"/>
        </w:rPr>
        <w:t xml:space="preserve">) when a default occurs is as follows (this expression was also presented in the </w:t>
      </w:r>
      <w:hyperlink w:anchor="S132" w:history="1">
        <w:r w:rsidRPr="00802C03">
          <w:rPr>
            <w:rStyle w:val="Hyperlink"/>
            <w:rFonts w:ascii="Garamond" w:hAnsi="Garamond" w:cs="NimbusRomNo9L-Regu"/>
            <w:color w:val="000066"/>
            <w:u w:val="none"/>
            <w:lang w:val="en-GB" w:eastAsia="nl-NL"/>
          </w:rPr>
          <w:t>valuation section</w:t>
        </w:r>
      </w:hyperlink>
      <w:r w:rsidRPr="00802C03">
        <w:rPr>
          <w:rFonts w:ascii="Garamond" w:hAnsi="Garamond" w:cs="NimbusRomNo9L-Regu"/>
          <w:lang w:val="en-GB" w:eastAsia="nl-NL"/>
        </w:rPr>
        <w:t>):</w:t>
      </w:r>
    </w:p>
    <w:p w:rsidR="001C7C52" w:rsidRPr="00802C03" w:rsidRDefault="001C7C52" w:rsidP="004A60F6">
      <w:pPr>
        <w:tabs>
          <w:tab w:val="left" w:pos="567"/>
          <w:tab w:val="left" w:pos="8505"/>
        </w:tabs>
        <w:spacing w:before="6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1719" w:dyaOrig="320">
          <v:shape id="_x0000_i1162" type="#_x0000_t75" style="width:84.75pt;height:15.75pt" o:ole="">
            <v:imagedata r:id="rId288" o:title=""/>
          </v:shape>
          <o:OLEObject Type="Embed" ProgID="Equation.DSMT4" ShapeID="_x0000_i1162" DrawAspect="Content" ObjectID="_1324893703" r:id="rId289"/>
        </w:object>
      </w:r>
      <w:r w:rsidRPr="00802C03">
        <w:rPr>
          <w:rFonts w:ascii="Garamond" w:hAnsi="Garamond" w:cs="NimbusRomNo9L-Regu"/>
          <w:lang w:val="en-GB" w:eastAsia="nl-NL"/>
        </w:rPr>
        <w:t>,</w:t>
      </w:r>
      <w:r w:rsidRPr="00802C03">
        <w:rPr>
          <w:rFonts w:ascii="Garamond" w:hAnsi="Garamond" w:cs="NimbusRomNo9L-Regu"/>
          <w:lang w:val="en-GB" w:eastAsia="nl-NL"/>
        </w:rPr>
        <w:tab/>
        <w:t>(1.14)</w:t>
      </w:r>
    </w:p>
    <w:p w:rsidR="001C7C52" w:rsidRPr="00802C03" w:rsidRDefault="001C7C52" w:rsidP="004A60F6">
      <w:pPr>
        <w:spacing w:before="120" w:after="12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1300" w:dyaOrig="320">
          <v:shape id="_x0000_i1163" type="#_x0000_t75" style="width:65.25pt;height:15.75pt" o:ole="">
            <v:imagedata r:id="rId290" o:title=""/>
          </v:shape>
          <o:OLEObject Type="Embed" ProgID="Equation.DSMT4" ShapeID="_x0000_i1163" DrawAspect="Content" ObjectID="_1324893704" r:id="rId291"/>
        </w:object>
      </w:r>
      <w:r w:rsidRPr="00802C03">
        <w:rPr>
          <w:rFonts w:ascii="Garamond" w:hAnsi="Garamond" w:cs="NimbusRomNo9L-Regu"/>
          <w:lang w:val="en-GB" w:eastAsia="nl-NL"/>
        </w:rPr>
        <w:t xml:space="preserve">, </w:t>
      </w:r>
      <w:r w:rsidRPr="00100BDF">
        <w:rPr>
          <w:rFonts w:ascii="Garamond" w:hAnsi="Garamond" w:cs="NimbusRomNo9L-Regu"/>
          <w:position w:val="-4"/>
          <w:lang w:val="en-GB" w:eastAsia="nl-NL"/>
        </w:rPr>
        <w:object w:dxaOrig="240" w:dyaOrig="180">
          <v:shape id="_x0000_i1164" type="#_x0000_t75" style="width:12pt;height:9pt" o:ole="">
            <v:imagedata r:id="rId292" o:title=""/>
          </v:shape>
          <o:OLEObject Type="Embed" ProgID="Equation.DSMT4" ShapeID="_x0000_i1164" DrawAspect="Content" ObjectID="_1324893705" r:id="rId293"/>
        </w:object>
      </w:r>
      <w:r w:rsidRPr="00802C03">
        <w:rPr>
          <w:rFonts w:ascii="Garamond" w:hAnsi="Garamond" w:cs="NimbusRomNo9L-Regu"/>
          <w:lang w:val="en-GB" w:eastAsia="nl-NL"/>
        </w:rPr>
        <w:t xml:space="preserve"> is the recovery rate and </w:t>
      </w:r>
      <w:r w:rsidRPr="00100BDF">
        <w:rPr>
          <w:rFonts w:ascii="Garamond" w:hAnsi="Garamond" w:cs="NimbusRomNo9L-Regu"/>
          <w:position w:val="-8"/>
          <w:lang w:val="en-GB" w:eastAsia="nl-NL"/>
        </w:rPr>
        <w:object w:dxaOrig="499" w:dyaOrig="279">
          <v:shape id="_x0000_i1165" type="#_x0000_t75" style="width:24.75pt;height:13.5pt" o:ole="">
            <v:imagedata r:id="rId294" o:title=""/>
          </v:shape>
          <o:OLEObject Type="Embed" ProgID="Equation.DSMT4" ShapeID="_x0000_i1165" DrawAspect="Content" ObjectID="_1324893706" r:id="rId295"/>
        </w:object>
      </w:r>
      <w:r w:rsidRPr="00802C03">
        <w:rPr>
          <w:rFonts w:ascii="Garamond" w:hAnsi="Garamond" w:cs="NimbusRomNo9L-Regu"/>
          <w:lang w:val="en-GB" w:eastAsia="nl-NL"/>
        </w:rPr>
        <w:t xml:space="preserve"> is the exposure at default.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A position is always rebalanced right after a default occurs and as a consequence the value of the new position after rebalancing will always refer to the initial credit rating (</w:t>
      </w:r>
      <w:r w:rsidRPr="00100BDF">
        <w:rPr>
          <w:rFonts w:ascii="Garamond" w:hAnsi="Garamond" w:cs="NimbusRomNo9L-Regu"/>
          <w:position w:val="-10"/>
          <w:lang w:val="en-GB" w:eastAsia="nl-NL"/>
        </w:rPr>
        <w:object w:dxaOrig="1219" w:dyaOrig="320">
          <v:shape id="_x0000_i1166" type="#_x0000_t75" style="width:60pt;height:15.75pt" o:ole="">
            <v:imagedata r:id="rId296" o:title=""/>
          </v:shape>
          <o:OLEObject Type="Embed" ProgID="Equation.DSMT4" ShapeID="_x0000_i1166" DrawAspect="Content" ObjectID="_1324893707" r:id="rId297"/>
        </w:object>
      </w:r>
      <w:r w:rsidRPr="00802C03">
        <w:rPr>
          <w:rFonts w:ascii="Garamond" w:hAnsi="Garamond" w:cs="NimbusRomNo9L-Regu"/>
          <w:lang w:val="en-GB" w:eastAsia="nl-NL"/>
        </w:rPr>
        <w:t xml:space="preserve">). This value can easily be computed with the use the forward bond valuation procedure that was assessed in the previous section. Hence, the calculation of </w:t>
      </w:r>
      <w:r w:rsidRPr="00100BDF">
        <w:rPr>
          <w:rFonts w:ascii="Garamond" w:hAnsi="Garamond" w:cs="NimbusRomNo9L-Regu"/>
          <w:position w:val="-10"/>
          <w:lang w:val="en-GB" w:eastAsia="nl-NL"/>
        </w:rPr>
        <w:object w:dxaOrig="380" w:dyaOrig="320">
          <v:shape id="_x0000_i1167" type="#_x0000_t75" style="width:18.75pt;height:15.75pt" o:ole="">
            <v:imagedata r:id="rId298" o:title=""/>
          </v:shape>
          <o:OLEObject Type="Embed" ProgID="Equation.DSMT4" ShapeID="_x0000_i1167" DrawAspect="Content" ObjectID="_1324893708" r:id="rId299"/>
        </w:object>
      </w:r>
      <w:r w:rsidRPr="00802C03">
        <w:rPr>
          <w:rFonts w:ascii="Garamond" w:hAnsi="Garamond" w:cs="NimbusRomNo9L-Regu"/>
          <w:lang w:val="en-GB" w:eastAsia="nl-NL"/>
        </w:rPr>
        <w:t xml:space="preserve"> is the point of interest. Herein, the primary driver of the default value is the recovery rate or discounted recovery rate. </w:t>
      </w:r>
    </w:p>
    <w:p w:rsidR="001C7C52" w:rsidRPr="00802C03" w:rsidRDefault="001C7C52" w:rsidP="006851C7">
      <w:pPr>
        <w:spacing w:line="28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The (discounted) recovery rate commonly expressed as:</w:t>
      </w:r>
    </w:p>
    <w:p w:rsidR="001C7C52" w:rsidRPr="00802C03" w:rsidRDefault="001C7C52" w:rsidP="004A60F6">
      <w:pPr>
        <w:tabs>
          <w:tab w:val="left" w:pos="567"/>
          <w:tab w:val="left" w:pos="8505"/>
        </w:tabs>
        <w:spacing w:before="60" w:line="320" w:lineRule="atLeast"/>
        <w:ind w:firstLine="567"/>
        <w:jc w:val="both"/>
        <w:rPr>
          <w:rFonts w:ascii="Garamond" w:hAnsi="Garamond" w:cs="NimbusRomNo9L-Regu"/>
          <w:lang w:val="en-GB" w:eastAsia="nl-NL"/>
        </w:rPr>
      </w:pPr>
      <w:r w:rsidRPr="005E2D6F">
        <w:rPr>
          <w:rFonts w:ascii="Garamond" w:hAnsi="Garamond" w:cs="NimbusRomNo9L-Regu"/>
          <w:position w:val="-20"/>
          <w:lang w:val="en-GB" w:eastAsia="nl-NL"/>
        </w:rPr>
        <w:object w:dxaOrig="1420" w:dyaOrig="780">
          <v:shape id="_x0000_i1168" type="#_x0000_t75" style="width:70.5pt;height:38.25pt" o:ole="">
            <v:imagedata r:id="rId300" o:title=""/>
          </v:shape>
          <o:OLEObject Type="Embed" ProgID="Equation.DSMT4" ShapeID="_x0000_i1168" DrawAspect="Content" ObjectID="_1324893709" r:id="rId301"/>
        </w:object>
      </w:r>
      <w:r w:rsidRPr="00802C03">
        <w:rPr>
          <w:rFonts w:ascii="Garamond" w:hAnsi="Garamond" w:cs="NimbusRomNo9L-Regu"/>
          <w:lang w:val="en-GB" w:eastAsia="nl-NL"/>
        </w:rPr>
        <w:t>,</w:t>
      </w:r>
      <w:bookmarkStart w:id="15" w:name="E1N15"/>
      <w:bookmarkEnd w:id="15"/>
      <w:r w:rsidRPr="00802C03">
        <w:rPr>
          <w:rFonts w:ascii="Garamond" w:hAnsi="Garamond" w:cs="NimbusRomNo9L-Regu"/>
          <w:lang w:val="en-GB" w:eastAsia="nl-NL"/>
        </w:rPr>
        <w:tab/>
        <w:t>(1.15)</w:t>
      </w:r>
    </w:p>
    <w:p w:rsidR="001C7C52" w:rsidRPr="00802C03" w:rsidRDefault="001C7C52" w:rsidP="004A60F6">
      <w:pPr>
        <w:spacing w:before="8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8"/>
          <w:lang w:val="en-GB" w:eastAsia="nl-NL"/>
        </w:rPr>
        <w:object w:dxaOrig="340" w:dyaOrig="279">
          <v:shape id="_x0000_i1169" type="#_x0000_t75" style="width:16.5pt;height:13.5pt" o:ole="">
            <v:imagedata r:id="rId302" o:title=""/>
          </v:shape>
          <o:OLEObject Type="Embed" ProgID="Equation.DSMT4" ShapeID="_x0000_i1169" DrawAspect="Content" ObjectID="_1324893710" r:id="rId303"/>
        </w:object>
      </w:r>
      <w:r w:rsidRPr="00802C03">
        <w:rPr>
          <w:rFonts w:ascii="Garamond" w:hAnsi="Garamond" w:cs="NimbusRomNo9L-Regu"/>
          <w:lang w:val="en-GB" w:eastAsia="nl-NL"/>
        </w:rPr>
        <w:t xml:space="preserve"> are the cash flow’s occurring after the default event occurs in time range </w:t>
      </w:r>
      <w:r w:rsidRPr="00100BDF">
        <w:rPr>
          <w:rFonts w:ascii="Garamond" w:hAnsi="Garamond" w:cs="NimbusRomNo9L-Regu"/>
          <w:position w:val="-10"/>
          <w:lang w:val="en-GB" w:eastAsia="nl-NL"/>
        </w:rPr>
        <w:object w:dxaOrig="440" w:dyaOrig="279">
          <v:shape id="_x0000_i1170" type="#_x0000_t75" style="width:21.75pt;height:13.5pt" o:ole="">
            <v:imagedata r:id="rId304" o:title=""/>
          </v:shape>
          <o:OLEObject Type="Embed" ProgID="Equation.DSMT4" ShapeID="_x0000_i1170" DrawAspect="Content" ObjectID="_1324893711" r:id="rId305"/>
        </w:object>
      </w:r>
      <w:r w:rsidRPr="00802C03">
        <w:rPr>
          <w:rFonts w:ascii="Garamond" w:hAnsi="Garamond" w:cs="NimbusRomNo9L-Regu"/>
          <w:lang w:val="en-GB" w:eastAsia="nl-NL"/>
        </w:rPr>
        <w:t>, which may also be the new value of the credit product after reorganization at the issuer.</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In this expression, the sum of present values of the cash flows occurring after default (</w:t>
      </w:r>
      <w:r w:rsidRPr="00100BDF">
        <w:rPr>
          <w:rFonts w:ascii="Garamond" w:hAnsi="Garamond" w:cs="NimbusRomNo9L-Regu"/>
          <w:position w:val="-8"/>
          <w:lang w:val="en-GB" w:eastAsia="nl-NL"/>
        </w:rPr>
        <w:object w:dxaOrig="340" w:dyaOrig="279">
          <v:shape id="_x0000_i1171" type="#_x0000_t75" style="width:16.5pt;height:13.5pt" o:ole="">
            <v:imagedata r:id="rId306" o:title=""/>
          </v:shape>
          <o:OLEObject Type="Embed" ProgID="Equation.DSMT4" ShapeID="_x0000_i1171" DrawAspect="Content" ObjectID="_1324893712" r:id="rId307"/>
        </w:object>
      </w:r>
      <w:r w:rsidRPr="00802C03">
        <w:rPr>
          <w:rFonts w:ascii="Garamond" w:hAnsi="Garamond" w:cs="NimbusRomNo9L-Regu"/>
          <w:lang w:val="en-GB" w:eastAsia="nl-NL"/>
        </w:rPr>
        <w:t xml:space="preserve">) represent the default value: </w:t>
      </w:r>
      <w:r w:rsidRPr="00100BDF">
        <w:rPr>
          <w:rFonts w:ascii="Garamond" w:hAnsi="Garamond" w:cs="NimbusRomNo9L-Regu"/>
          <w:position w:val="-10"/>
          <w:lang w:val="en-GB" w:eastAsia="nl-NL"/>
        </w:rPr>
        <w:object w:dxaOrig="380" w:dyaOrig="320">
          <v:shape id="_x0000_i1172" type="#_x0000_t75" style="width:18.75pt;height:15.75pt" o:ole="">
            <v:imagedata r:id="rId308" o:title=""/>
          </v:shape>
          <o:OLEObject Type="Embed" ProgID="Equation.DSMT4" ShapeID="_x0000_i1172" DrawAspect="Content" ObjectID="_1324893713" r:id="rId309"/>
        </w:object>
      </w:r>
      <w:r w:rsidRPr="00802C03">
        <w:rPr>
          <w:rFonts w:ascii="Garamond" w:hAnsi="Garamond" w:cs="NimbusRomNo9L-Regu"/>
          <w:lang w:val="en-GB" w:eastAsia="nl-NL"/>
        </w:rPr>
        <w:t>. Moreover, the exposure at default (</w:t>
      </w:r>
      <w:r w:rsidRPr="00100BDF">
        <w:rPr>
          <w:rFonts w:ascii="Garamond" w:hAnsi="Garamond" w:cs="NimbusRomNo9L-Regu"/>
          <w:position w:val="-8"/>
          <w:lang w:val="en-GB" w:eastAsia="nl-NL"/>
        </w:rPr>
        <w:object w:dxaOrig="499" w:dyaOrig="279">
          <v:shape id="_x0000_i1173" type="#_x0000_t75" style="width:24.75pt;height:13.5pt" o:ole="">
            <v:imagedata r:id="rId310" o:title=""/>
          </v:shape>
          <o:OLEObject Type="Embed" ProgID="Equation.DSMT4" ShapeID="_x0000_i1173" DrawAspect="Content" ObjectID="_1324893714" r:id="rId311"/>
        </w:object>
      </w:r>
      <w:r w:rsidRPr="00802C03">
        <w:rPr>
          <w:rFonts w:ascii="Garamond" w:hAnsi="Garamond" w:cs="NimbusRomNo9L-Regu"/>
          <w:lang w:val="en-GB" w:eastAsia="nl-NL"/>
        </w:rPr>
        <w:t xml:space="preserve">) refers in general to the face value or notional of the respective position: </w:t>
      </w:r>
      <w:r w:rsidRPr="00100BDF">
        <w:rPr>
          <w:rFonts w:ascii="Garamond" w:hAnsi="Garamond" w:cs="NimbusRomNo9L-Regu"/>
          <w:position w:val="-8"/>
          <w:lang w:val="en-GB" w:eastAsia="nl-NL"/>
        </w:rPr>
        <w:object w:dxaOrig="360" w:dyaOrig="279">
          <v:shape id="_x0000_i1174" type="#_x0000_t75" style="width:18pt;height:13.5pt" o:ole="">
            <v:imagedata r:id="rId312" o:title=""/>
          </v:shape>
          <o:OLEObject Type="Embed" ProgID="Equation.DSMT4" ShapeID="_x0000_i1174" DrawAspect="Content" ObjectID="_1324893715" r:id="rId313"/>
        </w:object>
      </w:r>
      <w:r w:rsidRPr="00802C03">
        <w:rPr>
          <w:rFonts w:ascii="Garamond" w:hAnsi="Garamond" w:cs="NimbusRomNo9L-Regu"/>
          <w:lang w:val="en-GB" w:eastAsia="nl-NL"/>
        </w:rPr>
        <w:t xml:space="preserve">. Substituting both definitions in the </w:t>
      </w:r>
      <w:hyperlink w:anchor="E1N15" w:history="1">
        <w:r w:rsidRPr="00802C03">
          <w:rPr>
            <w:rStyle w:val="Hyperlink"/>
            <w:rFonts w:ascii="Garamond" w:hAnsi="Garamond" w:cs="NimbusRomNo9L-Regu"/>
            <w:color w:val="000066"/>
            <w:u w:val="none"/>
            <w:lang w:val="en-GB" w:eastAsia="nl-NL"/>
          </w:rPr>
          <w:t>equation 1.15</w:t>
        </w:r>
      </w:hyperlink>
      <w:r w:rsidRPr="00802C03">
        <w:rPr>
          <w:rFonts w:ascii="Garamond" w:hAnsi="Garamond" w:cs="NimbusRomNo9L-Regu"/>
          <w:lang w:val="en-GB" w:eastAsia="nl-NL"/>
        </w:rPr>
        <w:t xml:space="preserve"> yields:</w:t>
      </w:r>
    </w:p>
    <w:p w:rsidR="001C7C52" w:rsidRPr="00802C03" w:rsidRDefault="001C7C52" w:rsidP="0047639A">
      <w:pPr>
        <w:tabs>
          <w:tab w:val="left" w:pos="567"/>
          <w:tab w:val="left" w:pos="8505"/>
        </w:tabs>
        <w:spacing w:before="80" w:after="10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24"/>
          <w:lang w:val="en-GB" w:eastAsia="nl-NL"/>
        </w:rPr>
        <w:object w:dxaOrig="820" w:dyaOrig="580">
          <v:shape id="_x0000_i1175" type="#_x0000_t75" style="width:40.5pt;height:28.5pt" o:ole="">
            <v:imagedata r:id="rId314" o:title=""/>
          </v:shape>
          <o:OLEObject Type="Embed" ProgID="Equation.DSMT4" ShapeID="_x0000_i1175" DrawAspect="Content" ObjectID="_1324893716" r:id="rId315"/>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t>(1.16)</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In a standard default value model, the variable that is required in the valuation of the position in case of a default (</w:t>
      </w:r>
      <w:r w:rsidRPr="00100BDF">
        <w:rPr>
          <w:rFonts w:ascii="Garamond" w:hAnsi="Garamond" w:cs="NimbusRomNo9L-Regu"/>
          <w:position w:val="-10"/>
          <w:lang w:val="en-GB" w:eastAsia="nl-NL"/>
        </w:rPr>
        <w:object w:dxaOrig="380" w:dyaOrig="320">
          <v:shape id="_x0000_i1176" type="#_x0000_t75" style="width:18.75pt;height:15.75pt" o:ole="">
            <v:imagedata r:id="rId316" o:title=""/>
          </v:shape>
          <o:OLEObject Type="Embed" ProgID="Equation.DSMT4" ShapeID="_x0000_i1176" DrawAspect="Content" ObjectID="_1324893717" r:id="rId317"/>
        </w:object>
      </w:r>
      <w:r w:rsidRPr="00802C03">
        <w:rPr>
          <w:rFonts w:ascii="Garamond" w:hAnsi="Garamond" w:cs="NimbusRomNo9L-Regu"/>
          <w:lang w:val="en-GB" w:eastAsia="nl-NL"/>
        </w:rPr>
        <w:t>) is therefore simply calculated as:</w:t>
      </w:r>
    </w:p>
    <w:p w:rsidR="001C7C52" w:rsidRPr="00802C03" w:rsidRDefault="001C7C52" w:rsidP="0085505D">
      <w:pPr>
        <w:tabs>
          <w:tab w:val="left" w:pos="567"/>
          <w:tab w:val="left" w:pos="8505"/>
        </w:tabs>
        <w:spacing w:before="80" w:after="12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1160" w:dyaOrig="320">
          <v:shape id="_x0000_i1177" type="#_x0000_t75" style="width:57.75pt;height:15.75pt" o:ole="">
            <v:imagedata r:id="rId318" o:title=""/>
          </v:shape>
          <o:OLEObject Type="Embed" ProgID="Equation.DSMT4" ShapeID="_x0000_i1177" DrawAspect="Content" ObjectID="_1324893718" r:id="rId319"/>
        </w:object>
      </w:r>
      <w:r w:rsidRPr="00802C03">
        <w:rPr>
          <w:rFonts w:ascii="Garamond" w:hAnsi="Garamond" w:cs="NimbusRomNo9L-Regu"/>
          <w:lang w:val="en-GB" w:eastAsia="nl-NL"/>
        </w:rPr>
        <w:t>.</w:t>
      </w:r>
      <w:bookmarkStart w:id="16" w:name="E1N17b"/>
      <w:bookmarkEnd w:id="16"/>
      <w:r w:rsidRPr="00802C03">
        <w:rPr>
          <w:rFonts w:ascii="Garamond" w:hAnsi="Garamond" w:cs="NimbusRomNo9L-Regu"/>
          <w:lang w:val="en-GB" w:eastAsia="nl-NL"/>
        </w:rPr>
        <w:tab/>
        <w:t>(1.17)</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other words, the only additional requirement in the standard valuation procedure is an estimate of the recovery value. The main problem here is that the recovery rate is highly uncertain or volatile in practice. For that matter, it would be prudent to account for this uncertainty as well. This is achieved by utilizing a distribution instead of a constant for the recovery rate in the simulation model. In such a setting, for each default scenario for each position a different recovery rate is simulated, effectively generating a stochastic recovery rate. </w:t>
      </w:r>
    </w:p>
    <w:p w:rsidR="001C7C52" w:rsidRPr="00802C03" w:rsidRDefault="001C7C52" w:rsidP="006851C7">
      <w:pPr>
        <w:spacing w:line="280" w:lineRule="exact"/>
        <w:jc w:val="both"/>
        <w:rPr>
          <w:rFonts w:ascii="Garamond" w:hAnsi="Garamond"/>
          <w:lang w:val="en-GB"/>
        </w:rPr>
      </w:pPr>
      <w:r w:rsidRPr="00802C03">
        <w:rPr>
          <w:rFonts w:ascii="Garamond" w:hAnsi="Garamond" w:cs="NimbusRomNo9L-Regu"/>
          <w:lang w:val="en-GB" w:eastAsia="nl-NL"/>
        </w:rPr>
        <w:t>To implement such a stochastic recovery rate, first, estimates of the recovery rate and its standard deviation must be obtained.</w:t>
      </w:r>
      <w:r w:rsidRPr="00802C03">
        <w:rPr>
          <w:rStyle w:val="FootnoteReference"/>
          <w:rFonts w:ascii="Garamond" w:hAnsi="Garamond"/>
          <w:lang w:val="en-GB"/>
        </w:rPr>
        <w:footnoteReference w:id="18"/>
      </w:r>
      <w:r w:rsidRPr="00802C03">
        <w:rPr>
          <w:rFonts w:ascii="Garamond" w:hAnsi="Garamond"/>
          <w:lang w:val="en-GB"/>
        </w:rPr>
        <w:t xml:space="preserve"> </w:t>
      </w:r>
      <w:r>
        <w:rPr>
          <w:rFonts w:ascii="Garamond" w:hAnsi="Garamond"/>
          <w:lang w:val="en-GB"/>
        </w:rPr>
        <w:t xml:space="preserve">For the standard default value model, one may consider the empirical recovery rate distribution </w:t>
      </w:r>
      <w:r w:rsidRPr="00802C03">
        <w:rPr>
          <w:rFonts w:ascii="Garamond" w:hAnsi="Garamond"/>
          <w:lang w:val="en-GB"/>
        </w:rPr>
        <w:t xml:space="preserve">estimates </w:t>
      </w:r>
      <w:r>
        <w:rPr>
          <w:rFonts w:ascii="Garamond" w:hAnsi="Garamond"/>
          <w:lang w:val="en-GB"/>
        </w:rPr>
        <w:t>as</w:t>
      </w:r>
      <w:r w:rsidRPr="00802C03">
        <w:rPr>
          <w:rFonts w:ascii="Garamond" w:hAnsi="Garamond"/>
          <w:lang w:val="en-GB"/>
        </w:rPr>
        <w:t xml:space="preserve"> presented in </w:t>
      </w:r>
      <w:r w:rsidRPr="00802C03">
        <w:rPr>
          <w:rFonts w:ascii="Garamond" w:hAnsi="Garamond" w:cs="NimbusRomNo9L-Regu"/>
          <w:lang w:val="en-GB" w:eastAsia="nl-NL"/>
        </w:rPr>
        <w:t xml:space="preserve">Standard &amp; Poor’s </w:t>
      </w:r>
      <w:r w:rsidRPr="00802C03">
        <w:rPr>
          <w:rFonts w:ascii="Garamond" w:hAnsi="Garamond" w:cs="NimbusRomNo9L-Regu"/>
          <w:i/>
          <w:lang w:val="en-GB" w:eastAsia="nl-NL"/>
        </w:rPr>
        <w:t>Default, Transition, and Recovery: 2007 Annual Global Corporate Default Study and Rating Transitions (Premium)</w:t>
      </w:r>
      <w:r w:rsidRPr="00802C03">
        <w:rPr>
          <w:rFonts w:ascii="Garamond" w:hAnsi="Garamond" w:cs="NimbusRomNo9L-Regu"/>
          <w:lang w:val="en-GB" w:eastAsia="nl-NL"/>
        </w:rPr>
        <w:t>.</w:t>
      </w:r>
      <w:r w:rsidRPr="00802C03">
        <w:rPr>
          <w:rStyle w:val="FootnoteReference"/>
          <w:rFonts w:ascii="Garamond" w:hAnsi="Garamond" w:cs="NimbusRomNo9L-Regu"/>
          <w:lang w:val="en-GB" w:eastAsia="nl-NL"/>
        </w:rPr>
        <w:footnoteReference w:id="19"/>
      </w:r>
      <w:r w:rsidRPr="00802C03">
        <w:rPr>
          <w:rFonts w:ascii="Garamond" w:hAnsi="Garamond" w:cs="NimbusRomNo9L-Regu"/>
          <w:lang w:val="en-GB" w:eastAsia="nl-NL"/>
        </w:rPr>
        <w:t xml:space="preserve"> </w:t>
      </w:r>
      <w:r w:rsidRPr="00802C03">
        <w:rPr>
          <w:rFonts w:ascii="Garamond" w:hAnsi="Garamond"/>
          <w:lang w:val="en-GB"/>
        </w:rPr>
        <w:t>The properties of the recovery rate distribution</w:t>
      </w:r>
      <w:r>
        <w:rPr>
          <w:rFonts w:ascii="Garamond" w:hAnsi="Garamond"/>
          <w:lang w:val="en-GB"/>
        </w:rPr>
        <w:t xml:space="preserve"> </w:t>
      </w:r>
      <w:r w:rsidRPr="00802C03">
        <w:rPr>
          <w:rFonts w:ascii="Garamond" w:hAnsi="Garamond"/>
          <w:lang w:val="en-GB"/>
        </w:rPr>
        <w:t xml:space="preserve">for senior unsecured bonds </w:t>
      </w:r>
      <w:r>
        <w:rPr>
          <w:rFonts w:ascii="Garamond" w:hAnsi="Garamond"/>
          <w:lang w:val="en-GB"/>
        </w:rPr>
        <w:t>that are presented in this publication</w:t>
      </w:r>
      <w:r w:rsidRPr="00802C03">
        <w:rPr>
          <w:rFonts w:ascii="Garamond" w:hAnsi="Garamond"/>
          <w:lang w:val="en-GB"/>
        </w:rPr>
        <w:t xml:space="preserve"> are as follows: </w:t>
      </w:r>
    </w:p>
    <w:p w:rsidR="001C7C52" w:rsidRPr="00802C03" w:rsidRDefault="001C7C52" w:rsidP="00144785">
      <w:pPr>
        <w:tabs>
          <w:tab w:val="left" w:pos="2410"/>
        </w:tabs>
        <w:spacing w:before="80" w:line="320" w:lineRule="exact"/>
        <w:ind w:firstLine="567"/>
        <w:jc w:val="both"/>
        <w:rPr>
          <w:rFonts w:ascii="Garamond" w:hAnsi="Garamond"/>
          <w:lang w:val="en-GB"/>
        </w:rPr>
      </w:pPr>
      <w:r w:rsidRPr="00802C03">
        <w:rPr>
          <w:rFonts w:ascii="Garamond" w:hAnsi="Garamond"/>
          <w:lang w:val="en-GB"/>
        </w:rPr>
        <w:t xml:space="preserve">Mean </w:t>
      </w:r>
      <w:r w:rsidRPr="00802C03">
        <w:rPr>
          <w:rFonts w:ascii="Garamond" w:hAnsi="Garamond"/>
          <w:lang w:val="en-GB"/>
        </w:rPr>
        <w:tab/>
        <w:t xml:space="preserve">= 43.7%, </w:t>
      </w:r>
    </w:p>
    <w:p w:rsidR="001C7C52" w:rsidRPr="00802C03" w:rsidRDefault="001C7C52" w:rsidP="00144785">
      <w:pPr>
        <w:tabs>
          <w:tab w:val="left" w:pos="2410"/>
        </w:tabs>
        <w:spacing w:before="120" w:line="320" w:lineRule="exact"/>
        <w:ind w:left="567"/>
        <w:jc w:val="both"/>
        <w:rPr>
          <w:rFonts w:ascii="Garamond" w:hAnsi="Garamond"/>
          <w:lang w:val="en-GB"/>
        </w:rPr>
      </w:pPr>
      <w:r w:rsidRPr="00802C03">
        <w:rPr>
          <w:rFonts w:ascii="Garamond" w:hAnsi="Garamond"/>
          <w:lang w:val="en-GB"/>
        </w:rPr>
        <w:t xml:space="preserve">Standard deviation </w:t>
      </w:r>
      <w:r w:rsidRPr="00802C03">
        <w:rPr>
          <w:rFonts w:ascii="Garamond" w:hAnsi="Garamond"/>
          <w:lang w:val="en-GB"/>
        </w:rPr>
        <w:tab/>
        <w:t>= 33.0%.</w:t>
      </w:r>
    </w:p>
    <w:p w:rsidR="001C7C52" w:rsidRPr="00802C03" w:rsidRDefault="001C7C52" w:rsidP="0085505D">
      <w:pPr>
        <w:spacing w:before="140" w:after="160" w:line="280" w:lineRule="exact"/>
        <w:ind w:firstLine="567"/>
        <w:jc w:val="both"/>
        <w:rPr>
          <w:rFonts w:ascii="Garamond" w:hAnsi="Garamond"/>
          <w:lang w:val="en-GB"/>
        </w:rPr>
      </w:pPr>
      <w:hyperlink w:anchor="Vazza_et_al_2008" w:history="1">
        <w:r w:rsidRPr="00802C03">
          <w:rPr>
            <w:rStyle w:val="Hyperlink"/>
            <w:rFonts w:ascii="Garamond" w:hAnsi="Garamond"/>
            <w:color w:val="000066"/>
            <w:u w:val="none"/>
            <w:lang w:val="en-GB"/>
          </w:rPr>
          <w:t>Vazza et al. (2008)</w:t>
        </w:r>
      </w:hyperlink>
      <w:r w:rsidRPr="00802C03">
        <w:rPr>
          <w:rFonts w:ascii="Garamond" w:hAnsi="Garamond"/>
          <w:lang w:val="en-GB"/>
        </w:rPr>
        <w:t xml:space="preserve"> base these estimates on S&amp;P recovery data from the 1987-2007 period. </w:t>
      </w:r>
    </w:p>
    <w:p w:rsidR="001C7C52" w:rsidRPr="00802C03" w:rsidRDefault="001C7C52" w:rsidP="006851C7">
      <w:pPr>
        <w:spacing w:line="280" w:lineRule="exact"/>
        <w:jc w:val="both"/>
        <w:rPr>
          <w:rFonts w:ascii="Garamond" w:hAnsi="Garamond" w:cs="NimbusRomNo9L-Regu"/>
          <w:lang w:val="en-GB" w:eastAsia="nl-NL"/>
        </w:rPr>
      </w:pPr>
      <w:hyperlink w:anchor="Gupton_et_al_1997" w:history="1">
        <w:r w:rsidRPr="00802C03">
          <w:rPr>
            <w:rStyle w:val="Hyperlink"/>
            <w:rFonts w:ascii="Garamond" w:hAnsi="Garamond" w:cs="NimbusRomNo9L-Regu"/>
            <w:color w:val="000066"/>
            <w:u w:val="none"/>
            <w:lang w:val="en-GB" w:eastAsia="nl-NL"/>
          </w:rPr>
          <w:t>Gupton et al. (1997)</w:t>
        </w:r>
      </w:hyperlink>
      <w:r w:rsidRPr="00802C03">
        <w:rPr>
          <w:rFonts w:ascii="Garamond" w:hAnsi="Garamond" w:cs="NimbusRomNo9L-Regu"/>
          <w:lang w:val="en-GB" w:eastAsia="nl-NL"/>
        </w:rPr>
        <w:t xml:space="preserve"> propose a beta-distribution to describe the recovery rate distribution, as its range can be set to </w:t>
      </w:r>
      <w:r w:rsidRPr="00100BDF">
        <w:rPr>
          <w:rFonts w:ascii="Garamond" w:hAnsi="Garamond" w:cs="NimbusRomNo9L-Regu"/>
          <w:position w:val="-10"/>
          <w:lang w:val="en-GB" w:eastAsia="nl-NL"/>
        </w:rPr>
        <w:object w:dxaOrig="420" w:dyaOrig="279">
          <v:shape id="_x0000_i1178" type="#_x0000_t75" style="width:21pt;height:13.5pt" o:ole="">
            <v:imagedata r:id="rId320" o:title=""/>
          </v:shape>
          <o:OLEObject Type="Embed" ProgID="Equation.DSMT4" ShapeID="_x0000_i1178" DrawAspect="Content" ObjectID="_1324893719" r:id="rId321"/>
        </w:object>
      </w:r>
      <w:r w:rsidRPr="00802C03">
        <w:rPr>
          <w:rFonts w:ascii="Garamond" w:hAnsi="Garamond" w:cs="NimbusRomNo9L-Regu"/>
          <w:lang w:val="en-GB" w:eastAsia="nl-NL"/>
        </w:rPr>
        <w:t xml:space="preserve"> and it is easily shaped to mimic a simple empirical distribution. Moreover, the beta-distribution has been shown to provide a good fit to empirical loss rate data (</w:t>
      </w:r>
      <w:hyperlink w:anchor="Hansen_et_al_2008" w:history="1">
        <w:r w:rsidRPr="00802C03">
          <w:rPr>
            <w:rStyle w:val="Hyperlink"/>
            <w:rFonts w:ascii="Garamond" w:hAnsi="Garamond" w:cs="NimbusRomNo9L-Regu"/>
            <w:color w:val="000066"/>
            <w:u w:val="none"/>
            <w:lang w:val="en-GB" w:eastAsia="nl-NL"/>
          </w:rPr>
          <w:t>Hansen et al., 2008</w:t>
        </w:r>
      </w:hyperlink>
      <w:r w:rsidRPr="00802C03">
        <w:rPr>
          <w:rFonts w:ascii="Garamond" w:hAnsi="Garamond" w:cs="NimbusRomNo9L-Regu"/>
          <w:lang w:val="en-GB" w:eastAsia="nl-NL"/>
        </w:rPr>
        <w:t xml:space="preserve">). Following this proposal, the </w:t>
      </w:r>
      <w:r w:rsidRPr="00100BDF">
        <w:rPr>
          <w:rFonts w:ascii="Garamond" w:hAnsi="Garamond" w:cs="NimbusRomNo9L-Regu"/>
          <w:position w:val="-6"/>
          <w:lang w:val="en-GB" w:eastAsia="nl-NL"/>
        </w:rPr>
        <w:object w:dxaOrig="220" w:dyaOrig="200">
          <v:shape id="_x0000_i1179" type="#_x0000_t75" style="width:11.25pt;height:9.75pt" o:ole="">
            <v:imagedata r:id="rId322" o:title=""/>
          </v:shape>
          <o:OLEObject Type="Embed" ProgID="Equation.DSMT4" ShapeID="_x0000_i1179" DrawAspect="Content" ObjectID="_1324893720" r:id="rId323"/>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220" w:dyaOrig="279">
          <v:shape id="_x0000_i1180" type="#_x0000_t75" style="width:11.25pt;height:13.5pt" o:ole="">
            <v:imagedata r:id="rId324" o:title=""/>
          </v:shape>
          <o:OLEObject Type="Embed" ProgID="Equation.DSMT4" ShapeID="_x0000_i1180" DrawAspect="Content" ObjectID="_1324893721" r:id="rId325"/>
        </w:object>
      </w:r>
      <w:r w:rsidRPr="00802C03">
        <w:rPr>
          <w:rFonts w:ascii="Garamond" w:hAnsi="Garamond" w:cs="NimbusRomNo9L-Regu"/>
          <w:lang w:val="en-GB" w:eastAsia="nl-NL"/>
        </w:rPr>
        <w:t xml:space="preserve"> of the beta-distribution are calibrated such that mean and standard deviation are reflected and in a way that the shape of the distribution resembles the one presented in </w:t>
      </w:r>
      <w:hyperlink w:anchor="Vazza_et_al_2008" w:history="1">
        <w:r w:rsidRPr="00802C03">
          <w:rPr>
            <w:rStyle w:val="Hyperlink"/>
            <w:rFonts w:ascii="Garamond" w:hAnsi="Garamond" w:cs="NimbusRomNo9L-Regu"/>
            <w:color w:val="000066"/>
            <w:u w:val="none"/>
            <w:lang w:val="en-GB" w:eastAsia="nl-NL"/>
          </w:rPr>
          <w:t>Vazza et al. (2008)</w:t>
        </w:r>
      </w:hyperlink>
      <w:r w:rsidRPr="00802C03">
        <w:rPr>
          <w:rFonts w:ascii="Garamond" w:hAnsi="Garamond" w:cs="NimbusRomNo9L-Regu"/>
          <w:lang w:val="en-GB" w:eastAsia="nl-NL"/>
        </w:rPr>
        <w:t>. The mean (</w:t>
      </w:r>
      <w:r w:rsidRPr="00100BDF">
        <w:rPr>
          <w:rFonts w:ascii="Garamond" w:hAnsi="Garamond" w:cs="NimbusRomNo9L-Regu"/>
          <w:position w:val="-10"/>
          <w:lang w:val="en-GB" w:eastAsia="nl-NL"/>
        </w:rPr>
        <w:object w:dxaOrig="220" w:dyaOrig="240">
          <v:shape id="_x0000_i1181" type="#_x0000_t75" style="width:11.25pt;height:12pt" o:ole="">
            <v:imagedata r:id="rId326" o:title=""/>
          </v:shape>
          <o:OLEObject Type="Embed" ProgID="Equation.DSMT4" ShapeID="_x0000_i1181" DrawAspect="Content" ObjectID="_1324893722" r:id="rId327"/>
        </w:object>
      </w:r>
      <w:r w:rsidRPr="00802C03">
        <w:rPr>
          <w:rFonts w:ascii="Garamond" w:hAnsi="Garamond" w:cs="NimbusRomNo9L-Regu"/>
          <w:lang w:val="en-GB" w:eastAsia="nl-NL"/>
        </w:rPr>
        <w:t>) and variance (</w:t>
      </w:r>
      <w:r w:rsidRPr="00100BDF">
        <w:rPr>
          <w:rFonts w:ascii="Garamond" w:hAnsi="Garamond" w:cs="NimbusRomNo9L-Regu"/>
          <w:position w:val="-6"/>
          <w:lang w:val="en-GB" w:eastAsia="nl-NL"/>
        </w:rPr>
        <w:object w:dxaOrig="279" w:dyaOrig="279">
          <v:shape id="_x0000_i1182" type="#_x0000_t75" style="width:13.5pt;height:13.5pt" o:ole="">
            <v:imagedata r:id="rId328" o:title=""/>
          </v:shape>
          <o:OLEObject Type="Embed" ProgID="Equation.DSMT4" ShapeID="_x0000_i1182" DrawAspect="Content" ObjectID="_1324893723" r:id="rId329"/>
        </w:object>
      </w:r>
      <w:r w:rsidRPr="00802C03">
        <w:rPr>
          <w:rFonts w:ascii="Garamond" w:hAnsi="Garamond" w:cs="NimbusRomNo9L-Regu"/>
          <w:lang w:val="en-GB" w:eastAsia="nl-NL"/>
        </w:rPr>
        <w:t xml:space="preserve">) of the beta-distribution can be expressed in terms of </w:t>
      </w:r>
      <w:r w:rsidRPr="00100BDF">
        <w:rPr>
          <w:rFonts w:ascii="Garamond" w:hAnsi="Garamond" w:cs="NimbusRomNo9L-Regu"/>
          <w:position w:val="-6"/>
          <w:lang w:val="en-GB" w:eastAsia="nl-NL"/>
        </w:rPr>
        <w:object w:dxaOrig="220" w:dyaOrig="200">
          <v:shape id="_x0000_i1183" type="#_x0000_t75" style="width:11.25pt;height:9.75pt" o:ole="">
            <v:imagedata r:id="rId330" o:title=""/>
          </v:shape>
          <o:OLEObject Type="Embed" ProgID="Equation.DSMT4" ShapeID="_x0000_i1183" DrawAspect="Content" ObjectID="_1324893724" r:id="rId331"/>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220" w:dyaOrig="279">
          <v:shape id="_x0000_i1184" type="#_x0000_t75" style="width:11.25pt;height:13.5pt" o:ole="">
            <v:imagedata r:id="rId332" o:title=""/>
          </v:shape>
          <o:OLEObject Type="Embed" ProgID="Equation.DSMT4" ShapeID="_x0000_i1184" DrawAspect="Content" ObjectID="_1324893725" r:id="rId333"/>
        </w:object>
      </w:r>
      <w:r w:rsidRPr="00802C03">
        <w:rPr>
          <w:rFonts w:ascii="Garamond" w:hAnsi="Garamond" w:cs="NimbusRomNo9L-Regu"/>
          <w:lang w:val="en-GB" w:eastAsia="nl-NL"/>
        </w:rPr>
        <w:t>:</w:t>
      </w:r>
    </w:p>
    <w:p w:rsidR="001C7C52" w:rsidRPr="00802C03" w:rsidRDefault="001C7C52" w:rsidP="00144785">
      <w:pPr>
        <w:tabs>
          <w:tab w:val="left" w:pos="567"/>
          <w:tab w:val="left" w:pos="2410"/>
          <w:tab w:val="left" w:pos="8505"/>
        </w:tabs>
        <w:spacing w:before="140" w:line="320" w:lineRule="atLeast"/>
        <w:jc w:val="both"/>
        <w:rPr>
          <w:rFonts w:ascii="Garamond" w:hAnsi="Garamond" w:cs="NimbusRomNo9L-Regu"/>
          <w:lang w:val="en-GB" w:eastAsia="nl-NL"/>
        </w:rPr>
      </w:pPr>
      <w:r w:rsidRPr="00802C03">
        <w:rPr>
          <w:rFonts w:ascii="Garamond" w:hAnsi="Garamond" w:cs="NimbusRomNo9L-Regu"/>
          <w:lang w:val="en-GB" w:eastAsia="nl-NL"/>
        </w:rPr>
        <w:tab/>
        <w:t>Mean:</w:t>
      </w:r>
      <w:r w:rsidRPr="00802C03">
        <w:rPr>
          <w:rFonts w:ascii="Garamond" w:hAnsi="Garamond" w:cs="NimbusRomNo9L-Regu"/>
          <w:lang w:val="en-GB" w:eastAsia="nl-NL"/>
        </w:rPr>
        <w:tab/>
      </w:r>
      <w:r w:rsidRPr="00100BDF">
        <w:rPr>
          <w:rFonts w:ascii="Garamond" w:hAnsi="Garamond" w:cs="NimbusRomNo9L-Regu"/>
          <w:position w:val="-10"/>
          <w:lang w:val="en-GB" w:eastAsia="nl-NL"/>
        </w:rPr>
        <w:object w:dxaOrig="1280" w:dyaOrig="300">
          <v:shape id="_x0000_i1185" type="#_x0000_t75" style="width:63pt;height:15pt" o:ole="">
            <v:imagedata r:id="rId334" o:title=""/>
          </v:shape>
          <o:OLEObject Type="Embed" ProgID="Equation.DSMT4" ShapeID="_x0000_i1185" DrawAspect="Content" ObjectID="_1324893726" r:id="rId335"/>
        </w:object>
      </w:r>
      <w:r w:rsidRPr="00802C03">
        <w:rPr>
          <w:rFonts w:ascii="Garamond" w:hAnsi="Garamond" w:cs="NimbusRomNo9L-Regu"/>
          <w:lang w:val="en-GB" w:eastAsia="nl-NL"/>
        </w:rPr>
        <w:t>,</w:t>
      </w:r>
      <w:r w:rsidRPr="00802C03">
        <w:rPr>
          <w:rFonts w:ascii="Garamond" w:hAnsi="Garamond" w:cs="NimbusRomNo9L-Regu"/>
          <w:lang w:val="en-GB" w:eastAsia="nl-NL"/>
        </w:rPr>
        <w:tab/>
      </w:r>
      <w:r w:rsidRPr="00802C03">
        <w:rPr>
          <w:rFonts w:ascii="Garamond" w:hAnsi="Garamond" w:cs="NimbusRomNo9L-Regu"/>
          <w:lang w:val="en-GB" w:eastAsia="nl-NL"/>
        </w:rPr>
        <w:tab/>
        <w:t>(1.18)</w:t>
      </w:r>
    </w:p>
    <w:p w:rsidR="001C7C52" w:rsidRPr="00802C03" w:rsidRDefault="001C7C52" w:rsidP="00144785">
      <w:pPr>
        <w:tabs>
          <w:tab w:val="left" w:pos="567"/>
          <w:tab w:val="left" w:pos="2410"/>
          <w:tab w:val="left" w:pos="8505"/>
        </w:tabs>
        <w:spacing w:before="80" w:after="100" w:line="320" w:lineRule="atLeast"/>
        <w:jc w:val="both"/>
        <w:rPr>
          <w:rFonts w:ascii="Garamond" w:hAnsi="Garamond" w:cs="NimbusRomNo9L-Regu"/>
          <w:lang w:val="en-GB" w:eastAsia="nl-NL"/>
        </w:rPr>
      </w:pPr>
      <w:r w:rsidRPr="00802C03">
        <w:rPr>
          <w:rFonts w:ascii="Garamond" w:hAnsi="Garamond" w:cs="NimbusRomNo9L-Regu"/>
          <w:lang w:val="en-GB" w:eastAsia="nl-NL"/>
        </w:rPr>
        <w:tab/>
        <w:t>Variance:</w:t>
      </w:r>
      <w:r w:rsidRPr="00802C03">
        <w:rPr>
          <w:rFonts w:ascii="Garamond" w:hAnsi="Garamond" w:cs="NimbusRomNo9L-Regu"/>
          <w:lang w:val="en-GB" w:eastAsia="nl-NL"/>
        </w:rPr>
        <w:tab/>
      </w:r>
      <w:r w:rsidRPr="00100BDF">
        <w:rPr>
          <w:rFonts w:ascii="Garamond" w:hAnsi="Garamond" w:cs="NimbusRomNo9L-Regu"/>
          <w:position w:val="-26"/>
          <w:lang w:val="en-GB" w:eastAsia="nl-NL"/>
        </w:rPr>
        <w:object w:dxaOrig="2060" w:dyaOrig="600">
          <v:shape id="_x0000_i1186" type="#_x0000_t75" style="width:102.75pt;height:30pt" o:ole="">
            <v:imagedata r:id="rId336" o:title=""/>
          </v:shape>
          <o:OLEObject Type="Embed" ProgID="Equation.DSMT4" ShapeID="_x0000_i1186" DrawAspect="Content" ObjectID="_1324893727" r:id="rId337"/>
        </w:object>
      </w:r>
      <w:r w:rsidRPr="00802C03">
        <w:rPr>
          <w:rFonts w:ascii="Garamond" w:hAnsi="Garamond" w:cs="NimbusRomNo9L-Regu"/>
          <w:lang w:val="en-GB" w:eastAsia="nl-NL"/>
        </w:rPr>
        <w:t>.</w:t>
      </w:r>
      <w:r w:rsidRPr="00802C03">
        <w:rPr>
          <w:rFonts w:ascii="Garamond" w:hAnsi="Garamond" w:cs="NimbusRomNo9L-Regu"/>
          <w:lang w:val="en-GB" w:eastAsia="nl-NL"/>
        </w:rPr>
        <w:tab/>
      </w:r>
      <w:r w:rsidRPr="00802C03">
        <w:rPr>
          <w:rFonts w:ascii="Garamond" w:hAnsi="Garamond" w:cs="NimbusRomNo9L-Regu"/>
          <w:lang w:val="en-GB" w:eastAsia="nl-NL"/>
        </w:rPr>
        <w:tab/>
        <w:t>(1.19)</w:t>
      </w:r>
    </w:p>
    <w:p w:rsidR="001C7C52" w:rsidRPr="00802C03" w:rsidRDefault="001C7C52" w:rsidP="006851C7">
      <w:pPr>
        <w:spacing w:line="280" w:lineRule="exact"/>
        <w:jc w:val="both"/>
        <w:rPr>
          <w:rFonts w:ascii="Garamond" w:hAnsi="Garamond" w:cs="NimbusRomNo9L-Regu"/>
          <w:lang w:val="en-GB" w:eastAsia="nl-NL"/>
        </w:rPr>
      </w:pPr>
      <w:r>
        <w:rPr>
          <w:noProof/>
          <w:lang w:val="en-US"/>
        </w:rPr>
        <w:pict>
          <v:shape id="_x0000_s1110" type="#_x0000_t202" style="position:absolute;left:0;text-align:left;margin-left:201.75pt;margin-top:-1.25pt;width:288.7pt;height:194.1pt;z-index:251638272" stroked="f">
            <v:textbox style="mso-next-textbox:#_x0000_s1110" inset="6.5mm">
              <w:txbxContent>
                <w:tbl>
                  <w:tblPr>
                    <w:tblW w:w="0" w:type="auto"/>
                    <w:tblBorders>
                      <w:bottom w:val="single" w:sz="4" w:space="0" w:color="auto"/>
                    </w:tblBorders>
                    <w:tblLook w:val="00A0"/>
                  </w:tblPr>
                  <w:tblGrid>
                    <w:gridCol w:w="5211"/>
                  </w:tblGrid>
                  <w:tr w:rsidR="001C7C52" w:rsidRPr="000B0ADE" w:rsidTr="00DC7DA2">
                    <w:tc>
                      <w:tcPr>
                        <w:tcW w:w="5211" w:type="dxa"/>
                        <w:tcBorders>
                          <w:bottom w:val="single" w:sz="4" w:space="0" w:color="auto"/>
                        </w:tcBorders>
                        <w:vAlign w:val="center"/>
                      </w:tcPr>
                      <w:p w:rsidR="001C7C52" w:rsidRPr="003805EF" w:rsidRDefault="001C7C52" w:rsidP="00F35EB1">
                        <w:pPr>
                          <w:spacing w:line="240" w:lineRule="auto"/>
                          <w:rPr>
                            <w:rFonts w:ascii="Garamond" w:hAnsi="Garamond"/>
                            <w:sz w:val="20"/>
                            <w:lang w:val="en-US"/>
                          </w:rPr>
                        </w:pPr>
                        <w:bookmarkStart w:id="17" w:name="F3"/>
                        <w:bookmarkEnd w:id="17"/>
                        <w:r w:rsidRPr="00991170">
                          <w:rPr>
                            <w:rFonts w:ascii="Garamond" w:hAnsi="Garamond"/>
                            <w:b/>
                            <w:color w:val="000000"/>
                            <w:lang w:val="en-US"/>
                          </w:rPr>
                          <w:t>F</w:t>
                        </w:r>
                        <w:r w:rsidRPr="00991170">
                          <w:rPr>
                            <w:rFonts w:ascii="Garamond" w:hAnsi="Garamond"/>
                            <w:b/>
                            <w:color w:val="000000"/>
                            <w:sz w:val="18"/>
                            <w:szCs w:val="18"/>
                            <w:lang w:val="en-US"/>
                          </w:rPr>
                          <w:t>IGURE</w:t>
                        </w:r>
                        <w:r w:rsidRPr="00991170">
                          <w:rPr>
                            <w:rFonts w:ascii="Garamond" w:hAnsi="Garamond"/>
                            <w:b/>
                            <w:color w:val="000000"/>
                            <w:lang w:val="en-US"/>
                          </w:rPr>
                          <w:t xml:space="preserve"> I</w:t>
                        </w:r>
                        <w:r>
                          <w:rPr>
                            <w:rFonts w:ascii="Garamond" w:hAnsi="Garamond"/>
                            <w:b/>
                            <w:color w:val="000000"/>
                            <w:lang w:val="en-US"/>
                          </w:rPr>
                          <w:t>I</w:t>
                        </w:r>
                        <w:r w:rsidRPr="00991170">
                          <w:rPr>
                            <w:rFonts w:ascii="Garamond" w:hAnsi="Garamond"/>
                            <w:b/>
                            <w:color w:val="000000"/>
                            <w:lang w:val="en-US"/>
                          </w:rPr>
                          <w:t>I</w:t>
                        </w:r>
                        <w:r>
                          <w:rPr>
                            <w:rFonts w:ascii="Garamond" w:hAnsi="Garamond"/>
                            <w:b/>
                            <w:color w:val="000000"/>
                            <w:lang w:val="en-US"/>
                          </w:rPr>
                          <w:t xml:space="preserve"> </w:t>
                        </w:r>
                        <w:r>
                          <w:rPr>
                            <w:rFonts w:ascii="Garamond" w:hAnsi="Garamond"/>
                            <w:color w:val="000000"/>
                            <w:lang w:val="en-US"/>
                          </w:rPr>
                          <w:t xml:space="preserve">- </w:t>
                        </w:r>
                        <w:r>
                          <w:rPr>
                            <w:rFonts w:ascii="Garamond" w:hAnsi="Garamond"/>
                            <w:color w:val="000000"/>
                            <w:sz w:val="20"/>
                            <w:lang w:val="en-US"/>
                          </w:rPr>
                          <w:t>Recovery Rate Distribution</w:t>
                        </w:r>
                      </w:p>
                    </w:tc>
                  </w:tr>
                  <w:tr w:rsidR="001C7C52" w:rsidRPr="000B0ADE" w:rsidTr="00DC7DA2">
                    <w:tc>
                      <w:tcPr>
                        <w:tcW w:w="5211" w:type="dxa"/>
                        <w:tcBorders>
                          <w:top w:val="single" w:sz="4" w:space="0" w:color="auto"/>
                          <w:bottom w:val="nil"/>
                        </w:tcBorders>
                        <w:vAlign w:val="center"/>
                      </w:tcPr>
                      <w:p w:rsidR="001C7C52" w:rsidRPr="003805EF" w:rsidRDefault="001C7C52" w:rsidP="00822317">
                        <w:pPr>
                          <w:spacing w:line="60" w:lineRule="exact"/>
                          <w:rPr>
                            <w:rFonts w:ascii="Garamond" w:hAnsi="Garamond"/>
                            <w:sz w:val="20"/>
                            <w:lang w:val="en-US"/>
                          </w:rPr>
                        </w:pPr>
                      </w:p>
                    </w:tc>
                  </w:tr>
                </w:tbl>
                <w:p w:rsidR="001C7C52" w:rsidRDefault="001C7C52" w:rsidP="00F35EB1">
                  <w:pPr>
                    <w:ind w:hanging="142"/>
                    <w:rPr>
                      <w:rFonts w:ascii="Garamond" w:hAnsi="Garamond"/>
                      <w:sz w:val="8"/>
                      <w:szCs w:val="8"/>
                      <w:lang w:val="en-US"/>
                    </w:rPr>
                  </w:pPr>
                  <w:r w:rsidRPr="002E2E49">
                    <w:rPr>
                      <w:rFonts w:ascii="Garamond" w:hAnsi="Garamond"/>
                      <w:noProof/>
                      <w:sz w:val="8"/>
                      <w:szCs w:val="8"/>
                      <w:lang w:val="en-US"/>
                    </w:rPr>
                    <w:pict>
                      <v:shape id="Chart 3" o:spid="_x0000_i1188" type="#_x0000_t75" style="width:267pt;height:129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">
                        <v:imagedata r:id="rId338" o:title="" croptop="-28248f" cropleft="-1880f" cropright="-2271f"/>
                        <o:lock v:ext="edit" aspectratio="f"/>
                      </v:shape>
                    </w:pict>
                  </w:r>
                </w:p>
                <w:tbl>
                  <w:tblPr>
                    <w:tblW w:w="0" w:type="auto"/>
                    <w:tblBorders>
                      <w:insideH w:val="single" w:sz="4" w:space="0" w:color="auto"/>
                    </w:tblBorders>
                    <w:tblLook w:val="00A0"/>
                  </w:tblPr>
                  <w:tblGrid>
                    <w:gridCol w:w="5211"/>
                  </w:tblGrid>
                  <w:tr w:rsidR="001C7C52" w:rsidTr="002E2E49">
                    <w:tc>
                      <w:tcPr>
                        <w:tcW w:w="5211" w:type="dxa"/>
                      </w:tcPr>
                      <w:p w:rsidR="001C7C52" w:rsidRPr="002E2E49" w:rsidRDefault="001C7C52" w:rsidP="002E2E49">
                        <w:pPr>
                          <w:spacing w:line="60" w:lineRule="atLeast"/>
                          <w:rPr>
                            <w:rFonts w:ascii="Garamond" w:hAnsi="Garamond"/>
                            <w:sz w:val="8"/>
                            <w:szCs w:val="8"/>
                            <w:lang w:val="en-US"/>
                          </w:rPr>
                        </w:pPr>
                      </w:p>
                    </w:tc>
                  </w:tr>
                  <w:tr w:rsidR="001C7C52" w:rsidRPr="000B0ADE" w:rsidTr="002E2E49">
                    <w:trPr>
                      <w:trHeight w:val="307"/>
                    </w:trPr>
                    <w:tc>
                      <w:tcPr>
                        <w:tcW w:w="5211" w:type="dxa"/>
                      </w:tcPr>
                      <w:p w:rsidR="001C7C52" w:rsidRPr="002E2E49" w:rsidRDefault="001C7C52" w:rsidP="002E2E49">
                        <w:pPr>
                          <w:spacing w:after="40" w:line="180" w:lineRule="exact"/>
                          <w:jc w:val="both"/>
                          <w:rPr>
                            <w:rFonts w:ascii="Garamond" w:hAnsi="Garamond"/>
                            <w:sz w:val="16"/>
                            <w:szCs w:val="16"/>
                            <w:lang w:val="en-US"/>
                          </w:rPr>
                        </w:pPr>
                        <w:r w:rsidRPr="002E2E49">
                          <w:rPr>
                            <w:rFonts w:ascii="Garamond" w:hAnsi="Garamond"/>
                            <w:sz w:val="16"/>
                            <w:szCs w:val="16"/>
                            <w:lang w:val="en-US"/>
                          </w:rPr>
                          <w:t xml:space="preserve">The recovery rate distribution is a beta-distribution with </w:t>
                        </w:r>
                        <w:r w:rsidRPr="002E2E49">
                          <w:rPr>
                            <w:rFonts w:ascii="Times New Roman" w:hAnsi="Times New Roman"/>
                            <w:i/>
                            <w:sz w:val="14"/>
                            <w:szCs w:val="14"/>
                            <w:lang w:val="en-US"/>
                          </w:rPr>
                          <w:t>α</w:t>
                        </w:r>
                        <w:r w:rsidRPr="002E2E49">
                          <w:rPr>
                            <w:rFonts w:ascii="Garamond" w:hAnsi="Garamond"/>
                            <w:sz w:val="16"/>
                            <w:szCs w:val="16"/>
                            <w:lang w:val="en-US"/>
                          </w:rPr>
                          <w:t xml:space="preserve"> equal to the value of 0.550 and </w:t>
                        </w:r>
                        <w:r w:rsidRPr="002E2E49">
                          <w:rPr>
                            <w:rFonts w:ascii="Times New Roman" w:hAnsi="Times New Roman"/>
                            <w:i/>
                            <w:sz w:val="14"/>
                            <w:szCs w:val="14"/>
                            <w:lang w:val="en-US"/>
                          </w:rPr>
                          <w:t>β</w:t>
                        </w:r>
                        <w:r w:rsidRPr="002E2E49">
                          <w:rPr>
                            <w:rFonts w:ascii="Times New Roman" w:hAnsi="Times New Roman"/>
                            <w:i/>
                            <w:sz w:val="16"/>
                            <w:szCs w:val="16"/>
                            <w:lang w:val="en-US"/>
                          </w:rPr>
                          <w:t xml:space="preserve"> </w:t>
                        </w:r>
                        <w:r w:rsidRPr="002E2E49">
                          <w:rPr>
                            <w:rFonts w:ascii="Garamond" w:hAnsi="Garamond"/>
                            <w:sz w:val="16"/>
                            <w:szCs w:val="16"/>
                            <w:lang w:val="en-US"/>
                          </w:rPr>
                          <w:t>equal to the value of 0.709 and range [0,1]. The mean of the distribution (</w:t>
                        </w:r>
                        <w:r w:rsidRPr="002E2E49">
                          <w:rPr>
                            <w:rFonts w:ascii="Times New Roman" w:hAnsi="Times New Roman"/>
                            <w:i/>
                            <w:sz w:val="14"/>
                            <w:szCs w:val="14"/>
                            <w:lang w:val="en-US"/>
                          </w:rPr>
                          <w:t>μ</w:t>
                        </w:r>
                        <w:r w:rsidRPr="002E2E49">
                          <w:rPr>
                            <w:rFonts w:ascii="Garamond" w:hAnsi="Garamond"/>
                            <w:sz w:val="16"/>
                            <w:szCs w:val="16"/>
                            <w:lang w:val="en-US"/>
                          </w:rPr>
                          <w:t>) is equal to 0.437 and the standard deviation (</w:t>
                        </w:r>
                        <w:r w:rsidRPr="002E2E49">
                          <w:rPr>
                            <w:rFonts w:ascii="Times New Roman" w:hAnsi="Times New Roman"/>
                            <w:i/>
                            <w:sz w:val="14"/>
                            <w:szCs w:val="14"/>
                            <w:lang w:val="en-US"/>
                          </w:rPr>
                          <w:t>σ</w:t>
                        </w:r>
                        <w:r w:rsidRPr="002E2E49">
                          <w:rPr>
                            <w:rFonts w:ascii="Garamond" w:hAnsi="Garamond"/>
                            <w:sz w:val="16"/>
                            <w:szCs w:val="16"/>
                            <w:lang w:val="en-US"/>
                          </w:rPr>
                          <w:t>) is equal to 0.330.</w:t>
                        </w:r>
                      </w:p>
                    </w:tc>
                  </w:tr>
                </w:tbl>
                <w:p w:rsidR="001C7C52" w:rsidRDefault="001C7C52" w:rsidP="00B21777">
                  <w:pPr>
                    <w:rPr>
                      <w:rFonts w:ascii="Garamond" w:hAnsi="Garamond"/>
                      <w:sz w:val="8"/>
                      <w:szCs w:val="8"/>
                      <w:lang w:val="en-US"/>
                    </w:rPr>
                  </w:pPr>
                </w:p>
              </w:txbxContent>
            </v:textbox>
            <w10:wrap type="square"/>
          </v:shape>
        </w:pict>
      </w:r>
      <w:r w:rsidRPr="00802C03">
        <w:rPr>
          <w:rFonts w:ascii="Garamond" w:hAnsi="Garamond" w:cs="NimbusRomNo9L-Regu"/>
          <w:lang w:val="en-GB" w:eastAsia="nl-NL"/>
        </w:rPr>
        <w:t xml:space="preserve">The </w:t>
      </w:r>
      <w:r w:rsidRPr="00100BDF">
        <w:rPr>
          <w:rFonts w:ascii="Garamond" w:hAnsi="Garamond" w:cs="NimbusRomNo9L-Regu"/>
          <w:position w:val="-6"/>
          <w:lang w:val="en-GB" w:eastAsia="nl-NL"/>
        </w:rPr>
        <w:object w:dxaOrig="220" w:dyaOrig="200">
          <v:shape id="_x0000_i1189" type="#_x0000_t75" style="width:11.25pt;height:9.75pt" o:ole="">
            <v:imagedata r:id="rId339" o:title=""/>
          </v:shape>
          <o:OLEObject Type="Embed" ProgID="Equation.DSMT4" ShapeID="_x0000_i1189" DrawAspect="Content" ObjectID="_1324893728" r:id="rId34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220" w:dyaOrig="279">
          <v:shape id="_x0000_i1190" type="#_x0000_t75" style="width:11.25pt;height:13.5pt" o:ole="">
            <v:imagedata r:id="rId341" o:title=""/>
          </v:shape>
          <o:OLEObject Type="Embed" ProgID="Equation.DSMT4" ShapeID="_x0000_i1190" DrawAspect="Content" ObjectID="_1324893729" r:id="rId342"/>
        </w:object>
      </w:r>
      <w:r w:rsidRPr="00802C03">
        <w:rPr>
          <w:rFonts w:ascii="Garamond" w:hAnsi="Garamond" w:cs="NimbusRomNo9L-Regu"/>
          <w:lang w:val="en-GB" w:eastAsia="nl-NL"/>
        </w:rPr>
        <w:t xml:space="preserve"> are set to the value of 0.550 and 0.709, respectively, as such a distribution mimics the distribution in </w:t>
      </w:r>
      <w:hyperlink w:anchor="Vazza_et_al_2008" w:history="1">
        <w:r w:rsidRPr="00802C03">
          <w:rPr>
            <w:rStyle w:val="Hyperlink"/>
            <w:rFonts w:ascii="Garamond" w:hAnsi="Garamond" w:cs="NimbusRomNo9L-Regu"/>
            <w:color w:val="000066"/>
            <w:u w:val="none"/>
            <w:lang w:val="en-GB" w:eastAsia="nl-NL"/>
          </w:rPr>
          <w:t>Vazza et al. (2008)</w:t>
        </w:r>
      </w:hyperlink>
      <w:r w:rsidRPr="00802C03">
        <w:rPr>
          <w:rFonts w:ascii="Garamond" w:hAnsi="Garamond" w:cs="NimbusRomNo9L-Regu"/>
          <w:lang w:val="en-GB" w:eastAsia="nl-NL"/>
        </w:rPr>
        <w:t xml:space="preserve"> and its first and second moment statistical properties (</w:t>
      </w:r>
      <w:r w:rsidRPr="00100BDF">
        <w:rPr>
          <w:rFonts w:ascii="Garamond" w:hAnsi="Garamond" w:cs="NimbusRomNo9L-Regu"/>
          <w:position w:val="-10"/>
          <w:lang w:val="en-GB" w:eastAsia="nl-NL"/>
        </w:rPr>
        <w:object w:dxaOrig="220" w:dyaOrig="240">
          <v:shape id="_x0000_i1191" type="#_x0000_t75" style="width:11.25pt;height:12pt" o:ole="">
            <v:imagedata r:id="rId343" o:title=""/>
          </v:shape>
          <o:OLEObject Type="Embed" ProgID="Equation.DSMT4" ShapeID="_x0000_i1191" DrawAspect="Content" ObjectID="_1324893730" r:id="rId344"/>
        </w:object>
      </w:r>
      <w:r w:rsidRPr="00802C03">
        <w:rPr>
          <w:rFonts w:ascii="Garamond" w:hAnsi="Garamond" w:cs="NimbusRomNo9L-Regu"/>
          <w:lang w:val="en-GB" w:eastAsia="nl-NL"/>
        </w:rPr>
        <w:t xml:space="preserve"> and </w:t>
      </w:r>
      <w:r w:rsidRPr="00100BDF">
        <w:rPr>
          <w:rFonts w:ascii="Garamond" w:hAnsi="Garamond" w:cs="NimbusRomNo9L-Regu"/>
          <w:position w:val="-6"/>
          <w:lang w:val="en-GB" w:eastAsia="nl-NL"/>
        </w:rPr>
        <w:object w:dxaOrig="220" w:dyaOrig="200">
          <v:shape id="_x0000_i1192" type="#_x0000_t75" style="width:11.25pt;height:9.75pt" o:ole="">
            <v:imagedata r:id="rId345" o:title=""/>
          </v:shape>
          <o:OLEObject Type="Embed" ProgID="Equation.DSMT4" ShapeID="_x0000_i1192" DrawAspect="Content" ObjectID="_1324893731" r:id="rId346"/>
        </w:object>
      </w:r>
      <w:r w:rsidRPr="00802C03">
        <w:rPr>
          <w:rFonts w:ascii="Garamond" w:hAnsi="Garamond" w:cs="NimbusRomNo9L-Regu"/>
          <w:lang w:val="en-GB" w:eastAsia="nl-NL"/>
        </w:rPr>
        <w:t xml:space="preserve">). </w:t>
      </w:r>
      <w:hyperlink w:anchor="F3" w:history="1">
        <w:r w:rsidRPr="00802C03">
          <w:rPr>
            <w:rStyle w:val="Hyperlink"/>
            <w:rFonts w:ascii="Garamond" w:hAnsi="Garamond" w:cs="NimbusRomNo9L-Regu"/>
            <w:color w:val="000066"/>
            <w:u w:val="none"/>
            <w:lang w:val="en-GB" w:eastAsia="nl-NL"/>
          </w:rPr>
          <w:t>Figure III</w:t>
        </w:r>
      </w:hyperlink>
      <w:r w:rsidRPr="00802C03">
        <w:rPr>
          <w:rFonts w:ascii="Garamond" w:hAnsi="Garamond" w:cs="NimbusRomNo9L-Regu"/>
          <w:lang w:val="en-GB" w:eastAsia="nl-NL"/>
        </w:rPr>
        <w:t xml:space="preserve"> displays the resulting recovery rate distribution. Similar to the distribution presented by </w:t>
      </w:r>
      <w:hyperlink w:anchor="Vazza_et_al_2008" w:history="1">
        <w:r w:rsidRPr="00802C03">
          <w:rPr>
            <w:rStyle w:val="Hyperlink"/>
            <w:rFonts w:ascii="Garamond" w:hAnsi="Garamond" w:cs="NimbusRomNo9L-Regu"/>
            <w:color w:val="000066"/>
            <w:u w:val="none"/>
            <w:lang w:val="en-GB" w:eastAsia="nl-NL"/>
          </w:rPr>
          <w:t>Vazza et al. (2008)</w:t>
        </w:r>
      </w:hyperlink>
      <w:r w:rsidRPr="00802C03">
        <w:rPr>
          <w:rFonts w:ascii="Garamond" w:hAnsi="Garamond" w:cs="NimbusRomNo9L-Regu"/>
          <w:lang w:val="en-GB" w:eastAsia="nl-NL"/>
        </w:rPr>
        <w:t xml:space="preserve">, the probabilities for extremely low recovery (close to the value of zero) as well as nearly full recovery (close to unity) are the largest. This recovery rate distribution with the proposed </w:t>
      </w:r>
      <w:r w:rsidRPr="00100BDF">
        <w:rPr>
          <w:rFonts w:ascii="Garamond" w:hAnsi="Garamond" w:cs="NimbusRomNo9L-Regu"/>
          <w:position w:val="-6"/>
          <w:lang w:val="en-GB" w:eastAsia="nl-NL"/>
        </w:rPr>
        <w:object w:dxaOrig="220" w:dyaOrig="200">
          <v:shape id="_x0000_i1193" type="#_x0000_t75" style="width:11.25pt;height:9.75pt" o:ole="">
            <v:imagedata r:id="rId347" o:title=""/>
          </v:shape>
          <o:OLEObject Type="Embed" ProgID="Equation.DSMT4" ShapeID="_x0000_i1193" DrawAspect="Content" ObjectID="_1324893732" r:id="rId34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220" w:dyaOrig="279">
          <v:shape id="_x0000_i1194" type="#_x0000_t75" style="width:11.25pt;height:13.5pt" o:ole="">
            <v:imagedata r:id="rId349" o:title=""/>
          </v:shape>
          <o:OLEObject Type="Embed" ProgID="Equation.DSMT4" ShapeID="_x0000_i1194" DrawAspect="Content" ObjectID="_1324893733" r:id="rId350"/>
        </w:object>
      </w:r>
      <w:r w:rsidRPr="00802C03">
        <w:rPr>
          <w:rFonts w:ascii="Garamond" w:hAnsi="Garamond" w:cs="NimbusRomNo9L-Regu"/>
          <w:lang w:val="en-GB" w:eastAsia="nl-NL"/>
        </w:rPr>
        <w:t xml:space="preserve"> values, in combination with </w:t>
      </w:r>
      <w:hyperlink w:anchor="E1N17b" w:history="1">
        <w:r w:rsidRPr="00802C03">
          <w:rPr>
            <w:rStyle w:val="Hyperlink"/>
            <w:rFonts w:ascii="Garamond" w:hAnsi="Garamond" w:cs="NimbusRomNo9L-Regu"/>
            <w:color w:val="000066"/>
            <w:u w:val="none"/>
            <w:lang w:val="en-GB" w:eastAsia="nl-NL"/>
          </w:rPr>
          <w:t>equation 1.17</w:t>
        </w:r>
      </w:hyperlink>
      <w:r w:rsidRPr="00802C03">
        <w:rPr>
          <w:rFonts w:ascii="Garamond" w:hAnsi="Garamond" w:cs="NimbusRomNo9L-Regu"/>
          <w:lang w:val="en-GB" w:eastAsia="nl-NL"/>
        </w:rPr>
        <w:t xml:space="preserve">, represent the standard default value model.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practical terms, the default value is computed quite easily with the use of this model. If a simulation results in a default in any of the single-periods in the model, a random drawing from the </w:t>
      </w:r>
      <w:r w:rsidRPr="00100BDF">
        <w:rPr>
          <w:rFonts w:ascii="Garamond" w:hAnsi="Garamond" w:cs="NimbusRomNo9L-Regu"/>
          <w:position w:val="-10"/>
          <w:lang w:val="en-GB" w:eastAsia="nl-NL"/>
        </w:rPr>
        <w:object w:dxaOrig="1320" w:dyaOrig="300">
          <v:shape id="_x0000_i1195" type="#_x0000_t75" style="width:65.25pt;height:15pt" o:ole="">
            <v:imagedata r:id="rId351" o:title=""/>
          </v:shape>
          <o:OLEObject Type="Embed" ProgID="Equation.DSMT4" ShapeID="_x0000_i1195" DrawAspect="Content" ObjectID="_1324893734" r:id="rId352"/>
        </w:object>
      </w:r>
      <w:r w:rsidRPr="00802C03">
        <w:rPr>
          <w:rFonts w:ascii="Garamond" w:hAnsi="Garamond" w:cs="NimbusRomNo9L-Regu"/>
          <w:lang w:val="en-GB" w:eastAsia="nl-NL"/>
        </w:rPr>
        <w:t xml:space="preserve">-distribution with a range of </w:t>
      </w:r>
      <w:r w:rsidRPr="00100BDF">
        <w:rPr>
          <w:rFonts w:ascii="Garamond" w:hAnsi="Garamond" w:cs="NimbusRomNo9L-Regu"/>
          <w:position w:val="-10"/>
          <w:lang w:val="en-GB" w:eastAsia="nl-NL"/>
        </w:rPr>
        <w:object w:dxaOrig="420" w:dyaOrig="279">
          <v:shape id="_x0000_i1196" type="#_x0000_t75" style="width:21pt;height:13.5pt" o:ole="">
            <v:imagedata r:id="rId353" o:title=""/>
          </v:shape>
          <o:OLEObject Type="Embed" ProgID="Equation.DSMT4" ShapeID="_x0000_i1196" DrawAspect="Content" ObjectID="_1324893735" r:id="rId354"/>
        </w:object>
      </w:r>
      <w:r w:rsidRPr="00802C03">
        <w:rPr>
          <w:rFonts w:ascii="Garamond" w:hAnsi="Garamond" w:cs="NimbusRomNo9L-Regu"/>
          <w:lang w:val="en-GB" w:eastAsia="nl-NL"/>
        </w:rPr>
        <w:t xml:space="preserve"> is obtained to simulate the recovery rate. Using this rate, the default value can be calculated:</w:t>
      </w:r>
    </w:p>
    <w:p w:rsidR="001C7C52" w:rsidRPr="00802C03" w:rsidRDefault="001C7C52" w:rsidP="00F37A29">
      <w:pPr>
        <w:tabs>
          <w:tab w:val="left" w:pos="567"/>
          <w:tab w:val="left" w:pos="3402"/>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1160" w:dyaOrig="320">
          <v:shape id="_x0000_i1197" type="#_x0000_t75" style="width:57.75pt;height:15.75pt" o:ole="">
            <v:imagedata r:id="rId355" o:title=""/>
          </v:shape>
          <o:OLEObject Type="Embed" ProgID="Equation.DSMT4" ShapeID="_x0000_i1197" DrawAspect="Content" ObjectID="_1324893736" r:id="rId356"/>
        </w:object>
      </w:r>
      <w:r w:rsidRPr="00802C03">
        <w:rPr>
          <w:rFonts w:ascii="Garamond" w:hAnsi="Garamond" w:cs="NimbusRomNo9L-Regu"/>
          <w:lang w:val="en-GB" w:eastAsia="nl-NL"/>
        </w:rPr>
        <w:t>,</w:t>
      </w:r>
      <w:r w:rsidRPr="00802C03">
        <w:rPr>
          <w:rFonts w:ascii="Garamond" w:hAnsi="Garamond" w:cs="NimbusRomNo9L-Regu"/>
          <w:lang w:val="en-GB" w:eastAsia="nl-NL"/>
        </w:rPr>
        <w:tab/>
      </w:r>
      <w:r w:rsidRPr="00802C03">
        <w:rPr>
          <w:rFonts w:ascii="Garamond" w:hAnsi="Garamond" w:cs="NimbusRomNo9L-Regu"/>
          <w:lang w:val="en-GB" w:eastAsia="nl-NL"/>
        </w:rPr>
        <w:tab/>
        <w:t>(1.20)</w:t>
      </w:r>
    </w:p>
    <w:p w:rsidR="001C7C52" w:rsidRPr="00802C03" w:rsidRDefault="001C7C52" w:rsidP="00F37A29">
      <w:pPr>
        <w:spacing w:before="160" w:after="160" w:line="280" w:lineRule="exact"/>
        <w:jc w:val="both"/>
        <w:rPr>
          <w:rFonts w:ascii="Garamond" w:hAnsi="Garamond" w:cs="NimbusRomNo9L-Regu"/>
          <w:lang w:val="en-GB" w:eastAsia="nl-NL"/>
        </w:rPr>
      </w:pPr>
      <w:r w:rsidRPr="00802C03">
        <w:rPr>
          <w:rFonts w:ascii="Garamond" w:hAnsi="Garamond" w:cs="NimbusRomNo9L-Regu"/>
          <w:lang w:val="en-GB" w:eastAsia="nl-NL"/>
        </w:rPr>
        <w:tab/>
        <w:t xml:space="preserve">where </w:t>
      </w:r>
      <w:r w:rsidRPr="00100BDF">
        <w:rPr>
          <w:rFonts w:ascii="Garamond" w:hAnsi="Garamond" w:cs="NimbusRomNo9L-Regu"/>
          <w:position w:val="-10"/>
          <w:lang w:val="en-GB" w:eastAsia="nl-NL"/>
        </w:rPr>
        <w:object w:dxaOrig="1700" w:dyaOrig="300">
          <v:shape id="_x0000_i1198" type="#_x0000_t75" style="width:84.75pt;height:15pt" o:ole="">
            <v:imagedata r:id="rId357" o:title=""/>
          </v:shape>
          <o:OLEObject Type="Embed" ProgID="Equation.DSMT4" ShapeID="_x0000_i1198" DrawAspect="Content" ObjectID="_1324893737" r:id="rId358"/>
        </w:object>
      </w:r>
      <w:r w:rsidRPr="00802C03">
        <w:rPr>
          <w:rFonts w:ascii="Garamond" w:hAnsi="Garamond" w:cs="NimbusRomNo9L-Regu"/>
          <w:lang w:val="en-GB" w:eastAsia="nl-NL"/>
        </w:rPr>
        <w:t xml:space="preserve"> with range </w:t>
      </w:r>
      <w:r w:rsidRPr="00100BDF">
        <w:rPr>
          <w:rFonts w:ascii="Garamond" w:hAnsi="Garamond" w:cs="NimbusRomNo9L-Regu"/>
          <w:position w:val="-10"/>
          <w:lang w:val="en-GB" w:eastAsia="nl-NL"/>
        </w:rPr>
        <w:object w:dxaOrig="420" w:dyaOrig="279">
          <v:shape id="_x0000_i1199" type="#_x0000_t75" style="width:21pt;height:13.5pt" o:ole="">
            <v:imagedata r:id="rId359" o:title=""/>
          </v:shape>
          <o:OLEObject Type="Embed" ProgID="Equation.DSMT4" ShapeID="_x0000_i1199" DrawAspect="Content" ObjectID="_1324893738" r:id="rId360"/>
        </w:object>
      </w:r>
      <w:r w:rsidRPr="00802C03">
        <w:rPr>
          <w:rFonts w:ascii="Garamond" w:hAnsi="Garamond" w:cs="NimbusRomNo9L-Regu"/>
          <w:lang w:val="en-GB" w:eastAsia="nl-NL"/>
        </w:rPr>
        <w:t>.</w:t>
      </w:r>
    </w:p>
    <w:p w:rsidR="001C7C52" w:rsidRPr="00802C03" w:rsidRDefault="001C7C52" w:rsidP="004E7550">
      <w:pPr>
        <w:spacing w:line="160" w:lineRule="exact"/>
        <w:jc w:val="both"/>
        <w:rPr>
          <w:rFonts w:ascii="Garamond" w:hAnsi="Garamond"/>
          <w:lang w:val="en-GB"/>
        </w:rPr>
      </w:pP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 xml:space="preserve">Nonetheless, this standard method to obtain the default value in the model estimation in </w:t>
      </w:r>
      <w:hyperlink w:anchor="S310" w:history="1">
        <w:r w:rsidRPr="00802C03">
          <w:rPr>
            <w:rStyle w:val="Hyperlink"/>
            <w:rFonts w:ascii="Garamond" w:hAnsi="Garamond"/>
            <w:color w:val="000066"/>
            <w:u w:val="none"/>
            <w:lang w:val="en-GB"/>
          </w:rPr>
          <w:t>Part III</w:t>
        </w:r>
      </w:hyperlink>
      <w:r w:rsidRPr="00802C03">
        <w:rPr>
          <w:rFonts w:ascii="Garamond" w:hAnsi="Garamond"/>
          <w:lang w:val="en-GB"/>
        </w:rPr>
        <w:t xml:space="preserve"> has two serious issues. First of all, the recovery rate of 43.7% is definitely much too high for the market circumstances at the estimation date of the model (01/05/2009), as the estimate is based on the 1987-2007 period. For example, </w:t>
      </w:r>
      <w:hyperlink w:anchor="Emery_et_al_2009" w:history="1">
        <w:r w:rsidRPr="00802C03">
          <w:rPr>
            <w:rStyle w:val="Hyperlink"/>
            <w:rFonts w:ascii="Garamond" w:hAnsi="Garamond"/>
            <w:color w:val="000066"/>
            <w:u w:val="none"/>
            <w:lang w:val="en-GB"/>
          </w:rPr>
          <w:t>Emery et al. (2009)</w:t>
        </w:r>
      </w:hyperlink>
      <w:r w:rsidRPr="00802C03">
        <w:rPr>
          <w:rFonts w:ascii="Garamond" w:hAnsi="Garamond"/>
          <w:lang w:val="en-GB"/>
        </w:rPr>
        <w:t>, in a Moody’s publication, present a recovery rate as low as 33.8% for senior unsecured bonds for the year 2008, and expect it to decline even further during 2009. Moody’s recovery rate of 33.8% cannot be employed as no standard deviation is presented in the publication and more importantly, this recovery is likely to be too high as well.</w:t>
      </w:r>
      <w:r w:rsidRPr="00802C03">
        <w:rPr>
          <w:rStyle w:val="FootnoteReference"/>
          <w:rFonts w:ascii="Garamond" w:hAnsi="Garamond" w:cs="NimbusRomNo9L-Regu"/>
          <w:lang w:val="en-GB" w:eastAsia="nl-NL"/>
        </w:rPr>
        <w:footnoteReference w:id="20"/>
      </w:r>
      <w:r w:rsidRPr="00802C03">
        <w:rPr>
          <w:rFonts w:ascii="Garamond" w:hAnsi="Garamond"/>
          <w:lang w:val="en-GB"/>
        </w:rPr>
        <w:t xml:space="preserve"> </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The too high mean recovery rate of 43.7% in the recovery rate distribution in the standard default value model generates another much more direct problem in the model estimations. Basically, the corporate bond portfolios that will be used in the model estimation contain a high number of bonds that are valued below par, which in its turn implies an even higher effective recovery rate relative to the market value of these positions.</w:t>
      </w:r>
      <w:r w:rsidRPr="00802C03">
        <w:rPr>
          <w:rStyle w:val="FootnoteReference"/>
          <w:rFonts w:ascii="Garamond" w:hAnsi="Garamond" w:cs="NimbusRomNo9L-Regu"/>
          <w:lang w:val="en-GB" w:eastAsia="nl-NL"/>
        </w:rPr>
        <w:footnoteReference w:id="21"/>
      </w:r>
      <w:r w:rsidRPr="00802C03">
        <w:rPr>
          <w:rFonts w:ascii="Garamond" w:hAnsi="Garamond"/>
          <w:lang w:val="en-GB"/>
        </w:rPr>
        <w:t xml:space="preserve"> In some cases, this may even ensure that a simulated default for a position is expected to generate a profit instead of a loss in the period it defaults.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lang w:val="en-GB"/>
        </w:rPr>
        <w:t>This issue can be illustrated with an example.</w:t>
      </w:r>
      <w:r w:rsidRPr="00802C03">
        <w:rPr>
          <w:rStyle w:val="FootnoteReference"/>
          <w:rFonts w:ascii="Garamond" w:hAnsi="Garamond" w:cs="NimbusRomNo9L-Regu"/>
          <w:lang w:val="en-GB" w:eastAsia="nl-NL"/>
        </w:rPr>
        <w:footnoteReference w:id="22"/>
      </w:r>
      <w:r w:rsidRPr="00802C03">
        <w:rPr>
          <w:rFonts w:ascii="Garamond" w:hAnsi="Garamond"/>
          <w:lang w:val="en-GB"/>
        </w:rPr>
        <w:t xml:space="preserve"> Consider a $200,000 position in the A-rated Cintas Corp bond, with a face value of $221,925. When the credit rating simulation implies that this bond is downgraded to the CCC/C category in the first period of the model, its value at the end of the first period (</w:t>
      </w:r>
      <w:r w:rsidRPr="00100BDF">
        <w:rPr>
          <w:rFonts w:ascii="Garamond" w:hAnsi="Garamond"/>
          <w:position w:val="-10"/>
          <w:lang w:val="en-GB"/>
        </w:rPr>
        <w:object w:dxaOrig="540" w:dyaOrig="320">
          <v:shape id="_x0000_i1200" type="#_x0000_t75" style="width:27pt;height:15.75pt" o:ole="">
            <v:imagedata r:id="rId361" o:title=""/>
          </v:shape>
          <o:OLEObject Type="Embed" ProgID="Equation.DSMT4" ShapeID="_x0000_i1200" DrawAspect="Content" ObjectID="_1324893739" r:id="rId362"/>
        </w:object>
      </w:r>
      <w:r w:rsidRPr="00802C03">
        <w:rPr>
          <w:rFonts w:ascii="Garamond" w:hAnsi="Garamond"/>
          <w:lang w:val="en-GB"/>
        </w:rPr>
        <w:t>) drops to $89,352.45. If this bond subsequently defaults in the second period, its expected value at the end of the second period is $96,981.14 (</w:t>
      </w:r>
      <w:r w:rsidRPr="00100BDF">
        <w:rPr>
          <w:rFonts w:ascii="Garamond" w:hAnsi="Garamond"/>
          <w:position w:val="-10"/>
          <w:lang w:val="en-GB"/>
        </w:rPr>
        <w:object w:dxaOrig="1719" w:dyaOrig="320">
          <v:shape id="_x0000_i1201" type="#_x0000_t75" style="width:84.75pt;height:15.75pt" o:ole="">
            <v:imagedata r:id="rId363" o:title=""/>
          </v:shape>
          <o:OLEObject Type="Embed" ProgID="Equation.DSMT4" ShapeID="_x0000_i1201" DrawAspect="Content" ObjectID="_1324893740" r:id="rId364"/>
        </w:object>
      </w:r>
      <w:r w:rsidRPr="00802C03">
        <w:rPr>
          <w:rFonts w:ascii="Garamond" w:hAnsi="Garamond" w:cs="NimbusRomNo9L-Regu"/>
          <w:lang w:val="en-GB" w:eastAsia="nl-NL"/>
        </w:rPr>
        <w:t xml:space="preserve">). Hence, a default event in this scenario will </w:t>
      </w:r>
      <w:r w:rsidRPr="00802C03">
        <w:rPr>
          <w:rFonts w:ascii="Garamond" w:hAnsi="Garamond" w:cs="NimbusRomNo9L-Regu"/>
          <w:i/>
          <w:lang w:val="en-GB" w:eastAsia="nl-NL"/>
        </w:rPr>
        <w:t>on average</w:t>
      </w:r>
      <w:r w:rsidRPr="00802C03">
        <w:rPr>
          <w:rFonts w:ascii="Garamond" w:hAnsi="Garamond" w:cs="NimbusRomNo9L-Regu"/>
          <w:lang w:val="en-GB" w:eastAsia="nl-NL"/>
        </w:rPr>
        <w:t xml:space="preserve"> generate a profit of 8.5% in the period in which the default occurs (period two). Although in practice defaults may occasionally generate profits, an </w:t>
      </w:r>
      <w:r w:rsidRPr="00802C03">
        <w:rPr>
          <w:rFonts w:ascii="Garamond" w:hAnsi="Garamond" w:cs="NimbusRomNo9L-Regu"/>
          <w:i/>
          <w:lang w:val="en-GB" w:eastAsia="nl-NL"/>
        </w:rPr>
        <w:t>expected</w:t>
      </w:r>
      <w:r w:rsidRPr="00802C03">
        <w:rPr>
          <w:rFonts w:ascii="Garamond" w:hAnsi="Garamond" w:cs="NimbusRomNo9L-Regu"/>
          <w:lang w:val="en-GB" w:eastAsia="nl-NL"/>
        </w:rPr>
        <w:t xml:space="preserve"> profit signals a significant mispricing of the particular bond, which is highly unrealistic. Apart from the Cintas Corp bond example, there are numerous other bonds in the assessed portfolios and numerous other scenarios for which similar unrealistic effects will emerge.</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Both abovementioned issues are likely to distort the model output and its resulting risk measures. And since no reliable recovery rate (and standard deviation) estimates can be obtained, a modification will be introduced to default value model. Both problems are effectively cured when the default value is computed as follows:</w:t>
      </w:r>
    </w:p>
    <w:p w:rsidR="001C7C52" w:rsidRPr="00802C03" w:rsidRDefault="001C7C52" w:rsidP="009E76C2">
      <w:pPr>
        <w:tabs>
          <w:tab w:val="left" w:pos="567"/>
          <w:tab w:val="left" w:pos="3402"/>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1359" w:dyaOrig="320">
          <v:shape id="_x0000_i1202" type="#_x0000_t75" style="width:68.25pt;height:15.75pt" o:ole="">
            <v:imagedata r:id="rId365" o:title=""/>
          </v:shape>
          <o:OLEObject Type="Embed" ProgID="Equation.DSMT4" ShapeID="_x0000_i1202" DrawAspect="Content" ObjectID="_1324893741" r:id="rId366"/>
        </w:object>
      </w:r>
      <w:r w:rsidRPr="00802C03">
        <w:rPr>
          <w:rFonts w:ascii="Garamond" w:hAnsi="Garamond" w:cs="NimbusRomNo9L-Regu"/>
          <w:lang w:val="en-GB" w:eastAsia="nl-NL"/>
        </w:rPr>
        <w:t>,</w:t>
      </w:r>
      <w:r w:rsidRPr="00802C03">
        <w:rPr>
          <w:rFonts w:ascii="Garamond" w:hAnsi="Garamond" w:cs="NimbusRomNo9L-Regu"/>
          <w:lang w:val="en-GB" w:eastAsia="nl-NL"/>
        </w:rPr>
        <w:tab/>
      </w:r>
      <w:r w:rsidRPr="00802C03">
        <w:rPr>
          <w:rFonts w:ascii="Garamond" w:hAnsi="Garamond" w:cs="NimbusRomNo9L-Regu"/>
          <w:lang w:val="en-GB" w:eastAsia="nl-NL"/>
        </w:rPr>
        <w:tab/>
        <w:t>(1.21)</w:t>
      </w:r>
    </w:p>
    <w:p w:rsidR="001C7C52" w:rsidRPr="00802C03" w:rsidRDefault="001C7C52" w:rsidP="009E76C2">
      <w:pPr>
        <w:spacing w:before="160" w:after="160" w:line="280" w:lineRule="exact"/>
        <w:jc w:val="both"/>
        <w:rPr>
          <w:rFonts w:ascii="Garamond" w:hAnsi="Garamond" w:cs="NimbusRomNo9L-Regu"/>
          <w:lang w:val="en-GB" w:eastAsia="nl-NL"/>
        </w:rPr>
      </w:pPr>
      <w:r w:rsidRPr="00802C03">
        <w:rPr>
          <w:rFonts w:ascii="Garamond" w:hAnsi="Garamond" w:cs="NimbusRomNo9L-Regu"/>
          <w:lang w:val="en-GB" w:eastAsia="nl-NL"/>
        </w:rPr>
        <w:tab/>
        <w:t xml:space="preserve">where </w:t>
      </w:r>
      <w:r w:rsidRPr="00100BDF">
        <w:rPr>
          <w:rFonts w:ascii="Garamond" w:hAnsi="Garamond" w:cs="NimbusRomNo9L-Regu"/>
          <w:position w:val="-10"/>
          <w:lang w:val="en-GB" w:eastAsia="nl-NL"/>
        </w:rPr>
        <w:object w:dxaOrig="1700" w:dyaOrig="300">
          <v:shape id="_x0000_i1203" type="#_x0000_t75" style="width:84.75pt;height:15pt" o:ole="">
            <v:imagedata r:id="rId367" o:title=""/>
          </v:shape>
          <o:OLEObject Type="Embed" ProgID="Equation.DSMT4" ShapeID="_x0000_i1203" DrawAspect="Content" ObjectID="_1324893742" r:id="rId368"/>
        </w:object>
      </w:r>
      <w:r w:rsidRPr="00802C03">
        <w:rPr>
          <w:rFonts w:ascii="Garamond" w:hAnsi="Garamond" w:cs="NimbusRomNo9L-Regu"/>
          <w:lang w:val="en-GB" w:eastAsia="nl-NL"/>
        </w:rPr>
        <w:t xml:space="preserve"> with range </w:t>
      </w:r>
      <w:r w:rsidRPr="00100BDF">
        <w:rPr>
          <w:rFonts w:ascii="Garamond" w:hAnsi="Garamond" w:cs="NimbusRomNo9L-Regu"/>
          <w:position w:val="-10"/>
          <w:lang w:val="en-GB" w:eastAsia="nl-NL"/>
        </w:rPr>
        <w:object w:dxaOrig="420" w:dyaOrig="279">
          <v:shape id="_x0000_i1204" type="#_x0000_t75" style="width:21pt;height:13.5pt" o:ole="">
            <v:imagedata r:id="rId369" o:title=""/>
          </v:shape>
          <o:OLEObject Type="Embed" ProgID="Equation.DSMT4" ShapeID="_x0000_i1204" DrawAspect="Content" ObjectID="_1324893743" r:id="rId370"/>
        </w:object>
      </w:r>
      <w:r w:rsidRPr="00802C03">
        <w:rPr>
          <w:rFonts w:ascii="Garamond" w:hAnsi="Garamond" w:cs="NimbusRomNo9L-Regu"/>
          <w:lang w:val="en-GB" w:eastAsia="nl-NL"/>
        </w:rPr>
        <w:t>.</w:t>
      </w:r>
    </w:p>
    <w:p w:rsidR="001C7C52" w:rsidRPr="00802C03" w:rsidRDefault="001C7C52" w:rsidP="00A42008">
      <w:pPr>
        <w:spacing w:before="160" w:after="160"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this expression, the S&amp;P recovery rate estimates are still applied, yet the default value is computed as a percentage of the last observed market value of the bond. The modified specification ensures that each default will generate a loss on the position. Moreover, the effective recovery rate in the model estimations, as a percentage of the face value of the position, will be much lower than in the standard model (approximately twice as low). The modified specification is therefore much more realistic given current market conditions and is much more in line with expectations as well. Hence, this modified specification will be employed in the model estimations in </w:t>
      </w:r>
      <w:hyperlink w:anchor="S310" w:history="1">
        <w:r w:rsidRPr="00802C03">
          <w:rPr>
            <w:rStyle w:val="Hyperlink"/>
            <w:rFonts w:ascii="Garamond" w:hAnsi="Garamond" w:cs="NimbusRomNo9L-Regu"/>
            <w:color w:val="000066"/>
            <w:u w:val="none"/>
            <w:lang w:val="en-GB" w:eastAsia="nl-NL"/>
          </w:rPr>
          <w:t>Part III</w:t>
        </w:r>
      </w:hyperlink>
      <w:r w:rsidRPr="00802C03">
        <w:rPr>
          <w:rFonts w:ascii="Garamond" w:hAnsi="Garamond" w:cs="NimbusRomNo9L-Regu"/>
          <w:lang w:val="en-GB" w:eastAsia="nl-NL"/>
        </w:rPr>
        <w:t>. Do note, however, that when reliable recovery rate (distribution) estimates are available, the standard default value model should definitely be preferred, since it is theoretically more sound and it is consistent with the way recovery rates are commonly measured. The modification imposed in this study is only introduced to cure the problems that the (unreliable) too high historical recovery rate estimate will produce in the model estimations. It ensures that no arbitrary recovery rate has to be ‘picked’ as well.</w:t>
      </w:r>
    </w:p>
    <w:p w:rsidR="001C7C52" w:rsidRPr="00802C03" w:rsidRDefault="001C7C52" w:rsidP="00552C2C">
      <w:pPr>
        <w:spacing w:before="160" w:line="280" w:lineRule="exact"/>
        <w:jc w:val="both"/>
        <w:rPr>
          <w:rFonts w:ascii="Garamond" w:hAnsi="Garamond"/>
          <w:lang w:val="en-GB"/>
        </w:rPr>
      </w:pPr>
      <w:r w:rsidRPr="00802C03">
        <w:rPr>
          <w:rFonts w:ascii="Garamond" w:hAnsi="Garamond"/>
          <w:lang w:val="en-GB"/>
        </w:rPr>
        <w:t>The stochastic default value is the last component that is required in the valuation of each position in the model. Hence, the valuation model of the total portfolio is complete.</w:t>
      </w:r>
    </w:p>
    <w:p w:rsidR="001C7C52" w:rsidRPr="00802C03" w:rsidRDefault="001C7C52" w:rsidP="006851C7">
      <w:pPr>
        <w:spacing w:line="280" w:lineRule="exact"/>
        <w:jc w:val="both"/>
        <w:rPr>
          <w:rFonts w:ascii="Garamond" w:hAnsi="Garamond"/>
          <w:b/>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1.3.4</w:t>
      </w:r>
      <w:r w:rsidRPr="00802C03">
        <w:rPr>
          <w:rFonts w:ascii="Garamond" w:hAnsi="Garamond"/>
          <w:b/>
          <w:lang w:val="en-GB"/>
        </w:rPr>
        <w:tab/>
      </w:r>
      <w:bookmarkStart w:id="18" w:name="S134"/>
      <w:bookmarkEnd w:id="18"/>
      <w:r w:rsidRPr="00802C03">
        <w:rPr>
          <w:rFonts w:ascii="Garamond" w:hAnsi="Garamond"/>
          <w:b/>
          <w:lang w:val="en-GB"/>
        </w:rPr>
        <w:t>Model Output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lang w:val="en-GB"/>
        </w:rPr>
        <w:t xml:space="preserve">As mentioned, </w:t>
      </w:r>
      <w:r w:rsidRPr="00802C03">
        <w:rPr>
          <w:rFonts w:ascii="Garamond" w:hAnsi="Garamond" w:cs="NimbusRomNo9L-Regu"/>
          <w:lang w:val="en-GB" w:eastAsia="nl-NL"/>
        </w:rPr>
        <w:t xml:space="preserve">the value of the complete portfolio in a simulation scenario is simply equal to the sum of all individual position valuations in that simulation scenario. </w:t>
      </w:r>
      <w:r w:rsidRPr="00802C03">
        <w:rPr>
          <w:rFonts w:ascii="Garamond" w:hAnsi="Garamond"/>
          <w:lang w:val="en-GB"/>
        </w:rPr>
        <w:t>The distribution of the portfolio value at the end of the year (capital horizon) is constructed by generating a large number of simulation scenarios, which result in a large number of possible total portfolio values at the end of the capital horizon. From here, the 99.9% confidence interval is obtained by taking the ‘</w:t>
      </w:r>
      <w:r w:rsidRPr="00100BDF">
        <w:rPr>
          <w:rFonts w:ascii="Garamond" w:hAnsi="Garamond"/>
          <w:position w:val="-6"/>
          <w:lang w:val="en-GB"/>
        </w:rPr>
        <w:object w:dxaOrig="760" w:dyaOrig="260">
          <v:shape id="_x0000_i1205" type="#_x0000_t75" style="width:38.25pt;height:13.5pt" o:ole="">
            <v:imagedata r:id="rId371" o:title=""/>
          </v:shape>
          <o:OLEObject Type="Embed" ProgID="Equation.DSMT4" ShapeID="_x0000_i1205" DrawAspect="Content" ObjectID="_1324893744" r:id="rId372"/>
        </w:object>
      </w:r>
      <w:r w:rsidRPr="00802C03">
        <w:rPr>
          <w:rFonts w:ascii="Garamond" w:hAnsi="Garamond"/>
          <w:lang w:val="en-GB"/>
        </w:rPr>
        <w:t xml:space="preserve"> worst result’ from the distribution, where </w:t>
      </w:r>
      <w:r w:rsidRPr="00100BDF">
        <w:rPr>
          <w:rFonts w:ascii="Garamond" w:hAnsi="Garamond"/>
          <w:position w:val="-4"/>
          <w:lang w:val="en-GB"/>
        </w:rPr>
        <w:object w:dxaOrig="240" w:dyaOrig="220">
          <v:shape id="_x0000_i1206" type="#_x0000_t75" style="width:12pt;height:11.25pt" o:ole="">
            <v:imagedata r:id="rId373" o:title=""/>
          </v:shape>
          <o:OLEObject Type="Embed" ProgID="Equation.DSMT4" ShapeID="_x0000_i1206" DrawAspect="Content" ObjectID="_1324893745" r:id="rId374"/>
        </w:object>
      </w:r>
      <w:r w:rsidRPr="00802C03">
        <w:rPr>
          <w:rFonts w:ascii="Garamond" w:hAnsi="Garamond"/>
          <w:lang w:val="en-GB"/>
        </w:rPr>
        <w:t xml:space="preserve"> is the number of simulations. Intuitively, one could argue that of every thousand simulations only one scenario has a material impact on the 99.9% percentile. For this particular reason, a rather high number of simulations have to be generated. </w:t>
      </w:r>
    </w:p>
    <w:p w:rsidR="001C7C52" w:rsidRPr="00802C03" w:rsidRDefault="001C7C52" w:rsidP="00E17C8F">
      <w:pPr>
        <w:spacing w:line="160" w:lineRule="exact"/>
        <w:jc w:val="both"/>
        <w:rPr>
          <w:rFonts w:ascii="Garamond" w:hAnsi="Garamond"/>
          <w:lang w:val="en-GB"/>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lang w:val="en-GB"/>
        </w:rPr>
        <w:t>Given the number of simulations (</w:t>
      </w:r>
      <w:r w:rsidRPr="00100BDF">
        <w:rPr>
          <w:rFonts w:ascii="Garamond" w:hAnsi="Garamond"/>
          <w:position w:val="-4"/>
          <w:lang w:val="en-GB"/>
        </w:rPr>
        <w:object w:dxaOrig="240" w:dyaOrig="220">
          <v:shape id="_x0000_i1207" type="#_x0000_t75" style="width:12pt;height:11.25pt" o:ole="">
            <v:imagedata r:id="rId375" o:title=""/>
          </v:shape>
          <o:OLEObject Type="Embed" ProgID="Equation.DSMT4" ShapeID="_x0000_i1207" DrawAspect="Content" ObjectID="_1324893746" r:id="rId376"/>
        </w:object>
      </w:r>
      <w:r w:rsidRPr="00802C03">
        <w:rPr>
          <w:rFonts w:ascii="Garamond" w:hAnsi="Garamond"/>
          <w:lang w:val="en-GB"/>
        </w:rPr>
        <w:t xml:space="preserve">), the confidence intervals around the 99.9% interval estimate can be computed as well, following the method assessed by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The estimation of these confidence bands provides information about the certainty and precision of the 99.9% worst result. As a consequence, it presents the opportunity for statistical inference as well. In general, when the </w:t>
      </w:r>
      <w:r w:rsidRPr="00100BDF">
        <w:rPr>
          <w:rFonts w:ascii="Garamond" w:hAnsi="Garamond"/>
          <w:position w:val="-10"/>
          <w:lang w:val="en-GB"/>
        </w:rPr>
        <w:object w:dxaOrig="300" w:dyaOrig="320">
          <v:shape id="_x0000_i1208" type="#_x0000_t75" style="width:15pt;height:15.75pt" o:ole="">
            <v:imagedata r:id="rId377" o:title=""/>
          </v:shape>
          <o:OLEObject Type="Embed" ProgID="Equation.DSMT4" ShapeID="_x0000_i1208" DrawAspect="Content" ObjectID="_1324893747" r:id="rId378"/>
        </w:object>
      </w:r>
      <w:r w:rsidRPr="00802C03">
        <w:rPr>
          <w:rFonts w:ascii="Garamond" w:hAnsi="Garamond"/>
          <w:vertAlign w:val="superscript"/>
          <w:lang w:val="en-GB"/>
        </w:rPr>
        <w:t xml:space="preserve"> </w:t>
      </w:r>
      <w:r w:rsidRPr="00802C03">
        <w:rPr>
          <w:rFonts w:ascii="Garamond" w:hAnsi="Garamond"/>
          <w:lang w:val="en-GB"/>
        </w:rPr>
        <w:t>percentile (</w:t>
      </w:r>
      <w:r w:rsidRPr="00100BDF">
        <w:rPr>
          <w:rFonts w:ascii="Garamond" w:hAnsi="Garamond"/>
          <w:position w:val="-10"/>
          <w:lang w:val="en-GB"/>
        </w:rPr>
        <w:object w:dxaOrig="840" w:dyaOrig="279">
          <v:shape id="_x0000_i1209" type="#_x0000_t75" style="width:41.25pt;height:13.5pt" o:ole="">
            <v:imagedata r:id="rId379" o:title=""/>
          </v:shape>
          <o:OLEObject Type="Embed" ProgID="Equation.DSMT4" ShapeID="_x0000_i1209" DrawAspect="Content" ObjectID="_1324893748" r:id="rId380"/>
        </w:object>
      </w:r>
      <w:r w:rsidRPr="00802C03">
        <w:rPr>
          <w:rFonts w:ascii="Garamond" w:hAnsi="Garamond"/>
          <w:lang w:val="en-GB"/>
        </w:rPr>
        <w:t xml:space="preserve"> for the 99.9% confidence interval) is estimated with </w:t>
      </w:r>
      <w:r w:rsidRPr="00100BDF">
        <w:rPr>
          <w:rFonts w:ascii="Garamond" w:hAnsi="Garamond"/>
          <w:position w:val="-4"/>
          <w:lang w:val="en-GB"/>
        </w:rPr>
        <w:object w:dxaOrig="240" w:dyaOrig="220">
          <v:shape id="_x0000_i1210" type="#_x0000_t75" style="width:12pt;height:11.25pt" o:ole="">
            <v:imagedata r:id="rId381" o:title=""/>
          </v:shape>
          <o:OLEObject Type="Embed" ProgID="Equation.DSMT4" ShapeID="_x0000_i1210" DrawAspect="Content" ObjectID="_1324893749" r:id="rId382"/>
        </w:object>
      </w:r>
      <w:r w:rsidRPr="00802C03">
        <w:rPr>
          <w:rFonts w:ascii="Garamond" w:hAnsi="Garamond"/>
          <w:lang w:val="en-GB"/>
        </w:rPr>
        <w:t xml:space="preserve"> scenarios, the confidence bands at a particular </w:t>
      </w:r>
      <w:r w:rsidRPr="00100BDF">
        <w:rPr>
          <w:rFonts w:ascii="Garamond" w:hAnsi="Garamond"/>
          <w:position w:val="-6"/>
          <w:lang w:val="en-GB"/>
        </w:rPr>
        <w:object w:dxaOrig="220" w:dyaOrig="200">
          <v:shape id="_x0000_i1211" type="#_x0000_t75" style="width:11.25pt;height:9.75pt" o:ole="">
            <v:imagedata r:id="rId383" o:title=""/>
          </v:shape>
          <o:OLEObject Type="Embed" ProgID="Equation.DSMT4" ShapeID="_x0000_i1211" DrawAspect="Content" ObjectID="_1324893750" r:id="rId384"/>
        </w:object>
      </w:r>
      <w:r w:rsidRPr="00802C03">
        <w:rPr>
          <w:rFonts w:ascii="Garamond" w:hAnsi="Garamond" w:cs="NimbusRomNo9L-Regu"/>
          <w:lang w:val="en-GB" w:eastAsia="nl-NL"/>
        </w:rPr>
        <w:t>-level           (</w:t>
      </w:r>
      <w:r w:rsidRPr="00100BDF">
        <w:rPr>
          <w:rFonts w:ascii="Garamond" w:hAnsi="Garamond" w:cs="NimbusRomNo9L-Regu"/>
          <w:position w:val="-6"/>
          <w:lang w:val="en-GB" w:eastAsia="nl-NL"/>
        </w:rPr>
        <w:object w:dxaOrig="840" w:dyaOrig="240">
          <v:shape id="_x0000_i1212" type="#_x0000_t75" style="width:41.25pt;height:12pt" o:ole="">
            <v:imagedata r:id="rId385" o:title=""/>
          </v:shape>
          <o:OLEObject Type="Embed" ProgID="Equation.DSMT4" ShapeID="_x0000_i1212" DrawAspect="Content" ObjectID="_1324893751" r:id="rId386"/>
        </w:object>
      </w:r>
      <w:r w:rsidRPr="00802C03">
        <w:rPr>
          <w:rFonts w:ascii="Garamond" w:hAnsi="Garamond" w:cs="NimbusRomNo9L-Regu"/>
          <w:lang w:val="en-GB" w:eastAsia="nl-NL"/>
        </w:rPr>
        <w:t xml:space="preserve"> for 95% two-tailed confidence bands) are calculated with the following formulas:</w:t>
      </w:r>
    </w:p>
    <w:p w:rsidR="001C7C52" w:rsidRPr="00802C03" w:rsidRDefault="001C7C52" w:rsidP="0085505D">
      <w:pPr>
        <w:tabs>
          <w:tab w:val="left" w:pos="567"/>
          <w:tab w:val="left" w:pos="2835"/>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t>Mean (</w:t>
      </w:r>
      <w:r w:rsidRPr="00100BDF">
        <w:rPr>
          <w:rFonts w:ascii="Garamond" w:hAnsi="Garamond" w:cs="NimbusRomNo9L-Regu"/>
          <w:position w:val="-6"/>
          <w:lang w:val="en-GB" w:eastAsia="nl-NL"/>
        </w:rPr>
        <w:object w:dxaOrig="220" w:dyaOrig="200">
          <v:shape id="_x0000_i1213" type="#_x0000_t75" style="width:11.25pt;height:9.75pt" o:ole="">
            <v:imagedata r:id="rId387" o:title=""/>
          </v:shape>
          <o:OLEObject Type="Embed" ProgID="Equation.DSMT4" ShapeID="_x0000_i1213" DrawAspect="Content" ObjectID="_1324893752" r:id="rId388"/>
        </w:object>
      </w:r>
      <w:r w:rsidRPr="00802C03">
        <w:rPr>
          <w:rFonts w:ascii="Garamond" w:hAnsi="Garamond" w:cs="NimbusRomNo9L-Regu"/>
          <w:lang w:val="en-GB" w:eastAsia="nl-NL"/>
        </w:rPr>
        <w:t>):</w:t>
      </w:r>
      <w:r w:rsidRPr="00802C03">
        <w:rPr>
          <w:rFonts w:ascii="Garamond" w:hAnsi="Garamond" w:cs="NimbusRomNo9L-Regu"/>
          <w:lang w:val="en-GB" w:eastAsia="nl-NL"/>
        </w:rPr>
        <w:tab/>
      </w:r>
      <w:r w:rsidRPr="00100BDF">
        <w:rPr>
          <w:rFonts w:ascii="Garamond" w:hAnsi="Garamond" w:cs="NimbusRomNo9L-Regu"/>
          <w:position w:val="-10"/>
          <w:lang w:val="en-GB" w:eastAsia="nl-NL"/>
        </w:rPr>
        <w:object w:dxaOrig="820" w:dyaOrig="279">
          <v:shape id="_x0000_i1214" type="#_x0000_t75" style="width:40.5pt;height:13.5pt" o:ole="">
            <v:imagedata r:id="rId389" o:title=""/>
          </v:shape>
          <o:OLEObject Type="Embed" ProgID="Equation.DSMT4" ShapeID="_x0000_i1214" DrawAspect="Content" ObjectID="_1324893753" r:id="rId390"/>
        </w:object>
      </w:r>
      <w:r w:rsidRPr="00802C03">
        <w:rPr>
          <w:rFonts w:ascii="Garamond" w:hAnsi="Garamond" w:cs="NimbusRomNo9L-Regu"/>
          <w:lang w:val="en-GB" w:eastAsia="nl-NL"/>
        </w:rPr>
        <w:t>,</w:t>
      </w:r>
      <w:r w:rsidRPr="00802C03">
        <w:rPr>
          <w:rFonts w:ascii="Garamond" w:hAnsi="Garamond" w:cs="NimbusRomNo9L-Regu"/>
          <w:lang w:val="en-GB" w:eastAsia="nl-NL"/>
        </w:rPr>
        <w:tab/>
        <w:t xml:space="preserve">(1.22) </w:t>
      </w:r>
    </w:p>
    <w:p w:rsidR="001C7C52" w:rsidRPr="00802C03" w:rsidRDefault="001C7C52" w:rsidP="0085505D">
      <w:pPr>
        <w:tabs>
          <w:tab w:val="left" w:pos="567"/>
          <w:tab w:val="left" w:pos="2835"/>
          <w:tab w:val="left" w:pos="8505"/>
        </w:tabs>
        <w:spacing w:before="120" w:line="320" w:lineRule="exact"/>
        <w:jc w:val="both"/>
        <w:rPr>
          <w:rFonts w:ascii="Garamond" w:hAnsi="Garamond" w:cs="NimbusRomNo9L-Regu"/>
          <w:lang w:val="en-GB" w:eastAsia="nl-NL"/>
        </w:rPr>
      </w:pPr>
      <w:r w:rsidRPr="00802C03">
        <w:rPr>
          <w:rFonts w:ascii="Garamond" w:hAnsi="Garamond" w:cs="NimbusRomNo9L-Regu"/>
          <w:lang w:val="en-GB" w:eastAsia="nl-NL"/>
        </w:rPr>
        <w:tab/>
        <w:t>Standard deviation (</w:t>
      </w:r>
      <w:r w:rsidRPr="00100BDF">
        <w:rPr>
          <w:rFonts w:ascii="Garamond" w:hAnsi="Garamond" w:cs="NimbusRomNo9L-Regu"/>
          <w:position w:val="-6"/>
          <w:lang w:val="en-GB" w:eastAsia="nl-NL"/>
        </w:rPr>
        <w:object w:dxaOrig="160" w:dyaOrig="200">
          <v:shape id="_x0000_i1215" type="#_x0000_t75" style="width:8.25pt;height:9.75pt" o:ole="">
            <v:imagedata r:id="rId391" o:title=""/>
          </v:shape>
          <o:OLEObject Type="Embed" ProgID="Equation.DSMT4" ShapeID="_x0000_i1215" DrawAspect="Content" ObjectID="_1324893754" r:id="rId392"/>
        </w:object>
      </w:r>
      <w:r w:rsidRPr="00802C03">
        <w:rPr>
          <w:rFonts w:ascii="Garamond" w:hAnsi="Garamond" w:cs="NimbusRomNo9L-Regu"/>
          <w:lang w:val="en-GB" w:eastAsia="nl-NL"/>
        </w:rPr>
        <w:t>):</w:t>
      </w:r>
      <w:r w:rsidRPr="00802C03">
        <w:rPr>
          <w:rFonts w:ascii="Garamond" w:hAnsi="Garamond" w:cs="NimbusRomNo9L-Regu"/>
          <w:position w:val="-6"/>
          <w:lang w:val="en-GB" w:eastAsia="nl-NL"/>
        </w:rPr>
        <w:tab/>
      </w:r>
      <w:r w:rsidRPr="00100BDF">
        <w:rPr>
          <w:rFonts w:ascii="Garamond" w:hAnsi="Garamond" w:cs="NimbusRomNo9L-Regu"/>
          <w:position w:val="-12"/>
          <w:lang w:val="en-GB" w:eastAsia="nl-NL"/>
        </w:rPr>
        <w:object w:dxaOrig="1520" w:dyaOrig="360">
          <v:shape id="_x0000_i1216" type="#_x0000_t75" style="width:75pt;height:18pt" o:ole="">
            <v:imagedata r:id="rId393" o:title=""/>
          </v:shape>
          <o:OLEObject Type="Embed" ProgID="Equation.DSMT4" ShapeID="_x0000_i1216" DrawAspect="Content" ObjectID="_1324893755" r:id="rId394"/>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t>(1.23)</w:t>
      </w:r>
    </w:p>
    <w:p w:rsidR="001C7C52" w:rsidRPr="00802C03" w:rsidRDefault="001C7C52" w:rsidP="0085505D">
      <w:pPr>
        <w:tabs>
          <w:tab w:val="left" w:pos="567"/>
          <w:tab w:val="left" w:pos="2835"/>
          <w:tab w:val="left" w:pos="8505"/>
        </w:tabs>
        <w:spacing w:before="12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Lower bound (</w:t>
      </w:r>
      <w:r w:rsidRPr="00100BDF">
        <w:rPr>
          <w:rFonts w:ascii="Garamond" w:hAnsi="Garamond" w:cs="NimbusRomNo9L-Regu"/>
          <w:position w:val="-6"/>
          <w:lang w:val="en-GB" w:eastAsia="nl-NL"/>
        </w:rPr>
        <w:object w:dxaOrig="139" w:dyaOrig="260">
          <v:shape id="_x0000_i1217" type="#_x0000_t75" style="width:6.75pt;height:13.5pt" o:ole="">
            <v:imagedata r:id="rId395" o:title=""/>
          </v:shape>
          <o:OLEObject Type="Embed" ProgID="Equation.DSMT4" ShapeID="_x0000_i1217" DrawAspect="Content" ObjectID="_1324893756" r:id="rId396"/>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r>
      <w:r w:rsidRPr="00100BDF">
        <w:rPr>
          <w:rFonts w:ascii="Garamond" w:hAnsi="Garamond" w:cs="NimbusRomNo9L-Regu"/>
          <w:position w:val="-12"/>
          <w:lang w:val="en-GB" w:eastAsia="nl-NL"/>
        </w:rPr>
        <w:object w:dxaOrig="3060" w:dyaOrig="360">
          <v:shape id="_x0000_i1218" type="#_x0000_t75" style="width:151.5pt;height:18pt" o:ole="">
            <v:imagedata r:id="rId397" o:title=""/>
          </v:shape>
          <o:OLEObject Type="Embed" ProgID="Equation.DSMT4" ShapeID="_x0000_i1218" DrawAspect="Content" ObjectID="_1324893757" r:id="rId398"/>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t>(1.24)</w:t>
      </w:r>
    </w:p>
    <w:p w:rsidR="001C7C52" w:rsidRPr="00802C03" w:rsidRDefault="001C7C52" w:rsidP="0085505D">
      <w:pPr>
        <w:tabs>
          <w:tab w:val="left" w:pos="567"/>
          <w:tab w:val="left" w:pos="2835"/>
          <w:tab w:val="left" w:pos="8505"/>
        </w:tabs>
        <w:spacing w:before="12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Upper bound (</w:t>
      </w:r>
      <w:r w:rsidRPr="00100BDF">
        <w:rPr>
          <w:rFonts w:ascii="Garamond" w:hAnsi="Garamond" w:cs="NimbusRomNo9L-Regu"/>
          <w:position w:val="-6"/>
          <w:lang w:val="en-GB" w:eastAsia="nl-NL"/>
        </w:rPr>
        <w:object w:dxaOrig="180" w:dyaOrig="200">
          <v:shape id="_x0000_i1219" type="#_x0000_t75" style="width:9pt;height:9.75pt" o:ole="">
            <v:imagedata r:id="rId399" o:title=""/>
          </v:shape>
          <o:OLEObject Type="Embed" ProgID="Equation.DSMT4" ShapeID="_x0000_i1219" DrawAspect="Content" ObjectID="_1324893758" r:id="rId400"/>
        </w:object>
      </w:r>
      <w:r w:rsidRPr="00802C03">
        <w:rPr>
          <w:rFonts w:ascii="Garamond" w:hAnsi="Garamond" w:cs="NimbusRomNo9L-Regu"/>
          <w:lang w:val="en-GB" w:eastAsia="nl-NL"/>
        </w:rPr>
        <w:t>):</w:t>
      </w:r>
      <w:r w:rsidRPr="00802C03">
        <w:rPr>
          <w:rFonts w:ascii="Garamond" w:hAnsi="Garamond" w:cs="NimbusRomNo9L-Regu"/>
          <w:lang w:val="en-GB" w:eastAsia="nl-NL"/>
        </w:rPr>
        <w:tab/>
      </w:r>
      <w:r w:rsidRPr="00100BDF">
        <w:rPr>
          <w:rFonts w:ascii="Garamond" w:hAnsi="Garamond" w:cs="NimbusRomNo9L-Regu"/>
          <w:position w:val="-12"/>
          <w:lang w:val="en-GB" w:eastAsia="nl-NL"/>
        </w:rPr>
        <w:object w:dxaOrig="3120" w:dyaOrig="360">
          <v:shape id="_x0000_i1220" type="#_x0000_t75" style="width:154.5pt;height:18pt" o:ole="">
            <v:imagedata r:id="rId401" o:title=""/>
          </v:shape>
          <o:OLEObject Type="Embed" ProgID="Equation.DSMT4" ShapeID="_x0000_i1220" DrawAspect="Content" ObjectID="_1324893759" r:id="rId402"/>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t>(1.25)</w:t>
      </w:r>
    </w:p>
    <w:p w:rsidR="001C7C52" w:rsidRPr="00802C03" w:rsidRDefault="001C7C52" w:rsidP="0085505D">
      <w:pPr>
        <w:spacing w:before="160" w:after="160" w:line="280" w:lineRule="exact"/>
        <w:ind w:left="567"/>
        <w:jc w:val="both"/>
        <w:rPr>
          <w:rFonts w:ascii="Garamond" w:hAnsi="Garamond"/>
          <w:lang w:val="en-GB"/>
        </w:rPr>
      </w:pPr>
      <w:r w:rsidRPr="00802C03">
        <w:rPr>
          <w:rFonts w:ascii="Garamond" w:hAnsi="Garamond" w:cs="NimbusRomNo9L-Regu"/>
          <w:lang w:val="en-GB" w:eastAsia="nl-NL"/>
        </w:rPr>
        <w:t xml:space="preserve">These expressions are the result of the assumption that the number of scenarios that fall below the true portfolio value at </w:t>
      </w:r>
      <w:r w:rsidRPr="00802C03">
        <w:rPr>
          <w:rFonts w:ascii="Garamond" w:hAnsi="Garamond"/>
          <w:lang w:val="en-GB"/>
        </w:rPr>
        <w:t xml:space="preserve">the </w:t>
      </w:r>
      <w:r w:rsidRPr="00100BDF">
        <w:rPr>
          <w:rFonts w:ascii="Garamond" w:hAnsi="Garamond"/>
          <w:position w:val="-10"/>
          <w:lang w:val="en-GB"/>
        </w:rPr>
        <w:object w:dxaOrig="300" w:dyaOrig="320">
          <v:shape id="_x0000_i1221" type="#_x0000_t75" style="width:15pt;height:15.75pt" o:ole="">
            <v:imagedata r:id="rId403" o:title=""/>
          </v:shape>
          <o:OLEObject Type="Embed" ProgID="Equation.DSMT4" ShapeID="_x0000_i1221" DrawAspect="Content" ObjectID="_1324893760" r:id="rId404"/>
        </w:object>
      </w:r>
      <w:r w:rsidRPr="00802C03">
        <w:rPr>
          <w:rFonts w:ascii="Garamond" w:hAnsi="Garamond"/>
          <w:vertAlign w:val="superscript"/>
          <w:lang w:val="en-GB"/>
        </w:rPr>
        <w:t xml:space="preserve"> </w:t>
      </w:r>
      <w:r w:rsidRPr="00802C03">
        <w:rPr>
          <w:rFonts w:ascii="Garamond" w:hAnsi="Garamond"/>
          <w:lang w:val="en-GB"/>
        </w:rPr>
        <w:t xml:space="preserve">percentile (i.e. the true mean </w:t>
      </w:r>
      <w:r w:rsidRPr="00100BDF">
        <w:rPr>
          <w:rFonts w:ascii="Garamond" w:hAnsi="Garamond"/>
          <w:position w:val="-6"/>
          <w:lang w:val="en-GB"/>
        </w:rPr>
        <w:object w:dxaOrig="220" w:dyaOrig="200">
          <v:shape id="_x0000_i1222" type="#_x0000_t75" style="width:11.25pt;height:9.75pt" o:ole="">
            <v:imagedata r:id="rId405" o:title=""/>
          </v:shape>
          <o:OLEObject Type="Embed" ProgID="Equation.DSMT4" ShapeID="_x0000_i1222" DrawAspect="Content" ObjectID="_1324893761" r:id="rId406"/>
        </w:object>
      </w:r>
      <w:r w:rsidRPr="00802C03">
        <w:rPr>
          <w:rFonts w:ascii="Garamond" w:hAnsi="Garamond"/>
          <w:lang w:val="en-GB"/>
        </w:rPr>
        <w:t>) follow a binominal distribution.</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lang w:val="en-GB"/>
        </w:rPr>
        <w:t>Eventually, following the Basel Committee’s requirement in determining the Incremental Risk Capital Charge, the 99.9% value-at-risk estimate is required. This value-at-risk measure is simply computed by subtracting the 99.9% percentile estimate (</w:t>
      </w:r>
      <w:r w:rsidRPr="00802C03">
        <w:rPr>
          <w:rFonts w:ascii="Garamond" w:hAnsi="Garamond" w:cs="NimbusRomNo9L-Regu"/>
          <w:lang w:val="en-GB" w:eastAsia="nl-NL"/>
        </w:rPr>
        <w:t>the mean in the formulas above) from the initial portfolio value, which is obviously known at the moment of the model estimation. This value, in value-at-risk terminology, is interpreted as the dollar amount that we do not expected to lose on the portfolio in 99.9% of the cases over the period of one year (under the assumption that the bank behaves according to the constant level of risk assumption).</w:t>
      </w:r>
    </w:p>
    <w:p w:rsidR="001C7C52" w:rsidRPr="00802C03" w:rsidRDefault="001C7C52" w:rsidP="002A7A99">
      <w:pPr>
        <w:spacing w:line="280" w:lineRule="exact"/>
        <w:jc w:val="both"/>
        <w:rPr>
          <w:rFonts w:ascii="Garamond" w:hAnsi="Garamond"/>
          <w:lang w:val="en-GB"/>
        </w:rPr>
      </w:pPr>
      <w:r w:rsidRPr="00802C03">
        <w:rPr>
          <w:rFonts w:ascii="Garamond" w:hAnsi="Garamond" w:cs="NimbusRomNo9L-Regu"/>
          <w:lang w:val="en-GB" w:eastAsia="nl-NL"/>
        </w:rPr>
        <w:t>The technical details in the generation of the model output obviously complete the construction of the multi-period simulation model. The only component of the model that has not been addressed yet is the correlation structure. Hence, the derivation of this correlation structure is addressed in the next section.</w:t>
      </w:r>
    </w:p>
    <w:p w:rsidR="001C7C52" w:rsidRPr="00802C03" w:rsidRDefault="001C7C52" w:rsidP="00CF6DB4">
      <w:pPr>
        <w:spacing w:line="280" w:lineRule="exact"/>
        <w:jc w:val="both"/>
        <w:rPr>
          <w:rFonts w:ascii="Garamond" w:hAnsi="Garamond" w:cs="NimbusRomNo9L-Regu"/>
          <w:lang w:val="en-GB" w:eastAsia="nl-NL"/>
        </w:rPr>
      </w:pPr>
    </w:p>
    <w:tbl>
      <w:tblPr>
        <w:tblW w:w="4349" w:type="dxa"/>
        <w:tblInd w:w="-1276" w:type="dxa"/>
        <w:tblLayout w:type="fixed"/>
        <w:tblCellMar>
          <w:left w:w="0" w:type="dxa"/>
          <w:right w:w="0" w:type="dxa"/>
        </w:tblCellMar>
        <w:tblLook w:val="00A0"/>
      </w:tblPr>
      <w:tblGrid>
        <w:gridCol w:w="709"/>
        <w:gridCol w:w="567"/>
        <w:gridCol w:w="3073"/>
      </w:tblGrid>
      <w:tr w:rsidR="001C7C52" w:rsidRPr="00802C03"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1.4</w:t>
            </w:r>
          </w:p>
        </w:tc>
        <w:tc>
          <w:tcPr>
            <w:tcW w:w="3073" w:type="dxa"/>
          </w:tcPr>
          <w:p w:rsidR="001C7C52" w:rsidRPr="002E2E49" w:rsidRDefault="001C7C52" w:rsidP="002E2E49">
            <w:pPr>
              <w:spacing w:line="280" w:lineRule="exact"/>
              <w:jc w:val="both"/>
              <w:rPr>
                <w:rFonts w:ascii="Garamond" w:hAnsi="Garamond" w:cs="NimbusRomNo9L-Regu"/>
                <w:lang w:val="en-GB" w:eastAsia="nl-NL"/>
              </w:rPr>
            </w:pPr>
            <w:bookmarkStart w:id="19" w:name="S140"/>
            <w:bookmarkEnd w:id="19"/>
            <w:r w:rsidRPr="002E2E49">
              <w:rPr>
                <w:rFonts w:ascii="Garamond" w:hAnsi="Garamond" w:cs="NimbusRomNo9L-Regu"/>
                <w:b/>
                <w:lang w:val="en-GB" w:eastAsia="nl-NL"/>
              </w:rPr>
              <w:t>T</w:t>
            </w:r>
            <w:r w:rsidRPr="002E2E49">
              <w:rPr>
                <w:rFonts w:ascii="Garamond" w:hAnsi="Garamond" w:cs="NimbusRomNo9L-Regu"/>
                <w:b/>
                <w:sz w:val="18"/>
                <w:szCs w:val="18"/>
                <w:lang w:val="en-GB" w:eastAsia="nl-NL"/>
              </w:rPr>
              <w:t>HE</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ORRELATION</w:t>
            </w:r>
            <w:r w:rsidRPr="002E2E49">
              <w:rPr>
                <w:rFonts w:ascii="Garamond" w:hAnsi="Garamond" w:cs="NimbusRomNo9L-Regu"/>
                <w:b/>
                <w:lang w:val="en-GB" w:eastAsia="nl-NL"/>
              </w:rPr>
              <w:t xml:space="preserve"> S</w:t>
            </w:r>
            <w:r w:rsidRPr="002E2E49">
              <w:rPr>
                <w:rFonts w:ascii="Garamond" w:hAnsi="Garamond" w:cs="NimbusRomNo9L-Regu"/>
                <w:b/>
                <w:sz w:val="18"/>
                <w:szCs w:val="18"/>
                <w:lang w:val="en-GB" w:eastAsia="nl-NL"/>
              </w:rPr>
              <w:t>TRUCTURE</w:t>
            </w:r>
          </w:p>
        </w:tc>
      </w:tr>
    </w:tbl>
    <w:p w:rsidR="001C7C52" w:rsidRPr="00802C03" w:rsidRDefault="001C7C52" w:rsidP="005B3319">
      <w:pPr>
        <w:spacing w:before="160" w:line="280" w:lineRule="exact"/>
        <w:jc w:val="both"/>
        <w:rPr>
          <w:rFonts w:ascii="Garamond" w:hAnsi="Garamond"/>
          <w:lang w:val="en-GB"/>
        </w:rPr>
      </w:pPr>
      <w:r w:rsidRPr="00802C03">
        <w:rPr>
          <w:rFonts w:ascii="Garamond" w:hAnsi="Garamond"/>
          <w:lang w:val="en-GB"/>
        </w:rPr>
        <w:t xml:space="preserve">The correlation structure within the model is the system of correlations between all simulated issuer asset returns. Needless to state in a simulation model, the correlation structure must display a close resemblance with what is observed in the relevant financial markets. In essence, the correlation structure handles the interactions between the credit risk of the different positions and between the different periods in the model. Since the issuer asset returns are simply random variables from a pre-specified distribution, the construction of the correlation structure primarily revolves around the generation of correlated random variables. </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Before advancing to the technical details, first, the objectives that must realized within the multi-period correlation structure of the proposed incremental risk model must be addressed. Moreover, the definitions that are required to achieve this correlation structure must be specified.</w:t>
      </w:r>
    </w:p>
    <w:p w:rsidR="001C7C52" w:rsidRPr="00802C03" w:rsidRDefault="001C7C52" w:rsidP="006851C7">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1.4.1</w:t>
      </w:r>
      <w:r w:rsidRPr="00802C03">
        <w:rPr>
          <w:rFonts w:ascii="Garamond" w:hAnsi="Garamond"/>
          <w:b/>
          <w:lang w:val="en-GB"/>
        </w:rPr>
        <w:tab/>
      </w:r>
      <w:bookmarkStart w:id="20" w:name="S141"/>
      <w:bookmarkEnd w:id="20"/>
      <w:r w:rsidRPr="00802C03">
        <w:rPr>
          <w:rFonts w:ascii="Garamond" w:hAnsi="Garamond"/>
          <w:b/>
          <w:lang w:val="en-GB"/>
        </w:rPr>
        <w:t>Objectives and Definitions in the Correlation Structure</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 xml:space="preserve">Essentially, there are three objectives that need to be achieved within the correlations structure of the incremental risk model, such that it contains the required descriptive qualities. Similar to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it is assumed that asset values (or returns) are the key drivers in the credit quality of issuers. Consequently, asset correlations, between issuers or between periods, should capture the relations in changes in issuer credit quality between issuers or through time. In this, it is of vital importance that credit quality correlations are properly captured in a credit risk model that assesses complete portfolio. Correlations can generate an enormous amount of additional risk in the portfolio context, when the credit quality of its underlying issuers strongly moves together. Therefore, the first objective is, as in the CreditMetrics model, to describe the correlations between the issuers underlying the credit products in the portfolio. When the proper issuer correlations are incorporated into the correlation structure of the proposed incremental risk model, then the interactions are accurately captured between the default and migration risks underlying all single positions in a cross-sectional dimension.</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The second objective is brought into existence by the multi-period setting of the model. Since a multi-period model also has a time-series dimension, it would make sense to not only incorporate issuer correlations but also incorporate issuer asset autocorrelations. In fact, to construct a realistic simulation of reality, issuer returns should be auto-correlated, as autocorrelation and momentum are among the most commonly observed features of financial return data. In efficient markets, it is typically assumed that market moves in one period are uncorrelated to the next. However, with ratings and defaults, it is difficult to argue for market efficiency, as effects like rating drift are well documented in the literature (</w:t>
      </w:r>
      <w:hyperlink w:anchor="Altman_Kao_1992a" w:history="1">
        <w:r w:rsidRPr="00802C03">
          <w:rPr>
            <w:rStyle w:val="Hyperlink"/>
            <w:rFonts w:ascii="Garamond" w:hAnsi="Garamond"/>
            <w:color w:val="000066"/>
            <w:u w:val="none"/>
            <w:lang w:val="en-GB"/>
          </w:rPr>
          <w:t>Altman &amp; Kao, 1992a</w:t>
        </w:r>
      </w:hyperlink>
      <w:r w:rsidRPr="0010611B">
        <w:rPr>
          <w:rFonts w:ascii="Garamond" w:hAnsi="Garamond"/>
          <w:lang w:val="en-US"/>
        </w:rPr>
        <w:t>,</w:t>
      </w:r>
      <w:r w:rsidRPr="00802C03">
        <w:rPr>
          <w:rFonts w:ascii="Garamond" w:hAnsi="Garamond"/>
          <w:lang w:val="en-GB"/>
        </w:rPr>
        <w:t xml:space="preserve"> </w:t>
      </w:r>
      <w:hyperlink w:anchor="Altman_Kao_1992b" w:history="1">
        <w:r w:rsidRPr="00802C03">
          <w:rPr>
            <w:rStyle w:val="Hyperlink"/>
            <w:rFonts w:ascii="Garamond" w:hAnsi="Garamond"/>
            <w:color w:val="000066"/>
            <w:u w:val="none"/>
            <w:lang w:val="en-GB"/>
          </w:rPr>
          <w:t>1992b</w:t>
        </w:r>
      </w:hyperlink>
      <w:r w:rsidRPr="00802C03">
        <w:rPr>
          <w:rFonts w:ascii="Garamond" w:hAnsi="Garamond"/>
          <w:lang w:val="en-GB"/>
        </w:rPr>
        <w:t>).</w:t>
      </w:r>
      <w:r w:rsidRPr="00802C03">
        <w:rPr>
          <w:rStyle w:val="FootnoteReference"/>
          <w:rFonts w:ascii="Garamond" w:hAnsi="Garamond"/>
          <w:lang w:val="en-GB"/>
        </w:rPr>
        <w:footnoteReference w:id="23"/>
      </w:r>
      <w:r w:rsidRPr="00802C03">
        <w:rPr>
          <w:rFonts w:ascii="Garamond" w:hAnsi="Garamond"/>
          <w:lang w:val="en-GB"/>
        </w:rPr>
        <w:t xml:space="preserve"> An underlying autocorrelation structure in the period-to-period migration risk specification effectively ensures that rating drift is introduced in the simulation system. In the relevant literature, discussed in </w:t>
      </w:r>
      <w:hyperlink w:anchor="S216" w:history="1">
        <w:r w:rsidRPr="00802C03">
          <w:rPr>
            <w:rStyle w:val="Hyperlink"/>
            <w:rFonts w:ascii="Garamond" w:hAnsi="Garamond"/>
            <w:color w:val="000066"/>
            <w:u w:val="none"/>
            <w:lang w:val="en-GB"/>
          </w:rPr>
          <w:t>Part II section 2.1.6</w:t>
        </w:r>
      </w:hyperlink>
      <w:r w:rsidRPr="00802C03">
        <w:rPr>
          <w:rFonts w:ascii="Garamond" w:hAnsi="Garamond"/>
          <w:lang w:val="en-GB"/>
        </w:rPr>
        <w:t>, it is demonstrated that rating drift is an exceedingly important factor to take into account in describing the dynamics of credit migrations. In summary, issuer asset autocorrelations account for another source of risk within the incremental risk model. Hence, it is no more than prudent to incorporate it in the correlation structure of the model.</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The last objective is to allow for a realistic nature of asset correlations in the correlation structure. The CreditMetrics model assumes the relation between issuer to be linear, as common linear correlations are used to statistically describe the relations. Moreover, it is assumed that the correlations are of Gaussian nature, while there are better specifications of the behavio</w:t>
      </w:r>
      <w:r>
        <w:rPr>
          <w:rFonts w:ascii="Garamond" w:hAnsi="Garamond"/>
          <w:lang w:val="en-GB"/>
        </w:rPr>
        <w:t>u</w:t>
      </w:r>
      <w:r w:rsidRPr="00802C03">
        <w:rPr>
          <w:rFonts w:ascii="Garamond" w:hAnsi="Garamond"/>
          <w:lang w:val="en-GB"/>
        </w:rPr>
        <w:t xml:space="preserve">r of asset correlations available. The linearity assumption is left untouched, yet besides the Gaussian assumption made by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the opportunity is created for a much more realistic </w:t>
      </w:r>
      <w:r w:rsidRPr="00802C03">
        <w:rPr>
          <w:rFonts w:ascii="Garamond" w:hAnsi="Garamond"/>
          <w:i/>
          <w:lang w:val="en-GB"/>
        </w:rPr>
        <w:t>t</w:t>
      </w:r>
      <w:r w:rsidRPr="00802C03">
        <w:rPr>
          <w:rFonts w:ascii="Garamond" w:hAnsi="Garamond"/>
          <w:lang w:val="en-GB"/>
        </w:rPr>
        <w:t xml:space="preserve">-Student specification in the correlation structure. More details on the theoretical backgrounds of this specification are provided in </w:t>
      </w:r>
      <w:hyperlink w:anchor="S142" w:history="1">
        <w:r w:rsidRPr="00802C03">
          <w:rPr>
            <w:rStyle w:val="Hyperlink"/>
            <w:rFonts w:ascii="Garamond" w:hAnsi="Garamond"/>
            <w:color w:val="000066"/>
            <w:u w:val="none"/>
            <w:lang w:val="en-GB"/>
          </w:rPr>
          <w:t>section 1.4.2</w:t>
        </w:r>
      </w:hyperlink>
      <w:r w:rsidRPr="00802C03">
        <w:rPr>
          <w:rFonts w:ascii="Garamond" w:hAnsi="Garamond"/>
          <w:lang w:val="en-GB"/>
        </w:rPr>
        <w:t xml:space="preserve"> below. </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Another important aspect in the creation of the correlation structure obviously is the guidelines and requirements as set forth by the Basel Committee. The incremental risk model guidelines state that correlation assumptions must be supported by analysis of objective data.</w:t>
      </w:r>
      <w:r w:rsidRPr="00802C03">
        <w:rPr>
          <w:rStyle w:val="FootnoteReference"/>
          <w:rFonts w:ascii="Garamond" w:hAnsi="Garamond"/>
          <w:lang w:val="en-GB"/>
        </w:rPr>
        <w:footnoteReference w:id="24"/>
      </w:r>
      <w:r w:rsidRPr="00802C03">
        <w:rPr>
          <w:rFonts w:ascii="Garamond" w:hAnsi="Garamond"/>
          <w:lang w:val="en-GB"/>
        </w:rPr>
        <w:t xml:space="preserve"> The validation requirements state that the implied issuer correlations (the result of the correlation structure) should be reasonably in line with observed annual correlations. These statements are incorporated by estimating issuer correlations with the use of observed financial data. The applied methodologies are described in </w:t>
      </w:r>
      <w:hyperlink w:anchor="S220" w:history="1">
        <w:r w:rsidRPr="00802C03">
          <w:rPr>
            <w:rStyle w:val="Hyperlink"/>
            <w:rFonts w:ascii="Garamond" w:hAnsi="Garamond"/>
            <w:color w:val="000066"/>
            <w:u w:val="none"/>
            <w:lang w:val="en-GB"/>
          </w:rPr>
          <w:t>Part II section 2.2</w:t>
        </w:r>
      </w:hyperlink>
      <w:r w:rsidRPr="00802C03">
        <w:rPr>
          <w:rFonts w:ascii="Garamond" w:hAnsi="Garamond"/>
          <w:lang w:val="en-GB"/>
        </w:rPr>
        <w:t xml:space="preserve">. Basically, these estimated or observed issuer correlations provide the input correlations to which the correlation structure is calibrated, effectively complying with the Basel Committee’s validation </w:t>
      </w:r>
      <w:r>
        <w:rPr>
          <w:rFonts w:ascii="Garamond" w:hAnsi="Garamond"/>
          <w:lang w:val="en-GB"/>
        </w:rPr>
        <w:t>require</w:t>
      </w:r>
      <w:r w:rsidRPr="00802C03">
        <w:rPr>
          <w:rFonts w:ascii="Garamond" w:hAnsi="Garamond"/>
          <w:lang w:val="en-GB"/>
        </w:rPr>
        <w:t>ment</w:t>
      </w:r>
      <w:r>
        <w:rPr>
          <w:rFonts w:ascii="Garamond" w:hAnsi="Garamond"/>
          <w:lang w:val="en-GB"/>
        </w:rPr>
        <w:t>s</w:t>
      </w:r>
      <w:r w:rsidRPr="00802C03">
        <w:rPr>
          <w:rFonts w:ascii="Garamond" w:hAnsi="Garamond"/>
          <w:lang w:val="en-GB"/>
        </w:rPr>
        <w:t>. Note that the Basel Committee state</w:t>
      </w:r>
      <w:r>
        <w:rPr>
          <w:rFonts w:ascii="Garamond" w:hAnsi="Garamond"/>
          <w:lang w:val="en-GB"/>
        </w:rPr>
        <w:t>s</w:t>
      </w:r>
      <w:r w:rsidRPr="00802C03">
        <w:rPr>
          <w:rFonts w:ascii="Garamond" w:hAnsi="Garamond"/>
          <w:lang w:val="en-GB"/>
        </w:rPr>
        <w:t xml:space="preserve"> nothing about the subject of autocorrelation. Nevertheless, it is incorporated in the correlation structure as it should </w:t>
      </w:r>
      <w:r>
        <w:rPr>
          <w:rFonts w:ascii="Garamond" w:hAnsi="Garamond"/>
          <w:lang w:val="en-GB"/>
        </w:rPr>
        <w:t>enhance</w:t>
      </w:r>
      <w:r w:rsidRPr="00802C03">
        <w:rPr>
          <w:rFonts w:ascii="Garamond" w:hAnsi="Garamond"/>
          <w:lang w:val="en-GB"/>
        </w:rPr>
        <w:t xml:space="preserve"> the accuracy of the proposed incremental risk model.</w:t>
      </w:r>
    </w:p>
    <w:p w:rsidR="001C7C52" w:rsidRPr="00802C03" w:rsidRDefault="001C7C52" w:rsidP="00A76792">
      <w:pPr>
        <w:spacing w:line="160" w:lineRule="exact"/>
        <w:jc w:val="both"/>
        <w:rPr>
          <w:rFonts w:ascii="Garamond" w:hAnsi="Garamond"/>
          <w:lang w:val="en-GB"/>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lang w:val="en-GB"/>
        </w:rPr>
        <w:t xml:space="preserve">In the creation of the proper correlation structure, first the term ‘implied correlation’ has to be defined in its context. To accomplish this, the very nature of the simulated issuer asset returns must be described. Each (three-month) single-period simulated issuer asset return </w:t>
      </w:r>
      <w:r w:rsidRPr="00802C03">
        <w:rPr>
          <w:rFonts w:ascii="Garamond" w:hAnsi="Garamond" w:cs="NimbusRomNo9L-Regu"/>
          <w:lang w:val="en-GB" w:eastAsia="nl-NL"/>
        </w:rPr>
        <w:t>(</w:t>
      </w:r>
      <w:r w:rsidRPr="00100BDF">
        <w:rPr>
          <w:rFonts w:ascii="Garamond" w:hAnsi="Garamond" w:cs="NimbusRomNo9L-Regu"/>
          <w:position w:val="-10"/>
          <w:lang w:val="en-GB" w:eastAsia="nl-NL"/>
        </w:rPr>
        <w:object w:dxaOrig="340" w:dyaOrig="320">
          <v:shape id="_x0000_i1223" type="#_x0000_t75" style="width:16.5pt;height:15.75pt" o:ole="">
            <v:imagedata r:id="rId407" o:title=""/>
          </v:shape>
          <o:OLEObject Type="Embed" ProgID="Equation.DSMT4" ShapeID="_x0000_i1223" DrawAspect="Content" ObjectID="_1324893762" r:id="rId408"/>
        </w:object>
      </w:r>
      <w:r w:rsidRPr="00802C03">
        <w:rPr>
          <w:rFonts w:ascii="Garamond" w:hAnsi="Garamond" w:cs="NimbusRomNo9L-Regu"/>
          <w:lang w:val="en-GB" w:eastAsia="nl-NL"/>
        </w:rPr>
        <w:t xml:space="preserve">) underlying each credit product </w:t>
      </w:r>
      <w:r w:rsidRPr="00100BDF">
        <w:rPr>
          <w:rFonts w:ascii="Garamond" w:hAnsi="Garamond" w:cs="NimbusRomNo9L-Regu"/>
          <w:position w:val="-6"/>
          <w:lang w:val="en-GB" w:eastAsia="nl-NL"/>
        </w:rPr>
        <w:object w:dxaOrig="139" w:dyaOrig="240">
          <v:shape id="_x0000_i1224" type="#_x0000_t75" style="width:6.75pt;height:12pt" o:ole="">
            <v:imagedata r:id="rId409" o:title=""/>
          </v:shape>
          <o:OLEObject Type="Embed" ProgID="Equation.DSMT4" ShapeID="_x0000_i1224" DrawAspect="Content" ObjectID="_1324893763" r:id="rId410"/>
        </w:object>
      </w:r>
      <w:r w:rsidRPr="00802C03">
        <w:rPr>
          <w:rFonts w:ascii="Garamond" w:hAnsi="Garamond" w:cs="NimbusRomNo9L-Regu"/>
          <w:lang w:val="en-GB" w:eastAsia="nl-NL"/>
        </w:rPr>
        <w:t xml:space="preserve"> at time </w:t>
      </w:r>
      <w:r w:rsidRPr="00100BDF">
        <w:rPr>
          <w:rFonts w:ascii="Garamond" w:hAnsi="Garamond" w:cs="NimbusRomNo9L-Regu"/>
          <w:position w:val="-6"/>
          <w:lang w:val="en-GB" w:eastAsia="nl-NL"/>
        </w:rPr>
        <w:object w:dxaOrig="139" w:dyaOrig="220">
          <v:shape id="_x0000_i1225" type="#_x0000_t75" style="width:6.75pt;height:11.25pt" o:ole="">
            <v:imagedata r:id="rId411" o:title=""/>
          </v:shape>
          <o:OLEObject Type="Embed" ProgID="Equation.DSMT4" ShapeID="_x0000_i1225" DrawAspect="Content" ObjectID="_1324893764" r:id="rId412"/>
        </w:object>
      </w:r>
      <w:r w:rsidRPr="00802C03">
        <w:rPr>
          <w:rFonts w:ascii="Garamond" w:hAnsi="Garamond"/>
          <w:lang w:val="en-GB"/>
        </w:rPr>
        <w:t xml:space="preserve"> (in months) is defined as a </w:t>
      </w:r>
      <w:r w:rsidRPr="00802C03">
        <w:rPr>
          <w:rFonts w:ascii="Garamond" w:hAnsi="Garamond" w:cs="NimbusRomNo9L-Regu"/>
          <w:lang w:val="en-GB" w:eastAsia="nl-NL"/>
        </w:rPr>
        <w:t>normally distributed log return:</w:t>
      </w:r>
    </w:p>
    <w:p w:rsidR="001C7C52" w:rsidRPr="00802C03" w:rsidRDefault="001C7C52" w:rsidP="000A5FD9">
      <w:pPr>
        <w:tabs>
          <w:tab w:val="left" w:pos="567"/>
          <w:tab w:val="left" w:pos="8505"/>
        </w:tabs>
        <w:spacing w:before="8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28"/>
          <w:lang w:val="en-GB" w:eastAsia="nl-NL"/>
        </w:rPr>
        <w:object w:dxaOrig="2060" w:dyaOrig="660">
          <v:shape id="_x0000_i1226" type="#_x0000_t75" style="width:102.75pt;height:33pt" o:ole="">
            <v:imagedata r:id="rId413" o:title=""/>
          </v:shape>
          <o:OLEObject Type="Embed" ProgID="Equation.DSMT4" ShapeID="_x0000_i1226" DrawAspect="Content" ObjectID="_1324893765" r:id="rId414"/>
        </w:object>
      </w:r>
      <w:r w:rsidRPr="00802C03">
        <w:rPr>
          <w:rFonts w:ascii="Garamond" w:hAnsi="Garamond" w:cs="NimbusRomNo9L-Regu"/>
          <w:lang w:val="en-GB" w:eastAsia="nl-NL"/>
        </w:rPr>
        <w:t>,</w:t>
      </w:r>
      <w:r w:rsidRPr="00802C03">
        <w:rPr>
          <w:rFonts w:ascii="Garamond" w:hAnsi="Garamond" w:cs="NimbusRomNo9L-Regu"/>
          <w:lang w:val="en-GB" w:eastAsia="nl-NL"/>
        </w:rPr>
        <w:tab/>
        <w:t>(1.26)</w:t>
      </w:r>
    </w:p>
    <w:p w:rsidR="001C7C52" w:rsidRPr="00802C03" w:rsidRDefault="001C7C52" w:rsidP="006B6C0B">
      <w:pPr>
        <w:spacing w:before="60" w:after="160" w:line="280" w:lineRule="exact"/>
        <w:jc w:val="both"/>
        <w:rPr>
          <w:rFonts w:ascii="Garamond" w:hAnsi="Garamond" w:cs="NimbusRomNo9L-Regu"/>
          <w:lang w:val="en-GB" w:eastAsia="nl-NL"/>
        </w:rPr>
      </w:pPr>
      <w:r w:rsidRPr="00802C03">
        <w:rPr>
          <w:rFonts w:ascii="Garamond" w:hAnsi="Garamond" w:cs="NimbusRomNo9L-Regu"/>
          <w:lang w:val="en-GB" w:eastAsia="nl-NL"/>
        </w:rPr>
        <w:tab/>
        <w:t xml:space="preserve">where </w:t>
      </w:r>
      <w:r w:rsidRPr="00100BDF">
        <w:rPr>
          <w:rFonts w:ascii="Garamond" w:hAnsi="Garamond" w:cs="NimbusRomNo9L-Regu"/>
          <w:position w:val="-10"/>
          <w:lang w:val="en-GB" w:eastAsia="nl-NL"/>
        </w:rPr>
        <w:object w:dxaOrig="279" w:dyaOrig="300">
          <v:shape id="_x0000_i1227" type="#_x0000_t75" style="width:13.5pt;height:15pt" o:ole="">
            <v:imagedata r:id="rId415" o:title=""/>
          </v:shape>
          <o:OLEObject Type="Embed" ProgID="Equation.DSMT4" ShapeID="_x0000_i1227" DrawAspect="Content" ObjectID="_1324893766" r:id="rId416"/>
        </w:object>
      </w:r>
      <w:r w:rsidRPr="00802C03">
        <w:rPr>
          <w:rFonts w:ascii="Garamond" w:hAnsi="Garamond" w:cs="NimbusRomNo9L-Regu"/>
          <w:lang w:val="en-GB" w:eastAsia="nl-NL"/>
        </w:rPr>
        <w:t xml:space="preserve"> is the value of the issuer’s assets at time </w:t>
      </w:r>
      <w:r w:rsidRPr="00100BDF">
        <w:rPr>
          <w:rFonts w:ascii="Garamond" w:hAnsi="Garamond" w:cs="NimbusRomNo9L-Regu"/>
          <w:position w:val="-6"/>
          <w:lang w:val="en-GB" w:eastAsia="nl-NL"/>
        </w:rPr>
        <w:object w:dxaOrig="139" w:dyaOrig="220">
          <v:shape id="_x0000_i1228" type="#_x0000_t75" style="width:6.75pt;height:11.25pt" o:ole="">
            <v:imagedata r:id="rId417" o:title=""/>
          </v:shape>
          <o:OLEObject Type="Embed" ProgID="Equation.DSMT4" ShapeID="_x0000_i1228" DrawAspect="Content" ObjectID="_1324893767" r:id="rId418"/>
        </w:object>
      </w:r>
      <w:r w:rsidRPr="00802C03">
        <w:rPr>
          <w:rFonts w:ascii="Garamond" w:hAnsi="Garamond" w:cs="NimbusRomNo9L-Regu"/>
          <w:lang w:val="en-GB" w:eastAsia="nl-NL"/>
        </w:rPr>
        <w: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This single-period return is a standard normally distributed random variable that is used as a simulated issuer asset return and will be referred to as </w:t>
      </w:r>
      <w:r w:rsidRPr="00802C03">
        <w:rPr>
          <w:rFonts w:ascii="Garamond" w:hAnsi="Garamond" w:cs="NimbusRomNo9L-Regu"/>
          <w:i/>
          <w:lang w:val="en-GB" w:eastAsia="nl-NL"/>
        </w:rPr>
        <w:t>single-period issuer asset return</w:t>
      </w:r>
      <w:r w:rsidRPr="00802C03">
        <w:rPr>
          <w:rFonts w:ascii="Garamond" w:hAnsi="Garamond" w:cs="NimbusRomNo9L-Regu"/>
          <w:lang w:val="en-GB" w:eastAsia="nl-NL"/>
        </w:rPr>
        <w:t xml:space="preserve"> in the remainder of the study. Notice that the simulated issuer asset return inputs in the simulation model (</w:t>
      </w:r>
      <w:r w:rsidRPr="00100BDF">
        <w:rPr>
          <w:rFonts w:ascii="Garamond" w:hAnsi="Garamond" w:cs="NimbusRomNo9L-Regu"/>
          <w:position w:val="-10"/>
          <w:lang w:val="en-GB" w:eastAsia="nl-NL"/>
        </w:rPr>
        <w:object w:dxaOrig="279" w:dyaOrig="300">
          <v:shape id="_x0000_i1229" type="#_x0000_t75" style="width:13.5pt;height:15pt" o:ole="">
            <v:imagedata r:id="rId419" o:title=""/>
          </v:shape>
          <o:OLEObject Type="Embed" ProgID="Equation.DSMT4" ShapeID="_x0000_i1229" DrawAspect="Content" ObjectID="_1324893768" r:id="rId420"/>
        </w:object>
      </w:r>
      <w:r w:rsidRPr="00802C03">
        <w:rPr>
          <w:rFonts w:ascii="Garamond" w:hAnsi="Garamond" w:cs="NimbusRomNo9L-Regu"/>
          <w:lang w:val="en-GB" w:eastAsia="nl-NL"/>
        </w:rPr>
        <w:t>) are in fact the same variable (</w:t>
      </w:r>
      <w:r w:rsidRPr="00100BDF">
        <w:rPr>
          <w:rFonts w:ascii="Garamond" w:hAnsi="Garamond" w:cs="NimbusRomNo9L-Regu"/>
          <w:position w:val="-10"/>
          <w:lang w:val="en-GB" w:eastAsia="nl-NL"/>
        </w:rPr>
        <w:object w:dxaOrig="780" w:dyaOrig="320">
          <v:shape id="_x0000_i1230" type="#_x0000_t75" style="width:38.25pt;height:15.75pt" o:ole="">
            <v:imagedata r:id="rId421" o:title=""/>
          </v:shape>
          <o:OLEObject Type="Embed" ProgID="Equation.DSMT4" ShapeID="_x0000_i1230" DrawAspect="Content" ObjectID="_1324893769" r:id="rId422"/>
        </w:object>
      </w:r>
      <w:r w:rsidRPr="00802C03">
        <w:rPr>
          <w:rFonts w:ascii="Garamond" w:hAnsi="Garamond" w:cs="NimbusRomNo9L-Regu"/>
          <w:lang w:val="en-GB" w:eastAsia="nl-NL"/>
        </w:rPr>
        <w:t>), since the correlation structure is used to create these inputs.</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As a result of the logarithmic specification, the simulated annual issuer return (</w:t>
      </w:r>
      <w:r w:rsidRPr="00100BDF">
        <w:rPr>
          <w:rFonts w:ascii="Garamond" w:hAnsi="Garamond" w:cs="NimbusRomNo9L-Regu"/>
          <w:position w:val="-10"/>
          <w:lang w:val="en-GB" w:eastAsia="nl-NL"/>
        </w:rPr>
        <w:object w:dxaOrig="440" w:dyaOrig="320">
          <v:shape id="_x0000_i1231" type="#_x0000_t75" style="width:21.75pt;height:15.75pt" o:ole="">
            <v:imagedata r:id="rId423" o:title=""/>
          </v:shape>
          <o:OLEObject Type="Embed" ProgID="Equation.DSMT4" ShapeID="_x0000_i1231" DrawAspect="Content" ObjectID="_1324893770" r:id="rId424"/>
        </w:object>
      </w:r>
      <w:r w:rsidRPr="00802C03">
        <w:rPr>
          <w:rFonts w:ascii="Garamond" w:hAnsi="Garamond" w:cs="NimbusRomNo9L-Regu"/>
          <w:lang w:val="en-GB" w:eastAsia="nl-NL"/>
        </w:rPr>
        <w:t xml:space="preserve">) underlying each credit product </w:t>
      </w:r>
      <w:r w:rsidRPr="00100BDF">
        <w:rPr>
          <w:rFonts w:ascii="Garamond" w:hAnsi="Garamond" w:cs="NimbusRomNo9L-Regu"/>
          <w:position w:val="-6"/>
          <w:lang w:val="en-GB" w:eastAsia="nl-NL"/>
        </w:rPr>
        <w:object w:dxaOrig="139" w:dyaOrig="240">
          <v:shape id="_x0000_i1232" type="#_x0000_t75" style="width:6.75pt;height:12pt" o:ole="">
            <v:imagedata r:id="rId425" o:title=""/>
          </v:shape>
          <o:OLEObject Type="Embed" ProgID="Equation.DSMT4" ShapeID="_x0000_i1232" DrawAspect="Content" ObjectID="_1324893771" r:id="rId426"/>
        </w:object>
      </w:r>
      <w:r w:rsidRPr="00802C03">
        <w:rPr>
          <w:rFonts w:ascii="Garamond" w:hAnsi="Garamond" w:cs="NimbusRomNo9L-Regu"/>
          <w:lang w:val="en-GB" w:eastAsia="nl-NL"/>
        </w:rPr>
        <w:t xml:space="preserve"> is easily computed by summing the single-period issuer returns:</w:t>
      </w:r>
      <w:r w:rsidRPr="00802C03">
        <w:rPr>
          <w:rStyle w:val="FootnoteReference"/>
          <w:rFonts w:ascii="Garamond" w:hAnsi="Garamond" w:cs="NimbusRomNo9L-Regu"/>
          <w:lang w:val="en-GB" w:eastAsia="nl-NL"/>
        </w:rPr>
        <w:footnoteReference w:id="25"/>
      </w:r>
    </w:p>
    <w:p w:rsidR="001C7C52" w:rsidRPr="00802C03" w:rsidRDefault="001C7C52" w:rsidP="000A5FD9">
      <w:pPr>
        <w:tabs>
          <w:tab w:val="left" w:pos="567"/>
          <w:tab w:val="left" w:pos="8505"/>
        </w:tabs>
        <w:spacing w:before="80" w:after="12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4720" w:dyaOrig="320">
          <v:shape id="_x0000_i1247" type="#_x0000_t75" style="width:236.25pt;height:15.75pt" o:ole="">
            <v:imagedata r:id="rId427" o:title=""/>
          </v:shape>
          <o:OLEObject Type="Embed" ProgID="Equation.DSMT4" ShapeID="_x0000_i1247" DrawAspect="Content" ObjectID="_1324893772" r:id="rId428"/>
        </w:object>
      </w:r>
      <w:r w:rsidRPr="00802C03">
        <w:rPr>
          <w:rFonts w:ascii="Garamond" w:hAnsi="Garamond" w:cs="NimbusRomNo9L-Regu"/>
          <w:lang w:val="en-GB" w:eastAsia="nl-NL"/>
        </w:rPr>
        <w:t>.</w:t>
      </w:r>
      <w:r w:rsidRPr="00802C03">
        <w:rPr>
          <w:rFonts w:ascii="Garamond" w:hAnsi="Garamond" w:cs="NimbusRomNo9L-Regu"/>
          <w:lang w:val="en-GB" w:eastAsia="nl-NL"/>
        </w:rPr>
        <w:tab/>
        <w:t>(1.27)</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The simulated annual issuer asset returns underlying each position are the issuer asset returns from which the implied issuer correlations will be calculated.</w:t>
      </w:r>
      <w:r w:rsidRPr="00802C03">
        <w:rPr>
          <w:rStyle w:val="FootnoteReference"/>
          <w:rFonts w:ascii="Garamond" w:hAnsi="Garamond" w:cs="NimbusRomNo9L-Regu"/>
          <w:lang w:val="en-GB" w:eastAsia="nl-NL"/>
        </w:rPr>
        <w:footnoteReference w:id="26"/>
      </w:r>
      <w:r w:rsidRPr="00802C03">
        <w:rPr>
          <w:rFonts w:ascii="Garamond" w:hAnsi="Garamond" w:cs="NimbusRomNo9L-Regu"/>
          <w:lang w:val="en-GB" w:eastAsia="nl-NL"/>
        </w:rPr>
        <w:t xml:space="preserve"> In the remainder of this study, the simulated annual issuer asset returns underlying a single position will be referred to as the </w:t>
      </w:r>
      <w:r w:rsidRPr="00802C03">
        <w:rPr>
          <w:rFonts w:ascii="Garamond" w:hAnsi="Garamond" w:cs="NimbusRomNo9L-Regu"/>
          <w:i/>
          <w:lang w:val="en-GB" w:eastAsia="nl-NL"/>
        </w:rPr>
        <w:t>annual issuer asset return</w:t>
      </w:r>
      <w:r w:rsidRPr="00802C03">
        <w:rPr>
          <w:rFonts w:ascii="Garamond" w:hAnsi="Garamond" w:cs="NimbusRomNo9L-Regu"/>
          <w:lang w:val="en-GB" w:eastAsia="nl-NL"/>
        </w:rPr>
        <w:t xml:space="preserve"> (</w:t>
      </w:r>
      <w:r w:rsidRPr="00802C03">
        <w:rPr>
          <w:rFonts w:ascii="Garamond" w:hAnsi="Garamond" w:cs="NimbusRomNo9L-Regu"/>
          <w:i/>
          <w:lang w:val="en-GB" w:eastAsia="nl-NL"/>
        </w:rPr>
        <w:t>of a position</w:t>
      </w:r>
      <w:r w:rsidRPr="00802C03">
        <w:rPr>
          <w:rFonts w:ascii="Garamond" w:hAnsi="Garamond" w:cs="NimbusRomNo9L-Regu"/>
          <w:lang w:val="en-GB" w:eastAsia="nl-NL"/>
        </w:rPr>
        <w:t>) or (</w:t>
      </w:r>
      <w:r w:rsidRPr="00802C03">
        <w:rPr>
          <w:rFonts w:ascii="Garamond" w:hAnsi="Garamond" w:cs="NimbusRomNo9L-Regu"/>
          <w:i/>
          <w:lang w:val="en-GB" w:eastAsia="nl-NL"/>
        </w:rPr>
        <w:t>an issuer’s</w:t>
      </w:r>
      <w:r w:rsidRPr="00802C03">
        <w:rPr>
          <w:rFonts w:ascii="Garamond" w:hAnsi="Garamond" w:cs="NimbusRomNo9L-Regu"/>
          <w:lang w:val="en-GB" w:eastAsia="nl-NL"/>
        </w:rPr>
        <w:t xml:space="preserve">) </w:t>
      </w:r>
      <w:r w:rsidRPr="00802C03">
        <w:rPr>
          <w:rFonts w:ascii="Garamond" w:hAnsi="Garamond" w:cs="NimbusRomNo9L-Regu"/>
          <w:i/>
          <w:lang w:val="en-GB" w:eastAsia="nl-NL"/>
        </w:rPr>
        <w:t>annual asset return</w:t>
      </w:r>
      <w:r w:rsidRPr="00802C03">
        <w:rPr>
          <w:rFonts w:ascii="Garamond" w:hAnsi="Garamond" w:cs="NimbusRomNo9L-Regu"/>
          <w:lang w:val="en-GB" w:eastAsia="nl-NL"/>
        </w:rPr>
        <w:t xml:space="preserve">. Both definitions refer to exactly the same variable. </w:t>
      </w:r>
      <w:r w:rsidRPr="00802C03">
        <w:rPr>
          <w:rFonts w:ascii="Garamond" w:hAnsi="Garamond" w:cs="NimbusRomNo9L-Regu"/>
          <w:szCs w:val="22"/>
          <w:lang w:val="en-GB" w:eastAsia="nl-NL"/>
        </w:rPr>
        <w:t xml:space="preserve">These definitions ignore the fact that the single-period returns on which the annual issuer asset return is built may refer to different issuers as a result of rebalancing possibilities. </w:t>
      </w:r>
      <w:r>
        <w:rPr>
          <w:rFonts w:ascii="Garamond" w:hAnsi="Garamond" w:cs="NimbusRomNo9L-Regu"/>
          <w:szCs w:val="22"/>
          <w:lang w:val="en-GB" w:eastAsia="nl-NL"/>
        </w:rPr>
        <w:t>Even so</w:t>
      </w:r>
      <w:r w:rsidRPr="00802C03">
        <w:rPr>
          <w:rFonts w:ascii="Garamond" w:hAnsi="Garamond" w:cs="NimbusRomNo9L-Regu"/>
          <w:szCs w:val="22"/>
          <w:lang w:val="en-GB" w:eastAsia="nl-NL"/>
        </w:rPr>
        <w:t xml:space="preserve">, the </w:t>
      </w:r>
      <w:r>
        <w:rPr>
          <w:rFonts w:ascii="Garamond" w:hAnsi="Garamond" w:cs="NimbusRomNo9L-Regu"/>
          <w:szCs w:val="22"/>
          <w:lang w:val="en-GB" w:eastAsia="nl-NL"/>
        </w:rPr>
        <w:t>abovementioned</w:t>
      </w:r>
      <w:r w:rsidRPr="00802C03">
        <w:rPr>
          <w:rFonts w:ascii="Garamond" w:hAnsi="Garamond" w:cs="NimbusRomNo9L-Regu"/>
          <w:szCs w:val="22"/>
          <w:lang w:val="en-GB" w:eastAsia="nl-NL"/>
        </w:rPr>
        <w:t xml:space="preserve"> definitions are applied, </w:t>
      </w:r>
      <w:r>
        <w:rPr>
          <w:rFonts w:ascii="Garamond" w:hAnsi="Garamond" w:cs="NimbusRomNo9L-Regu"/>
          <w:szCs w:val="22"/>
          <w:lang w:val="en-GB" w:eastAsia="nl-NL"/>
        </w:rPr>
        <w:t>since</w:t>
      </w:r>
      <w:r w:rsidRPr="00802C03">
        <w:rPr>
          <w:rFonts w:ascii="Garamond" w:hAnsi="Garamond" w:cs="NimbusRomNo9L-Regu"/>
          <w:szCs w:val="22"/>
          <w:lang w:val="en-GB" w:eastAsia="nl-NL"/>
        </w:rPr>
        <w:t xml:space="preserve"> it is </w:t>
      </w:r>
      <w:r>
        <w:rPr>
          <w:rFonts w:ascii="Garamond" w:hAnsi="Garamond" w:cs="NimbusRomNo9L-Regu"/>
          <w:szCs w:val="22"/>
          <w:lang w:val="en-GB" w:eastAsia="nl-NL"/>
        </w:rPr>
        <w:t>rather</w:t>
      </w:r>
      <w:r w:rsidRPr="00802C03">
        <w:rPr>
          <w:rFonts w:ascii="Garamond" w:hAnsi="Garamond" w:cs="NimbusRomNo9L-Regu"/>
          <w:szCs w:val="22"/>
          <w:lang w:val="en-GB" w:eastAsia="nl-NL"/>
        </w:rPr>
        <w:t xml:space="preserve"> inconvenient to </w:t>
      </w:r>
      <w:r>
        <w:rPr>
          <w:rFonts w:ascii="Garamond" w:hAnsi="Garamond" w:cs="NimbusRomNo9L-Regu"/>
          <w:szCs w:val="22"/>
          <w:lang w:val="en-GB" w:eastAsia="nl-NL"/>
        </w:rPr>
        <w:t xml:space="preserve">constantly </w:t>
      </w:r>
      <w:r w:rsidRPr="00802C03">
        <w:rPr>
          <w:rFonts w:ascii="Garamond" w:hAnsi="Garamond" w:cs="NimbusRomNo9L-Regu"/>
          <w:szCs w:val="22"/>
          <w:lang w:val="en-GB" w:eastAsia="nl-NL"/>
        </w:rPr>
        <w:t xml:space="preserve">refer to the particular variable as ‘the </w:t>
      </w:r>
      <w:r w:rsidRPr="00802C03">
        <w:rPr>
          <w:rFonts w:ascii="Garamond" w:hAnsi="Garamond" w:cs="NimbusRomNo9L-Regu"/>
          <w:lang w:val="en-GB" w:eastAsia="nl-NL"/>
        </w:rPr>
        <w:t xml:space="preserve">annual issuer asset return underlying the position’.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Using the annual issuer asset returns, the </w:t>
      </w:r>
      <w:r w:rsidRPr="00802C03">
        <w:rPr>
          <w:rFonts w:ascii="Garamond" w:hAnsi="Garamond" w:cs="NimbusRomNo9L-Regu"/>
          <w:i/>
          <w:lang w:val="en-GB" w:eastAsia="nl-NL"/>
        </w:rPr>
        <w:t>implied issuer correlations</w:t>
      </w:r>
      <w:r w:rsidRPr="00802C03">
        <w:rPr>
          <w:rFonts w:ascii="Garamond" w:hAnsi="Garamond" w:cs="NimbusRomNo9L-Regu"/>
          <w:lang w:val="en-GB" w:eastAsia="nl-NL"/>
        </w:rPr>
        <w:t xml:space="preserve"> between positions </w:t>
      </w:r>
      <w:r w:rsidRPr="00100BDF">
        <w:rPr>
          <w:rFonts w:ascii="Garamond" w:hAnsi="Garamond" w:cs="NimbusRomNo9L-Regu"/>
          <w:position w:val="-6"/>
          <w:lang w:val="en-GB" w:eastAsia="nl-NL"/>
        </w:rPr>
        <w:object w:dxaOrig="139" w:dyaOrig="240">
          <v:shape id="_x0000_i1248" type="#_x0000_t75" style="width:6.75pt;height:12pt" o:ole="">
            <v:imagedata r:id="rId429" o:title=""/>
          </v:shape>
          <o:OLEObject Type="Embed" ProgID="Equation.DSMT4" ShapeID="_x0000_i1248" DrawAspect="Content" ObjectID="_1324893773" r:id="rId43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80" w:dyaOrig="279">
          <v:shape id="_x0000_i1249" type="#_x0000_t75" style="width:9pt;height:13.5pt" o:ole="">
            <v:imagedata r:id="rId431" o:title=""/>
          </v:shape>
          <o:OLEObject Type="Embed" ProgID="Equation.DSMT4" ShapeID="_x0000_i1249" DrawAspect="Content" ObjectID="_1324893774" r:id="rId432"/>
        </w:object>
      </w:r>
      <w:r w:rsidRPr="00802C03">
        <w:rPr>
          <w:rFonts w:ascii="Garamond" w:hAnsi="Garamond" w:cs="NimbusRomNo9L-Regu"/>
          <w:lang w:val="en-GB" w:eastAsia="nl-NL"/>
        </w:rPr>
        <w:t xml:space="preserve"> are defined as:</w:t>
      </w:r>
    </w:p>
    <w:p w:rsidR="001C7C52" w:rsidRPr="00802C03" w:rsidRDefault="001C7C52" w:rsidP="000A5FD9">
      <w:pPr>
        <w:spacing w:before="8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1420" w:dyaOrig="320">
          <v:shape id="_x0000_i1250" type="#_x0000_t75" style="width:70.5pt;height:15.75pt" o:ole="">
            <v:imagedata r:id="rId433" o:title=""/>
          </v:shape>
          <o:OLEObject Type="Embed" ProgID="Equation.DSMT4" ShapeID="_x0000_i1250" DrawAspect="Content" ObjectID="_1324893775" r:id="rId434"/>
        </w:object>
      </w:r>
      <w:r w:rsidRPr="00802C03">
        <w:rPr>
          <w:rFonts w:ascii="Garamond" w:hAnsi="Garamond" w:cs="NimbusRomNo9L-Regu"/>
          <w:lang w:val="en-GB" w:eastAsia="nl-NL"/>
        </w:rPr>
        <w:t xml:space="preserve"> or </w:t>
      </w:r>
      <w:r w:rsidRPr="00100BDF">
        <w:rPr>
          <w:rFonts w:ascii="Garamond" w:hAnsi="Garamond" w:cs="NimbusRomNo9L-Regu"/>
          <w:position w:val="-10"/>
          <w:lang w:val="en-GB" w:eastAsia="nl-NL"/>
        </w:rPr>
        <w:object w:dxaOrig="4459" w:dyaOrig="320">
          <v:shape id="_x0000_i1251" type="#_x0000_t75" style="width:222.75pt;height:15.75pt" o:ole="">
            <v:imagedata r:id="rId435" o:title=""/>
          </v:shape>
          <o:OLEObject Type="Embed" ProgID="Equation.DSMT4" ShapeID="_x0000_i1251" DrawAspect="Content" ObjectID="_1324893776" r:id="rId436"/>
        </w:object>
      </w:r>
    </w:p>
    <w:p w:rsidR="001C7C52" w:rsidRPr="00802C03" w:rsidRDefault="001C7C52" w:rsidP="000A5FD9">
      <w:pPr>
        <w:spacing w:before="16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for </w:t>
      </w:r>
      <w:r w:rsidRPr="00100BDF">
        <w:rPr>
          <w:rFonts w:ascii="Garamond" w:hAnsi="Garamond" w:cs="NimbusRomNo9L-Regu"/>
          <w:position w:val="-8"/>
          <w:lang w:val="en-GB" w:eastAsia="nl-NL"/>
        </w:rPr>
        <w:object w:dxaOrig="960" w:dyaOrig="260">
          <v:shape id="_x0000_i1252" type="#_x0000_t75" style="width:48pt;height:13.5pt" o:ole="">
            <v:imagedata r:id="rId437" o:title=""/>
          </v:shape>
          <o:OLEObject Type="Embed" ProgID="Equation.DSMT4" ShapeID="_x0000_i1252" DrawAspect="Content" ObjectID="_1324893777" r:id="rId43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999" w:dyaOrig="279">
          <v:shape id="_x0000_i1253" type="#_x0000_t75" style="width:50.25pt;height:13.5pt" o:ole="">
            <v:imagedata r:id="rId439" o:title=""/>
          </v:shape>
          <o:OLEObject Type="Embed" ProgID="Equation.DSMT4" ShapeID="_x0000_i1253" DrawAspect="Content" ObjectID="_1324893778" r:id="rId440"/>
        </w:object>
      </w:r>
      <w:r w:rsidRPr="00802C03">
        <w:rPr>
          <w:rFonts w:ascii="Garamond" w:hAnsi="Garamond" w:cs="NimbusRomNo9L-Regu"/>
          <w:lang w:val="en-GB" w:eastAsia="nl-NL"/>
        </w:rPr>
        <w:t xml:space="preserve">, </w:t>
      </w:r>
    </w:p>
    <w:p w:rsidR="001C7C52" w:rsidRPr="00802C03" w:rsidRDefault="001C7C52" w:rsidP="000A5FD9">
      <w:pPr>
        <w:spacing w:before="160" w:after="16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6"/>
          <w:lang w:val="en-GB" w:eastAsia="nl-NL"/>
        </w:rPr>
        <w:object w:dxaOrig="180" w:dyaOrig="200">
          <v:shape id="_x0000_i1254" type="#_x0000_t75" style="width:9pt;height:9.75pt" o:ole="">
            <v:imagedata r:id="rId441" o:title=""/>
          </v:shape>
          <o:OLEObject Type="Embed" ProgID="Equation.DSMT4" ShapeID="_x0000_i1254" DrawAspect="Content" ObjectID="_1324893779" r:id="rId442"/>
        </w:object>
      </w:r>
      <w:r w:rsidRPr="00802C03">
        <w:rPr>
          <w:rFonts w:ascii="Garamond" w:hAnsi="Garamond" w:cs="NimbusRomNo9L-Regu"/>
          <w:lang w:val="en-GB" w:eastAsia="nl-NL"/>
        </w:rPr>
        <w:t xml:space="preserve"> is the number of credit products in the portfolio.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As mentioned, both definitions are equivalent and refer to the same variables. The objective is then to calibrate the single-period issuer asset returns in a way such that the implied issuer correlations are in line with estimated or observed issuer correlations.</w:t>
      </w:r>
    </w:p>
    <w:p w:rsidR="001C7C52" w:rsidRPr="00802C03" w:rsidRDefault="001C7C52" w:rsidP="00E17C8F">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lang w:val="en-GB"/>
        </w:rPr>
      </w:pPr>
      <w:r>
        <w:rPr>
          <w:rFonts w:ascii="Garamond" w:hAnsi="Garamond"/>
          <w:lang w:val="en-GB"/>
        </w:rPr>
        <w:t xml:space="preserve">Even </w:t>
      </w:r>
      <w:r w:rsidRPr="00802C03">
        <w:rPr>
          <w:rFonts w:ascii="Garamond" w:hAnsi="Garamond"/>
          <w:lang w:val="en-GB"/>
        </w:rPr>
        <w:t>though it is technically possible to create such a correlation structure in a multi-period simulation model, it has a theoretical downside. The constant</w:t>
      </w:r>
      <w:r>
        <w:rPr>
          <w:rFonts w:ascii="Garamond" w:hAnsi="Garamond"/>
          <w:lang w:val="en-GB"/>
        </w:rPr>
        <w:t xml:space="preserve"> level of</w:t>
      </w:r>
      <w:r w:rsidRPr="00802C03">
        <w:rPr>
          <w:rFonts w:ascii="Garamond" w:hAnsi="Garamond"/>
          <w:lang w:val="en-GB"/>
        </w:rPr>
        <w:t xml:space="preserve"> risk assumption implies that a position is rebalanced to its initial risk level when the liquidity horizon has ended. Rebalancing to the initial risk level indicates, in essence, that the original credit product is sold and a new similar hypothetical product with similar risk characteristics is bought. This may happen multiple times before the end of the capital horizon, implying that the single-period issuer asset returns underlying a single position may refer to multiple issuers. Nevertheless, the evaluation of the issuer correlations is based on the entire capital horizon, using the single-period asset returns of different issuers to compute the annual issuer asset return of a position. The fact that multiple underlying issuers can generate a single annual or average issuer asset return for a single position does not make much sense theoretically.</w:t>
      </w:r>
      <w:r w:rsidRPr="00802C03">
        <w:rPr>
          <w:rStyle w:val="FootnoteReference"/>
          <w:rFonts w:ascii="Garamond" w:hAnsi="Garamond"/>
          <w:lang w:val="en-GB"/>
        </w:rPr>
        <w:footnoteReference w:id="27"/>
      </w:r>
      <w:r w:rsidRPr="00802C03">
        <w:rPr>
          <w:rFonts w:ascii="Garamond" w:hAnsi="Garamond"/>
          <w:lang w:val="en-GB"/>
        </w:rPr>
        <w:t xml:space="preserve"> Even so, complications of this kind may be inherent to any application of different liquidity horizons for different positions within one capital horizon that is equal for all positions. </w:t>
      </w:r>
    </w:p>
    <w:p w:rsidR="001C7C52" w:rsidRPr="00802C03" w:rsidRDefault="001C7C52" w:rsidP="006851C7">
      <w:pPr>
        <w:spacing w:line="28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1.4.2</w:t>
      </w:r>
      <w:r w:rsidRPr="00802C03">
        <w:rPr>
          <w:rFonts w:ascii="Garamond" w:hAnsi="Garamond"/>
          <w:b/>
          <w:lang w:val="en-GB"/>
        </w:rPr>
        <w:tab/>
      </w:r>
      <w:bookmarkStart w:id="21" w:name="S142"/>
      <w:bookmarkEnd w:id="21"/>
      <w:r w:rsidRPr="00802C03">
        <w:rPr>
          <w:rFonts w:ascii="Garamond" w:hAnsi="Garamond"/>
          <w:b/>
          <w:lang w:val="en-GB"/>
        </w:rPr>
        <w:t>Copulas</w:t>
      </w: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 xml:space="preserve">Given the abovementioned objectives and definitions, the required correlation structure can be derived. As mentioned, the creation of the correlation structure revolves around the generation of correlated random variables. To understand the basics behind the generation of correlated random variables, or correlated simulation issuer asset returns in the context of this study, first the method in which correlated issuer asset returns are generated in the CreditMetrics model must be assessed. Although not explicitly stated in the document, the CreditMetrics model utilizes the Gaussian copula in order to achieve its single-period correlation structure. The basic setting is that a large number of simulation scenarios are generated with the use a pre-specified asset return distribution assumption.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apply the standard normal or Gaussian distribution to generate simulated asset returns for each underlying issuer in the assessed portfolio. In order to correlate these simulated asset returns, the Gaussian copula is required.</w:t>
      </w:r>
    </w:p>
    <w:p w:rsidR="001C7C52" w:rsidRPr="00802C03" w:rsidRDefault="001C7C52" w:rsidP="00E17C8F">
      <w:pPr>
        <w:spacing w:line="160" w:lineRule="exact"/>
        <w:jc w:val="both"/>
        <w:rPr>
          <w:rFonts w:ascii="Garamond" w:hAnsi="Garamond"/>
          <w:lang w:val="en-GB"/>
        </w:rPr>
      </w:pPr>
    </w:p>
    <w:p w:rsidR="001C7C52" w:rsidRPr="00802C03" w:rsidRDefault="001C7C52" w:rsidP="006851C7">
      <w:pPr>
        <w:spacing w:line="280" w:lineRule="exact"/>
        <w:jc w:val="both"/>
        <w:rPr>
          <w:rFonts w:ascii="Garamond" w:hAnsi="Garamond"/>
          <w:lang w:val="en-GB"/>
        </w:rPr>
      </w:pPr>
      <w:r w:rsidRPr="00802C03">
        <w:rPr>
          <w:rFonts w:ascii="Garamond" w:hAnsi="Garamond"/>
          <w:lang w:val="en-GB"/>
        </w:rPr>
        <w:t>Copulas in general provide a mathematical approach to specify the relations between distributions.</w:t>
      </w:r>
      <w:r w:rsidRPr="00802C03">
        <w:rPr>
          <w:rStyle w:val="FootnoteReference"/>
          <w:rFonts w:ascii="Garamond" w:hAnsi="Garamond"/>
          <w:lang w:val="en-GB"/>
        </w:rPr>
        <w:footnoteReference w:id="28"/>
      </w:r>
      <w:r w:rsidRPr="00802C03">
        <w:rPr>
          <w:rFonts w:ascii="Garamond" w:hAnsi="Garamond"/>
          <w:lang w:val="en-GB"/>
        </w:rPr>
        <w:t xml:space="preserve"> Hence, they are a great tool in the model</w:t>
      </w:r>
      <w:r>
        <w:rPr>
          <w:rFonts w:ascii="Garamond" w:hAnsi="Garamond"/>
          <w:lang w:val="en-GB"/>
        </w:rPr>
        <w:t>l</w:t>
      </w:r>
      <w:r w:rsidRPr="00802C03">
        <w:rPr>
          <w:rFonts w:ascii="Garamond" w:hAnsi="Garamond"/>
          <w:lang w:val="en-GB"/>
        </w:rPr>
        <w:t xml:space="preserve">ing of such relations. The most important work with respect to copula function can be traced back to </w:t>
      </w:r>
      <w:hyperlink w:anchor="Sklar_1959" w:history="1">
        <w:r w:rsidRPr="00802C03">
          <w:rPr>
            <w:rStyle w:val="Hyperlink"/>
            <w:rFonts w:ascii="Garamond" w:hAnsi="Garamond"/>
            <w:color w:val="000066"/>
            <w:u w:val="none"/>
            <w:lang w:val="en-GB"/>
          </w:rPr>
          <w:t>Sklar (1959)</w:t>
        </w:r>
      </w:hyperlink>
      <w:r w:rsidRPr="00802C03">
        <w:rPr>
          <w:rFonts w:ascii="Garamond" w:hAnsi="Garamond"/>
          <w:lang w:val="en-GB"/>
        </w:rPr>
        <w:t>, who demonstrates the importance of copulas as a universal tool for studying multivariate distributions.</w:t>
      </w:r>
      <w:r w:rsidRPr="00802C03">
        <w:rPr>
          <w:rStyle w:val="FootnoteReference"/>
          <w:rFonts w:ascii="Garamond" w:hAnsi="Garamond"/>
          <w:lang w:val="en-GB"/>
        </w:rPr>
        <w:footnoteReference w:id="29"/>
      </w:r>
      <w:r w:rsidRPr="00802C03">
        <w:rPr>
          <w:rFonts w:ascii="Garamond" w:hAnsi="Garamond"/>
          <w:lang w:val="en-GB"/>
        </w:rPr>
        <w:t xml:space="preserve"> The most commonly applied copula function is the Gaussian copula, which assumes normally distributed issuer asset returns and linear correlations in this migration risk context of this study. The frequent use of this copula can be attributed by the fact that the multivariate normal distribution has two appealing characteristics: (1) their marginal distributions are normal and (2) it can be fully described by their marginal distributions and a covariance-matrix. </w:t>
      </w:r>
    </w:p>
    <w:p w:rsidR="001C7C52" w:rsidRPr="00802C03" w:rsidRDefault="001C7C52" w:rsidP="00CE6542">
      <w:pPr>
        <w:spacing w:line="280" w:lineRule="exact"/>
        <w:jc w:val="both"/>
        <w:rPr>
          <w:rFonts w:ascii="Garamond" w:hAnsi="Garamond" w:cs="NimbusRomNo9L-Regu"/>
          <w:lang w:val="en-GB" w:eastAsia="nl-NL"/>
        </w:rPr>
      </w:pPr>
      <w:r w:rsidRPr="00802C03">
        <w:rPr>
          <w:rFonts w:ascii="Garamond" w:hAnsi="Garamond" w:cs="TimesNewRomanPSMT"/>
          <w:lang w:val="en-GB" w:eastAsia="nl-NL"/>
        </w:rPr>
        <w:t xml:space="preserve">For univariate margins </w:t>
      </w:r>
      <w:r w:rsidRPr="00100BDF">
        <w:rPr>
          <w:rFonts w:ascii="Garamond" w:hAnsi="Garamond" w:cs="TimesNewRomanPSMT"/>
          <w:position w:val="-8"/>
          <w:lang w:val="en-GB" w:eastAsia="nl-NL"/>
        </w:rPr>
        <w:object w:dxaOrig="700" w:dyaOrig="279">
          <v:shape id="_x0000_i1255" type="#_x0000_t75" style="width:35.25pt;height:13.5pt" o:ole="">
            <v:imagedata r:id="rId443" o:title=""/>
          </v:shape>
          <o:OLEObject Type="Embed" ProgID="Equation.DSMT4" ShapeID="_x0000_i1255" DrawAspect="Content" ObjectID="_1324893780" r:id="rId444"/>
        </w:object>
      </w:r>
      <w:r w:rsidRPr="00802C03">
        <w:rPr>
          <w:rFonts w:ascii="Garamond" w:hAnsi="Garamond" w:cs="TimesNewRomanPSMT"/>
          <w:lang w:val="en-GB" w:eastAsia="nl-NL"/>
        </w:rPr>
        <w:t xml:space="preserve"> which are Gaussians, the dependence structure among the margins is described by a unique normal copula function. Let </w:t>
      </w:r>
      <w:r w:rsidRPr="00100BDF">
        <w:rPr>
          <w:rFonts w:ascii="Garamond" w:hAnsi="Garamond" w:cs="TimesNewRomanPSMT"/>
          <w:position w:val="-8"/>
          <w:lang w:val="en-GB" w:eastAsia="nl-NL"/>
        </w:rPr>
        <w:object w:dxaOrig="660" w:dyaOrig="279">
          <v:shape id="_x0000_i1256" type="#_x0000_t75" style="width:33pt;height:13.5pt" o:ole="">
            <v:imagedata r:id="rId445" o:title=""/>
          </v:shape>
          <o:OLEObject Type="Embed" ProgID="Equation.DSMT4" ShapeID="_x0000_i1256" DrawAspect="Content" ObjectID="_1324893781" r:id="rId446"/>
        </w:object>
      </w:r>
      <w:r w:rsidRPr="00802C03">
        <w:rPr>
          <w:rFonts w:ascii="Garamond" w:hAnsi="Garamond"/>
          <w:lang w:val="en-GB"/>
        </w:rPr>
        <w:t xml:space="preserve"> </w:t>
      </w:r>
      <w:r w:rsidRPr="00802C03">
        <w:rPr>
          <w:rFonts w:ascii="Garamond" w:hAnsi="Garamond" w:cs="TimesNewRomanPSMT"/>
          <w:lang w:val="en-GB" w:eastAsia="nl-NL"/>
        </w:rPr>
        <w:t xml:space="preserve">be random variables which are standard normal distributed with means </w:t>
      </w:r>
      <w:r w:rsidRPr="00100BDF">
        <w:rPr>
          <w:rFonts w:ascii="Garamond" w:hAnsi="Garamond" w:cs="TimesNewRomanPSMT"/>
          <w:position w:val="-10"/>
          <w:lang w:val="en-GB" w:eastAsia="nl-NL"/>
        </w:rPr>
        <w:object w:dxaOrig="720" w:dyaOrig="300">
          <v:shape id="_x0000_i1257" type="#_x0000_t75" style="width:36pt;height:15pt" o:ole="">
            <v:imagedata r:id="rId447" o:title=""/>
          </v:shape>
          <o:OLEObject Type="Embed" ProgID="Equation.DSMT4" ShapeID="_x0000_i1257" DrawAspect="Content" ObjectID="_1324893782" r:id="rId448"/>
        </w:object>
      </w:r>
      <w:r w:rsidRPr="00802C03">
        <w:rPr>
          <w:rFonts w:ascii="Garamond" w:hAnsi="Garamond" w:cs="TimesNewRomanPSMT"/>
          <w:lang w:val="en-GB" w:eastAsia="nl-NL"/>
        </w:rPr>
        <w:t xml:space="preserve">, standard deviations </w:t>
      </w:r>
      <w:r w:rsidRPr="00100BDF">
        <w:rPr>
          <w:rFonts w:ascii="Garamond" w:hAnsi="Garamond" w:cs="TimesNewRomanPSMT"/>
          <w:position w:val="-8"/>
          <w:lang w:val="en-GB" w:eastAsia="nl-NL"/>
        </w:rPr>
        <w:object w:dxaOrig="740" w:dyaOrig="279">
          <v:shape id="_x0000_i1258" type="#_x0000_t75" style="width:36.75pt;height:13.5pt" o:ole="">
            <v:imagedata r:id="rId449" o:title=""/>
          </v:shape>
          <o:OLEObject Type="Embed" ProgID="Equation.DSMT4" ShapeID="_x0000_i1258" DrawAspect="Content" ObjectID="_1324893783" r:id="rId450"/>
        </w:object>
      </w:r>
      <w:r w:rsidRPr="00802C03">
        <w:rPr>
          <w:rFonts w:ascii="Garamond" w:hAnsi="Garamond"/>
          <w:lang w:val="en-GB"/>
        </w:rPr>
        <w:t xml:space="preserve"> </w:t>
      </w:r>
      <w:r w:rsidRPr="00802C03">
        <w:rPr>
          <w:rFonts w:ascii="Garamond" w:hAnsi="Garamond" w:cs="TimesNewRomanPSMT"/>
          <w:lang w:val="en-GB" w:eastAsia="nl-NL"/>
        </w:rPr>
        <w:t xml:space="preserve">and correlation matrix </w:t>
      </w:r>
      <w:r w:rsidRPr="00100BDF">
        <w:rPr>
          <w:rFonts w:ascii="Garamond" w:hAnsi="Garamond" w:cs="TimesNewRomanPSMT"/>
          <w:position w:val="-6"/>
          <w:lang w:val="en-GB" w:eastAsia="nl-NL"/>
        </w:rPr>
        <w:object w:dxaOrig="220" w:dyaOrig="240">
          <v:shape id="_x0000_i1259" type="#_x0000_t75" style="width:11.25pt;height:12pt" o:ole="">
            <v:imagedata r:id="rId451" o:title=""/>
          </v:shape>
          <o:OLEObject Type="Embed" ProgID="Equation.DSMT4" ShapeID="_x0000_i1259" DrawAspect="Content" ObjectID="_1324893784" r:id="rId452"/>
        </w:object>
      </w:r>
      <w:r w:rsidRPr="00802C03">
        <w:rPr>
          <w:rFonts w:ascii="Garamond" w:hAnsi="Garamond" w:cs="TimesNewRomanPSMT"/>
          <w:lang w:val="en-GB" w:eastAsia="nl-NL"/>
        </w:rPr>
        <w:t xml:space="preserve">. Then, the distribution function </w:t>
      </w:r>
      <w:r w:rsidRPr="00100BDF">
        <w:rPr>
          <w:rFonts w:ascii="Garamond" w:hAnsi="Garamond" w:cs="TimesNewRomanPSMT"/>
          <w:position w:val="-10"/>
          <w:lang w:val="en-GB" w:eastAsia="nl-NL"/>
        </w:rPr>
        <w:object w:dxaOrig="1120" w:dyaOrig="320">
          <v:shape id="_x0000_i1260" type="#_x0000_t75" style="width:55.5pt;height:15.75pt" o:ole="">
            <v:imagedata r:id="rId453" o:title=""/>
          </v:shape>
          <o:OLEObject Type="Embed" ProgID="Equation.DSMT4" ShapeID="_x0000_i1260" DrawAspect="Content" ObjectID="_1324893785" r:id="rId454"/>
        </w:object>
      </w:r>
      <w:r w:rsidRPr="00802C03">
        <w:rPr>
          <w:rFonts w:ascii="Garamond" w:hAnsi="Garamond" w:cs="NimbusRomNo9L-Regu"/>
          <w:lang w:val="en-GB" w:eastAsia="nl-NL"/>
        </w:rPr>
        <w:t xml:space="preserve"> </w:t>
      </w:r>
      <w:r w:rsidRPr="00802C03">
        <w:rPr>
          <w:rFonts w:ascii="Garamond" w:hAnsi="Garamond" w:cs="TimesNewRomanPSMT"/>
          <w:lang w:val="en-GB" w:eastAsia="nl-NL"/>
        </w:rPr>
        <w:t xml:space="preserve">of the random variables </w:t>
      </w:r>
      <w:r w:rsidRPr="00100BDF">
        <w:rPr>
          <w:rFonts w:ascii="Garamond" w:hAnsi="Garamond" w:cs="TimesNewRomanPSMT"/>
          <w:position w:val="-10"/>
          <w:lang w:val="en-GB" w:eastAsia="nl-NL"/>
        </w:rPr>
        <w:object w:dxaOrig="1680" w:dyaOrig="300">
          <v:shape id="_x0000_i1261" type="#_x0000_t75" style="width:83.25pt;height:15pt" o:ole="">
            <v:imagedata r:id="rId455" o:title=""/>
          </v:shape>
          <o:OLEObject Type="Embed" ProgID="Equation.DSMT4" ShapeID="_x0000_i1261" DrawAspect="Content" ObjectID="_1324893786" r:id="rId456"/>
        </w:object>
      </w:r>
      <w:r w:rsidRPr="00802C03">
        <w:rPr>
          <w:rFonts w:ascii="Garamond" w:hAnsi="Garamond" w:cs="TimesNewRomanPSMT"/>
          <w:lang w:val="en-GB" w:eastAsia="nl-NL"/>
        </w:rPr>
        <w:t xml:space="preserve"> with </w:t>
      </w:r>
      <w:r w:rsidRPr="00100BDF">
        <w:rPr>
          <w:rFonts w:ascii="Garamond" w:hAnsi="Garamond" w:cs="TimesNewRomanPSMT"/>
          <w:position w:val="-10"/>
          <w:lang w:val="en-GB" w:eastAsia="nl-NL"/>
        </w:rPr>
        <w:object w:dxaOrig="920" w:dyaOrig="300">
          <v:shape id="_x0000_i1262" type="#_x0000_t75" style="width:45.75pt;height:15pt" o:ole="">
            <v:imagedata r:id="rId457" o:title=""/>
          </v:shape>
          <o:OLEObject Type="Embed" ProgID="Equation.DSMT4" ShapeID="_x0000_i1262" DrawAspect="Content" ObjectID="_1324893787" r:id="rId458"/>
        </w:object>
      </w:r>
      <w:r w:rsidRPr="00802C03">
        <w:rPr>
          <w:rFonts w:ascii="Garamond" w:hAnsi="Garamond" w:cs="NimbusRomNo9L-Regu"/>
          <w:lang w:val="en-GB" w:eastAsia="nl-NL"/>
        </w:rPr>
        <w:t xml:space="preserve"> is a Gaussian copula with correlation matrix </w:t>
      </w:r>
      <w:r w:rsidRPr="00100BDF">
        <w:rPr>
          <w:rFonts w:ascii="Garamond" w:hAnsi="Garamond" w:cs="NimbusRomNo9L-Regu"/>
          <w:position w:val="-6"/>
          <w:lang w:val="en-GB" w:eastAsia="nl-NL"/>
        </w:rPr>
        <w:object w:dxaOrig="220" w:dyaOrig="240">
          <v:shape id="_x0000_i1263" type="#_x0000_t75" style="width:11.25pt;height:12pt" o:ole="">
            <v:imagedata r:id="rId459" o:title=""/>
          </v:shape>
          <o:OLEObject Type="Embed" ProgID="Equation.DSMT4" ShapeID="_x0000_i1263" DrawAspect="Content" ObjectID="_1324893788" r:id="rId460"/>
        </w:object>
      </w:r>
      <w:r w:rsidRPr="00802C03">
        <w:rPr>
          <w:rFonts w:ascii="Garamond" w:hAnsi="Garamond" w:cs="NimbusRomNo9L-Regu"/>
          <w:lang w:val="en-GB" w:eastAsia="nl-NL"/>
        </w:rPr>
        <w:t xml:space="preserve">. The cumulative univariate standard normal distribution function is denoted by </w:t>
      </w:r>
      <w:r w:rsidRPr="00100BDF">
        <w:rPr>
          <w:rFonts w:ascii="Garamond" w:hAnsi="Garamond" w:cs="NimbusRomNo9L-Regu"/>
          <w:position w:val="-10"/>
          <w:lang w:val="en-GB" w:eastAsia="nl-NL"/>
        </w:rPr>
        <w:object w:dxaOrig="420" w:dyaOrig="300">
          <v:shape id="_x0000_i1264" type="#_x0000_t75" style="width:21pt;height:15pt" o:ole="">
            <v:imagedata r:id="rId461" o:title=""/>
          </v:shape>
          <o:OLEObject Type="Embed" ProgID="Equation.DSMT4" ShapeID="_x0000_i1264" DrawAspect="Content" ObjectID="_1324893789" r:id="rId462"/>
        </w:object>
      </w:r>
      <w:r w:rsidRPr="00802C03">
        <w:rPr>
          <w:rFonts w:ascii="Garamond" w:hAnsi="Garamond" w:cs="NimbusRomNo9L-Regu"/>
          <w:lang w:val="en-GB" w:eastAsia="nl-NL"/>
        </w:rPr>
        <w:t>. The Gaussian copula is written as:</w:t>
      </w:r>
    </w:p>
    <w:p w:rsidR="001C7C52" w:rsidRPr="00802C03" w:rsidRDefault="001C7C52" w:rsidP="00CE6542">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3080" w:dyaOrig="320">
          <v:shape id="_x0000_i1265" type="#_x0000_t75" style="width:153.75pt;height:15.75pt" o:ole="">
            <v:imagedata r:id="rId463" o:title=""/>
          </v:shape>
          <o:OLEObject Type="Embed" ProgID="Equation.DSMT4" ShapeID="_x0000_i1265" DrawAspect="Content" ObjectID="_1324893790" r:id="rId464"/>
        </w:object>
      </w:r>
      <w:r w:rsidRPr="00802C03">
        <w:rPr>
          <w:rFonts w:ascii="Garamond" w:hAnsi="Garamond" w:cs="NimbusRomNo9L-Regu"/>
          <w:lang w:val="en-GB" w:eastAsia="nl-NL"/>
        </w:rPr>
        <w:t>,</w:t>
      </w:r>
      <w:r w:rsidRPr="00802C03">
        <w:rPr>
          <w:rFonts w:ascii="Garamond" w:hAnsi="Garamond" w:cs="NimbusRomNo9L-Regu"/>
          <w:lang w:val="en-GB" w:eastAsia="nl-NL"/>
        </w:rPr>
        <w:tab/>
        <w:t>(1.28)</w:t>
      </w:r>
    </w:p>
    <w:p w:rsidR="001C7C52" w:rsidRPr="00802C03" w:rsidRDefault="001C7C52" w:rsidP="00CE6542">
      <w:pPr>
        <w:spacing w:before="16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520" w:dyaOrig="300">
          <v:shape id="_x0000_i1266" type="#_x0000_t75" style="width:26.25pt;height:15pt" o:ole="">
            <v:imagedata r:id="rId465" o:title=""/>
          </v:shape>
          <o:OLEObject Type="Embed" ProgID="Equation.DSMT4" ShapeID="_x0000_i1266" DrawAspect="Content" ObjectID="_1324893791" r:id="rId466"/>
        </w:object>
      </w:r>
      <w:r w:rsidRPr="00802C03">
        <w:rPr>
          <w:rFonts w:ascii="Garamond" w:hAnsi="Garamond" w:cs="NimbusRomNo9L-Regu"/>
          <w:lang w:val="en-GB" w:eastAsia="nl-NL"/>
        </w:rPr>
        <w:t xml:space="preserve"> is the standard multivariate normal distribution function with linear correlation matrix </w:t>
      </w:r>
      <w:r w:rsidRPr="00100BDF">
        <w:rPr>
          <w:rFonts w:ascii="Garamond" w:hAnsi="Garamond" w:cs="NimbusRomNo9L-Regu"/>
          <w:position w:val="-6"/>
          <w:lang w:val="en-GB" w:eastAsia="nl-NL"/>
        </w:rPr>
        <w:object w:dxaOrig="220" w:dyaOrig="240">
          <v:shape id="_x0000_i1267" type="#_x0000_t75" style="width:11.25pt;height:12pt" o:ole="">
            <v:imagedata r:id="rId467" o:title=""/>
          </v:shape>
          <o:OLEObject Type="Embed" ProgID="Equation.DSMT4" ShapeID="_x0000_i1267" DrawAspect="Content" ObjectID="_1324893792" r:id="rId46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99" w:dyaOrig="320">
          <v:shape id="_x0000_i1268" type="#_x0000_t75" style="width:24.75pt;height:15.75pt" o:ole="">
            <v:imagedata r:id="rId469" o:title=""/>
          </v:shape>
          <o:OLEObject Type="Embed" ProgID="Equation.DSMT4" ShapeID="_x0000_i1268" DrawAspect="Content" ObjectID="_1324893793" r:id="rId470"/>
        </w:object>
      </w:r>
      <w:r w:rsidRPr="00802C03">
        <w:rPr>
          <w:rFonts w:ascii="Garamond" w:hAnsi="Garamond" w:cs="NimbusRomNo9L-Regu"/>
          <w:lang w:val="en-GB" w:eastAsia="nl-NL"/>
        </w:rPr>
        <w:t xml:space="preserve"> is the inverse of the standard univariate normal distribution function. </w:t>
      </w:r>
    </w:p>
    <w:p w:rsidR="001C7C52" w:rsidRPr="00802C03" w:rsidRDefault="001C7C52" w:rsidP="00CE6542">
      <w:pPr>
        <w:spacing w:line="280" w:lineRule="exact"/>
        <w:jc w:val="both"/>
        <w:rPr>
          <w:rFonts w:ascii="Garamond" w:hAnsi="Garamond" w:cs="NimbusRomNo9L-Regu"/>
          <w:lang w:val="en-GB" w:eastAsia="nl-NL"/>
        </w:rPr>
      </w:pPr>
      <w:r w:rsidRPr="00802C03">
        <w:rPr>
          <w:rFonts w:ascii="Garamond" w:hAnsi="Garamond" w:cs="NimbusRomNo9L-Regu"/>
          <w:lang w:val="en-GB" w:eastAsia="nl-NL"/>
        </w:rPr>
        <w:t>The corresponding density function is given by:</w:t>
      </w:r>
    </w:p>
    <w:p w:rsidR="001C7C52" w:rsidRPr="00802C03" w:rsidRDefault="001C7C52" w:rsidP="00CE6542">
      <w:pPr>
        <w:tabs>
          <w:tab w:val="left" w:pos="567"/>
          <w:tab w:val="left" w:pos="8505"/>
        </w:tabs>
        <w:spacing w:before="10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26"/>
          <w:lang w:val="en-GB" w:eastAsia="nl-NL"/>
        </w:rPr>
        <w:object w:dxaOrig="4620" w:dyaOrig="620">
          <v:shape id="_x0000_i1269" type="#_x0000_t75" style="width:231pt;height:31.5pt" o:ole="">
            <v:imagedata r:id="rId471" o:title=""/>
          </v:shape>
          <o:OLEObject Type="Embed" ProgID="Equation.DSMT4" ShapeID="_x0000_i1269" DrawAspect="Content" ObjectID="_1324893794" r:id="rId472"/>
        </w:object>
      </w:r>
      <w:r w:rsidRPr="00802C03">
        <w:rPr>
          <w:rFonts w:ascii="Garamond" w:hAnsi="Garamond" w:cs="NimbusRomNo9L-Regu"/>
          <w:lang w:val="en-GB" w:eastAsia="nl-NL"/>
        </w:rPr>
        <w:t>,</w:t>
      </w:r>
      <w:r w:rsidRPr="00802C03">
        <w:rPr>
          <w:rFonts w:ascii="Garamond" w:hAnsi="Garamond" w:cs="NimbusRomNo9L-Regu"/>
          <w:lang w:val="en-GB" w:eastAsia="nl-NL"/>
        </w:rPr>
        <w:tab/>
        <w:t>(1.29)</w:t>
      </w:r>
    </w:p>
    <w:p w:rsidR="001C7C52" w:rsidRPr="00802C03" w:rsidRDefault="001C7C52" w:rsidP="00CE6542">
      <w:pPr>
        <w:spacing w:before="10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360" w:dyaOrig="300">
          <v:shape id="_x0000_i1270" type="#_x0000_t75" style="width:18pt;height:15pt" o:ole="">
            <v:imagedata r:id="rId473" o:title=""/>
          </v:shape>
          <o:OLEObject Type="Embed" ProgID="Equation.DSMT4" ShapeID="_x0000_i1270" DrawAspect="Content" ObjectID="_1324893795" r:id="rId474"/>
        </w:object>
      </w:r>
      <w:r w:rsidRPr="00802C03">
        <w:rPr>
          <w:rFonts w:ascii="Garamond" w:hAnsi="Garamond" w:cs="NimbusRomNo9L-Regu"/>
          <w:lang w:val="en-GB" w:eastAsia="nl-NL"/>
        </w:rPr>
        <w:t xml:space="preserve"> is the determinant of correlation or covariance matrix </w:t>
      </w:r>
      <w:r w:rsidRPr="00100BDF">
        <w:rPr>
          <w:rFonts w:ascii="Garamond" w:hAnsi="Garamond" w:cs="NimbusRomNo9L-Regu"/>
          <w:position w:val="-6"/>
          <w:lang w:val="en-GB" w:eastAsia="nl-NL"/>
        </w:rPr>
        <w:object w:dxaOrig="220" w:dyaOrig="240">
          <v:shape id="_x0000_i1271" type="#_x0000_t75" style="width:11.25pt;height:12pt" o:ole="">
            <v:imagedata r:id="rId475" o:title=""/>
          </v:shape>
          <o:OLEObject Type="Embed" ProgID="Equation.DSMT4" ShapeID="_x0000_i1271" DrawAspect="Content" ObjectID="_1324893796" r:id="rId476"/>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2460" w:dyaOrig="320">
          <v:shape id="_x0000_i1272" type="#_x0000_t75" style="width:121.5pt;height:15.75pt" o:ole="">
            <v:imagedata r:id="rId477" o:title=""/>
          </v:shape>
          <o:OLEObject Type="Embed" ProgID="Equation.DSMT4" ShapeID="_x0000_i1272" DrawAspect="Content" ObjectID="_1324893797" r:id="rId478"/>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220" w:dyaOrig="279">
          <v:shape id="_x0000_i1273" type="#_x0000_t75" style="width:11.25pt;height:13.5pt" o:ole="">
            <v:imagedata r:id="rId479" o:title=""/>
          </v:shape>
          <o:OLEObject Type="Embed" ProgID="Equation.DSMT4" ShapeID="_x0000_i1273" DrawAspect="Content" ObjectID="_1324893798" r:id="rId480"/>
        </w:object>
      </w:r>
      <w:r w:rsidRPr="00802C03">
        <w:rPr>
          <w:rFonts w:ascii="Garamond" w:hAnsi="Garamond" w:cs="NimbusRomNo9L-Regu"/>
          <w:lang w:val="en-GB" w:eastAsia="nl-NL"/>
        </w:rPr>
        <w:t xml:space="preserve"> is the </w:t>
      </w:r>
      <w:r w:rsidRPr="00100BDF">
        <w:rPr>
          <w:rFonts w:ascii="Garamond" w:hAnsi="Garamond" w:cs="NimbusRomNo9L-Regu"/>
          <w:position w:val="-6"/>
          <w:lang w:val="en-GB" w:eastAsia="nl-NL"/>
        </w:rPr>
        <w:object w:dxaOrig="180" w:dyaOrig="200">
          <v:shape id="_x0000_i1274" type="#_x0000_t75" style="width:9pt;height:9.75pt" o:ole="">
            <v:imagedata r:id="rId481" o:title=""/>
          </v:shape>
          <o:OLEObject Type="Embed" ProgID="Equation.DSMT4" ShapeID="_x0000_i1274" DrawAspect="Content" ObjectID="_1324893799" r:id="rId482"/>
        </w:object>
      </w:r>
      <w:r w:rsidRPr="00802C03">
        <w:rPr>
          <w:rFonts w:ascii="Garamond" w:hAnsi="Garamond" w:cs="NimbusRomNo9L-Regu"/>
          <w:lang w:val="en-GB" w:eastAsia="nl-NL"/>
        </w:rPr>
        <w:t xml:space="preserve">-dimensional identity matrix. </w:t>
      </w:r>
    </w:p>
    <w:p w:rsidR="001C7C52" w:rsidRPr="00802C03" w:rsidRDefault="001C7C52" w:rsidP="00CE6542">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the bivariate case, where </w:t>
      </w:r>
      <w:r w:rsidRPr="00100BDF">
        <w:rPr>
          <w:rFonts w:ascii="Garamond" w:hAnsi="Garamond" w:cs="NimbusRomNo9L-Regu"/>
          <w:position w:val="-6"/>
          <w:lang w:val="en-GB" w:eastAsia="nl-NL"/>
        </w:rPr>
        <w:object w:dxaOrig="480" w:dyaOrig="240">
          <v:shape id="_x0000_i1275" type="#_x0000_t75" style="width:24pt;height:12pt" o:ole="">
            <v:imagedata r:id="rId483" o:title=""/>
          </v:shape>
          <o:OLEObject Type="Embed" ProgID="Equation.DSMT4" ShapeID="_x0000_i1275" DrawAspect="Content" ObjectID="_1324893800" r:id="rId484"/>
        </w:object>
      </w:r>
      <w:r w:rsidRPr="00802C03">
        <w:rPr>
          <w:rFonts w:ascii="Garamond" w:hAnsi="Garamond" w:cs="NimbusRomNo9L-Regu"/>
          <w:lang w:val="en-GB" w:eastAsia="nl-NL"/>
        </w:rPr>
        <w:t xml:space="preserve">, the correlation coefficient </w:t>
      </w:r>
      <w:r w:rsidRPr="00100BDF">
        <w:rPr>
          <w:rFonts w:ascii="Garamond" w:hAnsi="Garamond" w:cs="NimbusRomNo9L-Regu"/>
          <w:position w:val="-10"/>
          <w:lang w:val="en-GB" w:eastAsia="nl-NL"/>
        </w:rPr>
        <w:object w:dxaOrig="300" w:dyaOrig="300">
          <v:shape id="_x0000_i1276" type="#_x0000_t75" style="width:15pt;height:15pt" o:ole="">
            <v:imagedata r:id="rId485" o:title=""/>
          </v:shape>
          <o:OLEObject Type="Embed" ProgID="Equation.DSMT4" ShapeID="_x0000_i1276" DrawAspect="Content" ObjectID="_1324893801" r:id="rId486"/>
        </w:object>
      </w:r>
      <w:r w:rsidRPr="00802C03">
        <w:rPr>
          <w:rFonts w:ascii="Garamond" w:hAnsi="Garamond" w:cs="NimbusRomNo9L-Regu"/>
          <w:lang w:val="en-GB" w:eastAsia="nl-NL"/>
        </w:rPr>
        <w:t xml:space="preserve"> in correlation matrix </w:t>
      </w:r>
      <w:r w:rsidRPr="00100BDF">
        <w:rPr>
          <w:rFonts w:ascii="Garamond" w:hAnsi="Garamond" w:cs="NimbusRomNo9L-Regu"/>
          <w:position w:val="-6"/>
          <w:lang w:val="en-GB" w:eastAsia="nl-NL"/>
        </w:rPr>
        <w:object w:dxaOrig="220" w:dyaOrig="240">
          <v:shape id="_x0000_i1277" type="#_x0000_t75" style="width:11.25pt;height:12pt" o:ole="">
            <v:imagedata r:id="rId487" o:title=""/>
          </v:shape>
          <o:OLEObject Type="Embed" ProgID="Equation.DSMT4" ShapeID="_x0000_i1277" DrawAspect="Content" ObjectID="_1324893802" r:id="rId488"/>
        </w:object>
      </w:r>
      <w:r w:rsidRPr="00802C03">
        <w:rPr>
          <w:rFonts w:ascii="Garamond" w:hAnsi="Garamond" w:cs="NimbusRomNo9L-Regu"/>
          <w:lang w:val="en-GB" w:eastAsia="nl-NL"/>
        </w:rPr>
        <w:t xml:space="preserve"> is the only Gaussian parameter. </w:t>
      </w:r>
    </w:p>
    <w:p w:rsidR="001C7C52" w:rsidRPr="00802C03" w:rsidRDefault="001C7C52" w:rsidP="00CE6542">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the CreditMetrics model, standard normally distributed random variables are utilized, which are correlated through the application of the Gaussian copula. Here, the problem is to generate </w:t>
      </w:r>
      <w:r w:rsidRPr="00100BDF">
        <w:rPr>
          <w:rFonts w:ascii="Garamond" w:hAnsi="Garamond" w:cs="NimbusRomNo9L-Regu"/>
          <w:position w:val="-10"/>
          <w:lang w:val="en-GB" w:eastAsia="nl-NL"/>
        </w:rPr>
        <w:object w:dxaOrig="1200" w:dyaOrig="300">
          <v:shape id="_x0000_i1278" type="#_x0000_t75" style="width:60pt;height:15pt" o:ole="">
            <v:imagedata r:id="rId489" o:title=""/>
          </v:shape>
          <o:OLEObject Type="Embed" ProgID="Equation.DSMT4" ShapeID="_x0000_i1278" DrawAspect="Content" ObjectID="_1324893803" r:id="rId490"/>
        </w:object>
      </w:r>
      <w:r w:rsidRPr="00802C03">
        <w:rPr>
          <w:rFonts w:ascii="Garamond" w:hAnsi="Garamond" w:cs="NimbusRomNo9L-Regu"/>
          <w:lang w:val="en-GB" w:eastAsia="nl-NL"/>
        </w:rPr>
        <w:t xml:space="preserve"> where </w:t>
      </w:r>
      <w:r w:rsidRPr="00100BDF">
        <w:rPr>
          <w:rFonts w:ascii="Garamond" w:hAnsi="Garamond" w:cs="NimbusRomNo9L-Regu"/>
          <w:position w:val="-10"/>
          <w:lang w:val="en-GB" w:eastAsia="nl-NL"/>
        </w:rPr>
        <w:object w:dxaOrig="1160" w:dyaOrig="300">
          <v:shape id="_x0000_i1279" type="#_x0000_t75" style="width:57.75pt;height:15pt" o:ole="">
            <v:imagedata r:id="rId491" o:title=""/>
          </v:shape>
          <o:OLEObject Type="Embed" ProgID="Equation.DSMT4" ShapeID="_x0000_i1279" DrawAspect="Content" ObjectID="_1324893804" r:id="rId492"/>
        </w:object>
      </w:r>
      <w:r w:rsidRPr="00802C03">
        <w:rPr>
          <w:rFonts w:ascii="Garamond" w:hAnsi="Garamond" w:cs="NimbusRomNo9L-Regu"/>
          <w:lang w:val="en-GB" w:eastAsia="nl-NL"/>
        </w:rPr>
        <w:t xml:space="preserve"> and </w:t>
      </w:r>
      <w:r w:rsidRPr="00100BDF">
        <w:rPr>
          <w:rFonts w:ascii="Garamond" w:hAnsi="Garamond" w:cs="NimbusRomNo9L-Regu"/>
          <w:position w:val="-6"/>
          <w:lang w:val="en-GB" w:eastAsia="nl-NL"/>
        </w:rPr>
        <w:object w:dxaOrig="220" w:dyaOrig="240">
          <v:shape id="_x0000_i1280" type="#_x0000_t75" style="width:11.25pt;height:12pt" o:ole="">
            <v:imagedata r:id="rId493" o:title=""/>
          </v:shape>
          <o:OLEObject Type="Embed" ProgID="Equation.DSMT4" ShapeID="_x0000_i1280" DrawAspect="Content" ObjectID="_1324893805" r:id="rId494"/>
        </w:object>
      </w:r>
      <w:r w:rsidRPr="00802C03">
        <w:rPr>
          <w:rFonts w:ascii="Garamond" w:hAnsi="Garamond" w:cs="NimbusRomNo9L-Regu"/>
          <w:lang w:val="en-GB" w:eastAsia="nl-NL"/>
        </w:rPr>
        <w:t xml:space="preserve"> is the correlation matrix regarding all issuers in the portfolio. </w:t>
      </w:r>
    </w:p>
    <w:p w:rsidR="001C7C52" w:rsidRPr="00802C03" w:rsidRDefault="001C7C52" w:rsidP="00CE6542">
      <w:pPr>
        <w:spacing w:line="280" w:lineRule="exact"/>
        <w:jc w:val="both"/>
        <w:rPr>
          <w:rFonts w:ascii="Garamond" w:hAnsi="Garamond" w:cs="NimbusRomNo9L-Regu"/>
          <w:lang w:val="en-GB" w:eastAsia="nl-NL"/>
        </w:rPr>
      </w:pPr>
      <w:r w:rsidRPr="00802C03">
        <w:rPr>
          <w:rFonts w:ascii="Garamond" w:hAnsi="Garamond" w:cs="NimbusRomNo9L-Regu"/>
          <w:lang w:val="en-GB" w:eastAsia="nl-NL"/>
        </w:rPr>
        <w:t>The followings steps are taken to solve this problem:</w:t>
      </w:r>
      <w:r w:rsidRPr="00802C03">
        <w:rPr>
          <w:rStyle w:val="FootnoteReference"/>
          <w:rFonts w:ascii="Garamond" w:hAnsi="Garamond" w:cs="NimbusRomNo9L-Regu"/>
          <w:lang w:val="en-GB" w:eastAsia="nl-NL"/>
        </w:rPr>
        <w:footnoteReference w:id="30"/>
      </w:r>
    </w:p>
    <w:p w:rsidR="001C7C52" w:rsidRPr="00802C03" w:rsidRDefault="001C7C52" w:rsidP="00CE6542">
      <w:pPr>
        <w:numPr>
          <w:ilvl w:val="2"/>
          <w:numId w:val="13"/>
        </w:numPr>
        <w:tabs>
          <w:tab w:val="clear" w:pos="2340"/>
          <w:tab w:val="num" w:pos="567"/>
        </w:tabs>
        <w:overflowPunct/>
        <w:autoSpaceDE/>
        <w:autoSpaceDN/>
        <w:adjustRightInd/>
        <w:spacing w:line="280" w:lineRule="exact"/>
        <w:ind w:left="709" w:hanging="425"/>
        <w:jc w:val="both"/>
        <w:textAlignment w:val="auto"/>
        <w:rPr>
          <w:rFonts w:ascii="Garamond" w:hAnsi="Garamond" w:cs="NimbusRomNo9L-Regu"/>
          <w:lang w:val="en-GB" w:eastAsia="nl-NL"/>
        </w:rPr>
      </w:pPr>
      <w:r w:rsidRPr="00802C03">
        <w:rPr>
          <w:rFonts w:ascii="Garamond" w:hAnsi="Garamond" w:cs="NimbusRomNo9L-Regu"/>
          <w:lang w:val="en-GB" w:eastAsia="nl-NL"/>
        </w:rPr>
        <w:t>Calculate the Cholesky decomposition (</w:t>
      </w:r>
      <w:r w:rsidRPr="00100BDF">
        <w:rPr>
          <w:rFonts w:ascii="Garamond" w:hAnsi="Garamond" w:cs="NimbusRomNo9L-Regu"/>
          <w:position w:val="-4"/>
          <w:lang w:val="en-GB" w:eastAsia="nl-NL"/>
        </w:rPr>
        <w:object w:dxaOrig="220" w:dyaOrig="220">
          <v:shape id="_x0000_i1305" type="#_x0000_t75" style="width:11.25pt;height:11.25pt" o:ole="">
            <v:imagedata r:id="rId495" o:title=""/>
          </v:shape>
          <o:OLEObject Type="Embed" ProgID="Equation.DSMT4" ShapeID="_x0000_i1305" DrawAspect="Content" ObjectID="_1324893806" r:id="rId496"/>
        </w:object>
      </w:r>
      <w:r w:rsidRPr="00802C03">
        <w:rPr>
          <w:rFonts w:ascii="Garamond" w:hAnsi="Garamond" w:cs="NimbusRomNo9L-Regu"/>
          <w:lang w:val="en-GB" w:eastAsia="nl-NL"/>
        </w:rPr>
        <w:t xml:space="preserve">) of correlation matrix </w:t>
      </w:r>
      <w:r w:rsidRPr="00100BDF">
        <w:rPr>
          <w:rFonts w:ascii="Garamond" w:hAnsi="Garamond" w:cs="NimbusRomNo9L-Regu"/>
          <w:position w:val="-6"/>
          <w:lang w:val="en-GB" w:eastAsia="nl-NL"/>
        </w:rPr>
        <w:object w:dxaOrig="220" w:dyaOrig="240">
          <v:shape id="_x0000_i1306" type="#_x0000_t75" style="width:11.25pt;height:12pt" o:ole="">
            <v:imagedata r:id="rId497" o:title=""/>
          </v:shape>
          <o:OLEObject Type="Embed" ProgID="Equation.DSMT4" ShapeID="_x0000_i1306" DrawAspect="Content" ObjectID="_1324893807" r:id="rId498"/>
        </w:object>
      </w:r>
      <w:r w:rsidRPr="00802C03">
        <w:rPr>
          <w:rFonts w:ascii="Garamond" w:hAnsi="Garamond" w:cs="NimbusRomNo9L-Regu"/>
          <w:lang w:val="en-GB" w:eastAsia="nl-NL"/>
        </w:rPr>
        <w:t xml:space="preserve">, such that </w:t>
      </w:r>
      <w:r w:rsidRPr="00100BDF">
        <w:rPr>
          <w:rFonts w:ascii="Garamond" w:hAnsi="Garamond" w:cs="NimbusRomNo9L-Regu"/>
          <w:position w:val="-6"/>
          <w:lang w:val="en-GB" w:eastAsia="nl-NL"/>
        </w:rPr>
        <w:object w:dxaOrig="760" w:dyaOrig="240">
          <v:shape id="_x0000_i1307" type="#_x0000_t75" style="width:38.25pt;height:12pt" o:ole="">
            <v:imagedata r:id="rId499" o:title=""/>
          </v:shape>
          <o:OLEObject Type="Embed" ProgID="Equation.DSMT4" ShapeID="_x0000_i1307" DrawAspect="Content" ObjectID="_1324893808" r:id="rId500"/>
        </w:object>
      </w:r>
      <w:r w:rsidRPr="00802C03">
        <w:rPr>
          <w:rFonts w:ascii="Garamond" w:hAnsi="Garamond" w:cs="NimbusRomNo9L-Regu"/>
          <w:lang w:val="en-GB" w:eastAsia="nl-NL"/>
        </w:rPr>
        <w:t>.</w:t>
      </w:r>
    </w:p>
    <w:p w:rsidR="001C7C52" w:rsidRPr="00802C03" w:rsidRDefault="001C7C52" w:rsidP="00CE6542">
      <w:pPr>
        <w:numPr>
          <w:ilvl w:val="2"/>
          <w:numId w:val="13"/>
        </w:numPr>
        <w:tabs>
          <w:tab w:val="clear" w:pos="2340"/>
          <w:tab w:val="num" w:pos="567"/>
        </w:tabs>
        <w:overflowPunct/>
        <w:autoSpaceDE/>
        <w:autoSpaceDN/>
        <w:adjustRightInd/>
        <w:spacing w:line="280" w:lineRule="exact"/>
        <w:ind w:left="709" w:hanging="425"/>
        <w:jc w:val="both"/>
        <w:textAlignment w:val="auto"/>
        <w:rPr>
          <w:rFonts w:ascii="Garamond" w:hAnsi="Garamond" w:cs="NimbusRomNo9L-Regu"/>
          <w:lang w:val="en-GB" w:eastAsia="nl-NL"/>
        </w:rPr>
      </w:pPr>
      <w:r w:rsidRPr="00802C03">
        <w:rPr>
          <w:rFonts w:ascii="Garamond" w:hAnsi="Garamond" w:cs="NimbusRomNo9L-Regu"/>
          <w:lang w:val="en-GB" w:eastAsia="nl-NL"/>
        </w:rPr>
        <w:t xml:space="preserve">Simulate </w:t>
      </w:r>
      <w:r w:rsidRPr="00100BDF">
        <w:rPr>
          <w:rFonts w:ascii="Garamond" w:hAnsi="Garamond" w:cs="NimbusRomNo9L-Regu"/>
          <w:position w:val="-6"/>
          <w:lang w:val="en-GB" w:eastAsia="nl-NL"/>
        </w:rPr>
        <w:object w:dxaOrig="180" w:dyaOrig="200">
          <v:shape id="_x0000_i1308" type="#_x0000_t75" style="width:9pt;height:9.75pt" o:ole="">
            <v:imagedata r:id="rId501" o:title=""/>
          </v:shape>
          <o:OLEObject Type="Embed" ProgID="Equation.DSMT4" ShapeID="_x0000_i1308" DrawAspect="Content" ObjectID="_1324893809" r:id="rId502"/>
        </w:object>
      </w:r>
      <w:r w:rsidRPr="00802C03">
        <w:rPr>
          <w:rFonts w:ascii="Garamond" w:hAnsi="Garamond" w:cs="NimbusRomNo9L-Regu"/>
          <w:lang w:val="en-GB" w:eastAsia="nl-NL"/>
        </w:rPr>
        <w:t xml:space="preserve"> independent standard normal random variables </w:t>
      </w:r>
      <w:r w:rsidRPr="00100BDF">
        <w:rPr>
          <w:rFonts w:ascii="Garamond" w:hAnsi="Garamond" w:cs="NimbusRomNo9L-Regu"/>
          <w:position w:val="-10"/>
          <w:lang w:val="en-GB" w:eastAsia="nl-NL"/>
        </w:rPr>
        <w:object w:dxaOrig="2079" w:dyaOrig="300">
          <v:shape id="_x0000_i1309" type="#_x0000_t75" style="width:104.25pt;height:15pt" o:ole="">
            <v:imagedata r:id="rId503" o:title=""/>
          </v:shape>
          <o:OLEObject Type="Embed" ProgID="Equation.DSMT4" ShapeID="_x0000_i1309" DrawAspect="Content" ObjectID="_1324893810" r:id="rId504"/>
        </w:object>
      </w:r>
      <w:r w:rsidRPr="00802C03">
        <w:rPr>
          <w:rFonts w:ascii="Garamond" w:hAnsi="Garamond" w:cs="NimbusRomNo9L-Regu"/>
          <w:lang w:val="en-GB" w:eastAsia="nl-NL"/>
        </w:rPr>
        <w:t>.</w:t>
      </w:r>
    </w:p>
    <w:p w:rsidR="001C7C52" w:rsidRPr="00802C03" w:rsidRDefault="001C7C52" w:rsidP="00CE6542">
      <w:pPr>
        <w:numPr>
          <w:ilvl w:val="2"/>
          <w:numId w:val="13"/>
        </w:numPr>
        <w:tabs>
          <w:tab w:val="clear" w:pos="2340"/>
          <w:tab w:val="num" w:pos="567"/>
        </w:tabs>
        <w:overflowPunct/>
        <w:autoSpaceDE/>
        <w:autoSpaceDN/>
        <w:adjustRightInd/>
        <w:spacing w:line="280" w:lineRule="exact"/>
        <w:ind w:left="567" w:hanging="283"/>
        <w:jc w:val="both"/>
        <w:textAlignment w:val="auto"/>
        <w:rPr>
          <w:rFonts w:ascii="Garamond" w:hAnsi="Garamond" w:cs="NimbusRomNo9L-Regu"/>
          <w:lang w:val="en-GB" w:eastAsia="nl-NL"/>
        </w:rPr>
      </w:pPr>
      <w:r w:rsidRPr="00802C03">
        <w:rPr>
          <w:rFonts w:ascii="Garamond" w:hAnsi="Garamond" w:cs="NimbusRomNo9L-Regu"/>
          <w:lang w:val="en-GB" w:eastAsia="nl-NL"/>
        </w:rPr>
        <w:t xml:space="preserve">Compute </w:t>
      </w:r>
      <w:r w:rsidRPr="00100BDF">
        <w:rPr>
          <w:rFonts w:ascii="Garamond" w:hAnsi="Garamond" w:cs="NimbusRomNo9L-Regu"/>
          <w:position w:val="-4"/>
          <w:lang w:val="en-GB" w:eastAsia="nl-NL"/>
        </w:rPr>
        <w:object w:dxaOrig="700" w:dyaOrig="220">
          <v:shape id="_x0000_i1310" type="#_x0000_t75" style="width:35.25pt;height:11.25pt" o:ole="">
            <v:imagedata r:id="rId505" o:title=""/>
          </v:shape>
          <o:OLEObject Type="Embed" ProgID="Equation.DSMT4" ShapeID="_x0000_i1310" DrawAspect="Content" ObjectID="_1324893811" r:id="rId506"/>
        </w:object>
      </w:r>
      <w:r w:rsidRPr="00802C03">
        <w:rPr>
          <w:rFonts w:ascii="Garamond" w:hAnsi="Garamond" w:cs="NimbusRomNo9L-Regu"/>
          <w:lang w:val="en-GB" w:eastAsia="nl-NL"/>
        </w:rPr>
        <w:t xml:space="preserve">, then </w:t>
      </w:r>
      <w:r w:rsidRPr="00100BDF">
        <w:rPr>
          <w:rFonts w:ascii="Garamond" w:hAnsi="Garamond" w:cs="NimbusRomNo9L-Regu"/>
          <w:position w:val="-4"/>
          <w:lang w:val="en-GB" w:eastAsia="nl-NL"/>
        </w:rPr>
        <w:object w:dxaOrig="180" w:dyaOrig="180">
          <v:shape id="_x0000_i1311" type="#_x0000_t75" style="width:9pt;height:9pt" o:ole="">
            <v:imagedata r:id="rId507" o:title=""/>
          </v:shape>
          <o:OLEObject Type="Embed" ProgID="Equation.DSMT4" ShapeID="_x0000_i1311" DrawAspect="Content" ObjectID="_1324893812" r:id="rId508"/>
        </w:object>
      </w:r>
      <w:r w:rsidRPr="00802C03">
        <w:rPr>
          <w:rFonts w:ascii="Garamond" w:hAnsi="Garamond" w:cs="NimbusRomNo9L-Regu"/>
          <w:lang w:val="en-GB" w:eastAsia="nl-NL"/>
        </w:rPr>
        <w:t xml:space="preserve"> is an </w:t>
      </w:r>
      <w:r w:rsidRPr="00100BDF">
        <w:rPr>
          <w:rFonts w:ascii="Garamond" w:hAnsi="Garamond" w:cs="NimbusRomNo9L-Regu"/>
          <w:position w:val="-6"/>
          <w:lang w:val="en-GB" w:eastAsia="nl-NL"/>
        </w:rPr>
        <w:object w:dxaOrig="180" w:dyaOrig="200">
          <v:shape id="_x0000_i1312" type="#_x0000_t75" style="width:9pt;height:9.75pt" o:ole="">
            <v:imagedata r:id="rId509" o:title=""/>
          </v:shape>
          <o:OLEObject Type="Embed" ProgID="Equation.DSMT4" ShapeID="_x0000_i1312" DrawAspect="Content" ObjectID="_1324893813" r:id="rId510"/>
        </w:object>
      </w:r>
      <w:r w:rsidRPr="00802C03">
        <w:rPr>
          <w:rFonts w:ascii="Garamond" w:hAnsi="Garamond" w:cs="NimbusRomNo9L-Regu"/>
          <w:lang w:val="en-GB" w:eastAsia="nl-NL"/>
        </w:rPr>
        <w:t xml:space="preserve">-dimensional vector </w:t>
      </w:r>
      <w:r w:rsidRPr="00100BDF">
        <w:rPr>
          <w:rFonts w:ascii="Garamond" w:hAnsi="Garamond" w:cs="NimbusRomNo9L-Regu"/>
          <w:position w:val="-10"/>
          <w:lang w:val="en-GB" w:eastAsia="nl-NL"/>
        </w:rPr>
        <w:object w:dxaOrig="1200" w:dyaOrig="300">
          <v:shape id="_x0000_i1313" type="#_x0000_t75" style="width:60pt;height:15pt" o:ole="">
            <v:imagedata r:id="rId511" o:title=""/>
          </v:shape>
          <o:OLEObject Type="Embed" ProgID="Equation.DSMT4" ShapeID="_x0000_i1313" DrawAspect="Content" ObjectID="_1324893814" r:id="rId512"/>
        </w:object>
      </w:r>
      <w:r w:rsidRPr="00802C03">
        <w:rPr>
          <w:rFonts w:ascii="Garamond" w:hAnsi="Garamond" w:cs="NimbusRomNo9L-Regu"/>
          <w:lang w:val="en-GB" w:eastAsia="nl-NL"/>
        </w:rPr>
        <w:t xml:space="preserve"> of standard normally distributed variables from the </w:t>
      </w:r>
      <w:r w:rsidRPr="00100BDF">
        <w:rPr>
          <w:rFonts w:ascii="Garamond" w:hAnsi="Garamond" w:cs="NimbusRomNo9L-Regu"/>
          <w:position w:val="-6"/>
          <w:lang w:val="en-GB" w:eastAsia="nl-NL"/>
        </w:rPr>
        <w:object w:dxaOrig="180" w:dyaOrig="200">
          <v:shape id="_x0000_i1314" type="#_x0000_t75" style="width:9pt;height:9.75pt" o:ole="">
            <v:imagedata r:id="rId513" o:title=""/>
          </v:shape>
          <o:OLEObject Type="Embed" ProgID="Equation.DSMT4" ShapeID="_x0000_i1314" DrawAspect="Content" ObjectID="_1324893815" r:id="rId514"/>
        </w:object>
      </w:r>
      <w:r w:rsidRPr="00802C03">
        <w:rPr>
          <w:rFonts w:ascii="Garamond" w:hAnsi="Garamond" w:cs="NimbusRomNo9L-Regu"/>
          <w:lang w:val="en-GB" w:eastAsia="nl-NL"/>
        </w:rPr>
        <w:t xml:space="preserve">-dimensional Gaussian copula </w:t>
      </w:r>
      <w:r w:rsidRPr="00100BDF">
        <w:rPr>
          <w:rFonts w:ascii="Garamond" w:hAnsi="Garamond" w:cs="NimbusRomNo9L-Regu"/>
          <w:position w:val="-8"/>
          <w:lang w:val="en-GB" w:eastAsia="nl-NL"/>
        </w:rPr>
        <w:object w:dxaOrig="340" w:dyaOrig="300">
          <v:shape id="_x0000_i1315" type="#_x0000_t75" style="width:16.5pt;height:15pt" o:ole="">
            <v:imagedata r:id="rId515" o:title=""/>
          </v:shape>
          <o:OLEObject Type="Embed" ProgID="Equation.DSMT4" ShapeID="_x0000_i1315" DrawAspect="Content" ObjectID="_1324893816" r:id="rId516"/>
        </w:object>
      </w:r>
      <w:r w:rsidRPr="00802C03">
        <w:rPr>
          <w:rFonts w:ascii="Garamond" w:hAnsi="Garamond" w:cs="NimbusRomNo9L-Regu"/>
          <w:lang w:val="en-GB" w:eastAsia="nl-NL"/>
        </w:rPr>
        <w:t xml:space="preserve">. Thus, </w:t>
      </w:r>
      <w:r w:rsidRPr="00100BDF">
        <w:rPr>
          <w:rFonts w:ascii="Garamond" w:hAnsi="Garamond" w:cs="NimbusRomNo9L-Regu"/>
          <w:position w:val="-10"/>
          <w:lang w:val="en-GB" w:eastAsia="nl-NL"/>
        </w:rPr>
        <w:object w:dxaOrig="1160" w:dyaOrig="300">
          <v:shape id="_x0000_i1316" type="#_x0000_t75" style="width:57.75pt;height:15pt" o:ole="">
            <v:imagedata r:id="rId517" o:title=""/>
          </v:shape>
          <o:OLEObject Type="Embed" ProgID="Equation.DSMT4" ShapeID="_x0000_i1316" DrawAspect="Content" ObjectID="_1324893817" r:id="rId518"/>
        </w:object>
      </w:r>
      <w:r w:rsidRPr="00802C03">
        <w:rPr>
          <w:rFonts w:ascii="Garamond" w:hAnsi="Garamond" w:cs="NimbusRomNo9L-Regu"/>
          <w:lang w:val="en-GB" w:eastAsia="nl-NL"/>
        </w:rPr>
        <w:t>.</w:t>
      </w:r>
    </w:p>
    <w:p w:rsidR="001C7C52" w:rsidRPr="00802C03" w:rsidRDefault="001C7C52" w:rsidP="00CE6542">
      <w:pPr>
        <w:overflowPunct/>
        <w:autoSpaceDE/>
        <w:autoSpaceDN/>
        <w:adjustRightInd/>
        <w:spacing w:line="280" w:lineRule="exact"/>
        <w:jc w:val="both"/>
        <w:textAlignment w:val="auto"/>
        <w:rPr>
          <w:rFonts w:ascii="Garamond" w:hAnsi="Garamond" w:cs="NimbusRomNo9L-Regu"/>
          <w:lang w:val="en-GB" w:eastAsia="nl-NL"/>
        </w:rPr>
      </w:pPr>
      <w:r w:rsidRPr="00802C03">
        <w:rPr>
          <w:rFonts w:ascii="Garamond" w:hAnsi="Garamond" w:cs="NimbusRomNo9L-Regu"/>
          <w:lang w:val="en-GB" w:eastAsia="nl-NL"/>
        </w:rPr>
        <w:t xml:space="preserve">Vector </w:t>
      </w:r>
      <w:r w:rsidRPr="00100BDF">
        <w:rPr>
          <w:rFonts w:ascii="Garamond" w:hAnsi="Garamond" w:cs="NimbusRomNo9L-Regu"/>
          <w:position w:val="-4"/>
          <w:lang w:val="en-GB" w:eastAsia="nl-NL"/>
        </w:rPr>
        <w:object w:dxaOrig="180" w:dyaOrig="180">
          <v:shape id="_x0000_i1317" type="#_x0000_t75" style="width:9pt;height:9pt" o:ole="">
            <v:imagedata r:id="rId519" o:title=""/>
          </v:shape>
          <o:OLEObject Type="Embed" ProgID="Equation.DSMT4" ShapeID="_x0000_i1317" DrawAspect="Content" ObjectID="_1324893818" r:id="rId520"/>
        </w:object>
      </w:r>
      <w:r w:rsidRPr="00802C03">
        <w:rPr>
          <w:rFonts w:ascii="Garamond" w:hAnsi="Garamond" w:cs="NimbusRomNo9L-Regu"/>
          <w:lang w:val="en-GB" w:eastAsia="nl-NL"/>
        </w:rPr>
        <w:t xml:space="preserve"> contains the correlated simulated asset returns of one scenario in the CreditMetrics model.</w:t>
      </w:r>
      <w:r w:rsidRPr="00802C03">
        <w:rPr>
          <w:rStyle w:val="FootnoteReference"/>
          <w:rFonts w:ascii="Garamond" w:hAnsi="Garamond" w:cs="NimbusRomNo9L-Regu"/>
          <w:lang w:val="en-GB" w:eastAsia="nl-NL"/>
        </w:rPr>
        <w:footnoteReference w:id="31"/>
      </w:r>
    </w:p>
    <w:p w:rsidR="001C7C52" w:rsidRPr="00802C03" w:rsidRDefault="001C7C52" w:rsidP="00CE6542">
      <w:pPr>
        <w:overflowPunct/>
        <w:autoSpaceDE/>
        <w:autoSpaceDN/>
        <w:adjustRightInd/>
        <w:spacing w:line="160" w:lineRule="exact"/>
        <w:jc w:val="both"/>
        <w:textAlignment w:val="auto"/>
        <w:rPr>
          <w:rFonts w:ascii="Garamond" w:hAnsi="Garamond" w:cs="NimbusRomNo9L-Regu"/>
          <w:lang w:val="en-GB" w:eastAsia="nl-NL"/>
        </w:rPr>
      </w:pPr>
    </w:p>
    <w:p w:rsidR="001C7C52" w:rsidRPr="00802C03" w:rsidRDefault="001C7C52" w:rsidP="00CE6542">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intuition behind the Gaussian copula is quite simple. Consider two independent random drawings from the standard normal distribution. In an issuer asset return simulation, this would translate into two simulated asset returns for two different issuers. The two issuer asset returns are independent and therefore have a correlation equal to zero. When the above steps are applied to introduce a correlation between both issuer asset returns, the asset return of the first issuer is left unchanged, whereas the one of the second issuer is modified by combining it with the one of the first issuer. A new asset return for the second issuer is created that is normally distributed and correlated to the return of the first issuer. The result is that when the first issuer has a low simulated asset return (below zero), then if the introduced correlation is positive, the second issuer’s return is more likely to be low as well (below zero). Hence, the downgrade and default probabilities for the second issuer are larger than the credit migration matrix implies in that particular simulation scenario. The only required assumption is that the relation between both issuer asset returns is of a Gaussian nature.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addition to the Gaussian assumption, there are numerous other distributional copula assumptions that can be applied in a simulation framework such as the CreditMetrics model. For that matter,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-copula is applied as well in the correlation structure of the model that is proposed in this study. The Gaussian copula preserves the underlying distribution of the individual random variables but the joint distribution is like a multi-dimension Gaussian. This structure naturally assigns little weight to the tails. However, in practice, financial market (equity or asset return) data is frequently subject to fat tails (excess kurtosis). Moreover, it is more often than not the tails that are most interesting. Then if one desires a fat tailed distribution similar to the Gaussian, the obvious choice is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w:t>
      </w:r>
    </w:p>
    <w:p w:rsidR="001C7C52" w:rsidRPr="00802C03" w:rsidRDefault="001C7C52" w:rsidP="006851C7">
      <w:pPr>
        <w:spacing w:line="280" w:lineRule="exact"/>
        <w:jc w:val="both"/>
        <w:rPr>
          <w:rFonts w:ascii="Garamond" w:hAnsi="Garamond" w:cs="NimbusRomNo9L-Regu"/>
          <w:lang w:val="en-GB" w:eastAsia="nl-NL"/>
        </w:rPr>
      </w:pPr>
      <w:hyperlink w:anchor="Blattberg_Gonedes_1974" w:history="1">
        <w:r w:rsidRPr="00802C03">
          <w:rPr>
            <w:rStyle w:val="Hyperlink"/>
            <w:rFonts w:ascii="Garamond" w:hAnsi="Garamond" w:cs="NimbusRomNo9L-Regu"/>
            <w:color w:val="000066"/>
            <w:u w:val="none"/>
            <w:lang w:val="en-GB" w:eastAsia="nl-NL"/>
          </w:rPr>
          <w:t>Blattberg &amp; Gonedes (1974)</w:t>
        </w:r>
      </w:hyperlink>
      <w:r w:rsidRPr="00802C03">
        <w:rPr>
          <w:rFonts w:ascii="Garamond" w:hAnsi="Garamond" w:cs="NimbusRomNo9L-Regu"/>
          <w:lang w:val="en-GB" w:eastAsia="nl-NL"/>
        </w:rPr>
        <w:t xml:space="preserve"> introduced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as a model of asset returns. Since then, this model has become a benchmark for asset return models.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is an attractive model since it is able to capture the excess kurtosis observed in financial time-series. Furthermore, its mathematical properties are well known.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is mainly a descriptive model that seems to fit financial data well and for this reason it has been applied very frequently in finance. </w:t>
      </w:r>
      <w:hyperlink w:anchor="Toyli_2002" w:history="1">
        <w:r w:rsidRPr="00802C03">
          <w:rPr>
            <w:rStyle w:val="Hyperlink"/>
            <w:rFonts w:ascii="Garamond" w:hAnsi="Garamond" w:cs="NimbusRomNo9L-Regu"/>
            <w:color w:val="000066"/>
            <w:u w:val="none"/>
            <w:lang w:val="en-GB" w:eastAsia="nl-NL"/>
          </w:rPr>
          <w:t>Töyli (2002)</w:t>
        </w:r>
      </w:hyperlink>
      <w:r w:rsidRPr="00802C03">
        <w:rPr>
          <w:rFonts w:ascii="Garamond" w:hAnsi="Garamond" w:cs="NimbusRomNo9L-Regu"/>
          <w:lang w:val="en-GB" w:eastAsia="nl-NL"/>
        </w:rPr>
        <w:t xml:space="preserve"> for example, assesses a large number of asset return models and finds that the Student’s </w:t>
      </w:r>
      <w:r w:rsidRPr="00802C03">
        <w:rPr>
          <w:rFonts w:ascii="Garamond" w:hAnsi="Garamond" w:cs="NimbusRomNo9L-Regu"/>
          <w:i/>
          <w:lang w:val="en-GB" w:eastAsia="nl-NL"/>
        </w:rPr>
        <w:t>t</w:t>
      </w:r>
      <w:r w:rsidRPr="00802C03">
        <w:rPr>
          <w:rFonts w:ascii="Garamond" w:hAnsi="Garamond" w:cs="NimbusRomNo9L-Regu"/>
          <w:lang w:val="en-GB" w:eastAsia="nl-NL"/>
        </w:rPr>
        <w:t>-distribution generally is the best fitting model for financial asset return data.</w:t>
      </w:r>
      <w:r w:rsidRPr="00802C03">
        <w:rPr>
          <w:rStyle w:val="FootnoteReference"/>
          <w:rFonts w:ascii="Garamond" w:hAnsi="Garamond" w:cs="NimbusRomNo9L-Regu"/>
          <w:lang w:val="en-GB" w:eastAsia="nl-NL"/>
        </w:rPr>
        <w:footnoteReference w:id="32"/>
      </w:r>
      <w:r w:rsidRPr="00802C03">
        <w:rPr>
          <w:rFonts w:ascii="Garamond" w:hAnsi="Garamond" w:cs="NimbusRomNo9L-Regu"/>
          <w:lang w:val="en-GB" w:eastAsia="nl-NL"/>
        </w:rPr>
        <w:t xml:space="preserve"> In addition, </w:t>
      </w:r>
      <w:hyperlink w:anchor="LeBaron_2009" w:history="1">
        <w:r w:rsidRPr="00802C03">
          <w:rPr>
            <w:rStyle w:val="Hyperlink"/>
            <w:rFonts w:ascii="Garamond" w:hAnsi="Garamond" w:cs="NimbusRomNo9L-Regu"/>
            <w:color w:val="000066"/>
            <w:u w:val="none"/>
            <w:lang w:val="en-GB" w:eastAsia="nl-NL"/>
          </w:rPr>
          <w:t>LeBaron (2009)</w:t>
        </w:r>
      </w:hyperlink>
      <w:r w:rsidRPr="00802C03">
        <w:rPr>
          <w:rFonts w:ascii="Garamond" w:hAnsi="Garamond" w:cs="NimbusRomNo9L-Regu"/>
          <w:lang w:val="en-GB" w:eastAsia="nl-NL"/>
        </w:rPr>
        <w:t xml:space="preserve"> shows that the Student’s </w:t>
      </w:r>
      <w:r w:rsidRPr="00802C03">
        <w:rPr>
          <w:rFonts w:ascii="Garamond" w:hAnsi="Garamond" w:cs="NimbusRomNo9L-Regu"/>
          <w:i/>
          <w:lang w:val="en-GB" w:eastAsia="nl-NL"/>
        </w:rPr>
        <w:t>t</w:t>
      </w:r>
      <w:r w:rsidRPr="00802C03">
        <w:rPr>
          <w:rFonts w:ascii="Garamond" w:hAnsi="Garamond" w:cs="NimbusRomNo9L-Regu"/>
          <w:lang w:val="en-GB" w:eastAsia="nl-NL"/>
        </w:rPr>
        <w:t>-distribution provides a fairly good approximation of tails distributions of stock return data.</w:t>
      </w:r>
      <w:r w:rsidRPr="00802C03">
        <w:rPr>
          <w:rStyle w:val="FootnoteReference"/>
          <w:rFonts w:ascii="Garamond" w:hAnsi="Garamond" w:cs="NimbusRomNo9L-Regu"/>
          <w:lang w:val="en-GB" w:eastAsia="nl-NL"/>
        </w:rPr>
        <w:footnoteReference w:id="33"/>
      </w:r>
      <w:r w:rsidRPr="00802C03">
        <w:rPr>
          <w:rFonts w:ascii="Garamond" w:hAnsi="Garamond" w:cs="NimbusRomNo9L-Regu"/>
          <w:lang w:val="en-GB" w:eastAsia="nl-NL"/>
        </w:rPr>
        <w:t xml:space="preserve"> These descriptive qualities of this distribution is exactly what is required in the correlation structure of the incremental risk model, as the accuracy of a simulation model generally dependents on such qualities.</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-copula is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-distribution’s variant in the assessment of linear correlation between variables. Obviously, the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copula provides a different specification of the link between multiple distributions than the Gaussian one. It incorporates the appealing tail dependence that can be found in a univariate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into the linear dependence in the multivariate context. The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copula is obtained in a similar way as the Gaussian copula. Instead of the Gaussian distribution the </w:t>
      </w:r>
      <w:r w:rsidRPr="00802C03">
        <w:rPr>
          <w:rFonts w:ascii="Garamond" w:hAnsi="Garamond" w:cs="NimbusRomNo9L-Regu"/>
          <w:i/>
          <w:lang w:val="en-GB" w:eastAsia="nl-NL"/>
        </w:rPr>
        <w:t>t</w:t>
      </w:r>
      <w:r w:rsidRPr="00802C03">
        <w:rPr>
          <w:rFonts w:ascii="Garamond" w:hAnsi="Garamond" w:cs="NimbusRomNo9L-Regu"/>
          <w:lang w:val="en-GB" w:eastAsia="nl-NL"/>
        </w:rPr>
        <w:t>-distribution is used:</w:t>
      </w:r>
    </w:p>
    <w:p w:rsidR="001C7C52" w:rsidRPr="00802C03" w:rsidRDefault="001C7C52" w:rsidP="000A5FD9">
      <w:pPr>
        <w:tabs>
          <w:tab w:val="left" w:pos="567"/>
          <w:tab w:val="left" w:pos="8505"/>
        </w:tabs>
        <w:spacing w:before="8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58"/>
          <w:lang w:val="en-GB" w:eastAsia="nl-NL"/>
        </w:rPr>
        <w:object w:dxaOrig="5980" w:dyaOrig="1260">
          <v:shape id="_x0000_i1318" type="#_x0000_t75" style="width:299.25pt;height:63pt" o:ole="">
            <v:imagedata r:id="rId521" o:title=""/>
          </v:shape>
          <o:OLEObject Type="Embed" ProgID="Equation.DSMT4" ShapeID="_x0000_i1318" DrawAspect="Content" ObjectID="_1324893819" r:id="rId52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920" w:dyaOrig="300">
          <v:shape id="_x0000_i1319" type="#_x0000_t75" style="width:45.75pt;height:15pt" o:ole="">
            <v:imagedata r:id="rId523" o:title=""/>
          </v:shape>
          <o:OLEObject Type="Embed" ProgID="Equation.DSMT4" ShapeID="_x0000_i1319" DrawAspect="Content" ObjectID="_1324893820" r:id="rId524"/>
        </w:object>
      </w:r>
      <w:r w:rsidRPr="00802C03">
        <w:rPr>
          <w:rFonts w:ascii="Garamond" w:hAnsi="Garamond" w:cs="NimbusRomNo9L-Regu"/>
          <w:lang w:val="en-GB" w:eastAsia="nl-NL"/>
        </w:rPr>
        <w:t>,</w:t>
      </w:r>
      <w:r w:rsidRPr="00802C03">
        <w:rPr>
          <w:rFonts w:ascii="Garamond" w:hAnsi="Garamond" w:cs="NimbusRomNo9L-Regu"/>
          <w:lang w:val="en-GB" w:eastAsia="nl-NL"/>
        </w:rPr>
        <w:tab/>
        <w:t>(1.30)</w:t>
      </w:r>
    </w:p>
    <w:p w:rsidR="001C7C52" w:rsidRPr="00802C03" w:rsidRDefault="001C7C52" w:rsidP="00E5145A">
      <w:pPr>
        <w:spacing w:before="12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6"/>
          <w:lang w:val="en-GB" w:eastAsia="nl-NL"/>
        </w:rPr>
        <w:object w:dxaOrig="220" w:dyaOrig="240">
          <v:shape id="_x0000_i1320" type="#_x0000_t75" style="width:11.25pt;height:12pt" o:ole="">
            <v:imagedata r:id="rId525" o:title=""/>
          </v:shape>
          <o:OLEObject Type="Embed" ProgID="Equation.DSMT4" ShapeID="_x0000_i1320" DrawAspect="Content" ObjectID="_1324893821" r:id="rId526"/>
        </w:object>
      </w:r>
      <w:r w:rsidRPr="00802C03">
        <w:rPr>
          <w:rFonts w:ascii="Garamond" w:hAnsi="Garamond" w:cs="NimbusRomNo9L-Regu"/>
          <w:lang w:val="en-GB" w:eastAsia="nl-NL"/>
        </w:rPr>
        <w:t xml:space="preserve"> is again the correlation matrix, </w:t>
      </w:r>
      <w:r w:rsidRPr="00100BDF">
        <w:rPr>
          <w:rFonts w:ascii="Garamond" w:hAnsi="Garamond" w:cs="NimbusRomNo9L-Regu"/>
          <w:position w:val="-10"/>
          <w:lang w:val="en-GB" w:eastAsia="nl-NL"/>
        </w:rPr>
        <w:object w:dxaOrig="2360" w:dyaOrig="320">
          <v:shape id="_x0000_i1321" type="#_x0000_t75" style="width:117pt;height:15.75pt" o:ole="">
            <v:imagedata r:id="rId527" o:title=""/>
          </v:shape>
          <o:OLEObject Type="Embed" ProgID="Equation.DSMT4" ShapeID="_x0000_i1321" DrawAspect="Content" ObjectID="_1324893822" r:id="rId52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520" w:dyaOrig="320">
          <v:shape id="_x0000_i1322" type="#_x0000_t75" style="width:26.25pt;height:15.75pt" o:ole="">
            <v:imagedata r:id="rId529" o:title=""/>
          </v:shape>
          <o:OLEObject Type="Embed" ProgID="Equation.DSMT4" ShapeID="_x0000_i1322" DrawAspect="Content" ObjectID="_1324893823" r:id="rId530"/>
        </w:object>
      </w:r>
      <w:r w:rsidRPr="00802C03">
        <w:rPr>
          <w:rFonts w:ascii="Garamond" w:hAnsi="Garamond" w:cs="NimbusRomNo9L-Regu"/>
          <w:lang w:val="en-GB" w:eastAsia="nl-NL"/>
        </w:rPr>
        <w:t xml:space="preserve"> is the inverse of the univariate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cumulative distribution function, </w:t>
      </w:r>
      <w:r w:rsidRPr="00100BDF">
        <w:rPr>
          <w:rFonts w:ascii="Garamond" w:hAnsi="Garamond" w:cs="NimbusRomNo9L-Regu"/>
          <w:position w:val="-6"/>
          <w:lang w:val="en-GB" w:eastAsia="nl-NL"/>
        </w:rPr>
        <w:object w:dxaOrig="180" w:dyaOrig="200">
          <v:shape id="_x0000_i1323" type="#_x0000_t75" style="width:9pt;height:9.75pt" o:ole="">
            <v:imagedata r:id="rId531" o:title=""/>
          </v:shape>
          <o:OLEObject Type="Embed" ProgID="Equation.DSMT4" ShapeID="_x0000_i1323" DrawAspect="Content" ObjectID="_1324893824" r:id="rId532"/>
        </w:object>
      </w:r>
      <w:r w:rsidRPr="00802C03">
        <w:rPr>
          <w:rFonts w:ascii="Garamond" w:hAnsi="Garamond" w:cs="NimbusRomNo9L-Regu"/>
          <w:lang w:val="en-GB" w:eastAsia="nl-NL"/>
        </w:rPr>
        <w:t xml:space="preserve"> is the degree of freedom and </w:t>
      </w:r>
      <w:r w:rsidRPr="00100BDF">
        <w:rPr>
          <w:rFonts w:ascii="Garamond" w:hAnsi="Garamond" w:cs="NimbusRomNo9L-Regu"/>
          <w:position w:val="-10"/>
          <w:lang w:val="en-GB" w:eastAsia="nl-NL"/>
        </w:rPr>
        <w:object w:dxaOrig="380" w:dyaOrig="300">
          <v:shape id="_x0000_i1324" type="#_x0000_t75" style="width:18.75pt;height:15pt" o:ole="">
            <v:imagedata r:id="rId533" o:title=""/>
          </v:shape>
          <o:OLEObject Type="Embed" ProgID="Equation.DSMT4" ShapeID="_x0000_i1324" DrawAspect="Content" ObjectID="_1324893825" r:id="rId534"/>
        </w:object>
      </w:r>
      <w:r w:rsidRPr="00802C03">
        <w:rPr>
          <w:rFonts w:ascii="Garamond" w:hAnsi="Garamond" w:cs="NimbusRomNo9L-Regu"/>
          <w:lang w:val="en-GB" w:eastAsia="nl-NL"/>
        </w:rPr>
        <w:t xml:space="preserve"> is the gamma function.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In the bivariate case, the copula has two parameters: the degrees of freedom (</w:t>
      </w:r>
      <w:r w:rsidRPr="00100BDF">
        <w:rPr>
          <w:rFonts w:ascii="Garamond" w:hAnsi="Garamond" w:cs="NimbusRomNo9L-Regu"/>
          <w:position w:val="-6"/>
          <w:lang w:val="en-GB" w:eastAsia="nl-NL"/>
        </w:rPr>
        <w:object w:dxaOrig="180" w:dyaOrig="200">
          <v:shape id="_x0000_i1325" type="#_x0000_t75" style="width:9pt;height:9.75pt" o:ole="">
            <v:imagedata r:id="rId535" o:title=""/>
          </v:shape>
          <o:OLEObject Type="Embed" ProgID="Equation.DSMT4" ShapeID="_x0000_i1325" DrawAspect="Content" ObjectID="_1324893826" r:id="rId536"/>
        </w:object>
      </w:r>
      <w:r w:rsidRPr="00802C03">
        <w:rPr>
          <w:rFonts w:ascii="Garamond" w:hAnsi="Garamond" w:cs="NimbusRomNo9L-Regu"/>
          <w:lang w:val="en-GB" w:eastAsia="nl-NL"/>
        </w:rPr>
        <w:t>) and correlation coefficient     (</w:t>
      </w:r>
      <w:r w:rsidRPr="00100BDF">
        <w:rPr>
          <w:rFonts w:ascii="Garamond" w:hAnsi="Garamond" w:cs="NimbusRomNo9L-Regu"/>
          <w:position w:val="-10"/>
          <w:lang w:val="en-GB" w:eastAsia="nl-NL"/>
        </w:rPr>
        <w:object w:dxaOrig="300" w:dyaOrig="300">
          <v:shape id="_x0000_i1326" type="#_x0000_t75" style="width:15pt;height:15pt" o:ole="">
            <v:imagedata r:id="rId537" o:title=""/>
          </v:shape>
          <o:OLEObject Type="Embed" ProgID="Equation.DSMT4" ShapeID="_x0000_i1326" DrawAspect="Content" ObjectID="_1324893827" r:id="rId538"/>
        </w:object>
      </w:r>
      <w:r w:rsidRPr="00802C03">
        <w:rPr>
          <w:rFonts w:ascii="Garamond" w:hAnsi="Garamond" w:cs="NimbusRomNo9L-Regu"/>
          <w:lang w:val="en-GB" w:eastAsia="nl-NL"/>
        </w:rPr>
        <w:t xml:space="preserve">) from correlation matrix </w:t>
      </w:r>
      <w:r w:rsidRPr="00100BDF">
        <w:rPr>
          <w:rFonts w:ascii="Garamond" w:hAnsi="Garamond" w:cs="NimbusRomNo9L-Regu"/>
          <w:position w:val="-6"/>
          <w:lang w:val="en-GB" w:eastAsia="nl-NL"/>
        </w:rPr>
        <w:object w:dxaOrig="220" w:dyaOrig="240">
          <v:shape id="_x0000_i1327" type="#_x0000_t75" style="width:11.25pt;height:12pt" o:ole="">
            <v:imagedata r:id="rId539" o:title=""/>
          </v:shape>
          <o:OLEObject Type="Embed" ProgID="Equation.DSMT4" ShapeID="_x0000_i1327" DrawAspect="Content" ObjectID="_1324893828" r:id="rId540"/>
        </w:object>
      </w:r>
      <w:r w:rsidRPr="00802C03">
        <w:rPr>
          <w:rFonts w:ascii="Garamond" w:hAnsi="Garamond" w:cs="NimbusRomNo9L-Regu"/>
          <w:lang w:val="en-GB" w:eastAsia="nl-NL"/>
        </w:rPr>
        <w:t xml:space="preserve">.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followings steps have to be taken to generate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-distributed random variables, with </w:t>
      </w:r>
      <w:r w:rsidRPr="00100BDF">
        <w:rPr>
          <w:rFonts w:ascii="Garamond" w:hAnsi="Garamond" w:cs="NimbusRomNo9L-Regu"/>
          <w:position w:val="-6"/>
          <w:lang w:val="en-GB" w:eastAsia="nl-NL"/>
        </w:rPr>
        <w:object w:dxaOrig="180" w:dyaOrig="200">
          <v:shape id="_x0000_i1328" type="#_x0000_t75" style="width:9pt;height:9.75pt" o:ole="">
            <v:imagedata r:id="rId541" o:title=""/>
          </v:shape>
          <o:OLEObject Type="Embed" ProgID="Equation.DSMT4" ShapeID="_x0000_i1328" DrawAspect="Content" ObjectID="_1324893829" r:id="rId542"/>
        </w:object>
      </w:r>
      <w:r w:rsidRPr="00802C03">
        <w:rPr>
          <w:rFonts w:ascii="Garamond" w:hAnsi="Garamond" w:cs="NimbusRomNo9L-Regu"/>
          <w:lang w:val="en-GB" w:eastAsia="nl-NL"/>
        </w:rPr>
        <w:t xml:space="preserve"> degrees of freedom, that are correlated through the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copula </w:t>
      </w:r>
      <w:r w:rsidRPr="00100BDF">
        <w:rPr>
          <w:rFonts w:ascii="Garamond" w:hAnsi="Garamond" w:cs="NimbusRomNo9L-Regu"/>
          <w:position w:val="-10"/>
          <w:lang w:val="en-GB" w:eastAsia="nl-NL"/>
        </w:rPr>
        <w:object w:dxaOrig="2160" w:dyaOrig="300">
          <v:shape id="_x0000_i1329" type="#_x0000_t75" style="width:108pt;height:15pt" o:ole="">
            <v:imagedata r:id="rId543" o:title=""/>
          </v:shape>
          <o:OLEObject Type="Embed" ProgID="Equation.DSMT4" ShapeID="_x0000_i1329" DrawAspect="Content" ObjectID="_1324893830" r:id="rId544"/>
        </w:object>
      </w:r>
      <w:r w:rsidRPr="00802C03">
        <w:rPr>
          <w:rFonts w:ascii="Garamond" w:hAnsi="Garamond" w:cs="NimbusRomNo9L-Regu"/>
          <w:lang w:val="en-GB" w:eastAsia="nl-NL"/>
        </w:rPr>
        <w:t>:</w:t>
      </w:r>
    </w:p>
    <w:p w:rsidR="001C7C52" w:rsidRPr="00802C03" w:rsidRDefault="001C7C52" w:rsidP="00BF30BE">
      <w:pPr>
        <w:numPr>
          <w:ilvl w:val="2"/>
          <w:numId w:val="13"/>
        </w:numPr>
        <w:tabs>
          <w:tab w:val="clear" w:pos="2340"/>
          <w:tab w:val="num" w:pos="567"/>
        </w:tabs>
        <w:overflowPunct/>
        <w:autoSpaceDE/>
        <w:autoSpaceDN/>
        <w:adjustRightInd/>
        <w:spacing w:line="280" w:lineRule="exact"/>
        <w:ind w:hanging="2056"/>
        <w:jc w:val="both"/>
        <w:textAlignment w:val="auto"/>
        <w:rPr>
          <w:rFonts w:ascii="Garamond" w:hAnsi="Garamond" w:cs="NimbusRomNo9L-Regu"/>
          <w:lang w:val="en-GB" w:eastAsia="nl-NL"/>
        </w:rPr>
      </w:pPr>
      <w:r w:rsidRPr="00802C03">
        <w:rPr>
          <w:rFonts w:ascii="Garamond" w:hAnsi="Garamond" w:cs="NimbusRomNo9L-Regu"/>
          <w:lang w:val="en-GB" w:eastAsia="nl-NL"/>
        </w:rPr>
        <w:t>Calculate the Cholesky decomposition (</w:t>
      </w:r>
      <w:r w:rsidRPr="00100BDF">
        <w:rPr>
          <w:rFonts w:ascii="Garamond" w:hAnsi="Garamond" w:cs="NimbusRomNo9L-Regu"/>
          <w:position w:val="-4"/>
          <w:lang w:val="en-GB" w:eastAsia="nl-NL"/>
        </w:rPr>
        <w:object w:dxaOrig="220" w:dyaOrig="220">
          <v:shape id="_x0000_i1330" type="#_x0000_t75" style="width:11.25pt;height:11.25pt" o:ole="">
            <v:imagedata r:id="rId545" o:title=""/>
          </v:shape>
          <o:OLEObject Type="Embed" ProgID="Equation.DSMT4" ShapeID="_x0000_i1330" DrawAspect="Content" ObjectID="_1324893831" r:id="rId546"/>
        </w:object>
      </w:r>
      <w:r w:rsidRPr="00802C03">
        <w:rPr>
          <w:rFonts w:ascii="Garamond" w:hAnsi="Garamond" w:cs="NimbusRomNo9L-Regu"/>
          <w:lang w:val="en-GB" w:eastAsia="nl-NL"/>
        </w:rPr>
        <w:t xml:space="preserve">) of correlation matrix </w:t>
      </w:r>
      <w:r w:rsidRPr="00100BDF">
        <w:rPr>
          <w:rFonts w:ascii="Garamond" w:hAnsi="Garamond" w:cs="NimbusRomNo9L-Regu"/>
          <w:position w:val="-6"/>
          <w:lang w:val="en-GB" w:eastAsia="nl-NL"/>
        </w:rPr>
        <w:object w:dxaOrig="220" w:dyaOrig="240">
          <v:shape id="_x0000_i1331" type="#_x0000_t75" style="width:11.25pt;height:12pt" o:ole="">
            <v:imagedata r:id="rId547" o:title=""/>
          </v:shape>
          <o:OLEObject Type="Embed" ProgID="Equation.DSMT4" ShapeID="_x0000_i1331" DrawAspect="Content" ObjectID="_1324893832" r:id="rId548"/>
        </w:object>
      </w:r>
      <w:r w:rsidRPr="00802C03">
        <w:rPr>
          <w:rFonts w:ascii="Garamond" w:hAnsi="Garamond" w:cs="NimbusRomNo9L-Regu"/>
          <w:lang w:val="en-GB" w:eastAsia="nl-NL"/>
        </w:rPr>
        <w:t xml:space="preserve">, such that </w:t>
      </w:r>
      <w:r w:rsidRPr="00100BDF">
        <w:rPr>
          <w:rFonts w:ascii="Garamond" w:hAnsi="Garamond" w:cs="NimbusRomNo9L-Regu"/>
          <w:position w:val="-6"/>
          <w:lang w:val="en-GB" w:eastAsia="nl-NL"/>
        </w:rPr>
        <w:object w:dxaOrig="760" w:dyaOrig="240">
          <v:shape id="_x0000_i1332" type="#_x0000_t75" style="width:38.25pt;height:12pt" o:ole="">
            <v:imagedata r:id="rId549" o:title=""/>
          </v:shape>
          <o:OLEObject Type="Embed" ProgID="Equation.DSMT4" ShapeID="_x0000_i1332" DrawAspect="Content" ObjectID="_1324893833" r:id="rId550"/>
        </w:object>
      </w:r>
      <w:r w:rsidRPr="00802C03">
        <w:rPr>
          <w:rFonts w:ascii="Garamond" w:hAnsi="Garamond" w:cs="NimbusRomNo9L-Regu"/>
          <w:lang w:val="en-GB" w:eastAsia="nl-NL"/>
        </w:rPr>
        <w:t>.</w:t>
      </w:r>
    </w:p>
    <w:p w:rsidR="001C7C52" w:rsidRPr="00802C03" w:rsidRDefault="001C7C52" w:rsidP="00BF30BE">
      <w:pPr>
        <w:numPr>
          <w:ilvl w:val="2"/>
          <w:numId w:val="13"/>
        </w:numPr>
        <w:tabs>
          <w:tab w:val="clear" w:pos="2340"/>
          <w:tab w:val="num" w:pos="567"/>
        </w:tabs>
        <w:overflowPunct/>
        <w:autoSpaceDE/>
        <w:autoSpaceDN/>
        <w:adjustRightInd/>
        <w:spacing w:line="280" w:lineRule="exact"/>
        <w:ind w:hanging="2056"/>
        <w:jc w:val="both"/>
        <w:textAlignment w:val="auto"/>
        <w:rPr>
          <w:rFonts w:ascii="Garamond" w:hAnsi="Garamond" w:cs="NimbusRomNo9L-Regu"/>
          <w:lang w:val="en-GB" w:eastAsia="nl-NL"/>
        </w:rPr>
      </w:pPr>
      <w:r w:rsidRPr="00802C03">
        <w:rPr>
          <w:rFonts w:ascii="Garamond" w:hAnsi="Garamond" w:cs="NimbusRomNo9L-Regu"/>
          <w:lang w:val="en-GB" w:eastAsia="nl-NL"/>
        </w:rPr>
        <w:t xml:space="preserve">Simulate </w:t>
      </w:r>
      <w:r w:rsidRPr="00100BDF">
        <w:rPr>
          <w:rFonts w:ascii="Garamond" w:hAnsi="Garamond" w:cs="NimbusRomNo9L-Regu"/>
          <w:position w:val="-6"/>
          <w:lang w:val="en-GB" w:eastAsia="nl-NL"/>
        </w:rPr>
        <w:object w:dxaOrig="180" w:dyaOrig="200">
          <v:shape id="_x0000_i1333" type="#_x0000_t75" style="width:9pt;height:9.75pt" o:ole="">
            <v:imagedata r:id="rId551" o:title=""/>
          </v:shape>
          <o:OLEObject Type="Embed" ProgID="Equation.DSMT4" ShapeID="_x0000_i1333" DrawAspect="Content" ObjectID="_1324893834" r:id="rId552"/>
        </w:object>
      </w:r>
      <w:r w:rsidRPr="00802C03">
        <w:rPr>
          <w:rFonts w:ascii="Garamond" w:hAnsi="Garamond" w:cs="NimbusRomNo9L-Regu"/>
          <w:lang w:val="en-GB" w:eastAsia="nl-NL"/>
        </w:rPr>
        <w:t xml:space="preserve"> independent standard normal random variables </w:t>
      </w:r>
      <w:r w:rsidRPr="00100BDF">
        <w:rPr>
          <w:rFonts w:ascii="Garamond" w:hAnsi="Garamond" w:cs="NimbusRomNo9L-Regu"/>
          <w:position w:val="-10"/>
          <w:lang w:val="en-GB" w:eastAsia="nl-NL"/>
        </w:rPr>
        <w:object w:dxaOrig="2079" w:dyaOrig="300">
          <v:shape id="_x0000_i1334" type="#_x0000_t75" style="width:104.25pt;height:15pt" o:ole="">
            <v:imagedata r:id="rId553" o:title=""/>
          </v:shape>
          <o:OLEObject Type="Embed" ProgID="Equation.DSMT4" ShapeID="_x0000_i1334" DrawAspect="Content" ObjectID="_1324893835" r:id="rId554"/>
        </w:object>
      </w:r>
      <w:r w:rsidRPr="00802C03">
        <w:rPr>
          <w:rFonts w:ascii="Garamond" w:hAnsi="Garamond" w:cs="NimbusRomNo9L-Regu"/>
          <w:lang w:val="en-GB" w:eastAsia="nl-NL"/>
        </w:rPr>
        <w:t>.</w:t>
      </w:r>
    </w:p>
    <w:p w:rsidR="001C7C52" w:rsidRPr="00802C03" w:rsidRDefault="001C7C52" w:rsidP="00BF30BE">
      <w:pPr>
        <w:numPr>
          <w:ilvl w:val="2"/>
          <w:numId w:val="13"/>
        </w:numPr>
        <w:tabs>
          <w:tab w:val="clear" w:pos="2340"/>
          <w:tab w:val="num" w:pos="567"/>
        </w:tabs>
        <w:overflowPunct/>
        <w:autoSpaceDE/>
        <w:autoSpaceDN/>
        <w:adjustRightInd/>
        <w:spacing w:line="280" w:lineRule="exact"/>
        <w:ind w:hanging="2056"/>
        <w:jc w:val="both"/>
        <w:textAlignment w:val="auto"/>
        <w:rPr>
          <w:rFonts w:ascii="Garamond" w:hAnsi="Garamond" w:cs="NimbusRomNo9L-Regu"/>
          <w:lang w:val="en-GB" w:eastAsia="nl-NL"/>
        </w:rPr>
      </w:pPr>
      <w:r w:rsidRPr="00802C03">
        <w:rPr>
          <w:rFonts w:ascii="Garamond" w:hAnsi="Garamond" w:cs="NimbusRomNo9L-Regu"/>
          <w:lang w:val="en-GB" w:eastAsia="nl-NL"/>
        </w:rPr>
        <w:t>Simulate a random variable (</w:t>
      </w:r>
      <w:r w:rsidRPr="00100BDF">
        <w:rPr>
          <w:rFonts w:ascii="Garamond" w:hAnsi="Garamond" w:cs="NimbusRomNo9L-Regu"/>
          <w:position w:val="-6"/>
          <w:lang w:val="en-GB" w:eastAsia="nl-NL"/>
        </w:rPr>
        <w:object w:dxaOrig="160" w:dyaOrig="200">
          <v:shape id="_x0000_i1335" type="#_x0000_t75" style="width:8.25pt;height:9.75pt" o:ole="">
            <v:imagedata r:id="rId555" o:title=""/>
          </v:shape>
          <o:OLEObject Type="Embed" ProgID="Equation.DSMT4" ShapeID="_x0000_i1335" DrawAspect="Content" ObjectID="_1324893836" r:id="rId556"/>
        </w:object>
      </w:r>
      <w:r w:rsidRPr="00802C03">
        <w:rPr>
          <w:rFonts w:ascii="Garamond" w:hAnsi="Garamond" w:cs="NimbusRomNo9L-Regu"/>
          <w:lang w:val="en-GB" w:eastAsia="nl-NL"/>
        </w:rPr>
        <w:t xml:space="preserve">) from the </w:t>
      </w:r>
      <w:r w:rsidRPr="00100BDF">
        <w:rPr>
          <w:rFonts w:ascii="Garamond" w:hAnsi="Garamond" w:cs="NimbusRomNo9L-Regu"/>
          <w:position w:val="-10"/>
          <w:lang w:val="en-GB" w:eastAsia="nl-NL"/>
        </w:rPr>
        <w:object w:dxaOrig="279" w:dyaOrig="320">
          <v:shape id="_x0000_i1336" type="#_x0000_t75" style="width:13.5pt;height:15.75pt" o:ole="">
            <v:imagedata r:id="rId557" o:title=""/>
          </v:shape>
          <o:OLEObject Type="Embed" ProgID="Equation.DSMT4" ShapeID="_x0000_i1336" DrawAspect="Content" ObjectID="_1324893837" r:id="rId558"/>
        </w:object>
      </w:r>
      <w:r w:rsidRPr="00802C03">
        <w:rPr>
          <w:rFonts w:ascii="Garamond" w:hAnsi="Garamond" w:cs="NimbusRomNo9L-Regu"/>
          <w:lang w:val="en-GB" w:eastAsia="nl-NL"/>
        </w:rPr>
        <w:t xml:space="preserve">-distribution, independent of </w:t>
      </w:r>
      <w:r w:rsidRPr="00100BDF">
        <w:rPr>
          <w:rFonts w:ascii="Garamond" w:hAnsi="Garamond" w:cs="NimbusRomNo9L-Regu"/>
          <w:position w:val="-4"/>
          <w:lang w:val="en-GB" w:eastAsia="nl-NL"/>
        </w:rPr>
        <w:object w:dxaOrig="180" w:dyaOrig="180">
          <v:shape id="_x0000_i1337" type="#_x0000_t75" style="width:9pt;height:9pt" o:ole="">
            <v:imagedata r:id="rId559" o:title=""/>
          </v:shape>
          <o:OLEObject Type="Embed" ProgID="Equation.DSMT4" ShapeID="_x0000_i1337" DrawAspect="Content" ObjectID="_1324893838" r:id="rId560"/>
        </w:object>
      </w:r>
      <w:r w:rsidRPr="00802C03">
        <w:rPr>
          <w:rFonts w:ascii="Garamond" w:hAnsi="Garamond" w:cs="NimbusRomNo9L-Regu"/>
          <w:lang w:val="en-GB" w:eastAsia="nl-NL"/>
        </w:rPr>
        <w:t xml:space="preserve">. </w:t>
      </w:r>
    </w:p>
    <w:p w:rsidR="001C7C52" w:rsidRPr="00802C03" w:rsidRDefault="001C7C52" w:rsidP="00BF30BE">
      <w:pPr>
        <w:numPr>
          <w:ilvl w:val="2"/>
          <w:numId w:val="13"/>
        </w:numPr>
        <w:tabs>
          <w:tab w:val="clear" w:pos="2340"/>
          <w:tab w:val="num" w:pos="567"/>
        </w:tabs>
        <w:overflowPunct/>
        <w:autoSpaceDE/>
        <w:autoSpaceDN/>
        <w:adjustRightInd/>
        <w:spacing w:line="280" w:lineRule="exact"/>
        <w:ind w:hanging="2056"/>
        <w:jc w:val="both"/>
        <w:textAlignment w:val="auto"/>
        <w:rPr>
          <w:rFonts w:ascii="Garamond" w:hAnsi="Garamond" w:cs="NimbusRomNo9L-Regu"/>
          <w:lang w:val="en-GB" w:eastAsia="nl-NL"/>
        </w:rPr>
      </w:pPr>
      <w:r w:rsidRPr="00802C03">
        <w:rPr>
          <w:rFonts w:ascii="Garamond" w:hAnsi="Garamond" w:cs="NimbusRomNo9L-Regu"/>
          <w:lang w:val="en-GB" w:eastAsia="nl-NL"/>
        </w:rPr>
        <w:t xml:space="preserve">Compute </w:t>
      </w:r>
      <w:r w:rsidRPr="00100BDF">
        <w:rPr>
          <w:rFonts w:ascii="Garamond" w:hAnsi="Garamond" w:cs="NimbusRomNo9L-Regu"/>
          <w:position w:val="-10"/>
          <w:lang w:val="en-GB" w:eastAsia="nl-NL"/>
        </w:rPr>
        <w:object w:dxaOrig="700" w:dyaOrig="279">
          <v:shape id="_x0000_i1338" type="#_x0000_t75" style="width:35.25pt;height:13.5pt" o:ole="">
            <v:imagedata r:id="rId561" o:title=""/>
          </v:shape>
          <o:OLEObject Type="Embed" ProgID="Equation.DSMT4" ShapeID="_x0000_i1338" DrawAspect="Content" ObjectID="_1324893839" r:id="rId562"/>
        </w:object>
      </w:r>
      <w:r w:rsidRPr="00802C03">
        <w:rPr>
          <w:rFonts w:ascii="Garamond" w:hAnsi="Garamond" w:cs="NimbusRomNo9L-Regu"/>
          <w:lang w:val="en-GB" w:eastAsia="nl-NL"/>
        </w:rPr>
        <w:t>.</w:t>
      </w:r>
    </w:p>
    <w:p w:rsidR="001C7C52" w:rsidRPr="00802C03" w:rsidRDefault="001C7C52" w:rsidP="00BF30BE">
      <w:pPr>
        <w:numPr>
          <w:ilvl w:val="2"/>
          <w:numId w:val="13"/>
        </w:numPr>
        <w:tabs>
          <w:tab w:val="clear" w:pos="2340"/>
          <w:tab w:val="num" w:pos="567"/>
        </w:tabs>
        <w:overflowPunct/>
        <w:autoSpaceDE/>
        <w:autoSpaceDN/>
        <w:adjustRightInd/>
        <w:spacing w:line="280" w:lineRule="exact"/>
        <w:ind w:left="567" w:hanging="283"/>
        <w:jc w:val="both"/>
        <w:textAlignment w:val="auto"/>
        <w:rPr>
          <w:rFonts w:ascii="Garamond" w:hAnsi="Garamond" w:cs="NimbusRomNo9L-Regu"/>
          <w:lang w:val="en-GB" w:eastAsia="nl-NL"/>
        </w:rPr>
      </w:pPr>
      <w:r w:rsidRPr="00802C03">
        <w:rPr>
          <w:rFonts w:ascii="Garamond" w:hAnsi="Garamond" w:cs="NimbusRomNo9L-Regu"/>
          <w:lang w:val="en-GB" w:eastAsia="nl-NL"/>
        </w:rPr>
        <w:t xml:space="preserve">Set </w:t>
      </w:r>
      <w:r w:rsidRPr="00100BDF">
        <w:rPr>
          <w:rFonts w:ascii="Garamond" w:hAnsi="Garamond" w:cs="NimbusRomNo9L-Regu"/>
          <w:position w:val="-10"/>
          <w:lang w:val="en-GB" w:eastAsia="nl-NL"/>
        </w:rPr>
        <w:object w:dxaOrig="980" w:dyaOrig="340">
          <v:shape id="_x0000_i1339" type="#_x0000_t75" style="width:48.75pt;height:16.5pt" o:ole="">
            <v:imagedata r:id="rId563" o:title=""/>
          </v:shape>
          <o:OLEObject Type="Embed" ProgID="Equation.DSMT4" ShapeID="_x0000_i1339" DrawAspect="Content" ObjectID="_1324893840" r:id="rId564"/>
        </w:object>
      </w:r>
      <w:r w:rsidRPr="00802C03">
        <w:rPr>
          <w:rFonts w:ascii="Garamond" w:hAnsi="Garamond" w:cs="NimbusRomNo9L-Regu"/>
          <w:lang w:val="en-GB" w:eastAsia="nl-NL"/>
        </w:rPr>
        <w:t xml:space="preserve">, then </w:t>
      </w:r>
      <w:r w:rsidRPr="00100BDF">
        <w:rPr>
          <w:rFonts w:ascii="Garamond" w:hAnsi="Garamond" w:cs="NimbusRomNo9L-Regu"/>
          <w:position w:val="-4"/>
          <w:lang w:val="en-GB" w:eastAsia="nl-NL"/>
        </w:rPr>
        <w:object w:dxaOrig="180" w:dyaOrig="180">
          <v:shape id="_x0000_i1340" type="#_x0000_t75" style="width:9pt;height:9pt" o:ole="">
            <v:imagedata r:id="rId565" o:title=""/>
          </v:shape>
          <o:OLEObject Type="Embed" ProgID="Equation.DSMT4" ShapeID="_x0000_i1340" DrawAspect="Content" ObjectID="_1324893841" r:id="rId566"/>
        </w:object>
      </w:r>
      <w:r w:rsidRPr="00802C03">
        <w:rPr>
          <w:rFonts w:ascii="Garamond" w:hAnsi="Garamond" w:cs="NimbusRomNo9L-Regu"/>
          <w:lang w:val="en-GB" w:eastAsia="nl-NL"/>
        </w:rPr>
        <w:t xml:space="preserve"> is an </w:t>
      </w:r>
      <w:r w:rsidRPr="00100BDF">
        <w:rPr>
          <w:rFonts w:ascii="Garamond" w:hAnsi="Garamond" w:cs="NimbusRomNo9L-Regu"/>
          <w:position w:val="-6"/>
          <w:lang w:val="en-GB" w:eastAsia="nl-NL"/>
        </w:rPr>
        <w:object w:dxaOrig="180" w:dyaOrig="200">
          <v:shape id="_x0000_i1341" type="#_x0000_t75" style="width:9pt;height:9.75pt" o:ole="">
            <v:imagedata r:id="rId567" o:title=""/>
          </v:shape>
          <o:OLEObject Type="Embed" ProgID="Equation.DSMT4" ShapeID="_x0000_i1341" DrawAspect="Content" ObjectID="_1324893842" r:id="rId568"/>
        </w:object>
      </w:r>
      <w:r w:rsidRPr="00802C03">
        <w:rPr>
          <w:rFonts w:ascii="Garamond" w:hAnsi="Garamond" w:cs="NimbusRomNo9L-Regu"/>
          <w:lang w:val="en-GB" w:eastAsia="nl-NL"/>
        </w:rPr>
        <w:t xml:space="preserve">-dimensional vector </w:t>
      </w:r>
      <w:r w:rsidRPr="00100BDF">
        <w:rPr>
          <w:rFonts w:ascii="Garamond" w:hAnsi="Garamond" w:cs="NimbusRomNo9L-Regu"/>
          <w:position w:val="-10"/>
          <w:lang w:val="en-GB" w:eastAsia="nl-NL"/>
        </w:rPr>
        <w:object w:dxaOrig="1200" w:dyaOrig="300">
          <v:shape id="_x0000_i1342" type="#_x0000_t75" style="width:60pt;height:15pt" o:ole="">
            <v:imagedata r:id="rId569" o:title=""/>
          </v:shape>
          <o:OLEObject Type="Embed" ProgID="Equation.DSMT4" ShapeID="_x0000_i1342" DrawAspect="Content" ObjectID="_1324893843" r:id="rId570"/>
        </w:object>
      </w:r>
      <w:r w:rsidRPr="00802C03">
        <w:rPr>
          <w:rFonts w:ascii="Garamond" w:hAnsi="Garamond" w:cs="NimbusRomNo9L-Regu"/>
          <w:lang w:val="en-GB" w:eastAsia="nl-NL"/>
        </w:rPr>
        <w:t xml:space="preserve"> of Student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-distributed variables from the </w:t>
      </w:r>
      <w:r w:rsidRPr="00100BDF">
        <w:rPr>
          <w:rFonts w:ascii="Garamond" w:hAnsi="Garamond" w:cs="NimbusRomNo9L-Regu"/>
          <w:position w:val="-6"/>
          <w:lang w:val="en-GB" w:eastAsia="nl-NL"/>
        </w:rPr>
        <w:object w:dxaOrig="180" w:dyaOrig="200">
          <v:shape id="_x0000_i1343" type="#_x0000_t75" style="width:9pt;height:9.75pt" o:ole="">
            <v:imagedata r:id="rId571" o:title=""/>
          </v:shape>
          <o:OLEObject Type="Embed" ProgID="Equation.DSMT4" ShapeID="_x0000_i1343" DrawAspect="Content" ObjectID="_1324893844" r:id="rId572"/>
        </w:object>
      </w:r>
      <w:r w:rsidRPr="00802C03">
        <w:rPr>
          <w:rFonts w:ascii="Garamond" w:hAnsi="Garamond" w:cs="NimbusRomNo9L-Regu"/>
          <w:lang w:val="en-GB" w:eastAsia="nl-NL"/>
        </w:rPr>
        <w:t xml:space="preserve">-dimensional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copula </w:t>
      </w:r>
      <w:r w:rsidRPr="00100BDF">
        <w:rPr>
          <w:rFonts w:ascii="Garamond" w:hAnsi="Garamond" w:cs="NimbusRomNo9L-Regu"/>
          <w:position w:val="-10"/>
          <w:lang w:val="en-GB" w:eastAsia="nl-NL"/>
        </w:rPr>
        <w:object w:dxaOrig="360" w:dyaOrig="320">
          <v:shape id="_x0000_i1344" type="#_x0000_t75" style="width:18pt;height:15.75pt" o:ole="">
            <v:imagedata r:id="rId573" o:title=""/>
          </v:shape>
          <o:OLEObject Type="Embed" ProgID="Equation.DSMT4" ShapeID="_x0000_i1344" DrawAspect="Content" ObjectID="_1324893845" r:id="rId574"/>
        </w:object>
      </w:r>
      <w:r w:rsidRPr="00802C03">
        <w:rPr>
          <w:rFonts w:ascii="Garamond" w:hAnsi="Garamond" w:cs="NimbusRomNo9L-Regu"/>
          <w:lang w:val="en-GB" w:eastAsia="nl-NL"/>
        </w:rPr>
        <w:t xml:space="preserve">. Thus, </w:t>
      </w:r>
      <w:r w:rsidRPr="00100BDF">
        <w:rPr>
          <w:rFonts w:ascii="Garamond" w:hAnsi="Garamond" w:cs="NimbusRomNo9L-Regu"/>
          <w:position w:val="-10"/>
          <w:lang w:val="en-GB" w:eastAsia="nl-NL"/>
        </w:rPr>
        <w:object w:dxaOrig="1160" w:dyaOrig="300">
          <v:shape id="_x0000_i1345" type="#_x0000_t75" style="width:57.75pt;height:15pt" o:ole="">
            <v:imagedata r:id="rId575" o:title=""/>
          </v:shape>
          <o:OLEObject Type="Embed" ProgID="Equation.DSMT4" ShapeID="_x0000_i1345" DrawAspect="Content" ObjectID="_1324893846" r:id="rId576"/>
        </w:object>
      </w:r>
      <w:r w:rsidRPr="00802C03">
        <w:rPr>
          <w:rFonts w:ascii="Garamond" w:hAnsi="Garamond" w:cs="NimbusRomNo9L-Regu"/>
          <w:lang w:val="en-GB" w:eastAsia="nl-NL"/>
        </w:rPr>
        <w:t>.</w:t>
      </w:r>
    </w:p>
    <w:p w:rsidR="001C7C52" w:rsidRPr="00802C03" w:rsidRDefault="001C7C52" w:rsidP="006851C7">
      <w:pPr>
        <w:overflowPunct/>
        <w:autoSpaceDE/>
        <w:autoSpaceDN/>
        <w:adjustRightInd/>
        <w:spacing w:line="280" w:lineRule="exact"/>
        <w:jc w:val="both"/>
        <w:textAlignment w:val="auto"/>
        <w:rPr>
          <w:rFonts w:ascii="Garamond" w:hAnsi="Garamond" w:cs="NimbusRomNo9L-Regu"/>
          <w:lang w:val="en-GB" w:eastAsia="nl-NL"/>
        </w:rPr>
      </w:pPr>
      <w:r w:rsidRPr="00802C03">
        <w:rPr>
          <w:rFonts w:ascii="Garamond" w:hAnsi="Garamond" w:cs="NimbusRomNo9L-Regu"/>
          <w:lang w:val="en-GB" w:eastAsia="nl-NL"/>
        </w:rPr>
        <w:t xml:space="preserve">Vector </w:t>
      </w:r>
      <w:r w:rsidRPr="00100BDF">
        <w:rPr>
          <w:rFonts w:ascii="Garamond" w:hAnsi="Garamond" w:cs="NimbusRomNo9L-Regu"/>
          <w:position w:val="-4"/>
          <w:lang w:val="en-GB" w:eastAsia="nl-NL"/>
        </w:rPr>
        <w:object w:dxaOrig="180" w:dyaOrig="180">
          <v:shape id="_x0000_i1346" type="#_x0000_t75" style="width:9pt;height:9pt" o:ole="">
            <v:imagedata r:id="rId577" o:title=""/>
          </v:shape>
          <o:OLEObject Type="Embed" ProgID="Equation.DSMT4" ShapeID="_x0000_i1346" DrawAspect="Content" ObjectID="_1324893847" r:id="rId578"/>
        </w:object>
      </w:r>
      <w:r w:rsidRPr="00802C03">
        <w:rPr>
          <w:rFonts w:ascii="Garamond" w:hAnsi="Garamond" w:cs="NimbusRomNo9L-Regu"/>
          <w:lang w:val="en-GB" w:eastAsia="nl-NL"/>
        </w:rPr>
        <w:t xml:space="preserve"> contains the correlated simulated asset returns of one scenario under the much more realistic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assumption. </w:t>
      </w:r>
    </w:p>
    <w:p w:rsidR="001C7C52" w:rsidRPr="00802C03" w:rsidRDefault="001C7C52" w:rsidP="006851C7">
      <w:pPr>
        <w:overflowPunct/>
        <w:autoSpaceDE/>
        <w:autoSpaceDN/>
        <w:adjustRightInd/>
        <w:spacing w:line="280" w:lineRule="exact"/>
        <w:jc w:val="both"/>
        <w:textAlignment w:val="auto"/>
        <w:rPr>
          <w:rFonts w:ascii="Garamond" w:hAnsi="Garamond" w:cs="NimbusRomNo9L-Regu"/>
          <w:lang w:val="en-GB" w:eastAsia="nl-NL"/>
        </w:rPr>
      </w:pPr>
      <w:r w:rsidRPr="00802C03">
        <w:rPr>
          <w:rFonts w:ascii="Garamond" w:hAnsi="Garamond" w:cs="NimbusRomNo9L-Regu"/>
          <w:lang w:val="en-GB" w:eastAsia="nl-NL"/>
        </w:rPr>
        <w:t>In the application of this copula, one alteration relative to the Gaussian CreditMetrics simulation structure is still required. Namely, the asset return thresholds (</w:t>
      </w:r>
      <w:r w:rsidRPr="00802C03">
        <w:rPr>
          <w:rFonts w:ascii="Garamond" w:hAnsi="Garamond" w:cs="NimbusRomNo9L-Regu"/>
          <w:i/>
          <w:lang w:val="en-GB" w:eastAsia="nl-NL"/>
        </w:rPr>
        <w:t>Z</w:t>
      </w:r>
      <w:r w:rsidRPr="00802C03">
        <w:rPr>
          <w:rFonts w:ascii="Garamond" w:hAnsi="Garamond" w:cs="NimbusRomNo9L-Regu"/>
          <w:lang w:val="en-GB" w:eastAsia="nl-NL"/>
        </w:rPr>
        <w:t xml:space="preserve">-values) described in </w:t>
      </w:r>
      <w:hyperlink w:anchor="S122" w:history="1">
        <w:r w:rsidRPr="00802C03">
          <w:rPr>
            <w:rStyle w:val="Hyperlink"/>
            <w:rFonts w:ascii="Garamond" w:hAnsi="Garamond" w:cs="NimbusRomNo9L-Regu"/>
            <w:color w:val="000066"/>
            <w:u w:val="none"/>
            <w:lang w:val="en-GB" w:eastAsia="nl-NL"/>
          </w:rPr>
          <w:t>section 1.2.2</w:t>
        </w:r>
      </w:hyperlink>
      <w:r w:rsidRPr="00802C03">
        <w:rPr>
          <w:rFonts w:ascii="Garamond" w:hAnsi="Garamond" w:cs="NimbusRomNo9L-Regu"/>
          <w:lang w:val="en-GB" w:eastAsia="nl-NL"/>
        </w:rPr>
        <w:t xml:space="preserve">, have to be computed, using the cumulative univariate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function </w:t>
      </w:r>
      <w:r w:rsidRPr="00100BDF">
        <w:rPr>
          <w:rFonts w:ascii="Garamond" w:hAnsi="Garamond" w:cs="NimbusRomNo9L-Regu"/>
          <w:position w:val="-10"/>
          <w:lang w:val="en-GB" w:eastAsia="nl-NL"/>
        </w:rPr>
        <w:object w:dxaOrig="400" w:dyaOrig="300">
          <v:shape id="_x0000_i1347" type="#_x0000_t75" style="width:20.25pt;height:15pt" o:ole="">
            <v:imagedata r:id="rId579" o:title=""/>
          </v:shape>
          <o:OLEObject Type="Embed" ProgID="Equation.DSMT4" ShapeID="_x0000_i1347" DrawAspect="Content" ObjectID="_1324893848" r:id="rId580"/>
        </w:object>
      </w:r>
      <w:r w:rsidRPr="00802C03">
        <w:rPr>
          <w:rFonts w:ascii="Garamond" w:hAnsi="Garamond" w:cs="NimbusRomNo9L-Regu"/>
          <w:lang w:val="en-GB" w:eastAsia="nl-NL"/>
        </w:rPr>
        <w:t xml:space="preserve"> instead of the Gaussian </w:t>
      </w:r>
      <w:r w:rsidRPr="00100BDF">
        <w:rPr>
          <w:rFonts w:ascii="Garamond" w:hAnsi="Garamond" w:cs="NimbusRomNo9L-Regu"/>
          <w:position w:val="-10"/>
          <w:lang w:val="en-GB" w:eastAsia="nl-NL"/>
        </w:rPr>
        <w:object w:dxaOrig="420" w:dyaOrig="300">
          <v:shape id="_x0000_i1348" type="#_x0000_t75" style="width:21pt;height:15pt" o:ole="">
            <v:imagedata r:id="rId581" o:title=""/>
          </v:shape>
          <o:OLEObject Type="Embed" ProgID="Equation.DSMT4" ShapeID="_x0000_i1348" DrawAspect="Content" ObjectID="_1324893849" r:id="rId582"/>
        </w:object>
      </w:r>
      <w:r w:rsidRPr="00802C03">
        <w:rPr>
          <w:rFonts w:ascii="Garamond" w:hAnsi="Garamond" w:cs="NimbusRomNo9L-Regu"/>
          <w:lang w:val="en-GB" w:eastAsia="nl-NL"/>
        </w:rPr>
        <w:t xml:space="preserve">. </w:t>
      </w:r>
    </w:p>
    <w:p w:rsidR="001C7C52" w:rsidRPr="00802C03" w:rsidRDefault="001C7C52" w:rsidP="006851C7">
      <w:pPr>
        <w:overflowPunct/>
        <w:autoSpaceDE/>
        <w:autoSpaceDN/>
        <w:adjustRightInd/>
        <w:spacing w:line="280" w:lineRule="exact"/>
        <w:jc w:val="both"/>
        <w:textAlignment w:val="auto"/>
        <w:rPr>
          <w:rFonts w:ascii="Garamond" w:hAnsi="Garamond" w:cs="NimbusRomNo9L-Regu"/>
          <w:lang w:val="en-GB" w:eastAsia="nl-NL"/>
        </w:rPr>
      </w:pPr>
      <w:r w:rsidRPr="00802C03">
        <w:rPr>
          <w:rFonts w:ascii="Garamond" w:hAnsi="Garamond" w:cs="NimbusRomNo9L-Regu"/>
          <w:lang w:val="en-GB" w:eastAsia="nl-NL"/>
        </w:rPr>
        <w:t xml:space="preserve">Notice that the creation of correlated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-distributed random variables follows the exact same first steps as the creation of correlated standard normally distributed random variables. This basically implies that a system of correlated Gaussian random variables can be easily converted into a system of Student’s </w:t>
      </w:r>
      <w:r w:rsidRPr="00802C03">
        <w:rPr>
          <w:rFonts w:ascii="Garamond" w:hAnsi="Garamond" w:cs="NimbusRomNo9L-Regu"/>
          <w:i/>
          <w:lang w:val="en-GB" w:eastAsia="nl-NL"/>
        </w:rPr>
        <w:t>t</w:t>
      </w:r>
      <w:r w:rsidRPr="00802C03">
        <w:rPr>
          <w:rFonts w:ascii="Garamond" w:hAnsi="Garamond" w:cs="NimbusRomNo9L-Regu"/>
          <w:lang w:val="en-GB" w:eastAsia="nl-NL"/>
        </w:rPr>
        <w:t>-distributed random variables with the exact same correlation structure. Only the last of the above steps is required to accomplish such a distribution conversion.</w:t>
      </w:r>
    </w:p>
    <w:p w:rsidR="001C7C52" w:rsidRPr="00802C03" w:rsidRDefault="001C7C52" w:rsidP="006851C7">
      <w:pPr>
        <w:overflowPunct/>
        <w:autoSpaceDE/>
        <w:autoSpaceDN/>
        <w:adjustRightInd/>
        <w:spacing w:line="280" w:lineRule="exact"/>
        <w:jc w:val="both"/>
        <w:textAlignment w:val="auto"/>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1.4.3</w:t>
      </w:r>
      <w:r w:rsidRPr="00802C03">
        <w:rPr>
          <w:rFonts w:ascii="Garamond" w:hAnsi="Garamond"/>
          <w:b/>
          <w:lang w:val="en-GB"/>
        </w:rPr>
        <w:tab/>
      </w:r>
      <w:bookmarkStart w:id="22" w:name="S143"/>
      <w:bookmarkEnd w:id="22"/>
      <w:r w:rsidRPr="00802C03">
        <w:rPr>
          <w:rFonts w:ascii="Garamond" w:hAnsi="Garamond"/>
          <w:b/>
          <w:lang w:val="en-GB"/>
        </w:rPr>
        <w:t xml:space="preserve">The First Copula: Issuer Correlations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Both copulas, the Gaussian and the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would have practically completed the model in a single-period setting such as the CreditMetrics model. In such a single-period model, the product-specific migration risk would have been described by the credit migration matrix and issuer asset correlations would have been handled by either the Gaussian copula or the </w:t>
      </w:r>
      <w:r w:rsidRPr="00802C03">
        <w:rPr>
          <w:rFonts w:ascii="Garamond" w:hAnsi="Garamond" w:cs="NimbusRomNo9L-Regu"/>
          <w:i/>
          <w:lang w:val="en-GB" w:eastAsia="nl-NL"/>
        </w:rPr>
        <w:t>t</w:t>
      </w:r>
      <w:r w:rsidRPr="00802C03">
        <w:rPr>
          <w:rFonts w:ascii="Garamond" w:hAnsi="Garamond" w:cs="NimbusRomNo9L-Regu"/>
          <w:lang w:val="en-GB" w:eastAsia="nl-NL"/>
        </w:rPr>
        <w:t>-Student copula. Nonetheless, the correlation structure that is required in the proposed incremental risk model has a multiple-period nature.</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Hence, a multiple period correlation structure must be constructed. In this process, only a Gaussian correlation structure will be addressed, since this Gaussian structure can be easily converted into a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-structure. First, the required structure for the four-period model is derived, without the incorporation of autocorrelations. Such a structure is relatively easy to derive, as it is nothing more than a sequence of four independent CreditMetrics correlation structures.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Consider two positions, A and B. The input correlation or observed credit quality correlation between the two is defined as </w:t>
      </w:r>
      <w:r w:rsidRPr="00100BDF">
        <w:rPr>
          <w:rFonts w:ascii="Garamond" w:hAnsi="Garamond" w:cs="NimbusRomNo9L-Regu"/>
          <w:position w:val="-10"/>
          <w:lang w:val="en-GB" w:eastAsia="nl-NL"/>
        </w:rPr>
        <w:object w:dxaOrig="340" w:dyaOrig="300">
          <v:shape id="_x0000_i1349" type="#_x0000_t75" style="width:16.5pt;height:15pt" o:ole="">
            <v:imagedata r:id="rId583" o:title=""/>
          </v:shape>
          <o:OLEObject Type="Embed" ProgID="Equation.DSMT4" ShapeID="_x0000_i1349" DrawAspect="Content" ObjectID="_1324893850" r:id="rId584"/>
        </w:object>
      </w:r>
      <w:r w:rsidRPr="00802C03">
        <w:rPr>
          <w:rFonts w:ascii="Garamond" w:hAnsi="Garamond" w:cs="NimbusRomNo9L-Regu"/>
          <w:color w:val="000000"/>
          <w:lang w:val="en-GB" w:eastAsia="nl-NL"/>
        </w:rPr>
        <w:t xml:space="preserve"> (which is the only entry that is not equal to unity in the corresponding two-dimensional correlation matrix </w:t>
      </w:r>
      <w:r w:rsidRPr="00100BDF">
        <w:rPr>
          <w:rFonts w:ascii="Garamond" w:hAnsi="Garamond" w:cs="NimbusRomNo9L-Regu"/>
          <w:color w:val="000000"/>
          <w:position w:val="-6"/>
          <w:lang w:val="en-GB" w:eastAsia="nl-NL"/>
        </w:rPr>
        <w:object w:dxaOrig="220" w:dyaOrig="240">
          <v:shape id="_x0000_i1350" type="#_x0000_t75" style="width:11.25pt;height:12pt" o:ole="">
            <v:imagedata r:id="rId585" o:title=""/>
          </v:shape>
          <o:OLEObject Type="Embed" ProgID="Equation.DSMT4" ShapeID="_x0000_i1350" DrawAspect="Content" ObjectID="_1324893851" r:id="rId586"/>
        </w:object>
      </w:r>
      <w:r w:rsidRPr="00802C03">
        <w:rPr>
          <w:rFonts w:ascii="Garamond" w:hAnsi="Garamond" w:cs="NimbusRomNo9L-Regu"/>
          <w:color w:val="000000"/>
          <w:lang w:val="en-GB" w:eastAsia="nl-NL"/>
        </w:rPr>
        <w:t xml:space="preserve"> of position A and B).</w:t>
      </w:r>
      <w:r w:rsidRPr="00802C03">
        <w:rPr>
          <w:rFonts w:ascii="Garamond" w:hAnsi="Garamond" w:cs="NimbusRomNo9L-Regu"/>
          <w:lang w:val="en-GB" w:eastAsia="nl-NL"/>
        </w:rPr>
        <w:t xml:space="preserve"> For both positions four single-period issuer returns are simulated: </w:t>
      </w:r>
    </w:p>
    <w:p w:rsidR="001C7C52" w:rsidRPr="00802C03" w:rsidRDefault="001C7C52" w:rsidP="005B3971">
      <w:pPr>
        <w:spacing w:before="6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420" w:dyaOrig="320">
          <v:shape id="_x0000_i1351" type="#_x0000_t75" style="width:21pt;height:15.75pt" o:ole="">
            <v:imagedata r:id="rId587" o:title=""/>
          </v:shape>
          <o:OLEObject Type="Embed" ProgID="Equation.DSMT4" ShapeID="_x0000_i1351" DrawAspect="Content" ObjectID="_1324893852" r:id="rId58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20" w:dyaOrig="320">
          <v:shape id="_x0000_i1352" type="#_x0000_t75" style="width:21pt;height:15.75pt" o:ole="">
            <v:imagedata r:id="rId589" o:title=""/>
          </v:shape>
          <o:OLEObject Type="Embed" ProgID="Equation.DSMT4" ShapeID="_x0000_i1352" DrawAspect="Content" ObjectID="_1324893853" r:id="rId590"/>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20" w:dyaOrig="320">
          <v:shape id="_x0000_i1353" type="#_x0000_t75" style="width:21pt;height:15.75pt" o:ole="">
            <v:imagedata r:id="rId591" o:title=""/>
          </v:shape>
          <o:OLEObject Type="Embed" ProgID="Equation.DSMT4" ShapeID="_x0000_i1353" DrawAspect="Content" ObjectID="_1324893854" r:id="rId59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60" w:dyaOrig="320">
          <v:shape id="_x0000_i1354" type="#_x0000_t75" style="width:23.25pt;height:15.75pt" o:ole="">
            <v:imagedata r:id="rId593" o:title=""/>
          </v:shape>
          <o:OLEObject Type="Embed" ProgID="Equation.DSMT4" ShapeID="_x0000_i1354" DrawAspect="Content" ObjectID="_1324893855" r:id="rId59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20" w:dyaOrig="320">
          <v:shape id="_x0000_i1355" type="#_x0000_t75" style="width:21pt;height:15.75pt" o:ole="">
            <v:imagedata r:id="rId595" o:title=""/>
          </v:shape>
          <o:OLEObject Type="Embed" ProgID="Equation.DSMT4" ShapeID="_x0000_i1355" DrawAspect="Content" ObjectID="_1324893856" r:id="rId596"/>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20" w:dyaOrig="320">
          <v:shape id="_x0000_i1356" type="#_x0000_t75" style="width:21pt;height:15.75pt" o:ole="">
            <v:imagedata r:id="rId597" o:title=""/>
          </v:shape>
          <o:OLEObject Type="Embed" ProgID="Equation.DSMT4" ShapeID="_x0000_i1356" DrawAspect="Content" ObjectID="_1324893857" r:id="rId59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20" w:dyaOrig="320">
          <v:shape id="_x0000_i1357" type="#_x0000_t75" style="width:21pt;height:15.75pt" o:ole="">
            <v:imagedata r:id="rId599" o:title=""/>
          </v:shape>
          <o:OLEObject Type="Embed" ProgID="Equation.DSMT4" ShapeID="_x0000_i1357" DrawAspect="Content" ObjectID="_1324893858" r:id="rId600"/>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60" w:dyaOrig="320">
          <v:shape id="_x0000_i1358" type="#_x0000_t75" style="width:23.25pt;height:15.75pt" o:ole="">
            <v:imagedata r:id="rId601" o:title=""/>
          </v:shape>
          <o:OLEObject Type="Embed" ProgID="Equation.DSMT4" ShapeID="_x0000_i1358" DrawAspect="Content" ObjectID="_1324893859" r:id="rId602"/>
        </w:object>
      </w:r>
      <w:r w:rsidRPr="00802C03">
        <w:rPr>
          <w:rFonts w:ascii="Garamond" w:hAnsi="Garamond" w:cs="NimbusRomNo9L-Regu"/>
          <w:lang w:val="en-GB" w:eastAsia="nl-NL"/>
        </w:rPr>
        <w:t>,</w:t>
      </w:r>
    </w:p>
    <w:p w:rsidR="001C7C52" w:rsidRPr="00802C03" w:rsidRDefault="001C7C52" w:rsidP="005B3971">
      <w:pPr>
        <w:spacing w:before="120" w:after="12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1040" w:dyaOrig="320">
          <v:shape id="_x0000_i1359" type="#_x0000_t75" style="width:51.75pt;height:15.75pt" o:ole="">
            <v:imagedata r:id="rId603" o:title=""/>
          </v:shape>
          <o:OLEObject Type="Embed" ProgID="Equation.DSMT4" ShapeID="_x0000_i1359" DrawAspect="Content" ObjectID="_1324893860" r:id="rId604"/>
        </w:object>
      </w:r>
      <w:r w:rsidRPr="00802C03">
        <w:rPr>
          <w:rFonts w:ascii="Garamond" w:hAnsi="Garamond" w:cs="NimbusRomNo9L-Regu"/>
          <w:lang w:val="en-GB" w:eastAsia="nl-NL"/>
        </w:rPr>
        <w: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Furthermore, assume that the Gaussian copula, as discussed in the previous section, is applied in all four periods, using the same correlation matrix (</w:t>
      </w:r>
      <w:r w:rsidRPr="00100BDF">
        <w:rPr>
          <w:rFonts w:ascii="Garamond" w:hAnsi="Garamond" w:cs="NimbusRomNo9L-Regu"/>
          <w:position w:val="-6"/>
          <w:lang w:val="en-GB" w:eastAsia="nl-NL"/>
        </w:rPr>
        <w:object w:dxaOrig="220" w:dyaOrig="240">
          <v:shape id="_x0000_i1360" type="#_x0000_t75" style="width:11.25pt;height:12pt" o:ole="">
            <v:imagedata r:id="rId605" o:title=""/>
          </v:shape>
          <o:OLEObject Type="Embed" ProgID="Equation.DSMT4" ShapeID="_x0000_i1360" DrawAspect="Content" ObjectID="_1324893861" r:id="rId606"/>
        </w:object>
      </w:r>
      <w:r w:rsidRPr="00802C03">
        <w:rPr>
          <w:rFonts w:ascii="Garamond" w:hAnsi="Garamond" w:cs="NimbusRomNo9L-Regu"/>
          <w:lang w:val="en-GB" w:eastAsia="nl-NL"/>
        </w:rPr>
        <w:t>) in all periods</w:t>
      </w:r>
      <w:r w:rsidRPr="00802C03">
        <w:rPr>
          <w:rFonts w:ascii="Garamond" w:hAnsi="Garamond" w:cs="NimbusRomNo9L-Regu"/>
          <w:color w:val="000000"/>
          <w:lang w:val="en-GB" w:eastAsia="nl-NL"/>
        </w:rPr>
        <w:t xml:space="preserve">. In essence, the four correlated simulated returns per position are nothing more than the elements of four </w:t>
      </w:r>
      <w:r w:rsidRPr="00100BDF">
        <w:rPr>
          <w:rFonts w:ascii="Garamond" w:hAnsi="Garamond" w:cs="NimbusRomNo9L-Regu"/>
          <w:color w:val="000000"/>
          <w:position w:val="-10"/>
          <w:lang w:val="en-GB" w:eastAsia="nl-NL"/>
        </w:rPr>
        <w:object w:dxaOrig="1040" w:dyaOrig="300">
          <v:shape id="_x0000_i1361" type="#_x0000_t75" style="width:51.75pt;height:15pt" o:ole="">
            <v:imagedata r:id="rId607" o:title=""/>
          </v:shape>
          <o:OLEObject Type="Embed" ProgID="Equation.DSMT4" ShapeID="_x0000_i1361" DrawAspect="Content" ObjectID="_1324893862" r:id="rId608"/>
        </w:object>
      </w:r>
      <w:r w:rsidRPr="00802C03">
        <w:rPr>
          <w:rFonts w:ascii="Garamond" w:hAnsi="Garamond" w:cs="NimbusRomNo9L-Regu"/>
          <w:lang w:val="en-GB" w:eastAsia="nl-NL"/>
        </w:rPr>
        <w:t xml:space="preserve"> vectors, resulting from the last step of the application of the Gaussian copula. As a result of the copula application, the correlation properties of the single-period issuer asset returns are simply described as: </w:t>
      </w:r>
    </w:p>
    <w:p w:rsidR="001C7C52" w:rsidRPr="00802C03" w:rsidRDefault="001C7C52" w:rsidP="000A5FD9">
      <w:pPr>
        <w:tabs>
          <w:tab w:val="left" w:pos="567"/>
          <w:tab w:val="left" w:pos="8505"/>
        </w:tabs>
        <w:spacing w:before="80" w:after="120" w:line="320" w:lineRule="exact"/>
        <w:ind w:firstLine="567"/>
        <w:jc w:val="both"/>
        <w:rPr>
          <w:rFonts w:ascii="Garamond" w:hAnsi="Garamond" w:cs="NimbusRomNo9L-Regu"/>
          <w:color w:val="000000"/>
          <w:lang w:val="en-GB" w:eastAsia="nl-NL"/>
        </w:rPr>
      </w:pPr>
      <w:r w:rsidRPr="005E2D6F">
        <w:rPr>
          <w:rFonts w:ascii="Garamond" w:hAnsi="Garamond" w:cs="NimbusRomNo9L-Regu"/>
          <w:color w:val="000000"/>
          <w:position w:val="-10"/>
          <w:lang w:val="en-GB" w:eastAsia="nl-NL"/>
        </w:rPr>
        <w:object w:dxaOrig="6300" w:dyaOrig="320">
          <v:shape id="_x0000_i1362" type="#_x0000_t75" style="width:315pt;height:15.75pt" o:ole="">
            <v:imagedata r:id="rId609" o:title=""/>
          </v:shape>
          <o:OLEObject Type="Embed" ProgID="Equation.DSMT4" ShapeID="_x0000_i1362" DrawAspect="Content" ObjectID="_1324893863" r:id="rId610"/>
        </w:object>
      </w:r>
      <w:r w:rsidRPr="00802C03">
        <w:rPr>
          <w:rFonts w:ascii="Garamond" w:hAnsi="Garamond" w:cs="NimbusRomNo9L-Regu"/>
          <w:color w:val="000000"/>
          <w:lang w:val="en-GB" w:eastAsia="nl-NL"/>
        </w:rPr>
        <w:t>.</w:t>
      </w:r>
      <w:r w:rsidRPr="00802C03">
        <w:rPr>
          <w:rFonts w:ascii="Garamond" w:hAnsi="Garamond" w:cs="NimbusRomNo9L-Regu"/>
          <w:color w:val="000000"/>
          <w:lang w:val="en-GB" w:eastAsia="nl-NL"/>
        </w:rPr>
        <w:tab/>
        <w:t>(1.31)</w:t>
      </w:r>
    </w:p>
    <w:p w:rsidR="001C7C52" w:rsidRPr="00802C03" w:rsidRDefault="001C7C52" w:rsidP="006851C7">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Then if the single-period issuer asset returns are summed for both positions to form the annual issuer asset returns (</w:t>
      </w:r>
      <w:r w:rsidRPr="00100BDF">
        <w:rPr>
          <w:rFonts w:ascii="Garamond" w:hAnsi="Garamond" w:cs="NimbusRomNo9L-Regu"/>
          <w:color w:val="000000"/>
          <w:position w:val="-10"/>
          <w:lang w:val="en-GB" w:eastAsia="nl-NL"/>
        </w:rPr>
        <w:object w:dxaOrig="480" w:dyaOrig="320">
          <v:shape id="_x0000_i1363" type="#_x0000_t75" style="width:24pt;height:15.75pt" o:ole="">
            <v:imagedata r:id="rId611" o:title=""/>
          </v:shape>
          <o:OLEObject Type="Embed" ProgID="Equation.DSMT4" ShapeID="_x0000_i1363" DrawAspect="Content" ObjectID="_1324893864" r:id="rId612"/>
        </w:object>
      </w:r>
      <w:r w:rsidRPr="00802C03">
        <w:rPr>
          <w:rFonts w:ascii="Garamond" w:hAnsi="Garamond" w:cs="NimbusRomNo9L-Regu"/>
          <w:color w:val="000000"/>
          <w:lang w:val="en-GB" w:eastAsia="nl-NL"/>
        </w:rPr>
        <w:t xml:space="preserve"> and </w:t>
      </w:r>
      <w:r w:rsidRPr="00100BDF">
        <w:rPr>
          <w:rFonts w:ascii="Garamond" w:hAnsi="Garamond" w:cs="NimbusRomNo9L-Regu"/>
          <w:color w:val="000000"/>
          <w:position w:val="-10"/>
          <w:lang w:val="en-GB" w:eastAsia="nl-NL"/>
        </w:rPr>
        <w:object w:dxaOrig="480" w:dyaOrig="320">
          <v:shape id="_x0000_i1364" type="#_x0000_t75" style="width:24pt;height:15.75pt" o:ole="">
            <v:imagedata r:id="rId613" o:title=""/>
          </v:shape>
          <o:OLEObject Type="Embed" ProgID="Equation.DSMT4" ShapeID="_x0000_i1364" DrawAspect="Content" ObjectID="_1324893865" r:id="rId614"/>
        </w:object>
      </w:r>
      <w:r w:rsidRPr="00802C03">
        <w:rPr>
          <w:rFonts w:ascii="Garamond" w:hAnsi="Garamond" w:cs="NimbusRomNo9L-Regu"/>
          <w:color w:val="000000"/>
          <w:lang w:val="en-GB" w:eastAsia="nl-NL"/>
        </w:rPr>
        <w:t xml:space="preserve">), the correlation between both is equal to </w:t>
      </w:r>
      <w:r w:rsidRPr="00100BDF">
        <w:rPr>
          <w:rFonts w:ascii="Garamond" w:hAnsi="Garamond" w:cs="NimbusRomNo9L-Regu"/>
          <w:color w:val="000000"/>
          <w:position w:val="-10"/>
          <w:lang w:val="en-GB" w:eastAsia="nl-NL"/>
        </w:rPr>
        <w:object w:dxaOrig="340" w:dyaOrig="300">
          <v:shape id="_x0000_i1365" type="#_x0000_t75" style="width:16.5pt;height:15pt" o:ole="">
            <v:imagedata r:id="rId615" o:title=""/>
          </v:shape>
          <o:OLEObject Type="Embed" ProgID="Equation.DSMT4" ShapeID="_x0000_i1365" DrawAspect="Content" ObjectID="_1324893866" r:id="rId616"/>
        </w:object>
      </w:r>
      <w:r w:rsidRPr="00802C03">
        <w:rPr>
          <w:rFonts w:ascii="Garamond" w:hAnsi="Garamond" w:cs="NimbusRomNo9L-Regu"/>
          <w:color w:val="000000"/>
          <w:lang w:val="en-GB" w:eastAsia="nl-NL"/>
        </w:rPr>
        <w:t xml:space="preserve"> as well: </w:t>
      </w:r>
    </w:p>
    <w:p w:rsidR="001C7C52" w:rsidRPr="00802C03" w:rsidRDefault="001C7C52" w:rsidP="0047639A">
      <w:pPr>
        <w:tabs>
          <w:tab w:val="left" w:pos="567"/>
          <w:tab w:val="left" w:pos="8505"/>
        </w:tabs>
        <w:spacing w:before="80" w:after="120" w:line="320" w:lineRule="exact"/>
        <w:ind w:firstLine="567"/>
        <w:jc w:val="both"/>
        <w:rPr>
          <w:rFonts w:ascii="Garamond" w:hAnsi="Garamond" w:cs="NimbusRomNo9L-Regu"/>
          <w:color w:val="000000"/>
          <w:lang w:val="en-GB" w:eastAsia="nl-NL"/>
        </w:rPr>
      </w:pPr>
      <w:r w:rsidRPr="005E2D6F">
        <w:rPr>
          <w:rFonts w:ascii="Garamond" w:hAnsi="Garamond" w:cs="NimbusRomNo9L-Regu"/>
          <w:color w:val="000000"/>
          <w:position w:val="-10"/>
          <w:lang w:val="en-GB" w:eastAsia="nl-NL"/>
        </w:rPr>
        <w:object w:dxaOrig="6740" w:dyaOrig="320">
          <v:shape id="_x0000_i1366" type="#_x0000_t75" style="width:336.75pt;height:15.75pt" o:ole="">
            <v:imagedata r:id="rId617" o:title=""/>
          </v:shape>
          <o:OLEObject Type="Embed" ProgID="Equation.DSMT4" ShapeID="_x0000_i1366" DrawAspect="Content" ObjectID="_1324893867" r:id="rId618"/>
        </w:object>
      </w:r>
      <w:r w:rsidRPr="00802C03">
        <w:rPr>
          <w:rFonts w:ascii="Garamond" w:hAnsi="Garamond" w:cs="NimbusRomNo9L-Regu"/>
          <w:color w:val="000000"/>
          <w:lang w:val="en-GB" w:eastAsia="nl-NL"/>
        </w:rPr>
        <w:t xml:space="preserve">. </w:t>
      </w:r>
      <w:r w:rsidRPr="00802C03">
        <w:rPr>
          <w:rFonts w:ascii="Garamond" w:hAnsi="Garamond" w:cs="NimbusRomNo9L-Regu"/>
          <w:color w:val="000000"/>
          <w:lang w:val="en-GB" w:eastAsia="nl-NL"/>
        </w:rPr>
        <w:tab/>
        <w:t>(1.32)</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color w:val="000000"/>
          <w:lang w:val="en-GB" w:eastAsia="nl-NL"/>
        </w:rPr>
        <w:t xml:space="preserve">This statement is mathematically valid, since each position’s single-period issuer asset returns are independent of each other and the correlation between the two position’s single-period asset returns is equal in all periods. Hence, the implied issuer correlation is equal to the input issuer asset correlation in correlation matrix </w:t>
      </w:r>
      <w:r w:rsidRPr="00100BDF">
        <w:rPr>
          <w:rFonts w:ascii="Garamond" w:hAnsi="Garamond" w:cs="NimbusRomNo9L-Regu"/>
          <w:color w:val="000000"/>
          <w:position w:val="-6"/>
          <w:lang w:val="en-GB" w:eastAsia="nl-NL"/>
        </w:rPr>
        <w:object w:dxaOrig="220" w:dyaOrig="240">
          <v:shape id="_x0000_i1367" type="#_x0000_t75" style="width:11.25pt;height:12pt" o:ole="">
            <v:imagedata r:id="rId619" o:title=""/>
          </v:shape>
          <o:OLEObject Type="Embed" ProgID="Equation.DSMT4" ShapeID="_x0000_i1367" DrawAspect="Content" ObjectID="_1324893868" r:id="rId620"/>
        </w:object>
      </w:r>
      <w:r w:rsidRPr="00802C03">
        <w:rPr>
          <w:rFonts w:ascii="Garamond" w:hAnsi="Garamond" w:cs="NimbusRomNo9L-Regu"/>
          <w:lang w:val="en-GB" w:eastAsia="nl-NL"/>
        </w:rPr>
        <w:t xml:space="preserve">. Nevertheless, this simple correlation structure does not yet contain any form of autocorrelation. To attain a structure that also displays autocorrelation a second copula must be applied. </w:t>
      </w:r>
    </w:p>
    <w:p w:rsidR="001C7C52" w:rsidRPr="00802C03" w:rsidRDefault="001C7C52" w:rsidP="006851C7">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1.4.4</w:t>
      </w:r>
      <w:r w:rsidRPr="00802C03">
        <w:rPr>
          <w:rFonts w:ascii="Garamond" w:hAnsi="Garamond"/>
          <w:b/>
          <w:lang w:val="en-GB"/>
        </w:rPr>
        <w:tab/>
      </w:r>
      <w:bookmarkStart w:id="23" w:name="S144"/>
      <w:bookmarkEnd w:id="23"/>
      <w:r w:rsidRPr="00802C03">
        <w:rPr>
          <w:rFonts w:ascii="Garamond" w:hAnsi="Garamond"/>
          <w:b/>
          <w:lang w:val="en-GB"/>
        </w:rPr>
        <w:t xml:space="preserve">The Second Copula: Autocorrelations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As mentioned, the incorporation of autocorrelation in the correlation structure is likely to </w:t>
      </w:r>
      <w:r>
        <w:rPr>
          <w:rFonts w:ascii="Garamond" w:hAnsi="Garamond" w:cs="NimbusRomNo9L-Regu"/>
          <w:lang w:val="en-GB" w:eastAsia="nl-NL"/>
        </w:rPr>
        <w:t>enhance</w:t>
      </w:r>
      <w:r w:rsidRPr="00802C03">
        <w:rPr>
          <w:rFonts w:ascii="Garamond" w:hAnsi="Garamond" w:cs="NimbusRomNo9L-Regu"/>
          <w:lang w:val="en-GB" w:eastAsia="nl-NL"/>
        </w:rPr>
        <w:t xml:space="preserve"> the descriptive qualities of the simulation model. To circumvent the complete specification of ‘underlying auto-regressive risk factors’, which could become problematic as more assumptions would be required, one may incorporate period-to-period correlation by using issuer-specific asset return autocorrelation. The rationale behind this approach in terms of risk factors is that if all issuers are tied together with their correlations and if all issuer returns are dependent on themselves a period ago, then the risk factors are implicitly accounted for when the dependence of these issuer returns on each other is correctly specified. There is no real need in this study to assume an underlying risk factor model when the result (the observed correlations) is known and can be replicated in the correlation structure. In addition, the introduction of a general autoregressive risk factor, with a positive AR coefficient, implies that each issuer’s asset returns exhibit positive autocorrelation, while some may experience negative autocorrelation or a mean reversion effect in reality.</w:t>
      </w:r>
    </w:p>
    <w:p w:rsidR="001C7C52" w:rsidRPr="00802C03" w:rsidRDefault="001C7C52" w:rsidP="00B9226B">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order to incorporate of issuer-specific autocorrelation for position </w:t>
      </w:r>
      <w:r w:rsidRPr="00100BDF">
        <w:rPr>
          <w:rFonts w:ascii="Garamond" w:hAnsi="Garamond" w:cs="NimbusRomNo9L-Regu"/>
          <w:position w:val="-6"/>
          <w:lang w:val="en-GB" w:eastAsia="nl-NL"/>
        </w:rPr>
        <w:object w:dxaOrig="139" w:dyaOrig="240">
          <v:shape id="_x0000_i1368" type="#_x0000_t75" style="width:6.75pt;height:12pt" o:ole="">
            <v:imagedata r:id="rId621" o:title=""/>
          </v:shape>
          <o:OLEObject Type="Embed" ProgID="Equation.DSMT4" ShapeID="_x0000_i1368" DrawAspect="Content" ObjectID="_1324893869" r:id="rId622"/>
        </w:object>
      </w:r>
      <w:r w:rsidRPr="00802C03">
        <w:rPr>
          <w:rFonts w:ascii="Garamond" w:hAnsi="Garamond" w:cs="NimbusRomNo9L-Regu"/>
          <w:color w:val="000000"/>
          <w:lang w:val="en-GB" w:eastAsia="nl-NL"/>
        </w:rPr>
        <w:t xml:space="preserve"> (for </w:t>
      </w:r>
      <w:r w:rsidRPr="00100BDF">
        <w:rPr>
          <w:rFonts w:ascii="Garamond" w:hAnsi="Garamond" w:cs="NimbusRomNo9L-Regu"/>
          <w:color w:val="000000"/>
          <w:position w:val="-8"/>
          <w:lang w:val="en-GB" w:eastAsia="nl-NL"/>
        </w:rPr>
        <w:object w:dxaOrig="960" w:dyaOrig="260">
          <v:shape id="_x0000_i1369" type="#_x0000_t75" style="width:48pt;height:13.5pt" o:ole="">
            <v:imagedata r:id="rId623" o:title=""/>
          </v:shape>
          <o:OLEObject Type="Embed" ProgID="Equation.DSMT4" ShapeID="_x0000_i1369" DrawAspect="Content" ObjectID="_1324893870" r:id="rId624"/>
        </w:object>
      </w:r>
      <w:r w:rsidRPr="00802C03">
        <w:rPr>
          <w:rFonts w:ascii="Garamond" w:hAnsi="Garamond" w:cs="NimbusRomNo9L-Regu"/>
          <w:color w:val="000000"/>
          <w:lang w:val="en-GB" w:eastAsia="nl-NL"/>
        </w:rPr>
        <w:t>)</w:t>
      </w:r>
      <w:r w:rsidRPr="00802C03">
        <w:rPr>
          <w:rFonts w:ascii="Garamond" w:hAnsi="Garamond" w:cs="NimbusRomNo9L-Regu"/>
          <w:lang w:val="en-GB" w:eastAsia="nl-NL"/>
        </w:rPr>
        <w:t xml:space="preserve">, assume that the first Gaussian copula has been applied in each single-period, correlating all </w:t>
      </w:r>
      <w:r w:rsidRPr="00100BDF">
        <w:rPr>
          <w:rFonts w:ascii="Garamond" w:hAnsi="Garamond" w:cs="NimbusRomNo9L-Regu"/>
          <w:position w:val="-6"/>
          <w:lang w:val="en-GB" w:eastAsia="nl-NL"/>
        </w:rPr>
        <w:object w:dxaOrig="180" w:dyaOrig="200">
          <v:shape id="_x0000_i1370" type="#_x0000_t75" style="width:9pt;height:9.75pt" o:ole="">
            <v:imagedata r:id="rId625" o:title=""/>
          </v:shape>
          <o:OLEObject Type="Embed" ProgID="Equation.DSMT4" ShapeID="_x0000_i1370" DrawAspect="Content" ObjectID="_1324893871" r:id="rId626"/>
        </w:object>
      </w:r>
      <w:r w:rsidRPr="00802C03">
        <w:rPr>
          <w:rFonts w:ascii="Garamond" w:hAnsi="Garamond" w:cs="NimbusRomNo9L-Regu"/>
          <w:color w:val="000000"/>
          <w:lang w:val="en-GB" w:eastAsia="nl-NL"/>
        </w:rPr>
        <w:t xml:space="preserve"> </w:t>
      </w:r>
      <w:r w:rsidRPr="00802C03">
        <w:rPr>
          <w:rFonts w:ascii="Garamond" w:hAnsi="Garamond" w:cs="NimbusRomNo9L-Regu"/>
          <w:lang w:val="en-GB" w:eastAsia="nl-NL"/>
        </w:rPr>
        <w:t xml:space="preserve">position’s single-period issuer asset returns in each period according to correlation matrix </w:t>
      </w:r>
      <w:r w:rsidRPr="00100BDF">
        <w:rPr>
          <w:rFonts w:ascii="Garamond" w:hAnsi="Garamond" w:cs="NimbusRomNo9L-Regu"/>
          <w:position w:val="-6"/>
          <w:lang w:val="en-GB" w:eastAsia="nl-NL"/>
        </w:rPr>
        <w:object w:dxaOrig="220" w:dyaOrig="240">
          <v:shape id="_x0000_i1371" type="#_x0000_t75" style="width:11.25pt;height:12pt" o:ole="">
            <v:imagedata r:id="rId627" o:title=""/>
          </v:shape>
          <o:OLEObject Type="Embed" ProgID="Equation.DSMT4" ShapeID="_x0000_i1371" DrawAspect="Content" ObjectID="_1324893872" r:id="rId628"/>
        </w:object>
      </w:r>
      <w:r w:rsidRPr="00802C03">
        <w:rPr>
          <w:rFonts w:ascii="Garamond" w:hAnsi="Garamond" w:cs="NimbusRomNo9L-Regu"/>
          <w:lang w:val="en-GB" w:eastAsia="nl-NL"/>
        </w:rPr>
        <w:t xml:space="preserve"> in the cross-section dimension. The four single-period issuer asset returns for each position </w:t>
      </w:r>
      <w:r w:rsidRPr="00100BDF">
        <w:rPr>
          <w:rFonts w:ascii="Garamond" w:hAnsi="Garamond" w:cs="NimbusRomNo9L-Regu"/>
          <w:position w:val="-6"/>
          <w:lang w:val="en-GB" w:eastAsia="nl-NL"/>
        </w:rPr>
        <w:object w:dxaOrig="139" w:dyaOrig="240">
          <v:shape id="_x0000_i1372" type="#_x0000_t75" style="width:6.75pt;height:12pt" o:ole="">
            <v:imagedata r:id="rId629" o:title=""/>
          </v:shape>
          <o:OLEObject Type="Embed" ProgID="Equation.DSMT4" ShapeID="_x0000_i1372" DrawAspect="Content" ObjectID="_1324893873" r:id="rId630"/>
        </w:object>
      </w:r>
      <w:r w:rsidRPr="00802C03">
        <w:rPr>
          <w:rFonts w:ascii="Garamond" w:hAnsi="Garamond" w:cs="NimbusRomNo9L-Regu"/>
          <w:color w:val="000000"/>
          <w:lang w:val="en-GB" w:eastAsia="nl-NL"/>
        </w:rPr>
        <w:t xml:space="preserve"> </w:t>
      </w:r>
      <w:r w:rsidRPr="00802C03">
        <w:rPr>
          <w:rFonts w:ascii="Garamond" w:hAnsi="Garamond" w:cs="NimbusRomNo9L-Regu"/>
          <w:lang w:val="en-GB" w:eastAsia="nl-NL"/>
        </w:rPr>
        <w:t>are again defined as:</w:t>
      </w:r>
    </w:p>
    <w:p w:rsidR="001C7C52" w:rsidRPr="00802C03" w:rsidRDefault="001C7C52" w:rsidP="0047639A">
      <w:pPr>
        <w:spacing w:before="8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380" w:dyaOrig="320">
          <v:shape id="_x0000_i1373" type="#_x0000_t75" style="width:18.75pt;height:15.75pt" o:ole="">
            <v:imagedata r:id="rId631" o:title=""/>
          </v:shape>
          <o:OLEObject Type="Embed" ProgID="Equation.DSMT4" ShapeID="_x0000_i1373" DrawAspect="Content" ObjectID="_1324893874" r:id="rId63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80" w:dyaOrig="320">
          <v:shape id="_x0000_i1374" type="#_x0000_t75" style="width:18.75pt;height:15.75pt" o:ole="">
            <v:imagedata r:id="rId633" o:title=""/>
          </v:shape>
          <o:OLEObject Type="Embed" ProgID="Equation.DSMT4" ShapeID="_x0000_i1374" DrawAspect="Content" ObjectID="_1324893875" r:id="rId634"/>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80" w:dyaOrig="320">
          <v:shape id="_x0000_i1375" type="#_x0000_t75" style="width:18.75pt;height:15.75pt" o:ole="">
            <v:imagedata r:id="rId635" o:title=""/>
          </v:shape>
          <o:OLEObject Type="Embed" ProgID="Equation.DSMT4" ShapeID="_x0000_i1375" DrawAspect="Content" ObjectID="_1324893876" r:id="rId63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20" w:dyaOrig="320">
          <v:shape id="_x0000_i1376" type="#_x0000_t75" style="width:21pt;height:15.75pt" o:ole="">
            <v:imagedata r:id="rId637" o:title=""/>
          </v:shape>
          <o:OLEObject Type="Embed" ProgID="Equation.DSMT4" ShapeID="_x0000_i1376" DrawAspect="Content" ObjectID="_1324893877" r:id="rId638"/>
        </w:object>
      </w:r>
      <w:r w:rsidRPr="00802C03">
        <w:rPr>
          <w:rFonts w:ascii="Garamond" w:hAnsi="Garamond" w:cs="NimbusRomNo9L-Regu"/>
          <w:lang w:val="en-GB" w:eastAsia="nl-NL"/>
        </w:rPr>
        <w:t>,</w:t>
      </w:r>
    </w:p>
    <w:p w:rsidR="001C7C52" w:rsidRPr="00802C03" w:rsidRDefault="001C7C52" w:rsidP="0047639A">
      <w:pPr>
        <w:spacing w:before="160" w:after="16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1040" w:dyaOrig="320">
          <v:shape id="_x0000_i1377" type="#_x0000_t75" style="width:51.75pt;height:15.75pt" o:ole="">
            <v:imagedata r:id="rId639" o:title=""/>
          </v:shape>
          <o:OLEObject Type="Embed" ProgID="Equation.DSMT4" ShapeID="_x0000_i1377" DrawAspect="Content" ObjectID="_1324893878" r:id="rId640"/>
        </w:object>
      </w:r>
      <w:r w:rsidRPr="00802C03">
        <w:rPr>
          <w:rFonts w:ascii="Garamond" w:hAnsi="Garamond" w:cs="NimbusRomNo9L-Regu"/>
          <w:lang w:val="en-GB" w:eastAsia="nl-NL"/>
        </w:rPr>
        <w: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Subsequently, issuer-specific autocorrelation is introduced: </w:t>
      </w:r>
      <w:r w:rsidRPr="00100BDF">
        <w:rPr>
          <w:rFonts w:ascii="Garamond" w:hAnsi="Garamond" w:cs="NimbusRomNo9L-Regu"/>
          <w:position w:val="-10"/>
          <w:lang w:val="en-GB" w:eastAsia="nl-NL"/>
        </w:rPr>
        <w:object w:dxaOrig="1380" w:dyaOrig="300">
          <v:shape id="_x0000_i1378" type="#_x0000_t75" style="width:68.25pt;height:15pt" o:ole="">
            <v:imagedata r:id="rId641" o:title=""/>
          </v:shape>
          <o:OLEObject Type="Embed" ProgID="Equation.DSMT4" ShapeID="_x0000_i1378" DrawAspect="Content" ObjectID="_1324893879" r:id="rId642"/>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900" w:dyaOrig="279">
          <v:shape id="_x0000_i1379" type="#_x0000_t75" style="width:45pt;height:13.5pt" o:ole="">
            <v:imagedata r:id="rId643" o:title=""/>
          </v:shape>
          <o:OLEObject Type="Embed" ProgID="Equation.DSMT4" ShapeID="_x0000_i1379" DrawAspect="Content" ObjectID="_1324893880" r:id="rId644"/>
        </w:object>
      </w:r>
      <w:r w:rsidRPr="00802C03">
        <w:rPr>
          <w:rFonts w:ascii="Garamond" w:hAnsi="Garamond" w:cs="NimbusRomNo9L-Regu"/>
          <w:color w:val="000000"/>
          <w:lang w:val="en-GB" w:eastAsia="nl-NL"/>
        </w:rPr>
        <w:t xml:space="preserve"> (the first period obviously cannot be auto-correlated to a previous return)</w:t>
      </w:r>
      <w:r w:rsidRPr="00802C03">
        <w:rPr>
          <w:rFonts w:ascii="Garamond" w:hAnsi="Garamond" w:cs="NimbusRomNo9L-Regu"/>
          <w:lang w:val="en-GB" w:eastAsia="nl-NL"/>
        </w:rPr>
        <w:t xml:space="preserve">. A correlation can be introduced between </w:t>
      </w:r>
      <w:r w:rsidRPr="00100BDF">
        <w:rPr>
          <w:rFonts w:ascii="Garamond" w:hAnsi="Garamond" w:cs="NimbusRomNo9L-Regu"/>
          <w:position w:val="-10"/>
          <w:lang w:val="en-GB" w:eastAsia="nl-NL"/>
        </w:rPr>
        <w:object w:dxaOrig="480" w:dyaOrig="300">
          <v:shape id="_x0000_i1380" type="#_x0000_t75" style="width:24pt;height:15pt" o:ole="">
            <v:imagedata r:id="rId645" o:title=""/>
          </v:shape>
          <o:OLEObject Type="Embed" ProgID="Equation.DSMT4" ShapeID="_x0000_i1380" DrawAspect="Content" ObjectID="_1324893881" r:id="rId64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80" w:dyaOrig="300">
          <v:shape id="_x0000_i1381" type="#_x0000_t75" style="width:18.75pt;height:15pt" o:ole="">
            <v:imagedata r:id="rId647" o:title=""/>
          </v:shape>
          <o:OLEObject Type="Embed" ProgID="Equation.DSMT4" ShapeID="_x0000_i1381" DrawAspect="Content" ObjectID="_1324893882" r:id="rId648"/>
        </w:object>
      </w:r>
      <w:r w:rsidRPr="00802C03">
        <w:rPr>
          <w:rFonts w:ascii="Garamond" w:hAnsi="Garamond" w:cs="NimbusRomNo9L-Regu"/>
          <w:lang w:val="en-GB" w:eastAsia="nl-NL"/>
        </w:rPr>
        <w:t xml:space="preserve"> by applying a bivariate Gaussian copula expression:</w:t>
      </w:r>
      <w:r w:rsidRPr="00802C03">
        <w:rPr>
          <w:rStyle w:val="FootnoteReference"/>
          <w:rFonts w:ascii="Garamond" w:hAnsi="Garamond" w:cs="NimbusRomNo9L-Regu"/>
          <w:lang w:val="en-GB" w:eastAsia="nl-NL"/>
        </w:rPr>
        <w:footnoteReference w:id="34"/>
      </w:r>
      <w:r w:rsidRPr="00802C03">
        <w:rPr>
          <w:rFonts w:ascii="Garamond" w:hAnsi="Garamond" w:cs="NimbusRomNo9L-Regu"/>
          <w:lang w:val="en-GB" w:eastAsia="nl-NL"/>
        </w:rPr>
        <w:t xml:space="preserve"> </w:t>
      </w:r>
    </w:p>
    <w:p w:rsidR="001C7C52" w:rsidRPr="00802C03" w:rsidRDefault="001C7C52" w:rsidP="0047639A">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24" w:name="E1N32"/>
      <w:bookmarkEnd w:id="24"/>
      <w:r w:rsidRPr="00100BDF">
        <w:rPr>
          <w:rFonts w:ascii="Garamond" w:hAnsi="Garamond" w:cs="NimbusRomNo9L-Regu"/>
          <w:position w:val="-12"/>
          <w:lang w:val="en-GB" w:eastAsia="nl-NL"/>
        </w:rPr>
        <w:object w:dxaOrig="2620" w:dyaOrig="380">
          <v:shape id="_x0000_i1382" type="#_x0000_t75" style="width:129.75pt;height:18.75pt" o:ole="">
            <v:imagedata r:id="rId649" o:title=""/>
          </v:shape>
          <o:OLEObject Type="Embed" ProgID="Equation.DSMT4" ShapeID="_x0000_i1382" DrawAspect="Content" ObjectID="_1324893883" r:id="rId650"/>
        </w:object>
      </w:r>
      <w:r w:rsidRPr="00802C03">
        <w:rPr>
          <w:rFonts w:ascii="Garamond" w:hAnsi="Garamond" w:cs="NimbusRomNo9L-Regu"/>
          <w:lang w:val="en-GB" w:eastAsia="nl-NL"/>
        </w:rPr>
        <w:t>,</w:t>
      </w:r>
      <w:r w:rsidRPr="00802C03">
        <w:rPr>
          <w:rFonts w:ascii="Garamond" w:hAnsi="Garamond" w:cs="NimbusRomNo9L-Regu"/>
          <w:lang w:val="en-GB" w:eastAsia="nl-NL"/>
        </w:rPr>
        <w:tab/>
        <w:t>(1.33)</w:t>
      </w:r>
    </w:p>
    <w:p w:rsidR="001C7C52" w:rsidRPr="00802C03" w:rsidRDefault="001C7C52" w:rsidP="0047639A">
      <w:pPr>
        <w:spacing w:before="160" w:after="16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400" w:dyaOrig="300">
          <v:shape id="_x0000_i1383" type="#_x0000_t75" style="width:20.25pt;height:15pt" o:ole="">
            <v:imagedata r:id="rId651" o:title=""/>
          </v:shape>
          <o:OLEObject Type="Embed" ProgID="Equation.DSMT4" ShapeID="_x0000_i1383" DrawAspect="Content" ObjectID="_1324893884" r:id="rId652"/>
        </w:object>
      </w:r>
      <w:r w:rsidRPr="00802C03">
        <w:rPr>
          <w:rFonts w:ascii="Garamond" w:hAnsi="Garamond" w:cs="NimbusRomNo9L-Regu"/>
          <w:lang w:val="en-GB" w:eastAsia="nl-NL"/>
        </w:rPr>
        <w:t xml:space="preserve"> is the issuer’s autocorrelation coefficient.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After this conversion, </w:t>
      </w:r>
      <w:r w:rsidRPr="00100BDF">
        <w:rPr>
          <w:rFonts w:ascii="Garamond" w:hAnsi="Garamond" w:cs="NimbusRomNo9L-Regu"/>
          <w:position w:val="-10"/>
          <w:lang w:val="en-GB" w:eastAsia="nl-NL"/>
        </w:rPr>
        <w:object w:dxaOrig="380" w:dyaOrig="320">
          <v:shape id="_x0000_i1384" type="#_x0000_t75" style="width:18.75pt;height:15.75pt" o:ole="">
            <v:imagedata r:id="rId653" o:title=""/>
          </v:shape>
          <o:OLEObject Type="Embed" ProgID="Equation.DSMT4" ShapeID="_x0000_i1384" DrawAspect="Content" ObjectID="_1324893885" r:id="rId654"/>
        </w:object>
      </w:r>
      <w:r w:rsidRPr="00802C03">
        <w:rPr>
          <w:rFonts w:ascii="Garamond" w:hAnsi="Garamond" w:cs="NimbusRomNo9L-Regu"/>
          <w:lang w:val="en-GB" w:eastAsia="nl-NL"/>
        </w:rPr>
        <w:t xml:space="preserve"> is (auto)correlated to </w:t>
      </w:r>
      <w:r w:rsidRPr="00100BDF">
        <w:rPr>
          <w:rFonts w:ascii="Garamond" w:hAnsi="Garamond" w:cs="NimbusRomNo9L-Regu"/>
          <w:position w:val="-10"/>
          <w:lang w:val="en-GB" w:eastAsia="nl-NL"/>
        </w:rPr>
        <w:object w:dxaOrig="480" w:dyaOrig="300">
          <v:shape id="_x0000_i1385" type="#_x0000_t75" style="width:24pt;height:15pt" o:ole="">
            <v:imagedata r:id="rId655" o:title=""/>
          </v:shape>
          <o:OLEObject Type="Embed" ProgID="Equation.DSMT4" ShapeID="_x0000_i1385" DrawAspect="Content" ObjectID="_1324893886" r:id="rId656"/>
        </w:object>
      </w:r>
      <w:r w:rsidRPr="00802C03">
        <w:rPr>
          <w:rFonts w:ascii="Garamond" w:hAnsi="Garamond" w:cs="NimbusRomNo9L-Regu"/>
          <w:lang w:val="en-GB" w:eastAsia="nl-NL"/>
        </w:rPr>
        <w:t xml:space="preserve"> with magnitude </w:t>
      </w:r>
      <w:r w:rsidRPr="00100BDF">
        <w:rPr>
          <w:rFonts w:ascii="Garamond" w:hAnsi="Garamond" w:cs="NimbusRomNo9L-Regu"/>
          <w:position w:val="-10"/>
          <w:lang w:val="en-GB" w:eastAsia="nl-NL"/>
        </w:rPr>
        <w:object w:dxaOrig="400" w:dyaOrig="300">
          <v:shape id="_x0000_i1386" type="#_x0000_t75" style="width:20.25pt;height:15pt" o:ole="">
            <v:imagedata r:id="rId657" o:title=""/>
          </v:shape>
          <o:OLEObject Type="Embed" ProgID="Equation.DSMT4" ShapeID="_x0000_i1386" DrawAspect="Content" ObjectID="_1324893887" r:id="rId658"/>
        </w:object>
      </w:r>
      <w:r w:rsidRPr="00802C03">
        <w:rPr>
          <w:rFonts w:ascii="Garamond" w:hAnsi="Garamond" w:cs="NimbusRomNo9L-Regu"/>
          <w:lang w:val="en-GB" w:eastAsia="nl-NL"/>
        </w:rPr>
        <w:t xml:space="preserve">. The conversion of </w:t>
      </w:r>
      <w:r w:rsidRPr="00100BDF">
        <w:rPr>
          <w:rFonts w:ascii="Garamond" w:hAnsi="Garamond" w:cs="NimbusRomNo9L-Regu"/>
          <w:position w:val="-10"/>
          <w:lang w:val="en-GB" w:eastAsia="nl-NL"/>
        </w:rPr>
        <w:object w:dxaOrig="380" w:dyaOrig="320">
          <v:shape id="_x0000_i1387" type="#_x0000_t75" style="width:18.75pt;height:15.75pt" o:ole="">
            <v:imagedata r:id="rId659" o:title=""/>
          </v:shape>
          <o:OLEObject Type="Embed" ProgID="Equation.DSMT4" ShapeID="_x0000_i1387" DrawAspect="Content" ObjectID="_1324893888" r:id="rId660"/>
        </w:object>
      </w:r>
      <w:r w:rsidRPr="00802C03">
        <w:rPr>
          <w:rFonts w:ascii="Garamond" w:hAnsi="Garamond" w:cs="NimbusRomNo9L-Regu"/>
          <w:lang w:val="en-GB" w:eastAsia="nl-NL"/>
        </w:rPr>
        <w:t xml:space="preserve"> to </w:t>
      </w:r>
      <w:r w:rsidRPr="00100BDF">
        <w:rPr>
          <w:rFonts w:ascii="Garamond" w:hAnsi="Garamond" w:cs="NimbusRomNo9L-Regu"/>
          <w:position w:val="-10"/>
          <w:lang w:val="en-GB" w:eastAsia="nl-NL"/>
        </w:rPr>
        <w:object w:dxaOrig="380" w:dyaOrig="320">
          <v:shape id="_x0000_i1388" type="#_x0000_t75" style="width:18.75pt;height:15.75pt" o:ole="">
            <v:imagedata r:id="rId661" o:title=""/>
          </v:shape>
          <o:OLEObject Type="Embed" ProgID="Equation.DSMT4" ShapeID="_x0000_i1388" DrawAspect="Content" ObjectID="_1324893889" r:id="rId662"/>
        </w:object>
      </w:r>
      <w:r w:rsidRPr="00802C03">
        <w:rPr>
          <w:rFonts w:ascii="Garamond" w:hAnsi="Garamond" w:cs="NimbusRomNo9L-Regu"/>
          <w:lang w:val="en-GB" w:eastAsia="nl-NL"/>
        </w:rPr>
        <w:t xml:space="preserve"> is employed for the returns underlying each single position (</w:t>
      </w:r>
      <w:r w:rsidRPr="00100BDF">
        <w:rPr>
          <w:rFonts w:ascii="Garamond" w:hAnsi="Garamond" w:cs="NimbusRomNo9L-Regu"/>
          <w:position w:val="-8"/>
          <w:lang w:val="en-GB" w:eastAsia="nl-NL"/>
        </w:rPr>
        <w:object w:dxaOrig="960" w:dyaOrig="260">
          <v:shape id="_x0000_i1389" type="#_x0000_t75" style="width:48pt;height:13.5pt" o:ole="">
            <v:imagedata r:id="rId663" o:title=""/>
          </v:shape>
          <o:OLEObject Type="Embed" ProgID="Equation.DSMT4" ShapeID="_x0000_i1389" DrawAspect="Content" ObjectID="_1324893890" r:id="rId664"/>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900" w:dyaOrig="279">
          <v:shape id="_x0000_i1390" type="#_x0000_t75" style="width:45pt;height:13.5pt" o:ole="">
            <v:imagedata r:id="rId665" o:title=""/>
          </v:shape>
          <o:OLEObject Type="Embed" ProgID="Equation.DSMT4" ShapeID="_x0000_i1390" DrawAspect="Content" ObjectID="_1324893891" r:id="rId666"/>
        </w:object>
      </w:r>
      <w:r w:rsidRPr="00802C03">
        <w:rPr>
          <w:rFonts w:ascii="Garamond" w:hAnsi="Garamond" w:cs="NimbusRomNo9L-Regu"/>
          <w:lang w:val="en-GB" w:eastAsia="nl-NL"/>
        </w:rPr>
        <w:t xml:space="preserve">. </w:t>
      </w:r>
    </w:p>
    <w:p w:rsidR="001C7C52" w:rsidRPr="00802C03" w:rsidRDefault="001C7C52" w:rsidP="00B9226B">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To obtain the annual issuer asset return, the period one issuer asset return and the converted single-period issuer asset returns of position </w:t>
      </w:r>
      <w:r w:rsidRPr="00100BDF">
        <w:rPr>
          <w:rFonts w:ascii="Garamond" w:hAnsi="Garamond" w:cs="NimbusRomNo9L-Regu"/>
          <w:position w:val="-6"/>
          <w:lang w:val="en-GB" w:eastAsia="nl-NL"/>
        </w:rPr>
        <w:object w:dxaOrig="139" w:dyaOrig="240">
          <v:shape id="_x0000_i1391" type="#_x0000_t75" style="width:6.75pt;height:12pt" o:ole="">
            <v:imagedata r:id="rId667" o:title=""/>
          </v:shape>
          <o:OLEObject Type="Embed" ProgID="Equation.DSMT4" ShapeID="_x0000_i1391" DrawAspect="Content" ObjectID="_1324893892" r:id="rId668"/>
        </w:object>
      </w:r>
      <w:r w:rsidRPr="00802C03">
        <w:rPr>
          <w:rFonts w:ascii="Garamond" w:hAnsi="Garamond" w:cs="NimbusRomNo9L-Regu"/>
          <w:lang w:val="en-GB" w:eastAsia="nl-NL"/>
        </w:rPr>
        <w:t xml:space="preserve"> are summed (</w:t>
      </w:r>
      <w:r w:rsidRPr="00100BDF">
        <w:rPr>
          <w:rFonts w:ascii="Garamond" w:hAnsi="Garamond" w:cs="NimbusRomNo9L-Regu"/>
          <w:position w:val="-10"/>
          <w:lang w:val="en-GB" w:eastAsia="nl-NL"/>
        </w:rPr>
        <w:object w:dxaOrig="2520" w:dyaOrig="320">
          <v:shape id="_x0000_i1392" type="#_x0000_t75" style="width:124.5pt;height:15.75pt" o:ole="">
            <v:imagedata r:id="rId669" o:title=""/>
          </v:shape>
          <o:OLEObject Type="Embed" ProgID="Equation.DSMT4" ShapeID="_x0000_i1392" DrawAspect="Content" ObjectID="_1324893893" r:id="rId670"/>
        </w:object>
      </w:r>
      <w:r w:rsidRPr="00802C03">
        <w:rPr>
          <w:rFonts w:ascii="Garamond" w:hAnsi="Garamond" w:cs="NimbusRomNo9L-Regu"/>
          <w:lang w:val="en-GB" w:eastAsia="nl-NL"/>
        </w:rPr>
        <w:t xml:space="preserve">). In this setting, the autocorrelation is equal to </w:t>
      </w:r>
      <w:r w:rsidRPr="00100BDF">
        <w:rPr>
          <w:rFonts w:ascii="Garamond" w:hAnsi="Garamond" w:cs="NimbusRomNo9L-Regu"/>
          <w:position w:val="-10"/>
          <w:lang w:val="en-GB" w:eastAsia="nl-NL"/>
        </w:rPr>
        <w:object w:dxaOrig="400" w:dyaOrig="300">
          <v:shape id="_x0000_i1393" type="#_x0000_t75" style="width:20.25pt;height:15pt" o:ole="">
            <v:imagedata r:id="rId671" o:title=""/>
          </v:shape>
          <o:OLEObject Type="Embed" ProgID="Equation.DSMT4" ShapeID="_x0000_i1393" DrawAspect="Content" ObjectID="_1324893894" r:id="rId672"/>
        </w:object>
      </w:r>
      <w:r w:rsidRPr="00802C03">
        <w:rPr>
          <w:rFonts w:ascii="Garamond" w:hAnsi="Garamond" w:cs="NimbusRomNo9L-Regu"/>
          <w:lang w:val="en-GB" w:eastAsia="nl-NL"/>
        </w:rPr>
        <w:t xml:space="preserve"> and may differ for each issuer. In contrast to the result of the previous section, the terms of the summation are not independent in this case. Hence, the correlation properties of the annual issuer asset returns may deviate from those introduced in the single-period issuer asset returns (correlation matrix </w:t>
      </w:r>
      <w:r w:rsidRPr="00100BDF">
        <w:rPr>
          <w:rFonts w:ascii="Garamond" w:hAnsi="Garamond" w:cs="NimbusRomNo9L-Regu"/>
          <w:position w:val="-6"/>
          <w:lang w:val="en-GB" w:eastAsia="nl-NL"/>
        </w:rPr>
        <w:object w:dxaOrig="220" w:dyaOrig="240">
          <v:shape id="_x0000_i1394" type="#_x0000_t75" style="width:11.25pt;height:12pt" o:ole="">
            <v:imagedata r:id="rId673" o:title=""/>
          </v:shape>
          <o:OLEObject Type="Embed" ProgID="Equation.DSMT4" ShapeID="_x0000_i1394" DrawAspect="Content" ObjectID="_1324893895" r:id="rId674"/>
        </w:object>
      </w:r>
      <w:r w:rsidRPr="00802C03">
        <w:rPr>
          <w:rFonts w:ascii="Garamond" w:hAnsi="Garamond" w:cs="NimbusRomNo9L-Regu"/>
          <w:lang w:val="en-GB" w:eastAsia="nl-NL"/>
        </w:rPr>
        <w:t xml:space="preserve">). In other words, the implied issuer correlations are only in ‘reasonable’ accordance with correlation matrix </w:t>
      </w:r>
      <w:r w:rsidRPr="00100BDF">
        <w:rPr>
          <w:rFonts w:ascii="Garamond" w:hAnsi="Garamond" w:cs="NimbusRomNo9L-Regu"/>
          <w:position w:val="-6"/>
          <w:lang w:val="en-GB" w:eastAsia="nl-NL"/>
        </w:rPr>
        <w:object w:dxaOrig="220" w:dyaOrig="240">
          <v:shape id="_x0000_i1395" type="#_x0000_t75" style="width:11.25pt;height:12pt" o:ole="">
            <v:imagedata r:id="rId675" o:title=""/>
          </v:shape>
          <o:OLEObject Type="Embed" ProgID="Equation.DSMT4" ShapeID="_x0000_i1395" DrawAspect="Content" ObjectID="_1324893896" r:id="rId676"/>
        </w:object>
      </w:r>
      <w:r w:rsidRPr="00802C03">
        <w:rPr>
          <w:rFonts w:ascii="Garamond" w:hAnsi="Garamond" w:cs="NimbusRomNo9L-Regu"/>
          <w:lang w:val="en-GB" w:eastAsia="nl-NL"/>
        </w:rPr>
        <w:t xml:space="preserve">, while the autocorrelation underlying each position is equal to </w:t>
      </w:r>
      <w:r w:rsidRPr="00100BDF">
        <w:rPr>
          <w:rFonts w:ascii="Garamond" w:hAnsi="Garamond" w:cs="NimbusRomNo9L-Regu"/>
          <w:position w:val="-10"/>
          <w:lang w:val="en-GB" w:eastAsia="nl-NL"/>
        </w:rPr>
        <w:object w:dxaOrig="400" w:dyaOrig="300">
          <v:shape id="_x0000_i1396" type="#_x0000_t75" style="width:20.25pt;height:15pt" o:ole="">
            <v:imagedata r:id="rId677" o:title=""/>
          </v:shape>
          <o:OLEObject Type="Embed" ProgID="Equation.DSMT4" ShapeID="_x0000_i1396" DrawAspect="Content" ObjectID="_1324893897" r:id="rId678"/>
        </w:object>
      </w:r>
      <w:r w:rsidRPr="00802C03">
        <w:rPr>
          <w:rFonts w:ascii="Garamond" w:hAnsi="Garamond" w:cs="NimbusRomNo9L-Regu"/>
          <w:lang w:val="en-GB" w:eastAsia="nl-NL"/>
        </w:rPr>
        <w:t xml:space="preserve">. The deviation from correlation matrix </w:t>
      </w:r>
      <w:r w:rsidRPr="00100BDF">
        <w:rPr>
          <w:rFonts w:ascii="Garamond" w:hAnsi="Garamond" w:cs="NimbusRomNo9L-Regu"/>
          <w:position w:val="-6"/>
          <w:lang w:val="en-GB" w:eastAsia="nl-NL"/>
        </w:rPr>
        <w:object w:dxaOrig="220" w:dyaOrig="240">
          <v:shape id="_x0000_i1397" type="#_x0000_t75" style="width:11.25pt;height:12pt" o:ole="">
            <v:imagedata r:id="rId679" o:title=""/>
          </v:shape>
          <o:OLEObject Type="Embed" ProgID="Equation.DSMT4" ShapeID="_x0000_i1397" DrawAspect="Content" ObjectID="_1324893898" r:id="rId680"/>
        </w:object>
      </w:r>
      <w:r w:rsidRPr="00802C03">
        <w:rPr>
          <w:rFonts w:ascii="Garamond" w:hAnsi="Garamond" w:cs="NimbusRomNo9L-Regu"/>
          <w:lang w:val="en-GB" w:eastAsia="nl-NL"/>
        </w:rPr>
        <w:t xml:space="preserve"> will be approached in the next section. In addition, a correction is devised.</w:t>
      </w:r>
    </w:p>
    <w:p w:rsidR="001C7C52" w:rsidRPr="00802C03" w:rsidRDefault="001C7C52" w:rsidP="003F5609">
      <w:pPr>
        <w:spacing w:line="30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1.4.5</w:t>
      </w:r>
      <w:r w:rsidRPr="00802C03">
        <w:rPr>
          <w:rFonts w:ascii="Garamond" w:hAnsi="Garamond"/>
          <w:b/>
          <w:lang w:val="en-GB"/>
        </w:rPr>
        <w:tab/>
      </w:r>
      <w:bookmarkStart w:id="25" w:name="S145"/>
      <w:bookmarkEnd w:id="25"/>
      <w:r w:rsidRPr="00802C03">
        <w:rPr>
          <w:rFonts w:ascii="Garamond" w:hAnsi="Garamond"/>
          <w:b/>
          <w:lang w:val="en-GB"/>
        </w:rPr>
        <w:t xml:space="preserve">Effects of the Second Copula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The second dimension of correlations, the autocorrelations, in the single-period issuer asset returns affect the issuer correlation properties of the converted variables (</w:t>
      </w:r>
      <w:r w:rsidRPr="00100BDF">
        <w:rPr>
          <w:rFonts w:ascii="Garamond" w:hAnsi="Garamond" w:cs="NimbusRomNo9L-Regu"/>
          <w:position w:val="-10"/>
          <w:lang w:val="en-GB" w:eastAsia="nl-NL"/>
        </w:rPr>
        <w:object w:dxaOrig="340" w:dyaOrig="320">
          <v:shape id="_x0000_i1398" type="#_x0000_t75" style="width:16.5pt;height:15.75pt" o:ole="">
            <v:imagedata r:id="rId681" o:title=""/>
          </v:shape>
          <o:OLEObject Type="Embed" ProgID="Equation.DSMT4" ShapeID="_x0000_i1398" DrawAspect="Content" ObjectID="_1324893899" r:id="rId682"/>
        </w:object>
      </w:r>
      <w:r w:rsidRPr="00802C03">
        <w:rPr>
          <w:rFonts w:ascii="Garamond" w:hAnsi="Garamond" w:cs="NimbusRomNo9L-Regu"/>
          <w:lang w:val="en-GB" w:eastAsia="nl-NL"/>
        </w:rPr>
        <w:t xml:space="preserve">). This effect induces a deviation of the implied issuer correlations from correlation matrix </w:t>
      </w:r>
      <w:r w:rsidRPr="00100BDF">
        <w:rPr>
          <w:rFonts w:ascii="Garamond" w:hAnsi="Garamond" w:cs="NimbusRomNo9L-Regu"/>
          <w:position w:val="-6"/>
          <w:lang w:val="en-GB" w:eastAsia="nl-NL"/>
        </w:rPr>
        <w:object w:dxaOrig="220" w:dyaOrig="240">
          <v:shape id="_x0000_i1399" type="#_x0000_t75" style="width:11.25pt;height:12pt" o:ole="">
            <v:imagedata r:id="rId683" o:title=""/>
          </v:shape>
          <o:OLEObject Type="Embed" ProgID="Equation.DSMT4" ShapeID="_x0000_i1399" DrawAspect="Content" ObjectID="_1324893900" r:id="rId684"/>
        </w:object>
      </w:r>
      <w:r w:rsidRPr="00802C03">
        <w:rPr>
          <w:rFonts w:ascii="Garamond" w:hAnsi="Garamond" w:cs="NimbusRomNo9L-Regu"/>
          <w:lang w:val="en-GB" w:eastAsia="nl-NL"/>
        </w:rPr>
        <w:t>. The magnitude of these deviations can be approached. Consider two positions, A and B, in a two-period model. The period returns of these issuers are defined as:</w:t>
      </w:r>
    </w:p>
    <w:p w:rsidR="001C7C52" w:rsidRPr="00802C03" w:rsidRDefault="001C7C52" w:rsidP="00B9226B">
      <w:pPr>
        <w:spacing w:before="120" w:after="12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300" w:dyaOrig="300">
          <v:shape id="_x0000_i1400" type="#_x0000_t75" style="width:15pt;height:15pt" o:ole="">
            <v:imagedata r:id="rId685" o:title=""/>
          </v:shape>
          <o:OLEObject Type="Embed" ProgID="Equation.DSMT4" ShapeID="_x0000_i1400" DrawAspect="Content" ObjectID="_1324893901" r:id="rId68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01" type="#_x0000_t75" style="width:16.5pt;height:15.75pt" o:ole="">
            <v:imagedata r:id="rId687" o:title=""/>
          </v:shape>
          <o:OLEObject Type="Embed" ProgID="Equation.DSMT4" ShapeID="_x0000_i1401" DrawAspect="Content" ObjectID="_1324893902" r:id="rId688"/>
        </w:object>
      </w:r>
      <w:r w:rsidRPr="00802C03">
        <w:rPr>
          <w:rFonts w:ascii="Garamond" w:hAnsi="Garamond" w:cs="NimbusRomNo9L-Regu"/>
          <w:lang w:val="en-GB" w:eastAsia="nl-NL"/>
        </w:rPr>
        <w:t xml:space="preserve"> for position A, </w:t>
      </w:r>
    </w:p>
    <w:p w:rsidR="001C7C52" w:rsidRPr="00802C03" w:rsidRDefault="001C7C52" w:rsidP="00B9226B">
      <w:pPr>
        <w:spacing w:before="120" w:after="14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and </w:t>
      </w:r>
      <w:r w:rsidRPr="00100BDF">
        <w:rPr>
          <w:rFonts w:ascii="Garamond" w:hAnsi="Garamond" w:cs="NimbusRomNo9L-Regu"/>
          <w:position w:val="-10"/>
          <w:lang w:val="en-GB" w:eastAsia="nl-NL"/>
        </w:rPr>
        <w:object w:dxaOrig="300" w:dyaOrig="300">
          <v:shape id="_x0000_i1402" type="#_x0000_t75" style="width:15pt;height:15pt" o:ole="">
            <v:imagedata r:id="rId689" o:title=""/>
          </v:shape>
          <o:OLEObject Type="Embed" ProgID="Equation.DSMT4" ShapeID="_x0000_i1402" DrawAspect="Content" ObjectID="_1324893903" r:id="rId69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03" type="#_x0000_t75" style="width:16.5pt;height:15.75pt" o:ole="">
            <v:imagedata r:id="rId691" o:title=""/>
          </v:shape>
          <o:OLEObject Type="Embed" ProgID="Equation.DSMT4" ShapeID="_x0000_i1403" DrawAspect="Content" ObjectID="_1324893904" r:id="rId692"/>
        </w:object>
      </w:r>
      <w:r w:rsidRPr="00802C03">
        <w:rPr>
          <w:rFonts w:ascii="Garamond" w:hAnsi="Garamond" w:cs="NimbusRomNo9L-Regu"/>
          <w:lang w:val="en-GB" w:eastAsia="nl-NL"/>
        </w:rPr>
        <w:t xml:space="preserve"> for position B.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objective here is as follows: </w:t>
      </w:r>
      <w:r w:rsidRPr="00100BDF">
        <w:rPr>
          <w:rFonts w:ascii="Garamond" w:hAnsi="Garamond" w:cs="NimbusRomNo9L-Regu"/>
          <w:position w:val="-10"/>
          <w:lang w:val="en-GB" w:eastAsia="nl-NL"/>
        </w:rPr>
        <w:object w:dxaOrig="340" w:dyaOrig="320">
          <v:shape id="_x0000_i1404" type="#_x0000_t75" style="width:16.5pt;height:15.75pt" o:ole="">
            <v:imagedata r:id="rId693" o:title=""/>
          </v:shape>
          <o:OLEObject Type="Embed" ProgID="Equation.DSMT4" ShapeID="_x0000_i1404" DrawAspect="Content" ObjectID="_1324893905" r:id="rId694"/>
        </w:object>
      </w:r>
      <w:r w:rsidRPr="00802C03">
        <w:rPr>
          <w:rFonts w:ascii="Garamond" w:hAnsi="Garamond" w:cs="NimbusRomNo9L-Regu"/>
          <w:lang w:val="en-GB" w:eastAsia="nl-NL"/>
        </w:rPr>
        <w:t xml:space="preserve"> should be auto-correlated to </w:t>
      </w:r>
      <w:r w:rsidRPr="00100BDF">
        <w:rPr>
          <w:rFonts w:ascii="Garamond" w:hAnsi="Garamond" w:cs="NimbusRomNo9L-Regu"/>
          <w:position w:val="-10"/>
          <w:lang w:val="en-GB" w:eastAsia="nl-NL"/>
        </w:rPr>
        <w:object w:dxaOrig="300" w:dyaOrig="300">
          <v:shape id="_x0000_i1405" type="#_x0000_t75" style="width:15pt;height:15pt" o:ole="">
            <v:imagedata r:id="rId695" o:title=""/>
          </v:shape>
          <o:OLEObject Type="Embed" ProgID="Equation.DSMT4" ShapeID="_x0000_i1405" DrawAspect="Content" ObjectID="_1324893906" r:id="rId696"/>
        </w:object>
      </w:r>
      <w:r w:rsidRPr="00802C03">
        <w:rPr>
          <w:rFonts w:ascii="Garamond" w:hAnsi="Garamond" w:cs="NimbusRomNo9L-Regu"/>
          <w:lang w:val="en-GB" w:eastAsia="nl-NL"/>
        </w:rPr>
        <w:t xml:space="preserve"> with autocorrelation coefficient </w:t>
      </w:r>
      <w:r w:rsidRPr="00100BDF">
        <w:rPr>
          <w:rFonts w:ascii="Garamond" w:hAnsi="Garamond" w:cs="NimbusRomNo9L-Regu"/>
          <w:position w:val="-10"/>
          <w:lang w:val="en-GB" w:eastAsia="nl-NL"/>
        </w:rPr>
        <w:object w:dxaOrig="440" w:dyaOrig="300">
          <v:shape id="_x0000_i1406" type="#_x0000_t75" style="width:21.75pt;height:15pt" o:ole="">
            <v:imagedata r:id="rId697" o:title=""/>
          </v:shape>
          <o:OLEObject Type="Embed" ProgID="Equation.DSMT4" ShapeID="_x0000_i1406" DrawAspect="Content" ObjectID="_1324893907" r:id="rId69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07" type="#_x0000_t75" style="width:16.5pt;height:15.75pt" o:ole="">
            <v:imagedata r:id="rId699" o:title=""/>
          </v:shape>
          <o:OLEObject Type="Embed" ProgID="Equation.DSMT4" ShapeID="_x0000_i1407" DrawAspect="Content" ObjectID="_1324893908" r:id="rId700"/>
        </w:object>
      </w:r>
      <w:r w:rsidRPr="00802C03">
        <w:rPr>
          <w:rFonts w:ascii="Garamond" w:hAnsi="Garamond" w:cs="NimbusRomNo9L-Regu"/>
          <w:lang w:val="en-GB" w:eastAsia="nl-NL"/>
        </w:rPr>
        <w:t xml:space="preserve"> should be auto-correlated to </w:t>
      </w:r>
      <w:r w:rsidRPr="00100BDF">
        <w:rPr>
          <w:rFonts w:ascii="Garamond" w:hAnsi="Garamond" w:cs="NimbusRomNo9L-Regu"/>
          <w:position w:val="-10"/>
          <w:lang w:val="en-GB" w:eastAsia="nl-NL"/>
        </w:rPr>
        <w:object w:dxaOrig="300" w:dyaOrig="300">
          <v:shape id="_x0000_i1408" type="#_x0000_t75" style="width:15pt;height:15pt" o:ole="">
            <v:imagedata r:id="rId701" o:title=""/>
          </v:shape>
          <o:OLEObject Type="Embed" ProgID="Equation.DSMT4" ShapeID="_x0000_i1408" DrawAspect="Content" ObjectID="_1324893909" r:id="rId702"/>
        </w:object>
      </w:r>
      <w:r w:rsidRPr="00802C03">
        <w:rPr>
          <w:rFonts w:ascii="Garamond" w:hAnsi="Garamond" w:cs="NimbusRomNo9L-Regu"/>
          <w:lang w:val="en-GB" w:eastAsia="nl-NL"/>
        </w:rPr>
        <w:t xml:space="preserve"> with autocorrelation coefficient </w:t>
      </w:r>
      <w:r w:rsidRPr="00100BDF">
        <w:rPr>
          <w:rFonts w:ascii="Garamond" w:hAnsi="Garamond" w:cs="NimbusRomNo9L-Regu"/>
          <w:position w:val="-10"/>
          <w:lang w:val="en-GB" w:eastAsia="nl-NL"/>
        </w:rPr>
        <w:object w:dxaOrig="440" w:dyaOrig="300">
          <v:shape id="_x0000_i1409" type="#_x0000_t75" style="width:21.75pt;height:15pt" o:ole="">
            <v:imagedata r:id="rId703" o:title=""/>
          </v:shape>
          <o:OLEObject Type="Embed" ProgID="Equation.DSMT4" ShapeID="_x0000_i1409" DrawAspect="Content" ObjectID="_1324893910" r:id="rId704"/>
        </w:object>
      </w:r>
      <w:r w:rsidRPr="00802C03">
        <w:rPr>
          <w:rFonts w:ascii="Garamond" w:hAnsi="Garamond" w:cs="NimbusRomNo9L-Regu"/>
          <w:lang w:val="en-GB" w:eastAsia="nl-NL"/>
        </w:rPr>
        <w:t xml:space="preserve">. The implied issuer correlation should be equal to </w:t>
      </w:r>
      <w:r w:rsidRPr="00100BDF">
        <w:rPr>
          <w:rFonts w:ascii="Garamond" w:hAnsi="Garamond" w:cs="NimbusRomNo9L-Regu"/>
          <w:position w:val="-10"/>
          <w:lang w:val="en-GB" w:eastAsia="nl-NL"/>
        </w:rPr>
        <w:object w:dxaOrig="340" w:dyaOrig="300">
          <v:shape id="_x0000_i1410" type="#_x0000_t75" style="width:16.5pt;height:15pt" o:ole="">
            <v:imagedata r:id="rId705" o:title=""/>
          </v:shape>
          <o:OLEObject Type="Embed" ProgID="Equation.DSMT4" ShapeID="_x0000_i1410" DrawAspect="Content" ObjectID="_1324893911" r:id="rId706"/>
        </w:object>
      </w:r>
      <w:r w:rsidRPr="00802C03">
        <w:rPr>
          <w:rFonts w:ascii="Garamond" w:hAnsi="Garamond" w:cs="NimbusRomNo9L-Regu"/>
          <w:lang w:val="en-GB" w:eastAsia="nl-NL"/>
        </w:rPr>
        <w:t xml:space="preserve">. Hence, </w:t>
      </w:r>
      <w:r w:rsidRPr="00100BDF">
        <w:rPr>
          <w:rFonts w:ascii="Garamond" w:hAnsi="Garamond" w:cs="NimbusRomNo9L-Regu"/>
          <w:position w:val="-10"/>
          <w:lang w:val="en-GB" w:eastAsia="nl-NL"/>
        </w:rPr>
        <w:object w:dxaOrig="2040" w:dyaOrig="320">
          <v:shape id="_x0000_i1411" type="#_x0000_t75" style="width:102pt;height:15.75pt" o:ole="">
            <v:imagedata r:id="rId707" o:title=""/>
          </v:shape>
          <o:OLEObject Type="Embed" ProgID="Equation.DSMT4" ShapeID="_x0000_i1411" DrawAspect="Content" ObjectID="_1324893912" r:id="rId708"/>
        </w:object>
      </w:r>
      <w:r w:rsidRPr="00802C03">
        <w:rPr>
          <w:rFonts w:ascii="Garamond" w:hAnsi="Garamond" w:cs="NimbusRomNo9L-Regu"/>
          <w:lang w:val="en-GB" w:eastAsia="nl-NL"/>
        </w:rPr>
        <w:t xml:space="preserve"> should take on the value of </w:t>
      </w:r>
      <w:r w:rsidRPr="00100BDF">
        <w:rPr>
          <w:rFonts w:ascii="Garamond" w:hAnsi="Garamond" w:cs="NimbusRomNo9L-Regu"/>
          <w:position w:val="-10"/>
          <w:lang w:val="en-GB" w:eastAsia="nl-NL"/>
        </w:rPr>
        <w:object w:dxaOrig="340" w:dyaOrig="300">
          <v:shape id="_x0000_i1412" type="#_x0000_t75" style="width:16.5pt;height:15pt" o:ole="">
            <v:imagedata r:id="rId709" o:title=""/>
          </v:shape>
          <o:OLEObject Type="Embed" ProgID="Equation.DSMT4" ShapeID="_x0000_i1412" DrawAspect="Content" ObjectID="_1324893913" r:id="rId710"/>
        </w:object>
      </w:r>
      <w:r w:rsidRPr="00802C03">
        <w:rPr>
          <w:rFonts w:ascii="Garamond" w:hAnsi="Garamond" w:cs="NimbusRomNo9L-Regu"/>
          <w:lang w:val="en-GB" w:eastAsia="nl-NL"/>
        </w:rPr>
        <w:t xml:space="preserve">. </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To craft this correlation structure, first the correlation (</w:t>
      </w:r>
      <w:r w:rsidRPr="00100BDF">
        <w:rPr>
          <w:rFonts w:ascii="Garamond" w:hAnsi="Garamond" w:cs="NimbusRomNo9L-Regu"/>
          <w:position w:val="-10"/>
          <w:lang w:val="en-GB" w:eastAsia="nl-NL"/>
        </w:rPr>
        <w:object w:dxaOrig="340" w:dyaOrig="300">
          <v:shape id="_x0000_i1413" type="#_x0000_t75" style="width:16.5pt;height:15pt" o:ole="">
            <v:imagedata r:id="rId711" o:title=""/>
          </v:shape>
          <o:OLEObject Type="Embed" ProgID="Equation.DSMT4" ShapeID="_x0000_i1413" DrawAspect="Content" ObjectID="_1324893914" r:id="rId712"/>
        </w:object>
      </w:r>
      <w:r w:rsidRPr="00802C03">
        <w:rPr>
          <w:rFonts w:ascii="Garamond" w:hAnsi="Garamond" w:cs="NimbusRomNo9L-Regu"/>
          <w:lang w:val="en-GB" w:eastAsia="nl-NL"/>
        </w:rPr>
        <w:t>) between the single-period returns of issuers, underlying positions A and B, is introduced in both periods with the first Gaussian copula:</w:t>
      </w:r>
      <w:r w:rsidRPr="00802C03">
        <w:rPr>
          <w:rStyle w:val="FootnoteReference"/>
          <w:rFonts w:ascii="Garamond" w:hAnsi="Garamond" w:cs="NimbusRomNo9L-Regu"/>
          <w:lang w:val="en-GB" w:eastAsia="nl-NL"/>
        </w:rPr>
        <w:footnoteReference w:id="35"/>
      </w:r>
    </w:p>
    <w:p w:rsidR="001C7C52" w:rsidRPr="00802C03" w:rsidRDefault="001C7C52" w:rsidP="00895FE6">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26" w:name="E1N33"/>
      <w:bookmarkEnd w:id="26"/>
      <w:r w:rsidRPr="00100BDF">
        <w:rPr>
          <w:rFonts w:ascii="Garamond" w:hAnsi="Garamond" w:cs="NimbusRomNo9L-Regu"/>
          <w:position w:val="-12"/>
          <w:lang w:val="en-GB" w:eastAsia="nl-NL"/>
        </w:rPr>
        <w:object w:dxaOrig="2040" w:dyaOrig="380">
          <v:shape id="_x0000_i1414" type="#_x0000_t75" style="width:102pt;height:18.75pt" o:ole="">
            <v:imagedata r:id="rId713" o:title=""/>
          </v:shape>
          <o:OLEObject Type="Embed" ProgID="Equation.DSMT4" ShapeID="_x0000_i1414" DrawAspect="Content" ObjectID="_1324893915" r:id="rId714"/>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r>
      <w:r w:rsidRPr="00802C03">
        <w:rPr>
          <w:rFonts w:ascii="Garamond" w:hAnsi="Garamond" w:cs="NimbusRomNo9L-Regu"/>
          <w:lang w:val="en-GB" w:eastAsia="nl-NL"/>
        </w:rPr>
        <w:tab/>
        <w:t>(1.34)</w:t>
      </w:r>
    </w:p>
    <w:p w:rsidR="001C7C52" w:rsidRPr="00802C03" w:rsidRDefault="001C7C52" w:rsidP="00A91857">
      <w:pPr>
        <w:tabs>
          <w:tab w:val="left" w:pos="567"/>
          <w:tab w:val="left" w:pos="8505"/>
        </w:tabs>
        <w:spacing w:before="12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and </w:t>
      </w:r>
      <w:bookmarkStart w:id="27" w:name="E1N34"/>
      <w:bookmarkEnd w:id="27"/>
      <w:r w:rsidRPr="00100BDF">
        <w:rPr>
          <w:rFonts w:ascii="Garamond" w:hAnsi="Garamond" w:cs="NimbusRomNo9L-Regu"/>
          <w:position w:val="-12"/>
          <w:lang w:val="en-GB" w:eastAsia="nl-NL"/>
        </w:rPr>
        <w:object w:dxaOrig="2100" w:dyaOrig="380">
          <v:shape id="_x0000_i1415" type="#_x0000_t75" style="width:105pt;height:18.75pt" o:ole="">
            <v:imagedata r:id="rId715" o:title=""/>
          </v:shape>
          <o:OLEObject Type="Embed" ProgID="Equation.DSMT4" ShapeID="_x0000_i1415" DrawAspect="Content" ObjectID="_1324893916" r:id="rId716"/>
        </w:object>
      </w:r>
      <w:r w:rsidRPr="00802C03">
        <w:rPr>
          <w:rFonts w:ascii="Garamond" w:hAnsi="Garamond" w:cs="NimbusRomNo9L-Regu"/>
          <w:lang w:val="en-GB" w:eastAsia="nl-NL"/>
        </w:rPr>
        <w:t>,</w:t>
      </w:r>
      <w:r w:rsidRPr="00802C03">
        <w:rPr>
          <w:rFonts w:ascii="Garamond" w:hAnsi="Garamond" w:cs="NimbusRomNo9L-Regu"/>
          <w:lang w:val="en-GB" w:eastAsia="nl-NL"/>
        </w:rPr>
        <w:tab/>
        <w:t>(1.35)</w:t>
      </w:r>
    </w:p>
    <w:p w:rsidR="001C7C52" w:rsidRPr="00802C03" w:rsidRDefault="001C7C52" w:rsidP="00E81216">
      <w:pPr>
        <w:spacing w:before="16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300" w:dyaOrig="300">
          <v:shape id="_x0000_i1416" type="#_x0000_t75" style="width:15pt;height:15pt" o:ole="">
            <v:imagedata r:id="rId717" o:title=""/>
          </v:shape>
          <o:OLEObject Type="Embed" ProgID="Equation.DSMT4" ShapeID="_x0000_i1416" DrawAspect="Content" ObjectID="_1324893917" r:id="rId71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20" w:dyaOrig="300">
          <v:shape id="_x0000_i1417" type="#_x0000_t75" style="width:15.75pt;height:15pt" o:ole="">
            <v:imagedata r:id="rId719" o:title=""/>
          </v:shape>
          <o:OLEObject Type="Embed" ProgID="Equation.DSMT4" ShapeID="_x0000_i1417" DrawAspect="Content" ObjectID="_1324893918" r:id="rId720"/>
        </w:object>
      </w:r>
      <w:r w:rsidRPr="00802C03">
        <w:rPr>
          <w:rFonts w:ascii="Garamond" w:hAnsi="Garamond" w:cs="NimbusRomNo9L-Regu"/>
          <w:lang w:val="en-GB" w:eastAsia="nl-NL"/>
        </w:rPr>
        <w:t xml:space="preserve">, </w:t>
      </w:r>
      <w:r w:rsidRPr="00100BDF">
        <w:rPr>
          <w:rFonts w:ascii="Garamond" w:hAnsi="Garamond" w:cs="NimbusRomNo9L-Regu"/>
          <w:position w:val="-8"/>
          <w:lang w:val="en-GB" w:eastAsia="nl-NL"/>
        </w:rPr>
        <w:object w:dxaOrig="200" w:dyaOrig="279">
          <v:shape id="_x0000_i1418" type="#_x0000_t75" style="width:9.75pt;height:13.5pt" o:ole="">
            <v:imagedata r:id="rId721" o:title=""/>
          </v:shape>
          <o:OLEObject Type="Embed" ProgID="Equation.DSMT4" ShapeID="_x0000_i1418" DrawAspect="Content" ObjectID="_1324893919" r:id="rId722"/>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220" w:dyaOrig="279">
          <v:shape id="_x0000_i1419" type="#_x0000_t75" style="width:11.25pt;height:13.5pt" o:ole="">
            <v:imagedata r:id="rId723" o:title=""/>
          </v:shape>
          <o:OLEObject Type="Embed" ProgID="Equation.DSMT4" ShapeID="_x0000_i1419" DrawAspect="Content" ObjectID="_1324893920" r:id="rId724"/>
        </w:object>
      </w:r>
      <w:r w:rsidRPr="00802C03">
        <w:rPr>
          <w:rFonts w:ascii="Garamond" w:hAnsi="Garamond" w:cs="NimbusRomNo9L-Regu"/>
          <w:lang w:val="en-GB" w:eastAsia="nl-NL"/>
        </w:rPr>
        <w:t xml:space="preserve"> are independent standard normally distribution random variables, implying that </w:t>
      </w:r>
      <w:r w:rsidRPr="00100BDF">
        <w:rPr>
          <w:rFonts w:ascii="Garamond" w:hAnsi="Garamond" w:cs="NimbusRomNo9L-Regu"/>
          <w:position w:val="-10"/>
          <w:lang w:val="en-GB" w:eastAsia="nl-NL"/>
        </w:rPr>
        <w:object w:dxaOrig="300" w:dyaOrig="300">
          <v:shape id="_x0000_i1420" type="#_x0000_t75" style="width:15pt;height:15pt" o:ole="">
            <v:imagedata r:id="rId725" o:title=""/>
          </v:shape>
          <o:OLEObject Type="Embed" ProgID="Equation.DSMT4" ShapeID="_x0000_i1420" DrawAspect="Content" ObjectID="_1324893921" r:id="rId72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20" w:dyaOrig="300">
          <v:shape id="_x0000_i1421" type="#_x0000_t75" style="width:15.75pt;height:15pt" o:ole="">
            <v:imagedata r:id="rId727" o:title=""/>
          </v:shape>
          <o:OLEObject Type="Embed" ProgID="Equation.DSMT4" ShapeID="_x0000_i1421" DrawAspect="Content" ObjectID="_1324893922" r:id="rId728"/>
        </w:object>
      </w:r>
      <w:r w:rsidRPr="00802C03">
        <w:rPr>
          <w:rFonts w:ascii="Garamond" w:hAnsi="Garamond" w:cs="NimbusRomNo9L-Regu"/>
          <w:lang w:val="en-GB" w:eastAsia="nl-NL"/>
        </w:rPr>
        <w:t xml:space="preserve"> are also standard normally distributed random variables that are correlated to </w:t>
      </w:r>
      <w:r w:rsidRPr="00100BDF">
        <w:rPr>
          <w:rFonts w:ascii="Garamond" w:hAnsi="Garamond" w:cs="NimbusRomNo9L-Regu"/>
          <w:position w:val="-10"/>
          <w:lang w:val="en-GB" w:eastAsia="nl-NL"/>
        </w:rPr>
        <w:object w:dxaOrig="300" w:dyaOrig="300">
          <v:shape id="_x0000_i1422" type="#_x0000_t75" style="width:15pt;height:15pt" o:ole="">
            <v:imagedata r:id="rId729" o:title=""/>
          </v:shape>
          <o:OLEObject Type="Embed" ProgID="Equation.DSMT4" ShapeID="_x0000_i1422" DrawAspect="Content" ObjectID="_1324893923" r:id="rId73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20" w:dyaOrig="300">
          <v:shape id="_x0000_i1423" type="#_x0000_t75" style="width:15.75pt;height:15pt" o:ole="">
            <v:imagedata r:id="rId731" o:title=""/>
          </v:shape>
          <o:OLEObject Type="Embed" ProgID="Equation.DSMT4" ShapeID="_x0000_i1423" DrawAspect="Content" ObjectID="_1324893924" r:id="rId732"/>
        </w:object>
      </w:r>
      <w:r w:rsidRPr="00802C03">
        <w:rPr>
          <w:rFonts w:ascii="Garamond" w:hAnsi="Garamond" w:cs="NimbusRomNo9L-Regu"/>
          <w:lang w:val="en-GB" w:eastAsia="nl-NL"/>
        </w:rPr>
        <w:t xml:space="preserve">, respectively, with magnitude </w:t>
      </w:r>
      <w:r w:rsidRPr="00100BDF">
        <w:rPr>
          <w:rFonts w:ascii="Garamond" w:hAnsi="Garamond" w:cs="NimbusRomNo9L-Regu"/>
          <w:position w:val="-10"/>
          <w:lang w:val="en-GB" w:eastAsia="nl-NL"/>
        </w:rPr>
        <w:object w:dxaOrig="340" w:dyaOrig="300">
          <v:shape id="_x0000_i1424" type="#_x0000_t75" style="width:16.5pt;height:15pt" o:ole="">
            <v:imagedata r:id="rId733" o:title=""/>
          </v:shape>
          <o:OLEObject Type="Embed" ProgID="Equation.DSMT4" ShapeID="_x0000_i1424" DrawAspect="Content" ObjectID="_1324893925" r:id="rId734"/>
        </w:object>
      </w:r>
      <w:r w:rsidRPr="00802C03">
        <w:rPr>
          <w:rFonts w:ascii="Garamond" w:hAnsi="Garamond" w:cs="NimbusRomNo9L-Regu"/>
          <w:lang w:val="en-GB" w:eastAsia="nl-NL"/>
        </w:rPr>
        <w:t xml:space="preserve"> (issuer correlation in the cross-sectional dimension).</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Subsequently, autocorrelation is introduced by applying the second Gaussian copula for both positions by forming variables </w:t>
      </w:r>
      <w:r w:rsidRPr="00100BDF">
        <w:rPr>
          <w:rFonts w:ascii="Garamond" w:hAnsi="Garamond" w:cs="NimbusRomNo9L-Regu"/>
          <w:position w:val="-10"/>
          <w:lang w:val="en-GB" w:eastAsia="nl-NL"/>
        </w:rPr>
        <w:object w:dxaOrig="340" w:dyaOrig="320">
          <v:shape id="_x0000_i1425" type="#_x0000_t75" style="width:16.5pt;height:15.75pt" o:ole="">
            <v:imagedata r:id="rId735" o:title=""/>
          </v:shape>
          <o:OLEObject Type="Embed" ProgID="Equation.DSMT4" ShapeID="_x0000_i1425" DrawAspect="Content" ObjectID="_1324893926" r:id="rId73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26" type="#_x0000_t75" style="width:16.5pt;height:15.75pt" o:ole="">
            <v:imagedata r:id="rId737" o:title=""/>
          </v:shape>
          <o:OLEObject Type="Embed" ProgID="Equation.DSMT4" ShapeID="_x0000_i1426" DrawAspect="Content" ObjectID="_1324893927" r:id="rId738"/>
        </w:object>
      </w:r>
      <w:r w:rsidRPr="00802C03">
        <w:rPr>
          <w:rFonts w:ascii="Garamond" w:hAnsi="Garamond" w:cs="NimbusRomNo9L-Regu"/>
          <w:lang w:val="en-GB" w:eastAsia="nl-NL"/>
        </w:rPr>
        <w:t xml:space="preserve">, utilizing </w:t>
      </w:r>
      <w:r w:rsidRPr="00100BDF">
        <w:rPr>
          <w:rFonts w:ascii="Garamond" w:hAnsi="Garamond" w:cs="NimbusRomNo9L-Regu"/>
          <w:position w:val="-10"/>
          <w:lang w:val="en-GB" w:eastAsia="nl-NL"/>
        </w:rPr>
        <w:object w:dxaOrig="300" w:dyaOrig="300">
          <v:shape id="_x0000_i1427" type="#_x0000_t75" style="width:15pt;height:15pt" o:ole="">
            <v:imagedata r:id="rId739" o:title=""/>
          </v:shape>
          <o:OLEObject Type="Embed" ProgID="Equation.DSMT4" ShapeID="_x0000_i1427" DrawAspect="Content" ObjectID="_1324893928" r:id="rId740"/>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20" w:dyaOrig="300">
          <v:shape id="_x0000_i1428" type="#_x0000_t75" style="width:15.75pt;height:15pt" o:ole="">
            <v:imagedata r:id="rId741" o:title=""/>
          </v:shape>
          <o:OLEObject Type="Embed" ProgID="Equation.DSMT4" ShapeID="_x0000_i1428" DrawAspect="Content" ObjectID="_1324893929" r:id="rId74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00" w:dyaOrig="300">
          <v:shape id="_x0000_i1429" type="#_x0000_t75" style="width:15pt;height:15pt" o:ole="">
            <v:imagedata r:id="rId743" o:title=""/>
          </v:shape>
          <o:OLEObject Type="Embed" ProgID="Equation.DSMT4" ShapeID="_x0000_i1429" DrawAspect="Content" ObjectID="_1324893930" r:id="rId74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20" w:dyaOrig="300">
          <v:shape id="_x0000_i1430" type="#_x0000_t75" style="width:15.75pt;height:15pt" o:ole="">
            <v:imagedata r:id="rId745" o:title=""/>
          </v:shape>
          <o:OLEObject Type="Embed" ProgID="Equation.DSMT4" ShapeID="_x0000_i1430" DrawAspect="Content" ObjectID="_1324893931" r:id="rId746"/>
        </w:object>
      </w:r>
      <w:r w:rsidRPr="00802C03">
        <w:rPr>
          <w:rFonts w:ascii="Garamond" w:hAnsi="Garamond" w:cs="NimbusRomNo9L-Regu"/>
          <w:lang w:val="en-GB" w:eastAsia="nl-NL"/>
        </w:rPr>
        <w:t>:</w:t>
      </w:r>
    </w:p>
    <w:p w:rsidR="001C7C52" w:rsidRPr="00802C03" w:rsidRDefault="001C7C52" w:rsidP="00895FE6">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28" w:name="E1N35"/>
      <w:bookmarkEnd w:id="28"/>
      <w:r w:rsidRPr="00100BDF">
        <w:rPr>
          <w:rFonts w:ascii="Garamond" w:hAnsi="Garamond" w:cs="NimbusRomNo9L-Regu"/>
          <w:position w:val="-12"/>
          <w:lang w:val="en-GB" w:eastAsia="nl-NL"/>
        </w:rPr>
        <w:object w:dxaOrig="2400" w:dyaOrig="380">
          <v:shape id="_x0000_i1431" type="#_x0000_t75" style="width:120pt;height:18.75pt" o:ole="">
            <v:imagedata r:id="rId747" o:title=""/>
          </v:shape>
          <o:OLEObject Type="Embed" ProgID="Equation.DSMT4" ShapeID="_x0000_i1431" DrawAspect="Content" ObjectID="_1324893932" r:id="rId748"/>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r>
      <w:r w:rsidRPr="00802C03">
        <w:rPr>
          <w:rFonts w:ascii="Garamond" w:hAnsi="Garamond" w:cs="NimbusRomNo9L-Regu"/>
          <w:lang w:val="en-GB" w:eastAsia="nl-NL"/>
        </w:rPr>
        <w:tab/>
        <w:t>(1.36)</w:t>
      </w:r>
    </w:p>
    <w:p w:rsidR="001C7C52" w:rsidRPr="00802C03" w:rsidRDefault="001C7C52" w:rsidP="00A91857">
      <w:pPr>
        <w:tabs>
          <w:tab w:val="left" w:pos="567"/>
          <w:tab w:val="left" w:pos="8505"/>
        </w:tabs>
        <w:spacing w:before="12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and </w:t>
      </w:r>
      <w:bookmarkStart w:id="29" w:name="E1N36"/>
      <w:bookmarkEnd w:id="29"/>
      <w:r w:rsidRPr="00100BDF">
        <w:rPr>
          <w:rFonts w:ascii="Garamond" w:hAnsi="Garamond" w:cs="NimbusRomNo9L-Regu"/>
          <w:position w:val="-12"/>
          <w:lang w:val="en-GB" w:eastAsia="nl-NL"/>
        </w:rPr>
        <w:object w:dxaOrig="2400" w:dyaOrig="380">
          <v:shape id="_x0000_i1432" type="#_x0000_t75" style="width:120pt;height:18.75pt" o:ole="">
            <v:imagedata r:id="rId749" o:title=""/>
          </v:shape>
          <o:OLEObject Type="Embed" ProgID="Equation.DSMT4" ShapeID="_x0000_i1432" DrawAspect="Content" ObjectID="_1324893933" r:id="rId750"/>
        </w:object>
      </w:r>
      <w:r w:rsidRPr="00802C03">
        <w:rPr>
          <w:rFonts w:ascii="Garamond" w:hAnsi="Garamond" w:cs="NimbusRomNo9L-Regu"/>
          <w:lang w:val="en-GB" w:eastAsia="nl-NL"/>
        </w:rPr>
        <w:t>,</w:t>
      </w:r>
      <w:r w:rsidRPr="00802C03">
        <w:rPr>
          <w:rFonts w:ascii="Garamond" w:hAnsi="Garamond" w:cs="NimbusRomNo9L-Regu"/>
          <w:lang w:val="en-GB" w:eastAsia="nl-NL"/>
        </w:rPr>
        <w:tab/>
        <w:t>(1.37)</w:t>
      </w:r>
    </w:p>
    <w:p w:rsidR="001C7C52" w:rsidRPr="00802C03" w:rsidRDefault="001C7C52" w:rsidP="00E81216">
      <w:pPr>
        <w:spacing w:before="16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340" w:dyaOrig="320">
          <v:shape id="_x0000_i1433" type="#_x0000_t75" style="width:16.5pt;height:15.75pt" o:ole="">
            <v:imagedata r:id="rId751" o:title=""/>
          </v:shape>
          <o:OLEObject Type="Embed" ProgID="Equation.DSMT4" ShapeID="_x0000_i1433" DrawAspect="Content" ObjectID="_1324893934" r:id="rId752"/>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34" type="#_x0000_t75" style="width:16.5pt;height:15.75pt" o:ole="">
            <v:imagedata r:id="rId753" o:title=""/>
          </v:shape>
          <o:OLEObject Type="Embed" ProgID="Equation.DSMT4" ShapeID="_x0000_i1434" DrawAspect="Content" ObjectID="_1324893935" r:id="rId754"/>
        </w:object>
      </w:r>
      <w:r w:rsidRPr="00802C03">
        <w:rPr>
          <w:rFonts w:ascii="Garamond" w:hAnsi="Garamond" w:cs="NimbusRomNo9L-Regu"/>
          <w:lang w:val="en-GB" w:eastAsia="nl-NL"/>
        </w:rPr>
        <w:t xml:space="preserve"> are standard normally distributed and correlated to </w:t>
      </w:r>
      <w:r w:rsidRPr="00100BDF">
        <w:rPr>
          <w:rFonts w:ascii="Garamond" w:hAnsi="Garamond" w:cs="NimbusRomNo9L-Regu"/>
          <w:position w:val="-10"/>
          <w:lang w:val="en-GB" w:eastAsia="nl-NL"/>
        </w:rPr>
        <w:object w:dxaOrig="300" w:dyaOrig="300">
          <v:shape id="_x0000_i1435" type="#_x0000_t75" style="width:15pt;height:15pt" o:ole="">
            <v:imagedata r:id="rId755" o:title=""/>
          </v:shape>
          <o:OLEObject Type="Embed" ProgID="Equation.DSMT4" ShapeID="_x0000_i1435" DrawAspect="Content" ObjectID="_1324893936" r:id="rId75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00" w:dyaOrig="300">
          <v:shape id="_x0000_i1436" type="#_x0000_t75" style="width:15pt;height:15pt" o:ole="">
            <v:imagedata r:id="rId757" o:title=""/>
          </v:shape>
          <o:OLEObject Type="Embed" ProgID="Equation.DSMT4" ShapeID="_x0000_i1436" DrawAspect="Content" ObjectID="_1324893937" r:id="rId758"/>
        </w:object>
      </w:r>
      <w:r w:rsidRPr="00802C03">
        <w:rPr>
          <w:rFonts w:ascii="Garamond" w:hAnsi="Garamond" w:cs="NimbusRomNo9L-Regu"/>
          <w:lang w:val="en-GB" w:eastAsia="nl-NL"/>
        </w:rPr>
        <w:t xml:space="preserve"> with magnitudes </w:t>
      </w:r>
      <w:r w:rsidRPr="00100BDF">
        <w:rPr>
          <w:rFonts w:ascii="Garamond" w:hAnsi="Garamond" w:cs="NimbusRomNo9L-Regu"/>
          <w:position w:val="-10"/>
          <w:lang w:val="en-GB" w:eastAsia="nl-NL"/>
        </w:rPr>
        <w:object w:dxaOrig="440" w:dyaOrig="300">
          <v:shape id="_x0000_i1437" type="#_x0000_t75" style="width:21.75pt;height:15pt" o:ole="">
            <v:imagedata r:id="rId759" o:title=""/>
          </v:shape>
          <o:OLEObject Type="Embed" ProgID="Equation.DSMT4" ShapeID="_x0000_i1437" DrawAspect="Content" ObjectID="_1324893938" r:id="rId76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40" w:dyaOrig="300">
          <v:shape id="_x0000_i1438" type="#_x0000_t75" style="width:21.75pt;height:15pt" o:ole="">
            <v:imagedata r:id="rId761" o:title=""/>
          </v:shape>
          <o:OLEObject Type="Embed" ProgID="Equation.DSMT4" ShapeID="_x0000_i1438" DrawAspect="Content" ObjectID="_1324893939" r:id="rId762"/>
        </w:object>
      </w:r>
      <w:r w:rsidRPr="00802C03">
        <w:rPr>
          <w:rFonts w:ascii="Garamond" w:hAnsi="Garamond" w:cs="NimbusRomNo9L-Regu"/>
          <w:lang w:val="en-GB" w:eastAsia="nl-NL"/>
        </w:rPr>
        <w:t>, respectively (issuer-specific autocorrelation in the time-series dimension).</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As a result of the above procedure, the single-period issuer asset returns for both positions are created (</w:t>
      </w:r>
      <w:r w:rsidRPr="00100BDF">
        <w:rPr>
          <w:rFonts w:ascii="Garamond" w:hAnsi="Garamond" w:cs="NimbusRomNo9L-Regu"/>
          <w:position w:val="-10"/>
          <w:lang w:val="en-GB" w:eastAsia="nl-NL"/>
        </w:rPr>
        <w:object w:dxaOrig="300" w:dyaOrig="300">
          <v:shape id="_x0000_i1439" type="#_x0000_t75" style="width:15pt;height:15pt" o:ole="">
            <v:imagedata r:id="rId763" o:title=""/>
          </v:shape>
          <o:OLEObject Type="Embed" ProgID="Equation.DSMT4" ShapeID="_x0000_i1439" DrawAspect="Content" ObjectID="_1324893940" r:id="rId76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40" type="#_x0000_t75" style="width:16.5pt;height:15.75pt" o:ole="">
            <v:imagedata r:id="rId765" o:title=""/>
          </v:shape>
          <o:OLEObject Type="Embed" ProgID="Equation.DSMT4" ShapeID="_x0000_i1440" DrawAspect="Content" ObjectID="_1324893941" r:id="rId766"/>
        </w:object>
      </w:r>
      <w:r w:rsidRPr="00802C03">
        <w:rPr>
          <w:rFonts w:ascii="Garamond" w:hAnsi="Garamond" w:cs="NimbusRomNo9L-Regu"/>
          <w:lang w:val="en-GB" w:eastAsia="nl-NL"/>
        </w:rPr>
        <w:t xml:space="preserve"> for position A and </w:t>
      </w:r>
      <w:r w:rsidRPr="00100BDF">
        <w:rPr>
          <w:rFonts w:ascii="Garamond" w:hAnsi="Garamond" w:cs="NimbusRomNo9L-Regu"/>
          <w:position w:val="-10"/>
          <w:lang w:val="en-GB" w:eastAsia="nl-NL"/>
        </w:rPr>
        <w:object w:dxaOrig="300" w:dyaOrig="300">
          <v:shape id="_x0000_i1441" type="#_x0000_t75" style="width:15pt;height:15pt" o:ole="">
            <v:imagedata r:id="rId767" o:title=""/>
          </v:shape>
          <o:OLEObject Type="Embed" ProgID="Equation.DSMT4" ShapeID="_x0000_i1441" DrawAspect="Content" ObjectID="_1324893942" r:id="rId76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42" type="#_x0000_t75" style="width:16.5pt;height:15.75pt" o:ole="">
            <v:imagedata r:id="rId769" o:title=""/>
          </v:shape>
          <o:OLEObject Type="Embed" ProgID="Equation.DSMT4" ShapeID="_x0000_i1442" DrawAspect="Content" ObjectID="_1324893943" r:id="rId770"/>
        </w:object>
      </w:r>
      <w:r w:rsidRPr="00802C03">
        <w:rPr>
          <w:rFonts w:ascii="Garamond" w:hAnsi="Garamond" w:cs="NimbusRomNo9L-Regu"/>
          <w:lang w:val="en-GB" w:eastAsia="nl-NL"/>
        </w:rPr>
        <w:t xml:space="preserve"> for position B). The issuer correlation in period one is still equal to </w:t>
      </w:r>
      <w:r w:rsidRPr="00100BDF">
        <w:rPr>
          <w:rFonts w:ascii="Garamond" w:hAnsi="Garamond" w:cs="NimbusRomNo9L-Regu"/>
          <w:position w:val="-10"/>
          <w:lang w:val="en-GB" w:eastAsia="nl-NL"/>
        </w:rPr>
        <w:object w:dxaOrig="340" w:dyaOrig="300">
          <v:shape id="_x0000_i1443" type="#_x0000_t75" style="width:16.5pt;height:15pt" o:ole="">
            <v:imagedata r:id="rId771" o:title=""/>
          </v:shape>
          <o:OLEObject Type="Embed" ProgID="Equation.DSMT4" ShapeID="_x0000_i1443" DrawAspect="Content" ObjectID="_1324893944" r:id="rId772"/>
        </w:object>
      </w:r>
      <w:r w:rsidRPr="00802C03">
        <w:rPr>
          <w:rFonts w:ascii="Garamond" w:hAnsi="Garamond" w:cs="NimbusRomNo9L-Regu"/>
          <w:lang w:val="en-GB" w:eastAsia="nl-NL"/>
        </w:rPr>
        <w:t xml:space="preserve">, since </w:t>
      </w:r>
      <w:r w:rsidRPr="00100BDF">
        <w:rPr>
          <w:rFonts w:ascii="Garamond" w:hAnsi="Garamond" w:cs="NimbusRomNo9L-Regu"/>
          <w:position w:val="-10"/>
          <w:lang w:val="en-GB" w:eastAsia="nl-NL"/>
        </w:rPr>
        <w:object w:dxaOrig="300" w:dyaOrig="300">
          <v:shape id="_x0000_i1444" type="#_x0000_t75" style="width:15pt;height:15pt" o:ole="">
            <v:imagedata r:id="rId773" o:title=""/>
          </v:shape>
          <o:OLEObject Type="Embed" ProgID="Equation.DSMT4" ShapeID="_x0000_i1444" DrawAspect="Content" ObjectID="_1324893945" r:id="rId77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00" w:dyaOrig="300">
          <v:shape id="_x0000_i1445" type="#_x0000_t75" style="width:15pt;height:15pt" o:ole="">
            <v:imagedata r:id="rId775" o:title=""/>
          </v:shape>
          <o:OLEObject Type="Embed" ProgID="Equation.DSMT4" ShapeID="_x0000_i1445" DrawAspect="Content" ObjectID="_1324893946" r:id="rId776"/>
        </w:object>
      </w:r>
      <w:r w:rsidRPr="00802C03">
        <w:rPr>
          <w:rFonts w:ascii="Garamond" w:hAnsi="Garamond" w:cs="NimbusRomNo9L-Regu"/>
          <w:lang w:val="en-GB" w:eastAsia="nl-NL"/>
        </w:rPr>
        <w:t xml:space="preserve"> have not been subject to another conversion. A difficulty arises, however, with the issuer correlation in period two which has been affected by the autocorrelation of the second copula. The effect can be mathematically approached (</w:t>
      </w:r>
      <w:hyperlink w:anchor="SA1" w:history="1">
        <w:r w:rsidRPr="00802C03">
          <w:rPr>
            <w:rStyle w:val="Hyperlink"/>
            <w:rFonts w:ascii="Garamond" w:hAnsi="Garamond" w:cs="NimbusRomNo9L-Regu"/>
            <w:color w:val="000066"/>
            <w:u w:val="none"/>
            <w:lang w:val="en-GB" w:eastAsia="nl-NL"/>
          </w:rPr>
          <w:t>appendix A.1</w:t>
        </w:r>
      </w:hyperlink>
      <w:r w:rsidRPr="00802C03">
        <w:rPr>
          <w:rFonts w:ascii="Garamond" w:hAnsi="Garamond" w:cs="NimbusRomNo9L-Regu"/>
          <w:lang w:val="en-GB" w:eastAsia="nl-NL"/>
        </w:rPr>
        <w:t xml:space="preserve"> describes this derivation in more detail). From </w:t>
      </w:r>
      <w:hyperlink w:anchor="E1N33" w:history="1">
        <w:r w:rsidRPr="00802C03">
          <w:rPr>
            <w:rStyle w:val="Hyperlink"/>
            <w:rFonts w:ascii="Garamond" w:hAnsi="Garamond" w:cs="NimbusRomNo9L-Regu"/>
            <w:color w:val="000066"/>
            <w:u w:val="none"/>
            <w:lang w:val="en-GB" w:eastAsia="nl-NL"/>
          </w:rPr>
          <w:t>equations 1.34</w:t>
        </w:r>
      </w:hyperlink>
      <w:r w:rsidRPr="00802C03">
        <w:rPr>
          <w:rFonts w:ascii="Garamond" w:hAnsi="Garamond" w:cs="NimbusRomNo9L-Regu"/>
          <w:lang w:val="en-GB" w:eastAsia="nl-NL"/>
        </w:rPr>
        <w:t xml:space="preserve">, </w:t>
      </w:r>
      <w:hyperlink w:anchor="E1N34" w:history="1">
        <w:r w:rsidRPr="00802C03">
          <w:rPr>
            <w:rStyle w:val="Hyperlink"/>
            <w:rFonts w:ascii="Garamond" w:hAnsi="Garamond" w:cs="NimbusRomNo9L-Regu"/>
            <w:color w:val="000066"/>
            <w:u w:val="none"/>
            <w:lang w:val="en-GB" w:eastAsia="nl-NL"/>
          </w:rPr>
          <w:t>1.35</w:t>
        </w:r>
      </w:hyperlink>
      <w:r w:rsidRPr="00802C03">
        <w:rPr>
          <w:rFonts w:ascii="Garamond" w:hAnsi="Garamond" w:cs="NimbusRomNo9L-Regu"/>
          <w:lang w:val="en-GB" w:eastAsia="nl-NL"/>
        </w:rPr>
        <w:t xml:space="preserve">, </w:t>
      </w:r>
      <w:hyperlink w:anchor="E1N35" w:history="1">
        <w:r w:rsidRPr="00802C03">
          <w:rPr>
            <w:rStyle w:val="Hyperlink"/>
            <w:rFonts w:ascii="Garamond" w:hAnsi="Garamond" w:cs="NimbusRomNo9L-Regu"/>
            <w:color w:val="000066"/>
            <w:u w:val="none"/>
            <w:lang w:val="en-GB" w:eastAsia="nl-NL"/>
          </w:rPr>
          <w:t>1.36</w:t>
        </w:r>
      </w:hyperlink>
      <w:r w:rsidRPr="00802C03">
        <w:rPr>
          <w:rFonts w:ascii="Garamond" w:hAnsi="Garamond" w:cs="NimbusRomNo9L-Regu"/>
          <w:lang w:val="en-GB" w:eastAsia="nl-NL"/>
        </w:rPr>
        <w:t xml:space="preserve"> and </w:t>
      </w:r>
      <w:hyperlink w:anchor="E1N36" w:history="1">
        <w:r w:rsidRPr="00802C03">
          <w:rPr>
            <w:rStyle w:val="Hyperlink"/>
            <w:rFonts w:ascii="Garamond" w:hAnsi="Garamond" w:cs="NimbusRomNo9L-Regu"/>
            <w:color w:val="000066"/>
            <w:u w:val="none"/>
            <w:lang w:val="en-GB" w:eastAsia="nl-NL"/>
          </w:rPr>
          <w:t>1.37</w:t>
        </w:r>
      </w:hyperlink>
      <w:r w:rsidRPr="00802C03">
        <w:rPr>
          <w:rFonts w:ascii="Garamond" w:hAnsi="Garamond" w:cs="NimbusRomNo9L-Regu"/>
          <w:lang w:val="en-GB" w:eastAsia="nl-NL"/>
        </w:rPr>
        <w:t>, it can be shown that:</w:t>
      </w:r>
    </w:p>
    <w:p w:rsidR="001C7C52" w:rsidRPr="00802C03" w:rsidRDefault="001C7C52" w:rsidP="00895FE6">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30" w:name="E1N37"/>
      <w:bookmarkEnd w:id="30"/>
      <w:r w:rsidRPr="00100BDF">
        <w:rPr>
          <w:rFonts w:ascii="Garamond" w:hAnsi="Garamond" w:cs="NimbusRomNo9L-Regu"/>
          <w:position w:val="-12"/>
          <w:lang w:val="en-GB" w:eastAsia="nl-NL"/>
        </w:rPr>
        <w:object w:dxaOrig="2439" w:dyaOrig="380">
          <v:shape id="_x0000_i1446" type="#_x0000_t75" style="width:122.25pt;height:18.75pt" o:ole="">
            <v:imagedata r:id="rId777" o:title=""/>
          </v:shape>
          <o:OLEObject Type="Embed" ProgID="Equation.DSMT4" ShapeID="_x0000_i1446" DrawAspect="Content" ObjectID="_1324893947" r:id="rId778"/>
        </w:object>
      </w:r>
      <w:r w:rsidRPr="00802C03">
        <w:rPr>
          <w:rFonts w:ascii="Garamond" w:hAnsi="Garamond" w:cs="NimbusRomNo9L-Regu"/>
          <w:lang w:val="en-GB" w:eastAsia="nl-NL"/>
        </w:rPr>
        <w:t>,</w:t>
      </w:r>
      <w:r w:rsidRPr="00802C03">
        <w:rPr>
          <w:rFonts w:ascii="Garamond" w:hAnsi="Garamond" w:cs="NimbusRomNo9L-Regu"/>
          <w:lang w:val="en-GB" w:eastAsia="nl-NL"/>
        </w:rPr>
        <w:tab/>
        <w:t>(1.38)</w:t>
      </w:r>
    </w:p>
    <w:p w:rsidR="001C7C52" w:rsidRPr="00802C03" w:rsidRDefault="001C7C52" w:rsidP="0047639A">
      <w:pPr>
        <w:tabs>
          <w:tab w:val="left" w:pos="567"/>
          <w:tab w:val="left" w:pos="8505"/>
        </w:tabs>
        <w:spacing w:before="120" w:after="16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31" w:name="E1N38"/>
      <w:bookmarkEnd w:id="31"/>
      <w:r w:rsidRPr="00100BDF">
        <w:rPr>
          <w:rFonts w:ascii="Garamond" w:hAnsi="Garamond" w:cs="NimbusRomNo9L-Regu"/>
          <w:position w:val="-12"/>
          <w:lang w:val="en-GB" w:eastAsia="nl-NL"/>
        </w:rPr>
        <w:object w:dxaOrig="6200" w:dyaOrig="380">
          <v:shape id="_x0000_i1447" type="#_x0000_t75" style="width:309.75pt;height:18.75pt" o:ole="">
            <v:imagedata r:id="rId779" o:title=""/>
          </v:shape>
          <o:OLEObject Type="Embed" ProgID="Equation.DSMT4" ShapeID="_x0000_i1447" DrawAspect="Content" ObjectID="_1324893948" r:id="rId780"/>
        </w:object>
      </w:r>
      <w:r w:rsidRPr="00802C03">
        <w:rPr>
          <w:rFonts w:ascii="Garamond" w:hAnsi="Garamond" w:cs="NimbusRomNo9L-Regu"/>
          <w:lang w:val="en-GB" w:eastAsia="nl-NL"/>
        </w:rPr>
        <w:t>.</w:t>
      </w:r>
      <w:r w:rsidRPr="00802C03">
        <w:rPr>
          <w:rFonts w:ascii="Garamond" w:hAnsi="Garamond" w:cs="NimbusRomNo9L-Regu"/>
          <w:lang w:val="en-GB" w:eastAsia="nl-NL"/>
        </w:rPr>
        <w:tab/>
        <w:t>(1.39)</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this setting, the second-period asset returns underlying both positions are rewritten in terms of independent random variables. Here, the following statistical rule holds: when </w:t>
      </w:r>
      <w:r w:rsidRPr="00100BDF">
        <w:rPr>
          <w:rFonts w:ascii="Garamond" w:hAnsi="Garamond" w:cs="NimbusRomNo9L-Regu"/>
          <w:position w:val="-10"/>
          <w:lang w:val="en-GB" w:eastAsia="nl-NL"/>
        </w:rPr>
        <w:object w:dxaOrig="920" w:dyaOrig="300">
          <v:shape id="_x0000_i1448" type="#_x0000_t75" style="width:45.75pt;height:15pt" o:ole="">
            <v:imagedata r:id="rId781" o:title=""/>
          </v:shape>
          <o:OLEObject Type="Embed" ProgID="Equation.DSMT4" ShapeID="_x0000_i1448" DrawAspect="Content" ObjectID="_1324893949" r:id="rId782"/>
        </w:object>
      </w:r>
      <w:r w:rsidRPr="00802C03">
        <w:rPr>
          <w:rFonts w:ascii="Garamond" w:hAnsi="Garamond" w:cs="NimbusRomNo9L-Regu"/>
          <w:lang w:val="en-GB" w:eastAsia="nl-NL"/>
        </w:rPr>
        <w:t xml:space="preserve"> is correlated to </w:t>
      </w:r>
      <w:r w:rsidRPr="00100BDF">
        <w:rPr>
          <w:rFonts w:ascii="Garamond" w:hAnsi="Garamond" w:cs="NimbusRomNo9L-Regu"/>
          <w:position w:val="-10"/>
          <w:lang w:val="en-GB" w:eastAsia="nl-NL"/>
        </w:rPr>
        <w:object w:dxaOrig="920" w:dyaOrig="300">
          <v:shape id="_x0000_i1449" type="#_x0000_t75" style="width:45.75pt;height:15pt" o:ole="">
            <v:imagedata r:id="rId783" o:title=""/>
          </v:shape>
          <o:OLEObject Type="Embed" ProgID="Equation.DSMT4" ShapeID="_x0000_i1449" DrawAspect="Content" ObjectID="_1324893950" r:id="rId784"/>
        </w:object>
      </w:r>
      <w:r w:rsidRPr="00802C03">
        <w:rPr>
          <w:rFonts w:ascii="Garamond" w:hAnsi="Garamond" w:cs="NimbusRomNo9L-Regu"/>
          <w:lang w:val="en-GB" w:eastAsia="nl-NL"/>
        </w:rPr>
        <w:t xml:space="preserve"> and </w:t>
      </w:r>
      <w:r w:rsidRPr="00100BDF">
        <w:rPr>
          <w:rFonts w:ascii="Garamond" w:hAnsi="Garamond" w:cs="NimbusRomNo9L-Regu"/>
          <w:position w:val="-6"/>
          <w:lang w:val="en-GB" w:eastAsia="nl-NL"/>
        </w:rPr>
        <w:object w:dxaOrig="180" w:dyaOrig="260">
          <v:shape id="_x0000_i1450" type="#_x0000_t75" style="width:9pt;height:13.5pt" o:ole="">
            <v:imagedata r:id="rId785" o:title=""/>
          </v:shape>
          <o:OLEObject Type="Embed" ProgID="Equation.DSMT4" ShapeID="_x0000_i1450" DrawAspect="Content" ObjectID="_1324893951" r:id="rId786"/>
        </w:object>
      </w:r>
      <w:r w:rsidRPr="00802C03">
        <w:rPr>
          <w:rFonts w:ascii="Garamond" w:hAnsi="Garamond" w:cs="NimbusRomNo9L-Regu"/>
          <w:lang w:val="en-GB" w:eastAsia="nl-NL"/>
        </w:rPr>
        <w:t xml:space="preserve"> is correlated to </w:t>
      </w:r>
      <w:r w:rsidRPr="00100BDF">
        <w:rPr>
          <w:rFonts w:ascii="Garamond" w:hAnsi="Garamond" w:cs="NimbusRomNo9L-Regu"/>
          <w:position w:val="-10"/>
          <w:lang w:val="en-GB" w:eastAsia="nl-NL"/>
        </w:rPr>
        <w:object w:dxaOrig="900" w:dyaOrig="300">
          <v:shape id="_x0000_i1451" type="#_x0000_t75" style="width:45pt;height:15pt" o:ole="">
            <v:imagedata r:id="rId787" o:title=""/>
          </v:shape>
          <o:OLEObject Type="Embed" ProgID="Equation.DSMT4" ShapeID="_x0000_i1451" DrawAspect="Content" ObjectID="_1324893952" r:id="rId788"/>
        </w:object>
      </w:r>
      <w:r w:rsidRPr="00802C03">
        <w:rPr>
          <w:rFonts w:ascii="Garamond" w:hAnsi="Garamond" w:cs="NimbusRomNo9L-Regu"/>
          <w:lang w:val="en-GB" w:eastAsia="nl-NL"/>
        </w:rPr>
        <w:t xml:space="preserve">, then the correlation between </w:t>
      </w:r>
      <w:r w:rsidRPr="00100BDF">
        <w:rPr>
          <w:rFonts w:ascii="Garamond" w:hAnsi="Garamond" w:cs="NimbusRomNo9L-Regu"/>
          <w:position w:val="-6"/>
          <w:lang w:val="en-GB" w:eastAsia="nl-NL"/>
        </w:rPr>
        <w:object w:dxaOrig="180" w:dyaOrig="200">
          <v:shape id="_x0000_i1452" type="#_x0000_t75" style="width:9pt;height:9.75pt" o:ole="">
            <v:imagedata r:id="rId789" o:title=""/>
          </v:shape>
          <o:OLEObject Type="Embed" ProgID="Equation.DSMT4" ShapeID="_x0000_i1452" DrawAspect="Content" ObjectID="_1324893953" r:id="rId790"/>
        </w:object>
      </w:r>
      <w:r w:rsidRPr="00802C03">
        <w:rPr>
          <w:rFonts w:ascii="Garamond" w:hAnsi="Garamond" w:cs="NimbusRomNo9L-Regu"/>
          <w:lang w:val="en-GB" w:eastAsia="nl-NL"/>
        </w:rPr>
        <w:t xml:space="preserve"> and </w:t>
      </w:r>
      <w:r w:rsidRPr="00100BDF">
        <w:rPr>
          <w:rFonts w:ascii="Garamond" w:hAnsi="Garamond" w:cs="NimbusRomNo9L-Regu"/>
          <w:position w:val="-6"/>
          <w:lang w:val="en-GB" w:eastAsia="nl-NL"/>
        </w:rPr>
        <w:object w:dxaOrig="160" w:dyaOrig="200">
          <v:shape id="_x0000_i1453" type="#_x0000_t75" style="width:8.25pt;height:9.75pt" o:ole="">
            <v:imagedata r:id="rId791" o:title=""/>
          </v:shape>
          <o:OLEObject Type="Embed" ProgID="Equation.DSMT4" ShapeID="_x0000_i1453" DrawAspect="Content" ObjectID="_1324893954" r:id="rId792"/>
        </w:object>
      </w:r>
      <w:r w:rsidRPr="00802C03">
        <w:rPr>
          <w:rFonts w:ascii="Garamond" w:hAnsi="Garamond" w:cs="NimbusRomNo9L-Regu"/>
          <w:lang w:val="en-GB" w:eastAsia="nl-NL"/>
        </w:rPr>
        <w:t xml:space="preserve"> is equal to </w:t>
      </w:r>
      <w:r w:rsidRPr="00100BDF">
        <w:rPr>
          <w:rFonts w:ascii="Garamond" w:hAnsi="Garamond" w:cs="NimbusRomNo9L-Regu"/>
          <w:position w:val="-10"/>
          <w:lang w:val="en-GB" w:eastAsia="nl-NL"/>
        </w:rPr>
        <w:object w:dxaOrig="820" w:dyaOrig="300">
          <v:shape id="_x0000_i1454" type="#_x0000_t75" style="width:40.5pt;height:15pt" o:ole="">
            <v:imagedata r:id="rId793" o:title=""/>
          </v:shape>
          <o:OLEObject Type="Embed" ProgID="Equation.DSMT4" ShapeID="_x0000_i1454" DrawAspect="Content" ObjectID="_1324893955" r:id="rId794"/>
        </w:object>
      </w:r>
      <w:r w:rsidRPr="00802C03">
        <w:rPr>
          <w:rFonts w:ascii="Garamond" w:hAnsi="Garamond" w:cs="NimbusRomNo9L-Regu"/>
          <w:lang w:val="en-GB" w:eastAsia="nl-NL"/>
        </w:rPr>
        <w:t xml:space="preserve"> times </w:t>
      </w:r>
      <w:r w:rsidRPr="00100BDF">
        <w:rPr>
          <w:rFonts w:ascii="Garamond" w:hAnsi="Garamond" w:cs="NimbusRomNo9L-Regu"/>
          <w:position w:val="-10"/>
          <w:lang w:val="en-GB" w:eastAsia="nl-NL"/>
        </w:rPr>
        <w:object w:dxaOrig="800" w:dyaOrig="300">
          <v:shape id="_x0000_i1455" type="#_x0000_t75" style="width:39.75pt;height:15pt" o:ole="">
            <v:imagedata r:id="rId795" o:title=""/>
          </v:shape>
          <o:OLEObject Type="Embed" ProgID="Equation.DSMT4" ShapeID="_x0000_i1455" DrawAspect="Content" ObjectID="_1324893956" r:id="rId796"/>
        </w:object>
      </w:r>
      <w:r w:rsidRPr="00802C03">
        <w:rPr>
          <w:rFonts w:ascii="Garamond" w:hAnsi="Garamond" w:cs="NimbusRomNo9L-Regu"/>
          <w:lang w:val="en-GB" w:eastAsia="nl-NL"/>
        </w:rPr>
        <w:t xml:space="preserve">, or in more statistical definitions: </w:t>
      </w:r>
      <w:r w:rsidRPr="00100BDF">
        <w:rPr>
          <w:rFonts w:ascii="Garamond" w:hAnsi="Garamond" w:cs="NimbusRomNo9L-Regu"/>
          <w:position w:val="-10"/>
          <w:lang w:val="en-GB" w:eastAsia="nl-NL"/>
        </w:rPr>
        <w:object w:dxaOrig="999" w:dyaOrig="300">
          <v:shape id="_x0000_i1456" type="#_x0000_t75" style="width:50.25pt;height:15pt" o:ole="">
            <v:imagedata r:id="rId797" o:title=""/>
          </v:shape>
          <o:OLEObject Type="Embed" ProgID="Equation.DSMT4" ShapeID="_x0000_i1456" DrawAspect="Content" ObjectID="_1324893957" r:id="rId798"/>
        </w:object>
      </w:r>
      <w:r w:rsidRPr="00802C03">
        <w:rPr>
          <w:rFonts w:ascii="Garamond" w:hAnsi="Garamond" w:cs="NimbusRomNo9L-Regu"/>
          <w:lang w:val="en-GB" w:eastAsia="nl-NL"/>
        </w:rPr>
        <w:t xml:space="preserve">. Applying this rule, the correlation between </w:t>
      </w:r>
      <w:r w:rsidRPr="00100BDF">
        <w:rPr>
          <w:rFonts w:ascii="Garamond" w:hAnsi="Garamond" w:cs="NimbusRomNo9L-Regu"/>
          <w:position w:val="-10"/>
          <w:lang w:val="en-GB" w:eastAsia="nl-NL"/>
        </w:rPr>
        <w:object w:dxaOrig="340" w:dyaOrig="320">
          <v:shape id="_x0000_i1457" type="#_x0000_t75" style="width:16.5pt;height:15.75pt" o:ole="">
            <v:imagedata r:id="rId799" o:title=""/>
          </v:shape>
          <o:OLEObject Type="Embed" ProgID="Equation.DSMT4" ShapeID="_x0000_i1457" DrawAspect="Content" ObjectID="_1324893958" r:id="rId80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458" type="#_x0000_t75" style="width:16.5pt;height:15.75pt" o:ole="">
            <v:imagedata r:id="rId801" o:title=""/>
          </v:shape>
          <o:OLEObject Type="Embed" ProgID="Equation.DSMT4" ShapeID="_x0000_i1458" DrawAspect="Content" ObjectID="_1324893959" r:id="rId802"/>
        </w:object>
      </w:r>
      <w:r w:rsidRPr="00802C03">
        <w:rPr>
          <w:rFonts w:ascii="Garamond" w:hAnsi="Garamond" w:cs="NimbusRomNo9L-Regu"/>
          <w:lang w:val="en-GB" w:eastAsia="nl-NL"/>
        </w:rPr>
        <w:t xml:space="preserve"> can be derived:</w:t>
      </w:r>
    </w:p>
    <w:p w:rsidR="001C7C52" w:rsidRPr="00802C03" w:rsidRDefault="001C7C52" w:rsidP="00895FE6">
      <w:pPr>
        <w:tabs>
          <w:tab w:val="left" w:pos="567"/>
          <w:tab w:val="left" w:pos="8505"/>
        </w:tabs>
        <w:spacing w:before="80" w:after="12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32" w:name="E1N39"/>
      <w:bookmarkEnd w:id="32"/>
      <w:r w:rsidRPr="00100BDF">
        <w:rPr>
          <w:rFonts w:ascii="Garamond" w:hAnsi="Garamond" w:cs="NimbusRomNo9L-Regu"/>
          <w:position w:val="-12"/>
          <w:lang w:val="en-GB" w:eastAsia="nl-NL"/>
        </w:rPr>
        <w:object w:dxaOrig="4320" w:dyaOrig="380">
          <v:shape id="_x0000_i1459" type="#_x0000_t75" style="width:3in;height:18.75pt" o:ole="">
            <v:imagedata r:id="rId803" o:title=""/>
          </v:shape>
          <o:OLEObject Type="Embed" ProgID="Equation.DSMT4" ShapeID="_x0000_i1459" DrawAspect="Content" ObjectID="_1324893960" r:id="rId804"/>
        </w:object>
      </w:r>
      <w:r w:rsidRPr="00802C03">
        <w:rPr>
          <w:rFonts w:ascii="Garamond" w:hAnsi="Garamond" w:cs="NimbusRomNo9L-Regu"/>
          <w:lang w:val="en-GB" w:eastAsia="nl-NL"/>
        </w:rPr>
        <w:t>.</w:t>
      </w:r>
      <w:r w:rsidRPr="00802C03">
        <w:rPr>
          <w:rFonts w:ascii="Garamond" w:hAnsi="Garamond" w:cs="NimbusRomNo9L-Regu"/>
          <w:lang w:val="en-GB" w:eastAsia="nl-NL"/>
        </w:rPr>
        <w:tab/>
        <w:t>(1.40)</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Thus, </w:t>
      </w:r>
      <w:r w:rsidRPr="00100BDF">
        <w:rPr>
          <w:rFonts w:ascii="Garamond" w:hAnsi="Garamond" w:cs="NimbusRomNo9L-Regu"/>
          <w:position w:val="-10"/>
          <w:lang w:val="en-GB" w:eastAsia="nl-NL"/>
        </w:rPr>
        <w:object w:dxaOrig="1160" w:dyaOrig="320">
          <v:shape id="_x0000_i1460" type="#_x0000_t75" style="width:57.75pt;height:15.75pt" o:ole="">
            <v:imagedata r:id="rId805" o:title=""/>
          </v:shape>
          <o:OLEObject Type="Embed" ProgID="Equation.DSMT4" ShapeID="_x0000_i1460" DrawAspect="Content" ObjectID="_1324893961" r:id="rId806"/>
        </w:object>
      </w:r>
      <w:r w:rsidRPr="00802C03">
        <w:rPr>
          <w:rFonts w:ascii="Garamond" w:hAnsi="Garamond" w:cs="NimbusRomNo9L-Regu"/>
          <w:lang w:val="en-GB" w:eastAsia="nl-NL"/>
        </w:rPr>
        <w:t xml:space="preserve"> is only equal to </w:t>
      </w:r>
      <w:r w:rsidRPr="00100BDF">
        <w:rPr>
          <w:rFonts w:ascii="Garamond" w:hAnsi="Garamond" w:cs="NimbusRomNo9L-Regu"/>
          <w:position w:val="-10"/>
          <w:lang w:val="en-GB" w:eastAsia="nl-NL"/>
        </w:rPr>
        <w:object w:dxaOrig="340" w:dyaOrig="300">
          <v:shape id="_x0000_i1461" type="#_x0000_t75" style="width:16.5pt;height:15pt" o:ole="">
            <v:imagedata r:id="rId807" o:title=""/>
          </v:shape>
          <o:OLEObject Type="Embed" ProgID="Equation.DSMT4" ShapeID="_x0000_i1461" DrawAspect="Content" ObjectID="_1324893962" r:id="rId808"/>
        </w:object>
      </w:r>
      <w:r w:rsidRPr="00802C03">
        <w:rPr>
          <w:rFonts w:ascii="Garamond" w:hAnsi="Garamond" w:cs="NimbusRomNo9L-Regu"/>
          <w:lang w:val="en-GB" w:eastAsia="nl-NL"/>
        </w:rPr>
        <w:t xml:space="preserve"> when </w:t>
      </w:r>
      <w:r w:rsidRPr="00100BDF">
        <w:rPr>
          <w:rFonts w:ascii="Garamond" w:hAnsi="Garamond" w:cs="NimbusRomNo9L-Regu"/>
          <w:position w:val="-12"/>
          <w:lang w:val="en-GB" w:eastAsia="nl-NL"/>
        </w:rPr>
        <w:object w:dxaOrig="3019" w:dyaOrig="380">
          <v:shape id="_x0000_i1462" type="#_x0000_t75" style="width:150.75pt;height:18.75pt" o:ole="">
            <v:imagedata r:id="rId809" o:title=""/>
          </v:shape>
          <o:OLEObject Type="Embed" ProgID="Equation.DSMT4" ShapeID="_x0000_i1462" DrawAspect="Content" ObjectID="_1324893963" r:id="rId810"/>
        </w:object>
      </w:r>
      <w:r w:rsidRPr="00802C03">
        <w:rPr>
          <w:rFonts w:ascii="Garamond" w:hAnsi="Garamond" w:cs="NimbusRomNo9L-Regu"/>
          <w:lang w:val="en-GB" w:eastAsia="nl-NL"/>
        </w:rPr>
        <w:t>, which is only the case when both autocorrelation coefficients hold equal values (</w:t>
      </w:r>
      <w:r w:rsidRPr="00100BDF">
        <w:rPr>
          <w:rFonts w:ascii="Garamond" w:hAnsi="Garamond" w:cs="NimbusRomNo9L-Regu"/>
          <w:position w:val="-10"/>
          <w:lang w:val="en-GB" w:eastAsia="nl-NL"/>
        </w:rPr>
        <w:object w:dxaOrig="1040" w:dyaOrig="300">
          <v:shape id="_x0000_i1463" type="#_x0000_t75" style="width:51.75pt;height:15pt" o:ole="">
            <v:imagedata r:id="rId811" o:title=""/>
          </v:shape>
          <o:OLEObject Type="Embed" ProgID="Equation.DSMT4" ShapeID="_x0000_i1463" DrawAspect="Content" ObjectID="_1324893964" r:id="rId812"/>
        </w:object>
      </w:r>
      <w:r w:rsidRPr="00802C03">
        <w:rPr>
          <w:rFonts w:ascii="Garamond" w:hAnsi="Garamond" w:cs="NimbusRomNo9L-Regu"/>
          <w:lang w:val="en-GB" w:eastAsia="nl-NL"/>
        </w:rPr>
        <w:t xml:space="preserve">). In practice, autocorrelation coefficients of different issuers will not be equal and therefore: </w:t>
      </w:r>
      <w:r w:rsidRPr="00100BDF">
        <w:rPr>
          <w:rFonts w:ascii="Garamond" w:hAnsi="Garamond" w:cs="NimbusRomNo9L-Regu"/>
          <w:position w:val="-10"/>
          <w:lang w:val="en-GB" w:eastAsia="nl-NL"/>
        </w:rPr>
        <w:object w:dxaOrig="1640" w:dyaOrig="320">
          <v:shape id="_x0000_i1464" type="#_x0000_t75" style="width:81.75pt;height:15.75pt" o:ole="">
            <v:imagedata r:id="rId813" o:title=""/>
          </v:shape>
          <o:OLEObject Type="Embed" ProgID="Equation.DSMT4" ShapeID="_x0000_i1464" DrawAspect="Content" ObjectID="_1324893965" r:id="rId814"/>
        </w:object>
      </w:r>
      <w:r w:rsidRPr="00802C03">
        <w:rPr>
          <w:rFonts w:ascii="Garamond" w:hAnsi="Garamond" w:cs="NimbusRomNo9L-Regu"/>
          <w:lang w:val="en-GB" w:eastAsia="nl-NL"/>
        </w:rPr>
        <w:t xml:space="preserve">. In a model with more than two periods, the deviations of the period-specific issuer correlations relative to correlation matrix </w:t>
      </w:r>
      <w:r w:rsidRPr="00100BDF">
        <w:rPr>
          <w:rFonts w:ascii="Garamond" w:hAnsi="Garamond" w:cs="NimbusRomNo9L-Regu"/>
          <w:position w:val="-6"/>
          <w:lang w:val="en-GB" w:eastAsia="nl-NL"/>
        </w:rPr>
        <w:object w:dxaOrig="220" w:dyaOrig="240">
          <v:shape id="_x0000_i1465" type="#_x0000_t75" style="width:11.25pt;height:12pt" o:ole="">
            <v:imagedata r:id="rId815" o:title=""/>
          </v:shape>
          <o:OLEObject Type="Embed" ProgID="Equation.DSMT4" ShapeID="_x0000_i1465" DrawAspect="Content" ObjectID="_1324893966" r:id="rId816"/>
        </w:object>
      </w:r>
      <w:r w:rsidRPr="00802C03">
        <w:rPr>
          <w:rFonts w:ascii="Garamond" w:hAnsi="Garamond" w:cs="NimbusRomNo9L-Regu"/>
          <w:lang w:val="en-GB" w:eastAsia="nl-NL"/>
        </w:rPr>
        <w:t xml:space="preserve"> can be derived in a more complicated but similar fashion. Moreover, the issuer correlations in the single-period returns have to deviate from </w:t>
      </w:r>
      <w:r w:rsidRPr="00100BDF">
        <w:rPr>
          <w:rFonts w:ascii="Garamond" w:hAnsi="Garamond" w:cs="NimbusRomNo9L-Regu"/>
          <w:position w:val="-6"/>
          <w:lang w:val="en-GB" w:eastAsia="nl-NL"/>
        </w:rPr>
        <w:object w:dxaOrig="220" w:dyaOrig="240">
          <v:shape id="_x0000_i1466" type="#_x0000_t75" style="width:11.25pt;height:12pt" o:ole="">
            <v:imagedata r:id="rId817" o:title=""/>
          </v:shape>
          <o:OLEObject Type="Embed" ProgID="Equation.DSMT4" ShapeID="_x0000_i1466" DrawAspect="Content" ObjectID="_1324893967" r:id="rId818"/>
        </w:object>
      </w:r>
      <w:r w:rsidRPr="00802C03">
        <w:rPr>
          <w:rFonts w:ascii="Garamond" w:hAnsi="Garamond" w:cs="NimbusRomNo9L-Regu"/>
          <w:lang w:val="en-GB" w:eastAsia="nl-NL"/>
        </w:rPr>
        <w:t xml:space="preserve"> when the total annual issuer returns (the sum of all period returns per issuer) are correlated correctly, as the autocorrelations and therefore, the issuer correlations of each period all influence the issuer correlation properties of the annual issuer returns of the positions. Basically, as mentioned before, the sums of dependent standard normal random variables, the annual issuer returns, have different correlation properties than their underlying components, the single-period issuer returns, as a result of the dependency between these underlying components in the sums.</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In the two-period, two-position example, the implied issuer correlation between position A and position B can be derived with the standard statistical correlation expression:</w:t>
      </w:r>
    </w:p>
    <w:p w:rsidR="001C7C52" w:rsidRPr="00802C03" w:rsidRDefault="001C7C52" w:rsidP="00337DBE">
      <w:pPr>
        <w:tabs>
          <w:tab w:val="left" w:pos="567"/>
          <w:tab w:val="left" w:pos="8505"/>
        </w:tabs>
        <w:spacing w:before="80" w:after="100" w:line="320" w:lineRule="atLeast"/>
        <w:ind w:firstLine="567"/>
        <w:jc w:val="both"/>
        <w:rPr>
          <w:rFonts w:ascii="Garamond" w:hAnsi="Garamond" w:cs="NimbusRomNo9L-Regu"/>
          <w:lang w:val="en-GB" w:eastAsia="nl-NL"/>
        </w:rPr>
      </w:pPr>
      <w:r w:rsidRPr="005E2D6F">
        <w:rPr>
          <w:rFonts w:ascii="Garamond" w:hAnsi="Garamond" w:cs="NimbusRomNo9L-Regu"/>
          <w:position w:val="-30"/>
          <w:lang w:val="en-GB" w:eastAsia="nl-NL"/>
        </w:rPr>
        <w:object w:dxaOrig="4819" w:dyaOrig="639">
          <v:shape id="_x0000_i1467" type="#_x0000_t75" style="width:240.75pt;height:32.25pt" o:ole="">
            <v:imagedata r:id="rId819" o:title=""/>
          </v:shape>
          <o:OLEObject Type="Embed" ProgID="Equation.DSMT4" ShapeID="_x0000_i1467" DrawAspect="Content" ObjectID="_1324893968" r:id="rId820"/>
        </w:object>
      </w:r>
      <w:r w:rsidRPr="00802C03">
        <w:rPr>
          <w:rFonts w:ascii="Garamond" w:hAnsi="Garamond" w:cs="NimbusRomNo9L-Regu"/>
          <w:lang w:val="en-GB" w:eastAsia="nl-NL"/>
        </w:rPr>
        <w:t>.</w:t>
      </w:r>
      <w:r w:rsidRPr="00802C03">
        <w:rPr>
          <w:rFonts w:ascii="Garamond" w:hAnsi="Garamond" w:cs="NimbusRomNo9L-Regu"/>
          <w:lang w:val="en-GB" w:eastAsia="nl-NL"/>
        </w:rPr>
        <w:tab/>
        <w:t>(1.41)</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Applying the fact that </w:t>
      </w:r>
      <w:r w:rsidRPr="00100BDF">
        <w:rPr>
          <w:rFonts w:ascii="Garamond" w:hAnsi="Garamond" w:cs="NimbusRomNo9L-Regu"/>
          <w:position w:val="-10"/>
          <w:lang w:val="en-GB" w:eastAsia="nl-NL"/>
        </w:rPr>
        <w:object w:dxaOrig="3200" w:dyaOrig="320">
          <v:shape id="_x0000_i1468" type="#_x0000_t75" style="width:159.75pt;height:15.75pt" o:ole="">
            <v:imagedata r:id="rId821" o:title=""/>
          </v:shape>
          <o:OLEObject Type="Embed" ProgID="Equation.DSMT4" ShapeID="_x0000_i1468" DrawAspect="Content" ObjectID="_1324893969" r:id="rId82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600" w:dyaOrig="320">
          <v:shape id="_x0000_i1469" type="#_x0000_t75" style="width:180pt;height:15.75pt" o:ole="">
            <v:imagedata r:id="rId823" o:title=""/>
          </v:shape>
          <o:OLEObject Type="Embed" ProgID="Equation.DSMT4" ShapeID="_x0000_i1469" DrawAspect="Content" ObjectID="_1324893970" r:id="rId824"/>
        </w:object>
      </w:r>
      <w:r w:rsidRPr="00802C03">
        <w:rPr>
          <w:rFonts w:ascii="Garamond" w:hAnsi="Garamond" w:cs="NimbusRomNo9L-Regu"/>
          <w:lang w:val="en-GB" w:eastAsia="nl-NL"/>
        </w:rPr>
        <w:t xml:space="preserve"> and the definition of </w:t>
      </w:r>
      <w:r w:rsidRPr="00100BDF">
        <w:rPr>
          <w:rFonts w:ascii="Garamond" w:hAnsi="Garamond" w:cs="NimbusRomNo9L-Regu"/>
          <w:position w:val="-10"/>
          <w:lang w:val="en-GB" w:eastAsia="nl-NL"/>
        </w:rPr>
        <w:object w:dxaOrig="1160" w:dyaOrig="320">
          <v:shape id="_x0000_i1470" type="#_x0000_t75" style="width:57.75pt;height:15.75pt" o:ole="">
            <v:imagedata r:id="rId825" o:title=""/>
          </v:shape>
          <o:OLEObject Type="Embed" ProgID="Equation.DSMT4" ShapeID="_x0000_i1470" DrawAspect="Content" ObjectID="_1324893971" r:id="rId826"/>
        </w:object>
      </w:r>
      <w:r w:rsidRPr="00802C03">
        <w:rPr>
          <w:rFonts w:ascii="Garamond" w:hAnsi="Garamond" w:cs="NimbusRomNo9L-Regu"/>
          <w:lang w:val="en-GB" w:eastAsia="nl-NL"/>
        </w:rPr>
        <w:t xml:space="preserve">, as derived in </w:t>
      </w:r>
      <w:hyperlink w:anchor="E1N39" w:history="1">
        <w:r w:rsidRPr="00802C03">
          <w:rPr>
            <w:rStyle w:val="Hyperlink"/>
            <w:rFonts w:ascii="Garamond" w:hAnsi="Garamond" w:cs="NimbusRomNo9L-Regu"/>
            <w:color w:val="000066"/>
            <w:u w:val="none"/>
            <w:lang w:val="en-GB" w:eastAsia="nl-NL"/>
          </w:rPr>
          <w:t>equation 1.40</w:t>
        </w:r>
      </w:hyperlink>
      <w:r w:rsidRPr="00802C03">
        <w:rPr>
          <w:rFonts w:ascii="Garamond" w:hAnsi="Garamond" w:cs="NimbusRomNo9L-Regu"/>
          <w:lang w:val="en-GB" w:eastAsia="nl-NL"/>
        </w:rPr>
        <w:t>, the implied correlation can be expressed in terms of issuer correlation and autocorrelations:</w:t>
      </w:r>
    </w:p>
    <w:p w:rsidR="001C7C52" w:rsidRPr="00802C03" w:rsidRDefault="001C7C52" w:rsidP="00337DBE">
      <w:pPr>
        <w:tabs>
          <w:tab w:val="left" w:pos="567"/>
          <w:tab w:val="left" w:pos="8505"/>
        </w:tabs>
        <w:spacing w:before="80" w:after="100" w:line="320" w:lineRule="atLeast"/>
        <w:ind w:firstLine="567"/>
        <w:jc w:val="both"/>
        <w:rPr>
          <w:rFonts w:ascii="Garamond" w:hAnsi="Garamond" w:cs="NimbusRomNo9L-Regu"/>
          <w:lang w:val="en-GB" w:eastAsia="nl-NL"/>
        </w:rPr>
      </w:pPr>
      <w:r w:rsidRPr="005E2D6F">
        <w:rPr>
          <w:rFonts w:ascii="Garamond" w:hAnsi="Garamond" w:cs="NimbusRomNo9L-Regu"/>
          <w:position w:val="-30"/>
          <w:lang w:val="en-GB" w:eastAsia="nl-NL"/>
        </w:rPr>
        <w:object w:dxaOrig="6520" w:dyaOrig="700">
          <v:shape id="_x0000_i1471" type="#_x0000_t75" style="width:326.25pt;height:35.25pt" o:ole="">
            <v:imagedata r:id="rId827" o:title=""/>
          </v:shape>
          <o:OLEObject Type="Embed" ProgID="Equation.DSMT4" ShapeID="_x0000_i1471" DrawAspect="Content" ObjectID="_1324893972" r:id="rId828"/>
        </w:object>
      </w:r>
      <w:r w:rsidRPr="00802C03">
        <w:rPr>
          <w:rFonts w:ascii="Garamond" w:hAnsi="Garamond" w:cs="NimbusRomNo9L-Regu"/>
          <w:lang w:val="en-GB" w:eastAsia="nl-NL"/>
        </w:rPr>
        <w:t>.</w:t>
      </w:r>
      <w:bookmarkStart w:id="33" w:name="E1N41"/>
      <w:bookmarkEnd w:id="33"/>
      <w:r w:rsidRPr="00802C03">
        <w:rPr>
          <w:rFonts w:ascii="Garamond" w:hAnsi="Garamond" w:cs="NimbusRomNo9L-Regu"/>
          <w:lang w:val="en-GB" w:eastAsia="nl-NL"/>
        </w:rPr>
        <w:tab/>
        <w:t>(1.42)</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complete explanation of the derivation of this expression of the implied issuer correlation is presented in </w:t>
      </w:r>
      <w:hyperlink w:anchor="SA1" w:history="1">
        <w:r w:rsidRPr="00802C03">
          <w:rPr>
            <w:rStyle w:val="Hyperlink"/>
            <w:rFonts w:ascii="Garamond" w:hAnsi="Garamond" w:cs="NimbusRomNo9L-Regu"/>
            <w:color w:val="000066"/>
            <w:u w:val="none"/>
            <w:lang w:val="en-GB" w:eastAsia="nl-NL"/>
          </w:rPr>
          <w:t>appendix A.1</w:t>
        </w:r>
      </w:hyperlink>
      <w:r w:rsidRPr="00802C03">
        <w:rPr>
          <w:rFonts w:ascii="Garamond" w:hAnsi="Garamond" w:cs="NimbusRomNo9L-Regu"/>
          <w:lang w:val="en-GB" w:eastAsia="nl-NL"/>
        </w:rPr>
        <w:t xml:space="preserve">. The equation implies that </w:t>
      </w:r>
      <w:r w:rsidRPr="00100BDF">
        <w:rPr>
          <w:rFonts w:ascii="Garamond" w:hAnsi="Garamond" w:cs="NimbusRomNo9L-Regu"/>
          <w:position w:val="-10"/>
          <w:lang w:val="en-GB" w:eastAsia="nl-NL"/>
        </w:rPr>
        <w:object w:dxaOrig="2040" w:dyaOrig="320">
          <v:shape id="_x0000_i1472" type="#_x0000_t75" style="width:102pt;height:15.75pt" o:ole="">
            <v:imagedata r:id="rId829" o:title=""/>
          </v:shape>
          <o:OLEObject Type="Embed" ProgID="Equation.DSMT4" ShapeID="_x0000_i1472" DrawAspect="Content" ObjectID="_1324893973" r:id="rId830"/>
        </w:object>
      </w:r>
      <w:r w:rsidRPr="00802C03">
        <w:rPr>
          <w:rFonts w:ascii="Garamond" w:hAnsi="Garamond" w:cs="NimbusRomNo9L-Regu"/>
          <w:lang w:val="en-GB" w:eastAsia="nl-NL"/>
        </w:rPr>
        <w:t xml:space="preserve"> is equal to </w:t>
      </w:r>
      <w:r w:rsidRPr="00100BDF">
        <w:rPr>
          <w:rFonts w:ascii="Garamond" w:hAnsi="Garamond" w:cs="NimbusRomNo9L-Regu"/>
          <w:position w:val="-10"/>
          <w:lang w:val="en-GB" w:eastAsia="nl-NL"/>
        </w:rPr>
        <w:object w:dxaOrig="340" w:dyaOrig="300">
          <v:shape id="_x0000_i1473" type="#_x0000_t75" style="width:16.5pt;height:15pt" o:ole="">
            <v:imagedata r:id="rId831" o:title=""/>
          </v:shape>
          <o:OLEObject Type="Embed" ProgID="Equation.DSMT4" ShapeID="_x0000_i1473" DrawAspect="Content" ObjectID="_1324893974" r:id="rId832"/>
        </w:object>
      </w:r>
      <w:r w:rsidRPr="00802C03">
        <w:rPr>
          <w:rFonts w:ascii="Garamond" w:hAnsi="Garamond" w:cs="NimbusRomNo9L-Regu"/>
          <w:lang w:val="en-GB" w:eastAsia="nl-NL"/>
        </w:rPr>
        <w:t xml:space="preserve"> only when:</w:t>
      </w:r>
    </w:p>
    <w:p w:rsidR="001C7C52" w:rsidRPr="00802C03" w:rsidRDefault="001C7C52" w:rsidP="00337DBE">
      <w:pPr>
        <w:tabs>
          <w:tab w:val="left" w:pos="567"/>
          <w:tab w:val="left" w:pos="8505"/>
        </w:tabs>
        <w:spacing w:before="80" w:after="10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30"/>
          <w:lang w:val="en-GB" w:eastAsia="nl-NL"/>
        </w:rPr>
        <w:object w:dxaOrig="4300" w:dyaOrig="700">
          <v:shape id="_x0000_i1474" type="#_x0000_t75" style="width:213pt;height:35.25pt" o:ole="">
            <v:imagedata r:id="rId833" o:title=""/>
          </v:shape>
          <o:OLEObject Type="Embed" ProgID="Equation.DSMT4" ShapeID="_x0000_i1474" DrawAspect="Content" ObjectID="_1324893975" r:id="rId834"/>
        </w:object>
      </w:r>
      <w:r w:rsidRPr="00802C03">
        <w:rPr>
          <w:rFonts w:ascii="Garamond" w:hAnsi="Garamond" w:cs="NimbusRomNo9L-Regu"/>
          <w:lang w:val="en-GB" w:eastAsia="nl-NL"/>
        </w:rPr>
        <w:t>.</w:t>
      </w:r>
      <w:bookmarkStart w:id="34" w:name="E1N42"/>
      <w:bookmarkEnd w:id="34"/>
      <w:r w:rsidRPr="00802C03">
        <w:rPr>
          <w:rFonts w:ascii="Garamond" w:hAnsi="Garamond" w:cs="NimbusRomNo9L-Regu"/>
          <w:lang w:val="en-GB" w:eastAsia="nl-NL"/>
        </w:rPr>
        <w:tab/>
        <w:t>(1.43)</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Again, this condition only holds when both autocorrelation coefficients are equal in magnitude (</w:t>
      </w:r>
      <w:r w:rsidRPr="00100BDF">
        <w:rPr>
          <w:rFonts w:ascii="Garamond" w:hAnsi="Garamond" w:cs="NimbusRomNo9L-Regu"/>
          <w:position w:val="-10"/>
          <w:lang w:val="en-GB" w:eastAsia="nl-NL"/>
        </w:rPr>
        <w:object w:dxaOrig="1040" w:dyaOrig="300">
          <v:shape id="_x0000_i1475" type="#_x0000_t75" style="width:51.75pt;height:15pt" o:ole="">
            <v:imagedata r:id="rId835" o:title=""/>
          </v:shape>
          <o:OLEObject Type="Embed" ProgID="Equation.DSMT4" ShapeID="_x0000_i1475" DrawAspect="Content" ObjectID="_1324893976" r:id="rId836"/>
        </w:object>
      </w:r>
      <w:r w:rsidRPr="00802C03">
        <w:rPr>
          <w:rFonts w:ascii="Garamond" w:hAnsi="Garamond" w:cs="NimbusRomNo9L-Regu"/>
          <w:lang w:val="en-GB" w:eastAsia="nl-NL"/>
        </w:rPr>
        <w:t>). If they take on different values (</w:t>
      </w:r>
      <w:r w:rsidRPr="00100BDF">
        <w:rPr>
          <w:rFonts w:ascii="Garamond" w:hAnsi="Garamond" w:cs="NimbusRomNo9L-Regu"/>
          <w:position w:val="-10"/>
          <w:lang w:val="en-GB" w:eastAsia="nl-NL"/>
        </w:rPr>
        <w:object w:dxaOrig="1040" w:dyaOrig="300">
          <v:shape id="_x0000_i1476" type="#_x0000_t75" style="width:51.75pt;height:15pt" o:ole="">
            <v:imagedata r:id="rId837" o:title=""/>
          </v:shape>
          <o:OLEObject Type="Embed" ProgID="Equation.DSMT4" ShapeID="_x0000_i1476" DrawAspect="Content" ObjectID="_1324893977" r:id="rId838"/>
        </w:object>
      </w:r>
      <w:r w:rsidRPr="00802C03">
        <w:rPr>
          <w:rFonts w:ascii="Garamond" w:hAnsi="Garamond" w:cs="NimbusRomNo9L-Regu"/>
          <w:lang w:val="en-GB" w:eastAsia="nl-NL"/>
        </w:rPr>
        <w:t xml:space="preserve">), then the fraction in </w:t>
      </w:r>
      <w:hyperlink w:anchor="E1N41" w:history="1">
        <w:r w:rsidRPr="00802C03">
          <w:rPr>
            <w:rStyle w:val="Hyperlink"/>
            <w:rFonts w:ascii="Garamond" w:hAnsi="Garamond" w:cs="NimbusRomNo9L-Regu"/>
            <w:color w:val="000066"/>
            <w:u w:val="none"/>
            <w:lang w:val="en-GB" w:eastAsia="nl-NL"/>
          </w:rPr>
          <w:t>equation 1.42</w:t>
        </w:r>
      </w:hyperlink>
      <w:r w:rsidRPr="00802C03">
        <w:rPr>
          <w:rFonts w:ascii="Garamond" w:hAnsi="Garamond" w:cs="NimbusRomNo9L-Regu"/>
          <w:lang w:val="en-GB" w:eastAsia="nl-NL"/>
        </w:rPr>
        <w:t xml:space="preserve"> and </w:t>
      </w:r>
      <w:hyperlink w:anchor="E1N42" w:history="1">
        <w:r w:rsidRPr="00802C03">
          <w:rPr>
            <w:rStyle w:val="Hyperlink"/>
            <w:rFonts w:ascii="Garamond" w:hAnsi="Garamond" w:cs="NimbusRomNo9L-Regu"/>
            <w:color w:val="000066"/>
            <w:u w:val="none"/>
            <w:lang w:val="en-GB" w:eastAsia="nl-NL"/>
          </w:rPr>
          <w:t>1.43</w:t>
        </w:r>
      </w:hyperlink>
      <w:r w:rsidRPr="00802C03">
        <w:rPr>
          <w:rFonts w:ascii="Garamond" w:hAnsi="Garamond" w:cs="NimbusRomNo9L-Regu"/>
          <w:lang w:val="en-GB" w:eastAsia="nl-NL"/>
        </w:rPr>
        <w:t xml:space="preserve"> will be smaller than the value of one, meaning that the implied issuer correlation (</w:t>
      </w:r>
      <w:r w:rsidRPr="00100BDF">
        <w:rPr>
          <w:rFonts w:ascii="Garamond" w:hAnsi="Garamond" w:cs="NimbusRomNo9L-Regu"/>
          <w:position w:val="-10"/>
          <w:lang w:val="en-GB" w:eastAsia="nl-NL"/>
        </w:rPr>
        <w:object w:dxaOrig="2040" w:dyaOrig="320">
          <v:shape id="_x0000_i1477" type="#_x0000_t75" style="width:102pt;height:15.75pt" o:ole="">
            <v:imagedata r:id="rId839" o:title=""/>
          </v:shape>
          <o:OLEObject Type="Embed" ProgID="Equation.DSMT4" ShapeID="_x0000_i1477" DrawAspect="Content" ObjectID="_1324893978" r:id="rId840"/>
        </w:object>
      </w:r>
      <w:r w:rsidRPr="00802C03">
        <w:rPr>
          <w:rFonts w:ascii="Garamond" w:hAnsi="Garamond" w:cs="NimbusRomNo9L-Regu"/>
          <w:lang w:val="en-GB" w:eastAsia="nl-NL"/>
        </w:rPr>
        <w:t>) will always be lower than the input issuer correlation value (</w:t>
      </w:r>
      <w:r w:rsidRPr="00100BDF">
        <w:rPr>
          <w:rFonts w:ascii="Garamond" w:hAnsi="Garamond" w:cs="NimbusRomNo9L-Regu"/>
          <w:position w:val="-10"/>
          <w:lang w:val="en-GB" w:eastAsia="nl-NL"/>
        </w:rPr>
        <w:object w:dxaOrig="340" w:dyaOrig="300">
          <v:shape id="_x0000_i1478" type="#_x0000_t75" style="width:16.5pt;height:15pt" o:ole="">
            <v:imagedata r:id="rId841" o:title=""/>
          </v:shape>
          <o:OLEObject Type="Embed" ProgID="Equation.DSMT4" ShapeID="_x0000_i1478" DrawAspect="Content" ObjectID="_1324893979" r:id="rId842"/>
        </w:object>
      </w:r>
      <w:r w:rsidRPr="00802C03">
        <w:rPr>
          <w:rFonts w:ascii="Garamond" w:hAnsi="Garamond" w:cs="NimbusRomNo9L-Regu"/>
          <w:lang w:val="en-GB" w:eastAsia="nl-NL"/>
        </w:rPr>
        <w:t xml:space="preserve">). A larger difference between both autocorrelation coefficients results in a larger downwards deviation from the input issuer correlation. This downwards deviation, however, will never be unreasonably large. For example, consider the autocorrelation coefficients </w:t>
      </w:r>
      <w:r w:rsidRPr="00100BDF">
        <w:rPr>
          <w:rFonts w:ascii="Garamond" w:hAnsi="Garamond" w:cs="NimbusRomNo9L-Regu"/>
          <w:position w:val="-10"/>
          <w:lang w:val="en-GB" w:eastAsia="nl-NL"/>
        </w:rPr>
        <w:object w:dxaOrig="1020" w:dyaOrig="300">
          <v:shape id="_x0000_i1479" type="#_x0000_t75" style="width:50.25pt;height:15pt" o:ole="">
            <v:imagedata r:id="rId843" o:title=""/>
          </v:shape>
          <o:OLEObject Type="Embed" ProgID="Equation.DSMT4" ShapeID="_x0000_i1479" DrawAspect="Content" ObjectID="_1324893980" r:id="rId84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120" w:dyaOrig="300">
          <v:shape id="_x0000_i1480" type="#_x0000_t75" style="width:55.5pt;height:15pt" o:ole="">
            <v:imagedata r:id="rId845" o:title=""/>
          </v:shape>
          <o:OLEObject Type="Embed" ProgID="Equation.DSMT4" ShapeID="_x0000_i1480" DrawAspect="Content" ObjectID="_1324893981" r:id="rId846"/>
        </w:object>
      </w:r>
      <w:r w:rsidRPr="00802C03">
        <w:rPr>
          <w:rFonts w:ascii="Garamond" w:hAnsi="Garamond" w:cs="NimbusRomNo9L-Regu"/>
          <w:lang w:val="en-GB" w:eastAsia="nl-NL"/>
        </w:rPr>
        <w:t xml:space="preserve">, which are the maximum and minimum of the issuer-specific autocorrelation coefficients that are obtained and used in this study. In addition, assume that the observed input correlation is equal to </w:t>
      </w:r>
      <w:r w:rsidRPr="00100BDF">
        <w:rPr>
          <w:rFonts w:ascii="Garamond" w:hAnsi="Garamond" w:cs="NimbusRomNo9L-Regu"/>
          <w:position w:val="-6"/>
          <w:lang w:val="en-GB" w:eastAsia="nl-NL"/>
        </w:rPr>
        <w:object w:dxaOrig="320" w:dyaOrig="240">
          <v:shape id="_x0000_i1481" type="#_x0000_t75" style="width:15.75pt;height:12pt" o:ole="">
            <v:imagedata r:id="rId847" o:title=""/>
          </v:shape>
          <o:OLEObject Type="Embed" ProgID="Equation.DSMT4" ShapeID="_x0000_i1481" DrawAspect="Content" ObjectID="_1324893982" r:id="rId84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820" w:dyaOrig="300">
          <v:shape id="_x0000_i1482" type="#_x0000_t75" style="width:40.5pt;height:15pt" o:ole="">
            <v:imagedata r:id="rId849" o:title=""/>
          </v:shape>
          <o:OLEObject Type="Embed" ProgID="Equation.DSMT4" ShapeID="_x0000_i1482" DrawAspect="Content" ObjectID="_1324893983" r:id="rId850"/>
        </w:object>
      </w:r>
      <w:r w:rsidRPr="00802C03">
        <w:rPr>
          <w:rFonts w:ascii="Garamond" w:hAnsi="Garamond" w:cs="NimbusRomNo9L-Regu"/>
          <w:lang w:val="en-GB" w:eastAsia="nl-NL"/>
        </w:rPr>
        <w:t xml:space="preserve">). Applying these values in </w:t>
      </w:r>
      <w:hyperlink w:anchor="E1N41" w:history="1">
        <w:r w:rsidRPr="00802C03">
          <w:rPr>
            <w:rStyle w:val="Hyperlink"/>
            <w:rFonts w:ascii="Garamond" w:hAnsi="Garamond" w:cs="NimbusRomNo9L-Regu"/>
            <w:color w:val="000066"/>
            <w:u w:val="none"/>
            <w:lang w:val="en-GB" w:eastAsia="nl-NL"/>
          </w:rPr>
          <w:t>equation 1.42</w:t>
        </w:r>
      </w:hyperlink>
      <w:r w:rsidRPr="00802C03">
        <w:rPr>
          <w:rFonts w:ascii="Garamond" w:hAnsi="Garamond" w:cs="NimbusRomNo9L-Regu"/>
          <w:lang w:val="en-GB" w:eastAsia="nl-NL"/>
        </w:rPr>
        <w:t xml:space="preserve"> yields </w:t>
      </w:r>
      <w:r w:rsidRPr="00100BDF">
        <w:rPr>
          <w:rFonts w:ascii="Garamond" w:hAnsi="Garamond" w:cs="NimbusRomNo9L-Regu"/>
          <w:position w:val="-10"/>
          <w:lang w:val="en-GB" w:eastAsia="nl-NL"/>
        </w:rPr>
        <w:object w:dxaOrig="3040" w:dyaOrig="320">
          <v:shape id="_x0000_i1483" type="#_x0000_t75" style="width:152.25pt;height:15.75pt" o:ole="">
            <v:imagedata r:id="rId851" o:title=""/>
          </v:shape>
          <o:OLEObject Type="Embed" ProgID="Equation.DSMT4" ShapeID="_x0000_i1483" DrawAspect="Content" ObjectID="_1324893984" r:id="rId852"/>
        </w:object>
      </w:r>
      <w:r w:rsidRPr="00802C03">
        <w:rPr>
          <w:rFonts w:ascii="Garamond" w:hAnsi="Garamond" w:cs="NimbusRomNo9L-Regu"/>
          <w:lang w:val="en-GB" w:eastAsia="nl-NL"/>
        </w:rPr>
        <w:t xml:space="preserve">, which implies that </w:t>
      </w:r>
      <w:r w:rsidRPr="00100BDF">
        <w:rPr>
          <w:rFonts w:ascii="Garamond" w:hAnsi="Garamond" w:cs="NimbusRomNo9L-Regu"/>
          <w:position w:val="-10"/>
          <w:lang w:val="en-GB" w:eastAsia="nl-NL"/>
        </w:rPr>
        <w:object w:dxaOrig="2799" w:dyaOrig="320">
          <v:shape id="_x0000_i1484" type="#_x0000_t75" style="width:140.25pt;height:15.75pt" o:ole="">
            <v:imagedata r:id="rId853" o:title=""/>
          </v:shape>
          <o:OLEObject Type="Embed" ProgID="Equation.DSMT4" ShapeID="_x0000_i1484" DrawAspect="Content" ObjectID="_1324893985" r:id="rId854"/>
        </w:object>
      </w:r>
      <w:r w:rsidRPr="00802C03">
        <w:rPr>
          <w:rFonts w:ascii="Garamond" w:hAnsi="Garamond" w:cs="NimbusRomNo9L-Regu"/>
          <w:lang w:val="en-GB" w:eastAsia="nl-NL"/>
        </w:rPr>
        <w:t xml:space="preserve">. This rather small difference demonstrates that although the implied correlation is always smaller than </w:t>
      </w:r>
      <w:r w:rsidRPr="00100BDF">
        <w:rPr>
          <w:rFonts w:ascii="Garamond" w:hAnsi="Garamond" w:cs="NimbusRomNo9L-Regu"/>
          <w:position w:val="-10"/>
          <w:lang w:val="en-GB" w:eastAsia="nl-NL"/>
        </w:rPr>
        <w:object w:dxaOrig="340" w:dyaOrig="300">
          <v:shape id="_x0000_i1485" type="#_x0000_t75" style="width:16.5pt;height:15pt" o:ole="">
            <v:imagedata r:id="rId855" o:title=""/>
          </v:shape>
          <o:OLEObject Type="Embed" ProgID="Equation.DSMT4" ShapeID="_x0000_i1485" DrawAspect="Content" ObjectID="_1324893986" r:id="rId856"/>
        </w:object>
      </w:r>
      <w:r w:rsidRPr="00802C03">
        <w:rPr>
          <w:rFonts w:ascii="Garamond" w:hAnsi="Garamond" w:cs="NimbusRomNo9L-Regu"/>
          <w:lang w:val="en-GB" w:eastAsia="nl-NL"/>
        </w:rPr>
        <w:t xml:space="preserve">, the difference will not be unreasonably large. </w:t>
      </w:r>
      <w:r>
        <w:rPr>
          <w:rFonts w:ascii="Garamond" w:hAnsi="Garamond" w:cs="NimbusRomNo9L-Regu"/>
          <w:lang w:val="en-GB" w:eastAsia="nl-NL"/>
        </w:rPr>
        <w:t>Even so</w:t>
      </w:r>
      <w:r w:rsidRPr="00802C03">
        <w:rPr>
          <w:rFonts w:ascii="Garamond" w:hAnsi="Garamond" w:cs="NimbusRomNo9L-Regu"/>
          <w:lang w:val="en-GB" w:eastAsia="nl-NL"/>
        </w:rPr>
        <w:t xml:space="preserve">, a correction is possible by rewriting </w:t>
      </w:r>
      <w:hyperlink w:anchor="E1N41" w:history="1">
        <w:r w:rsidRPr="00802C03">
          <w:rPr>
            <w:rStyle w:val="Hyperlink"/>
            <w:rFonts w:ascii="Garamond" w:hAnsi="Garamond" w:cs="NimbusRomNo9L-Regu"/>
            <w:color w:val="000066"/>
            <w:u w:val="none"/>
            <w:lang w:val="en-GB" w:eastAsia="nl-NL"/>
          </w:rPr>
          <w:t>equation 1.42</w:t>
        </w:r>
      </w:hyperlink>
      <w:r w:rsidRPr="00802C03">
        <w:rPr>
          <w:rFonts w:ascii="Garamond" w:hAnsi="Garamond" w:cs="NimbusRomNo9L-Regu"/>
          <w:lang w:val="en-GB" w:eastAsia="nl-NL"/>
        </w:rPr>
        <w:t>:</w:t>
      </w:r>
    </w:p>
    <w:p w:rsidR="001C7C52" w:rsidRPr="00802C03" w:rsidRDefault="001C7C52" w:rsidP="00337DBE">
      <w:pPr>
        <w:tabs>
          <w:tab w:val="left" w:pos="567"/>
          <w:tab w:val="left" w:pos="8505"/>
        </w:tabs>
        <w:spacing w:before="80" w:after="10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30"/>
          <w:lang w:val="en-GB" w:eastAsia="nl-NL"/>
        </w:rPr>
        <w:object w:dxaOrig="4940" w:dyaOrig="700">
          <v:shape id="_x0000_i1486" type="#_x0000_t75" style="width:246.75pt;height:35.25pt" o:ole="">
            <v:imagedata r:id="rId857" o:title=""/>
          </v:shape>
          <o:OLEObject Type="Embed" ProgID="Equation.DSMT4" ShapeID="_x0000_i1486" DrawAspect="Content" ObjectID="_1324893987" r:id="rId858"/>
        </w:object>
      </w:r>
      <w:r w:rsidRPr="00802C03">
        <w:rPr>
          <w:rFonts w:ascii="Garamond" w:hAnsi="Garamond" w:cs="NimbusRomNo9L-Regu"/>
          <w:lang w:val="en-GB" w:eastAsia="nl-NL"/>
        </w:rPr>
        <w:t>.</w:t>
      </w:r>
      <w:bookmarkStart w:id="35" w:name="E1N43"/>
      <w:bookmarkEnd w:id="35"/>
      <w:r w:rsidRPr="00802C03">
        <w:rPr>
          <w:rFonts w:ascii="Garamond" w:hAnsi="Garamond" w:cs="NimbusRomNo9L-Regu"/>
          <w:lang w:val="en-GB" w:eastAsia="nl-NL"/>
        </w:rPr>
        <w:tab/>
        <w:t>(1.44)</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The input issuer correlation (</w:t>
      </w:r>
      <w:r w:rsidRPr="00100BDF">
        <w:rPr>
          <w:rFonts w:ascii="Garamond" w:hAnsi="Garamond" w:cs="NimbusRomNo9L-Regu"/>
          <w:position w:val="-10"/>
          <w:lang w:val="en-GB" w:eastAsia="nl-NL"/>
        </w:rPr>
        <w:object w:dxaOrig="340" w:dyaOrig="300">
          <v:shape id="_x0000_i1487" type="#_x0000_t75" style="width:16.5pt;height:15pt" o:ole="">
            <v:imagedata r:id="rId859" o:title=""/>
          </v:shape>
          <o:OLEObject Type="Embed" ProgID="Equation.DSMT4" ShapeID="_x0000_i1487" DrawAspect="Content" ObjectID="_1324893988" r:id="rId860"/>
        </w:object>
      </w:r>
      <w:r w:rsidRPr="00802C03">
        <w:rPr>
          <w:rFonts w:ascii="Garamond" w:hAnsi="Garamond" w:cs="NimbusRomNo9L-Regu"/>
          <w:lang w:val="en-GB" w:eastAsia="nl-NL"/>
        </w:rPr>
        <w:t>) must replaced in the model by the corrected input issuer correlation (</w:t>
      </w:r>
      <w:r w:rsidRPr="00100BDF">
        <w:rPr>
          <w:rFonts w:ascii="Garamond" w:hAnsi="Garamond" w:cs="NimbusRomNo9L-Regu"/>
          <w:position w:val="-10"/>
          <w:lang w:val="en-GB" w:eastAsia="nl-NL"/>
        </w:rPr>
        <w:object w:dxaOrig="340" w:dyaOrig="320">
          <v:shape id="_x0000_i1488" type="#_x0000_t75" style="width:16.5pt;height:15.75pt" o:ole="">
            <v:imagedata r:id="rId861" o:title=""/>
          </v:shape>
          <o:OLEObject Type="Embed" ProgID="Equation.DSMT4" ShapeID="_x0000_i1488" DrawAspect="Content" ObjectID="_1324893989" r:id="rId862"/>
        </w:object>
      </w:r>
      <w:r w:rsidRPr="00802C03">
        <w:rPr>
          <w:rFonts w:ascii="Garamond" w:hAnsi="Garamond" w:cs="NimbusRomNo9L-Regu"/>
          <w:lang w:val="en-GB" w:eastAsia="nl-NL"/>
        </w:rPr>
        <w:t xml:space="preserve">). In other words, </w:t>
      </w:r>
      <w:r w:rsidRPr="00100BDF">
        <w:rPr>
          <w:rFonts w:ascii="Garamond" w:hAnsi="Garamond" w:cs="NimbusRomNo9L-Regu"/>
          <w:position w:val="-10"/>
          <w:lang w:val="en-GB" w:eastAsia="nl-NL"/>
        </w:rPr>
        <w:object w:dxaOrig="340" w:dyaOrig="320">
          <v:shape id="_x0000_i1489" type="#_x0000_t75" style="width:16.5pt;height:15.75pt" o:ole="">
            <v:imagedata r:id="rId863" o:title=""/>
          </v:shape>
          <o:OLEObject Type="Embed" ProgID="Equation.DSMT4" ShapeID="_x0000_i1489" DrawAspect="Content" ObjectID="_1324893990" r:id="rId864"/>
        </w:object>
      </w:r>
      <w:r w:rsidRPr="00802C03">
        <w:rPr>
          <w:rFonts w:ascii="Garamond" w:hAnsi="Garamond" w:cs="NimbusRomNo9L-Regu"/>
          <w:lang w:val="en-GB" w:eastAsia="nl-NL"/>
        </w:rPr>
        <w:t xml:space="preserve"> must be used in the application of the first copula (the cross-sectional copula) for the single-period issuer asset returns for each period in the model. This will ensure the implied issuer correlation in the model (</w:t>
      </w:r>
      <w:r w:rsidRPr="00100BDF">
        <w:rPr>
          <w:rFonts w:ascii="Garamond" w:hAnsi="Garamond" w:cs="NimbusRomNo9L-Regu"/>
          <w:position w:val="-10"/>
          <w:lang w:val="en-GB" w:eastAsia="nl-NL"/>
        </w:rPr>
        <w:object w:dxaOrig="2040" w:dyaOrig="320">
          <v:shape id="_x0000_i1490" type="#_x0000_t75" style="width:102pt;height:15.75pt" o:ole="">
            <v:imagedata r:id="rId865" o:title=""/>
          </v:shape>
          <o:OLEObject Type="Embed" ProgID="Equation.DSMT4" ShapeID="_x0000_i1490" DrawAspect="Content" ObjectID="_1324893991" r:id="rId866"/>
        </w:object>
      </w:r>
      <w:r w:rsidRPr="00802C03">
        <w:rPr>
          <w:rFonts w:ascii="Garamond" w:hAnsi="Garamond" w:cs="NimbusRomNo9L-Regu"/>
          <w:lang w:val="en-GB" w:eastAsia="nl-NL"/>
        </w:rPr>
        <w:t>) is equal to the original input issuer correlation (</w:t>
      </w:r>
      <w:r w:rsidRPr="00100BDF">
        <w:rPr>
          <w:rFonts w:ascii="Garamond" w:hAnsi="Garamond" w:cs="NimbusRomNo9L-Regu"/>
          <w:position w:val="-10"/>
          <w:lang w:val="en-GB" w:eastAsia="nl-NL"/>
        </w:rPr>
        <w:object w:dxaOrig="340" w:dyaOrig="300">
          <v:shape id="_x0000_i1491" type="#_x0000_t75" style="width:16.5pt;height:15pt" o:ole="">
            <v:imagedata r:id="rId867" o:title=""/>
          </v:shape>
          <o:OLEObject Type="Embed" ProgID="Equation.DSMT4" ShapeID="_x0000_i1491" DrawAspect="Content" ObjectID="_1324893992" r:id="rId868"/>
        </w:object>
      </w:r>
      <w:r w:rsidRPr="00802C03">
        <w:rPr>
          <w:rFonts w:ascii="Garamond" w:hAnsi="Garamond" w:cs="NimbusRomNo9L-Regu"/>
          <w:lang w:val="en-GB" w:eastAsia="nl-NL"/>
        </w:rPr>
        <w:t xml:space="preserve">). </w:t>
      </w:r>
      <w:r w:rsidRPr="00802C03">
        <w:rPr>
          <w:rFonts w:ascii="Garamond" w:hAnsi="Garamond" w:cs="NimbusRomNo9L-Regu"/>
          <w:i/>
          <w:lang w:val="en-GB" w:eastAsia="nl-NL"/>
        </w:rPr>
        <w:t>The corrected input issuer correlation essentially identifies which issuer correlation must be inserted in the first copula to end up with the proper implied correlation after the application of the second copula</w:t>
      </w:r>
      <w:r w:rsidRPr="00802C03">
        <w:rPr>
          <w:rFonts w:ascii="Garamond" w:hAnsi="Garamond" w:cs="NimbusRomNo9L-Regu"/>
          <w:lang w:val="en-GB" w:eastAsia="nl-NL"/>
        </w:rPr>
        <w:t>. It ensures that the autocorrelation and the correct implied correlation can exist together in the simulated issuer returns in the model. Herein, however, a new problem arises. Namely, the formula that yields the corrected input issuer correlation becomes increasingly complicated when the number of periods in the model is increased. For example, in the four-period model that is proposed in this study the correction formula is as follows:</w:t>
      </w:r>
    </w:p>
    <w:p w:rsidR="001C7C52" w:rsidRPr="00802C03" w:rsidRDefault="001C7C52" w:rsidP="00337DBE">
      <w:pPr>
        <w:tabs>
          <w:tab w:val="left" w:pos="550"/>
          <w:tab w:val="left" w:pos="8505"/>
        </w:tabs>
        <w:spacing w:before="80" w:after="160" w:line="340" w:lineRule="exact"/>
        <w:jc w:val="both"/>
        <w:rPr>
          <w:rFonts w:ascii="Garamond" w:hAnsi="Garamond" w:cs="NimbusRomNo9L-Regu"/>
          <w:lang w:val="en-GB" w:eastAsia="nl-NL"/>
        </w:rPr>
      </w:pPr>
      <w:bookmarkStart w:id="36" w:name="E1N44"/>
      <w:bookmarkEnd w:id="36"/>
      <w:r w:rsidRPr="00802C03">
        <w:rPr>
          <w:rFonts w:ascii="Garamond" w:hAnsi="Garamond" w:cs="NimbusRomNo9L-Regu"/>
          <w:lang w:val="en-GB" w:eastAsia="nl-NL"/>
        </w:rPr>
        <w:tab/>
      </w:r>
      <w:r w:rsidRPr="00100BDF">
        <w:rPr>
          <w:rFonts w:ascii="Garamond" w:hAnsi="Garamond" w:cs="NimbusRomNo9L-Regu"/>
          <w:position w:val="-20"/>
          <w:lang w:val="en-GB" w:eastAsia="nl-NL"/>
        </w:rPr>
        <w:object w:dxaOrig="7260" w:dyaOrig="499">
          <v:shape id="_x0000_i1492" type="#_x0000_t75" style="width:363pt;height:24.75pt" o:ole="">
            <v:imagedata r:id="rId869" o:title=""/>
          </v:shape>
          <o:OLEObject Type="Embed" ProgID="Equation.DSMT4" ShapeID="_x0000_i1492" DrawAspect="Content" ObjectID="_1324893993" r:id="rId870"/>
        </w:object>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t xml:space="preserve">         </w:t>
      </w:r>
      <w:r w:rsidRPr="00100BDF">
        <w:rPr>
          <w:rFonts w:ascii="Garamond" w:hAnsi="Garamond" w:cs="NimbusRomNo9L-Regu"/>
          <w:position w:val="-12"/>
          <w:lang w:val="en-GB" w:eastAsia="nl-NL"/>
        </w:rPr>
        <w:object w:dxaOrig="6880" w:dyaOrig="380">
          <v:shape id="_x0000_i1493" type="#_x0000_t75" style="width:340.5pt;height:18.75pt" o:ole="">
            <v:imagedata r:id="rId871" o:title=""/>
          </v:shape>
          <o:OLEObject Type="Embed" ProgID="Equation.DSMT4" ShapeID="_x0000_i1493" DrawAspect="Content" ObjectID="_1324893994" r:id="rId872"/>
        </w:object>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t xml:space="preserve">         </w:t>
      </w:r>
      <w:r w:rsidRPr="00100BDF">
        <w:rPr>
          <w:rFonts w:ascii="Garamond" w:hAnsi="Garamond" w:cs="NimbusRomNo9L-Regu"/>
          <w:position w:val="-12"/>
          <w:lang w:val="en-GB" w:eastAsia="nl-NL"/>
        </w:rPr>
        <w:object w:dxaOrig="6780" w:dyaOrig="380">
          <v:shape id="_x0000_i1494" type="#_x0000_t75" style="width:335.25pt;height:18.75pt" o:ole="">
            <v:imagedata r:id="rId873" o:title=""/>
          </v:shape>
          <o:OLEObject Type="Embed" ProgID="Equation.DSMT4" ShapeID="_x0000_i1494" DrawAspect="Content" ObjectID="_1324893995" r:id="rId874"/>
        </w:object>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t xml:space="preserve">         </w:t>
      </w:r>
      <w:r w:rsidRPr="00100BDF">
        <w:rPr>
          <w:rFonts w:ascii="Garamond" w:hAnsi="Garamond" w:cs="NimbusRomNo9L-Regu"/>
          <w:position w:val="-12"/>
          <w:lang w:val="en-GB" w:eastAsia="nl-NL"/>
        </w:rPr>
        <w:object w:dxaOrig="7160" w:dyaOrig="380">
          <v:shape id="_x0000_i1495" type="#_x0000_t75" style="width:357.75pt;height:18.75pt" o:ole="">
            <v:imagedata r:id="rId875" o:title=""/>
          </v:shape>
          <o:OLEObject Type="Embed" ProgID="Equation.DSMT4" ShapeID="_x0000_i1495" DrawAspect="Content" ObjectID="_1324893996" r:id="rId876"/>
        </w:object>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t xml:space="preserve">         </w:t>
      </w:r>
      <w:r w:rsidRPr="00100BDF">
        <w:rPr>
          <w:rFonts w:ascii="Garamond" w:hAnsi="Garamond" w:cs="NimbusRomNo9L-Regu"/>
          <w:position w:val="-18"/>
          <w:lang w:val="en-GB" w:eastAsia="nl-NL"/>
        </w:rPr>
        <w:object w:dxaOrig="6100" w:dyaOrig="460">
          <v:shape id="_x0000_i1496" type="#_x0000_t75" style="width:305.25pt;height:23.25pt" o:ole="">
            <v:imagedata r:id="rId877" o:title=""/>
          </v:shape>
          <o:OLEObject Type="Embed" ProgID="Equation.DSMT4" ShapeID="_x0000_i1496" DrawAspect="Content" ObjectID="_1324893997" r:id="rId878"/>
        </w:object>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t xml:space="preserve">         </w:t>
      </w:r>
      <w:r w:rsidRPr="00100BDF">
        <w:rPr>
          <w:rFonts w:ascii="Garamond" w:hAnsi="Garamond" w:cs="NimbusRomNo9L-Regu"/>
          <w:position w:val="-20"/>
          <w:lang w:val="en-GB" w:eastAsia="nl-NL"/>
        </w:rPr>
        <w:object w:dxaOrig="4980" w:dyaOrig="499">
          <v:shape id="_x0000_i1497" type="#_x0000_t75" style="width:249pt;height:24.75pt" o:ole="">
            <v:imagedata r:id="rId879" o:title=""/>
          </v:shape>
          <o:OLEObject Type="Embed" ProgID="Equation.DSMT4" ShapeID="_x0000_i1497" DrawAspect="Content" ObjectID="_1324893998" r:id="rId880"/>
        </w:object>
      </w:r>
      <w:r w:rsidRPr="00802C03">
        <w:rPr>
          <w:rFonts w:ascii="Garamond" w:hAnsi="Garamond" w:cs="NimbusRomNo9L-Regu"/>
          <w:lang w:val="en-GB" w:eastAsia="nl-NL"/>
        </w:rPr>
        <w:tab/>
        <w:t>(1.45)</w:t>
      </w:r>
      <w:r w:rsidRPr="00802C03">
        <w:rPr>
          <w:rFonts w:ascii="Garamond" w:hAnsi="Garamond" w:cs="NimbusRomNo9L-Regu"/>
          <w:position w:val="-10"/>
          <w:lang w:val="en-GB" w:eastAsia="nl-NL"/>
        </w:rPr>
        <w:tab/>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To derive this correction (or a correction for a model with more periods), first, issuer asset correlation between the two positions, A and B, in the cross-sectional dimension must be introduced by applying the first copula in each of the single-periods in the model (like </w:t>
      </w:r>
      <w:hyperlink w:anchor="E1N33" w:history="1">
        <w:r w:rsidRPr="00802C03">
          <w:rPr>
            <w:rStyle w:val="Hyperlink"/>
            <w:rFonts w:ascii="Garamond" w:hAnsi="Garamond" w:cs="NimbusRomNo9L-Regu"/>
            <w:color w:val="000066"/>
            <w:u w:val="none"/>
            <w:lang w:val="en-GB" w:eastAsia="nl-NL"/>
          </w:rPr>
          <w:t>equation 1.34</w:t>
        </w:r>
      </w:hyperlink>
      <w:r w:rsidRPr="00802C03">
        <w:rPr>
          <w:rFonts w:ascii="Garamond" w:hAnsi="Garamond" w:cs="NimbusRomNo9L-Regu"/>
          <w:lang w:val="en-GB" w:eastAsia="nl-NL"/>
        </w:rPr>
        <w:t xml:space="preserve"> and </w:t>
      </w:r>
      <w:hyperlink w:anchor="E1N34" w:history="1">
        <w:r w:rsidRPr="00802C03">
          <w:rPr>
            <w:rStyle w:val="Hyperlink"/>
            <w:rFonts w:ascii="Garamond" w:hAnsi="Garamond" w:cs="NimbusRomNo9L-Regu"/>
            <w:color w:val="000066"/>
            <w:u w:val="none"/>
            <w:lang w:val="en-GB" w:eastAsia="nl-NL"/>
          </w:rPr>
          <w:t>1.35</w:t>
        </w:r>
      </w:hyperlink>
      <w:r w:rsidRPr="00802C03">
        <w:rPr>
          <w:rFonts w:ascii="Garamond" w:hAnsi="Garamond" w:cs="NimbusRomNo9L-Regu"/>
          <w:lang w:val="en-GB" w:eastAsia="nl-NL"/>
        </w:rPr>
        <w:t xml:space="preserve"> in the two-period example). Next, the second copula has to be applied to all subsequent single-period issuer asset returns for each of the two positions to introduce the autocorrelations (like </w:t>
      </w:r>
      <w:hyperlink w:anchor="E1N35" w:history="1">
        <w:r w:rsidRPr="00802C03">
          <w:rPr>
            <w:rStyle w:val="Hyperlink"/>
            <w:rFonts w:ascii="Garamond" w:hAnsi="Garamond" w:cs="NimbusRomNo9L-Regu"/>
            <w:color w:val="000066"/>
            <w:u w:val="none"/>
            <w:lang w:val="en-GB" w:eastAsia="nl-NL"/>
          </w:rPr>
          <w:t>equation 1.36</w:t>
        </w:r>
      </w:hyperlink>
      <w:r w:rsidRPr="00802C03">
        <w:rPr>
          <w:rFonts w:ascii="Garamond" w:hAnsi="Garamond" w:cs="NimbusRomNo9L-Regu"/>
          <w:lang w:val="en-GB" w:eastAsia="nl-NL"/>
        </w:rPr>
        <w:t xml:space="preserve"> and </w:t>
      </w:r>
      <w:hyperlink w:anchor="E1N36" w:history="1">
        <w:r w:rsidRPr="00802C03">
          <w:rPr>
            <w:rStyle w:val="Hyperlink"/>
            <w:rFonts w:ascii="Garamond" w:hAnsi="Garamond" w:cs="NimbusRomNo9L-Regu"/>
            <w:color w:val="000066"/>
            <w:u w:val="none"/>
            <w:lang w:val="en-GB" w:eastAsia="nl-NL"/>
          </w:rPr>
          <w:t>1.37</w:t>
        </w:r>
      </w:hyperlink>
      <w:r w:rsidRPr="00802C03">
        <w:rPr>
          <w:rFonts w:ascii="Garamond" w:hAnsi="Garamond" w:cs="NimbusRomNo9L-Regu"/>
          <w:lang w:val="en-GB" w:eastAsia="nl-NL"/>
        </w:rPr>
        <w:t xml:space="preserve"> in the two-period example). Note that the two copulas do not actually have to be applied, since it is only required here to express how the issuer asset returns in each single-period for both positions would be constructed </w:t>
      </w:r>
      <w:r w:rsidRPr="00802C03">
        <w:rPr>
          <w:rFonts w:ascii="Garamond" w:hAnsi="Garamond" w:cs="NimbusRomNo9L-Regu"/>
          <w:i/>
          <w:lang w:val="en-GB" w:eastAsia="nl-NL"/>
        </w:rPr>
        <w:t>if</w:t>
      </w:r>
      <w:r w:rsidRPr="00802C03">
        <w:rPr>
          <w:rFonts w:ascii="Garamond" w:hAnsi="Garamond" w:cs="NimbusRomNo9L-Regu"/>
          <w:lang w:val="en-GB" w:eastAsia="nl-NL"/>
        </w:rPr>
        <w:t xml:space="preserve"> both copulas were applied. Using these created copula application expressions, all issuer asset returns in the model have to be written in terms of independent standard normally distributed random variables (like </w:t>
      </w:r>
      <w:hyperlink w:anchor="E1N37" w:history="1">
        <w:r w:rsidRPr="00802C03">
          <w:rPr>
            <w:rStyle w:val="Hyperlink"/>
            <w:rFonts w:ascii="Garamond" w:hAnsi="Garamond" w:cs="NimbusRomNo9L-Regu"/>
            <w:color w:val="000066"/>
            <w:u w:val="none"/>
            <w:lang w:val="en-GB" w:eastAsia="nl-NL"/>
          </w:rPr>
          <w:t>equation 1.38</w:t>
        </w:r>
      </w:hyperlink>
      <w:r w:rsidRPr="00802C03">
        <w:rPr>
          <w:rFonts w:ascii="Garamond" w:hAnsi="Garamond" w:cs="NimbusRomNo9L-Regu"/>
          <w:lang w:val="en-GB" w:eastAsia="nl-NL"/>
        </w:rPr>
        <w:t xml:space="preserve"> and </w:t>
      </w:r>
      <w:hyperlink w:anchor="E1N38" w:history="1">
        <w:r w:rsidRPr="00802C03">
          <w:rPr>
            <w:rStyle w:val="Hyperlink"/>
            <w:rFonts w:ascii="Garamond" w:hAnsi="Garamond" w:cs="NimbusRomNo9L-Regu"/>
            <w:color w:val="000066"/>
            <w:u w:val="none"/>
            <w:lang w:val="en-GB" w:eastAsia="nl-NL"/>
          </w:rPr>
          <w:t>1.39</w:t>
        </w:r>
      </w:hyperlink>
      <w:r w:rsidRPr="00802C03">
        <w:rPr>
          <w:rFonts w:ascii="Garamond" w:hAnsi="Garamond" w:cs="NimbusRomNo9L-Regu"/>
          <w:lang w:val="en-GB" w:eastAsia="nl-NL"/>
        </w:rPr>
        <w:t xml:space="preserve"> in the two-period setting). Hence, </w:t>
      </w:r>
      <w:r w:rsidRPr="00100BDF">
        <w:rPr>
          <w:rFonts w:ascii="Garamond" w:hAnsi="Garamond" w:cs="NimbusRomNo9L-Regu"/>
          <w:position w:val="-10"/>
          <w:lang w:val="en-GB" w:eastAsia="nl-NL"/>
        </w:rPr>
        <w:object w:dxaOrig="1240" w:dyaOrig="320">
          <v:shape id="_x0000_i1498" type="#_x0000_t75" style="width:62.25pt;height:15.75pt" o:ole="">
            <v:imagedata r:id="rId881" o:title=""/>
          </v:shape>
          <o:OLEObject Type="Embed" ProgID="Equation.DSMT4" ShapeID="_x0000_i1498" DrawAspect="Content" ObjectID="_1324893999" r:id="rId882"/>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240" w:dyaOrig="320">
          <v:shape id="_x0000_i1499" type="#_x0000_t75" style="width:62.25pt;height:15.75pt" o:ole="">
            <v:imagedata r:id="rId883" o:title=""/>
          </v:shape>
          <o:OLEObject Type="Embed" ProgID="Equation.DSMT4" ShapeID="_x0000_i1499" DrawAspect="Content" ObjectID="_1324894000" r:id="rId884"/>
        </w:object>
      </w:r>
      <w:r w:rsidRPr="00802C03">
        <w:rPr>
          <w:rFonts w:ascii="Garamond" w:hAnsi="Garamond" w:cs="NimbusRomNo9L-Regu"/>
          <w:lang w:val="en-GB" w:eastAsia="nl-NL"/>
        </w:rPr>
        <w:t xml:space="preserve"> have to be expressed in terms the underlying independent variables, </w:t>
      </w:r>
      <w:r w:rsidRPr="00100BDF">
        <w:rPr>
          <w:rFonts w:ascii="Garamond" w:hAnsi="Garamond" w:cs="NimbusRomNo9L-Regu"/>
          <w:position w:val="-10"/>
          <w:lang w:val="en-GB" w:eastAsia="nl-NL"/>
        </w:rPr>
        <w:object w:dxaOrig="1240" w:dyaOrig="300">
          <v:shape id="_x0000_i1500" type="#_x0000_t75" style="width:62.25pt;height:15pt" o:ole="">
            <v:imagedata r:id="rId885" o:title=""/>
          </v:shape>
          <o:OLEObject Type="Embed" ProgID="Equation.DSMT4" ShapeID="_x0000_i1500" DrawAspect="Content" ObjectID="_1324894001" r:id="rId886"/>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920" w:dyaOrig="279">
          <v:shape id="_x0000_i1501" type="#_x0000_t75" style="width:45.75pt;height:13.5pt" o:ole="">
            <v:imagedata r:id="rId887" o:title=""/>
          </v:shape>
          <o:OLEObject Type="Embed" ProgID="Equation.DSMT4" ShapeID="_x0000_i1501" DrawAspect="Content" ObjectID="_1324894002" r:id="rId888"/>
        </w:object>
      </w:r>
      <w:r w:rsidRPr="00802C03">
        <w:rPr>
          <w:rFonts w:ascii="Garamond" w:hAnsi="Garamond" w:cs="NimbusRomNo9L-Regu"/>
          <w:lang w:val="en-GB" w:eastAsia="nl-NL"/>
        </w:rPr>
        <w:t xml:space="preserve">, where </w:t>
      </w:r>
      <w:r w:rsidRPr="00100BDF">
        <w:rPr>
          <w:rFonts w:ascii="Garamond" w:hAnsi="Garamond" w:cs="NimbusRomNo9L-Regu"/>
          <w:position w:val="-6"/>
          <w:lang w:val="en-GB" w:eastAsia="nl-NL"/>
        </w:rPr>
        <w:object w:dxaOrig="240" w:dyaOrig="240">
          <v:shape id="_x0000_i1502" type="#_x0000_t75" style="width:12pt;height:12pt" o:ole="">
            <v:imagedata r:id="rId889" o:title=""/>
          </v:shape>
          <o:OLEObject Type="Embed" ProgID="Equation.DSMT4" ShapeID="_x0000_i1502" DrawAspect="Content" ObjectID="_1324894003" r:id="rId890"/>
        </w:object>
      </w:r>
      <w:r w:rsidRPr="00802C03">
        <w:rPr>
          <w:rFonts w:ascii="Garamond" w:hAnsi="Garamond" w:cs="NimbusRomNo9L-Regu"/>
          <w:lang w:val="en-GB" w:eastAsia="nl-NL"/>
        </w:rPr>
        <w:t xml:space="preserve"> is the number of periods. From there, all </w:t>
      </w:r>
      <w:r w:rsidRPr="00100BDF">
        <w:rPr>
          <w:rFonts w:ascii="Garamond" w:hAnsi="Garamond" w:cs="NimbusRomNo9L-Regu"/>
          <w:position w:val="-10"/>
          <w:lang w:val="en-GB" w:eastAsia="nl-NL"/>
        </w:rPr>
        <w:object w:dxaOrig="1140" w:dyaOrig="300">
          <v:shape id="_x0000_i1503" type="#_x0000_t75" style="width:56.25pt;height:15pt" o:ole="">
            <v:imagedata r:id="rId891" o:title=""/>
          </v:shape>
          <o:OLEObject Type="Embed" ProgID="Equation.DSMT4" ShapeID="_x0000_i1503" DrawAspect="Content" ObjectID="_1324894004" r:id="rId89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1140" w:dyaOrig="300">
          <v:shape id="_x0000_i1504" type="#_x0000_t75" style="width:56.25pt;height:15pt" o:ole="">
            <v:imagedata r:id="rId893" o:title=""/>
          </v:shape>
          <o:OLEObject Type="Embed" ProgID="Equation.DSMT4" ShapeID="_x0000_i1504" DrawAspect="Content" ObjectID="_1324894005" r:id="rId89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140" w:dyaOrig="300">
          <v:shape id="_x0000_i1505" type="#_x0000_t75" style="width:56.25pt;height:15pt" o:ole="">
            <v:imagedata r:id="rId895" o:title=""/>
          </v:shape>
          <o:OLEObject Type="Embed" ProgID="Equation.DSMT4" ShapeID="_x0000_i1505" DrawAspect="Content" ObjectID="_1324894006" r:id="rId896"/>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1020" w:dyaOrig="260">
          <v:shape id="_x0000_i1506" type="#_x0000_t75" style="width:50.25pt;height:13.5pt" o:ole="">
            <v:imagedata r:id="rId897" o:title=""/>
          </v:shape>
          <o:OLEObject Type="Embed" ProgID="Equation.DSMT4" ShapeID="_x0000_i1506" DrawAspect="Content" ObjectID="_1324894007" r:id="rId89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080" w:dyaOrig="279">
          <v:shape id="_x0000_i1507" type="#_x0000_t75" style="width:53.25pt;height:13.5pt" o:ole="">
            <v:imagedata r:id="rId899" o:title=""/>
          </v:shape>
          <o:OLEObject Type="Embed" ProgID="Equation.DSMT4" ShapeID="_x0000_i1507" DrawAspect="Content" ObjectID="_1324894008" r:id="rId900"/>
        </w:object>
      </w:r>
      <w:r w:rsidRPr="00802C03">
        <w:rPr>
          <w:rFonts w:ascii="Garamond" w:hAnsi="Garamond" w:cs="NimbusRomNo9L-Regu"/>
          <w:lang w:val="en-GB" w:eastAsia="nl-NL"/>
        </w:rPr>
        <w:t xml:space="preserve"> can be derived in terms of </w:t>
      </w:r>
      <w:r w:rsidRPr="00100BDF">
        <w:rPr>
          <w:rFonts w:ascii="Garamond" w:hAnsi="Garamond" w:cs="NimbusRomNo9L-Regu"/>
          <w:position w:val="-10"/>
          <w:lang w:val="en-GB" w:eastAsia="nl-NL"/>
        </w:rPr>
        <w:object w:dxaOrig="340" w:dyaOrig="300">
          <v:shape id="_x0000_i1508" type="#_x0000_t75" style="width:16.5pt;height:15pt" o:ole="">
            <v:imagedata r:id="rId901" o:title=""/>
          </v:shape>
          <o:OLEObject Type="Embed" ProgID="Equation.DSMT4" ShapeID="_x0000_i1508" DrawAspect="Content" ObjectID="_1324894009" r:id="rId90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40" w:dyaOrig="300">
          <v:shape id="_x0000_i1509" type="#_x0000_t75" style="width:21.75pt;height:15pt" o:ole="">
            <v:imagedata r:id="rId903" o:title=""/>
          </v:shape>
          <o:OLEObject Type="Embed" ProgID="Equation.DSMT4" ShapeID="_x0000_i1509" DrawAspect="Content" ObjectID="_1324894010" r:id="rId90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40" w:dyaOrig="300">
          <v:shape id="_x0000_i1510" type="#_x0000_t75" style="width:21.75pt;height:15pt" o:ole="">
            <v:imagedata r:id="rId905" o:title=""/>
          </v:shape>
          <o:OLEObject Type="Embed" ProgID="Equation.DSMT4" ShapeID="_x0000_i1510" DrawAspect="Content" ObjectID="_1324894011" r:id="rId906"/>
        </w:object>
      </w:r>
      <w:r w:rsidRPr="00802C03">
        <w:rPr>
          <w:rFonts w:ascii="Garamond" w:hAnsi="Garamond" w:cs="NimbusRomNo9L-Regu"/>
          <w:lang w:val="en-GB" w:eastAsia="nl-NL"/>
        </w:rPr>
        <w:t xml:space="preserve">. Utilizing all those expressions, the correlation between </w:t>
      </w:r>
      <w:r w:rsidRPr="00100BDF">
        <w:rPr>
          <w:rFonts w:ascii="Garamond" w:hAnsi="Garamond" w:cs="NimbusRomNo9L-Regu"/>
          <w:position w:val="-10"/>
          <w:lang w:val="en-GB" w:eastAsia="nl-NL"/>
        </w:rPr>
        <w:object w:dxaOrig="1560" w:dyaOrig="320">
          <v:shape id="_x0000_i1511" type="#_x0000_t75" style="width:78pt;height:15.75pt" o:ole="">
            <v:imagedata r:id="rId907" o:title=""/>
          </v:shape>
          <o:OLEObject Type="Embed" ProgID="Equation.DSMT4" ShapeID="_x0000_i1511" DrawAspect="Content" ObjectID="_1324894012" r:id="rId90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560" w:dyaOrig="320">
          <v:shape id="_x0000_i1512" type="#_x0000_t75" style="width:78pt;height:15.75pt" o:ole="">
            <v:imagedata r:id="rId909" o:title=""/>
          </v:shape>
          <o:OLEObject Type="Embed" ProgID="Equation.DSMT4" ShapeID="_x0000_i1512" DrawAspect="Content" ObjectID="_1324894013" r:id="rId910"/>
        </w:object>
      </w:r>
      <w:r w:rsidRPr="00802C03">
        <w:rPr>
          <w:rFonts w:ascii="Garamond" w:hAnsi="Garamond" w:cs="NimbusRomNo9L-Regu"/>
          <w:lang w:val="en-GB" w:eastAsia="nl-NL"/>
        </w:rPr>
        <w:t>, the implied issuer correlation, can be derived by expressing the standard correlation formula (</w:t>
      </w:r>
      <w:hyperlink w:anchor="E1N46" w:history="1">
        <w:r w:rsidRPr="00802C03">
          <w:rPr>
            <w:rStyle w:val="Hyperlink"/>
            <w:rFonts w:ascii="Garamond" w:hAnsi="Garamond" w:cs="NimbusRomNo9L-Regu"/>
            <w:color w:val="000066"/>
            <w:u w:val="none"/>
            <w:lang w:val="en-GB" w:eastAsia="nl-NL"/>
          </w:rPr>
          <w:t>equation 1.46</w:t>
        </w:r>
      </w:hyperlink>
      <w:r w:rsidRPr="00802C03">
        <w:rPr>
          <w:rFonts w:ascii="Garamond" w:hAnsi="Garamond" w:cs="NimbusRomNo9L-Regu"/>
          <w:lang w:val="en-GB" w:eastAsia="nl-NL"/>
        </w:rPr>
        <w:t xml:space="preserve">) in terms of </w:t>
      </w:r>
      <w:r w:rsidRPr="00100BDF">
        <w:rPr>
          <w:rFonts w:ascii="Garamond" w:hAnsi="Garamond" w:cs="NimbusRomNo9L-Regu"/>
          <w:position w:val="-10"/>
          <w:lang w:val="en-GB" w:eastAsia="nl-NL"/>
        </w:rPr>
        <w:object w:dxaOrig="340" w:dyaOrig="300">
          <v:shape id="_x0000_i1513" type="#_x0000_t75" style="width:16.5pt;height:15pt" o:ole="">
            <v:imagedata r:id="rId911" o:title=""/>
          </v:shape>
          <o:OLEObject Type="Embed" ProgID="Equation.DSMT4" ShapeID="_x0000_i1513" DrawAspect="Content" ObjectID="_1324894014" r:id="rId91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440" w:dyaOrig="300">
          <v:shape id="_x0000_i1514" type="#_x0000_t75" style="width:21.75pt;height:15pt" o:ole="">
            <v:imagedata r:id="rId913" o:title=""/>
          </v:shape>
          <o:OLEObject Type="Embed" ProgID="Equation.DSMT4" ShapeID="_x0000_i1514" DrawAspect="Content" ObjectID="_1324894015" r:id="rId91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40" w:dyaOrig="300">
          <v:shape id="_x0000_i1515" type="#_x0000_t75" style="width:21.75pt;height:15pt" o:ole="">
            <v:imagedata r:id="rId915" o:title=""/>
          </v:shape>
          <o:OLEObject Type="Embed" ProgID="Equation.DSMT4" ShapeID="_x0000_i1515" DrawAspect="Content" ObjectID="_1324894016" r:id="rId916"/>
        </w:object>
      </w:r>
      <w:r w:rsidRPr="00802C03">
        <w:rPr>
          <w:rFonts w:ascii="Garamond" w:hAnsi="Garamond" w:cs="NimbusRomNo9L-Regu"/>
          <w:lang w:val="en-GB" w:eastAsia="nl-NL"/>
        </w:rPr>
        <w:t>.</w:t>
      </w:r>
    </w:p>
    <w:p w:rsidR="001C7C52" w:rsidRPr="00802C03" w:rsidRDefault="001C7C52" w:rsidP="003951A7">
      <w:pPr>
        <w:spacing w:before="120" w:line="320" w:lineRule="exact"/>
        <w:jc w:val="both"/>
        <w:rPr>
          <w:rFonts w:ascii="Garamond" w:hAnsi="Garamond" w:cs="NimbusRomNo9L-Regu"/>
          <w:position w:val="-30"/>
          <w:lang w:val="en-GB" w:eastAsia="nl-NL"/>
        </w:rPr>
      </w:pPr>
      <w:r w:rsidRPr="00802C03">
        <w:rPr>
          <w:rFonts w:ascii="Garamond" w:hAnsi="Garamond" w:cs="NimbusRomNo9L-Regu"/>
          <w:lang w:val="en-GB" w:eastAsia="nl-NL"/>
        </w:rPr>
        <w:tab/>
      </w:r>
      <w:bookmarkStart w:id="37" w:name="E1N46"/>
      <w:bookmarkEnd w:id="37"/>
      <w:r w:rsidRPr="00100BDF">
        <w:rPr>
          <w:rFonts w:ascii="Garamond" w:hAnsi="Garamond" w:cs="NimbusRomNo9L-Regu"/>
          <w:position w:val="-10"/>
          <w:lang w:val="en-GB" w:eastAsia="nl-NL"/>
        </w:rPr>
        <w:object w:dxaOrig="3780" w:dyaOrig="320">
          <v:shape id="_x0000_i1516" type="#_x0000_t75" style="width:189pt;height:15.75pt" o:ole="">
            <v:imagedata r:id="rId917" o:title=""/>
          </v:shape>
          <o:OLEObject Type="Embed" ProgID="Equation.DSMT4" ShapeID="_x0000_i1516" DrawAspect="Content" ObjectID="_1324894017" r:id="rId918"/>
        </w:object>
      </w:r>
    </w:p>
    <w:p w:rsidR="001C7C52" w:rsidRPr="00802C03" w:rsidRDefault="001C7C52" w:rsidP="00E5145A">
      <w:pPr>
        <w:tabs>
          <w:tab w:val="left" w:pos="3119"/>
          <w:tab w:val="left" w:pos="8505"/>
        </w:tabs>
        <w:spacing w:after="140" w:line="320" w:lineRule="atLeast"/>
        <w:ind w:firstLine="567"/>
        <w:jc w:val="both"/>
        <w:rPr>
          <w:rFonts w:ascii="Garamond" w:hAnsi="Garamond" w:cs="NimbusRomNo9L-Regu"/>
          <w:lang w:val="en-GB" w:eastAsia="nl-NL"/>
        </w:rPr>
      </w:pPr>
      <w:r w:rsidRPr="00802C03">
        <w:rPr>
          <w:rFonts w:ascii="Garamond" w:hAnsi="Garamond" w:cs="NimbusRomNo9L-Regu"/>
          <w:position w:val="-30"/>
          <w:lang w:val="en-GB" w:eastAsia="nl-NL"/>
        </w:rPr>
        <w:tab/>
      </w:r>
      <w:r w:rsidRPr="005E2D6F">
        <w:rPr>
          <w:rFonts w:ascii="Garamond" w:hAnsi="Garamond" w:cs="NimbusRomNo9L-Regu"/>
          <w:position w:val="-30"/>
          <w:lang w:val="en-GB" w:eastAsia="nl-NL"/>
        </w:rPr>
        <w:object w:dxaOrig="4239" w:dyaOrig="639">
          <v:shape id="_x0000_i1517" type="#_x0000_t75" style="width:212.25pt;height:32.25pt" o:ole="">
            <v:imagedata r:id="rId919" o:title=""/>
          </v:shape>
          <o:OLEObject Type="Embed" ProgID="Equation.DSMT4" ShapeID="_x0000_i1517" DrawAspect="Content" ObjectID="_1324894018" r:id="rId920"/>
        </w:object>
      </w:r>
      <w:r w:rsidRPr="00802C03">
        <w:rPr>
          <w:rFonts w:ascii="Garamond" w:hAnsi="Garamond" w:cs="NimbusRomNo9L-Regu"/>
          <w:lang w:val="en-GB" w:eastAsia="nl-NL"/>
        </w:rPr>
        <w:t>.</w:t>
      </w:r>
      <w:r w:rsidRPr="00802C03">
        <w:rPr>
          <w:rFonts w:ascii="Garamond" w:hAnsi="Garamond" w:cs="NimbusRomNo9L-Regu"/>
          <w:lang w:val="en-GB" w:eastAsia="nl-NL"/>
        </w:rPr>
        <w:tab/>
        <w:t>(1.46)</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For a given required implied issuer correlation, a corrected input issuer correlation coefficient (</w:t>
      </w:r>
      <w:r w:rsidRPr="00100BDF">
        <w:rPr>
          <w:rFonts w:ascii="Garamond" w:hAnsi="Garamond" w:cs="NimbusRomNo9L-Regu"/>
          <w:position w:val="-10"/>
          <w:lang w:val="en-GB" w:eastAsia="nl-NL"/>
        </w:rPr>
        <w:object w:dxaOrig="340" w:dyaOrig="320">
          <v:shape id="_x0000_i1518" type="#_x0000_t75" style="width:16.5pt;height:15.75pt" o:ole="">
            <v:imagedata r:id="rId921" o:title=""/>
          </v:shape>
          <o:OLEObject Type="Embed" ProgID="Equation.DSMT4" ShapeID="_x0000_i1518" DrawAspect="Content" ObjectID="_1324894019" r:id="rId922"/>
        </w:object>
      </w:r>
      <w:r w:rsidRPr="00802C03">
        <w:rPr>
          <w:rFonts w:ascii="Garamond" w:hAnsi="Garamond" w:cs="NimbusRomNo9L-Regu"/>
          <w:lang w:val="en-GB" w:eastAsia="nl-NL"/>
        </w:rPr>
        <w:t xml:space="preserve">) can be derived, using exactly the same steps as those taken in </w:t>
      </w:r>
      <w:hyperlink w:anchor="E1N41" w:history="1">
        <w:r w:rsidRPr="00802C03">
          <w:rPr>
            <w:rStyle w:val="Hyperlink"/>
            <w:rFonts w:ascii="Garamond" w:hAnsi="Garamond" w:cs="NimbusRomNo9L-Regu"/>
            <w:color w:val="000066"/>
            <w:u w:val="none"/>
            <w:lang w:val="en-GB" w:eastAsia="nl-NL"/>
          </w:rPr>
          <w:t>equation 1.42</w:t>
        </w:r>
      </w:hyperlink>
      <w:r w:rsidRPr="00802C03">
        <w:rPr>
          <w:rFonts w:ascii="Garamond" w:hAnsi="Garamond" w:cs="NimbusRomNo9L-Regu"/>
          <w:lang w:val="en-GB" w:eastAsia="nl-NL"/>
        </w:rPr>
        <w:t xml:space="preserve"> and </w:t>
      </w:r>
      <w:hyperlink w:anchor="E1N43" w:history="1">
        <w:r w:rsidRPr="00802C03">
          <w:rPr>
            <w:rStyle w:val="Hyperlink"/>
            <w:rFonts w:ascii="Garamond" w:hAnsi="Garamond" w:cs="NimbusRomNo9L-Regu"/>
            <w:color w:val="000066"/>
            <w:u w:val="none"/>
            <w:lang w:val="en-GB" w:eastAsia="nl-NL"/>
          </w:rPr>
          <w:t>1.44</w:t>
        </w:r>
      </w:hyperlink>
      <w:r w:rsidRPr="00802C03">
        <w:rPr>
          <w:rFonts w:ascii="Garamond" w:hAnsi="Garamond" w:cs="NimbusRomNo9L-Regu"/>
          <w:lang w:val="en-GB" w:eastAsia="nl-NL"/>
        </w:rPr>
        <w:t xml:space="preserve"> (again, the complete procedure is described in detail for the two period example in </w:t>
      </w:r>
      <w:hyperlink w:anchor="SA1" w:history="1">
        <w:r w:rsidRPr="00802C03">
          <w:rPr>
            <w:rStyle w:val="Hyperlink"/>
            <w:rFonts w:ascii="Garamond" w:hAnsi="Garamond" w:cs="NimbusRomNo9L-Regu"/>
            <w:color w:val="000066"/>
            <w:u w:val="none"/>
            <w:lang w:val="en-GB" w:eastAsia="nl-NL"/>
          </w:rPr>
          <w:t>appendix A.1</w:t>
        </w:r>
      </w:hyperlink>
      <w:r w:rsidRPr="00802C03">
        <w:rPr>
          <w:rFonts w:ascii="Garamond" w:hAnsi="Garamond" w:cs="NimbusRomNo9L-Regu"/>
          <w:lang w:val="en-GB" w:eastAsia="nl-NL"/>
        </w:rPr>
        <w:t xml:space="preserve">). </w:t>
      </w:r>
      <w:r>
        <w:rPr>
          <w:rFonts w:ascii="Garamond" w:hAnsi="Garamond" w:cs="NimbusRomNo9L-Regu"/>
          <w:lang w:val="en-GB" w:eastAsia="nl-NL"/>
        </w:rPr>
        <w:t xml:space="preserve">Even </w:t>
      </w:r>
      <w:r w:rsidRPr="00802C03">
        <w:rPr>
          <w:rFonts w:ascii="Garamond" w:hAnsi="Garamond" w:cs="NimbusRomNo9L-Regu"/>
          <w:lang w:val="en-GB" w:eastAsia="nl-NL"/>
        </w:rPr>
        <w:t>though this correction is time-consuming to derive, its use allows for a complete specification of the implied issuer correlations and the autocorrelations in this model.</w:t>
      </w:r>
      <w:r w:rsidRPr="00802C03">
        <w:rPr>
          <w:rStyle w:val="FootnoteReference"/>
          <w:rFonts w:ascii="Garamond" w:hAnsi="Garamond" w:cs="NimbusRomNo9L-Regu"/>
          <w:lang w:val="en-GB" w:eastAsia="nl-NL"/>
        </w:rPr>
        <w:footnoteReference w:id="36"/>
      </w:r>
      <w:r w:rsidRPr="00802C03">
        <w:rPr>
          <w:rFonts w:ascii="Garamond" w:hAnsi="Garamond" w:cs="NimbusRomNo9L-Regu"/>
          <w:lang w:val="en-GB" w:eastAsia="nl-NL"/>
        </w:rPr>
        <w:t xml:space="preserve"> </w:t>
      </w:r>
    </w:p>
    <w:p w:rsidR="001C7C52" w:rsidRPr="00802C03" w:rsidRDefault="001C7C52" w:rsidP="00E17C8F">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The above procedure ensures that for each pair of positions a corrected input issuer asset correlation (</w:t>
      </w:r>
      <w:r w:rsidRPr="00100BDF">
        <w:rPr>
          <w:rFonts w:ascii="Garamond" w:hAnsi="Garamond" w:cs="NimbusRomNo9L-Regu"/>
          <w:position w:val="-10"/>
          <w:lang w:val="en-GB" w:eastAsia="nl-NL"/>
        </w:rPr>
        <w:object w:dxaOrig="340" w:dyaOrig="320">
          <v:shape id="_x0000_i1519" type="#_x0000_t75" style="width:16.5pt;height:15.75pt" o:ole="">
            <v:imagedata r:id="rId923" o:title=""/>
          </v:shape>
          <o:OLEObject Type="Embed" ProgID="Equation.DSMT4" ShapeID="_x0000_i1519" DrawAspect="Content" ObjectID="_1324894020" r:id="rId924"/>
        </w:object>
      </w:r>
      <w:r w:rsidRPr="00802C03">
        <w:rPr>
          <w:rFonts w:ascii="Garamond" w:hAnsi="Garamond" w:cs="NimbusRomNo9L-Regu"/>
          <w:lang w:val="en-GB" w:eastAsia="nl-NL"/>
        </w:rPr>
        <w:t>) can be computed, using their observed input asset correlation (</w:t>
      </w:r>
      <w:r w:rsidRPr="00100BDF">
        <w:rPr>
          <w:rFonts w:ascii="Garamond" w:hAnsi="Garamond" w:cs="NimbusRomNo9L-Regu"/>
          <w:position w:val="-10"/>
          <w:lang w:val="en-GB" w:eastAsia="nl-NL"/>
        </w:rPr>
        <w:object w:dxaOrig="340" w:dyaOrig="300">
          <v:shape id="_x0000_i1520" type="#_x0000_t75" style="width:16.5pt;height:15pt" o:ole="">
            <v:imagedata r:id="rId925" o:title=""/>
          </v:shape>
          <o:OLEObject Type="Embed" ProgID="Equation.DSMT4" ShapeID="_x0000_i1520" DrawAspect="Content" ObjectID="_1324894021" r:id="rId926"/>
        </w:object>
      </w:r>
      <w:r w:rsidRPr="00802C03">
        <w:rPr>
          <w:rFonts w:ascii="Garamond" w:hAnsi="Garamond" w:cs="NimbusRomNo9L-Regu"/>
          <w:lang w:val="en-GB" w:eastAsia="nl-NL"/>
        </w:rPr>
        <w:t>) and the autocorrelation coefficients of both underlying issuers (</w:t>
      </w:r>
      <w:r w:rsidRPr="00100BDF">
        <w:rPr>
          <w:rFonts w:ascii="Garamond" w:hAnsi="Garamond" w:cs="NimbusRomNo9L-Regu"/>
          <w:position w:val="-10"/>
          <w:lang w:val="en-GB" w:eastAsia="nl-NL"/>
        </w:rPr>
        <w:object w:dxaOrig="440" w:dyaOrig="300">
          <v:shape id="_x0000_i1521" type="#_x0000_t75" style="width:21.75pt;height:15pt" o:ole="">
            <v:imagedata r:id="rId927" o:title=""/>
          </v:shape>
          <o:OLEObject Type="Embed" ProgID="Equation.DSMT4" ShapeID="_x0000_i1521" DrawAspect="Content" ObjectID="_1324894022" r:id="rId92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40" w:dyaOrig="300">
          <v:shape id="_x0000_i1522" type="#_x0000_t75" style="width:21.75pt;height:15pt" o:ole="">
            <v:imagedata r:id="rId929" o:title=""/>
          </v:shape>
          <o:OLEObject Type="Embed" ProgID="Equation.DSMT4" ShapeID="_x0000_i1522" DrawAspect="Content" ObjectID="_1324894023" r:id="rId930"/>
        </w:object>
      </w:r>
      <w:r w:rsidRPr="00802C03">
        <w:rPr>
          <w:rFonts w:ascii="Garamond" w:hAnsi="Garamond" w:cs="NimbusRomNo9L-Regu"/>
          <w:lang w:val="en-GB" w:eastAsia="nl-NL"/>
        </w:rPr>
        <w:t xml:space="preserve">). With these corrected input issuer correlations, issuer asset returns for each position for each period can be simulated that display the proper issuer asset correlations and the proper issuer-specific autocorrelations. The actual process that generates the single-period issuer asset returns, that are required in the credit rating simulation model discussed in </w:t>
      </w:r>
      <w:hyperlink w:anchor="S131" w:history="1">
        <w:r w:rsidRPr="00802C03">
          <w:rPr>
            <w:rStyle w:val="Hyperlink"/>
            <w:rFonts w:ascii="Garamond" w:hAnsi="Garamond" w:cs="NimbusRomNo9L-Regu"/>
            <w:color w:val="000066"/>
            <w:u w:val="none"/>
            <w:lang w:val="en-GB" w:eastAsia="nl-NL"/>
          </w:rPr>
          <w:t>section 1.3.1</w:t>
        </w:r>
      </w:hyperlink>
      <w:r w:rsidRPr="00802C03">
        <w:rPr>
          <w:rFonts w:ascii="Garamond" w:hAnsi="Garamond" w:cs="NimbusRomNo9L-Regu"/>
          <w:lang w:val="en-GB" w:eastAsia="nl-NL"/>
        </w:rPr>
        <w:t>, comprises three steps:</w:t>
      </w:r>
    </w:p>
    <w:p w:rsidR="001C7C52" w:rsidRPr="00802C03" w:rsidRDefault="001C7C52" w:rsidP="00823745">
      <w:pPr>
        <w:spacing w:line="160" w:lineRule="exact"/>
        <w:jc w:val="both"/>
        <w:rPr>
          <w:rFonts w:ascii="Garamond" w:hAnsi="Garamond" w:cs="NimbusRomNo9L-Regu"/>
          <w:lang w:val="en-GB" w:eastAsia="nl-NL"/>
        </w:rPr>
      </w:pPr>
    </w:p>
    <w:p w:rsidR="001C7C52" w:rsidRPr="00802C03" w:rsidRDefault="001C7C52" w:rsidP="006851C7">
      <w:pPr>
        <w:pStyle w:val="ListParagraph"/>
        <w:numPr>
          <w:ilvl w:val="0"/>
          <w:numId w:val="16"/>
        </w:numPr>
        <w:spacing w:line="280" w:lineRule="exact"/>
        <w:jc w:val="both"/>
        <w:rPr>
          <w:rFonts w:ascii="Garamond" w:hAnsi="Garamond" w:cs="NimbusRomNo9L-Regu"/>
          <w:lang w:val="en-GB" w:eastAsia="nl-NL"/>
        </w:rPr>
      </w:pPr>
      <w:r w:rsidRPr="00802C03">
        <w:rPr>
          <w:rFonts w:ascii="Garamond" w:hAnsi="Garamond" w:cs="NimbusRomNo9L-Regu"/>
          <w:i/>
          <w:lang w:val="en-GB" w:eastAsia="nl-NL"/>
        </w:rPr>
        <w:t>The calculation of corrected input issuer asset correlation matrix</w:t>
      </w:r>
      <w:r w:rsidRPr="00802C03">
        <w:rPr>
          <w:rFonts w:ascii="Garamond" w:hAnsi="Garamond" w:cs="NimbusRomNo9L-Regu"/>
          <w:lang w:val="en-GB" w:eastAsia="nl-NL"/>
        </w:rPr>
        <w:t xml:space="preserve"> </w:t>
      </w:r>
      <w:r w:rsidRPr="00100BDF">
        <w:rPr>
          <w:rFonts w:ascii="Garamond" w:hAnsi="Garamond" w:cs="NimbusRomNo9L-Regu"/>
          <w:position w:val="-6"/>
          <w:lang w:val="en-GB" w:eastAsia="nl-NL"/>
        </w:rPr>
        <w:object w:dxaOrig="260" w:dyaOrig="279">
          <v:shape id="_x0000_i1523" type="#_x0000_t75" style="width:13.5pt;height:13.5pt" o:ole="">
            <v:imagedata r:id="rId931" o:title=""/>
          </v:shape>
          <o:OLEObject Type="Embed" ProgID="Equation.DSMT4" ShapeID="_x0000_i1523" DrawAspect="Content" ObjectID="_1324894024" r:id="rId932"/>
        </w:object>
      </w:r>
      <w:r w:rsidRPr="00802C03">
        <w:rPr>
          <w:rFonts w:ascii="Garamond" w:hAnsi="Garamond" w:cs="NimbusRomNo9L-Regu"/>
          <w:lang w:val="en-GB" w:eastAsia="nl-NL"/>
        </w:rPr>
        <w:t xml:space="preserve">: When the single-period issuer asset returns are generated for a portfolio with multiple positions, correlation matrix </w:t>
      </w:r>
      <w:r w:rsidRPr="00100BDF">
        <w:rPr>
          <w:rFonts w:ascii="Garamond" w:hAnsi="Garamond" w:cs="NimbusRomNo9L-Regu"/>
          <w:position w:val="-6"/>
          <w:lang w:val="en-GB" w:eastAsia="nl-NL"/>
        </w:rPr>
        <w:object w:dxaOrig="220" w:dyaOrig="240">
          <v:shape id="_x0000_i1524" type="#_x0000_t75" style="width:11.25pt;height:12pt" o:ole="">
            <v:imagedata r:id="rId933" o:title=""/>
          </v:shape>
          <o:OLEObject Type="Embed" ProgID="Equation.DSMT4" ShapeID="_x0000_i1524" DrawAspect="Content" ObjectID="_1324894025" r:id="rId934"/>
        </w:object>
      </w:r>
      <w:r w:rsidRPr="00802C03">
        <w:rPr>
          <w:rFonts w:ascii="Garamond" w:hAnsi="Garamond" w:cs="NimbusRomNo9L-Regu"/>
          <w:lang w:val="en-GB" w:eastAsia="nl-NL"/>
        </w:rPr>
        <w:t xml:space="preserve"> is known and all autocorrelations coefficients </w:t>
      </w:r>
      <w:r w:rsidRPr="00100BDF">
        <w:rPr>
          <w:rFonts w:ascii="Garamond" w:hAnsi="Garamond" w:cs="NimbusRomNo9L-Regu"/>
          <w:position w:val="-10"/>
          <w:lang w:val="en-GB" w:eastAsia="nl-NL"/>
        </w:rPr>
        <w:object w:dxaOrig="400" w:dyaOrig="300">
          <v:shape id="_x0000_i1525" type="#_x0000_t75" style="width:20.25pt;height:15pt" o:ole="">
            <v:imagedata r:id="rId935" o:title=""/>
          </v:shape>
          <o:OLEObject Type="Embed" ProgID="Equation.DSMT4" ShapeID="_x0000_i1525" DrawAspect="Content" ObjectID="_1324894026" r:id="rId936"/>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800" w:dyaOrig="260">
          <v:shape id="_x0000_i1526" type="#_x0000_t75" style="width:39.75pt;height:13.5pt" o:ole="">
            <v:imagedata r:id="rId937" o:title=""/>
          </v:shape>
          <o:OLEObject Type="Embed" ProgID="Equation.DSMT4" ShapeID="_x0000_i1526" DrawAspect="Content" ObjectID="_1324894027" r:id="rId938"/>
        </w:object>
      </w:r>
      <w:r w:rsidRPr="00802C03">
        <w:rPr>
          <w:rFonts w:ascii="Garamond" w:hAnsi="Garamond" w:cs="NimbusRomNo9L-Regu"/>
          <w:lang w:val="en-GB" w:eastAsia="nl-NL"/>
        </w:rPr>
        <w:t xml:space="preserve">) are known as well. Correlation matrix </w:t>
      </w:r>
      <w:r w:rsidRPr="00100BDF">
        <w:rPr>
          <w:rFonts w:ascii="Garamond" w:hAnsi="Garamond" w:cs="NimbusRomNo9L-Regu"/>
          <w:position w:val="-6"/>
          <w:lang w:val="en-GB" w:eastAsia="nl-NL"/>
        </w:rPr>
        <w:object w:dxaOrig="220" w:dyaOrig="240">
          <v:shape id="_x0000_i1527" type="#_x0000_t75" style="width:11.25pt;height:12pt" o:ole="">
            <v:imagedata r:id="rId939" o:title=""/>
          </v:shape>
          <o:OLEObject Type="Embed" ProgID="Equation.DSMT4" ShapeID="_x0000_i1527" DrawAspect="Content" ObjectID="_1324894028" r:id="rId940"/>
        </w:object>
      </w:r>
      <w:r w:rsidRPr="00802C03">
        <w:rPr>
          <w:rFonts w:ascii="Garamond" w:hAnsi="Garamond" w:cs="NimbusRomNo9L-Regu"/>
          <w:lang w:val="en-GB" w:eastAsia="nl-NL"/>
        </w:rPr>
        <w:t xml:space="preserve"> contains all observed issuer asset correlations between the issuers underlying the positions. Using the issuer correlation coefficients in </w:t>
      </w:r>
      <w:r w:rsidRPr="00100BDF">
        <w:rPr>
          <w:rFonts w:ascii="Garamond" w:hAnsi="Garamond" w:cs="NimbusRomNo9L-Regu"/>
          <w:position w:val="-6"/>
          <w:lang w:val="en-GB" w:eastAsia="nl-NL"/>
        </w:rPr>
        <w:object w:dxaOrig="220" w:dyaOrig="240">
          <v:shape id="_x0000_i1528" type="#_x0000_t75" style="width:11.25pt;height:12pt" o:ole="">
            <v:imagedata r:id="rId941" o:title=""/>
          </v:shape>
          <o:OLEObject Type="Embed" ProgID="Equation.DSMT4" ShapeID="_x0000_i1528" DrawAspect="Content" ObjectID="_1324894029" r:id="rId942"/>
        </w:object>
      </w:r>
      <w:r w:rsidRPr="00802C03">
        <w:rPr>
          <w:rFonts w:ascii="Garamond" w:hAnsi="Garamond" w:cs="NimbusRomNo9L-Regu"/>
          <w:lang w:val="en-GB" w:eastAsia="nl-NL"/>
        </w:rPr>
        <w:t xml:space="preserve"> and the autocorrelation coefficients, corrected issuer correlations must be computed. For each pair of positions (or issuers) in the portfolio, a corrected issuer asset correlation coefficient (</w:t>
      </w:r>
      <w:r w:rsidRPr="00100BDF">
        <w:rPr>
          <w:rFonts w:ascii="Garamond" w:hAnsi="Garamond" w:cs="NimbusRomNo9L-Regu"/>
          <w:position w:val="-10"/>
          <w:lang w:val="en-GB" w:eastAsia="nl-NL"/>
        </w:rPr>
        <w:object w:dxaOrig="340" w:dyaOrig="320">
          <v:shape id="_x0000_i1529" type="#_x0000_t75" style="width:16.5pt;height:15.75pt" o:ole="">
            <v:imagedata r:id="rId943" o:title=""/>
          </v:shape>
          <o:OLEObject Type="Embed" ProgID="Equation.DSMT4" ShapeID="_x0000_i1529" DrawAspect="Content" ObjectID="_1324894030" r:id="rId944"/>
        </w:object>
      </w:r>
      <w:r w:rsidRPr="00802C03">
        <w:rPr>
          <w:rFonts w:ascii="Garamond" w:hAnsi="Garamond" w:cs="NimbusRomNo9L-Regu"/>
          <w:lang w:val="en-GB" w:eastAsia="nl-NL"/>
        </w:rPr>
        <w:t>) can be calculated with the use of their observed issuer asset correlation    (</w:t>
      </w:r>
      <w:r w:rsidRPr="00100BDF">
        <w:rPr>
          <w:rFonts w:ascii="Garamond" w:hAnsi="Garamond" w:cs="NimbusRomNo9L-Regu"/>
          <w:position w:val="-10"/>
          <w:lang w:val="en-GB" w:eastAsia="nl-NL"/>
        </w:rPr>
        <w:object w:dxaOrig="340" w:dyaOrig="300">
          <v:shape id="_x0000_i1530" type="#_x0000_t75" style="width:16.5pt;height:15pt" o:ole="">
            <v:imagedata r:id="rId945" o:title=""/>
          </v:shape>
          <o:OLEObject Type="Embed" ProgID="Equation.DSMT4" ShapeID="_x0000_i1530" DrawAspect="Content" ObjectID="_1324894031" r:id="rId946"/>
        </w:object>
      </w:r>
      <w:r w:rsidRPr="00802C03">
        <w:rPr>
          <w:rFonts w:ascii="Garamond" w:hAnsi="Garamond" w:cs="NimbusRomNo9L-Regu"/>
          <w:lang w:val="en-GB" w:eastAsia="nl-NL"/>
        </w:rPr>
        <w:t xml:space="preserve"> from </w:t>
      </w:r>
      <w:r w:rsidRPr="00100BDF">
        <w:rPr>
          <w:rFonts w:ascii="Garamond" w:hAnsi="Garamond" w:cs="NimbusRomNo9L-Regu"/>
          <w:position w:val="-6"/>
          <w:lang w:val="en-GB" w:eastAsia="nl-NL"/>
        </w:rPr>
        <w:object w:dxaOrig="220" w:dyaOrig="240">
          <v:shape id="_x0000_i1531" type="#_x0000_t75" style="width:11.25pt;height:12pt" o:ole="">
            <v:imagedata r:id="rId947" o:title=""/>
          </v:shape>
          <o:OLEObject Type="Embed" ProgID="Equation.DSMT4" ShapeID="_x0000_i1531" DrawAspect="Content" ObjectID="_1324894032" r:id="rId948"/>
        </w:object>
      </w:r>
      <w:r w:rsidRPr="00802C03">
        <w:rPr>
          <w:rFonts w:ascii="Garamond" w:hAnsi="Garamond" w:cs="NimbusRomNo9L-Regu"/>
          <w:lang w:val="en-GB" w:eastAsia="nl-NL"/>
        </w:rPr>
        <w:t>) and the observed autocorrelation coefficients underlying both positions (</w:t>
      </w:r>
      <w:r w:rsidRPr="00100BDF">
        <w:rPr>
          <w:rFonts w:ascii="Garamond" w:hAnsi="Garamond" w:cs="NimbusRomNo9L-Regu"/>
          <w:position w:val="-10"/>
          <w:lang w:val="en-GB" w:eastAsia="nl-NL"/>
        </w:rPr>
        <w:object w:dxaOrig="440" w:dyaOrig="300">
          <v:shape id="_x0000_i1532" type="#_x0000_t75" style="width:21.75pt;height:15pt" o:ole="">
            <v:imagedata r:id="rId949" o:title=""/>
          </v:shape>
          <o:OLEObject Type="Embed" ProgID="Equation.DSMT4" ShapeID="_x0000_i1532" DrawAspect="Content" ObjectID="_1324894033" r:id="rId95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40" w:dyaOrig="300">
          <v:shape id="_x0000_i1533" type="#_x0000_t75" style="width:21.75pt;height:15pt" o:ole="">
            <v:imagedata r:id="rId951" o:title=""/>
          </v:shape>
          <o:OLEObject Type="Embed" ProgID="Equation.DSMT4" ShapeID="_x0000_i1533" DrawAspect="Content" ObjectID="_1324894034" r:id="rId952"/>
        </w:object>
      </w:r>
      <w:r w:rsidRPr="00802C03">
        <w:rPr>
          <w:rFonts w:ascii="Garamond" w:hAnsi="Garamond" w:cs="NimbusRomNo9L-Regu"/>
          <w:lang w:val="en-GB" w:eastAsia="nl-NL"/>
        </w:rPr>
        <w:t xml:space="preserve">). All these corrected issuer correlations coefficients together form a corrected issuer correlation matrix </w:t>
      </w:r>
      <w:r w:rsidRPr="00100BDF">
        <w:rPr>
          <w:rFonts w:ascii="Garamond" w:hAnsi="Garamond" w:cs="NimbusRomNo9L-Regu"/>
          <w:position w:val="-6"/>
          <w:lang w:val="en-GB" w:eastAsia="nl-NL"/>
        </w:rPr>
        <w:object w:dxaOrig="260" w:dyaOrig="279">
          <v:shape id="_x0000_i1534" type="#_x0000_t75" style="width:13.5pt;height:13.5pt" o:ole="">
            <v:imagedata r:id="rId953" o:title=""/>
          </v:shape>
          <o:OLEObject Type="Embed" ProgID="Equation.DSMT4" ShapeID="_x0000_i1534" DrawAspect="Content" ObjectID="_1324894035" r:id="rId954"/>
        </w:object>
      </w:r>
      <w:r w:rsidRPr="00802C03">
        <w:rPr>
          <w:rFonts w:ascii="Garamond" w:hAnsi="Garamond" w:cs="NimbusRomNo9L-Regu"/>
          <w:lang w:val="en-GB" w:eastAsia="nl-NL"/>
        </w:rPr>
        <w:t xml:space="preserve"> that has the same dimensions as original issuer correlation matrix </w:t>
      </w:r>
      <w:r w:rsidRPr="00100BDF">
        <w:rPr>
          <w:rFonts w:ascii="Garamond" w:hAnsi="Garamond" w:cs="NimbusRomNo9L-Regu"/>
          <w:position w:val="-6"/>
          <w:lang w:val="en-GB" w:eastAsia="nl-NL"/>
        </w:rPr>
        <w:object w:dxaOrig="220" w:dyaOrig="240">
          <v:shape id="_x0000_i1535" type="#_x0000_t75" style="width:11.25pt;height:12pt" o:ole="">
            <v:imagedata r:id="rId955" o:title=""/>
          </v:shape>
          <o:OLEObject Type="Embed" ProgID="Equation.DSMT4" ShapeID="_x0000_i1535" DrawAspect="Content" ObjectID="_1324894036" r:id="rId956"/>
        </w:object>
      </w:r>
      <w:r w:rsidRPr="00802C03">
        <w:rPr>
          <w:rFonts w:ascii="Garamond" w:hAnsi="Garamond" w:cs="NimbusRomNo9L-Regu"/>
          <w:lang w:val="en-GB" w:eastAsia="nl-NL"/>
        </w:rPr>
        <w:t>.</w:t>
      </w:r>
    </w:p>
    <w:p w:rsidR="001C7C52" w:rsidRPr="00802C03" w:rsidRDefault="001C7C52" w:rsidP="00260D6F">
      <w:pPr>
        <w:pStyle w:val="ListParagraph"/>
        <w:numPr>
          <w:ilvl w:val="0"/>
          <w:numId w:val="16"/>
        </w:numPr>
        <w:spacing w:line="280" w:lineRule="exact"/>
        <w:jc w:val="both"/>
        <w:rPr>
          <w:rFonts w:ascii="Garamond" w:hAnsi="Garamond" w:cs="NimbusRomNo9L-Regu"/>
          <w:lang w:val="en-GB" w:eastAsia="nl-NL"/>
        </w:rPr>
      </w:pPr>
      <w:r w:rsidRPr="00802C03">
        <w:rPr>
          <w:rFonts w:ascii="Garamond" w:hAnsi="Garamond" w:cs="NimbusRomNo9L-Regu"/>
          <w:i/>
          <w:lang w:val="en-GB" w:eastAsia="nl-NL"/>
        </w:rPr>
        <w:t>The application of the first copula (in the cross-sectional dimension)</w:t>
      </w:r>
      <w:r w:rsidRPr="00802C03">
        <w:rPr>
          <w:rFonts w:ascii="Garamond" w:hAnsi="Garamond" w:cs="NimbusRomNo9L-Regu"/>
          <w:lang w:val="en-GB" w:eastAsia="nl-NL"/>
        </w:rPr>
        <w:t xml:space="preserve">: The corrected correlation matrix </w:t>
      </w:r>
      <w:r w:rsidRPr="00100BDF">
        <w:rPr>
          <w:rFonts w:ascii="Garamond" w:hAnsi="Garamond" w:cs="NimbusRomNo9L-Regu"/>
          <w:position w:val="-6"/>
          <w:lang w:val="en-GB" w:eastAsia="nl-NL"/>
        </w:rPr>
        <w:object w:dxaOrig="260" w:dyaOrig="279">
          <v:shape id="_x0000_i1536" type="#_x0000_t75" style="width:13.5pt;height:13.5pt" o:ole="">
            <v:imagedata r:id="rId957" o:title=""/>
          </v:shape>
          <o:OLEObject Type="Embed" ProgID="Equation.DSMT4" ShapeID="_x0000_i1536" DrawAspect="Content" ObjectID="_1324894037" r:id="rId958"/>
        </w:object>
      </w:r>
      <w:r w:rsidRPr="00802C03">
        <w:rPr>
          <w:rFonts w:ascii="Garamond" w:hAnsi="Garamond" w:cs="NimbusRomNo9L-Regu"/>
          <w:lang w:val="en-GB" w:eastAsia="nl-NL"/>
        </w:rPr>
        <w:t xml:space="preserve"> is subsequently used in the generation of the actual issuer asset returns that are required in the simulation model. Herein, the first step is the application of the first (multivariate) Gaussian copula in each of the single-periods in the model, where the corrected issuer correlation matrix </w:t>
      </w:r>
      <w:r w:rsidRPr="00100BDF">
        <w:rPr>
          <w:rFonts w:ascii="Garamond" w:hAnsi="Garamond" w:cs="NimbusRomNo9L-Regu"/>
          <w:position w:val="-6"/>
          <w:lang w:val="en-GB" w:eastAsia="nl-NL"/>
        </w:rPr>
        <w:object w:dxaOrig="260" w:dyaOrig="279">
          <v:shape id="_x0000_i1537" type="#_x0000_t75" style="width:13.5pt;height:13.5pt" o:ole="">
            <v:imagedata r:id="rId959" o:title=""/>
          </v:shape>
          <o:OLEObject Type="Embed" ProgID="Equation.DSMT4" ShapeID="_x0000_i1537" DrawAspect="Content" ObjectID="_1324894038" r:id="rId960"/>
        </w:object>
      </w:r>
      <w:r w:rsidRPr="00802C03">
        <w:rPr>
          <w:rFonts w:ascii="Garamond" w:hAnsi="Garamond" w:cs="NimbusRomNo9L-Regu"/>
          <w:lang w:val="en-GB" w:eastAsia="nl-NL"/>
        </w:rPr>
        <w:t xml:space="preserve"> is employed instead of the observed correlation matrix </w:t>
      </w:r>
      <w:r w:rsidRPr="00100BDF">
        <w:rPr>
          <w:rFonts w:ascii="Garamond" w:hAnsi="Garamond" w:cs="NimbusRomNo9L-Regu"/>
          <w:position w:val="-6"/>
          <w:lang w:val="en-GB" w:eastAsia="nl-NL"/>
        </w:rPr>
        <w:object w:dxaOrig="220" w:dyaOrig="240">
          <v:shape id="_x0000_i1538" type="#_x0000_t75" style="width:11.25pt;height:12pt" o:ole="">
            <v:imagedata r:id="rId961" o:title=""/>
          </v:shape>
          <o:OLEObject Type="Embed" ProgID="Equation.DSMT4" ShapeID="_x0000_i1538" DrawAspect="Content" ObjectID="_1324894039" r:id="rId962"/>
        </w:object>
      </w:r>
      <w:r w:rsidRPr="00802C03">
        <w:rPr>
          <w:rFonts w:ascii="Garamond" w:hAnsi="Garamond" w:cs="NimbusRomNo9L-Regu"/>
          <w:lang w:val="en-GB" w:eastAsia="nl-NL"/>
        </w:rPr>
        <w:t xml:space="preserve">. A large number of simulation scenarios must be generated and, in each scenario in each single-period, the issuer correlations between all simulated issuer asset returns must be introduced, according to corrected correlation matrix </w:t>
      </w:r>
      <w:r w:rsidRPr="00100BDF">
        <w:rPr>
          <w:rFonts w:ascii="Garamond" w:hAnsi="Garamond" w:cs="NimbusRomNo9L-Regu"/>
          <w:position w:val="-6"/>
          <w:lang w:val="en-GB" w:eastAsia="nl-NL"/>
        </w:rPr>
        <w:object w:dxaOrig="260" w:dyaOrig="279">
          <v:shape id="_x0000_i1539" type="#_x0000_t75" style="width:13.5pt;height:13.5pt" o:ole="">
            <v:imagedata r:id="rId963" o:title=""/>
          </v:shape>
          <o:OLEObject Type="Embed" ProgID="Equation.DSMT4" ShapeID="_x0000_i1539" DrawAspect="Content" ObjectID="_1324894040" r:id="rId964"/>
        </w:object>
      </w:r>
      <w:r w:rsidRPr="00802C03">
        <w:rPr>
          <w:rFonts w:ascii="Garamond" w:hAnsi="Garamond" w:cs="NimbusRomNo9L-Regu"/>
          <w:lang w:val="en-GB" w:eastAsia="nl-NL"/>
        </w:rPr>
        <w:t>.</w:t>
      </w:r>
    </w:p>
    <w:p w:rsidR="001C7C52" w:rsidRPr="00802C03" w:rsidRDefault="001C7C52" w:rsidP="00831CFC">
      <w:pPr>
        <w:pStyle w:val="ListParagraph"/>
        <w:spacing w:after="0" w:line="160" w:lineRule="exact"/>
        <w:jc w:val="both"/>
        <w:rPr>
          <w:rFonts w:ascii="Garamond" w:hAnsi="Garamond" w:cs="NimbusRomNo9L-Regu"/>
          <w:lang w:val="en-GB" w:eastAsia="nl-NL"/>
        </w:rPr>
      </w:pPr>
    </w:p>
    <w:p w:rsidR="001C7C52" w:rsidRPr="00802C03" w:rsidRDefault="001C7C52" w:rsidP="00FA36C2">
      <w:pPr>
        <w:pStyle w:val="ListParagraph"/>
        <w:numPr>
          <w:ilvl w:val="0"/>
          <w:numId w:val="16"/>
        </w:numPr>
        <w:spacing w:after="0" w:line="280" w:lineRule="exact"/>
        <w:ind w:left="714" w:hanging="357"/>
        <w:jc w:val="both"/>
        <w:rPr>
          <w:rFonts w:ascii="Garamond" w:hAnsi="Garamond" w:cs="NimbusRomNo9L-Regu"/>
          <w:lang w:val="en-GB" w:eastAsia="nl-NL"/>
        </w:rPr>
      </w:pPr>
      <w:bookmarkStart w:id="38" w:name="Step3"/>
      <w:bookmarkEnd w:id="38"/>
      <w:r w:rsidRPr="00802C03">
        <w:rPr>
          <w:rFonts w:ascii="Garamond" w:hAnsi="Garamond" w:cs="NimbusRomNo9L-Regu"/>
          <w:i/>
          <w:lang w:val="en-GB" w:eastAsia="nl-NL"/>
        </w:rPr>
        <w:t>The application of the second copula (in the time-series dimension)</w:t>
      </w:r>
      <w:r w:rsidRPr="00802C03">
        <w:rPr>
          <w:rFonts w:ascii="Garamond" w:hAnsi="Garamond" w:cs="NimbusRomNo9L-Regu"/>
          <w:lang w:val="en-GB" w:eastAsia="nl-NL"/>
        </w:rPr>
        <w:t>: The last step is the introduction of issuer autocorrelations into the system. Herein, the second Gaussian copula (the bivariate Gaussian copula) is applied multiple times, using each position’s (or issuer’s) own autocorrelation coefficient (</w:t>
      </w:r>
      <w:r w:rsidRPr="00100BDF">
        <w:rPr>
          <w:rFonts w:ascii="Garamond" w:hAnsi="Garamond" w:cs="NimbusRomNo9L-Regu"/>
          <w:position w:val="-10"/>
          <w:lang w:val="en-GB" w:eastAsia="nl-NL"/>
        </w:rPr>
        <w:object w:dxaOrig="400" w:dyaOrig="300">
          <v:shape id="_x0000_i1540" type="#_x0000_t75" style="width:20.25pt;height:15pt" o:ole="">
            <v:imagedata r:id="rId965" o:title=""/>
          </v:shape>
          <o:OLEObject Type="Embed" ProgID="Equation.DSMT4" ShapeID="_x0000_i1540" DrawAspect="Content" ObjectID="_1324894041" r:id="rId966"/>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800" w:dyaOrig="260">
          <v:shape id="_x0000_i1541" type="#_x0000_t75" style="width:39.75pt;height:13.5pt" o:ole="">
            <v:imagedata r:id="rId967" o:title=""/>
          </v:shape>
          <o:OLEObject Type="Embed" ProgID="Equation.DSMT4" ShapeID="_x0000_i1541" DrawAspect="Content" ObjectID="_1324894042" r:id="rId968"/>
        </w:object>
      </w:r>
      <w:r w:rsidRPr="00802C03">
        <w:rPr>
          <w:rFonts w:ascii="Garamond" w:hAnsi="Garamond" w:cs="NimbusRomNo9L-Regu"/>
          <w:lang w:val="en-GB" w:eastAsia="nl-NL"/>
        </w:rPr>
        <w:t xml:space="preserve">). This bivariate copula must be applied in each scenario for each separate position’s subsequent single-period issuer asset returns that have been generated in step 2. Hence, in the four-period model, the second period’s return must be linked (or correlated) to the first period’s return, the third period’s return to the (new) second period’s return, and the fourth period’s return to the (new) third period’s return. This must be done in each scenario for each single position. As a consequence, the implied issuer correlations in this structure of correlated issuer asset returns, based on the large number of generated scenarios, will be equal to those in the original observed correlation matrix </w:t>
      </w:r>
      <w:r w:rsidRPr="00100BDF">
        <w:rPr>
          <w:rFonts w:ascii="Garamond" w:hAnsi="Garamond" w:cs="NimbusRomNo9L-Regu"/>
          <w:position w:val="-6"/>
          <w:lang w:val="en-GB" w:eastAsia="nl-NL"/>
        </w:rPr>
        <w:object w:dxaOrig="220" w:dyaOrig="240">
          <v:shape id="_x0000_i1542" type="#_x0000_t75" style="width:11.25pt;height:12pt" o:ole="">
            <v:imagedata r:id="rId969" o:title=""/>
          </v:shape>
          <o:OLEObject Type="Embed" ProgID="Equation.DSMT4" ShapeID="_x0000_i1542" DrawAspect="Content" ObjectID="_1324894043" r:id="rId970"/>
        </w:object>
      </w:r>
      <w:r w:rsidRPr="00802C03">
        <w:rPr>
          <w:rFonts w:ascii="Garamond" w:hAnsi="Garamond" w:cs="NimbusRomNo9L-Regu"/>
          <w:lang w:val="en-GB" w:eastAsia="nl-NL"/>
        </w:rPr>
        <w:t>.</w:t>
      </w:r>
    </w:p>
    <w:p w:rsidR="001C7C52" w:rsidRPr="00802C03" w:rsidRDefault="001C7C52" w:rsidP="00831CFC">
      <w:pPr>
        <w:spacing w:line="160" w:lineRule="exact"/>
        <w:jc w:val="both"/>
        <w:rPr>
          <w:rFonts w:ascii="Garamond" w:hAnsi="Garamond" w:cs="NimbusRomNo9L-Regu"/>
          <w:lang w:val="en-GB" w:eastAsia="nl-NL"/>
        </w:rPr>
      </w:pPr>
    </w:p>
    <w:p w:rsidR="001C7C52" w:rsidRPr="00802C03" w:rsidRDefault="001C7C52" w:rsidP="00FA780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derived correlation structure is of Gaussian nature. Yet, as mentioned earlier, the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model for credit quality correlation may be a better approximation of reality, especially in terms of downside dependence. Fortunately, the standard normally distributed issuer asset returns are easily converted to Student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-distributed issuer asset returns with identical correlation properties. </w:t>
      </w:r>
    </w:p>
    <w:p w:rsidR="001C7C52" w:rsidRPr="00802C03" w:rsidRDefault="001C7C52" w:rsidP="00FA780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To achieve this more realistic </w:t>
      </w:r>
      <w:r w:rsidRPr="00802C03">
        <w:rPr>
          <w:rFonts w:ascii="Garamond" w:hAnsi="Garamond" w:cs="NimbusRomNo9L-Regu"/>
          <w:i/>
          <w:lang w:val="en-GB" w:eastAsia="nl-NL"/>
        </w:rPr>
        <w:t>t</w:t>
      </w:r>
      <w:r w:rsidRPr="00802C03">
        <w:rPr>
          <w:rFonts w:ascii="Garamond" w:hAnsi="Garamond" w:cs="NimbusRomNo9L-Regu"/>
          <w:lang w:val="en-GB" w:eastAsia="nl-NL"/>
        </w:rPr>
        <w:t xml:space="preserve">-Student model, random </w:t>
      </w:r>
      <w:r w:rsidRPr="00100BDF">
        <w:rPr>
          <w:rFonts w:ascii="Garamond" w:hAnsi="Garamond" w:cs="NimbusRomNo9L-Regu"/>
          <w:position w:val="-10"/>
          <w:lang w:val="en-GB" w:eastAsia="nl-NL"/>
        </w:rPr>
        <w:object w:dxaOrig="279" w:dyaOrig="320">
          <v:shape id="_x0000_i1543" type="#_x0000_t75" style="width:13.5pt;height:15.75pt" o:ole="">
            <v:imagedata r:id="rId971" o:title=""/>
          </v:shape>
          <o:OLEObject Type="Embed" ProgID="Equation.DSMT4" ShapeID="_x0000_i1543" DrawAspect="Content" ObjectID="_1324894044" r:id="rId972"/>
        </w:object>
      </w:r>
      <w:r w:rsidRPr="00802C03">
        <w:rPr>
          <w:rFonts w:ascii="Garamond" w:hAnsi="Garamond" w:cs="NimbusRomNo9L-Regu"/>
          <w:lang w:val="en-GB" w:eastAsia="nl-NL"/>
        </w:rPr>
        <w:t xml:space="preserve">-variable </w:t>
      </w:r>
      <w:r w:rsidRPr="00100BDF">
        <w:rPr>
          <w:rFonts w:ascii="Garamond" w:hAnsi="Garamond" w:cs="NimbusRomNo9L-Regu"/>
          <w:position w:val="-6"/>
          <w:lang w:val="en-GB" w:eastAsia="nl-NL"/>
        </w:rPr>
        <w:object w:dxaOrig="160" w:dyaOrig="200">
          <v:shape id="_x0000_i1544" type="#_x0000_t75" style="width:8.25pt;height:9.75pt" o:ole="">
            <v:imagedata r:id="rId973" o:title=""/>
          </v:shape>
          <o:OLEObject Type="Embed" ProgID="Equation.DSMT4" ShapeID="_x0000_i1544" DrawAspect="Content" ObjectID="_1324894045" r:id="rId974"/>
        </w:object>
      </w:r>
      <w:r w:rsidRPr="00802C03">
        <w:rPr>
          <w:rFonts w:ascii="Garamond" w:hAnsi="Garamond" w:cs="NimbusRomNo9L-Regu"/>
          <w:lang w:val="en-GB" w:eastAsia="nl-NL"/>
        </w:rPr>
        <w:t xml:space="preserve"> must be generated, with the number of random drawings equal to the number of simulations in the model and a degrees of freedom (</w:t>
      </w:r>
      <w:r w:rsidRPr="00100BDF">
        <w:rPr>
          <w:rFonts w:ascii="Garamond" w:hAnsi="Garamond" w:cs="NimbusRomNo9L-Regu"/>
          <w:position w:val="-6"/>
          <w:lang w:val="en-GB" w:eastAsia="nl-NL"/>
        </w:rPr>
        <w:object w:dxaOrig="180" w:dyaOrig="200">
          <v:shape id="_x0000_i1545" type="#_x0000_t75" style="width:9pt;height:9.75pt" o:ole="">
            <v:imagedata r:id="rId975" o:title=""/>
          </v:shape>
          <o:OLEObject Type="Embed" ProgID="Equation.DSMT4" ShapeID="_x0000_i1545" DrawAspect="Content" ObjectID="_1324894046" r:id="rId976"/>
        </w:object>
      </w:r>
      <w:r w:rsidRPr="00802C03">
        <w:rPr>
          <w:rFonts w:ascii="Garamond" w:hAnsi="Garamond" w:cs="NimbusRomNo9L-Regu"/>
          <w:lang w:val="en-GB" w:eastAsia="nl-NL"/>
        </w:rPr>
        <w:t xml:space="preserve">) equivalent to that of the desired </w:t>
      </w:r>
      <w:r w:rsidRPr="00802C03">
        <w:rPr>
          <w:rFonts w:ascii="Garamond" w:hAnsi="Garamond" w:cs="NimbusRomNo9L-Regu"/>
          <w:i/>
          <w:lang w:val="en-GB" w:eastAsia="nl-NL"/>
        </w:rPr>
        <w:t>t</w:t>
      </w:r>
      <w:r w:rsidRPr="00802C03">
        <w:rPr>
          <w:rFonts w:ascii="Garamond" w:hAnsi="Garamond" w:cs="NimbusRomNo9L-Regu"/>
          <w:lang w:val="en-GB" w:eastAsia="nl-NL"/>
        </w:rPr>
        <w:t>-Student (copula) model. Subsequently, the Gaussian single-period issuer asset returns       (</w:t>
      </w:r>
      <w:r w:rsidRPr="00100BDF">
        <w:rPr>
          <w:rFonts w:ascii="Garamond" w:hAnsi="Garamond" w:cs="NimbusRomNo9L-Regu"/>
          <w:position w:val="-8"/>
          <w:lang w:val="en-GB" w:eastAsia="nl-NL"/>
        </w:rPr>
        <w:object w:dxaOrig="1120" w:dyaOrig="300">
          <v:shape id="_x0000_i1546" type="#_x0000_t75" style="width:55.5pt;height:15pt" o:ole="">
            <v:imagedata r:id="rId977" o:title=""/>
          </v:shape>
          <o:OLEObject Type="Embed" ProgID="Equation.DSMT4" ShapeID="_x0000_i1546" DrawAspect="Content" ObjectID="_1324894047" r:id="rId978"/>
        </w:object>
      </w:r>
      <w:r w:rsidRPr="00802C03">
        <w:rPr>
          <w:rFonts w:ascii="Garamond" w:hAnsi="Garamond" w:cs="NimbusRomNo9L-Regu"/>
          <w:lang w:val="en-GB" w:eastAsia="nl-NL"/>
        </w:rPr>
        <w:t xml:space="preserve">) of each position are multiplied by </w:t>
      </w:r>
      <w:r w:rsidRPr="00100BDF">
        <w:rPr>
          <w:rFonts w:ascii="Garamond" w:hAnsi="Garamond" w:cs="NimbusRomNo9L-Regu"/>
          <w:position w:val="-10"/>
          <w:lang w:val="en-GB" w:eastAsia="nl-NL"/>
        </w:rPr>
        <w:object w:dxaOrig="660" w:dyaOrig="320">
          <v:shape id="_x0000_i1547" type="#_x0000_t75" style="width:33pt;height:15.75pt" o:ole="">
            <v:imagedata r:id="rId979" o:title=""/>
          </v:shape>
          <o:OLEObject Type="Embed" ProgID="Equation.DSMT4" ShapeID="_x0000_i1547" DrawAspect="Content" ObjectID="_1324894048" r:id="rId980"/>
        </w:object>
      </w:r>
      <w:r w:rsidRPr="00802C03">
        <w:rPr>
          <w:rFonts w:ascii="Garamond" w:hAnsi="Garamond" w:cs="NimbusRomNo9L-Regu"/>
          <w:lang w:val="en-GB" w:eastAsia="nl-NL"/>
        </w:rPr>
        <w:t xml:space="preserve">, where </w:t>
      </w:r>
      <w:r w:rsidRPr="00100BDF">
        <w:rPr>
          <w:rFonts w:ascii="Garamond" w:hAnsi="Garamond" w:cs="NimbusRomNo9L-Regu"/>
          <w:position w:val="-6"/>
          <w:lang w:val="en-GB" w:eastAsia="nl-NL"/>
        </w:rPr>
        <w:object w:dxaOrig="160" w:dyaOrig="200">
          <v:shape id="_x0000_i1548" type="#_x0000_t75" style="width:8.25pt;height:9.75pt" o:ole="">
            <v:imagedata r:id="rId981" o:title=""/>
          </v:shape>
          <o:OLEObject Type="Embed" ProgID="Equation.DSMT4" ShapeID="_x0000_i1548" DrawAspect="Content" ObjectID="_1324894049" r:id="rId982"/>
        </w:object>
      </w:r>
      <w:r w:rsidRPr="00802C03">
        <w:rPr>
          <w:rFonts w:ascii="Garamond" w:hAnsi="Garamond" w:cs="NimbusRomNo9L-Regu"/>
          <w:lang w:val="en-GB" w:eastAsia="nl-NL"/>
        </w:rPr>
        <w:t xml:space="preserve"> is the equal for each position and each single-period in a given scenario. As a consequence, the converted simulated asset issuer returns of each position are Student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-distributed with a degrees of freedom equal to </w:t>
      </w:r>
      <w:r w:rsidRPr="00100BDF">
        <w:rPr>
          <w:rFonts w:ascii="Garamond" w:hAnsi="Garamond" w:cs="NimbusRomNo9L-Regu"/>
          <w:position w:val="-6"/>
          <w:lang w:val="en-GB" w:eastAsia="nl-NL"/>
        </w:rPr>
        <w:object w:dxaOrig="180" w:dyaOrig="200">
          <v:shape id="_x0000_i1549" type="#_x0000_t75" style="width:9pt;height:9.75pt" o:ole="">
            <v:imagedata r:id="rId983" o:title=""/>
          </v:shape>
          <o:OLEObject Type="Embed" ProgID="Equation.DSMT4" ShapeID="_x0000_i1549" DrawAspect="Content" ObjectID="_1324894050" r:id="rId984"/>
        </w:object>
      </w:r>
      <w:r w:rsidRPr="00802C03">
        <w:rPr>
          <w:rFonts w:ascii="Garamond" w:hAnsi="Garamond" w:cs="NimbusRomNo9L-Regu"/>
          <w:lang w:val="en-GB" w:eastAsia="nl-NL"/>
        </w:rPr>
        <w:t xml:space="preserve">. Obviously, this conversion has to be implemented for each simulation scenario in the model. Hence, the fact that the length of the </w:t>
      </w:r>
      <w:r w:rsidRPr="00100BDF">
        <w:rPr>
          <w:rFonts w:ascii="Garamond" w:hAnsi="Garamond" w:cs="NimbusRomNo9L-Regu"/>
          <w:position w:val="-6"/>
          <w:lang w:val="en-GB" w:eastAsia="nl-NL"/>
        </w:rPr>
        <w:object w:dxaOrig="160" w:dyaOrig="200">
          <v:shape id="_x0000_i1550" type="#_x0000_t75" style="width:8.25pt;height:9.75pt" o:ole="">
            <v:imagedata r:id="rId985" o:title=""/>
          </v:shape>
          <o:OLEObject Type="Embed" ProgID="Equation.DSMT4" ShapeID="_x0000_i1550" DrawAspect="Content" ObjectID="_1324894051" r:id="rId986"/>
        </w:object>
      </w:r>
      <w:r w:rsidRPr="00802C03">
        <w:rPr>
          <w:rFonts w:ascii="Garamond" w:hAnsi="Garamond" w:cs="NimbusRomNo9L-Regu"/>
          <w:lang w:val="en-GB" w:eastAsia="nl-NL"/>
        </w:rPr>
        <w:t xml:space="preserve">-variable series should be equal to the number of simulations. The conversion is nothing more than the application of the last step in the creation of Student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-distributed random variable, as explained in the </w:t>
      </w:r>
      <w:r w:rsidRPr="00802C03">
        <w:rPr>
          <w:rFonts w:ascii="Garamond" w:hAnsi="Garamond" w:cs="NimbusRomNo9L-Regu"/>
          <w:i/>
          <w:lang w:val="en-GB" w:eastAsia="nl-NL"/>
        </w:rPr>
        <w:t>t</w:t>
      </w:r>
      <w:r w:rsidRPr="00802C03">
        <w:rPr>
          <w:rFonts w:ascii="Garamond" w:hAnsi="Garamond" w:cs="NimbusRomNo9L-Regu"/>
          <w:lang w:val="en-GB" w:eastAsia="nl-NL"/>
        </w:rPr>
        <w:t>-Student copula section (</w:t>
      </w:r>
      <w:hyperlink w:anchor="S142" w:history="1">
        <w:r w:rsidRPr="00802C03">
          <w:rPr>
            <w:rStyle w:val="Hyperlink"/>
            <w:rFonts w:ascii="Garamond" w:hAnsi="Garamond" w:cs="NimbusRomNo9L-Regu"/>
            <w:color w:val="000066"/>
            <w:u w:val="none"/>
            <w:lang w:val="en-GB" w:eastAsia="nl-NL"/>
          </w:rPr>
          <w:t>section 1.4.2</w:t>
        </w:r>
      </w:hyperlink>
      <w:r w:rsidRPr="00802C03">
        <w:rPr>
          <w:rFonts w:ascii="Garamond" w:hAnsi="Garamond" w:cs="NimbusRomNo9L-Regu"/>
          <w:lang w:val="en-GB" w:eastAsia="nl-NL"/>
        </w:rPr>
        <w:t xml:space="preserve">). The conversion is employed after all correlations are introduced into simulated issuer asset returns and therefore all correlation properties of the Gaussian issuer asset returns are still in existence after the conversion to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Consequently, the correlation structure and its corrections are still valid when it is converted from the Gaussian to the </w:t>
      </w:r>
      <w:r w:rsidRPr="00802C03">
        <w:rPr>
          <w:rFonts w:ascii="Garamond" w:hAnsi="Garamond" w:cs="NimbusRomNo9L-Regu"/>
          <w:i/>
          <w:lang w:val="en-GB" w:eastAsia="nl-NL"/>
        </w:rPr>
        <w:t>t</w:t>
      </w:r>
      <w:r w:rsidRPr="00802C03">
        <w:rPr>
          <w:rFonts w:ascii="Garamond" w:hAnsi="Garamond" w:cs="NimbusRomNo9L-Regu"/>
          <w:lang w:val="en-GB" w:eastAsia="nl-NL"/>
        </w:rPr>
        <w:t>-Student assumption.</w:t>
      </w:r>
    </w:p>
    <w:p w:rsidR="001C7C52" w:rsidRPr="00802C03" w:rsidRDefault="001C7C52" w:rsidP="00FA7804">
      <w:pPr>
        <w:spacing w:line="28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1.4.6</w:t>
      </w:r>
      <w:r w:rsidRPr="00802C03">
        <w:rPr>
          <w:rFonts w:ascii="Garamond" w:hAnsi="Garamond"/>
          <w:b/>
          <w:lang w:val="en-GB"/>
        </w:rPr>
        <w:tab/>
      </w:r>
      <w:bookmarkStart w:id="39" w:name="S146"/>
      <w:bookmarkEnd w:id="39"/>
      <w:r w:rsidRPr="00802C03">
        <w:rPr>
          <w:rFonts w:ascii="Garamond" w:hAnsi="Garamond"/>
          <w:b/>
          <w:lang w:val="en-GB"/>
        </w:rPr>
        <w:t xml:space="preserve">Rebalancing Moments </w:t>
      </w:r>
    </w:p>
    <w:p w:rsidR="001C7C52" w:rsidRPr="00802C03" w:rsidRDefault="001C7C52" w:rsidP="00FA7804">
      <w:pPr>
        <w:spacing w:line="280" w:lineRule="exact"/>
        <w:jc w:val="both"/>
        <w:rPr>
          <w:rFonts w:ascii="Garamond" w:hAnsi="Garamond" w:cs="NimbusRomNo9L-Regu"/>
          <w:lang w:val="en-GB" w:eastAsia="nl-NL"/>
        </w:rPr>
      </w:pPr>
      <w:r w:rsidRPr="00802C03">
        <w:rPr>
          <w:rFonts w:ascii="Garamond" w:hAnsi="Garamond" w:cs="NimbusRomNo9L-Regu"/>
          <w:lang w:val="en-GB" w:eastAsia="nl-NL"/>
        </w:rPr>
        <w:t>The last remark on the correlation structure is that not all single-period issuer asset returns for all positions should be auto-correlated to the previous single-period asset return. When autocorrelation would be introduced in each period-to-period transition, it would reduce the benefits of rebalancing at the end of the liquidity horizon. The position must be rebalanced to its initial risk level at the end of the liquidity horizon, implying that there is no reason to claim that the first single-period issuer return underlying the new rebalanced position should be auto-correlated to the last issuer return under the old position, as both refer to different issuers.</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This is in contrast with </w:t>
      </w:r>
      <w:hyperlink w:anchor="Dunn_2008" w:history="1">
        <w:r w:rsidRPr="00802C03">
          <w:rPr>
            <w:rStyle w:val="Hyperlink"/>
            <w:rFonts w:ascii="Garamond" w:hAnsi="Garamond" w:cs="NimbusRomNo9L-Regu"/>
            <w:color w:val="000066"/>
            <w:u w:val="none"/>
            <w:lang w:val="en-GB" w:eastAsia="nl-NL"/>
          </w:rPr>
          <w:t>Dunn (2008)</w:t>
        </w:r>
      </w:hyperlink>
      <w:r>
        <w:rPr>
          <w:rFonts w:ascii="Garamond" w:hAnsi="Garamond" w:cs="NimbusRomNo9L-Regu"/>
          <w:lang w:val="en-GB" w:eastAsia="nl-NL"/>
        </w:rPr>
        <w:t xml:space="preserve"> </w:t>
      </w:r>
      <w:r w:rsidRPr="00802C03">
        <w:rPr>
          <w:rFonts w:ascii="Garamond" w:hAnsi="Garamond" w:cs="NimbusRomNo9L-Regu"/>
          <w:lang w:val="en-GB" w:eastAsia="nl-NL"/>
        </w:rPr>
        <w:t xml:space="preserve">who states that autocorrelation in the single autoregressive risk factor that he proposes is especially important to credit products with short liquidity horizons. He argues that without the autocorrelation systematic risk could effectively being ignored on such positions. In this study, however, autocorrelation is removed after the position is rebalanced to reset the risk at these moments. Like in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lang w:val="en-GB" w:eastAsia="nl-NL"/>
        </w:rPr>
        <w:t>, autocorrelation is considered as contributing to ‘the risk’ within the portfolio as well. Therefore</w:t>
      </w:r>
      <w:r>
        <w:rPr>
          <w:rFonts w:ascii="Garamond" w:hAnsi="Garamond" w:cs="NimbusRomNo9L-Regu"/>
          <w:lang w:val="en-GB" w:eastAsia="nl-NL"/>
        </w:rPr>
        <w:t xml:space="preserve"> </w:t>
      </w:r>
      <w:r w:rsidRPr="00802C03">
        <w:rPr>
          <w:rFonts w:ascii="Garamond" w:hAnsi="Garamond" w:cs="NimbusRomNo9L-Regu"/>
          <w:szCs w:val="22"/>
          <w:lang w:val="en-GB" w:eastAsia="nl-NL"/>
        </w:rPr>
        <w:t>–</w:t>
      </w:r>
      <w:r w:rsidRPr="00802C03">
        <w:rPr>
          <w:rFonts w:ascii="Garamond" w:hAnsi="Garamond" w:cs="NimbusRomNo9L-Regu"/>
          <w:lang w:val="en-GB" w:eastAsia="nl-NL"/>
        </w:rPr>
        <w:t xml:space="preserve"> </w:t>
      </w:r>
      <w:r>
        <w:rPr>
          <w:rFonts w:ascii="Garamond" w:hAnsi="Garamond" w:cs="NimbusRomNo9L-Regu"/>
          <w:lang w:val="en-GB" w:eastAsia="nl-NL"/>
        </w:rPr>
        <w:t xml:space="preserve">in contrast to </w:t>
      </w:r>
      <w:hyperlink w:anchor="Dunn_2008" w:history="1">
        <w:r w:rsidRPr="00F018E5">
          <w:rPr>
            <w:rStyle w:val="Hyperlink"/>
            <w:rFonts w:ascii="Garamond" w:hAnsi="Garamond" w:cs="NimbusRomNo9L-Regu"/>
            <w:color w:val="000066"/>
            <w:u w:val="none"/>
            <w:lang w:val="en-GB" w:eastAsia="nl-NL"/>
          </w:rPr>
          <w:t>Dunn (2008)</w:t>
        </w:r>
      </w:hyperlink>
      <w:r>
        <w:rPr>
          <w:rFonts w:ascii="Garamond" w:hAnsi="Garamond" w:cs="NimbusRomNo9L-Regu"/>
          <w:lang w:val="en-GB" w:eastAsia="nl-NL"/>
        </w:rPr>
        <w:t xml:space="preserve"> </w:t>
      </w:r>
      <w:r w:rsidRPr="00802C03">
        <w:rPr>
          <w:rFonts w:ascii="Garamond" w:hAnsi="Garamond" w:cs="NimbusRomNo9L-Regu"/>
          <w:szCs w:val="22"/>
          <w:lang w:val="en-GB" w:eastAsia="nl-NL"/>
        </w:rPr>
        <w:t>–</w:t>
      </w:r>
      <w:r>
        <w:rPr>
          <w:rFonts w:ascii="Garamond" w:hAnsi="Garamond" w:cs="NimbusRomNo9L-Regu"/>
          <w:lang w:val="en-GB" w:eastAsia="nl-NL"/>
        </w:rPr>
        <w:t xml:space="preserve"> </w:t>
      </w:r>
      <w:r w:rsidRPr="00802C03">
        <w:rPr>
          <w:rFonts w:ascii="Garamond" w:hAnsi="Garamond" w:cs="NimbusRomNo9L-Regu"/>
          <w:lang w:val="en-GB" w:eastAsia="nl-NL"/>
        </w:rPr>
        <w:t>this component is also part of the risk that requires a reset at rebalancing moments. Such an application is entirely consistent with the constant risk assumption.</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Consequently, in the four-period model, single-period issuer asset returns of positions with a liquidity horizon of three months should contain no autocorrelation. The issuer asset returns of positions with a liquidity horizon of six months should not exhibit autocorrelation from period two to period three. In the case that the liquidity horizon is nine months there should be no autocorrelation from period three to period four and for positions with a liquidity horizon of one year all single-period issuer asset returns should be auto-correlated. Lastly, in case of a default, no autocorrelation with regard to the next period’s return should be incorporated as well. All these conditions must be incorporated into the second copula application (</w:t>
      </w:r>
      <w:hyperlink w:anchor="Step3" w:history="1">
        <w:r w:rsidRPr="00802C03">
          <w:rPr>
            <w:rStyle w:val="Hyperlink"/>
            <w:rFonts w:ascii="Garamond" w:hAnsi="Garamond" w:cs="NimbusRomNo9L-Regu"/>
            <w:color w:val="000066"/>
            <w:u w:val="none"/>
            <w:lang w:val="en-GB" w:eastAsia="nl-NL"/>
          </w:rPr>
          <w:t>step 3</w:t>
        </w:r>
      </w:hyperlink>
      <w:r w:rsidRPr="00802C03">
        <w:rPr>
          <w:rFonts w:ascii="Garamond" w:hAnsi="Garamond" w:cs="NimbusRomNo9L-Regu"/>
          <w:lang w:val="en-GB" w:eastAsia="nl-NL"/>
        </w:rPr>
        <w:t xml:space="preserve"> in the generation of the single-period issuer asset returns). The equation of the second Gaussian copula (</w:t>
      </w:r>
      <w:hyperlink w:anchor="E1N32" w:history="1">
        <w:r w:rsidRPr="00802C03">
          <w:rPr>
            <w:rStyle w:val="Hyperlink"/>
            <w:rFonts w:ascii="Garamond" w:hAnsi="Garamond" w:cs="NimbusRomNo9L-Regu"/>
            <w:color w:val="000066"/>
            <w:u w:val="none"/>
            <w:lang w:val="en-GB" w:eastAsia="nl-NL"/>
          </w:rPr>
          <w:t>equation 1.33</w:t>
        </w:r>
      </w:hyperlink>
      <w:r w:rsidRPr="00802C03">
        <w:rPr>
          <w:rFonts w:ascii="Garamond" w:hAnsi="Garamond" w:cs="NimbusRomNo9L-Regu"/>
          <w:lang w:val="en-GB" w:eastAsia="nl-NL"/>
        </w:rPr>
        <w:t>), the bivariate copula in the time-series dimension, is modified into:</w:t>
      </w:r>
    </w:p>
    <w:p w:rsidR="001C7C52" w:rsidRPr="00802C03" w:rsidRDefault="001C7C52" w:rsidP="0047639A">
      <w:pPr>
        <w:tabs>
          <w:tab w:val="left" w:pos="567"/>
          <w:tab w:val="left" w:pos="8505"/>
        </w:tabs>
        <w:spacing w:before="10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2"/>
          <w:lang w:val="en-GB" w:eastAsia="nl-NL"/>
        </w:rPr>
        <w:object w:dxaOrig="3100" w:dyaOrig="380">
          <v:shape id="_x0000_i1551" type="#_x0000_t75" style="width:155.25pt;height:18.75pt" o:ole="">
            <v:imagedata r:id="rId987" o:title=""/>
          </v:shape>
          <o:OLEObject Type="Embed" ProgID="Equation.DSMT4" ShapeID="_x0000_i1551" DrawAspect="Content" ObjectID="_1324894052" r:id="rId988"/>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900" w:dyaOrig="279">
          <v:shape id="_x0000_i1552" type="#_x0000_t75" style="width:45pt;height:13.5pt" o:ole="">
            <v:imagedata r:id="rId989" o:title=""/>
          </v:shape>
          <o:OLEObject Type="Embed" ProgID="Equation.DSMT4" ShapeID="_x0000_i1552" DrawAspect="Content" ObjectID="_1324894053" r:id="rId990"/>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960" w:dyaOrig="260">
          <v:shape id="_x0000_i1553" type="#_x0000_t75" style="width:48pt;height:13.5pt" o:ole="">
            <v:imagedata r:id="rId991" o:title=""/>
          </v:shape>
          <o:OLEObject Type="Embed" ProgID="Equation.DSMT4" ShapeID="_x0000_i1553" DrawAspect="Content" ObjectID="_1324894054" r:id="rId992"/>
        </w:object>
      </w:r>
      <w:r w:rsidRPr="00802C03">
        <w:rPr>
          <w:rFonts w:ascii="Garamond" w:hAnsi="Garamond" w:cs="NimbusRomNo9L-Regu"/>
          <w:lang w:val="en-GB" w:eastAsia="nl-NL"/>
        </w:rPr>
        <w:t>,</w:t>
      </w:r>
      <w:r w:rsidRPr="00802C03">
        <w:rPr>
          <w:rFonts w:ascii="Garamond" w:hAnsi="Garamond" w:cs="NimbusRomNo9L-Regu"/>
          <w:lang w:val="en-GB" w:eastAsia="nl-NL"/>
        </w:rPr>
        <w:tab/>
        <w:t>(1.47)</w:t>
      </w:r>
    </w:p>
    <w:p w:rsidR="001C7C52" w:rsidRPr="00802C03" w:rsidRDefault="001C7C52" w:rsidP="00895FE6">
      <w:pPr>
        <w:spacing w:before="160" w:after="120" w:line="320" w:lineRule="atLeast"/>
        <w:jc w:val="both"/>
        <w:rPr>
          <w:rFonts w:ascii="Garamond" w:hAnsi="Garamond" w:cs="NimbusRomNo9L-Regu"/>
          <w:lang w:val="en-GB" w:eastAsia="nl-NL"/>
        </w:rPr>
      </w:pPr>
      <w:r w:rsidRPr="00802C03">
        <w:rPr>
          <w:rFonts w:ascii="Garamond" w:hAnsi="Garamond" w:cs="NimbusRomNo9L-Regu"/>
          <w:lang w:val="en-GB" w:eastAsia="nl-NL"/>
        </w:rPr>
        <w:tab/>
        <w:t xml:space="preserve">where </w:t>
      </w:r>
      <w:r w:rsidRPr="00100BDF">
        <w:rPr>
          <w:rFonts w:ascii="Garamond" w:hAnsi="Garamond" w:cs="NimbusRomNo9L-Regu"/>
          <w:position w:val="-42"/>
          <w:lang w:val="en-GB" w:eastAsia="nl-NL"/>
        </w:rPr>
        <w:object w:dxaOrig="3480" w:dyaOrig="940">
          <v:shape id="_x0000_i1554" type="#_x0000_t75" style="width:174pt;height:46.5pt" o:ole="">
            <v:imagedata r:id="rId993" o:title=""/>
          </v:shape>
          <o:OLEObject Type="Embed" ProgID="Equation.DSMT4" ShapeID="_x0000_i1554" DrawAspect="Content" ObjectID="_1324894055" r:id="rId994"/>
        </w:object>
      </w:r>
      <w:r w:rsidRPr="00802C03">
        <w:rPr>
          <w:rFonts w:ascii="Garamond" w:hAnsi="Garamond" w:cs="NimbusRomNo9L-Regu"/>
          <w:lang w:val="en-GB" w:eastAsia="nl-NL"/>
        </w:rPr>
        <w: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Variable </w:t>
      </w:r>
      <w:r w:rsidRPr="00100BDF">
        <w:rPr>
          <w:rFonts w:ascii="Garamond" w:hAnsi="Garamond" w:cs="NimbusRomNo9L-Regu"/>
          <w:position w:val="-8"/>
          <w:lang w:val="en-GB" w:eastAsia="nl-NL"/>
        </w:rPr>
        <w:object w:dxaOrig="320" w:dyaOrig="279">
          <v:shape id="_x0000_i1555" type="#_x0000_t75" style="width:15.75pt;height:13.5pt" o:ole="">
            <v:imagedata r:id="rId995" o:title=""/>
          </v:shape>
          <o:OLEObject Type="Embed" ProgID="Equation.DSMT4" ShapeID="_x0000_i1555" DrawAspect="Content" ObjectID="_1324894056" r:id="rId996"/>
        </w:object>
      </w:r>
      <w:r w:rsidRPr="00802C03">
        <w:rPr>
          <w:rFonts w:ascii="Garamond" w:hAnsi="Garamond" w:cs="NimbusRomNo9L-Regu"/>
          <w:lang w:val="en-GB" w:eastAsia="nl-NL"/>
        </w:rPr>
        <w:t xml:space="preserve"> is an indicator variable that holds the value of zero when rebalancing occurs at time </w:t>
      </w:r>
      <w:r w:rsidRPr="00100BDF">
        <w:rPr>
          <w:rFonts w:ascii="Garamond" w:hAnsi="Garamond" w:cs="NimbusRomNo9L-Regu"/>
          <w:position w:val="-6"/>
          <w:lang w:val="en-GB" w:eastAsia="nl-NL"/>
        </w:rPr>
        <w:object w:dxaOrig="420" w:dyaOrig="260">
          <v:shape id="_x0000_i1556" type="#_x0000_t75" style="width:21pt;height:13.5pt" o:ole="">
            <v:imagedata r:id="rId997" o:title=""/>
          </v:shape>
          <o:OLEObject Type="Embed" ProgID="Equation.DSMT4" ShapeID="_x0000_i1556" DrawAspect="Content" ObjectID="_1324894057" r:id="rId998"/>
        </w:object>
      </w:r>
      <w:r w:rsidRPr="00802C03">
        <w:rPr>
          <w:rFonts w:ascii="Garamond" w:hAnsi="Garamond" w:cs="NimbusRomNo9L-Regu"/>
          <w:lang w:val="en-GB" w:eastAsia="nl-NL"/>
        </w:rPr>
        <w:t xml:space="preserve"> and holds the value of one when no-rebalancing occurs. Consequently, the copula is only applied when no rebalancing occurs, as when rebalancing does occur the equation simplifies to: </w:t>
      </w:r>
      <w:r w:rsidRPr="00100BDF">
        <w:rPr>
          <w:rFonts w:ascii="Garamond" w:hAnsi="Garamond" w:cs="NimbusRomNo9L-Regu"/>
          <w:position w:val="-10"/>
          <w:lang w:val="en-GB" w:eastAsia="nl-NL"/>
        </w:rPr>
        <w:object w:dxaOrig="920" w:dyaOrig="320">
          <v:shape id="_x0000_i1557" type="#_x0000_t75" style="width:45.75pt;height:15.75pt" o:ole="">
            <v:imagedata r:id="rId999" o:title=""/>
          </v:shape>
          <o:OLEObject Type="Embed" ProgID="Equation.DSMT4" ShapeID="_x0000_i1557" DrawAspect="Content" ObjectID="_1324894058" r:id="rId1000"/>
        </w:object>
      </w:r>
      <w:r w:rsidRPr="00802C03">
        <w:rPr>
          <w:rFonts w:ascii="Garamond" w:hAnsi="Garamond" w:cs="NimbusRomNo9L-Regu"/>
          <w:lang w:val="en-GB" w:eastAsia="nl-NL"/>
        </w:rPr>
        <w:t>.</w:t>
      </w: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Note that this alteration of the implementation of the second copula ensures that the issuer correlation correction not valid anymore when rebalancing of the position of one of the relevant issuers occurs in any of the periods. This complication is accounted for by setting the autocorrelation coefficients underlying the positions with a liquidity horizon of three months to the value of zero, in the calculation of the corrected issuer corrections in matrix </w:t>
      </w:r>
      <w:r w:rsidRPr="00100BDF">
        <w:rPr>
          <w:rFonts w:ascii="Garamond" w:hAnsi="Garamond" w:cs="NimbusRomNo9L-Regu"/>
          <w:position w:val="-6"/>
          <w:lang w:val="en-GB" w:eastAsia="nl-NL"/>
        </w:rPr>
        <w:object w:dxaOrig="260" w:dyaOrig="279">
          <v:shape id="_x0000_i1558" type="#_x0000_t75" style="width:13.5pt;height:13.5pt" o:ole="">
            <v:imagedata r:id="rId1001" o:title=""/>
          </v:shape>
          <o:OLEObject Type="Embed" ProgID="Equation.DSMT4" ShapeID="_x0000_i1558" DrawAspect="Content" ObjectID="_1324894059" r:id="rId100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740" w:dyaOrig="300">
          <v:shape id="_x0000_i1559" type="#_x0000_t75" style="width:36.75pt;height:15pt" o:ole="">
            <v:imagedata r:id="rId1003" o:title=""/>
          </v:shape>
          <o:OLEObject Type="Embed" ProgID="Equation.DSMT4" ShapeID="_x0000_i1559" DrawAspect="Content" ObjectID="_1324894060" r:id="rId1004"/>
        </w:object>
      </w:r>
      <w:r w:rsidRPr="00802C03">
        <w:rPr>
          <w:rFonts w:ascii="Garamond" w:hAnsi="Garamond" w:cs="NimbusRomNo9L-Regu"/>
          <w:lang w:val="en-GB" w:eastAsia="nl-NL"/>
        </w:rPr>
        <w:t xml:space="preserve"> if </w:t>
      </w:r>
      <w:r w:rsidRPr="00100BDF">
        <w:rPr>
          <w:rFonts w:ascii="Garamond" w:hAnsi="Garamond" w:cs="NimbusRomNo9L-Regu"/>
          <w:position w:val="-10"/>
          <w:lang w:val="en-GB" w:eastAsia="nl-NL"/>
        </w:rPr>
        <w:object w:dxaOrig="520" w:dyaOrig="300">
          <v:shape id="_x0000_i1560" type="#_x0000_t75" style="width:26.25pt;height:15pt" o:ole="">
            <v:imagedata r:id="rId1005" o:title=""/>
          </v:shape>
          <o:OLEObject Type="Embed" ProgID="Equation.DSMT4" ShapeID="_x0000_i1560" DrawAspect="Content" ObjectID="_1324894061" r:id="rId1006"/>
        </w:object>
      </w:r>
      <w:r w:rsidRPr="00802C03">
        <w:rPr>
          <w:rFonts w:ascii="Garamond" w:hAnsi="Garamond" w:cs="NimbusRomNo9L-Regu"/>
          <w:lang w:val="en-GB" w:eastAsia="nl-NL"/>
        </w:rPr>
        <w:t xml:space="preserve">, for </w:t>
      </w:r>
      <w:r w:rsidRPr="00100BDF">
        <w:rPr>
          <w:rFonts w:ascii="Garamond" w:hAnsi="Garamond" w:cs="NimbusRomNo9L-Regu"/>
          <w:position w:val="-8"/>
          <w:lang w:val="en-GB" w:eastAsia="nl-NL"/>
        </w:rPr>
        <w:object w:dxaOrig="800" w:dyaOrig="260">
          <v:shape id="_x0000_i1561" type="#_x0000_t75" style="width:39.75pt;height:13.5pt" o:ole="">
            <v:imagedata r:id="rId1007" o:title=""/>
          </v:shape>
          <o:OLEObject Type="Embed" ProgID="Equation.DSMT4" ShapeID="_x0000_i1561" DrawAspect="Content" ObjectID="_1324894062" r:id="rId1008"/>
        </w:object>
      </w:r>
      <w:r w:rsidRPr="00802C03">
        <w:rPr>
          <w:rFonts w:ascii="Garamond" w:hAnsi="Garamond" w:cs="NimbusRomNo9L-Regu"/>
          <w:lang w:val="en-GB" w:eastAsia="nl-NL"/>
        </w:rPr>
        <w:t xml:space="preserve">). For the remaining issuer correlations no alteration is imposed to the correction, resulting in slightly too high total return issuer correlations in the model for these positions. This complication is ignored, due to the fact that the resulting bias is extremely small and the fact that the derivation of a correction would be extremely time-consuming, as it would lead to a correction formula that is many times larger than the four-period model issuer correlation correction presented as </w:t>
      </w:r>
      <w:hyperlink w:anchor="E1N44" w:history="1">
        <w:r w:rsidRPr="00802C03">
          <w:rPr>
            <w:rStyle w:val="Hyperlink"/>
            <w:rFonts w:ascii="Garamond" w:hAnsi="Garamond" w:cs="NimbusRomNo9L-Regu"/>
            <w:color w:val="000066"/>
            <w:u w:val="none"/>
            <w:lang w:val="en-GB" w:eastAsia="nl-NL"/>
          </w:rPr>
          <w:t>equation 1.45</w:t>
        </w:r>
      </w:hyperlink>
      <w:r w:rsidRPr="00802C03">
        <w:rPr>
          <w:rFonts w:ascii="Garamond" w:hAnsi="Garamond" w:cs="NimbusRomNo9L-Regu"/>
          <w:lang w:val="en-GB" w:eastAsia="nl-NL"/>
        </w:rPr>
        <w:t xml:space="preserve">. </w:t>
      </w:r>
    </w:p>
    <w:p w:rsidR="001C7C52" w:rsidRPr="00802C03" w:rsidRDefault="001C7C52" w:rsidP="00E17C8F">
      <w:pPr>
        <w:spacing w:line="160" w:lineRule="exact"/>
        <w:jc w:val="both"/>
        <w:rPr>
          <w:rFonts w:ascii="Garamond" w:hAnsi="Garamond" w:cs="NimbusRomNo9L-Regu"/>
          <w:lang w:val="en-GB" w:eastAsia="nl-NL"/>
        </w:rPr>
      </w:pPr>
    </w:p>
    <w:p w:rsidR="001C7C52" w:rsidRPr="00802C03" w:rsidRDefault="001C7C52" w:rsidP="006851C7">
      <w:pPr>
        <w:spacing w:line="280" w:lineRule="exact"/>
        <w:jc w:val="both"/>
        <w:rPr>
          <w:rFonts w:ascii="Garamond" w:hAnsi="Garamond" w:cs="NimbusRomNo9L-Regu"/>
          <w:lang w:val="en-GB" w:eastAsia="nl-NL"/>
        </w:rPr>
      </w:pPr>
      <w:r w:rsidRPr="00802C03">
        <w:rPr>
          <w:rFonts w:ascii="Garamond" w:hAnsi="Garamond" w:cs="NimbusRomNo9L-Regu"/>
          <w:lang w:val="en-GB" w:eastAsia="nl-NL"/>
        </w:rPr>
        <w:t>With these last specifications in place, the derivation of the correlation structure of the proposed incremental risk model is complete. The result is that the asset correlations between all issuers underlying the positions can be specified in detail (i.e. each correlation coefficient can take on a unique pre-specified value). Consequently, directly estimated historical correlations can be inserted into the model as well as correlations estimated with commonly applied factor models.</w:t>
      </w:r>
      <w:r w:rsidRPr="00802C03">
        <w:rPr>
          <w:rStyle w:val="FootnoteReference"/>
          <w:rFonts w:ascii="Garamond" w:hAnsi="Garamond" w:cs="NimbusRomNo9L-Regu"/>
          <w:lang w:val="en-GB" w:eastAsia="nl-NL"/>
        </w:rPr>
        <w:footnoteReference w:id="37"/>
      </w:r>
      <w:r w:rsidRPr="00802C03">
        <w:rPr>
          <w:rFonts w:ascii="Garamond" w:hAnsi="Garamond" w:cs="NimbusRomNo9L-Regu"/>
          <w:lang w:val="en-GB" w:eastAsia="nl-NL"/>
        </w:rPr>
        <w:t xml:space="preserve"> This feature of the constructed correlation structure makes it much more versatile than the often used bivariate Gaussian specification of systematic and idiosyncratic risk. Moreover, </w:t>
      </w:r>
      <w:hyperlink w:anchor="Zeng_Zhang_2001" w:history="1">
        <w:r w:rsidRPr="00802C03">
          <w:rPr>
            <w:rStyle w:val="Hyperlink"/>
            <w:rFonts w:ascii="Garamond" w:hAnsi="Garamond" w:cs="NimbusRomNo9L-Regu"/>
            <w:color w:val="000066"/>
            <w:u w:val="none"/>
            <w:lang w:val="en-GB" w:eastAsia="nl-NL"/>
          </w:rPr>
          <w:t>Zeng &amp; Zhang (2001)</w:t>
        </w:r>
      </w:hyperlink>
      <w:r w:rsidRPr="00802C03">
        <w:rPr>
          <w:rFonts w:ascii="Garamond" w:hAnsi="Garamond" w:cs="NimbusRomNo9L-Regu"/>
          <w:lang w:val="en-GB" w:eastAsia="nl-NL"/>
        </w:rPr>
        <w:t xml:space="preserve"> have shown that these single-factor correlation structures, as applied by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lang w:val="en-GB" w:eastAsia="nl-NL"/>
        </w:rPr>
        <w:t xml:space="preserve"> for example, often perform worst than the simple use of historical correlations. </w:t>
      </w:r>
    </w:p>
    <w:p w:rsidR="001C7C52" w:rsidRPr="00802C03" w:rsidRDefault="001C7C52" w:rsidP="00F0717E">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correlation structure will be used in the model estimations in </w:t>
      </w:r>
      <w:hyperlink w:anchor="S310" w:history="1">
        <w:r w:rsidRPr="00802C03">
          <w:rPr>
            <w:rStyle w:val="Hyperlink"/>
            <w:rFonts w:ascii="Garamond" w:hAnsi="Garamond" w:cs="NimbusRomNo9L-Regu"/>
            <w:color w:val="000066"/>
            <w:u w:val="none"/>
            <w:lang w:val="en-GB" w:eastAsia="nl-NL"/>
          </w:rPr>
          <w:t>Part III</w:t>
        </w:r>
      </w:hyperlink>
      <w:r w:rsidRPr="00802C03">
        <w:rPr>
          <w:rFonts w:ascii="Garamond" w:hAnsi="Garamond" w:cs="NimbusRomNo9L-Regu"/>
          <w:lang w:val="en-GB" w:eastAsia="nl-NL"/>
        </w:rPr>
        <w:t xml:space="preserve"> and its issuer correlation and autocorrelation inputs are estimated in </w:t>
      </w:r>
      <w:hyperlink w:anchor="S220" w:history="1">
        <w:r w:rsidRPr="00802C03">
          <w:rPr>
            <w:rStyle w:val="Hyperlink"/>
            <w:rFonts w:ascii="Garamond" w:hAnsi="Garamond" w:cs="NimbusRomNo9L-Regu"/>
            <w:color w:val="000066"/>
            <w:u w:val="none"/>
            <w:lang w:val="en-GB" w:eastAsia="nl-NL"/>
          </w:rPr>
          <w:t>Part II section 2.2</w:t>
        </w:r>
      </w:hyperlink>
      <w:r w:rsidRPr="00802C03">
        <w:rPr>
          <w:rFonts w:ascii="Garamond" w:hAnsi="Garamond" w:cs="NimbusRomNo9L-Regu"/>
          <w:lang w:val="en-GB" w:eastAsia="nl-NL"/>
        </w:rPr>
        <w:t>. One final remark is that the complete correlation structure, as presented in this section, is completely interchangeable. The simulation model does not exclusively dependent of this specific structure. Any correlation structure can be combined with the constructed credit rating simulation model as long as the required asset return thresholds (</w:t>
      </w:r>
      <w:r w:rsidRPr="00802C03">
        <w:rPr>
          <w:rFonts w:ascii="Garamond" w:hAnsi="Garamond" w:cs="NimbusRomNo9L-Regu"/>
          <w:i/>
          <w:lang w:val="en-GB" w:eastAsia="nl-NL"/>
        </w:rPr>
        <w:t>Z</w:t>
      </w:r>
      <w:r w:rsidRPr="00802C03">
        <w:rPr>
          <w:rFonts w:ascii="Garamond" w:hAnsi="Garamond" w:cs="NimbusRomNo9L-Regu"/>
          <w:lang w:val="en-GB" w:eastAsia="nl-NL"/>
        </w:rPr>
        <w:t>-values) can be computed, with the use the assumed distribution of the underlying issuer asset returns in this structure.</w:t>
      </w:r>
      <w:r w:rsidRPr="00802C03">
        <w:rPr>
          <w:rFonts w:ascii="Garamond" w:hAnsi="Garamond" w:cs="NimbusRomNo9L-Regu"/>
          <w:lang w:val="en-GB" w:eastAsia="nl-NL"/>
        </w:rPr>
        <w:br w:type="page"/>
      </w:r>
    </w:p>
    <w:p w:rsidR="001C7C52" w:rsidRPr="00802C03" w:rsidRDefault="001C7C52" w:rsidP="00FA7804">
      <w:pPr>
        <w:spacing w:line="280" w:lineRule="exact"/>
        <w:jc w:val="both"/>
        <w:rPr>
          <w:rFonts w:ascii="Garamond" w:hAnsi="Garamond" w:cs="NimbusRomNo9L-Regu"/>
          <w:lang w:val="en-GB" w:eastAsia="nl-NL"/>
        </w:rPr>
        <w:sectPr w:rsidR="001C7C52" w:rsidRPr="00802C03" w:rsidSect="00FC23CC">
          <w:headerReference w:type="even" r:id="rId1009"/>
          <w:headerReference w:type="default" r:id="rId1010"/>
          <w:footerReference w:type="even" r:id="rId1011"/>
          <w:footerReference w:type="default" r:id="rId1012"/>
          <w:headerReference w:type="first" r:id="rId1013"/>
          <w:footerReference w:type="first" r:id="rId1014"/>
          <w:pgSz w:w="11906" w:h="16838"/>
          <w:pgMar w:top="1247" w:right="1247" w:bottom="1247" w:left="1247" w:header="907" w:footer="907" w:gutter="0"/>
          <w:cols w:space="708"/>
          <w:titlePg/>
          <w:docGrid w:linePitch="360"/>
        </w:sectPr>
      </w:pPr>
    </w:p>
    <w:tbl>
      <w:tblPr>
        <w:tblW w:w="0" w:type="auto"/>
        <w:tblInd w:w="-1106" w:type="dxa"/>
        <w:tblCellMar>
          <w:left w:w="170" w:type="dxa"/>
          <w:right w:w="170" w:type="dxa"/>
        </w:tblCellMar>
        <w:tblLook w:val="00A0"/>
      </w:tblPr>
      <w:tblGrid>
        <w:gridCol w:w="709"/>
        <w:gridCol w:w="567"/>
        <w:gridCol w:w="2971"/>
        <w:gridCol w:w="2869"/>
        <w:gridCol w:w="3542"/>
      </w:tblGrid>
      <w:tr w:rsidR="001C7C52" w:rsidRPr="000B0ADE" w:rsidTr="002E2E49">
        <w:trPr>
          <w:gridBefore w:val="1"/>
        </w:trPr>
        <w:tc>
          <w:tcPr>
            <w:tcW w:w="6407" w:type="dxa"/>
            <w:gridSpan w:val="3"/>
            <w:tcBorders>
              <w:right w:val="single" w:sz="4" w:space="0" w:color="auto"/>
            </w:tcBorders>
          </w:tcPr>
          <w:p w:rsidR="001C7C52" w:rsidRPr="002E2E49" w:rsidRDefault="001C7C52" w:rsidP="002E2E49">
            <w:pPr>
              <w:spacing w:line="280" w:lineRule="atLeast"/>
              <w:jc w:val="right"/>
              <w:rPr>
                <w:rFonts w:ascii="Garamond" w:hAnsi="Garamond" w:cs="NimbusRomNo9L-Regu"/>
                <w:b/>
                <w:sz w:val="80"/>
                <w:szCs w:val="80"/>
                <w:lang w:val="en-GB" w:eastAsia="nl-NL"/>
              </w:rPr>
            </w:pPr>
            <w:bookmarkStart w:id="40" w:name="C3_Part2"/>
            <w:bookmarkEnd w:id="40"/>
          </w:p>
          <w:p w:rsidR="001C7C52" w:rsidRPr="002E2E49" w:rsidRDefault="001C7C52" w:rsidP="002E2E49">
            <w:pPr>
              <w:spacing w:line="280" w:lineRule="atLeast"/>
              <w:jc w:val="right"/>
              <w:rPr>
                <w:rFonts w:ascii="Garamond" w:hAnsi="Garamond" w:cs="NimbusRomNo9L-Regu"/>
                <w:b/>
                <w:sz w:val="80"/>
                <w:szCs w:val="80"/>
                <w:lang w:val="en-GB" w:eastAsia="nl-NL"/>
              </w:rPr>
            </w:pPr>
          </w:p>
          <w:p w:rsidR="001C7C52" w:rsidRPr="002E2E49" w:rsidRDefault="001C7C52" w:rsidP="002E2E49">
            <w:pPr>
              <w:spacing w:line="280" w:lineRule="atLeast"/>
              <w:jc w:val="right"/>
              <w:rPr>
                <w:rFonts w:ascii="Garamond" w:hAnsi="Garamond" w:cs="NimbusRomNo9L-Regu"/>
                <w:b/>
                <w:sz w:val="80"/>
                <w:szCs w:val="80"/>
                <w:lang w:val="en-GB" w:eastAsia="nl-NL"/>
              </w:rPr>
            </w:pPr>
            <w:r w:rsidRPr="002E2E49">
              <w:rPr>
                <w:rFonts w:ascii="Garamond" w:hAnsi="Garamond" w:cs="NimbusRomNo9L-Regu"/>
                <w:b/>
                <w:sz w:val="80"/>
                <w:szCs w:val="80"/>
                <w:lang w:val="en-GB" w:eastAsia="nl-NL"/>
              </w:rPr>
              <w:t>P</w:t>
            </w:r>
            <w:r w:rsidRPr="002E2E49">
              <w:rPr>
                <w:rFonts w:ascii="Garamond" w:hAnsi="Garamond" w:cs="NimbusRomNo9L-Regu"/>
                <w:b/>
                <w:sz w:val="60"/>
                <w:szCs w:val="60"/>
                <w:lang w:val="en-GB" w:eastAsia="nl-NL"/>
              </w:rPr>
              <w:t>ART</w:t>
            </w:r>
            <w:r w:rsidRPr="002E2E49">
              <w:rPr>
                <w:rFonts w:ascii="Garamond" w:hAnsi="Garamond" w:cs="NimbusRomNo9L-Regu"/>
                <w:b/>
                <w:sz w:val="80"/>
                <w:szCs w:val="80"/>
                <w:lang w:val="en-GB" w:eastAsia="nl-NL"/>
              </w:rPr>
              <w:t xml:space="preserve"> II</w:t>
            </w:r>
          </w:p>
          <w:p w:rsidR="001C7C52" w:rsidRPr="002E2E49" w:rsidRDefault="001C7C52" w:rsidP="002E2E49">
            <w:pPr>
              <w:spacing w:line="280" w:lineRule="atLeast"/>
              <w:jc w:val="right"/>
              <w:rPr>
                <w:rFonts w:ascii="Garamond" w:hAnsi="Garamond" w:cs="NimbusRomNo9L-Regu"/>
                <w:b/>
                <w:sz w:val="44"/>
                <w:szCs w:val="44"/>
                <w:lang w:val="en-GB" w:eastAsia="nl-NL"/>
              </w:rPr>
            </w:pPr>
            <w:r w:rsidRPr="002E2E49">
              <w:rPr>
                <w:rFonts w:ascii="Garamond" w:hAnsi="Garamond" w:cs="NimbusRomNo9L-Regu"/>
                <w:b/>
                <w:sz w:val="52"/>
                <w:szCs w:val="52"/>
                <w:lang w:val="en-GB" w:eastAsia="nl-NL"/>
              </w:rPr>
              <w:t>I</w:t>
            </w:r>
            <w:r w:rsidRPr="002E2E49">
              <w:rPr>
                <w:rFonts w:ascii="Garamond" w:hAnsi="Garamond" w:cs="NimbusRomNo9L-Regu"/>
                <w:b/>
                <w:sz w:val="44"/>
                <w:szCs w:val="44"/>
                <w:lang w:val="en-GB" w:eastAsia="nl-NL"/>
              </w:rPr>
              <w:t>NPUT</w:t>
            </w:r>
            <w:r w:rsidRPr="002E2E49">
              <w:rPr>
                <w:rFonts w:ascii="Garamond" w:hAnsi="Garamond" w:cs="NimbusRomNo9L-Regu"/>
                <w:b/>
                <w:sz w:val="52"/>
                <w:szCs w:val="52"/>
                <w:lang w:val="en-GB" w:eastAsia="nl-NL"/>
              </w:rPr>
              <w:t xml:space="preserve"> E</w:t>
            </w:r>
            <w:r w:rsidRPr="002E2E49">
              <w:rPr>
                <w:rFonts w:ascii="Garamond" w:hAnsi="Garamond" w:cs="NimbusRomNo9L-Regu"/>
                <w:b/>
                <w:sz w:val="44"/>
                <w:szCs w:val="44"/>
                <w:lang w:val="en-GB" w:eastAsia="nl-NL"/>
              </w:rPr>
              <w:t>STIMATION</w:t>
            </w: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center"/>
              <w:rPr>
                <w:rFonts w:ascii="Garamond" w:hAnsi="Garamond" w:cs="NimbusRomNo9L-Regu"/>
                <w:sz w:val="44"/>
                <w:szCs w:val="44"/>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spacing w:line="280" w:lineRule="atLeast"/>
              <w:rPr>
                <w:rFonts w:ascii="Garamond" w:hAnsi="Garamond" w:cs="NimbusRomNo9L-Regu"/>
                <w:sz w:val="44"/>
                <w:szCs w:val="44"/>
                <w:lang w:val="en-GB" w:eastAsia="nl-NL"/>
              </w:rPr>
            </w:pPr>
          </w:p>
        </w:tc>
        <w:tc>
          <w:tcPr>
            <w:tcW w:w="3145" w:type="dxa"/>
            <w:tcBorders>
              <w:left w:val="single" w:sz="4" w:space="0" w:color="auto"/>
            </w:tcBorders>
          </w:tcPr>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i/>
                <w:sz w:val="20"/>
                <w:lang w:val="en-GB" w:eastAsia="nl-NL"/>
              </w:rPr>
            </w:pPr>
            <w:r w:rsidRPr="002E2E49">
              <w:rPr>
                <w:rFonts w:ascii="Garamond" w:hAnsi="Garamond" w:cs="NimbusRomNo9L-Regu"/>
                <w:i/>
                <w:sz w:val="20"/>
                <w:lang w:val="en-GB" w:eastAsia="nl-NL"/>
              </w:rPr>
              <w:t xml:space="preserve">The incremental risk model that has been constructed in </w:t>
            </w:r>
            <w:hyperlink w:anchor="C2_Part1" w:history="1">
              <w:r w:rsidRPr="002E2E49">
                <w:rPr>
                  <w:rStyle w:val="Hyperlink"/>
                  <w:rFonts w:ascii="Garamond" w:hAnsi="Garamond" w:cs="NimbusRomNo9L-Regu"/>
                  <w:i/>
                  <w:color w:val="auto"/>
                  <w:sz w:val="20"/>
                  <w:u w:val="none"/>
                  <w:lang w:val="en-GB" w:eastAsia="nl-NL"/>
                </w:rPr>
                <w:t>Part I</w:t>
              </w:r>
            </w:hyperlink>
            <w:r w:rsidRPr="002E2E49">
              <w:rPr>
                <w:rFonts w:ascii="Garamond" w:hAnsi="Garamond" w:cs="NimbusRomNo9L-Regu"/>
                <w:i/>
                <w:sz w:val="20"/>
                <w:lang w:val="en-GB" w:eastAsia="nl-NL"/>
              </w:rPr>
              <w:t xml:space="preserve"> is built upon various inputs. In fact, nearly every incremental risk model will be built on similar inputs. Consequently, it would be prudent to discuss various alternative methodologies that can be applied in the estimation of these input parameters as well. Such a set-up generates the opportunity of an assessment of the effects of alternative input estimation methodologies on the output of the proposed model. Herein, the emphasis is entirely placed on the two most imperative inputs of the model: the stand-alone risk specification (the credit migration matrix) and the specification of the relations between the migration and default risk underlying the various individual positions in the portfolio (the issuer correlations and autocorrelations). First, in </w:t>
            </w:r>
            <w:hyperlink w:anchor="S210" w:history="1">
              <w:r w:rsidRPr="002E2E49">
                <w:rPr>
                  <w:rStyle w:val="Hyperlink"/>
                  <w:rFonts w:ascii="Garamond" w:hAnsi="Garamond" w:cs="NimbusRomNo9L-Regu"/>
                  <w:i/>
                  <w:color w:val="auto"/>
                  <w:sz w:val="20"/>
                  <w:u w:val="none"/>
                  <w:lang w:val="en-GB" w:eastAsia="nl-NL"/>
                </w:rPr>
                <w:t>section 2.1</w:t>
              </w:r>
            </w:hyperlink>
            <w:r w:rsidRPr="002E2E49">
              <w:rPr>
                <w:rFonts w:ascii="Garamond" w:hAnsi="Garamond" w:cs="NimbusRomNo9L-Regu"/>
                <w:i/>
                <w:sz w:val="20"/>
                <w:lang w:val="en-GB" w:eastAsia="nl-NL"/>
              </w:rPr>
              <w:t xml:space="preserve">, three alternative techniques concerning the estimation of the credit migration matrix are addressed, and the underlying conditionality of this matrix is treated as well. Secondly, in </w:t>
            </w:r>
            <w:hyperlink w:anchor="S220" w:history="1">
              <w:r w:rsidRPr="002E2E49">
                <w:rPr>
                  <w:rStyle w:val="Hyperlink"/>
                  <w:rFonts w:ascii="Garamond" w:hAnsi="Garamond" w:cs="NimbusRomNo9L-Regu"/>
                  <w:i/>
                  <w:color w:val="auto"/>
                  <w:sz w:val="20"/>
                  <w:u w:val="none"/>
                  <w:lang w:val="en-GB" w:eastAsia="nl-NL"/>
                </w:rPr>
                <w:t>section 2.2</w:t>
              </w:r>
            </w:hyperlink>
            <w:r w:rsidRPr="002E2E49">
              <w:rPr>
                <w:rFonts w:ascii="Garamond" w:hAnsi="Garamond" w:cs="NimbusRomNo9L-Regu"/>
                <w:i/>
                <w:sz w:val="20"/>
                <w:lang w:val="en-GB" w:eastAsia="nl-NL"/>
              </w:rPr>
              <w:t xml:space="preserve">, the estimation of issuer asset return correlations is discussed. In this, the two main approaches on this subject, the equity correlation proxy and issuer asset correlation based on default rates, are evaluated. Subsequently, in the last section of Part II, </w:t>
            </w:r>
            <w:hyperlink w:anchor="S230" w:history="1">
              <w:r w:rsidRPr="002E2E49">
                <w:rPr>
                  <w:rStyle w:val="Hyperlink"/>
                  <w:rFonts w:ascii="Garamond" w:hAnsi="Garamond" w:cs="NimbusRomNo9L-Regu"/>
                  <w:i/>
                  <w:color w:val="auto"/>
                  <w:sz w:val="20"/>
                  <w:u w:val="none"/>
                  <w:lang w:val="en-GB" w:eastAsia="nl-NL"/>
                </w:rPr>
                <w:t>section 2.3</w:t>
              </w:r>
            </w:hyperlink>
            <w:r w:rsidRPr="002E2E49">
              <w:rPr>
                <w:rFonts w:ascii="Garamond" w:hAnsi="Garamond" w:cs="NimbusRomNo9L-Regu"/>
                <w:i/>
                <w:sz w:val="20"/>
                <w:lang w:val="en-GB" w:eastAsia="nl-NL"/>
              </w:rPr>
              <w:t xml:space="preserve">, three corporate bond portfolios are constructed. These bond portfolios are required to perform the model estimations in </w:t>
            </w:r>
            <w:hyperlink w:anchor="S310" w:history="1">
              <w:r w:rsidRPr="002E2E49">
                <w:rPr>
                  <w:rStyle w:val="Hyperlink"/>
                  <w:rFonts w:ascii="Garamond" w:hAnsi="Garamond" w:cs="NimbusRomNo9L-Regu"/>
                  <w:i/>
                  <w:color w:val="auto"/>
                  <w:sz w:val="20"/>
                  <w:u w:val="none"/>
                  <w:lang w:val="en-GB" w:eastAsia="nl-NL"/>
                </w:rPr>
                <w:t>Part III</w:t>
              </w:r>
            </w:hyperlink>
            <w:r w:rsidRPr="002E2E49">
              <w:rPr>
                <w:rFonts w:ascii="Garamond" w:hAnsi="Garamond" w:cs="NimbusRomNo9L-Regu"/>
                <w:i/>
                <w:sz w:val="20"/>
                <w:lang w:val="en-GB" w:eastAsia="nl-NL"/>
              </w:rPr>
              <w:t xml:space="preserve"> and are obviously inputs of a completely different nature as the other two. In essence, realistic portfolios are required to ensure that a useful model assessment can be set forth in </w:t>
            </w:r>
            <w:hyperlink w:anchor="C4_Part3" w:history="1">
              <w:r w:rsidRPr="002E2E49">
                <w:rPr>
                  <w:rStyle w:val="Hyperlink"/>
                  <w:rFonts w:ascii="Garamond" w:hAnsi="Garamond" w:cs="NimbusRomNo9L-Regu"/>
                  <w:i/>
                  <w:color w:val="auto"/>
                  <w:sz w:val="20"/>
                  <w:u w:val="none"/>
                  <w:lang w:val="en-GB" w:eastAsia="nl-NL"/>
                </w:rPr>
                <w:t>Part III</w:t>
              </w:r>
            </w:hyperlink>
            <w:r w:rsidRPr="002E2E49">
              <w:rPr>
                <w:rFonts w:ascii="Garamond" w:hAnsi="Garamond" w:cs="NimbusRomNo9L-Regu"/>
                <w:i/>
                <w:sz w:val="20"/>
                <w:lang w:val="en-GB" w:eastAsia="nl-NL"/>
              </w:rPr>
              <w:t>. Hence, the formation of these portfolios will be discussed in detail.</w:t>
            </w:r>
          </w:p>
          <w:p w:rsidR="001C7C52" w:rsidRPr="002E2E49" w:rsidRDefault="001C7C52" w:rsidP="002E2E49">
            <w:pPr>
              <w:spacing w:line="280" w:lineRule="exact"/>
              <w:jc w:val="both"/>
              <w:rPr>
                <w:rFonts w:ascii="Garamond" w:hAnsi="Garamond" w:cs="NimbusRomNo9L-Regu"/>
                <w:lang w:val="en-GB" w:eastAsia="nl-NL"/>
              </w:rPr>
            </w:pPr>
          </w:p>
        </w:tc>
      </w:tr>
      <w:tr w:rsidR="001C7C52" w:rsidRPr="00802C03" w:rsidTr="002E2E49">
        <w:tblPrEx>
          <w:tblCellMar>
            <w:left w:w="0" w:type="dxa"/>
            <w:right w:w="0" w:type="dxa"/>
          </w:tblCellMar>
        </w:tblPrEx>
        <w:trPr>
          <w:gridAfter w:val="2"/>
          <w:wAfter w:w="6411" w:type="dxa"/>
        </w:trPr>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2.1</w:t>
            </w:r>
          </w:p>
        </w:tc>
        <w:tc>
          <w:tcPr>
            <w:tcW w:w="2971" w:type="dxa"/>
          </w:tcPr>
          <w:p w:rsidR="001C7C52" w:rsidRPr="002E2E49" w:rsidRDefault="001C7C52" w:rsidP="002E2E49">
            <w:pPr>
              <w:spacing w:line="280" w:lineRule="exact"/>
              <w:jc w:val="both"/>
              <w:rPr>
                <w:rFonts w:ascii="Garamond" w:hAnsi="Garamond" w:cs="NimbusRomNo9L-Regu"/>
                <w:lang w:val="en-GB" w:eastAsia="nl-NL"/>
              </w:rPr>
            </w:pPr>
            <w:bookmarkStart w:id="41" w:name="S210"/>
            <w:bookmarkEnd w:id="41"/>
            <w:r w:rsidRPr="002E2E49">
              <w:rPr>
                <w:rFonts w:ascii="Garamond" w:hAnsi="Garamond" w:cs="NimbusRomNo9L-Regu"/>
                <w:b/>
                <w:lang w:val="en-GB" w:eastAsia="nl-NL"/>
              </w:rPr>
              <w:t>C</w:t>
            </w:r>
            <w:r w:rsidRPr="002E2E49">
              <w:rPr>
                <w:rFonts w:ascii="Garamond" w:hAnsi="Garamond" w:cs="NimbusRomNo9L-Regu"/>
                <w:b/>
                <w:sz w:val="18"/>
                <w:szCs w:val="18"/>
                <w:lang w:val="en-GB" w:eastAsia="nl-NL"/>
              </w:rPr>
              <w:t>REDIT</w:t>
            </w:r>
            <w:r w:rsidRPr="002E2E49">
              <w:rPr>
                <w:rFonts w:ascii="Garamond" w:hAnsi="Garamond" w:cs="NimbusRomNo9L-Regu"/>
                <w:b/>
                <w:lang w:val="en-GB" w:eastAsia="nl-NL"/>
              </w:rPr>
              <w:t xml:space="preserve"> M</w:t>
            </w:r>
            <w:r w:rsidRPr="002E2E49">
              <w:rPr>
                <w:rFonts w:ascii="Garamond" w:hAnsi="Garamond" w:cs="NimbusRomNo9L-Regu"/>
                <w:b/>
                <w:sz w:val="18"/>
                <w:szCs w:val="18"/>
                <w:lang w:val="en-GB" w:eastAsia="nl-NL"/>
              </w:rPr>
              <w:t>IGRATION</w:t>
            </w:r>
            <w:r w:rsidRPr="002E2E49">
              <w:rPr>
                <w:rFonts w:ascii="Garamond" w:hAnsi="Garamond" w:cs="NimbusRomNo9L-Regu"/>
                <w:b/>
                <w:lang w:val="en-GB" w:eastAsia="nl-NL"/>
              </w:rPr>
              <w:t xml:space="preserve"> M</w:t>
            </w:r>
            <w:r w:rsidRPr="002E2E49">
              <w:rPr>
                <w:rFonts w:ascii="Garamond" w:hAnsi="Garamond" w:cs="NimbusRomNo9L-Regu"/>
                <w:b/>
                <w:sz w:val="18"/>
                <w:szCs w:val="18"/>
                <w:lang w:val="en-GB" w:eastAsia="nl-NL"/>
              </w:rPr>
              <w:t>ATRICES</w:t>
            </w:r>
          </w:p>
        </w:tc>
      </w:tr>
    </w:tbl>
    <w:p w:rsidR="001C7C52" w:rsidRPr="00802C03" w:rsidRDefault="001C7C52" w:rsidP="005B3319">
      <w:pPr>
        <w:spacing w:before="160" w:line="280" w:lineRule="exact"/>
        <w:jc w:val="both"/>
        <w:rPr>
          <w:rFonts w:ascii="Garamond" w:hAnsi="Garamond"/>
          <w:lang w:val="en-GB"/>
        </w:rPr>
      </w:pPr>
      <w:r w:rsidRPr="00802C03">
        <w:rPr>
          <w:rFonts w:ascii="Garamond" w:hAnsi="Garamond"/>
          <w:lang w:val="en-GB"/>
        </w:rPr>
        <w:t xml:space="preserve">The credit migration matrix serves as the primary input in the model. In essence, the credit migration matrix is the specification of magnitude of </w:t>
      </w:r>
      <w:r>
        <w:rPr>
          <w:rFonts w:ascii="Garamond" w:hAnsi="Garamond"/>
          <w:lang w:val="en-GB"/>
        </w:rPr>
        <w:t xml:space="preserve">the </w:t>
      </w:r>
      <w:r w:rsidRPr="00802C03">
        <w:rPr>
          <w:rFonts w:ascii="Garamond" w:hAnsi="Garamond"/>
          <w:lang w:val="en-GB"/>
        </w:rPr>
        <w:t>default and migration risk for any individual credit product in the model. The entries in the matrix denote what likelihood is for an underlying issuer of a credit product, given its initial credit rating, to migration to another credit rating or the default state in a pre-specified time horizon. In the proposed incremental risk model that horizon is three months, consistent with the length of a single-period in the credit rating simulation model</w:t>
      </w:r>
      <w:r>
        <w:rPr>
          <w:rFonts w:ascii="Garamond" w:hAnsi="Garamond"/>
          <w:lang w:val="en-GB"/>
        </w:rPr>
        <w:t xml:space="preserve"> (see</w:t>
      </w:r>
      <w:r w:rsidRPr="00802C03">
        <w:rPr>
          <w:rFonts w:ascii="Garamond" w:hAnsi="Garamond"/>
          <w:lang w:val="en-GB"/>
        </w:rPr>
        <w:t xml:space="preserve"> </w:t>
      </w:r>
      <w:hyperlink w:anchor="S131" w:history="1">
        <w:r w:rsidRPr="00802C03">
          <w:rPr>
            <w:rStyle w:val="Hyperlink"/>
            <w:rFonts w:ascii="Garamond" w:hAnsi="Garamond"/>
            <w:color w:val="000066"/>
            <w:u w:val="none"/>
            <w:lang w:val="en-GB"/>
          </w:rPr>
          <w:t>Part I section 1.3.1</w:t>
        </w:r>
      </w:hyperlink>
      <w:r>
        <w:rPr>
          <w:rFonts w:ascii="Garamond" w:hAnsi="Garamond"/>
          <w:lang w:val="en-GB"/>
        </w:rPr>
        <w:t>).</w:t>
      </w:r>
      <w:r w:rsidRPr="00802C03">
        <w:rPr>
          <w:rFonts w:ascii="Garamond" w:hAnsi="Garamond"/>
          <w:lang w:val="en-GB"/>
        </w:rPr>
        <w:t xml:space="preserve"> </w:t>
      </w:r>
      <w:r>
        <w:rPr>
          <w:rFonts w:ascii="Garamond" w:hAnsi="Garamond"/>
          <w:lang w:val="en-GB"/>
        </w:rPr>
        <w:t>Various</w:t>
      </w:r>
      <w:r w:rsidRPr="00802C03">
        <w:rPr>
          <w:rFonts w:ascii="Garamond" w:hAnsi="Garamond"/>
          <w:lang w:val="en-GB"/>
        </w:rPr>
        <w:t xml:space="preserve"> methodologies exist in the estimation of the credit migration matrix. The estimation results can vary substantially, depending on the methodology that is </w:t>
      </w:r>
      <w:r>
        <w:rPr>
          <w:rFonts w:ascii="Garamond" w:hAnsi="Garamond"/>
          <w:lang w:val="en-GB"/>
        </w:rPr>
        <w:t>applied</w:t>
      </w:r>
      <w:r w:rsidRPr="00802C03">
        <w:rPr>
          <w:rFonts w:ascii="Garamond" w:hAnsi="Garamond"/>
          <w:lang w:val="en-GB"/>
        </w:rPr>
        <w:t xml:space="preserve"> to estimate it. </w:t>
      </w:r>
      <w:r>
        <w:rPr>
          <w:rFonts w:ascii="Garamond" w:hAnsi="Garamond"/>
          <w:lang w:val="en-GB"/>
        </w:rPr>
        <w:t>Hence</w:t>
      </w:r>
      <w:r w:rsidRPr="00802C03">
        <w:rPr>
          <w:rFonts w:ascii="Garamond" w:hAnsi="Garamond"/>
          <w:lang w:val="en-GB"/>
        </w:rPr>
        <w:t xml:space="preserve">, </w:t>
      </w:r>
      <w:r>
        <w:rPr>
          <w:rFonts w:ascii="Garamond" w:hAnsi="Garamond"/>
          <w:lang w:val="en-GB"/>
        </w:rPr>
        <w:t xml:space="preserve">in this study </w:t>
      </w:r>
      <w:r w:rsidRPr="00802C03">
        <w:rPr>
          <w:rFonts w:ascii="Garamond" w:hAnsi="Garamond"/>
          <w:lang w:val="en-GB"/>
        </w:rPr>
        <w:t>three different methodologies</w:t>
      </w:r>
      <w:r>
        <w:rPr>
          <w:rFonts w:ascii="Garamond" w:hAnsi="Garamond"/>
          <w:lang w:val="en-GB"/>
        </w:rPr>
        <w:t xml:space="preserve"> will be employed to estimate the matrix</w:t>
      </w:r>
      <w:r w:rsidRPr="00802C03">
        <w:rPr>
          <w:rFonts w:ascii="Garamond" w:hAnsi="Garamond"/>
          <w:lang w:val="en-GB"/>
        </w:rPr>
        <w:t xml:space="preserve">. An assessment of the differences that these methodologies generate in the eventual output of the incremental risk model, the 99.9% value-at-risk measure, will be presented in </w:t>
      </w:r>
      <w:hyperlink w:anchor="S311" w:history="1">
        <w:r w:rsidRPr="00802C03">
          <w:rPr>
            <w:rStyle w:val="Hyperlink"/>
            <w:rFonts w:ascii="Garamond" w:hAnsi="Garamond"/>
            <w:color w:val="000066"/>
            <w:u w:val="none"/>
            <w:lang w:val="en-GB"/>
          </w:rPr>
          <w:t>Part III section 3.1.1</w:t>
        </w:r>
      </w:hyperlink>
      <w:r w:rsidRPr="00802C03">
        <w:rPr>
          <w:rFonts w:ascii="Garamond" w:hAnsi="Garamond"/>
          <w:lang w:val="en-GB"/>
        </w:rPr>
        <w:t xml:space="preserve">. </w:t>
      </w:r>
    </w:p>
    <w:p w:rsidR="001C7C52" w:rsidRPr="00802C03" w:rsidRDefault="001C7C52" w:rsidP="00AB3324">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2.1.1</w:t>
      </w:r>
      <w:r w:rsidRPr="00802C03">
        <w:rPr>
          <w:rFonts w:ascii="Garamond" w:hAnsi="Garamond"/>
          <w:b/>
          <w:lang w:val="en-GB"/>
        </w:rPr>
        <w:tab/>
      </w:r>
      <w:bookmarkStart w:id="42" w:name="S211"/>
      <w:bookmarkEnd w:id="42"/>
      <w:r w:rsidRPr="00802C03">
        <w:rPr>
          <w:rFonts w:ascii="Garamond" w:hAnsi="Garamond"/>
          <w:b/>
          <w:lang w:val="en-GB"/>
        </w:rPr>
        <w:t xml:space="preserve">Standard </w:t>
      </w:r>
      <w:r w:rsidRPr="00802C03">
        <w:rPr>
          <w:rFonts w:ascii="Times New Roman" w:hAnsi="Times New Roman"/>
          <w:b/>
          <w:lang w:val="en-GB"/>
        </w:rPr>
        <w:t>&amp;</w:t>
      </w:r>
      <w:r w:rsidRPr="00802C03">
        <w:rPr>
          <w:rFonts w:ascii="Garamond" w:hAnsi="Garamond"/>
          <w:b/>
          <w:lang w:val="en-GB"/>
        </w:rPr>
        <w:t xml:space="preserve"> Poor’s Credit Ratings Data</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To understand the methodologies that will be employed to estimate credit migration matrices, one first has to evaluate the required underlying data. The estimation of credit migration matrices relies in general on the historical credit ratings and migrations of all issuers in the relevant issuer spectrum. Basically, historical migration data is utilized to generate the probabilities of these events occurring again. In that context, the issuer spectrum rated by Standard &amp; Poor’s is used in this study. More specifically, the long-term, local currency issuer ratings for US issuers, as provided by Standard &amp; Poor’s, are used. Accordingly, a database of the S&amp;P ratings of all US issuers is reconstructed, using all ‘Rating Changes’ information from Bloomberg Professional in the long-term, local currency, US issuer category. The start of the database is set to 01/01/1980 and the last date in the database is 28/04/2009.</w:t>
      </w:r>
    </w:p>
    <w:p w:rsidR="001C7C52" w:rsidRPr="00802C03" w:rsidRDefault="001C7C52" w:rsidP="00E17C8F">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In the construction of the database, several adjustments are required to ensure that the credit ratings data is tailored to comply with the needs of the credit migration matrix estimators. First of all, all credit ratings are stripped of additional credit quality modifiers, implying that all (+) and (-), ‘credit watch’ and ‘public information’ identifiers are removed. Subsequently, ratings CCC, CC and C are combined into one single class (CCC/C). Both adjustments are very common in the literature and are employed to ensure that the number of issuers within a particular rating class is large enough to produce meaningful migration probability estimates. The adjustments reduce the number of credit ratings in the matrix from 25 to 9 (including the ‘Not Rated’ NR-category), resulting in a decline in the number of parameters (migration probabilities) to be estimated from 625 to 81, whereas the number of useful observations only suffers 50% reduction.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In addition, issuers that are rated R (</w:t>
      </w:r>
      <w:r w:rsidRPr="00802C03">
        <w:rPr>
          <w:rFonts w:ascii="Garamond" w:hAnsi="Garamond" w:cs="Arial"/>
          <w:lang w:val="en-GB" w:eastAsia="nl-NL"/>
        </w:rPr>
        <w:t>Regulatory supervision</w:t>
      </w:r>
      <w:r w:rsidRPr="00802C03">
        <w:rPr>
          <w:rFonts w:ascii="Garamond" w:hAnsi="Garamond"/>
          <w:lang w:val="en-GB"/>
        </w:rPr>
        <w:t>) at some point in time are added to NR-category during the time they held the R rating. This adjustment is employed, since the true nature of why the issuer was rated R is not known. Adding them to another rating class might bias the migration probability estimates, whereas treating them as NR-rated ensures that these ratings are only non-informative at the time the issuer holds the R rating. Moreover, the total number issuers that were rated R at some point in time in the database was incredibly small (only 96), resulting in a very limited loss of potentially useful information.</w:t>
      </w:r>
      <w:r w:rsidRPr="00802C03">
        <w:rPr>
          <w:rStyle w:val="FootnoteReference"/>
          <w:rFonts w:ascii="Garamond" w:hAnsi="Garamond"/>
          <w:lang w:val="en-GB"/>
        </w:rPr>
        <w:footnoteReference w:id="38"/>
      </w:r>
      <w:r w:rsidRPr="00802C03">
        <w:rPr>
          <w:rFonts w:ascii="Garamond" w:hAnsi="Garamond"/>
          <w:lang w:val="en-GB"/>
        </w:rPr>
        <w:t xml:space="preserve">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In the treatment of default, the ratings SD (Selected Default) and D (Default) are grouped together under the D rating class, which is common in the literature as well. Issuers that default, then migrate to NR and then migrate back to a rated class, as in a non-NR credit rating, are treated as new issuers from the point they migrate from NR to the ‘rated’ rating class again. Issuers that experience a default and then migrate at once to another ‘rated’ rating class are treated as new issuers from the point this migration occurs. Finally, migrations from D to NR are removed from the sample. This adjustment ensures that the default state is absorbing. The total number of defaults in the database is 811 and the total number of issuers is 7394. Moreover, the total number is ‘rated’ issuer years in the (29.33 year) database is 68,595.26 (including the absorbing default state).</w:t>
      </w:r>
    </w:p>
    <w:p w:rsidR="001C7C52" w:rsidRPr="00802C03" w:rsidRDefault="001C7C52" w:rsidP="00E17C8F">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Lastly, to constructed data-series with a convenient month/year relation, the last Sunday of May, July, August, October and December are removed for each year in the sample period and in leap-years the last Sunday of March is removed as well. Consequently, each year has 360 days and when these 360 days are divided in 12 blocks of 30 days nearly every month is correctly displayed.</w:t>
      </w:r>
      <w:r w:rsidRPr="00802C03">
        <w:rPr>
          <w:rStyle w:val="FootnoteReference"/>
          <w:rFonts w:ascii="Garamond" w:hAnsi="Garamond"/>
          <w:lang w:val="en-GB"/>
        </w:rPr>
        <w:footnoteReference w:id="39"/>
      </w:r>
    </w:p>
    <w:p w:rsidR="001C7C52" w:rsidRPr="00802C03" w:rsidRDefault="001C7C52" w:rsidP="00AB3324">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2.1.2</w:t>
      </w:r>
      <w:r w:rsidRPr="00802C03">
        <w:rPr>
          <w:rFonts w:ascii="Garamond" w:hAnsi="Garamond"/>
          <w:b/>
          <w:lang w:val="en-GB"/>
        </w:rPr>
        <w:tab/>
      </w:r>
      <w:bookmarkStart w:id="43" w:name="S212"/>
      <w:bookmarkEnd w:id="43"/>
      <w:r w:rsidRPr="00802C03">
        <w:rPr>
          <w:rFonts w:ascii="Garamond" w:hAnsi="Garamond"/>
          <w:b/>
          <w:lang w:val="en-GB"/>
        </w:rPr>
        <w:t xml:space="preserve">The Cohort Method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As mentioned, the estimation of credit migration matrices relies in general on the historical ratings and migrations of all issuers in the relevant issuer spectrum. The first approach, the cohort method, is quite straightforward and has become the industry standard in the estimation of credit migration matrices. It is employed, for instance, by Moody’s in the calculation of migration probabilities in the matrices that they present in their publications (e.g. </w:t>
      </w:r>
      <w:hyperlink w:anchor="Emery_et_al_2009" w:history="1">
        <w:r w:rsidRPr="00802C03">
          <w:rPr>
            <w:rStyle w:val="Hyperlink"/>
            <w:rFonts w:ascii="Garamond" w:hAnsi="Garamond"/>
            <w:color w:val="000066"/>
            <w:u w:val="none"/>
            <w:lang w:val="en-GB"/>
          </w:rPr>
          <w:t>Emery et al., 2009</w:t>
        </w:r>
      </w:hyperlink>
      <w:r w:rsidRPr="00802C03">
        <w:rPr>
          <w:rFonts w:ascii="Garamond" w:hAnsi="Garamond"/>
          <w:lang w:val="en-GB"/>
        </w:rPr>
        <w:t xml:space="preserve">). </w:t>
      </w:r>
      <w:hyperlink w:anchor="Christensen_et_al_2004" w:history="1">
        <w:r w:rsidRPr="00802C03">
          <w:rPr>
            <w:rStyle w:val="Hyperlink"/>
            <w:rFonts w:ascii="Garamond" w:hAnsi="Garamond"/>
            <w:color w:val="000066"/>
            <w:u w:val="none"/>
            <w:lang w:val="en-GB"/>
          </w:rPr>
          <w:t>Christensen et al. (2004)</w:t>
        </w:r>
      </w:hyperlink>
      <w:r w:rsidRPr="00802C03">
        <w:rPr>
          <w:rFonts w:ascii="Garamond" w:hAnsi="Garamond"/>
          <w:lang w:val="en-GB"/>
        </w:rPr>
        <w:t xml:space="preserve"> provide an excellent description of the methodology. It employs a discrete-time setting or more specifically, it is the estimation of a discrete-time Markov chain. The method is based on the fact that the migrations away from a given state </w:t>
      </w:r>
      <w:r w:rsidRPr="00100BDF">
        <w:rPr>
          <w:rFonts w:ascii="Garamond" w:hAnsi="Garamond"/>
          <w:position w:val="-6"/>
          <w:lang w:val="en-GB"/>
        </w:rPr>
        <w:object w:dxaOrig="139" w:dyaOrig="240">
          <v:shape id="_x0000_i1562" type="#_x0000_t75" style="width:6.75pt;height:12pt" o:ole="">
            <v:imagedata r:id="rId1015" o:title=""/>
          </v:shape>
          <o:OLEObject Type="Embed" ProgID="Equation.DSMT4" ShapeID="_x0000_i1562" DrawAspect="Content" ObjectID="_1324894063" r:id="rId1016"/>
        </w:object>
      </w:r>
      <w:r w:rsidRPr="00802C03">
        <w:rPr>
          <w:rFonts w:ascii="Garamond" w:hAnsi="Garamond"/>
          <w:i/>
          <w:lang w:val="en-GB"/>
        </w:rPr>
        <w:t xml:space="preserve"> </w:t>
      </w:r>
      <w:r w:rsidRPr="00802C03">
        <w:rPr>
          <w:rFonts w:ascii="Garamond" w:hAnsi="Garamond"/>
          <w:lang w:val="en-GB"/>
        </w:rPr>
        <w:t xml:space="preserve">(or rating  </w:t>
      </w:r>
      <w:r w:rsidRPr="00100BDF">
        <w:rPr>
          <w:rFonts w:ascii="Garamond" w:hAnsi="Garamond"/>
          <w:position w:val="-6"/>
          <w:lang w:val="en-GB"/>
        </w:rPr>
        <w:object w:dxaOrig="139" w:dyaOrig="240">
          <v:shape id="_x0000_i1563" type="#_x0000_t75" style="width:6.75pt;height:12pt" o:ole="">
            <v:imagedata r:id="rId1017" o:title=""/>
          </v:shape>
          <o:OLEObject Type="Embed" ProgID="Equation.DSMT4" ShapeID="_x0000_i1563" DrawAspect="Content" ObjectID="_1324894064" r:id="rId1018"/>
        </w:object>
      </w:r>
      <w:r w:rsidRPr="00802C03">
        <w:rPr>
          <w:rFonts w:ascii="Garamond" w:hAnsi="Garamond"/>
          <w:lang w:val="en-GB"/>
        </w:rPr>
        <w:t xml:space="preserve">) can be viewed as a multinomial experiment. The number of issuers in state </w:t>
      </w:r>
      <w:r w:rsidRPr="00100BDF">
        <w:rPr>
          <w:rFonts w:ascii="Garamond" w:hAnsi="Garamond"/>
          <w:position w:val="-6"/>
          <w:lang w:val="en-GB"/>
        </w:rPr>
        <w:object w:dxaOrig="139" w:dyaOrig="240">
          <v:shape id="_x0000_i1564" type="#_x0000_t75" style="width:6.75pt;height:12pt" o:ole="">
            <v:imagedata r:id="rId1019" o:title=""/>
          </v:shape>
          <o:OLEObject Type="Embed" ProgID="Equation.DSMT4" ShapeID="_x0000_i1564" DrawAspect="Content" ObjectID="_1324894065" r:id="rId1020"/>
        </w:object>
      </w:r>
      <w:r w:rsidRPr="00802C03">
        <w:rPr>
          <w:rFonts w:ascii="Garamond" w:hAnsi="Garamond"/>
          <w:i/>
          <w:lang w:val="en-GB"/>
        </w:rPr>
        <w:t xml:space="preserve"> </w:t>
      </w:r>
      <w:r w:rsidRPr="00802C03">
        <w:rPr>
          <w:rFonts w:ascii="Garamond" w:hAnsi="Garamond"/>
          <w:lang w:val="en-GB"/>
        </w:rPr>
        <w:t xml:space="preserve">at the beginning of period </w:t>
      </w:r>
      <w:r w:rsidRPr="00100BDF">
        <w:rPr>
          <w:rFonts w:ascii="Garamond" w:hAnsi="Garamond"/>
          <w:position w:val="-6"/>
          <w:lang w:val="en-GB"/>
        </w:rPr>
        <w:object w:dxaOrig="139" w:dyaOrig="220">
          <v:shape id="_x0000_i1565" type="#_x0000_t75" style="width:6.75pt;height:11.25pt" o:ole="">
            <v:imagedata r:id="rId1021" o:title=""/>
          </v:shape>
          <o:OLEObject Type="Embed" ProgID="Equation.DSMT4" ShapeID="_x0000_i1565" DrawAspect="Content" ObjectID="_1324894066" r:id="rId1022"/>
        </w:object>
      </w:r>
      <w:r w:rsidRPr="00802C03">
        <w:rPr>
          <w:rFonts w:ascii="Garamond" w:hAnsi="Garamond"/>
          <w:i/>
          <w:lang w:val="en-GB"/>
        </w:rPr>
        <w:t xml:space="preserve"> </w:t>
      </w:r>
      <w:r w:rsidRPr="00802C03">
        <w:rPr>
          <w:rFonts w:ascii="Garamond" w:hAnsi="Garamond"/>
          <w:lang w:val="en-GB"/>
        </w:rPr>
        <w:t xml:space="preserve">is defined as </w:t>
      </w:r>
      <w:r w:rsidRPr="00100BDF">
        <w:rPr>
          <w:rFonts w:ascii="Garamond" w:hAnsi="Garamond"/>
          <w:position w:val="-10"/>
          <w:lang w:val="en-GB"/>
        </w:rPr>
        <w:object w:dxaOrig="480" w:dyaOrig="300">
          <v:shape id="_x0000_i1566" type="#_x0000_t75" style="width:24pt;height:15pt" o:ole="">
            <v:imagedata r:id="rId1023" o:title=""/>
          </v:shape>
          <o:OLEObject Type="Embed" ProgID="Equation.DSMT4" ShapeID="_x0000_i1566" DrawAspect="Content" ObjectID="_1324894067" r:id="rId1024"/>
        </w:object>
      </w:r>
      <w:r w:rsidRPr="00802C03">
        <w:rPr>
          <w:rFonts w:ascii="Garamond" w:hAnsi="Garamond"/>
          <w:lang w:val="en-GB"/>
        </w:rPr>
        <w:t xml:space="preserve"> and the number of issuers with rating </w:t>
      </w:r>
      <w:r w:rsidRPr="00100BDF">
        <w:rPr>
          <w:rFonts w:ascii="Garamond" w:hAnsi="Garamond"/>
          <w:position w:val="-6"/>
          <w:lang w:val="en-GB"/>
        </w:rPr>
        <w:object w:dxaOrig="139" w:dyaOrig="240">
          <v:shape id="_x0000_i1567" type="#_x0000_t75" style="width:6.75pt;height:12pt" o:ole="">
            <v:imagedata r:id="rId1025" o:title=""/>
          </v:shape>
          <o:OLEObject Type="Embed" ProgID="Equation.DSMT4" ShapeID="_x0000_i1567" DrawAspect="Content" ObjectID="_1324894068" r:id="rId1026"/>
        </w:object>
      </w:r>
      <w:r w:rsidRPr="00802C03">
        <w:rPr>
          <w:rFonts w:ascii="Garamond" w:hAnsi="Garamond"/>
          <w:i/>
          <w:lang w:val="en-GB"/>
        </w:rPr>
        <w:t xml:space="preserve"> </w:t>
      </w:r>
      <w:r w:rsidRPr="00802C03">
        <w:rPr>
          <w:rFonts w:ascii="Garamond" w:hAnsi="Garamond"/>
          <w:lang w:val="en-GB"/>
        </w:rPr>
        <w:t xml:space="preserve">at time </w:t>
      </w:r>
      <w:r w:rsidRPr="00100BDF">
        <w:rPr>
          <w:rFonts w:ascii="Garamond" w:hAnsi="Garamond"/>
          <w:position w:val="-6"/>
          <w:lang w:val="en-GB"/>
        </w:rPr>
        <w:object w:dxaOrig="139" w:dyaOrig="220">
          <v:shape id="_x0000_i1568" type="#_x0000_t75" style="width:6.75pt;height:11.25pt" o:ole="">
            <v:imagedata r:id="rId1027" o:title=""/>
          </v:shape>
          <o:OLEObject Type="Embed" ProgID="Equation.DSMT4" ShapeID="_x0000_i1568" DrawAspect="Content" ObjectID="_1324894069" r:id="rId1028"/>
        </w:object>
      </w:r>
      <w:r w:rsidRPr="00802C03">
        <w:rPr>
          <w:rFonts w:ascii="Garamond" w:hAnsi="Garamond"/>
          <w:lang w:val="en-GB"/>
        </w:rPr>
        <w:t xml:space="preserve"> that are in state </w:t>
      </w:r>
      <w:r w:rsidRPr="00100BDF">
        <w:rPr>
          <w:rFonts w:ascii="Garamond" w:hAnsi="Garamond"/>
          <w:position w:val="-10"/>
          <w:lang w:val="en-GB"/>
        </w:rPr>
        <w:object w:dxaOrig="180" w:dyaOrig="279">
          <v:shape id="_x0000_i1569" type="#_x0000_t75" style="width:9pt;height:13.5pt" o:ole="">
            <v:imagedata r:id="rId1029" o:title=""/>
          </v:shape>
          <o:OLEObject Type="Embed" ProgID="Equation.DSMT4" ShapeID="_x0000_i1569" DrawAspect="Content" ObjectID="_1324894070" r:id="rId1030"/>
        </w:object>
      </w:r>
      <w:r w:rsidRPr="00802C03">
        <w:rPr>
          <w:rFonts w:ascii="Garamond" w:hAnsi="Garamond"/>
          <w:i/>
          <w:lang w:val="en-GB"/>
        </w:rPr>
        <w:t xml:space="preserve"> </w:t>
      </w:r>
      <w:r w:rsidRPr="00802C03">
        <w:rPr>
          <w:rFonts w:ascii="Garamond" w:hAnsi="Garamond"/>
          <w:lang w:val="en-GB"/>
        </w:rPr>
        <w:t xml:space="preserve">at time </w:t>
      </w:r>
      <w:r w:rsidRPr="00100BDF">
        <w:rPr>
          <w:rFonts w:ascii="Garamond" w:hAnsi="Garamond"/>
          <w:position w:val="-6"/>
          <w:lang w:val="en-GB"/>
        </w:rPr>
        <w:object w:dxaOrig="380" w:dyaOrig="240">
          <v:shape id="_x0000_i1570" type="#_x0000_t75" style="width:18.75pt;height:12pt" o:ole="">
            <v:imagedata r:id="rId1031" o:title=""/>
          </v:shape>
          <o:OLEObject Type="Embed" ProgID="Equation.DSMT4" ShapeID="_x0000_i1570" DrawAspect="Content" ObjectID="_1324894071" r:id="rId1032"/>
        </w:object>
      </w:r>
      <w:r w:rsidRPr="00802C03">
        <w:rPr>
          <w:rFonts w:ascii="Garamond" w:hAnsi="Garamond"/>
          <w:lang w:val="en-GB"/>
        </w:rPr>
        <w:t xml:space="preserve"> (one year later for example), is defined as </w:t>
      </w:r>
      <w:r w:rsidRPr="00100BDF">
        <w:rPr>
          <w:rFonts w:ascii="Garamond" w:hAnsi="Garamond"/>
          <w:position w:val="-10"/>
          <w:lang w:val="en-GB"/>
        </w:rPr>
        <w:object w:dxaOrig="520" w:dyaOrig="300">
          <v:shape id="_x0000_i1571" type="#_x0000_t75" style="width:26.25pt;height:15pt" o:ole="">
            <v:imagedata r:id="rId1033" o:title=""/>
          </v:shape>
          <o:OLEObject Type="Embed" ProgID="Equation.DSMT4" ShapeID="_x0000_i1571" DrawAspect="Content" ObjectID="_1324894072" r:id="rId1034"/>
        </w:object>
      </w:r>
      <w:r w:rsidRPr="00802C03">
        <w:rPr>
          <w:rFonts w:ascii="Garamond" w:hAnsi="Garamond"/>
          <w:lang w:val="en-GB"/>
        </w:rPr>
        <w:t xml:space="preserve">. Then when rating withdrawals (the NR state) are disregarded, the estimate of a one-year credit migration probability at time </w:t>
      </w:r>
      <w:r w:rsidRPr="00100BDF">
        <w:rPr>
          <w:rFonts w:ascii="Garamond" w:hAnsi="Garamond"/>
          <w:position w:val="-6"/>
          <w:lang w:val="en-GB"/>
        </w:rPr>
        <w:object w:dxaOrig="139" w:dyaOrig="220">
          <v:shape id="_x0000_i1572" type="#_x0000_t75" style="width:6.75pt;height:11.25pt" o:ole="">
            <v:imagedata r:id="rId1035" o:title=""/>
          </v:shape>
          <o:OLEObject Type="Embed" ProgID="Equation.DSMT4" ShapeID="_x0000_i1572" DrawAspect="Content" ObjectID="_1324894073" r:id="rId1036"/>
        </w:object>
      </w:r>
      <w:r w:rsidRPr="00802C03">
        <w:rPr>
          <w:rFonts w:ascii="Garamond" w:hAnsi="Garamond"/>
          <w:i/>
          <w:lang w:val="en-GB"/>
        </w:rPr>
        <w:t xml:space="preserve"> </w:t>
      </w:r>
      <w:r w:rsidRPr="00802C03">
        <w:rPr>
          <w:rFonts w:ascii="Garamond" w:hAnsi="Garamond"/>
          <w:lang w:val="en-GB"/>
        </w:rPr>
        <w:t>is simply calculated as follows:</w:t>
      </w:r>
    </w:p>
    <w:p w:rsidR="001C7C52" w:rsidRPr="00802C03" w:rsidRDefault="001C7C52" w:rsidP="0034789E">
      <w:pPr>
        <w:tabs>
          <w:tab w:val="left" w:pos="567"/>
          <w:tab w:val="left" w:pos="8505"/>
        </w:tabs>
        <w:spacing w:before="60" w:after="80" w:line="320" w:lineRule="atLeast"/>
        <w:ind w:firstLine="567"/>
        <w:jc w:val="both"/>
        <w:rPr>
          <w:rFonts w:ascii="Garamond" w:hAnsi="Garamond"/>
          <w:lang w:val="en-GB"/>
        </w:rPr>
      </w:pPr>
      <w:r w:rsidRPr="005E2D6F">
        <w:rPr>
          <w:rFonts w:ascii="Garamond" w:hAnsi="Garamond"/>
          <w:position w:val="-26"/>
          <w:lang w:val="en-GB"/>
        </w:rPr>
        <w:object w:dxaOrig="1180" w:dyaOrig="600">
          <v:shape id="_x0000_i1573" type="#_x0000_t75" style="width:58.5pt;height:30pt" o:ole="">
            <v:imagedata r:id="rId1037" o:title=""/>
          </v:shape>
          <o:OLEObject Type="Embed" ProgID="Equation.DSMT4" ShapeID="_x0000_i1573" DrawAspect="Content" ObjectID="_1324894074" r:id="rId1038"/>
        </w:object>
      </w:r>
      <w:r w:rsidRPr="00802C03">
        <w:rPr>
          <w:rFonts w:ascii="Garamond" w:hAnsi="Garamond"/>
          <w:lang w:val="en-GB"/>
        </w:rPr>
        <w:t>.</w:t>
      </w:r>
      <w:r w:rsidRPr="00802C03">
        <w:rPr>
          <w:rFonts w:ascii="Garamond" w:hAnsi="Garamond"/>
          <w:lang w:val="en-GB"/>
        </w:rPr>
        <w:tab/>
      </w:r>
      <w:r w:rsidRPr="00802C03">
        <w:rPr>
          <w:rFonts w:ascii="Garamond" w:hAnsi="Garamond"/>
          <w:lang w:val="en-GB"/>
        </w:rPr>
        <w:tab/>
        <w:t>(2.1)</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In case the rating process is viewed as a time-homogeneous Markov chain which is observed over time, then the migrations away from a state can be seen as independent multinomial experiments. This assumption ensures that all observations over different years can be combined into one data set. The maximum-likelihood estimator for the time-independent migration probability becomes: </w:t>
      </w:r>
    </w:p>
    <w:p w:rsidR="001C7C52" w:rsidRPr="00802C03" w:rsidRDefault="001C7C52" w:rsidP="00B94706">
      <w:pPr>
        <w:tabs>
          <w:tab w:val="left" w:pos="567"/>
          <w:tab w:val="left" w:pos="8505"/>
        </w:tabs>
        <w:spacing w:before="40" w:after="80" w:line="320" w:lineRule="atLeast"/>
        <w:jc w:val="both"/>
        <w:rPr>
          <w:rFonts w:ascii="Garamond" w:hAnsi="Garamond"/>
          <w:lang w:val="en-GB"/>
        </w:rPr>
      </w:pPr>
      <w:r w:rsidRPr="00802C03">
        <w:rPr>
          <w:rFonts w:ascii="Garamond" w:hAnsi="Garamond"/>
          <w:lang w:val="en-GB"/>
        </w:rPr>
        <w:tab/>
      </w:r>
      <w:bookmarkStart w:id="44" w:name="E2N2"/>
      <w:bookmarkEnd w:id="44"/>
      <w:r w:rsidRPr="00100BDF">
        <w:rPr>
          <w:rFonts w:ascii="Garamond" w:hAnsi="Garamond"/>
          <w:position w:val="-48"/>
          <w:lang w:val="en-GB"/>
        </w:rPr>
        <w:object w:dxaOrig="1420" w:dyaOrig="1060">
          <v:shape id="_x0000_i1574" type="#_x0000_t75" style="width:70.5pt;height:53.25pt" o:ole="">
            <v:imagedata r:id="rId1039" o:title=""/>
          </v:shape>
          <o:OLEObject Type="Embed" ProgID="Equation.DSMT4" ShapeID="_x0000_i1574" DrawAspect="Content" ObjectID="_1324894075" r:id="rId1040"/>
        </w:object>
      </w:r>
      <w:r w:rsidRPr="00802C03">
        <w:rPr>
          <w:rFonts w:ascii="Garamond" w:hAnsi="Garamond"/>
          <w:lang w:val="en-GB"/>
        </w:rPr>
        <w:t>.</w:t>
      </w:r>
      <w:r w:rsidRPr="00802C03">
        <w:rPr>
          <w:rFonts w:ascii="Garamond" w:hAnsi="Garamond"/>
          <w:lang w:val="en-GB"/>
        </w:rPr>
        <w:tab/>
        <w:t>(2.2)</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In this equation, </w:t>
      </w:r>
      <w:r w:rsidRPr="00100BDF">
        <w:rPr>
          <w:rFonts w:ascii="Garamond" w:hAnsi="Garamond"/>
          <w:position w:val="-4"/>
          <w:lang w:val="en-GB"/>
        </w:rPr>
        <w:object w:dxaOrig="200" w:dyaOrig="220">
          <v:shape id="_x0000_i1575" type="#_x0000_t75" style="width:9.75pt;height:11.25pt" o:ole="">
            <v:imagedata r:id="rId1041" o:title=""/>
          </v:shape>
          <o:OLEObject Type="Embed" ProgID="Equation.DSMT4" ShapeID="_x0000_i1575" DrawAspect="Content" ObjectID="_1324894076" r:id="rId1042"/>
        </w:object>
      </w:r>
      <w:r w:rsidRPr="00802C03">
        <w:rPr>
          <w:rFonts w:ascii="Garamond" w:hAnsi="Garamond"/>
          <w:lang w:val="en-GB"/>
        </w:rPr>
        <w:t xml:space="preserve"> is the number of periods (cohorts) included in the data set. In a special case, when the number of issuers in a rating class remains the equal (the inflow into the rating state is equal to the outflow from the rating state), the migration probability estimator is the average of the two single cohort migration probabilities. This average, however, only serves as an approximation when the number of issuers in a particular rating class changes. The presented estimator (</w:t>
      </w:r>
      <w:hyperlink w:anchor="E2N2" w:history="1">
        <w:r w:rsidRPr="00802C03">
          <w:rPr>
            <w:rStyle w:val="Hyperlink"/>
            <w:rFonts w:ascii="Garamond" w:hAnsi="Garamond"/>
            <w:color w:val="000066"/>
            <w:u w:val="none"/>
            <w:lang w:val="en-GB"/>
          </w:rPr>
          <w:t>equation 2.2</w:t>
        </w:r>
      </w:hyperlink>
      <w:r w:rsidRPr="00802C03">
        <w:rPr>
          <w:rFonts w:ascii="Garamond" w:hAnsi="Garamond"/>
          <w:lang w:val="en-GB"/>
        </w:rPr>
        <w:t>) correctly weights the migration information according to the number of issuers observed in the particular rating class each period. This weighing scheme is known as the issuer-weighted average.</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assumption of time-homogeneity is applied in the estimator to be able to aggregate migrations and exposures over different time periods. If the assumption is not made, the estimator of the probability of a migration from rating </w:t>
      </w:r>
      <w:r w:rsidRPr="00100BDF">
        <w:rPr>
          <w:rFonts w:ascii="Garamond" w:hAnsi="Garamond"/>
          <w:position w:val="-6"/>
          <w:lang w:val="en-GB"/>
        </w:rPr>
        <w:object w:dxaOrig="139" w:dyaOrig="240">
          <v:shape id="_x0000_i1576" type="#_x0000_t75" style="width:6.75pt;height:12pt" o:ole="">
            <v:imagedata r:id="rId1043" o:title=""/>
          </v:shape>
          <o:OLEObject Type="Embed" ProgID="Equation.DSMT4" ShapeID="_x0000_i1576" DrawAspect="Content" ObjectID="_1324894077" r:id="rId1044"/>
        </w:object>
      </w:r>
      <w:r w:rsidRPr="00802C03">
        <w:rPr>
          <w:rFonts w:ascii="Garamond" w:hAnsi="Garamond"/>
          <w:lang w:val="en-GB"/>
        </w:rPr>
        <w:t xml:space="preserve"> to rating </w:t>
      </w:r>
      <w:r w:rsidRPr="00100BDF">
        <w:rPr>
          <w:rFonts w:ascii="Garamond" w:hAnsi="Garamond"/>
          <w:position w:val="-10"/>
          <w:lang w:val="en-GB"/>
        </w:rPr>
        <w:object w:dxaOrig="180" w:dyaOrig="279">
          <v:shape id="_x0000_i1577" type="#_x0000_t75" style="width:9pt;height:13.5pt" o:ole="">
            <v:imagedata r:id="rId1045" o:title=""/>
          </v:shape>
          <o:OLEObject Type="Embed" ProgID="Equation.DSMT4" ShapeID="_x0000_i1577" DrawAspect="Content" ObjectID="_1324894078" r:id="rId1046"/>
        </w:object>
      </w:r>
      <w:r w:rsidRPr="00802C03">
        <w:rPr>
          <w:rFonts w:ascii="Garamond" w:hAnsi="Garamond"/>
          <w:lang w:val="en-GB"/>
        </w:rPr>
        <w:t xml:space="preserve"> over a particular time period </w:t>
      </w:r>
      <w:r w:rsidRPr="00100BDF">
        <w:rPr>
          <w:rFonts w:ascii="Garamond" w:hAnsi="Garamond"/>
          <w:position w:val="-6"/>
          <w:lang w:val="en-GB"/>
        </w:rPr>
        <w:object w:dxaOrig="139" w:dyaOrig="220">
          <v:shape id="_x0000_i1578" type="#_x0000_t75" style="width:6.75pt;height:11.25pt" o:ole="">
            <v:imagedata r:id="rId1047" o:title=""/>
          </v:shape>
          <o:OLEObject Type="Embed" ProgID="Equation.DSMT4" ShapeID="_x0000_i1578" DrawAspect="Content" ObjectID="_1324894079" r:id="rId1048"/>
        </w:object>
      </w:r>
      <w:r w:rsidRPr="00802C03">
        <w:rPr>
          <w:rFonts w:ascii="Garamond" w:hAnsi="Garamond"/>
          <w:i/>
          <w:lang w:val="en-GB"/>
        </w:rPr>
        <w:t xml:space="preserve"> </w:t>
      </w:r>
      <w:r w:rsidRPr="00802C03">
        <w:rPr>
          <w:rFonts w:ascii="Garamond" w:hAnsi="Garamond"/>
          <w:lang w:val="en-GB"/>
        </w:rPr>
        <w:t xml:space="preserve">to </w:t>
      </w:r>
      <w:r w:rsidRPr="00100BDF">
        <w:rPr>
          <w:rFonts w:ascii="Garamond" w:hAnsi="Garamond"/>
          <w:position w:val="-4"/>
          <w:lang w:val="en-GB"/>
        </w:rPr>
        <w:object w:dxaOrig="200" w:dyaOrig="220">
          <v:shape id="_x0000_i1579" type="#_x0000_t75" style="width:9.75pt;height:11.25pt" o:ole="">
            <v:imagedata r:id="rId1049" o:title=""/>
          </v:shape>
          <o:OLEObject Type="Embed" ProgID="Equation.DSMT4" ShapeID="_x0000_i1579" DrawAspect="Content" ObjectID="_1324894080" r:id="rId1050"/>
        </w:object>
      </w:r>
      <w:r w:rsidRPr="00802C03">
        <w:rPr>
          <w:rFonts w:ascii="Garamond" w:hAnsi="Garamond"/>
          <w:lang w:val="en-GB"/>
        </w:rPr>
        <w:t xml:space="preserve"> is:</w:t>
      </w:r>
    </w:p>
    <w:p w:rsidR="001C7C52" w:rsidRPr="00802C03" w:rsidRDefault="001C7C52" w:rsidP="00B94706">
      <w:pPr>
        <w:tabs>
          <w:tab w:val="left" w:pos="567"/>
          <w:tab w:val="left" w:pos="8505"/>
        </w:tabs>
        <w:spacing w:before="60" w:line="320" w:lineRule="atLeast"/>
        <w:ind w:firstLine="567"/>
        <w:jc w:val="both"/>
        <w:rPr>
          <w:rFonts w:ascii="Garamond" w:hAnsi="Garamond"/>
          <w:lang w:val="en-GB"/>
        </w:rPr>
      </w:pPr>
      <w:r w:rsidRPr="005E2D6F">
        <w:rPr>
          <w:rFonts w:ascii="Garamond" w:hAnsi="Garamond"/>
          <w:position w:val="-26"/>
          <w:lang w:val="en-GB"/>
        </w:rPr>
        <w:object w:dxaOrig="1380" w:dyaOrig="600">
          <v:shape id="_x0000_i1580" type="#_x0000_t75" style="width:68.25pt;height:30pt" o:ole="">
            <v:imagedata r:id="rId1051" o:title=""/>
          </v:shape>
          <o:OLEObject Type="Embed" ProgID="Equation.DSMT4" ShapeID="_x0000_i1580" DrawAspect="Content" ObjectID="_1324894081" r:id="rId1052"/>
        </w:object>
      </w:r>
      <w:r w:rsidRPr="00802C03">
        <w:rPr>
          <w:rFonts w:ascii="Garamond" w:hAnsi="Garamond"/>
          <w:lang w:val="en-GB"/>
        </w:rPr>
        <w:t>,</w:t>
      </w:r>
      <w:r w:rsidRPr="00802C03">
        <w:rPr>
          <w:rFonts w:ascii="Garamond" w:hAnsi="Garamond"/>
          <w:lang w:val="en-GB"/>
        </w:rPr>
        <w:tab/>
        <w:t>(2.3)</w:t>
      </w:r>
    </w:p>
    <w:p w:rsidR="001C7C52" w:rsidRPr="00802C03" w:rsidRDefault="001C7C52" w:rsidP="009A1510">
      <w:pPr>
        <w:spacing w:before="60" w:after="160" w:line="280" w:lineRule="exact"/>
        <w:ind w:left="567"/>
        <w:jc w:val="both"/>
        <w:rPr>
          <w:rFonts w:ascii="Garamond" w:hAnsi="Garamond"/>
          <w:lang w:val="en-GB"/>
        </w:rPr>
      </w:pPr>
      <w:r w:rsidRPr="00802C03">
        <w:rPr>
          <w:rFonts w:ascii="Garamond" w:hAnsi="Garamond"/>
          <w:lang w:val="en-GB"/>
        </w:rPr>
        <w:t xml:space="preserve">where </w:t>
      </w:r>
      <w:r w:rsidRPr="00100BDF">
        <w:rPr>
          <w:rFonts w:ascii="Garamond" w:hAnsi="Garamond"/>
          <w:position w:val="-10"/>
          <w:lang w:val="en-GB"/>
        </w:rPr>
        <w:object w:dxaOrig="720" w:dyaOrig="300">
          <v:shape id="_x0000_i1581" type="#_x0000_t75" style="width:36pt;height:15pt" o:ole="">
            <v:imagedata r:id="rId1053" o:title=""/>
          </v:shape>
          <o:OLEObject Type="Embed" ProgID="Equation.DSMT4" ShapeID="_x0000_i1581" DrawAspect="Content" ObjectID="_1324894082" r:id="rId1054"/>
        </w:object>
      </w:r>
      <w:r w:rsidRPr="00802C03">
        <w:rPr>
          <w:rFonts w:ascii="Garamond" w:hAnsi="Garamond"/>
          <w:lang w:val="en-GB"/>
        </w:rPr>
        <w:t xml:space="preserve"> is the total number of observed migrations from </w:t>
      </w:r>
      <w:r w:rsidRPr="00100BDF">
        <w:rPr>
          <w:rFonts w:ascii="Garamond" w:hAnsi="Garamond"/>
          <w:position w:val="-6"/>
          <w:lang w:val="en-GB"/>
        </w:rPr>
        <w:object w:dxaOrig="139" w:dyaOrig="240">
          <v:shape id="_x0000_i1582" type="#_x0000_t75" style="width:6.75pt;height:12pt" o:ole="">
            <v:imagedata r:id="rId1055" o:title=""/>
          </v:shape>
          <o:OLEObject Type="Embed" ProgID="Equation.DSMT4" ShapeID="_x0000_i1582" DrawAspect="Content" ObjectID="_1324894083" r:id="rId1056"/>
        </w:object>
      </w:r>
      <w:r w:rsidRPr="00802C03">
        <w:rPr>
          <w:rFonts w:ascii="Garamond" w:hAnsi="Garamond"/>
          <w:lang w:val="en-GB"/>
        </w:rPr>
        <w:t xml:space="preserve"> to </w:t>
      </w:r>
      <w:r w:rsidRPr="00100BDF">
        <w:rPr>
          <w:rFonts w:ascii="Garamond" w:hAnsi="Garamond"/>
          <w:position w:val="-10"/>
          <w:lang w:val="en-GB"/>
        </w:rPr>
        <w:object w:dxaOrig="180" w:dyaOrig="279">
          <v:shape id="_x0000_i1583" type="#_x0000_t75" style="width:9pt;height:13.5pt" o:ole="">
            <v:imagedata r:id="rId1057" o:title=""/>
          </v:shape>
          <o:OLEObject Type="Embed" ProgID="Equation.DSMT4" ShapeID="_x0000_i1583" DrawAspect="Content" ObjectID="_1324894084" r:id="rId1058"/>
        </w:object>
      </w:r>
      <w:r w:rsidRPr="00802C03">
        <w:rPr>
          <w:rFonts w:ascii="Garamond" w:hAnsi="Garamond"/>
          <w:lang w:val="en-GB"/>
        </w:rPr>
        <w:t xml:space="preserve"> in that particular time period, </w:t>
      </w:r>
      <w:r w:rsidRPr="00100BDF">
        <w:rPr>
          <w:rFonts w:ascii="Garamond" w:hAnsi="Garamond"/>
          <w:position w:val="-6"/>
          <w:lang w:val="en-GB"/>
        </w:rPr>
        <w:object w:dxaOrig="139" w:dyaOrig="220">
          <v:shape id="_x0000_i1584" type="#_x0000_t75" style="width:6.75pt;height:11.25pt" o:ole="">
            <v:imagedata r:id="rId1059" o:title=""/>
          </v:shape>
          <o:OLEObject Type="Embed" ProgID="Equation.DSMT4" ShapeID="_x0000_i1584" DrawAspect="Content" ObjectID="_1324894085" r:id="rId1060"/>
        </w:object>
      </w:r>
      <w:r w:rsidRPr="00802C03">
        <w:rPr>
          <w:rFonts w:ascii="Garamond" w:hAnsi="Garamond"/>
          <w:lang w:val="en-GB"/>
        </w:rPr>
        <w:t xml:space="preserve"> to </w:t>
      </w:r>
      <w:r w:rsidRPr="00100BDF">
        <w:rPr>
          <w:rFonts w:ascii="Garamond" w:hAnsi="Garamond"/>
          <w:position w:val="-4"/>
          <w:lang w:val="en-GB"/>
        </w:rPr>
        <w:object w:dxaOrig="200" w:dyaOrig="220">
          <v:shape id="_x0000_i1585" type="#_x0000_t75" style="width:9.75pt;height:11.25pt" o:ole="">
            <v:imagedata r:id="rId1061" o:title=""/>
          </v:shape>
          <o:OLEObject Type="Embed" ProgID="Equation.DSMT4" ShapeID="_x0000_i1585" DrawAspect="Content" ObjectID="_1324894086" r:id="rId1062"/>
        </w:object>
      </w:r>
      <w:r w:rsidRPr="00802C03">
        <w:rPr>
          <w:rFonts w:ascii="Garamond" w:hAnsi="Garamond"/>
          <w:lang w:val="en-GB"/>
        </w:rPr>
        <w:t xml:space="preserve">.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This is the cohort estimator, which is a multinomial type estimator as well. It can even be interpreted as such without the Markov assumption.</w:t>
      </w:r>
      <w:r w:rsidRPr="00802C03">
        <w:rPr>
          <w:rStyle w:val="FootnoteReference"/>
          <w:rFonts w:ascii="Garamond" w:hAnsi="Garamond"/>
          <w:lang w:val="en-GB"/>
        </w:rPr>
        <w:footnoteReference w:id="40"/>
      </w:r>
      <w:r w:rsidRPr="00802C03">
        <w:rPr>
          <w:rFonts w:ascii="Garamond" w:hAnsi="Garamond"/>
          <w:lang w:val="en-GB"/>
        </w:rPr>
        <w:t xml:space="preserve"> </w:t>
      </w:r>
    </w:p>
    <w:p w:rsidR="001C7C52" w:rsidRPr="00802C03" w:rsidRDefault="001C7C52" w:rsidP="00E17C8F">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first disadvantage of cohort method, however, is that when no migration events for a particular migration are observed between time </w:t>
      </w:r>
      <w:r w:rsidRPr="00100BDF">
        <w:rPr>
          <w:rFonts w:ascii="Garamond" w:hAnsi="Garamond"/>
          <w:position w:val="-6"/>
          <w:lang w:val="en-GB"/>
        </w:rPr>
        <w:object w:dxaOrig="139" w:dyaOrig="220">
          <v:shape id="_x0000_i1604" type="#_x0000_t75" style="width:6.75pt;height:11.25pt" o:ole="">
            <v:imagedata r:id="rId1063" o:title=""/>
          </v:shape>
          <o:OLEObject Type="Embed" ProgID="Equation.DSMT4" ShapeID="_x0000_i1604" DrawAspect="Content" ObjectID="_1324894087" r:id="rId1064"/>
        </w:object>
      </w:r>
      <w:r w:rsidRPr="00802C03">
        <w:rPr>
          <w:rFonts w:ascii="Garamond" w:hAnsi="Garamond"/>
          <w:lang w:val="en-GB"/>
        </w:rPr>
        <w:t xml:space="preserve"> and time </w:t>
      </w:r>
      <w:r w:rsidRPr="00100BDF">
        <w:rPr>
          <w:rFonts w:ascii="Garamond" w:hAnsi="Garamond"/>
          <w:position w:val="-4"/>
          <w:lang w:val="en-GB"/>
        </w:rPr>
        <w:object w:dxaOrig="200" w:dyaOrig="220">
          <v:shape id="_x0000_i1605" type="#_x0000_t75" style="width:9.75pt;height:11.25pt" o:ole="">
            <v:imagedata r:id="rId1065" o:title=""/>
          </v:shape>
          <o:OLEObject Type="Embed" ProgID="Equation.DSMT4" ShapeID="_x0000_i1605" DrawAspect="Content" ObjectID="_1324894088" r:id="rId1066"/>
        </w:object>
      </w:r>
      <w:r w:rsidRPr="00802C03">
        <w:rPr>
          <w:rFonts w:ascii="Garamond" w:hAnsi="Garamond"/>
          <w:lang w:val="en-GB"/>
        </w:rPr>
        <w:t>, the estimate will be equal to zero. In practice, this will result in default probability estimates that are equal to zero for the highest credit ratings (AAA and AA), as jumps to default from those rating classes are observed very rarely.</w:t>
      </w:r>
      <w:r w:rsidRPr="00802C03">
        <w:rPr>
          <w:rStyle w:val="FootnoteReference"/>
          <w:rFonts w:ascii="Garamond" w:hAnsi="Garamond"/>
          <w:lang w:val="en-GB"/>
        </w:rPr>
        <w:footnoteReference w:id="41"/>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second problem of the approach is that when an issuer migrates from rating </w:t>
      </w:r>
      <w:r w:rsidRPr="00100BDF">
        <w:rPr>
          <w:rFonts w:ascii="Garamond" w:hAnsi="Garamond"/>
          <w:position w:val="-6"/>
          <w:lang w:val="en-GB"/>
        </w:rPr>
        <w:object w:dxaOrig="139" w:dyaOrig="240">
          <v:shape id="_x0000_i1606" type="#_x0000_t75" style="width:6.75pt;height:12pt" o:ole="">
            <v:imagedata r:id="rId1067" o:title=""/>
          </v:shape>
          <o:OLEObject Type="Embed" ProgID="Equation.DSMT4" ShapeID="_x0000_i1606" DrawAspect="Content" ObjectID="_1324894089" r:id="rId1068"/>
        </w:object>
      </w:r>
      <w:r w:rsidRPr="00802C03">
        <w:rPr>
          <w:rFonts w:ascii="Garamond" w:hAnsi="Garamond"/>
          <w:lang w:val="en-GB"/>
        </w:rPr>
        <w:t xml:space="preserve"> to rating </w:t>
      </w:r>
      <w:r w:rsidRPr="00100BDF">
        <w:rPr>
          <w:rFonts w:ascii="Garamond" w:hAnsi="Garamond"/>
          <w:position w:val="-10"/>
          <w:lang w:val="en-GB"/>
        </w:rPr>
        <w:object w:dxaOrig="180" w:dyaOrig="279">
          <v:shape id="_x0000_i1607" type="#_x0000_t75" style="width:9pt;height:13.5pt" o:ole="">
            <v:imagedata r:id="rId1069" o:title=""/>
          </v:shape>
          <o:OLEObject Type="Embed" ProgID="Equation.DSMT4" ShapeID="_x0000_i1607" DrawAspect="Content" ObjectID="_1324894090" r:id="rId1070"/>
        </w:object>
      </w:r>
      <w:r w:rsidRPr="00802C03">
        <w:rPr>
          <w:rFonts w:ascii="Garamond" w:hAnsi="Garamond"/>
          <w:lang w:val="en-GB"/>
        </w:rPr>
        <w:t xml:space="preserve"> to rating </w:t>
      </w:r>
      <w:r w:rsidRPr="00100BDF">
        <w:rPr>
          <w:rFonts w:ascii="Garamond" w:hAnsi="Garamond"/>
          <w:position w:val="-6"/>
          <w:lang w:val="en-GB"/>
        </w:rPr>
        <w:object w:dxaOrig="180" w:dyaOrig="260">
          <v:shape id="_x0000_i1608" type="#_x0000_t75" style="width:9pt;height:13.5pt" o:ole="">
            <v:imagedata r:id="rId1071" o:title=""/>
          </v:shape>
          <o:OLEObject Type="Embed" ProgID="Equation.DSMT4" ShapeID="_x0000_i1608" DrawAspect="Content" ObjectID="_1324894091" r:id="rId1072"/>
        </w:object>
      </w:r>
      <w:r w:rsidRPr="00802C03">
        <w:rPr>
          <w:rFonts w:ascii="Garamond" w:hAnsi="Garamond"/>
          <w:lang w:val="en-GB"/>
        </w:rPr>
        <w:t xml:space="preserve">, within time period </w:t>
      </w:r>
      <w:r w:rsidRPr="00100BDF">
        <w:rPr>
          <w:rFonts w:ascii="Garamond" w:hAnsi="Garamond"/>
          <w:position w:val="-6"/>
          <w:lang w:val="en-GB"/>
        </w:rPr>
        <w:object w:dxaOrig="139" w:dyaOrig="220">
          <v:shape id="_x0000_i1609" type="#_x0000_t75" style="width:6.75pt;height:11.25pt" o:ole="">
            <v:imagedata r:id="rId1073" o:title=""/>
          </v:shape>
          <o:OLEObject Type="Embed" ProgID="Equation.DSMT4" ShapeID="_x0000_i1609" DrawAspect="Content" ObjectID="_1324894092" r:id="rId1074"/>
        </w:object>
      </w:r>
      <w:r w:rsidRPr="00802C03">
        <w:rPr>
          <w:rFonts w:ascii="Garamond" w:hAnsi="Garamond"/>
          <w:lang w:val="en-GB"/>
        </w:rPr>
        <w:t xml:space="preserve"> to </w:t>
      </w:r>
      <w:r w:rsidRPr="00100BDF">
        <w:rPr>
          <w:rFonts w:ascii="Garamond" w:hAnsi="Garamond"/>
          <w:position w:val="-4"/>
          <w:lang w:val="en-GB"/>
        </w:rPr>
        <w:object w:dxaOrig="200" w:dyaOrig="220">
          <v:shape id="_x0000_i1610" type="#_x0000_t75" style="width:9.75pt;height:11.25pt" o:ole="">
            <v:imagedata r:id="rId1075" o:title=""/>
          </v:shape>
          <o:OLEObject Type="Embed" ProgID="Equation.DSMT4" ShapeID="_x0000_i1610" DrawAspect="Content" ObjectID="_1324894093" r:id="rId1076"/>
        </w:object>
      </w:r>
      <w:r w:rsidRPr="00802C03">
        <w:rPr>
          <w:rFonts w:ascii="Garamond" w:hAnsi="Garamond"/>
          <w:lang w:val="en-GB"/>
        </w:rPr>
        <w:t xml:space="preserve">, the first migration (from </w:t>
      </w:r>
      <w:r w:rsidRPr="00100BDF">
        <w:rPr>
          <w:rFonts w:ascii="Garamond" w:hAnsi="Garamond"/>
          <w:position w:val="-6"/>
          <w:lang w:val="en-GB"/>
        </w:rPr>
        <w:object w:dxaOrig="139" w:dyaOrig="240">
          <v:shape id="_x0000_i1611" type="#_x0000_t75" style="width:6.75pt;height:12pt" o:ole="">
            <v:imagedata r:id="rId1077" o:title=""/>
          </v:shape>
          <o:OLEObject Type="Embed" ProgID="Equation.DSMT4" ShapeID="_x0000_i1611" DrawAspect="Content" ObjectID="_1324894094" r:id="rId1078"/>
        </w:object>
      </w:r>
      <w:r w:rsidRPr="00802C03">
        <w:rPr>
          <w:rFonts w:ascii="Garamond" w:hAnsi="Garamond"/>
          <w:lang w:val="en-GB"/>
        </w:rPr>
        <w:t xml:space="preserve"> to </w:t>
      </w:r>
      <w:r w:rsidRPr="00100BDF">
        <w:rPr>
          <w:rFonts w:ascii="Garamond" w:hAnsi="Garamond"/>
          <w:position w:val="-10"/>
          <w:lang w:val="en-GB"/>
        </w:rPr>
        <w:object w:dxaOrig="180" w:dyaOrig="279">
          <v:shape id="_x0000_i1612" type="#_x0000_t75" style="width:9pt;height:13.5pt" o:ole="">
            <v:imagedata r:id="rId1079" o:title=""/>
          </v:shape>
          <o:OLEObject Type="Embed" ProgID="Equation.DSMT4" ShapeID="_x0000_i1612" DrawAspect="Content" ObjectID="_1324894095" r:id="rId1080"/>
        </w:object>
      </w:r>
      <w:r w:rsidRPr="00802C03">
        <w:rPr>
          <w:rFonts w:ascii="Garamond" w:hAnsi="Garamond"/>
          <w:lang w:val="en-GB"/>
        </w:rPr>
        <w:t xml:space="preserve">) will be ignored, as the estimator only captures the migration from </w:t>
      </w:r>
      <w:r w:rsidRPr="00100BDF">
        <w:rPr>
          <w:rFonts w:ascii="Garamond" w:hAnsi="Garamond"/>
          <w:position w:val="-6"/>
          <w:lang w:val="en-GB"/>
        </w:rPr>
        <w:object w:dxaOrig="139" w:dyaOrig="240">
          <v:shape id="_x0000_i1613" type="#_x0000_t75" style="width:6.75pt;height:12pt" o:ole="">
            <v:imagedata r:id="rId1081" o:title=""/>
          </v:shape>
          <o:OLEObject Type="Embed" ProgID="Equation.DSMT4" ShapeID="_x0000_i1613" DrawAspect="Content" ObjectID="_1324894096" r:id="rId1082"/>
        </w:object>
      </w:r>
      <w:r w:rsidRPr="00802C03">
        <w:rPr>
          <w:rFonts w:ascii="Garamond" w:hAnsi="Garamond"/>
          <w:lang w:val="en-GB"/>
        </w:rPr>
        <w:t xml:space="preserve"> to </w:t>
      </w:r>
      <w:r w:rsidRPr="00100BDF">
        <w:rPr>
          <w:rFonts w:ascii="Garamond" w:hAnsi="Garamond"/>
          <w:position w:val="-6"/>
          <w:lang w:val="en-GB"/>
        </w:rPr>
        <w:object w:dxaOrig="180" w:dyaOrig="260">
          <v:shape id="_x0000_i1614" type="#_x0000_t75" style="width:9pt;height:13.5pt" o:ole="">
            <v:imagedata r:id="rId1083" o:title=""/>
          </v:shape>
          <o:OLEObject Type="Embed" ProgID="Equation.DSMT4" ShapeID="_x0000_i1614" DrawAspect="Content" ObjectID="_1324894097" r:id="rId1084"/>
        </w:object>
      </w:r>
      <w:r w:rsidRPr="00802C03">
        <w:rPr>
          <w:rFonts w:ascii="Garamond" w:hAnsi="Garamond"/>
          <w:lang w:val="en-GB"/>
        </w:rPr>
        <w:t xml:space="preserve"> (the migration from the state at start of the period, time </w:t>
      </w:r>
      <w:r w:rsidRPr="00100BDF">
        <w:rPr>
          <w:rFonts w:ascii="Garamond" w:hAnsi="Garamond"/>
          <w:position w:val="-6"/>
          <w:lang w:val="en-GB"/>
        </w:rPr>
        <w:object w:dxaOrig="139" w:dyaOrig="220">
          <v:shape id="_x0000_i1615" type="#_x0000_t75" style="width:6.75pt;height:11.25pt" o:ole="">
            <v:imagedata r:id="rId1085" o:title=""/>
          </v:shape>
          <o:OLEObject Type="Embed" ProgID="Equation.DSMT4" ShapeID="_x0000_i1615" DrawAspect="Content" ObjectID="_1324894098" r:id="rId1086"/>
        </w:object>
      </w:r>
      <w:r w:rsidRPr="00802C03">
        <w:rPr>
          <w:rFonts w:ascii="Garamond" w:hAnsi="Garamond"/>
          <w:lang w:val="en-GB"/>
        </w:rPr>
        <w:t xml:space="preserve">, to the state at the end of the period, time </w:t>
      </w:r>
      <w:r w:rsidRPr="00100BDF">
        <w:rPr>
          <w:rFonts w:ascii="Garamond" w:hAnsi="Garamond"/>
          <w:position w:val="-4"/>
          <w:lang w:val="en-GB"/>
        </w:rPr>
        <w:object w:dxaOrig="200" w:dyaOrig="220">
          <v:shape id="_x0000_i1616" type="#_x0000_t75" style="width:9.75pt;height:11.25pt" o:ole="">
            <v:imagedata r:id="rId1087" o:title=""/>
          </v:shape>
          <o:OLEObject Type="Embed" ProgID="Equation.DSMT4" ShapeID="_x0000_i1616" DrawAspect="Content" ObjectID="_1324894099" r:id="rId1088"/>
        </w:object>
      </w:r>
      <w:r w:rsidRPr="00802C03">
        <w:rPr>
          <w:rFonts w:ascii="Garamond" w:hAnsi="Garamond"/>
          <w:lang w:val="en-GB"/>
        </w:rPr>
        <w:t>). As a consequence, information is left unused which may result in underestimated migration probabilities. In practice, issuers frequently migrate to the CCC/C category (CCC, CC or C) first before they actually default. Then when the migration to the CCC/C category is ignored, it will result in a CCC/C to default migration probability that is biased downwards (</w:t>
      </w:r>
      <w:hyperlink w:anchor="Lando_Skodeberg_2002" w:history="1">
        <w:r w:rsidRPr="00802C03">
          <w:rPr>
            <w:rStyle w:val="Hyperlink"/>
            <w:rFonts w:ascii="Garamond" w:hAnsi="Garamond"/>
            <w:color w:val="000066"/>
            <w:u w:val="none"/>
            <w:lang w:val="en-GB"/>
          </w:rPr>
          <w:t>Lando &amp; Skødeberg, 2002</w:t>
        </w:r>
      </w:hyperlink>
      <w:r w:rsidRPr="00802C03">
        <w:rPr>
          <w:rFonts w:ascii="Garamond" w:hAnsi="Garamond"/>
          <w:lang w:val="en-GB"/>
        </w:rPr>
        <w:t>).</w:t>
      </w:r>
    </w:p>
    <w:p w:rsidR="001C7C52" w:rsidRPr="00802C03" w:rsidRDefault="001C7C52" w:rsidP="00AB3324">
      <w:pPr>
        <w:spacing w:line="280" w:lineRule="exact"/>
        <w:jc w:val="both"/>
        <w:rPr>
          <w:rFonts w:ascii="Garamond" w:hAnsi="Garamond"/>
          <w:b/>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2.1.3</w:t>
      </w:r>
      <w:r w:rsidRPr="00802C03">
        <w:rPr>
          <w:rFonts w:ascii="Garamond" w:hAnsi="Garamond"/>
          <w:b/>
          <w:lang w:val="en-GB"/>
        </w:rPr>
        <w:tab/>
      </w:r>
      <w:bookmarkStart w:id="45" w:name="S213"/>
      <w:bookmarkEnd w:id="45"/>
      <w:r w:rsidRPr="00802C03">
        <w:rPr>
          <w:rFonts w:ascii="Garamond" w:hAnsi="Garamond"/>
          <w:b/>
          <w:lang w:val="en-GB"/>
        </w:rPr>
        <w:t xml:space="preserve">The Duration Method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second credit migration matrix estimation methodology is the duration method. This estimation methodology is based on continuous-time observations and was initially presented in </w:t>
      </w:r>
      <w:hyperlink w:anchor="Jarrow_et_al_1997" w:history="1">
        <w:r w:rsidRPr="00802C03">
          <w:rPr>
            <w:rStyle w:val="Hyperlink"/>
            <w:rFonts w:ascii="Garamond" w:hAnsi="Garamond"/>
            <w:color w:val="000066"/>
            <w:u w:val="none"/>
            <w:lang w:val="en-GB"/>
          </w:rPr>
          <w:t>Jarrow et al. (1997)</w:t>
        </w:r>
      </w:hyperlink>
      <w:r w:rsidRPr="00802C03">
        <w:rPr>
          <w:rFonts w:ascii="Garamond" w:hAnsi="Garamond"/>
          <w:lang w:val="en-GB"/>
        </w:rPr>
        <w:t>. It addresses most of the shortcomings on the cohort estimator. The continuous-time framework is based on modern survival analytic techniques (</w:t>
      </w:r>
      <w:hyperlink w:anchor="Skodeberg_1998" w:history="1">
        <w:r w:rsidRPr="00802C03">
          <w:rPr>
            <w:rStyle w:val="Hyperlink"/>
            <w:rFonts w:ascii="Garamond" w:hAnsi="Garamond"/>
            <w:color w:val="000066"/>
            <w:u w:val="none"/>
            <w:lang w:val="en-GB"/>
          </w:rPr>
          <w:t>Skødeberg, 1998</w:t>
        </w:r>
      </w:hyperlink>
      <w:r w:rsidRPr="00802C03">
        <w:rPr>
          <w:rFonts w:ascii="Garamond" w:hAnsi="Garamond"/>
          <w:lang w:val="en-GB"/>
        </w:rPr>
        <w:t xml:space="preserve">). </w:t>
      </w:r>
      <w:hyperlink w:anchor="Lando_Skodeberg_2002" w:history="1">
        <w:r w:rsidRPr="00802C03">
          <w:rPr>
            <w:rStyle w:val="Hyperlink"/>
            <w:rFonts w:ascii="Garamond" w:hAnsi="Garamond"/>
            <w:color w:val="000066"/>
            <w:u w:val="none"/>
            <w:lang w:val="en-GB"/>
          </w:rPr>
          <w:t>Lando &amp; Skødeberg (2002)</w:t>
        </w:r>
      </w:hyperlink>
      <w:r w:rsidRPr="00802C03">
        <w:rPr>
          <w:rFonts w:ascii="Garamond" w:hAnsi="Garamond"/>
          <w:lang w:val="en-GB"/>
        </w:rPr>
        <w:t xml:space="preserve"> argue that is crucial to base estimates of migration probabilities on continues-time observations to obtain efficient estimates of migration probabilities. In addition, they summarize the key advantages of the duration approach:</w:t>
      </w:r>
    </w:p>
    <w:p w:rsidR="001C7C52" w:rsidRPr="00802C03" w:rsidRDefault="001C7C52" w:rsidP="00BF30BE">
      <w:pPr>
        <w:numPr>
          <w:ilvl w:val="0"/>
          <w:numId w:val="14"/>
        </w:numPr>
        <w:overflowPunct/>
        <w:autoSpaceDE/>
        <w:autoSpaceDN/>
        <w:adjustRightInd/>
        <w:spacing w:line="280" w:lineRule="exact"/>
        <w:jc w:val="both"/>
        <w:textAlignment w:val="auto"/>
        <w:rPr>
          <w:rFonts w:ascii="Garamond" w:hAnsi="Garamond"/>
          <w:lang w:val="en-GB"/>
        </w:rPr>
      </w:pPr>
      <w:r w:rsidRPr="00802C03">
        <w:rPr>
          <w:rFonts w:ascii="Garamond" w:hAnsi="Garamond"/>
          <w:lang w:val="en-GB"/>
        </w:rPr>
        <w:t xml:space="preserve">Non-zero estimates for migration probabilities of which no events where observed. </w:t>
      </w:r>
    </w:p>
    <w:p w:rsidR="001C7C52" w:rsidRPr="00802C03" w:rsidRDefault="001C7C52" w:rsidP="00BF30BE">
      <w:pPr>
        <w:numPr>
          <w:ilvl w:val="0"/>
          <w:numId w:val="14"/>
        </w:numPr>
        <w:overflowPunct/>
        <w:autoSpaceDE/>
        <w:autoSpaceDN/>
        <w:adjustRightInd/>
        <w:spacing w:line="280" w:lineRule="exact"/>
        <w:jc w:val="both"/>
        <w:textAlignment w:val="auto"/>
        <w:rPr>
          <w:rFonts w:ascii="Garamond" w:hAnsi="Garamond"/>
          <w:lang w:val="en-GB"/>
        </w:rPr>
      </w:pPr>
      <w:r w:rsidRPr="00802C03">
        <w:rPr>
          <w:rFonts w:ascii="Garamond" w:hAnsi="Garamond"/>
          <w:lang w:val="en-GB"/>
        </w:rPr>
        <w:t>The estimates rely on a generator matrix (discussed below) and with this single matrix migration matrices for any migration horizon can be computed.</w:t>
      </w:r>
    </w:p>
    <w:p w:rsidR="001C7C52" w:rsidRPr="00802C03" w:rsidRDefault="001C7C52" w:rsidP="00BF30BE">
      <w:pPr>
        <w:numPr>
          <w:ilvl w:val="0"/>
          <w:numId w:val="14"/>
        </w:numPr>
        <w:overflowPunct/>
        <w:autoSpaceDE/>
        <w:autoSpaceDN/>
        <w:adjustRightInd/>
        <w:spacing w:line="280" w:lineRule="exact"/>
        <w:jc w:val="both"/>
        <w:textAlignment w:val="auto"/>
        <w:rPr>
          <w:rFonts w:ascii="Garamond" w:hAnsi="Garamond"/>
          <w:lang w:val="en-GB"/>
        </w:rPr>
      </w:pPr>
      <w:r w:rsidRPr="00802C03">
        <w:rPr>
          <w:rFonts w:ascii="Garamond" w:hAnsi="Garamond"/>
          <w:lang w:val="en-GB"/>
        </w:rPr>
        <w:t>The estimator uses all possible data. Each migration is taken into account, even if the issuer only spends a single day in the particular rating state.</w:t>
      </w:r>
    </w:p>
    <w:p w:rsidR="001C7C52" w:rsidRPr="00802C03" w:rsidRDefault="001C7C52" w:rsidP="00BF30BE">
      <w:pPr>
        <w:numPr>
          <w:ilvl w:val="0"/>
          <w:numId w:val="14"/>
        </w:numPr>
        <w:overflowPunct/>
        <w:autoSpaceDE/>
        <w:autoSpaceDN/>
        <w:adjustRightInd/>
        <w:spacing w:line="280" w:lineRule="exact"/>
        <w:jc w:val="both"/>
        <w:textAlignment w:val="auto"/>
        <w:rPr>
          <w:rFonts w:ascii="Garamond" w:hAnsi="Garamond"/>
          <w:lang w:val="en-GB"/>
        </w:rPr>
      </w:pPr>
      <w:r w:rsidRPr="00802C03">
        <w:rPr>
          <w:rFonts w:ascii="Garamond" w:hAnsi="Garamond"/>
          <w:lang w:val="en-GB"/>
        </w:rPr>
        <w:t>The framework allows for rigorous formulation and testing of assumptions. Rating drift and other non-Markov type behavio</w:t>
      </w:r>
      <w:r>
        <w:rPr>
          <w:rFonts w:ascii="Garamond" w:hAnsi="Garamond"/>
          <w:lang w:val="en-GB"/>
        </w:rPr>
        <w:t>u</w:t>
      </w:r>
      <w:r w:rsidRPr="00802C03">
        <w:rPr>
          <w:rFonts w:ascii="Garamond" w:hAnsi="Garamond"/>
          <w:lang w:val="en-GB"/>
        </w:rPr>
        <w:t>r can be addressed.</w:t>
      </w:r>
    </w:p>
    <w:p w:rsidR="001C7C52" w:rsidRPr="00802C03" w:rsidRDefault="001C7C52" w:rsidP="00BF30BE">
      <w:pPr>
        <w:numPr>
          <w:ilvl w:val="0"/>
          <w:numId w:val="14"/>
        </w:numPr>
        <w:overflowPunct/>
        <w:autoSpaceDE/>
        <w:autoSpaceDN/>
        <w:adjustRightInd/>
        <w:spacing w:line="280" w:lineRule="exact"/>
        <w:jc w:val="both"/>
        <w:textAlignment w:val="auto"/>
        <w:rPr>
          <w:rFonts w:ascii="Garamond" w:hAnsi="Garamond"/>
          <w:lang w:val="en-GB"/>
        </w:rPr>
      </w:pPr>
      <w:r w:rsidRPr="00802C03">
        <w:rPr>
          <w:rFonts w:ascii="Garamond" w:hAnsi="Garamond"/>
          <w:lang w:val="en-GB"/>
        </w:rPr>
        <w:t xml:space="preserve">The dependence of the migration probabilities on external (macroeconomic) covariates can be formulated and tested, and changes in ‘regimes’ due to business cycle effects (as in </w:t>
      </w:r>
      <w:hyperlink w:anchor="Nickell_et_al_2000" w:history="1">
        <w:r w:rsidRPr="00802C03">
          <w:rPr>
            <w:rStyle w:val="Hyperlink"/>
            <w:rFonts w:ascii="Garamond" w:hAnsi="Garamond"/>
            <w:color w:val="000066"/>
            <w:u w:val="none"/>
            <w:lang w:val="en-GB"/>
          </w:rPr>
          <w:t>Nickell et al., 2000</w:t>
        </w:r>
      </w:hyperlink>
      <w:r w:rsidRPr="00802C03">
        <w:rPr>
          <w:rFonts w:ascii="Garamond" w:hAnsi="Garamond"/>
          <w:lang w:val="en-GB"/>
        </w:rPr>
        <w:t xml:space="preserve">) or due to changes in rating policies (as in </w:t>
      </w:r>
      <w:hyperlink w:anchor="Blume_et_al_1998" w:history="1">
        <w:r w:rsidRPr="00802C03">
          <w:rPr>
            <w:rStyle w:val="Hyperlink"/>
            <w:rFonts w:ascii="Garamond" w:hAnsi="Garamond"/>
            <w:color w:val="000066"/>
            <w:u w:val="none"/>
            <w:lang w:val="en-GB"/>
          </w:rPr>
          <w:t>Blume et al., 1998</w:t>
        </w:r>
      </w:hyperlink>
      <w:r w:rsidRPr="00802C03">
        <w:rPr>
          <w:rFonts w:ascii="Garamond" w:hAnsi="Garamond"/>
          <w:lang w:val="en-GB"/>
        </w:rPr>
        <w:t xml:space="preserve">) can be assessed. </w:t>
      </w:r>
    </w:p>
    <w:p w:rsidR="001C7C52" w:rsidRPr="00802C03" w:rsidRDefault="001C7C52" w:rsidP="00BF30BE">
      <w:pPr>
        <w:numPr>
          <w:ilvl w:val="0"/>
          <w:numId w:val="14"/>
        </w:numPr>
        <w:overflowPunct/>
        <w:autoSpaceDE/>
        <w:autoSpaceDN/>
        <w:adjustRightInd/>
        <w:spacing w:line="280" w:lineRule="exact"/>
        <w:jc w:val="both"/>
        <w:textAlignment w:val="auto"/>
        <w:rPr>
          <w:rFonts w:ascii="Garamond" w:hAnsi="Garamond"/>
          <w:lang w:val="en-GB"/>
        </w:rPr>
      </w:pPr>
      <w:r w:rsidRPr="00802C03">
        <w:rPr>
          <w:rFonts w:ascii="Garamond" w:hAnsi="Garamond"/>
          <w:lang w:val="en-GB"/>
        </w:rPr>
        <w:t xml:space="preserve">The Not Rated (NR) category is handled very easily in the continuous-time framework. </w:t>
      </w:r>
      <w:hyperlink w:anchor="Carty_1997" w:history="1">
        <w:r w:rsidRPr="00802C03">
          <w:rPr>
            <w:rStyle w:val="Hyperlink"/>
            <w:rFonts w:ascii="Garamond" w:hAnsi="Garamond"/>
            <w:color w:val="000066"/>
            <w:u w:val="none"/>
            <w:lang w:val="en-GB"/>
          </w:rPr>
          <w:t>Carty (1997)</w:t>
        </w:r>
      </w:hyperlink>
      <w:r w:rsidRPr="00802C03">
        <w:rPr>
          <w:rFonts w:ascii="Garamond" w:hAnsi="Garamond"/>
          <w:lang w:val="en-GB"/>
        </w:rPr>
        <w:t xml:space="preserve"> argues that only 13% of the migrations to NR are related to changes in credit quality, and there and in </w:t>
      </w:r>
      <w:hyperlink w:anchor="Nickell_et_al_2000" w:history="1">
        <w:r w:rsidRPr="00802C03">
          <w:rPr>
            <w:rStyle w:val="Hyperlink"/>
            <w:rFonts w:ascii="Garamond" w:hAnsi="Garamond"/>
            <w:color w:val="000066"/>
            <w:u w:val="none"/>
            <w:lang w:val="en-GB"/>
          </w:rPr>
          <w:t>Nickell et al. (2000)</w:t>
        </w:r>
      </w:hyperlink>
      <w:r w:rsidRPr="00802C03">
        <w:rPr>
          <w:rFonts w:ascii="Garamond" w:hAnsi="Garamond"/>
          <w:lang w:val="en-GB"/>
        </w:rPr>
        <w:t xml:space="preserve"> this argument is used to exclude issuers who experience a transition to the NR category. In the continuous-time framework, such observations can be censored, allowing for full use of the information in the sample. The time an issuer spends in a rating category before it migrates to NR is valuable information on the transitions that did </w:t>
      </w:r>
      <w:r w:rsidRPr="00802C03">
        <w:rPr>
          <w:rFonts w:ascii="Garamond" w:hAnsi="Garamond"/>
          <w:i/>
          <w:lang w:val="en-GB"/>
        </w:rPr>
        <w:t>not</w:t>
      </w:r>
      <w:r w:rsidRPr="00802C03">
        <w:rPr>
          <w:rFonts w:ascii="Garamond" w:hAnsi="Garamond"/>
          <w:lang w:val="en-GB"/>
        </w:rPr>
        <w:t xml:space="preserve"> occur in that time period. In contrast, in the cohort approach, basically all issuers that are rated NR at the beginning or the end of each estimation interval are treated as non-informative and are implicitly eliminated from the sample.</w:t>
      </w:r>
    </w:p>
    <w:p w:rsidR="001C7C52" w:rsidRPr="00802C03" w:rsidRDefault="001C7C52" w:rsidP="00E17C8F">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As mentioned above, the estimation based on continuous observations relies on a generator matrix. More specifically, it relies on the estimation of the generator matrix of a time-homogeneous Markov chain. The credit migration probability matrix, of a continuous-time Markov chain with finite space </w:t>
      </w:r>
      <w:r w:rsidRPr="00100BDF">
        <w:rPr>
          <w:rFonts w:ascii="Garamond" w:hAnsi="Garamond"/>
          <w:position w:val="-10"/>
          <w:lang w:val="en-GB"/>
        </w:rPr>
        <w:object w:dxaOrig="1240" w:dyaOrig="300">
          <v:shape id="_x0000_i1617" type="#_x0000_t75" style="width:62.25pt;height:15pt" o:ole="">
            <v:imagedata r:id="rId1089" o:title=""/>
          </v:shape>
          <o:OLEObject Type="Embed" ProgID="Equation.DSMT4" ShapeID="_x0000_i1617" DrawAspect="Content" ObjectID="_1324894100" r:id="rId1090"/>
        </w:object>
      </w:r>
      <w:r w:rsidRPr="00802C03">
        <w:rPr>
          <w:rFonts w:ascii="Garamond" w:hAnsi="Garamond"/>
          <w:lang w:val="en-GB"/>
        </w:rPr>
        <w:t xml:space="preserve">, is denoted as </w:t>
      </w:r>
      <w:r w:rsidRPr="00100BDF">
        <w:rPr>
          <w:rFonts w:ascii="Garamond" w:hAnsi="Garamond"/>
          <w:position w:val="-10"/>
          <w:lang w:val="en-GB"/>
        </w:rPr>
        <w:object w:dxaOrig="400" w:dyaOrig="300">
          <v:shape id="_x0000_i1618" type="#_x0000_t75" style="width:20.25pt;height:15pt" o:ole="">
            <v:imagedata r:id="rId1091" o:title=""/>
          </v:shape>
          <o:OLEObject Type="Embed" ProgID="Equation.DSMT4" ShapeID="_x0000_i1618" DrawAspect="Content" ObjectID="_1324894101" r:id="rId1092"/>
        </w:object>
      </w:r>
      <w:r w:rsidRPr="00802C03">
        <w:rPr>
          <w:rFonts w:ascii="Garamond" w:hAnsi="Garamond"/>
          <w:lang w:val="en-GB"/>
        </w:rPr>
        <w:t xml:space="preserve">, where </w:t>
      </w:r>
      <w:r w:rsidRPr="00100BDF">
        <w:rPr>
          <w:rFonts w:ascii="Garamond" w:hAnsi="Garamond"/>
          <w:position w:val="-6"/>
          <w:lang w:val="en-GB"/>
        </w:rPr>
        <w:object w:dxaOrig="139" w:dyaOrig="220">
          <v:shape id="_x0000_i1619" type="#_x0000_t75" style="width:6.75pt;height:11.25pt" o:ole="">
            <v:imagedata r:id="rId1093" o:title=""/>
          </v:shape>
          <o:OLEObject Type="Embed" ProgID="Equation.DSMT4" ShapeID="_x0000_i1619" DrawAspect="Content" ObjectID="_1324894102" r:id="rId1094"/>
        </w:object>
      </w:r>
      <w:r w:rsidRPr="00802C03">
        <w:rPr>
          <w:rFonts w:ascii="Garamond" w:hAnsi="Garamond"/>
          <w:lang w:val="en-GB"/>
        </w:rPr>
        <w:t xml:space="preserve"> is the considered migration or risk horizon. Thus, the </w:t>
      </w:r>
      <w:r w:rsidRPr="00100BDF">
        <w:rPr>
          <w:rFonts w:ascii="Garamond" w:hAnsi="Garamond"/>
          <w:position w:val="-10"/>
          <w:lang w:val="en-GB"/>
        </w:rPr>
        <w:object w:dxaOrig="279" w:dyaOrig="320">
          <v:shape id="_x0000_i1620" type="#_x0000_t75" style="width:13.5pt;height:15.75pt" o:ole="">
            <v:imagedata r:id="rId1095" o:title=""/>
          </v:shape>
          <o:OLEObject Type="Embed" ProgID="Equation.DSMT4" ShapeID="_x0000_i1620" DrawAspect="Content" ObjectID="_1324894103" r:id="rId1096"/>
        </w:object>
      </w:r>
      <w:r w:rsidRPr="00802C03">
        <w:rPr>
          <w:rFonts w:ascii="Garamond" w:hAnsi="Garamond"/>
          <w:lang w:val="en-GB"/>
        </w:rPr>
        <w:t xml:space="preserve"> element of this matrix is:</w:t>
      </w:r>
    </w:p>
    <w:p w:rsidR="001C7C52" w:rsidRPr="00802C03" w:rsidRDefault="001C7C52" w:rsidP="00E5145A">
      <w:pPr>
        <w:tabs>
          <w:tab w:val="left" w:pos="567"/>
          <w:tab w:val="left" w:pos="8505"/>
        </w:tabs>
        <w:spacing w:before="80" w:after="120" w:line="320" w:lineRule="exact"/>
        <w:ind w:firstLine="567"/>
        <w:jc w:val="both"/>
        <w:rPr>
          <w:rFonts w:ascii="Garamond" w:hAnsi="Garamond"/>
          <w:lang w:val="en-GB"/>
        </w:rPr>
      </w:pPr>
      <w:r w:rsidRPr="005E2D6F">
        <w:rPr>
          <w:rFonts w:ascii="Garamond" w:hAnsi="Garamond"/>
          <w:position w:val="-10"/>
          <w:lang w:val="en-GB"/>
        </w:rPr>
        <w:object w:dxaOrig="1980" w:dyaOrig="300">
          <v:shape id="_x0000_i1621" type="#_x0000_t75" style="width:98.25pt;height:15pt" o:ole="">
            <v:imagedata r:id="rId1097" o:title=""/>
          </v:shape>
          <o:OLEObject Type="Embed" ProgID="Equation.DSMT4" ShapeID="_x0000_i1621" DrawAspect="Content" ObjectID="_1324894104" r:id="rId1098"/>
        </w:object>
      </w:r>
      <w:r w:rsidRPr="00802C03">
        <w:rPr>
          <w:rFonts w:ascii="Garamond" w:hAnsi="Garamond"/>
          <w:lang w:val="en-GB"/>
        </w:rPr>
        <w:t>.</w:t>
      </w:r>
      <w:r w:rsidRPr="00802C03">
        <w:rPr>
          <w:rFonts w:ascii="Garamond" w:hAnsi="Garamond"/>
          <w:lang w:val="en-GB"/>
        </w:rPr>
        <w:tab/>
        <w:t>(2.4)</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The generator matrix (</w:t>
      </w:r>
      <w:r w:rsidRPr="00100BDF">
        <w:rPr>
          <w:rFonts w:ascii="Garamond" w:hAnsi="Garamond"/>
          <w:position w:val="-4"/>
          <w:lang w:val="en-GB"/>
        </w:rPr>
        <w:object w:dxaOrig="220" w:dyaOrig="220">
          <v:shape id="_x0000_i1622" type="#_x0000_t75" style="width:11.25pt;height:11.25pt" o:ole="">
            <v:imagedata r:id="rId1099" o:title=""/>
          </v:shape>
          <o:OLEObject Type="Embed" ProgID="Equation.DSMT4" ShapeID="_x0000_i1622" DrawAspect="Content" ObjectID="_1324894105" r:id="rId1100"/>
        </w:object>
      </w:r>
      <w:r w:rsidRPr="00802C03">
        <w:rPr>
          <w:rFonts w:ascii="Garamond" w:hAnsi="Garamond"/>
          <w:lang w:val="en-GB"/>
        </w:rPr>
        <w:t xml:space="preserve">) is a </w:t>
      </w:r>
      <w:r w:rsidRPr="00100BDF">
        <w:rPr>
          <w:rFonts w:ascii="Garamond" w:hAnsi="Garamond"/>
          <w:position w:val="-4"/>
          <w:lang w:val="en-GB"/>
        </w:rPr>
        <w:object w:dxaOrig="240" w:dyaOrig="220">
          <v:shape id="_x0000_i1623" type="#_x0000_t75" style="width:12pt;height:11.25pt" o:ole="">
            <v:imagedata r:id="rId1101" o:title=""/>
          </v:shape>
          <o:OLEObject Type="Embed" ProgID="Equation.DSMT4" ShapeID="_x0000_i1623" DrawAspect="Content" ObjectID="_1324894106" r:id="rId1102"/>
        </w:object>
      </w:r>
      <w:r w:rsidRPr="00802C03">
        <w:rPr>
          <w:rFonts w:ascii="Garamond" w:hAnsi="Garamond"/>
          <w:lang w:val="en-GB"/>
        </w:rPr>
        <w:t xml:space="preserve"> x </w:t>
      </w:r>
      <w:r w:rsidRPr="00100BDF">
        <w:rPr>
          <w:rFonts w:ascii="Garamond" w:hAnsi="Garamond"/>
          <w:position w:val="-4"/>
          <w:lang w:val="en-GB"/>
        </w:rPr>
        <w:object w:dxaOrig="240" w:dyaOrig="220">
          <v:shape id="_x0000_i1624" type="#_x0000_t75" style="width:12pt;height:11.25pt" o:ole="">
            <v:imagedata r:id="rId1103" o:title=""/>
          </v:shape>
          <o:OLEObject Type="Embed" ProgID="Equation.DSMT4" ShapeID="_x0000_i1624" DrawAspect="Content" ObjectID="_1324894107" r:id="rId1104"/>
        </w:object>
      </w:r>
      <w:r w:rsidRPr="00802C03">
        <w:rPr>
          <w:rFonts w:ascii="Garamond" w:hAnsi="Garamond"/>
          <w:lang w:val="en-GB"/>
        </w:rPr>
        <w:t xml:space="preserve"> matrix from which </w:t>
      </w:r>
      <w:r w:rsidRPr="00100BDF">
        <w:rPr>
          <w:rFonts w:ascii="Garamond" w:hAnsi="Garamond"/>
          <w:position w:val="-10"/>
          <w:lang w:val="en-GB"/>
        </w:rPr>
        <w:object w:dxaOrig="400" w:dyaOrig="300">
          <v:shape id="_x0000_i1625" type="#_x0000_t75" style="width:20.25pt;height:15pt" o:ole="">
            <v:imagedata r:id="rId1105" o:title=""/>
          </v:shape>
          <o:OLEObject Type="Embed" ProgID="Equation.DSMT4" ShapeID="_x0000_i1625" DrawAspect="Content" ObjectID="_1324894108" r:id="rId1106"/>
        </w:object>
      </w:r>
      <w:r w:rsidRPr="00802C03">
        <w:rPr>
          <w:rFonts w:ascii="Garamond" w:hAnsi="Garamond"/>
          <w:lang w:val="en-GB"/>
        </w:rPr>
        <w:t xml:space="preserve"> can be calculated as follows for all </w:t>
      </w:r>
      <w:r w:rsidRPr="00100BDF">
        <w:rPr>
          <w:rFonts w:ascii="Garamond" w:hAnsi="Garamond"/>
          <w:position w:val="-6"/>
          <w:lang w:val="en-GB"/>
        </w:rPr>
        <w:object w:dxaOrig="440" w:dyaOrig="240">
          <v:shape id="_x0000_i1626" type="#_x0000_t75" style="width:21.75pt;height:12pt" o:ole="">
            <v:imagedata r:id="rId1107" o:title=""/>
          </v:shape>
          <o:OLEObject Type="Embed" ProgID="Equation.DSMT4" ShapeID="_x0000_i1626" DrawAspect="Content" ObjectID="_1324894109" r:id="rId1108"/>
        </w:object>
      </w:r>
      <w:r w:rsidRPr="00802C03">
        <w:rPr>
          <w:rFonts w:ascii="Garamond" w:hAnsi="Garamond"/>
          <w:lang w:val="en-GB"/>
        </w:rPr>
        <w:t>:</w:t>
      </w:r>
    </w:p>
    <w:p w:rsidR="001C7C52" w:rsidRPr="00802C03" w:rsidRDefault="001C7C52" w:rsidP="00E5145A">
      <w:pPr>
        <w:tabs>
          <w:tab w:val="left" w:pos="567"/>
          <w:tab w:val="left" w:pos="8505"/>
        </w:tabs>
        <w:spacing w:before="80" w:line="320" w:lineRule="exact"/>
        <w:ind w:firstLine="567"/>
        <w:jc w:val="both"/>
        <w:rPr>
          <w:rFonts w:ascii="Garamond" w:hAnsi="Garamond"/>
          <w:lang w:val="en-GB"/>
        </w:rPr>
      </w:pPr>
      <w:r w:rsidRPr="005E2D6F">
        <w:rPr>
          <w:rFonts w:ascii="Garamond" w:hAnsi="Garamond"/>
          <w:position w:val="-10"/>
          <w:lang w:val="en-GB"/>
        </w:rPr>
        <w:object w:dxaOrig="1260" w:dyaOrig="300">
          <v:shape id="_x0000_i1627" type="#_x0000_t75" style="width:63pt;height:15pt" o:ole="">
            <v:imagedata r:id="rId1109" o:title=""/>
          </v:shape>
          <o:OLEObject Type="Embed" ProgID="Equation.DSMT4" ShapeID="_x0000_i1627" DrawAspect="Content" ObjectID="_1324894110" r:id="rId1110"/>
        </w:object>
      </w:r>
      <w:r w:rsidRPr="00802C03">
        <w:rPr>
          <w:rFonts w:ascii="Garamond" w:hAnsi="Garamond"/>
          <w:lang w:val="en-GB"/>
        </w:rPr>
        <w:t>,</w:t>
      </w:r>
      <w:r w:rsidRPr="00802C03">
        <w:rPr>
          <w:rFonts w:ascii="Garamond" w:hAnsi="Garamond"/>
          <w:lang w:val="en-GB"/>
        </w:rPr>
        <w:tab/>
        <w:t>(2.5)</w:t>
      </w:r>
    </w:p>
    <w:p w:rsidR="001C7C52" w:rsidRPr="00802C03" w:rsidRDefault="001C7C52" w:rsidP="00E5145A">
      <w:pPr>
        <w:spacing w:before="120" w:after="120" w:line="320" w:lineRule="atLeast"/>
        <w:jc w:val="both"/>
        <w:rPr>
          <w:rFonts w:ascii="Garamond" w:hAnsi="Garamond"/>
          <w:lang w:val="en-GB"/>
        </w:rPr>
      </w:pPr>
      <w:r w:rsidRPr="00802C03">
        <w:rPr>
          <w:rFonts w:ascii="Garamond" w:hAnsi="Garamond"/>
          <w:lang w:val="en-GB"/>
        </w:rPr>
        <w:tab/>
        <w:t xml:space="preserve">where </w:t>
      </w:r>
      <w:r w:rsidRPr="00100BDF">
        <w:rPr>
          <w:rFonts w:ascii="Garamond" w:hAnsi="Garamond"/>
          <w:position w:val="-22"/>
          <w:lang w:val="en-GB"/>
        </w:rPr>
        <w:object w:dxaOrig="1640" w:dyaOrig="560">
          <v:shape id="_x0000_i1628" type="#_x0000_t75" style="width:81.75pt;height:27.75pt" o:ole="">
            <v:imagedata r:id="rId1111" o:title=""/>
          </v:shape>
          <o:OLEObject Type="Embed" ProgID="Equation.DSMT4" ShapeID="_x0000_i1628" DrawAspect="Content" ObjectID="_1324894111" r:id="rId1112"/>
        </w:object>
      </w:r>
      <w:r w:rsidRPr="00802C03">
        <w:rPr>
          <w:rFonts w:ascii="Garamond" w:hAnsi="Garamond"/>
          <w:lang w:val="en-GB"/>
        </w:rPr>
        <w:t>.</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The entries in the generator (</w:t>
      </w:r>
      <w:r w:rsidRPr="00100BDF">
        <w:rPr>
          <w:rFonts w:ascii="Garamond" w:hAnsi="Garamond"/>
          <w:position w:val="-4"/>
          <w:lang w:val="en-GB"/>
        </w:rPr>
        <w:object w:dxaOrig="220" w:dyaOrig="220">
          <v:shape id="_x0000_i1629" type="#_x0000_t75" style="width:11.25pt;height:11.25pt" o:ole="">
            <v:imagedata r:id="rId1113" o:title=""/>
          </v:shape>
          <o:OLEObject Type="Embed" ProgID="Equation.DSMT4" ShapeID="_x0000_i1629" DrawAspect="Content" ObjectID="_1324894112" r:id="rId1114"/>
        </w:object>
      </w:r>
      <w:r w:rsidRPr="00802C03">
        <w:rPr>
          <w:rFonts w:ascii="Garamond" w:hAnsi="Garamond"/>
          <w:lang w:val="en-GB"/>
        </w:rPr>
        <w:t>) satisfy:</w:t>
      </w:r>
    </w:p>
    <w:p w:rsidR="001C7C52" w:rsidRPr="00802C03" w:rsidRDefault="001C7C52" w:rsidP="00E5145A">
      <w:pPr>
        <w:tabs>
          <w:tab w:val="left" w:pos="567"/>
          <w:tab w:val="left" w:pos="8505"/>
        </w:tabs>
        <w:spacing w:before="80" w:line="320" w:lineRule="exact"/>
        <w:jc w:val="both"/>
        <w:rPr>
          <w:rFonts w:ascii="Garamond" w:hAnsi="Garamond"/>
          <w:lang w:val="en-GB"/>
        </w:rPr>
      </w:pPr>
      <w:r w:rsidRPr="00802C03">
        <w:rPr>
          <w:rFonts w:ascii="Garamond" w:hAnsi="Garamond"/>
          <w:lang w:val="en-GB"/>
        </w:rPr>
        <w:tab/>
      </w:r>
      <w:r w:rsidRPr="00100BDF">
        <w:rPr>
          <w:rFonts w:ascii="Garamond" w:hAnsi="Garamond"/>
          <w:position w:val="-10"/>
          <w:lang w:val="en-GB"/>
        </w:rPr>
        <w:object w:dxaOrig="560" w:dyaOrig="300">
          <v:shape id="_x0000_i1630" type="#_x0000_t75" style="width:27.75pt;height:15pt" o:ole="">
            <v:imagedata r:id="rId1115" o:title=""/>
          </v:shape>
          <o:OLEObject Type="Embed" ProgID="Equation.DSMT4" ShapeID="_x0000_i1630" DrawAspect="Content" ObjectID="_1324894113" r:id="rId1116"/>
        </w:object>
      </w:r>
      <w:r w:rsidRPr="00802C03">
        <w:rPr>
          <w:rFonts w:ascii="Garamond" w:hAnsi="Garamond"/>
          <w:lang w:val="en-GB"/>
        </w:rPr>
        <w:t xml:space="preserve"> for </w:t>
      </w:r>
      <w:r w:rsidRPr="00100BDF">
        <w:rPr>
          <w:rFonts w:ascii="Garamond" w:hAnsi="Garamond"/>
          <w:position w:val="-10"/>
          <w:lang w:val="en-GB"/>
        </w:rPr>
        <w:object w:dxaOrig="440" w:dyaOrig="279">
          <v:shape id="_x0000_i1631" type="#_x0000_t75" style="width:21.75pt;height:13.5pt" o:ole="">
            <v:imagedata r:id="rId1117" o:title=""/>
          </v:shape>
          <o:OLEObject Type="Embed" ProgID="Equation.DSMT4" ShapeID="_x0000_i1631" DrawAspect="Content" ObjectID="_1324894114" r:id="rId1118"/>
        </w:object>
      </w:r>
      <w:r w:rsidRPr="00802C03">
        <w:rPr>
          <w:rFonts w:ascii="Garamond" w:hAnsi="Garamond"/>
          <w:lang w:val="en-GB"/>
        </w:rPr>
        <w:t>,</w:t>
      </w:r>
      <w:r w:rsidRPr="00802C03">
        <w:rPr>
          <w:rFonts w:ascii="Garamond" w:hAnsi="Garamond"/>
          <w:lang w:val="en-GB"/>
        </w:rPr>
        <w:tab/>
      </w:r>
      <w:r w:rsidRPr="00802C03">
        <w:rPr>
          <w:rFonts w:ascii="Garamond" w:hAnsi="Garamond"/>
          <w:lang w:val="en-GB"/>
        </w:rPr>
        <w:tab/>
        <w:t>(2.6)</w:t>
      </w:r>
    </w:p>
    <w:p w:rsidR="001C7C52" w:rsidRPr="00802C03" w:rsidRDefault="001C7C52" w:rsidP="00E5145A">
      <w:pPr>
        <w:tabs>
          <w:tab w:val="left" w:pos="567"/>
          <w:tab w:val="left" w:pos="8505"/>
        </w:tabs>
        <w:spacing w:before="120" w:after="120" w:line="320" w:lineRule="atLeast"/>
        <w:jc w:val="both"/>
        <w:rPr>
          <w:rFonts w:ascii="Garamond" w:hAnsi="Garamond"/>
          <w:lang w:val="en-GB"/>
        </w:rPr>
      </w:pPr>
      <w:r w:rsidRPr="00802C03">
        <w:rPr>
          <w:rFonts w:ascii="Garamond" w:hAnsi="Garamond"/>
          <w:lang w:val="en-GB"/>
        </w:rPr>
        <w:tab/>
      </w:r>
      <w:r w:rsidRPr="00100BDF">
        <w:rPr>
          <w:rFonts w:ascii="Garamond" w:hAnsi="Garamond"/>
          <w:position w:val="-12"/>
          <w:lang w:val="en-GB"/>
        </w:rPr>
        <w:object w:dxaOrig="1020" w:dyaOrig="340">
          <v:shape id="_x0000_i1632" type="#_x0000_t75" style="width:50.25pt;height:16.5pt" o:ole="">
            <v:imagedata r:id="rId1119" o:title=""/>
          </v:shape>
          <o:OLEObject Type="Embed" ProgID="Equation.DSMT4" ShapeID="_x0000_i1632" DrawAspect="Content" ObjectID="_1324894115" r:id="rId1120"/>
        </w:object>
      </w:r>
      <w:r w:rsidRPr="00802C03">
        <w:rPr>
          <w:rFonts w:ascii="Garamond" w:hAnsi="Garamond"/>
          <w:lang w:val="en-GB"/>
        </w:rPr>
        <w:t>.</w:t>
      </w:r>
      <w:r w:rsidRPr="00802C03">
        <w:rPr>
          <w:rFonts w:ascii="Garamond" w:hAnsi="Garamond"/>
          <w:lang w:val="en-GB"/>
        </w:rPr>
        <w:tab/>
        <w:t>(2.7)</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These entries describe the probabilistic behavio</w:t>
      </w:r>
      <w:r>
        <w:rPr>
          <w:rFonts w:ascii="Garamond" w:hAnsi="Garamond"/>
          <w:lang w:val="en-GB"/>
        </w:rPr>
        <w:t>u</w:t>
      </w:r>
      <w:r w:rsidRPr="00802C03">
        <w:rPr>
          <w:rFonts w:ascii="Garamond" w:hAnsi="Garamond"/>
          <w:lang w:val="en-GB"/>
        </w:rPr>
        <w:t xml:space="preserve">r of the holding time in rating state </w:t>
      </w:r>
      <w:r w:rsidRPr="00100BDF">
        <w:rPr>
          <w:rFonts w:ascii="Garamond" w:hAnsi="Garamond"/>
          <w:position w:val="-6"/>
          <w:lang w:val="en-GB"/>
        </w:rPr>
        <w:object w:dxaOrig="139" w:dyaOrig="240">
          <v:shape id="_x0000_i1633" type="#_x0000_t75" style="width:6.75pt;height:12pt" o:ole="">
            <v:imagedata r:id="rId1121" o:title=""/>
          </v:shape>
          <o:OLEObject Type="Embed" ProgID="Equation.DSMT4" ShapeID="_x0000_i1633" DrawAspect="Content" ObjectID="_1324894116" r:id="rId1122"/>
        </w:object>
      </w:r>
      <w:r w:rsidRPr="00802C03">
        <w:rPr>
          <w:rFonts w:ascii="Garamond" w:hAnsi="Garamond"/>
          <w:lang w:val="en-GB"/>
        </w:rPr>
        <w:t xml:space="preserve"> as exponentially distributed with parameter </w:t>
      </w:r>
      <w:r w:rsidRPr="00100BDF">
        <w:rPr>
          <w:rFonts w:ascii="Garamond" w:hAnsi="Garamond"/>
          <w:position w:val="-8"/>
          <w:lang w:val="en-GB"/>
        </w:rPr>
        <w:object w:dxaOrig="220" w:dyaOrig="279">
          <v:shape id="_x0000_i1634" type="#_x0000_t75" style="width:11.25pt;height:13.5pt" o:ole="">
            <v:imagedata r:id="rId1123" o:title=""/>
          </v:shape>
          <o:OLEObject Type="Embed" ProgID="Equation.DSMT4" ShapeID="_x0000_i1634" DrawAspect="Content" ObjectID="_1324894117" r:id="rId1124"/>
        </w:object>
      </w:r>
      <w:r w:rsidRPr="00802C03">
        <w:rPr>
          <w:rFonts w:ascii="Garamond" w:hAnsi="Garamond"/>
          <w:lang w:val="en-GB"/>
        </w:rPr>
        <w:t xml:space="preserve">, where </w:t>
      </w:r>
      <w:r w:rsidRPr="00100BDF">
        <w:rPr>
          <w:rFonts w:ascii="Garamond" w:hAnsi="Garamond"/>
          <w:position w:val="-8"/>
          <w:lang w:val="en-GB"/>
        </w:rPr>
        <w:object w:dxaOrig="720" w:dyaOrig="279">
          <v:shape id="_x0000_i1635" type="#_x0000_t75" style="width:36pt;height:13.5pt" o:ole="">
            <v:imagedata r:id="rId1125" o:title=""/>
          </v:shape>
          <o:OLEObject Type="Embed" ProgID="Equation.DSMT4" ShapeID="_x0000_i1635" DrawAspect="Content" ObjectID="_1324894118" r:id="rId1126"/>
        </w:object>
      </w:r>
      <w:r w:rsidRPr="00802C03">
        <w:rPr>
          <w:rFonts w:ascii="Garamond" w:hAnsi="Garamond"/>
          <w:lang w:val="en-GB"/>
        </w:rPr>
        <w:t xml:space="preserve">, and the probability of jumping from rating state </w:t>
      </w:r>
      <w:r w:rsidRPr="00100BDF">
        <w:rPr>
          <w:rFonts w:ascii="Garamond" w:hAnsi="Garamond"/>
          <w:position w:val="-6"/>
          <w:lang w:val="en-GB"/>
        </w:rPr>
        <w:object w:dxaOrig="139" w:dyaOrig="240">
          <v:shape id="_x0000_i1636" type="#_x0000_t75" style="width:6.75pt;height:12pt" o:ole="">
            <v:imagedata r:id="rId1127" o:title=""/>
          </v:shape>
          <o:OLEObject Type="Embed" ProgID="Equation.DSMT4" ShapeID="_x0000_i1636" DrawAspect="Content" ObjectID="_1324894119" r:id="rId1128"/>
        </w:object>
      </w:r>
      <w:r w:rsidRPr="00802C03">
        <w:rPr>
          <w:rFonts w:ascii="Garamond" w:hAnsi="Garamond"/>
          <w:lang w:val="en-GB"/>
        </w:rPr>
        <w:t xml:space="preserve"> to rating state </w:t>
      </w:r>
      <w:r w:rsidRPr="00100BDF">
        <w:rPr>
          <w:rFonts w:ascii="Garamond" w:hAnsi="Garamond"/>
          <w:position w:val="-10"/>
          <w:lang w:val="en-GB"/>
        </w:rPr>
        <w:object w:dxaOrig="180" w:dyaOrig="279">
          <v:shape id="_x0000_i1637" type="#_x0000_t75" style="width:9pt;height:13.5pt" o:ole="">
            <v:imagedata r:id="rId1129" o:title=""/>
          </v:shape>
          <o:OLEObject Type="Embed" ProgID="Equation.DSMT4" ShapeID="_x0000_i1637" DrawAspect="Content" ObjectID="_1324894120" r:id="rId1130"/>
        </w:object>
      </w:r>
      <w:r w:rsidRPr="00802C03">
        <w:rPr>
          <w:rFonts w:ascii="Garamond" w:hAnsi="Garamond"/>
          <w:lang w:val="en-GB"/>
        </w:rPr>
        <w:t xml:space="preserve"> in the case that a jump occurs is given by </w:t>
      </w:r>
      <w:r w:rsidRPr="00100BDF">
        <w:rPr>
          <w:rFonts w:ascii="Garamond" w:hAnsi="Garamond"/>
          <w:position w:val="-10"/>
          <w:lang w:val="en-GB"/>
        </w:rPr>
        <w:object w:dxaOrig="540" w:dyaOrig="300">
          <v:shape id="_x0000_i1638" type="#_x0000_t75" style="width:27pt;height:15pt" o:ole="">
            <v:imagedata r:id="rId1131" o:title=""/>
          </v:shape>
          <o:OLEObject Type="Embed" ProgID="Equation.DSMT4" ShapeID="_x0000_i1638" DrawAspect="Content" ObjectID="_1324894121" r:id="rId1132"/>
        </w:object>
      </w:r>
      <w:r w:rsidRPr="00802C03">
        <w:rPr>
          <w:rFonts w:ascii="Garamond" w:hAnsi="Garamond"/>
          <w:lang w:val="en-GB"/>
        </w:rPr>
        <w:t>. The maximum-likelihood estimator for the calculation of the elements of the generator matrix under the assumption of time-homogeneity is expressed as follows (</w:t>
      </w:r>
      <w:hyperlink w:anchor="Kuchler_Sorensen_1997" w:history="1">
        <w:r w:rsidRPr="00802C03">
          <w:rPr>
            <w:rStyle w:val="Hyperlink"/>
            <w:rFonts w:ascii="Garamond" w:hAnsi="Garamond"/>
            <w:color w:val="000066"/>
            <w:u w:val="none"/>
            <w:lang w:val="en-GB"/>
          </w:rPr>
          <w:t>Küchler &amp; Sørensen, 1997</w:t>
        </w:r>
      </w:hyperlink>
      <w:r w:rsidRPr="00802C03">
        <w:rPr>
          <w:rFonts w:ascii="Garamond" w:hAnsi="Garamond"/>
          <w:lang w:val="en-GB"/>
        </w:rPr>
        <w:t>):</w:t>
      </w:r>
    </w:p>
    <w:p w:rsidR="001C7C52" w:rsidRPr="00802C03" w:rsidRDefault="001C7C52" w:rsidP="00E5145A">
      <w:pPr>
        <w:tabs>
          <w:tab w:val="left" w:pos="567"/>
          <w:tab w:val="left" w:pos="8505"/>
        </w:tabs>
        <w:spacing w:before="80" w:line="320" w:lineRule="atLeast"/>
        <w:ind w:firstLine="567"/>
        <w:jc w:val="both"/>
        <w:rPr>
          <w:rFonts w:ascii="Garamond" w:hAnsi="Garamond"/>
          <w:lang w:val="en-GB"/>
        </w:rPr>
      </w:pPr>
      <w:r w:rsidRPr="005E2D6F">
        <w:rPr>
          <w:rFonts w:ascii="Garamond" w:hAnsi="Garamond"/>
          <w:position w:val="-54"/>
          <w:lang w:val="en-GB"/>
        </w:rPr>
        <w:object w:dxaOrig="1180" w:dyaOrig="880">
          <v:shape id="_x0000_i1639" type="#_x0000_t75" style="width:58.5pt;height:43.5pt" o:ole="">
            <v:imagedata r:id="rId1133" o:title=""/>
          </v:shape>
          <o:OLEObject Type="Embed" ProgID="Equation.DSMT4" ShapeID="_x0000_i1639" DrawAspect="Content" ObjectID="_1324894122" r:id="rId1134"/>
        </w:object>
      </w:r>
      <w:r w:rsidRPr="00802C03">
        <w:rPr>
          <w:rFonts w:ascii="Garamond" w:hAnsi="Garamond"/>
          <w:lang w:val="en-GB"/>
        </w:rPr>
        <w:t>,</w:t>
      </w:r>
      <w:bookmarkStart w:id="46" w:name="E2N8"/>
      <w:bookmarkEnd w:id="46"/>
      <w:r w:rsidRPr="00802C03">
        <w:rPr>
          <w:rFonts w:ascii="Garamond" w:hAnsi="Garamond"/>
          <w:lang w:val="en-GB"/>
        </w:rPr>
        <w:tab/>
        <w:t>(2.8)</w:t>
      </w:r>
    </w:p>
    <w:p w:rsidR="001C7C52" w:rsidRPr="00802C03" w:rsidRDefault="001C7C52" w:rsidP="00E5145A">
      <w:pPr>
        <w:spacing w:before="60" w:after="160" w:line="280" w:lineRule="exact"/>
        <w:ind w:left="567"/>
        <w:jc w:val="both"/>
        <w:rPr>
          <w:rFonts w:ascii="Garamond" w:hAnsi="Garamond"/>
          <w:lang w:val="en-GB"/>
        </w:rPr>
      </w:pPr>
      <w:r w:rsidRPr="00802C03">
        <w:rPr>
          <w:rFonts w:ascii="Garamond" w:hAnsi="Garamond"/>
          <w:lang w:val="en-GB"/>
        </w:rPr>
        <w:t xml:space="preserve">where </w:t>
      </w:r>
      <w:r w:rsidRPr="00100BDF">
        <w:rPr>
          <w:rFonts w:ascii="Garamond" w:hAnsi="Garamond"/>
          <w:position w:val="-10"/>
          <w:lang w:val="en-GB"/>
        </w:rPr>
        <w:object w:dxaOrig="440" w:dyaOrig="300">
          <v:shape id="_x0000_i1640" type="#_x0000_t75" style="width:21.75pt;height:15pt" o:ole="">
            <v:imagedata r:id="rId1135" o:title=""/>
          </v:shape>
          <o:OLEObject Type="Embed" ProgID="Equation.DSMT4" ShapeID="_x0000_i1640" DrawAspect="Content" ObjectID="_1324894123" r:id="rId1136"/>
        </w:object>
      </w:r>
      <w:r w:rsidRPr="00802C03">
        <w:rPr>
          <w:rFonts w:ascii="Garamond" w:hAnsi="Garamond"/>
          <w:lang w:val="en-GB"/>
        </w:rPr>
        <w:t xml:space="preserve"> is the number of issuers in state </w:t>
      </w:r>
      <w:r w:rsidRPr="00100BDF">
        <w:rPr>
          <w:rFonts w:ascii="Garamond" w:hAnsi="Garamond"/>
          <w:position w:val="-6"/>
          <w:lang w:val="en-GB"/>
        </w:rPr>
        <w:object w:dxaOrig="139" w:dyaOrig="240">
          <v:shape id="_x0000_i1641" type="#_x0000_t75" style="width:6.75pt;height:12pt" o:ole="">
            <v:imagedata r:id="rId1137" o:title=""/>
          </v:shape>
          <o:OLEObject Type="Embed" ProgID="Equation.DSMT4" ShapeID="_x0000_i1641" DrawAspect="Content" ObjectID="_1324894124" r:id="rId1138"/>
        </w:object>
      </w:r>
      <w:r w:rsidRPr="00802C03">
        <w:rPr>
          <w:rFonts w:ascii="Garamond" w:hAnsi="Garamond"/>
          <w:lang w:val="en-GB"/>
        </w:rPr>
        <w:t xml:space="preserve"> at time </w:t>
      </w:r>
      <w:r w:rsidRPr="00100BDF">
        <w:rPr>
          <w:rFonts w:ascii="Garamond" w:hAnsi="Garamond"/>
          <w:position w:val="-6"/>
          <w:lang w:val="en-GB"/>
        </w:rPr>
        <w:object w:dxaOrig="160" w:dyaOrig="200">
          <v:shape id="_x0000_i1642" type="#_x0000_t75" style="width:8.25pt;height:9.75pt" o:ole="">
            <v:imagedata r:id="rId1139" o:title=""/>
          </v:shape>
          <o:OLEObject Type="Embed" ProgID="Equation.DSMT4" ShapeID="_x0000_i1642" DrawAspect="Content" ObjectID="_1324894125" r:id="rId1140"/>
        </w:object>
      </w:r>
      <w:r w:rsidRPr="00802C03">
        <w:rPr>
          <w:rFonts w:ascii="Garamond" w:hAnsi="Garamond"/>
          <w:lang w:val="en-GB"/>
        </w:rPr>
        <w:t xml:space="preserve"> and </w:t>
      </w:r>
      <w:r w:rsidRPr="00100BDF">
        <w:rPr>
          <w:rFonts w:ascii="Garamond" w:hAnsi="Garamond"/>
          <w:position w:val="-10"/>
          <w:lang w:val="en-GB"/>
        </w:rPr>
        <w:object w:dxaOrig="580" w:dyaOrig="300">
          <v:shape id="_x0000_i1643" type="#_x0000_t75" style="width:28.5pt;height:15pt" o:ole="">
            <v:imagedata r:id="rId1141" o:title=""/>
          </v:shape>
          <o:OLEObject Type="Embed" ProgID="Equation.DSMT4" ShapeID="_x0000_i1643" DrawAspect="Content" ObjectID="_1324894126" r:id="rId1142"/>
        </w:object>
      </w:r>
      <w:r w:rsidRPr="00802C03">
        <w:rPr>
          <w:rFonts w:ascii="Garamond" w:hAnsi="Garamond"/>
          <w:lang w:val="en-GB"/>
        </w:rPr>
        <w:t xml:space="preserve"> is the number of migrations from state </w:t>
      </w:r>
      <w:r w:rsidRPr="00100BDF">
        <w:rPr>
          <w:rFonts w:ascii="Garamond" w:hAnsi="Garamond"/>
          <w:position w:val="-6"/>
          <w:lang w:val="en-GB"/>
        </w:rPr>
        <w:object w:dxaOrig="139" w:dyaOrig="240">
          <v:shape id="_x0000_i1644" type="#_x0000_t75" style="width:6.75pt;height:12pt" o:ole="">
            <v:imagedata r:id="rId1143" o:title=""/>
          </v:shape>
          <o:OLEObject Type="Embed" ProgID="Equation.DSMT4" ShapeID="_x0000_i1644" DrawAspect="Content" ObjectID="_1324894127" r:id="rId1144"/>
        </w:object>
      </w:r>
      <w:r w:rsidRPr="00802C03">
        <w:rPr>
          <w:rFonts w:ascii="Garamond" w:hAnsi="Garamond"/>
          <w:lang w:val="en-GB"/>
        </w:rPr>
        <w:t xml:space="preserve"> to </w:t>
      </w:r>
      <w:r w:rsidRPr="00100BDF">
        <w:rPr>
          <w:rFonts w:ascii="Garamond" w:hAnsi="Garamond"/>
          <w:position w:val="-10"/>
          <w:lang w:val="en-GB"/>
        </w:rPr>
        <w:object w:dxaOrig="180" w:dyaOrig="279">
          <v:shape id="_x0000_i1645" type="#_x0000_t75" style="width:9pt;height:13.5pt" o:ole="">
            <v:imagedata r:id="rId1145" o:title=""/>
          </v:shape>
          <o:OLEObject Type="Embed" ProgID="Equation.DSMT4" ShapeID="_x0000_i1645" DrawAspect="Content" ObjectID="_1324894128" r:id="rId1146"/>
        </w:object>
      </w:r>
      <w:r w:rsidRPr="00802C03">
        <w:rPr>
          <w:rFonts w:ascii="Garamond" w:hAnsi="Garamond"/>
          <w:lang w:val="en-GB"/>
        </w:rPr>
        <w:t xml:space="preserve"> over the entire estimation period (</w:t>
      </w:r>
      <w:r w:rsidRPr="00100BDF">
        <w:rPr>
          <w:rFonts w:ascii="Garamond" w:hAnsi="Garamond"/>
          <w:position w:val="-4"/>
          <w:lang w:val="en-GB"/>
        </w:rPr>
        <w:object w:dxaOrig="200" w:dyaOrig="220">
          <v:shape id="_x0000_i1646" type="#_x0000_t75" style="width:9.75pt;height:11.25pt" o:ole="">
            <v:imagedata r:id="rId1147" o:title=""/>
          </v:shape>
          <o:OLEObject Type="Embed" ProgID="Equation.DSMT4" ShapeID="_x0000_i1646" DrawAspect="Content" ObjectID="_1324894129" r:id="rId1148"/>
        </w:object>
      </w:r>
      <w:r w:rsidRPr="00802C03">
        <w:rPr>
          <w:rFonts w:ascii="Garamond" w:hAnsi="Garamond"/>
          <w:lang w:val="en-GB"/>
        </w:rPr>
        <w:t xml:space="preserve">), where </w:t>
      </w:r>
      <w:r w:rsidRPr="00100BDF">
        <w:rPr>
          <w:rFonts w:ascii="Garamond" w:hAnsi="Garamond"/>
          <w:position w:val="-10"/>
          <w:lang w:val="en-GB"/>
        </w:rPr>
        <w:object w:dxaOrig="440" w:dyaOrig="279">
          <v:shape id="_x0000_i1647" type="#_x0000_t75" style="width:21.75pt;height:13.5pt" o:ole="">
            <v:imagedata r:id="rId1149" o:title=""/>
          </v:shape>
          <o:OLEObject Type="Embed" ProgID="Equation.DSMT4" ShapeID="_x0000_i1647" DrawAspect="Content" ObjectID="_1324894130" r:id="rId1150"/>
        </w:object>
      </w:r>
      <w:r w:rsidRPr="00802C03">
        <w:rPr>
          <w:rFonts w:ascii="Garamond" w:hAnsi="Garamond"/>
          <w:lang w:val="en-GB"/>
        </w:rPr>
        <w:t xml:space="preserve">.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numerator counts the number of migrations, from rating state </w:t>
      </w:r>
      <w:r w:rsidRPr="00100BDF">
        <w:rPr>
          <w:rFonts w:ascii="Garamond" w:hAnsi="Garamond"/>
          <w:position w:val="-6"/>
          <w:lang w:val="en-GB"/>
        </w:rPr>
        <w:object w:dxaOrig="139" w:dyaOrig="240">
          <v:shape id="_x0000_i1648" type="#_x0000_t75" style="width:6.75pt;height:12pt" o:ole="">
            <v:imagedata r:id="rId1151" o:title=""/>
          </v:shape>
          <o:OLEObject Type="Embed" ProgID="Equation.DSMT4" ShapeID="_x0000_i1648" DrawAspect="Content" ObjectID="_1324894131" r:id="rId1152"/>
        </w:object>
      </w:r>
      <w:r w:rsidRPr="00802C03">
        <w:rPr>
          <w:rFonts w:ascii="Garamond" w:hAnsi="Garamond"/>
          <w:lang w:val="en-GB"/>
        </w:rPr>
        <w:t xml:space="preserve"> to </w:t>
      </w:r>
      <w:r w:rsidRPr="00100BDF">
        <w:rPr>
          <w:rFonts w:ascii="Garamond" w:hAnsi="Garamond"/>
          <w:position w:val="-10"/>
          <w:lang w:val="en-GB"/>
        </w:rPr>
        <w:object w:dxaOrig="180" w:dyaOrig="279">
          <v:shape id="_x0000_i1649" type="#_x0000_t75" style="width:9pt;height:13.5pt" o:ole="">
            <v:imagedata r:id="rId1153" o:title=""/>
          </v:shape>
          <o:OLEObject Type="Embed" ProgID="Equation.DSMT4" ShapeID="_x0000_i1649" DrawAspect="Content" ObjectID="_1324894132" r:id="rId1154"/>
        </w:object>
      </w:r>
      <w:r w:rsidRPr="00802C03">
        <w:rPr>
          <w:rFonts w:ascii="Garamond" w:hAnsi="Garamond"/>
          <w:lang w:val="en-GB"/>
        </w:rPr>
        <w:t>, that occur in the entire time period or sample period (</w:t>
      </w:r>
      <w:r w:rsidRPr="00100BDF">
        <w:rPr>
          <w:rFonts w:ascii="Garamond" w:hAnsi="Garamond"/>
          <w:position w:val="-4"/>
          <w:lang w:val="en-GB"/>
        </w:rPr>
        <w:object w:dxaOrig="200" w:dyaOrig="220">
          <v:shape id="_x0000_i1650" type="#_x0000_t75" style="width:9.75pt;height:11.25pt" o:ole="">
            <v:imagedata r:id="rId1155" o:title=""/>
          </v:shape>
          <o:OLEObject Type="Embed" ProgID="Equation.DSMT4" ShapeID="_x0000_i1650" DrawAspect="Content" ObjectID="_1324894133" r:id="rId1156"/>
        </w:object>
      </w:r>
      <w:r w:rsidRPr="00802C03">
        <w:rPr>
          <w:rFonts w:ascii="Garamond" w:hAnsi="Garamond"/>
          <w:lang w:val="en-GB"/>
        </w:rPr>
        <w:t xml:space="preserve">). The denominator effectively counts the number of ‘issuer years’ spent in rating state </w:t>
      </w:r>
      <w:r w:rsidRPr="00100BDF">
        <w:rPr>
          <w:rFonts w:ascii="Garamond" w:hAnsi="Garamond"/>
          <w:position w:val="-6"/>
          <w:lang w:val="en-GB"/>
        </w:rPr>
        <w:object w:dxaOrig="139" w:dyaOrig="240">
          <v:shape id="_x0000_i1651" type="#_x0000_t75" style="width:6.75pt;height:12pt" o:ole="">
            <v:imagedata r:id="rId1157" o:title=""/>
          </v:shape>
          <o:OLEObject Type="Embed" ProgID="Equation.DSMT4" ShapeID="_x0000_i1651" DrawAspect="Content" ObjectID="_1324894134" r:id="rId1158"/>
        </w:object>
      </w:r>
      <w:r w:rsidRPr="00802C03">
        <w:rPr>
          <w:rFonts w:ascii="Garamond" w:hAnsi="Garamond"/>
          <w:lang w:val="en-GB"/>
        </w:rPr>
        <w:t xml:space="preserve"> during the entire time period (</w:t>
      </w:r>
      <w:r w:rsidRPr="00100BDF">
        <w:rPr>
          <w:rFonts w:ascii="Garamond" w:hAnsi="Garamond"/>
          <w:position w:val="-4"/>
          <w:lang w:val="en-GB"/>
        </w:rPr>
        <w:object w:dxaOrig="200" w:dyaOrig="220">
          <v:shape id="_x0000_i1652" type="#_x0000_t75" style="width:9.75pt;height:11.25pt" o:ole="">
            <v:imagedata r:id="rId1159" o:title=""/>
          </v:shape>
          <o:OLEObject Type="Embed" ProgID="Equation.DSMT4" ShapeID="_x0000_i1652" DrawAspect="Content" ObjectID="_1324894135" r:id="rId1160"/>
        </w:object>
      </w:r>
      <w:r w:rsidRPr="00802C03">
        <w:rPr>
          <w:rFonts w:ascii="Garamond" w:hAnsi="Garamond"/>
          <w:lang w:val="en-GB"/>
        </w:rPr>
        <w:t xml:space="preserve">). Any amount of time any issuer spends in a particular rating class will be accounted for through the denominator. Consequently, all (duration) information in the entire sample period is taken into account. The approach is time-homogeneous, since the assumption is made that </w:t>
      </w:r>
      <w:r w:rsidRPr="00100BDF">
        <w:rPr>
          <w:rFonts w:ascii="Garamond" w:hAnsi="Garamond"/>
          <w:position w:val="-10"/>
          <w:lang w:val="en-GB"/>
        </w:rPr>
        <w:object w:dxaOrig="240" w:dyaOrig="300">
          <v:shape id="_x0000_i1653" type="#_x0000_t75" style="width:12pt;height:15pt" o:ole="">
            <v:imagedata r:id="rId1161" o:title=""/>
          </v:shape>
          <o:OLEObject Type="Embed" ProgID="Equation.DSMT4" ShapeID="_x0000_i1653" DrawAspect="Content" ObjectID="_1324894136" r:id="rId1162"/>
        </w:object>
      </w:r>
      <w:r w:rsidRPr="00802C03">
        <w:rPr>
          <w:rFonts w:ascii="Garamond" w:hAnsi="Garamond"/>
          <w:lang w:val="en-GB"/>
        </w:rPr>
        <w:t xml:space="preserve"> is stable over time. </w:t>
      </w:r>
    </w:p>
    <w:p w:rsidR="001C7C52" w:rsidRPr="00802C03" w:rsidRDefault="001C7C52" w:rsidP="00306561">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A disadvantage of the duration approach is that confidence bands or standard errors for the migration probabilities are unusually hard to estimate. </w:t>
      </w:r>
      <w:hyperlink w:anchor="Christensen_et_al_2004" w:history="1">
        <w:r w:rsidRPr="00802C03">
          <w:rPr>
            <w:rStyle w:val="Hyperlink"/>
            <w:rFonts w:ascii="Garamond" w:hAnsi="Garamond"/>
            <w:color w:val="000066"/>
            <w:u w:val="none"/>
            <w:lang w:val="en-GB"/>
          </w:rPr>
          <w:t>Christensen et al. (2004)</w:t>
        </w:r>
      </w:hyperlink>
      <w:r w:rsidRPr="00802C03">
        <w:rPr>
          <w:rFonts w:ascii="Garamond" w:hAnsi="Garamond"/>
          <w:lang w:val="en-GB"/>
        </w:rPr>
        <w:t xml:space="preserve"> argue that the calculation of the standard error of a migration probability as a simple binominal standard deviation, like in the cohort estimation methodology, is inefficient and present a bootstrap experiment to compute confidence intervals. The bootstrap experiment involves the construction of fake datasets and is extremely time-consuming, as the specific characteristics of the underlying data set, which is exceptionally large in the estimation of credit migration matrices (see </w:t>
      </w:r>
      <w:hyperlink w:anchor="S211" w:history="1">
        <w:r w:rsidRPr="00802C03">
          <w:rPr>
            <w:rStyle w:val="Hyperlink"/>
            <w:rFonts w:ascii="Garamond" w:hAnsi="Garamond"/>
            <w:color w:val="000066"/>
            <w:u w:val="none"/>
            <w:lang w:val="en-GB"/>
          </w:rPr>
          <w:t>section 2.1.1</w:t>
        </w:r>
      </w:hyperlink>
      <w:r w:rsidRPr="00802C03">
        <w:rPr>
          <w:rFonts w:ascii="Garamond" w:hAnsi="Garamond"/>
          <w:lang w:val="en-GB"/>
        </w:rPr>
        <w:t xml:space="preserve">), must be reflected in these fake datasets. </w:t>
      </w:r>
      <w:hyperlink w:anchor="Christensen_et_al_2004" w:history="1">
        <w:r w:rsidRPr="00802C03">
          <w:rPr>
            <w:rStyle w:val="Hyperlink"/>
            <w:rFonts w:ascii="Garamond" w:hAnsi="Garamond"/>
            <w:color w:val="000066"/>
            <w:u w:val="none"/>
            <w:lang w:val="en-GB"/>
          </w:rPr>
          <w:t>Christensen et al. (2004)</w:t>
        </w:r>
      </w:hyperlink>
      <w:r w:rsidRPr="00802C03">
        <w:rPr>
          <w:rFonts w:ascii="Garamond" w:hAnsi="Garamond"/>
          <w:lang w:val="en-GB"/>
        </w:rPr>
        <w:t xml:space="preserve"> produce 500 of these fake datasets to effectively estimate their confidence bands. In essence, the exercise performed by </w:t>
      </w:r>
      <w:hyperlink w:anchor="Christensen_et_al_2004" w:history="1">
        <w:r w:rsidRPr="00802C03">
          <w:rPr>
            <w:rStyle w:val="Hyperlink"/>
            <w:rFonts w:ascii="Garamond" w:hAnsi="Garamond"/>
            <w:color w:val="000066"/>
            <w:u w:val="none"/>
            <w:lang w:val="en-GB"/>
          </w:rPr>
          <w:t>Christensen et al. (2004)</w:t>
        </w:r>
      </w:hyperlink>
      <w:r w:rsidRPr="00802C03">
        <w:rPr>
          <w:rFonts w:ascii="Garamond" w:hAnsi="Garamond"/>
          <w:lang w:val="en-GB"/>
        </w:rPr>
        <w:t xml:space="preserve"> demonstrates that it is difficult to compute efficient measures of estimate uncertainty in the duration method, making statistical inference incredibly time-consuming.</w:t>
      </w:r>
    </w:p>
    <w:p w:rsidR="001C7C52" w:rsidRPr="00802C03" w:rsidRDefault="001C7C52" w:rsidP="00AB3324">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left="142" w:hanging="709"/>
        <w:jc w:val="both"/>
        <w:rPr>
          <w:rFonts w:ascii="Garamond" w:hAnsi="Garamond"/>
          <w:b/>
          <w:lang w:val="en-GB"/>
        </w:rPr>
      </w:pPr>
      <w:r w:rsidRPr="00802C03">
        <w:rPr>
          <w:rFonts w:ascii="Garamond" w:hAnsi="Garamond"/>
          <w:b/>
          <w:lang w:val="en-GB"/>
        </w:rPr>
        <w:t>2.1.4</w:t>
      </w:r>
      <w:r w:rsidRPr="00802C03">
        <w:rPr>
          <w:rFonts w:ascii="Garamond" w:hAnsi="Garamond"/>
          <w:b/>
          <w:lang w:val="en-GB"/>
        </w:rPr>
        <w:tab/>
      </w:r>
      <w:bookmarkStart w:id="47" w:name="S214"/>
      <w:bookmarkEnd w:id="47"/>
      <w:r w:rsidRPr="00802C03">
        <w:rPr>
          <w:rFonts w:ascii="Garamond" w:hAnsi="Garamond"/>
          <w:b/>
          <w:lang w:val="en-GB"/>
        </w:rPr>
        <w:t xml:space="preserve">The Aalen-Johansen Estimator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The third migration matrix estimation methodology is based on the Aalen-Johansen estimator, which is a non-parametric non-homogeneous estimation approach (</w:t>
      </w:r>
      <w:hyperlink w:anchor="Aalen_Johansen_1978" w:history="1">
        <w:r w:rsidRPr="00802C03">
          <w:rPr>
            <w:rStyle w:val="Hyperlink"/>
            <w:rFonts w:ascii="Garamond" w:hAnsi="Garamond"/>
            <w:color w:val="000066"/>
            <w:u w:val="none"/>
            <w:lang w:val="en-GB"/>
          </w:rPr>
          <w:t>Aalen &amp; Johansen, 1978</w:t>
        </w:r>
      </w:hyperlink>
      <w:r w:rsidRPr="00802C03">
        <w:rPr>
          <w:rFonts w:ascii="Garamond" w:hAnsi="Garamond"/>
          <w:lang w:val="en-GB"/>
        </w:rPr>
        <w:t>). Time-homogeneity is an assumption that is hard to make over long periods of time. The Aalen-Johansen estimator is non-homogeneous and may therefore be a useful approach to replace the cohort method over longer periods of time (</w:t>
      </w:r>
      <w:hyperlink w:anchor="Lando_Skodeberg_2002" w:history="1">
        <w:r w:rsidRPr="00802C03">
          <w:rPr>
            <w:rStyle w:val="Hyperlink"/>
            <w:rFonts w:ascii="Garamond" w:hAnsi="Garamond"/>
            <w:color w:val="000066"/>
            <w:u w:val="none"/>
            <w:lang w:val="en-GB"/>
          </w:rPr>
          <w:t>Lando &amp; Skødeberg, 2002</w:t>
        </w:r>
      </w:hyperlink>
      <w:r w:rsidRPr="00802C03">
        <w:rPr>
          <w:rFonts w:ascii="Garamond" w:hAnsi="Garamond"/>
          <w:lang w:val="en-GB"/>
        </w:rPr>
        <w:t xml:space="preserve">).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Consider a non-homogeneous, continuous-time Markov process </w:t>
      </w:r>
      <w:r w:rsidRPr="00100BDF">
        <w:rPr>
          <w:rFonts w:ascii="Garamond" w:hAnsi="Garamond"/>
          <w:position w:val="-10"/>
          <w:lang w:val="en-GB"/>
        </w:rPr>
        <w:object w:dxaOrig="180" w:dyaOrig="240">
          <v:shape id="_x0000_i1654" type="#_x0000_t75" style="width:9pt;height:12pt" o:ole="">
            <v:imagedata r:id="rId1163" o:title=""/>
          </v:shape>
          <o:OLEObject Type="Embed" ProgID="Equation.DSMT4" ShapeID="_x0000_i1654" DrawAspect="Content" ObjectID="_1324894137" r:id="rId1164"/>
        </w:object>
      </w:r>
      <w:r w:rsidRPr="00802C03">
        <w:rPr>
          <w:rFonts w:ascii="Garamond" w:hAnsi="Garamond"/>
          <w:lang w:val="en-GB"/>
        </w:rPr>
        <w:t xml:space="preserve"> with finite state space </w:t>
      </w:r>
      <w:r w:rsidRPr="00100BDF">
        <w:rPr>
          <w:rFonts w:ascii="Garamond" w:hAnsi="Garamond"/>
          <w:position w:val="-10"/>
          <w:lang w:val="en-GB"/>
        </w:rPr>
        <w:object w:dxaOrig="1240" w:dyaOrig="300">
          <v:shape id="_x0000_i1655" type="#_x0000_t75" style="width:62.25pt;height:15pt" o:ole="">
            <v:imagedata r:id="rId1165" o:title=""/>
          </v:shape>
          <o:OLEObject Type="Embed" ProgID="Equation.DSMT4" ShapeID="_x0000_i1655" DrawAspect="Content" ObjectID="_1324894138" r:id="rId1166"/>
        </w:object>
      </w:r>
      <w:r w:rsidRPr="00802C03">
        <w:rPr>
          <w:rFonts w:ascii="Garamond" w:hAnsi="Garamond"/>
          <w:lang w:val="en-GB"/>
        </w:rPr>
        <w:t xml:space="preserve"> of which the migration probability matrix, from time </w:t>
      </w:r>
      <w:r w:rsidRPr="00100BDF">
        <w:rPr>
          <w:rFonts w:ascii="Garamond" w:hAnsi="Garamond"/>
          <w:position w:val="-6"/>
          <w:lang w:val="en-GB"/>
        </w:rPr>
        <w:object w:dxaOrig="160" w:dyaOrig="200">
          <v:shape id="_x0000_i1656" type="#_x0000_t75" style="width:8.25pt;height:9.75pt" o:ole="">
            <v:imagedata r:id="rId1167" o:title=""/>
          </v:shape>
          <o:OLEObject Type="Embed" ProgID="Equation.DSMT4" ShapeID="_x0000_i1656" DrawAspect="Content" ObjectID="_1324894139" r:id="rId1168"/>
        </w:object>
      </w:r>
      <w:r w:rsidRPr="00802C03">
        <w:rPr>
          <w:rFonts w:ascii="Garamond" w:hAnsi="Garamond"/>
          <w:lang w:val="en-GB"/>
        </w:rPr>
        <w:t xml:space="preserve"> to time </w:t>
      </w:r>
      <w:r w:rsidRPr="00100BDF">
        <w:rPr>
          <w:rFonts w:ascii="Garamond" w:hAnsi="Garamond"/>
          <w:position w:val="-6"/>
          <w:lang w:val="en-GB"/>
        </w:rPr>
        <w:object w:dxaOrig="139" w:dyaOrig="220">
          <v:shape id="_x0000_i1657" type="#_x0000_t75" style="width:6.75pt;height:11.25pt" o:ole="">
            <v:imagedata r:id="rId1169" o:title=""/>
          </v:shape>
          <o:OLEObject Type="Embed" ProgID="Equation.DSMT4" ShapeID="_x0000_i1657" DrawAspect="Content" ObjectID="_1324894140" r:id="rId1170"/>
        </w:object>
      </w:r>
      <w:r w:rsidRPr="00802C03">
        <w:rPr>
          <w:rFonts w:ascii="Garamond" w:hAnsi="Garamond"/>
          <w:lang w:val="en-GB"/>
        </w:rPr>
        <w:t xml:space="preserve">, is given by </w:t>
      </w:r>
      <w:r w:rsidRPr="00100BDF">
        <w:rPr>
          <w:rFonts w:ascii="Garamond" w:hAnsi="Garamond"/>
          <w:position w:val="-10"/>
          <w:lang w:val="en-GB"/>
        </w:rPr>
        <w:object w:dxaOrig="560" w:dyaOrig="300">
          <v:shape id="_x0000_i1658" type="#_x0000_t75" style="width:27.75pt;height:15pt" o:ole="">
            <v:imagedata r:id="rId1171" o:title=""/>
          </v:shape>
          <o:OLEObject Type="Embed" ProgID="Equation.DSMT4" ShapeID="_x0000_i1658" DrawAspect="Content" ObjectID="_1324894141" r:id="rId1172"/>
        </w:object>
      </w:r>
      <w:r w:rsidRPr="00802C03">
        <w:rPr>
          <w:rFonts w:ascii="Garamond" w:hAnsi="Garamond"/>
          <w:lang w:val="en-GB"/>
        </w:rPr>
        <w:t xml:space="preserve">. The </w:t>
      </w:r>
      <w:r w:rsidRPr="00100BDF">
        <w:rPr>
          <w:rFonts w:ascii="Garamond" w:hAnsi="Garamond"/>
          <w:position w:val="-10"/>
          <w:lang w:val="en-GB"/>
        </w:rPr>
        <w:object w:dxaOrig="279" w:dyaOrig="320">
          <v:shape id="_x0000_i1659" type="#_x0000_t75" style="width:13.5pt;height:15.75pt" o:ole="">
            <v:imagedata r:id="rId1173" o:title=""/>
          </v:shape>
          <o:OLEObject Type="Embed" ProgID="Equation.DSMT4" ShapeID="_x0000_i1659" DrawAspect="Content" ObjectID="_1324894142" r:id="rId1174"/>
        </w:object>
      </w:r>
      <w:r w:rsidRPr="00802C03">
        <w:rPr>
          <w:rFonts w:ascii="Garamond" w:hAnsi="Garamond"/>
          <w:lang w:val="en-GB"/>
        </w:rPr>
        <w:t>-element of the matrix (</w:t>
      </w:r>
      <w:r w:rsidRPr="00100BDF">
        <w:rPr>
          <w:rFonts w:ascii="Garamond" w:hAnsi="Garamond"/>
          <w:position w:val="-10"/>
          <w:lang w:val="en-GB"/>
        </w:rPr>
        <w:object w:dxaOrig="639" w:dyaOrig="300">
          <v:shape id="_x0000_i1660" type="#_x0000_t75" style="width:32.25pt;height:15pt" o:ole="">
            <v:imagedata r:id="rId1175" o:title=""/>
          </v:shape>
          <o:OLEObject Type="Embed" ProgID="Equation.DSMT4" ShapeID="_x0000_i1660" DrawAspect="Content" ObjectID="_1324894143" r:id="rId1176"/>
        </w:object>
      </w:r>
      <w:r w:rsidRPr="00802C03">
        <w:rPr>
          <w:rFonts w:ascii="Garamond" w:hAnsi="Garamond"/>
          <w:lang w:val="en-GB"/>
        </w:rPr>
        <w:t xml:space="preserve">) describes the probability that the chain starting in state </w:t>
      </w:r>
      <w:r w:rsidRPr="00100BDF">
        <w:rPr>
          <w:rFonts w:ascii="Garamond" w:hAnsi="Garamond"/>
          <w:position w:val="-6"/>
          <w:lang w:val="en-GB"/>
        </w:rPr>
        <w:object w:dxaOrig="139" w:dyaOrig="240">
          <v:shape id="_x0000_i1661" type="#_x0000_t75" style="width:6.75pt;height:12pt" o:ole="">
            <v:imagedata r:id="rId1177" o:title=""/>
          </v:shape>
          <o:OLEObject Type="Embed" ProgID="Equation.DSMT4" ShapeID="_x0000_i1661" DrawAspect="Content" ObjectID="_1324894144" r:id="rId1178"/>
        </w:object>
      </w:r>
      <w:r w:rsidRPr="00802C03">
        <w:rPr>
          <w:rFonts w:ascii="Garamond" w:hAnsi="Garamond"/>
          <w:lang w:val="en-GB"/>
        </w:rPr>
        <w:t xml:space="preserve"> at time </w:t>
      </w:r>
      <w:r w:rsidRPr="00100BDF">
        <w:rPr>
          <w:rFonts w:ascii="Garamond" w:hAnsi="Garamond"/>
          <w:position w:val="-6"/>
          <w:lang w:val="en-GB"/>
        </w:rPr>
        <w:object w:dxaOrig="160" w:dyaOrig="200">
          <v:shape id="_x0000_i1662" type="#_x0000_t75" style="width:8.25pt;height:9.75pt" o:ole="">
            <v:imagedata r:id="rId1179" o:title=""/>
          </v:shape>
          <o:OLEObject Type="Embed" ProgID="Equation.DSMT4" ShapeID="_x0000_i1662" DrawAspect="Content" ObjectID="_1324894145" r:id="rId1180"/>
        </w:object>
      </w:r>
      <w:r w:rsidRPr="00802C03">
        <w:rPr>
          <w:rFonts w:ascii="Garamond" w:hAnsi="Garamond"/>
          <w:lang w:val="en-GB"/>
        </w:rPr>
        <w:t xml:space="preserve"> is in state </w:t>
      </w:r>
      <w:r w:rsidRPr="00100BDF">
        <w:rPr>
          <w:rFonts w:ascii="Garamond" w:hAnsi="Garamond"/>
          <w:position w:val="-10"/>
          <w:lang w:val="en-GB"/>
        </w:rPr>
        <w:object w:dxaOrig="180" w:dyaOrig="279">
          <v:shape id="_x0000_i1663" type="#_x0000_t75" style="width:9pt;height:13.5pt" o:ole="">
            <v:imagedata r:id="rId1181" o:title=""/>
          </v:shape>
          <o:OLEObject Type="Embed" ProgID="Equation.DSMT4" ShapeID="_x0000_i1663" DrawAspect="Content" ObjectID="_1324894146" r:id="rId1182"/>
        </w:object>
      </w:r>
      <w:r w:rsidRPr="00802C03">
        <w:rPr>
          <w:rFonts w:ascii="Garamond" w:hAnsi="Garamond"/>
          <w:lang w:val="en-GB"/>
        </w:rPr>
        <w:t xml:space="preserve"> at time </w:t>
      </w:r>
      <w:r w:rsidRPr="00100BDF">
        <w:rPr>
          <w:rFonts w:ascii="Garamond" w:hAnsi="Garamond"/>
          <w:position w:val="-6"/>
          <w:lang w:val="en-GB"/>
        </w:rPr>
        <w:object w:dxaOrig="139" w:dyaOrig="220">
          <v:shape id="_x0000_i1664" type="#_x0000_t75" style="width:6.75pt;height:11.25pt" o:ole="">
            <v:imagedata r:id="rId1183" o:title=""/>
          </v:shape>
          <o:OLEObject Type="Embed" ProgID="Equation.DSMT4" ShapeID="_x0000_i1664" DrawAspect="Content" ObjectID="_1324894147" r:id="rId1184"/>
        </w:object>
      </w:r>
      <w:r w:rsidRPr="00802C03">
        <w:rPr>
          <w:rFonts w:ascii="Garamond" w:hAnsi="Garamond"/>
          <w:lang w:val="en-GB"/>
        </w:rPr>
        <w:t xml:space="preserve">: </w:t>
      </w:r>
    </w:p>
    <w:p w:rsidR="001C7C52" w:rsidRPr="00802C03" w:rsidRDefault="001C7C52" w:rsidP="00E5145A">
      <w:pPr>
        <w:tabs>
          <w:tab w:val="left" w:pos="567"/>
          <w:tab w:val="left" w:pos="8505"/>
        </w:tabs>
        <w:spacing w:before="80" w:after="120" w:line="320" w:lineRule="exact"/>
        <w:ind w:firstLine="567"/>
        <w:jc w:val="both"/>
        <w:rPr>
          <w:rFonts w:ascii="Garamond" w:hAnsi="Garamond"/>
          <w:lang w:val="en-GB"/>
        </w:rPr>
      </w:pPr>
      <w:r w:rsidRPr="005E2D6F">
        <w:rPr>
          <w:rFonts w:ascii="Garamond" w:hAnsi="Garamond"/>
          <w:position w:val="-10"/>
          <w:lang w:val="en-GB"/>
        </w:rPr>
        <w:object w:dxaOrig="2140" w:dyaOrig="300">
          <v:shape id="_x0000_i1665" type="#_x0000_t75" style="width:107.25pt;height:15pt" o:ole="">
            <v:imagedata r:id="rId1185" o:title=""/>
          </v:shape>
          <o:OLEObject Type="Embed" ProgID="Equation.DSMT4" ShapeID="_x0000_i1665" DrawAspect="Content" ObjectID="_1324894148" r:id="rId1186"/>
        </w:object>
      </w:r>
      <w:r w:rsidRPr="00802C03">
        <w:rPr>
          <w:rFonts w:ascii="Garamond" w:hAnsi="Garamond"/>
          <w:lang w:val="en-GB"/>
        </w:rPr>
        <w:t xml:space="preserve"> for </w:t>
      </w:r>
      <w:r w:rsidRPr="00100BDF">
        <w:rPr>
          <w:rFonts w:ascii="Garamond" w:hAnsi="Garamond"/>
          <w:position w:val="-6"/>
          <w:lang w:val="en-GB"/>
        </w:rPr>
        <w:object w:dxaOrig="440" w:dyaOrig="220">
          <v:shape id="_x0000_i1666" type="#_x0000_t75" style="width:21.75pt;height:11.25pt" o:ole="">
            <v:imagedata r:id="rId1187" o:title=""/>
          </v:shape>
          <o:OLEObject Type="Embed" ProgID="Equation.DSMT4" ShapeID="_x0000_i1666" DrawAspect="Content" ObjectID="_1324894149" r:id="rId1188"/>
        </w:object>
      </w:r>
      <w:r w:rsidRPr="00802C03">
        <w:rPr>
          <w:rFonts w:ascii="Garamond" w:hAnsi="Garamond"/>
          <w:lang w:val="en-GB"/>
        </w:rPr>
        <w:t>.</w:t>
      </w:r>
      <w:r w:rsidRPr="00802C03">
        <w:rPr>
          <w:rFonts w:ascii="Garamond" w:hAnsi="Garamond"/>
          <w:lang w:val="en-GB"/>
        </w:rPr>
        <w:tab/>
        <w:t>(2.9)</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Credit migration matrix </w:t>
      </w:r>
      <w:r w:rsidRPr="00100BDF">
        <w:rPr>
          <w:rFonts w:ascii="Garamond" w:hAnsi="Garamond"/>
          <w:position w:val="-10"/>
          <w:lang w:val="en-GB"/>
        </w:rPr>
        <w:object w:dxaOrig="560" w:dyaOrig="300">
          <v:shape id="_x0000_i1667" type="#_x0000_t75" style="width:27.75pt;height:15pt" o:ole="">
            <v:imagedata r:id="rId1189" o:title=""/>
          </v:shape>
          <o:OLEObject Type="Embed" ProgID="Equation.DSMT4" ShapeID="_x0000_i1667" DrawAspect="Content" ObjectID="_1324894150" r:id="rId1190"/>
        </w:object>
      </w:r>
      <w:r w:rsidRPr="00802C03">
        <w:rPr>
          <w:rFonts w:ascii="Garamond" w:hAnsi="Garamond"/>
          <w:lang w:val="en-GB"/>
        </w:rPr>
        <w:t xml:space="preserve"> can be estimated with the Aalen-Johansen estimator which is commonly referred to as product-limit estimator as well. Given that the sample contains </w:t>
      </w:r>
      <w:r w:rsidRPr="00100BDF">
        <w:rPr>
          <w:rFonts w:ascii="Garamond" w:hAnsi="Garamond"/>
          <w:position w:val="-6"/>
          <w:lang w:val="en-GB"/>
        </w:rPr>
        <w:object w:dxaOrig="220" w:dyaOrig="200">
          <v:shape id="_x0000_i1668" type="#_x0000_t75" style="width:11.25pt;height:9.75pt" o:ole="">
            <v:imagedata r:id="rId1191" o:title=""/>
          </v:shape>
          <o:OLEObject Type="Embed" ProgID="Equation.DSMT4" ShapeID="_x0000_i1668" DrawAspect="Content" ObjectID="_1324894151" r:id="rId1192"/>
        </w:object>
      </w:r>
      <w:r w:rsidRPr="00802C03">
        <w:rPr>
          <w:rFonts w:ascii="Garamond" w:hAnsi="Garamond"/>
          <w:lang w:val="en-GB"/>
        </w:rPr>
        <w:t xml:space="preserve"> migrations over period </w:t>
      </w:r>
      <w:r w:rsidRPr="00100BDF">
        <w:rPr>
          <w:rFonts w:ascii="Garamond" w:hAnsi="Garamond"/>
          <w:position w:val="-6"/>
          <w:lang w:val="en-GB"/>
        </w:rPr>
        <w:object w:dxaOrig="160" w:dyaOrig="200">
          <v:shape id="_x0000_i1669" type="#_x0000_t75" style="width:8.25pt;height:9.75pt" o:ole="">
            <v:imagedata r:id="rId1193" o:title=""/>
          </v:shape>
          <o:OLEObject Type="Embed" ProgID="Equation.DSMT4" ShapeID="_x0000_i1669" DrawAspect="Content" ObjectID="_1324894152" r:id="rId1194"/>
        </w:object>
      </w:r>
      <w:r w:rsidRPr="00802C03">
        <w:rPr>
          <w:rFonts w:ascii="Garamond" w:hAnsi="Garamond"/>
          <w:lang w:val="en-GB"/>
        </w:rPr>
        <w:t xml:space="preserve"> to </w:t>
      </w:r>
      <w:r w:rsidRPr="00100BDF">
        <w:rPr>
          <w:rFonts w:ascii="Garamond" w:hAnsi="Garamond"/>
          <w:position w:val="-6"/>
          <w:lang w:val="en-GB"/>
        </w:rPr>
        <w:object w:dxaOrig="139" w:dyaOrig="220">
          <v:shape id="_x0000_i1670" type="#_x0000_t75" style="width:6.75pt;height:11.25pt" o:ole="">
            <v:imagedata r:id="rId1195" o:title=""/>
          </v:shape>
          <o:OLEObject Type="Embed" ProgID="Equation.DSMT4" ShapeID="_x0000_i1670" DrawAspect="Content" ObjectID="_1324894153" r:id="rId1196"/>
        </w:object>
      </w:r>
      <w:r w:rsidRPr="00802C03">
        <w:rPr>
          <w:rFonts w:ascii="Garamond" w:hAnsi="Garamond"/>
          <w:lang w:val="en-GB"/>
        </w:rPr>
        <w:t xml:space="preserve">, </w:t>
      </w:r>
      <w:r w:rsidRPr="00100BDF">
        <w:rPr>
          <w:rFonts w:ascii="Garamond" w:hAnsi="Garamond"/>
          <w:position w:val="-10"/>
          <w:lang w:val="en-GB"/>
        </w:rPr>
        <w:object w:dxaOrig="560" w:dyaOrig="300">
          <v:shape id="_x0000_i1671" type="#_x0000_t75" style="width:27.75pt;height:15pt" o:ole="">
            <v:imagedata r:id="rId1197" o:title=""/>
          </v:shape>
          <o:OLEObject Type="Embed" ProgID="Equation.DSMT4" ShapeID="_x0000_i1671" DrawAspect="Content" ObjectID="_1324894154" r:id="rId1198"/>
        </w:object>
      </w:r>
      <w:r w:rsidRPr="00802C03">
        <w:rPr>
          <w:rFonts w:ascii="Garamond" w:hAnsi="Garamond"/>
          <w:lang w:val="en-GB"/>
        </w:rPr>
        <w:t xml:space="preserve"> can be estimated consistently as:</w:t>
      </w:r>
    </w:p>
    <w:p w:rsidR="001C7C52" w:rsidRPr="00802C03" w:rsidRDefault="001C7C52" w:rsidP="00CB37CD">
      <w:pPr>
        <w:tabs>
          <w:tab w:val="left" w:pos="567"/>
          <w:tab w:val="left" w:pos="8505"/>
        </w:tabs>
        <w:spacing w:before="60" w:after="60" w:line="320" w:lineRule="atLeast"/>
        <w:ind w:firstLine="567"/>
        <w:jc w:val="both"/>
        <w:rPr>
          <w:rFonts w:ascii="Garamond" w:hAnsi="Garamond"/>
          <w:lang w:val="en-GB"/>
        </w:rPr>
      </w:pPr>
      <w:r w:rsidRPr="005E2D6F">
        <w:rPr>
          <w:rFonts w:ascii="Garamond" w:hAnsi="Garamond"/>
          <w:position w:val="-22"/>
          <w:lang w:val="en-GB"/>
        </w:rPr>
        <w:object w:dxaOrig="1980" w:dyaOrig="540">
          <v:shape id="_x0000_i1672" type="#_x0000_t75" style="width:98.25pt;height:27pt" o:ole="">
            <v:imagedata r:id="rId1199" o:title=""/>
          </v:shape>
          <o:OLEObject Type="Embed" ProgID="Equation.DSMT4" ShapeID="_x0000_i1672" DrawAspect="Content" ObjectID="_1324894155" r:id="rId1200"/>
        </w:object>
      </w:r>
      <w:r w:rsidRPr="00802C03">
        <w:rPr>
          <w:rFonts w:ascii="Garamond" w:hAnsi="Garamond"/>
          <w:lang w:val="en-GB"/>
        </w:rPr>
        <w:t>.</w:t>
      </w:r>
      <w:bookmarkStart w:id="48" w:name="E2N10"/>
      <w:bookmarkEnd w:id="48"/>
      <w:r w:rsidRPr="00802C03">
        <w:rPr>
          <w:rFonts w:ascii="Garamond" w:hAnsi="Garamond"/>
          <w:lang w:val="en-GB"/>
        </w:rPr>
        <w:tab/>
        <w:t>(2.10)</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In this equation, </w:t>
      </w:r>
      <w:r w:rsidRPr="00100BDF">
        <w:rPr>
          <w:rFonts w:ascii="Garamond" w:hAnsi="Garamond"/>
          <w:position w:val="-8"/>
          <w:lang w:val="en-GB"/>
        </w:rPr>
        <w:object w:dxaOrig="200" w:dyaOrig="279">
          <v:shape id="_x0000_i1673" type="#_x0000_t75" style="width:9.75pt;height:13.5pt" o:ole="">
            <v:imagedata r:id="rId1201" o:title=""/>
          </v:shape>
          <o:OLEObject Type="Embed" ProgID="Equation.DSMT4" ShapeID="_x0000_i1673" DrawAspect="Content" ObjectID="_1324894156" r:id="rId1202"/>
        </w:object>
      </w:r>
      <w:r w:rsidRPr="00802C03">
        <w:rPr>
          <w:rFonts w:ascii="Garamond" w:hAnsi="Garamond"/>
          <w:lang w:val="en-GB"/>
        </w:rPr>
        <w:t xml:space="preserve"> is a jump in time in period </w:t>
      </w:r>
      <w:r w:rsidRPr="00100BDF">
        <w:rPr>
          <w:rFonts w:ascii="Garamond" w:hAnsi="Garamond"/>
          <w:position w:val="-6"/>
          <w:lang w:val="en-GB"/>
        </w:rPr>
        <w:object w:dxaOrig="160" w:dyaOrig="200">
          <v:shape id="_x0000_i1674" type="#_x0000_t75" style="width:8.25pt;height:9.75pt" o:ole="">
            <v:imagedata r:id="rId1203" o:title=""/>
          </v:shape>
          <o:OLEObject Type="Embed" ProgID="Equation.DSMT4" ShapeID="_x0000_i1674" DrawAspect="Content" ObjectID="_1324894157" r:id="rId1204"/>
        </w:object>
      </w:r>
      <w:r w:rsidRPr="00802C03">
        <w:rPr>
          <w:rFonts w:ascii="Garamond" w:hAnsi="Garamond"/>
          <w:lang w:val="en-GB"/>
        </w:rPr>
        <w:t xml:space="preserve"> to </w:t>
      </w:r>
      <w:r w:rsidRPr="00100BDF">
        <w:rPr>
          <w:rFonts w:ascii="Garamond" w:hAnsi="Garamond"/>
          <w:position w:val="-6"/>
          <w:lang w:val="en-GB"/>
        </w:rPr>
        <w:object w:dxaOrig="139" w:dyaOrig="220">
          <v:shape id="_x0000_i1675" type="#_x0000_t75" style="width:6.75pt;height:11.25pt" o:ole="">
            <v:imagedata r:id="rId1205" o:title=""/>
          </v:shape>
          <o:OLEObject Type="Embed" ProgID="Equation.DSMT4" ShapeID="_x0000_i1675" DrawAspect="Content" ObjectID="_1324894158" r:id="rId1206"/>
        </w:object>
      </w:r>
      <w:r w:rsidRPr="00802C03">
        <w:rPr>
          <w:rFonts w:ascii="Garamond" w:hAnsi="Garamond"/>
          <w:lang w:val="en-GB"/>
        </w:rPr>
        <w:t xml:space="preserve">, </w:t>
      </w:r>
      <w:r w:rsidRPr="00100BDF">
        <w:rPr>
          <w:rFonts w:ascii="Garamond" w:hAnsi="Garamond"/>
          <w:position w:val="-4"/>
          <w:lang w:val="en-GB"/>
        </w:rPr>
        <w:object w:dxaOrig="160" w:dyaOrig="220">
          <v:shape id="_x0000_i1676" type="#_x0000_t75" style="width:8.25pt;height:11.25pt" o:ole="">
            <v:imagedata r:id="rId1207" o:title=""/>
          </v:shape>
          <o:OLEObject Type="Embed" ProgID="Equation.DSMT4" ShapeID="_x0000_i1676" DrawAspect="Content" ObjectID="_1324894159" r:id="rId1208"/>
        </w:object>
      </w:r>
      <w:r w:rsidRPr="00802C03">
        <w:rPr>
          <w:rFonts w:ascii="Garamond" w:hAnsi="Garamond"/>
          <w:lang w:val="en-GB"/>
        </w:rPr>
        <w:t xml:space="preserve"> is the identity-matrix with dimension </w:t>
      </w:r>
      <w:r w:rsidRPr="00100BDF">
        <w:rPr>
          <w:rFonts w:ascii="Garamond" w:hAnsi="Garamond"/>
          <w:position w:val="-4"/>
          <w:lang w:val="en-GB"/>
        </w:rPr>
        <w:object w:dxaOrig="240" w:dyaOrig="220">
          <v:shape id="_x0000_i1677" type="#_x0000_t75" style="width:12pt;height:11.25pt" o:ole="">
            <v:imagedata r:id="rId1209" o:title=""/>
          </v:shape>
          <o:OLEObject Type="Embed" ProgID="Equation.DSMT4" ShapeID="_x0000_i1677" DrawAspect="Content" ObjectID="_1324894160" r:id="rId1210"/>
        </w:object>
      </w:r>
      <w:r w:rsidRPr="00802C03">
        <w:rPr>
          <w:rFonts w:ascii="Garamond" w:hAnsi="Garamond"/>
          <w:lang w:val="en-GB"/>
        </w:rPr>
        <w:t>x</w:t>
      </w:r>
      <w:r w:rsidRPr="00100BDF">
        <w:rPr>
          <w:rFonts w:ascii="Garamond" w:hAnsi="Garamond"/>
          <w:position w:val="-4"/>
          <w:lang w:val="en-GB"/>
        </w:rPr>
        <w:object w:dxaOrig="240" w:dyaOrig="220">
          <v:shape id="_x0000_i1678" type="#_x0000_t75" style="width:12pt;height:11.25pt" o:ole="">
            <v:imagedata r:id="rId1211" o:title=""/>
          </v:shape>
          <o:OLEObject Type="Embed" ProgID="Equation.DSMT4" ShapeID="_x0000_i1678" DrawAspect="Content" ObjectID="_1324894161" r:id="rId1212"/>
        </w:object>
      </w:r>
      <w:r w:rsidRPr="00802C03">
        <w:rPr>
          <w:rFonts w:ascii="Garamond" w:hAnsi="Garamond"/>
          <w:lang w:val="en-GB"/>
        </w:rPr>
        <w:t xml:space="preserve"> and </w:t>
      </w:r>
      <w:r w:rsidRPr="00100BDF">
        <w:rPr>
          <w:rFonts w:ascii="Garamond" w:hAnsi="Garamond"/>
          <w:position w:val="-10"/>
          <w:lang w:val="en-GB"/>
        </w:rPr>
        <w:object w:dxaOrig="639" w:dyaOrig="360">
          <v:shape id="_x0000_i1679" type="#_x0000_t75" style="width:32.25pt;height:18pt" o:ole="">
            <v:imagedata r:id="rId1213" o:title=""/>
          </v:shape>
          <o:OLEObject Type="Embed" ProgID="Equation.DSMT4" ShapeID="_x0000_i1679" DrawAspect="Content" ObjectID="_1324894162" r:id="rId1214"/>
        </w:object>
      </w:r>
      <w:r w:rsidRPr="00802C03">
        <w:rPr>
          <w:rFonts w:ascii="Garamond" w:hAnsi="Garamond"/>
          <w:lang w:val="en-GB"/>
        </w:rPr>
        <w:t xml:space="preserve"> can be estimated as follows:</w:t>
      </w:r>
    </w:p>
    <w:p w:rsidR="001C7C52" w:rsidRPr="00802C03" w:rsidRDefault="001C7C52" w:rsidP="00E64D3F">
      <w:pPr>
        <w:tabs>
          <w:tab w:val="left" w:pos="567"/>
          <w:tab w:val="left" w:pos="8505"/>
        </w:tabs>
        <w:spacing w:before="80" w:line="320" w:lineRule="atLeast"/>
        <w:ind w:firstLine="567"/>
        <w:jc w:val="both"/>
        <w:rPr>
          <w:rFonts w:ascii="Garamond" w:hAnsi="Garamond"/>
          <w:lang w:val="en-GB"/>
        </w:rPr>
      </w:pPr>
      <w:r w:rsidRPr="005E2D6F">
        <w:rPr>
          <w:rFonts w:ascii="Garamond" w:hAnsi="Garamond"/>
          <w:position w:val="-116"/>
          <w:lang w:val="en-GB"/>
        </w:rPr>
        <w:object w:dxaOrig="5940" w:dyaOrig="2420">
          <v:shape id="_x0000_i1680" type="#_x0000_t75" style="width:294pt;height:120pt" o:ole="">
            <v:imagedata r:id="rId1215" o:title=""/>
          </v:shape>
          <o:OLEObject Type="Embed" ProgID="Equation.DSMT4" ShapeID="_x0000_i1680" DrawAspect="Content" ObjectID="_1324894163" r:id="rId1216"/>
        </w:object>
      </w:r>
      <w:r w:rsidRPr="00802C03">
        <w:rPr>
          <w:rFonts w:ascii="Garamond" w:hAnsi="Garamond"/>
          <w:lang w:val="en-GB"/>
        </w:rPr>
        <w:t>,</w:t>
      </w:r>
      <w:r w:rsidRPr="00802C03">
        <w:rPr>
          <w:rFonts w:ascii="Garamond" w:hAnsi="Garamond"/>
          <w:lang w:val="en-GB"/>
        </w:rPr>
        <w:tab/>
        <w:t>(2.11)</w:t>
      </w:r>
    </w:p>
    <w:p w:rsidR="001C7C52" w:rsidRPr="00802C03" w:rsidRDefault="001C7C52" w:rsidP="00EF4DC5">
      <w:pPr>
        <w:spacing w:before="80" w:after="160" w:line="280" w:lineRule="exact"/>
        <w:ind w:left="567"/>
        <w:jc w:val="both"/>
        <w:rPr>
          <w:rFonts w:ascii="Garamond" w:hAnsi="Garamond"/>
          <w:lang w:val="en-GB"/>
        </w:rPr>
      </w:pPr>
      <w:r w:rsidRPr="00802C03">
        <w:rPr>
          <w:rFonts w:ascii="Garamond" w:hAnsi="Garamond"/>
          <w:lang w:val="en-GB"/>
        </w:rPr>
        <w:t xml:space="preserve">where </w:t>
      </w:r>
      <w:r w:rsidRPr="00100BDF">
        <w:rPr>
          <w:rFonts w:ascii="Garamond" w:hAnsi="Garamond"/>
          <w:position w:val="-10"/>
          <w:lang w:val="en-GB"/>
        </w:rPr>
        <w:object w:dxaOrig="740" w:dyaOrig="300">
          <v:shape id="_x0000_i1681" type="#_x0000_t75" style="width:36.75pt;height:15pt" o:ole="">
            <v:imagedata r:id="rId1217" o:title=""/>
          </v:shape>
          <o:OLEObject Type="Embed" ProgID="Equation.DSMT4" ShapeID="_x0000_i1681" DrawAspect="Content" ObjectID="_1324894164" r:id="rId1218"/>
        </w:object>
      </w:r>
      <w:r w:rsidRPr="00802C03">
        <w:rPr>
          <w:rFonts w:ascii="Garamond" w:hAnsi="Garamond"/>
          <w:lang w:val="en-GB"/>
        </w:rPr>
        <w:t xml:space="preserve"> denotes the number of migrations from state </w:t>
      </w:r>
      <w:r w:rsidRPr="00100BDF">
        <w:rPr>
          <w:rFonts w:ascii="Garamond" w:hAnsi="Garamond"/>
          <w:position w:val="-6"/>
          <w:lang w:val="en-GB"/>
        </w:rPr>
        <w:object w:dxaOrig="180" w:dyaOrig="260">
          <v:shape id="_x0000_i1682" type="#_x0000_t75" style="width:9pt;height:13.5pt" o:ole="">
            <v:imagedata r:id="rId1219" o:title=""/>
          </v:shape>
          <o:OLEObject Type="Embed" ProgID="Equation.DSMT4" ShapeID="_x0000_i1682" DrawAspect="Content" ObjectID="_1324894165" r:id="rId1220"/>
        </w:object>
      </w:r>
      <w:r w:rsidRPr="00802C03">
        <w:rPr>
          <w:rFonts w:ascii="Garamond" w:hAnsi="Garamond"/>
          <w:lang w:val="en-GB"/>
        </w:rPr>
        <w:t xml:space="preserve"> to state </w:t>
      </w:r>
      <w:r w:rsidRPr="00100BDF">
        <w:rPr>
          <w:rFonts w:ascii="Garamond" w:hAnsi="Garamond"/>
          <w:position w:val="-10"/>
          <w:lang w:val="en-GB"/>
        </w:rPr>
        <w:object w:dxaOrig="180" w:dyaOrig="279">
          <v:shape id="_x0000_i1683" type="#_x0000_t75" style="width:9pt;height:13.5pt" o:ole="">
            <v:imagedata r:id="rId1221" o:title=""/>
          </v:shape>
          <o:OLEObject Type="Embed" ProgID="Equation.DSMT4" ShapeID="_x0000_i1683" DrawAspect="Content" ObjectID="_1324894166" r:id="rId1222"/>
        </w:object>
      </w:r>
      <w:r w:rsidRPr="00802C03">
        <w:rPr>
          <w:rFonts w:ascii="Garamond" w:hAnsi="Garamond"/>
          <w:lang w:val="en-GB"/>
        </w:rPr>
        <w:t xml:space="preserve"> on moment or date </w:t>
      </w:r>
      <w:r w:rsidRPr="00100BDF">
        <w:rPr>
          <w:rFonts w:ascii="Garamond" w:hAnsi="Garamond"/>
          <w:position w:val="-8"/>
          <w:lang w:val="en-GB"/>
        </w:rPr>
        <w:object w:dxaOrig="200" w:dyaOrig="279">
          <v:shape id="_x0000_i1684" type="#_x0000_t75" style="width:9.75pt;height:13.5pt" o:ole="">
            <v:imagedata r:id="rId1223" o:title=""/>
          </v:shape>
          <o:OLEObject Type="Embed" ProgID="Equation.DSMT4" ShapeID="_x0000_i1684" DrawAspect="Content" ObjectID="_1324894167" r:id="rId1224"/>
        </w:object>
      </w:r>
      <w:r w:rsidRPr="00802C03">
        <w:rPr>
          <w:rFonts w:ascii="Garamond" w:hAnsi="Garamond"/>
          <w:lang w:val="en-GB"/>
        </w:rPr>
        <w:t xml:space="preserve">, </w:t>
      </w:r>
      <w:r w:rsidRPr="00100BDF">
        <w:rPr>
          <w:rFonts w:ascii="Garamond" w:hAnsi="Garamond"/>
          <w:position w:val="-10"/>
          <w:lang w:val="en-GB"/>
        </w:rPr>
        <w:object w:dxaOrig="700" w:dyaOrig="300">
          <v:shape id="_x0000_i1685" type="#_x0000_t75" style="width:35.25pt;height:15pt" o:ole="">
            <v:imagedata r:id="rId1225" o:title=""/>
          </v:shape>
          <o:OLEObject Type="Embed" ProgID="Equation.DSMT4" ShapeID="_x0000_i1685" DrawAspect="Content" ObjectID="_1324894168" r:id="rId1226"/>
        </w:object>
      </w:r>
      <w:r w:rsidRPr="00802C03">
        <w:rPr>
          <w:rFonts w:ascii="Garamond" w:hAnsi="Garamond"/>
          <w:lang w:val="en-GB"/>
        </w:rPr>
        <w:t xml:space="preserve"> denotes the number of migrations away from state </w:t>
      </w:r>
      <w:r w:rsidRPr="00100BDF">
        <w:rPr>
          <w:rFonts w:ascii="Garamond" w:hAnsi="Garamond"/>
          <w:position w:val="-6"/>
          <w:lang w:val="en-GB"/>
        </w:rPr>
        <w:object w:dxaOrig="180" w:dyaOrig="260">
          <v:shape id="_x0000_i1686" type="#_x0000_t75" style="width:9pt;height:13.5pt" o:ole="">
            <v:imagedata r:id="rId1227" o:title=""/>
          </v:shape>
          <o:OLEObject Type="Embed" ProgID="Equation.DSMT4" ShapeID="_x0000_i1686" DrawAspect="Content" ObjectID="_1324894169" r:id="rId1228"/>
        </w:object>
      </w:r>
      <w:r w:rsidRPr="00802C03">
        <w:rPr>
          <w:rFonts w:ascii="Garamond" w:hAnsi="Garamond"/>
          <w:lang w:val="en-GB"/>
        </w:rPr>
        <w:t xml:space="preserve"> at moment or date </w:t>
      </w:r>
      <w:r w:rsidRPr="00100BDF">
        <w:rPr>
          <w:rFonts w:ascii="Garamond" w:hAnsi="Garamond"/>
          <w:position w:val="-8"/>
          <w:lang w:val="en-GB"/>
        </w:rPr>
        <w:object w:dxaOrig="200" w:dyaOrig="279">
          <v:shape id="_x0000_i1687" type="#_x0000_t75" style="width:9.75pt;height:13.5pt" o:ole="">
            <v:imagedata r:id="rId1229" o:title=""/>
          </v:shape>
          <o:OLEObject Type="Embed" ProgID="Equation.DSMT4" ShapeID="_x0000_i1687" DrawAspect="Content" ObjectID="_1324894170" r:id="rId1230"/>
        </w:object>
      </w:r>
      <w:r w:rsidRPr="00802C03">
        <w:rPr>
          <w:rFonts w:ascii="Garamond" w:hAnsi="Garamond"/>
          <w:lang w:val="en-GB"/>
        </w:rPr>
        <w:t xml:space="preserve"> and </w:t>
      </w:r>
      <w:r w:rsidRPr="00100BDF">
        <w:rPr>
          <w:rFonts w:ascii="Garamond" w:hAnsi="Garamond"/>
          <w:position w:val="-10"/>
          <w:lang w:val="en-GB"/>
        </w:rPr>
        <w:object w:dxaOrig="520" w:dyaOrig="300">
          <v:shape id="_x0000_i1688" type="#_x0000_t75" style="width:26.25pt;height:15pt" o:ole="">
            <v:imagedata r:id="rId1231" o:title=""/>
          </v:shape>
          <o:OLEObject Type="Embed" ProgID="Equation.DSMT4" ShapeID="_x0000_i1688" DrawAspect="Content" ObjectID="_1324894171" r:id="rId1232"/>
        </w:object>
      </w:r>
      <w:r w:rsidRPr="00802C03">
        <w:rPr>
          <w:rFonts w:ascii="Garamond" w:hAnsi="Garamond"/>
          <w:lang w:val="en-GB"/>
        </w:rPr>
        <w:t xml:space="preserve"> counts the number of issuers in the state </w:t>
      </w:r>
      <w:r w:rsidRPr="00100BDF">
        <w:rPr>
          <w:rFonts w:ascii="Garamond" w:hAnsi="Garamond"/>
          <w:position w:val="-6"/>
          <w:lang w:val="en-GB"/>
        </w:rPr>
        <w:object w:dxaOrig="180" w:dyaOrig="260">
          <v:shape id="_x0000_i1689" type="#_x0000_t75" style="width:9pt;height:13.5pt" o:ole="">
            <v:imagedata r:id="rId1233" o:title=""/>
          </v:shape>
          <o:OLEObject Type="Embed" ProgID="Equation.DSMT4" ShapeID="_x0000_i1689" DrawAspect="Content" ObjectID="_1324894172" r:id="rId1234"/>
        </w:object>
      </w:r>
      <w:r w:rsidRPr="00802C03">
        <w:rPr>
          <w:rFonts w:ascii="Garamond" w:hAnsi="Garamond"/>
          <w:lang w:val="en-GB"/>
        </w:rPr>
        <w:t xml:space="preserve"> right before moment </w:t>
      </w:r>
      <w:r w:rsidRPr="00100BDF">
        <w:rPr>
          <w:rFonts w:ascii="Garamond" w:hAnsi="Garamond"/>
          <w:position w:val="-8"/>
          <w:lang w:val="en-GB"/>
        </w:rPr>
        <w:object w:dxaOrig="200" w:dyaOrig="279">
          <v:shape id="_x0000_i1690" type="#_x0000_t75" style="width:9.75pt;height:13.5pt" o:ole="">
            <v:imagedata r:id="rId1235" o:title=""/>
          </v:shape>
          <o:OLEObject Type="Embed" ProgID="Equation.DSMT4" ShapeID="_x0000_i1690" DrawAspect="Content" ObjectID="_1324894173" r:id="rId1236"/>
        </w:object>
      </w:r>
      <w:r w:rsidRPr="00802C03">
        <w:rPr>
          <w:rFonts w:ascii="Garamond" w:hAnsi="Garamond"/>
          <w:lang w:val="en-GB"/>
        </w:rPr>
        <w:t xml:space="preserve">.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Hence, the diagonal element in row </w:t>
      </w:r>
      <w:r w:rsidRPr="00100BDF">
        <w:rPr>
          <w:rFonts w:ascii="Garamond" w:hAnsi="Garamond"/>
          <w:position w:val="-6"/>
          <w:lang w:val="en-GB"/>
        </w:rPr>
        <w:object w:dxaOrig="180" w:dyaOrig="260">
          <v:shape id="_x0000_i1691" type="#_x0000_t75" style="width:9pt;height:13.5pt" o:ole="">
            <v:imagedata r:id="rId1237" o:title=""/>
          </v:shape>
          <o:OLEObject Type="Embed" ProgID="Equation.DSMT4" ShapeID="_x0000_i1691" DrawAspect="Content" ObjectID="_1324894174" r:id="rId1238"/>
        </w:object>
      </w:r>
      <w:r w:rsidRPr="00802C03">
        <w:rPr>
          <w:rFonts w:ascii="Garamond" w:hAnsi="Garamond"/>
          <w:lang w:val="en-GB"/>
        </w:rPr>
        <w:t xml:space="preserve"> counts the fraction of exposed issuers (</w:t>
      </w:r>
      <w:r w:rsidRPr="00100BDF">
        <w:rPr>
          <w:rFonts w:ascii="Garamond" w:hAnsi="Garamond"/>
          <w:position w:val="-10"/>
          <w:lang w:val="en-GB"/>
        </w:rPr>
        <w:object w:dxaOrig="520" w:dyaOrig="300">
          <v:shape id="_x0000_i1692" type="#_x0000_t75" style="width:26.25pt;height:15pt" o:ole="">
            <v:imagedata r:id="rId1239" o:title=""/>
          </v:shape>
          <o:OLEObject Type="Embed" ProgID="Equation.DSMT4" ShapeID="_x0000_i1692" DrawAspect="Content" ObjectID="_1324894175" r:id="rId1240"/>
        </w:object>
      </w:r>
      <w:r w:rsidRPr="00802C03">
        <w:rPr>
          <w:rFonts w:ascii="Garamond" w:hAnsi="Garamond"/>
          <w:lang w:val="en-GB"/>
        </w:rPr>
        <w:t xml:space="preserve">), right before moment </w:t>
      </w:r>
      <w:r w:rsidRPr="00100BDF">
        <w:rPr>
          <w:rFonts w:ascii="Garamond" w:hAnsi="Garamond"/>
          <w:position w:val="-8"/>
          <w:lang w:val="en-GB"/>
        </w:rPr>
        <w:object w:dxaOrig="200" w:dyaOrig="279">
          <v:shape id="_x0000_i1693" type="#_x0000_t75" style="width:9.75pt;height:13.5pt" o:ole="">
            <v:imagedata r:id="rId1241" o:title=""/>
          </v:shape>
          <o:OLEObject Type="Embed" ProgID="Equation.DSMT4" ShapeID="_x0000_i1693" DrawAspect="Content" ObjectID="_1324894176" r:id="rId1242"/>
        </w:object>
      </w:r>
      <w:r w:rsidRPr="00802C03">
        <w:rPr>
          <w:rFonts w:ascii="Garamond" w:hAnsi="Garamond"/>
          <w:lang w:val="en-GB"/>
        </w:rPr>
        <w:t xml:space="preserve"> that leaves state </w:t>
      </w:r>
      <w:r w:rsidRPr="00100BDF">
        <w:rPr>
          <w:rFonts w:ascii="Garamond" w:hAnsi="Garamond"/>
          <w:position w:val="-6"/>
          <w:lang w:val="en-GB"/>
        </w:rPr>
        <w:object w:dxaOrig="180" w:dyaOrig="260">
          <v:shape id="_x0000_i1694" type="#_x0000_t75" style="width:9pt;height:13.5pt" o:ole="">
            <v:imagedata r:id="rId1243" o:title=""/>
          </v:shape>
          <o:OLEObject Type="Embed" ProgID="Equation.DSMT4" ShapeID="_x0000_i1694" DrawAspect="Content" ObjectID="_1324894177" r:id="rId1244"/>
        </w:object>
      </w:r>
      <w:r w:rsidRPr="00802C03">
        <w:rPr>
          <w:rFonts w:ascii="Garamond" w:hAnsi="Garamond"/>
          <w:lang w:val="en-GB"/>
        </w:rPr>
        <w:t xml:space="preserve"> at moment </w:t>
      </w:r>
      <w:r w:rsidRPr="00100BDF">
        <w:rPr>
          <w:rFonts w:ascii="Garamond" w:hAnsi="Garamond"/>
          <w:position w:val="-8"/>
          <w:lang w:val="en-GB"/>
        </w:rPr>
        <w:object w:dxaOrig="200" w:dyaOrig="279">
          <v:shape id="_x0000_i1695" type="#_x0000_t75" style="width:9.75pt;height:13.5pt" o:ole="">
            <v:imagedata r:id="rId1245" o:title=""/>
          </v:shape>
          <o:OLEObject Type="Embed" ProgID="Equation.DSMT4" ShapeID="_x0000_i1695" DrawAspect="Content" ObjectID="_1324894178" r:id="rId1246"/>
        </w:object>
      </w:r>
      <w:r w:rsidRPr="00802C03">
        <w:rPr>
          <w:rFonts w:ascii="Garamond" w:hAnsi="Garamond"/>
          <w:lang w:val="en-GB"/>
        </w:rPr>
        <w:t xml:space="preserve">. </w:t>
      </w:r>
      <w:hyperlink w:anchor="Lando_Skodeberg_2002" w:history="1">
        <w:r w:rsidRPr="00802C03">
          <w:rPr>
            <w:rStyle w:val="Hyperlink"/>
            <w:rFonts w:ascii="Garamond" w:hAnsi="Garamond"/>
            <w:color w:val="000066"/>
            <w:u w:val="none"/>
            <w:lang w:val="en-GB"/>
          </w:rPr>
          <w:t>Lando &amp; Skødeberg (2002)</w:t>
        </w:r>
      </w:hyperlink>
      <w:r w:rsidRPr="00802C03">
        <w:rPr>
          <w:rFonts w:ascii="Garamond" w:hAnsi="Garamond"/>
          <w:lang w:val="en-GB"/>
        </w:rPr>
        <w:t xml:space="preserve"> explain that the notation </w:t>
      </w:r>
      <w:r w:rsidRPr="00100BDF">
        <w:rPr>
          <w:rFonts w:ascii="Garamond" w:hAnsi="Garamond"/>
          <w:position w:val="-10"/>
          <w:lang w:val="en-GB"/>
        </w:rPr>
        <w:object w:dxaOrig="740" w:dyaOrig="300">
          <v:shape id="_x0000_i1696" type="#_x0000_t75" style="width:36.75pt;height:15pt" o:ole="">
            <v:imagedata r:id="rId1247" o:title=""/>
          </v:shape>
          <o:OLEObject Type="Embed" ProgID="Equation.DSMT4" ShapeID="_x0000_i1696" DrawAspect="Content" ObjectID="_1324894179" r:id="rId1248"/>
        </w:object>
      </w:r>
      <w:r w:rsidRPr="00802C03">
        <w:rPr>
          <w:rFonts w:ascii="Garamond" w:hAnsi="Garamond"/>
          <w:lang w:val="en-GB"/>
        </w:rPr>
        <w:t xml:space="preserve"> is used to avoid mistaking this variable for the one applied in the cohort method. Variable </w:t>
      </w:r>
      <w:r w:rsidRPr="00100BDF">
        <w:rPr>
          <w:rFonts w:ascii="Garamond" w:hAnsi="Garamond"/>
          <w:position w:val="-10"/>
          <w:lang w:val="en-GB"/>
        </w:rPr>
        <w:object w:dxaOrig="740" w:dyaOrig="300">
          <v:shape id="_x0000_i1697" type="#_x0000_t75" style="width:36.75pt;height:15pt" o:ole="">
            <v:imagedata r:id="rId1249" o:title=""/>
          </v:shape>
          <o:OLEObject Type="Embed" ProgID="Equation.DSMT4" ShapeID="_x0000_i1697" DrawAspect="Content" ObjectID="_1324894180" r:id="rId1250"/>
        </w:object>
      </w:r>
      <w:r w:rsidRPr="00802C03">
        <w:rPr>
          <w:rFonts w:ascii="Garamond" w:hAnsi="Garamond"/>
          <w:lang w:val="en-GB"/>
        </w:rPr>
        <w:t xml:space="preserve"> becomes equivalent to a one-day cohort variable (</w:t>
      </w:r>
      <w:r w:rsidRPr="00100BDF">
        <w:rPr>
          <w:rFonts w:ascii="Garamond" w:hAnsi="Garamond"/>
          <w:position w:val="-10"/>
          <w:lang w:val="en-GB"/>
        </w:rPr>
        <w:object w:dxaOrig="520" w:dyaOrig="300">
          <v:shape id="_x0000_i1698" type="#_x0000_t75" style="width:26.25pt;height:15pt" o:ole="">
            <v:imagedata r:id="rId1251" o:title=""/>
          </v:shape>
          <o:OLEObject Type="Embed" ProgID="Equation.DSMT4" ShapeID="_x0000_i1698" DrawAspect="Content" ObjectID="_1324894181" r:id="rId1252"/>
        </w:object>
      </w:r>
      <w:r w:rsidRPr="00802C03">
        <w:rPr>
          <w:rFonts w:ascii="Garamond" w:hAnsi="Garamond"/>
          <w:lang w:val="en-GB"/>
        </w:rPr>
        <w:t xml:space="preserve">) when the migration data sample has a frequency of one day, as is the case in this study and in most other research in which this estimator is employed. Herein, moment </w:t>
      </w:r>
      <w:r w:rsidRPr="00100BDF">
        <w:rPr>
          <w:rFonts w:ascii="Garamond" w:hAnsi="Garamond"/>
          <w:position w:val="-8"/>
          <w:lang w:val="en-GB"/>
        </w:rPr>
        <w:object w:dxaOrig="200" w:dyaOrig="279">
          <v:shape id="_x0000_i1699" type="#_x0000_t75" style="width:9.75pt;height:13.5pt" o:ole="">
            <v:imagedata r:id="rId1253" o:title=""/>
          </v:shape>
          <o:OLEObject Type="Embed" ProgID="Equation.DSMT4" ShapeID="_x0000_i1699" DrawAspect="Content" ObjectID="_1324894182" r:id="rId1254"/>
        </w:object>
      </w:r>
      <w:r w:rsidRPr="00802C03">
        <w:rPr>
          <w:rFonts w:ascii="Garamond" w:hAnsi="Garamond"/>
          <w:lang w:val="en-GB"/>
        </w:rPr>
        <w:t xml:space="preserve"> becomes an explicit date and therefore the Aalen-Johansen estimator may then be seen as an estimator that is built on cohort estimators for a time intervals of one day. The 1 to </w:t>
      </w:r>
      <w:r w:rsidRPr="00100BDF">
        <w:rPr>
          <w:rFonts w:ascii="Garamond" w:hAnsi="Garamond"/>
          <w:position w:val="-6"/>
          <w:lang w:val="en-GB"/>
        </w:rPr>
        <w:object w:dxaOrig="220" w:dyaOrig="200">
          <v:shape id="_x0000_i1700" type="#_x0000_t75" style="width:11.25pt;height:9.75pt" o:ole="">
            <v:imagedata r:id="rId1255" o:title=""/>
          </v:shape>
          <o:OLEObject Type="Embed" ProgID="Equation.DSMT4" ShapeID="_x0000_i1700" DrawAspect="Content" ObjectID="_1324894183" r:id="rId1256"/>
        </w:object>
      </w:r>
      <w:r w:rsidRPr="00802C03">
        <w:rPr>
          <w:rFonts w:ascii="Garamond" w:hAnsi="Garamond"/>
          <w:lang w:val="en-GB"/>
        </w:rPr>
        <w:t xml:space="preserve"> multiplication-range in the </w:t>
      </w:r>
      <w:hyperlink w:anchor="E2N10" w:history="1">
        <w:r w:rsidRPr="00802C03">
          <w:rPr>
            <w:rStyle w:val="Hyperlink"/>
            <w:rFonts w:ascii="Garamond" w:hAnsi="Garamond"/>
            <w:color w:val="000066"/>
            <w:u w:val="none"/>
            <w:lang w:val="en-GB"/>
          </w:rPr>
          <w:t>equation 2.10</w:t>
        </w:r>
      </w:hyperlink>
      <w:r w:rsidRPr="00802C03">
        <w:rPr>
          <w:rFonts w:ascii="Garamond" w:hAnsi="Garamond"/>
          <w:lang w:val="en-GB"/>
        </w:rPr>
        <w:t xml:space="preserve">, that normally multiplies </w:t>
      </w:r>
      <w:r w:rsidRPr="00100BDF">
        <w:rPr>
          <w:rFonts w:ascii="Garamond" w:hAnsi="Garamond"/>
          <w:position w:val="-10"/>
          <w:lang w:val="en-GB"/>
        </w:rPr>
        <w:object w:dxaOrig="639" w:dyaOrig="360">
          <v:shape id="_x0000_i1701" type="#_x0000_t75" style="width:32.25pt;height:18pt" o:ole="">
            <v:imagedata r:id="rId1257" o:title=""/>
          </v:shape>
          <o:OLEObject Type="Embed" ProgID="Equation.DSMT4" ShapeID="_x0000_i1701" DrawAspect="Content" ObjectID="_1324894184" r:id="rId1258"/>
        </w:object>
      </w:r>
      <w:r w:rsidRPr="00802C03">
        <w:rPr>
          <w:rFonts w:ascii="Garamond" w:hAnsi="Garamond"/>
          <w:lang w:val="en-GB"/>
        </w:rPr>
        <w:t xml:space="preserve"> for all migrations in the sample, in this case becomes a multiplication of </w:t>
      </w:r>
      <w:r w:rsidRPr="00100BDF">
        <w:rPr>
          <w:rFonts w:ascii="Garamond" w:hAnsi="Garamond"/>
          <w:position w:val="-10"/>
          <w:lang w:val="en-GB"/>
        </w:rPr>
        <w:object w:dxaOrig="639" w:dyaOrig="360">
          <v:shape id="_x0000_i1702" type="#_x0000_t75" style="width:32.25pt;height:18pt" o:ole="">
            <v:imagedata r:id="rId1259" o:title=""/>
          </v:shape>
          <o:OLEObject Type="Embed" ProgID="Equation.DSMT4" ShapeID="_x0000_i1702" DrawAspect="Content" ObjectID="_1324894185" r:id="rId1260"/>
        </w:object>
      </w:r>
      <w:r w:rsidRPr="00802C03">
        <w:rPr>
          <w:rFonts w:ascii="Garamond" w:hAnsi="Garamond"/>
          <w:lang w:val="en-GB"/>
        </w:rPr>
        <w:t xml:space="preserve"> for all days in the sample. Due to the large number of data-points (days and migrations), the effects of the modification are certainly only marginal. </w:t>
      </w:r>
    </w:p>
    <w:p w:rsidR="001C7C52" w:rsidRPr="00802C03" w:rsidRDefault="001C7C52" w:rsidP="00CB37CD">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In the treatment of the NR state in all three migration matrix estimation methods, the NR category is included in the estimation, but removed again by distributing the probability of migrating from rating </w:t>
      </w:r>
      <w:r w:rsidRPr="00100BDF">
        <w:rPr>
          <w:rFonts w:ascii="Garamond" w:hAnsi="Garamond"/>
          <w:position w:val="-6"/>
          <w:lang w:val="en-GB"/>
        </w:rPr>
        <w:object w:dxaOrig="139" w:dyaOrig="240">
          <v:shape id="_x0000_i1703" type="#_x0000_t75" style="width:6.75pt;height:12pt" o:ole="">
            <v:imagedata r:id="rId1261" o:title=""/>
          </v:shape>
          <o:OLEObject Type="Embed" ProgID="Equation.DSMT4" ShapeID="_x0000_i1703" DrawAspect="Content" ObjectID="_1324894186" r:id="rId1262"/>
        </w:object>
      </w:r>
      <w:r w:rsidRPr="00802C03">
        <w:rPr>
          <w:rFonts w:ascii="Garamond" w:hAnsi="Garamond"/>
          <w:lang w:val="en-GB"/>
        </w:rPr>
        <w:t xml:space="preserve"> to NR amongst all states in proportion to their probability values. This method is common in the literature and effectively treats the NR category as non-informative, while the issuer duration information of before migrating to NR or after migrating away from NR is still used in the estimation of the migration matrix in the duration approach. As mentioned, for the estimation with the cohort approach, it implicitly results in removing the issuer for the (sub)sample during the estimation period. The Aalen-Johansen estimator automatically incorporates ‘censoring’ and therefore, optimally uses the available information. </w:t>
      </w:r>
    </w:p>
    <w:p w:rsidR="001C7C52" w:rsidRPr="00802C03" w:rsidRDefault="001C7C52" w:rsidP="00AB3324">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2.1.5</w:t>
      </w:r>
      <w:r w:rsidRPr="00802C03">
        <w:rPr>
          <w:rFonts w:ascii="Garamond" w:hAnsi="Garamond"/>
          <w:b/>
          <w:lang w:val="en-GB"/>
        </w:rPr>
        <w:tab/>
      </w:r>
      <w:bookmarkStart w:id="49" w:name="S215"/>
      <w:bookmarkEnd w:id="49"/>
      <w:r w:rsidRPr="00802C03">
        <w:rPr>
          <w:rFonts w:ascii="Garamond" w:hAnsi="Garamond"/>
          <w:b/>
          <w:lang w:val="en-GB"/>
        </w:rPr>
        <w:t>Results and Comparison</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All three estimation methods are employed to estimate the required credit migration matrices. As mentioned in </w:t>
      </w:r>
      <w:hyperlink w:anchor="S211" w:history="1">
        <w:r w:rsidRPr="00802C03">
          <w:rPr>
            <w:rStyle w:val="Hyperlink"/>
            <w:rFonts w:ascii="Garamond" w:hAnsi="Garamond"/>
            <w:color w:val="000066"/>
            <w:u w:val="none"/>
            <w:lang w:val="en-GB"/>
          </w:rPr>
          <w:t>section 2.1.1</w:t>
        </w:r>
      </w:hyperlink>
      <w:r w:rsidRPr="00802C03">
        <w:rPr>
          <w:rFonts w:ascii="Garamond" w:hAnsi="Garamond"/>
          <w:lang w:val="en-GB"/>
        </w:rPr>
        <w:t xml:space="preserve">, the used dataset is the historical issuer ratings for all US companies rated by Standard &amp; Poor’s. The applied estimation period is 28/04/1989 – 28/04/2009, which is exactly 20 years and ends at the point in time at which the last Rating Changes observations were taken from Bloomberg Professional. The migration horizon that is assessed is the three-month horizon, since the length of a single-period in the proposed incremental risk model is three months. For the cohort method, the matrix is based on </w:t>
      </w:r>
      <w:hyperlink w:anchor="E2N2" w:history="1">
        <w:r w:rsidRPr="00802C03">
          <w:rPr>
            <w:rStyle w:val="Hyperlink"/>
            <w:rFonts w:ascii="Garamond" w:hAnsi="Garamond"/>
            <w:color w:val="000066"/>
            <w:u w:val="none"/>
            <w:lang w:val="en-GB"/>
          </w:rPr>
          <w:t>equation 2.2</w:t>
        </w:r>
      </w:hyperlink>
      <w:r w:rsidRPr="00802C03">
        <w:rPr>
          <w:rFonts w:ascii="Garamond" w:hAnsi="Garamond"/>
          <w:lang w:val="en-GB"/>
        </w:rPr>
        <w:t xml:space="preserve">, which results in an issuer-weighted average of the 40 underlying three-month migration matrices (40 cohorts of three months). The estimated cohort method migration matrix is displayed in the </w:t>
      </w:r>
      <w:hyperlink w:anchor="T1" w:history="1">
        <w:r w:rsidRPr="00802C03">
          <w:rPr>
            <w:rStyle w:val="Hyperlink"/>
            <w:rFonts w:ascii="Garamond" w:hAnsi="Garamond"/>
            <w:color w:val="000066"/>
            <w:u w:val="none"/>
            <w:lang w:val="en-GB"/>
          </w:rPr>
          <w:t>table I</w:t>
        </w:r>
      </w:hyperlink>
      <w:r w:rsidRPr="00802C03">
        <w:rPr>
          <w:rFonts w:ascii="Garamond" w:hAnsi="Garamond"/>
          <w:lang w:val="en-GB"/>
        </w:rPr>
        <w:t xml:space="preserve">. The three-month duration method migration matrix is based directly on the entire 20 year sample, since no aggregation of sub-sample matrices is required. The estimation result of the duration approach is shown in </w:t>
      </w:r>
      <w:hyperlink w:anchor="T2" w:history="1">
        <w:r w:rsidRPr="00802C03">
          <w:rPr>
            <w:rStyle w:val="Hyperlink"/>
            <w:rFonts w:ascii="Garamond" w:hAnsi="Garamond"/>
            <w:color w:val="000066"/>
            <w:u w:val="none"/>
            <w:lang w:val="en-GB"/>
          </w:rPr>
          <w:t>table II</w:t>
        </w:r>
      </w:hyperlink>
      <w:r w:rsidRPr="00802C03">
        <w:rPr>
          <w:rFonts w:ascii="Garamond" w:hAnsi="Garamond"/>
          <w:lang w:val="en-GB"/>
        </w:rPr>
        <w:t xml:space="preserve">. The third approach, the non-homogeneous Aalen-Johansen estimator, is like the cohort method computed with the use of 40 three-month sub-sample migration matrices. Once more, an issuer-weighted average is employed. The three-month Aalen-Johansen migration matrix is displayed in </w:t>
      </w:r>
      <w:hyperlink w:anchor="T3" w:history="1">
        <w:r w:rsidRPr="00802C03">
          <w:rPr>
            <w:rStyle w:val="Hyperlink"/>
            <w:rFonts w:ascii="Garamond" w:hAnsi="Garamond"/>
            <w:color w:val="000066"/>
            <w:u w:val="none"/>
            <w:lang w:val="en-GB"/>
          </w:rPr>
          <w:t>table III</w:t>
        </w:r>
      </w:hyperlink>
      <w:r w:rsidRPr="00802C03">
        <w:rPr>
          <w:rFonts w:ascii="Garamond" w:hAnsi="Garamond"/>
          <w:lang w:val="en-GB"/>
        </w:rPr>
        <w:t>.</w:t>
      </w:r>
    </w:p>
    <w:p w:rsidR="001C7C52" w:rsidRPr="00802C03" w:rsidRDefault="001C7C52" w:rsidP="00306561">
      <w:pPr>
        <w:spacing w:line="280" w:lineRule="exact"/>
        <w:jc w:val="both"/>
        <w:rPr>
          <w:rFonts w:ascii="Garamond" w:hAnsi="Garamond"/>
          <w:lang w:val="en-GB"/>
        </w:rPr>
      </w:pPr>
      <w:r w:rsidRPr="00802C03">
        <w:rPr>
          <w:rFonts w:ascii="Garamond" w:hAnsi="Garamond"/>
          <w:lang w:val="en-GB"/>
        </w:rPr>
        <w:t xml:space="preserve">First of all, it is important to note that the three matrices all exhibit the distinctive characteristics of credit migration matrices as described in </w:t>
      </w:r>
      <w:hyperlink w:anchor="Bangia_et_al_2002" w:history="1">
        <w:r w:rsidRPr="00802C03">
          <w:rPr>
            <w:rStyle w:val="Hyperlink"/>
            <w:rFonts w:ascii="Garamond" w:hAnsi="Garamond"/>
            <w:color w:val="000066"/>
            <w:u w:val="none"/>
            <w:lang w:val="en-GB"/>
          </w:rPr>
          <w:t>Bangia et al. (2002)</w:t>
        </w:r>
      </w:hyperlink>
      <w:r w:rsidRPr="00802C03">
        <w:rPr>
          <w:rFonts w:ascii="Garamond" w:hAnsi="Garamond"/>
          <w:lang w:val="en-GB"/>
        </w:rPr>
        <w:t>. Monotonicity,</w:t>
      </w:r>
      <w:r w:rsidRPr="00802C03">
        <w:rPr>
          <w:rStyle w:val="FootnoteReference"/>
          <w:rFonts w:ascii="Garamond" w:hAnsi="Garamond"/>
          <w:lang w:val="en-GB"/>
        </w:rPr>
        <w:footnoteReference w:id="42"/>
      </w:r>
      <w:r w:rsidRPr="00802C03">
        <w:rPr>
          <w:rFonts w:ascii="Garamond" w:hAnsi="Garamond"/>
          <w:lang w:val="en-GB"/>
        </w:rPr>
        <w:t xml:space="preserve"> however, is violated in all three matrices in (and around</w:t>
      </w:r>
      <w:r w:rsidRPr="00802C03">
        <w:rPr>
          <w:rStyle w:val="FootnoteReference"/>
          <w:rFonts w:ascii="Garamond" w:hAnsi="Garamond"/>
          <w:lang w:val="en-GB"/>
        </w:rPr>
        <w:footnoteReference w:id="43"/>
      </w:r>
      <w:r w:rsidRPr="00802C03">
        <w:rPr>
          <w:rFonts w:ascii="Garamond" w:hAnsi="Garamond"/>
          <w:lang w:val="en-GB"/>
        </w:rPr>
        <w:t xml:space="preserve">) two entries: AAA to CCC/C and CCC/C to AAA. Two issuers in the sample were downgraded from AAA to CC (both Lehman Brothers entities) and one issuer was upgraded from CCC to AAA. These observations are considered to be extreme events and (may) have resulted in too high estimated probabilities with respect to the occurrences these events. </w:t>
      </w:r>
    </w:p>
    <w:p w:rsidR="001C7C52" w:rsidRPr="00802C03" w:rsidRDefault="001C7C52" w:rsidP="00306561">
      <w:pPr>
        <w:spacing w:line="280" w:lineRule="exact"/>
        <w:jc w:val="both"/>
        <w:rPr>
          <w:rFonts w:ascii="Garamond" w:hAnsi="Garamond"/>
          <w:lang w:val="en-GB"/>
        </w:rPr>
      </w:pPr>
      <w:r w:rsidRPr="00802C03">
        <w:rPr>
          <w:rFonts w:ascii="Garamond" w:hAnsi="Garamond"/>
          <w:lang w:val="en-GB"/>
        </w:rPr>
        <w:t>Besides the obvious similarities between the three matrices, differences are apparent as well. The first essential difference when one compares the results of the different estimation methodologies, can be found when the probability of migrating from CCC/C to D (</w:t>
      </w:r>
      <w:r w:rsidRPr="00100BDF">
        <w:rPr>
          <w:rFonts w:ascii="Garamond" w:hAnsi="Garamond"/>
          <w:position w:val="-10"/>
          <w:lang w:val="en-GB"/>
        </w:rPr>
        <w:object w:dxaOrig="580" w:dyaOrig="300">
          <v:shape id="_x0000_i1704" type="#_x0000_t75" style="width:28.5pt;height:15pt" o:ole="">
            <v:imagedata r:id="rId1263" o:title=""/>
          </v:shape>
          <o:OLEObject Type="Embed" ProgID="Equation.DSMT4" ShapeID="_x0000_i1704" DrawAspect="Content" ObjectID="_1324894187" r:id="rId1264"/>
        </w:object>
      </w:r>
      <w:r w:rsidRPr="00802C03">
        <w:rPr>
          <w:rFonts w:ascii="Garamond" w:hAnsi="Garamond"/>
          <w:lang w:val="en-GB"/>
        </w:rPr>
        <w:t xml:space="preserve">) is examined. As anticipated, the cohort method has generated an estimate that is substantially lower than those generated with the two continuous-time methods. Its value is more than 2% lower in both cases, which is a considerable difference on a three-month migration horizon. In contrast to the CCC/C default probability, when the default probabilities for ratings B, BB, BBB and A are examined, it becomes apparent that here the cohort method produces substantially higher estimates. This result is a side effect of the drawback of the cohort method to only account for the net migration result, when two migration events for a single issuer occur within one cohort. As a result of not completely capturing all migrations, the cohort estimator implicitly assigns too large weights to the migrations that it does capture. </w:t>
      </w:r>
    </w:p>
    <w:p w:rsidR="001C7C52" w:rsidRPr="00802C03" w:rsidRDefault="001C7C52" w:rsidP="00306561">
      <w:pPr>
        <w:spacing w:line="280" w:lineRule="exact"/>
        <w:jc w:val="both"/>
        <w:rPr>
          <w:rFonts w:ascii="Garamond" w:hAnsi="Garamond"/>
          <w:lang w:val="en-GB"/>
        </w:rPr>
      </w:pPr>
      <w:r w:rsidRPr="00802C03">
        <w:rPr>
          <w:rFonts w:ascii="Garamond" w:hAnsi="Garamond"/>
          <w:lang w:val="en-GB"/>
        </w:rPr>
        <w:t>A third key difference between the matrices is the probability of migrating from AAA to D (</w:t>
      </w:r>
      <w:r w:rsidRPr="00100BDF">
        <w:rPr>
          <w:rFonts w:ascii="Garamond" w:hAnsi="Garamond"/>
          <w:position w:val="-10"/>
          <w:lang w:val="en-GB"/>
        </w:rPr>
        <w:object w:dxaOrig="580" w:dyaOrig="300">
          <v:shape id="_x0000_i1705" type="#_x0000_t75" style="width:28.5pt;height:15pt" o:ole="">
            <v:imagedata r:id="rId1265" o:title=""/>
          </v:shape>
          <o:OLEObject Type="Embed" ProgID="Equation.DSMT4" ShapeID="_x0000_i1705" DrawAspect="Content" ObjectID="_1324894188" r:id="rId1266"/>
        </w:object>
      </w:r>
      <w:r w:rsidRPr="00802C03">
        <w:rPr>
          <w:rFonts w:ascii="Garamond" w:hAnsi="Garamond"/>
          <w:lang w:val="en-GB"/>
        </w:rPr>
        <w:t xml:space="preserve">). None of the AAA-issuers has experienced a jump to default in the dataset, which resulted in an estimate equal to zero for the cohort method. Obviously a AAA-issuer can default and consequently, the cohort method estimation results are biased once more. The duration and Aalen-Johansen estimators do produce above zero estimates and thus, generate the required assessment of the default risk of a AAA-issuer. </w:t>
      </w:r>
    </w:p>
    <w:p w:rsidR="001C7C52" w:rsidRPr="00802C03" w:rsidRDefault="001C7C52" w:rsidP="00AB3324">
      <w:pPr>
        <w:spacing w:line="28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34"/>
        <w:gridCol w:w="142"/>
        <w:gridCol w:w="898"/>
        <w:gridCol w:w="125"/>
        <w:gridCol w:w="916"/>
        <w:gridCol w:w="107"/>
        <w:gridCol w:w="934"/>
        <w:gridCol w:w="89"/>
        <w:gridCol w:w="952"/>
        <w:gridCol w:w="71"/>
        <w:gridCol w:w="969"/>
        <w:gridCol w:w="54"/>
        <w:gridCol w:w="987"/>
        <w:gridCol w:w="36"/>
        <w:gridCol w:w="1005"/>
        <w:gridCol w:w="18"/>
        <w:gridCol w:w="1023"/>
      </w:tblGrid>
      <w:tr w:rsidR="001C7C52" w:rsidRPr="000B0ADE" w:rsidTr="00B673EE">
        <w:tc>
          <w:tcPr>
            <w:tcW w:w="9460" w:type="dxa"/>
            <w:gridSpan w:val="17"/>
            <w:tcBorders>
              <w:top w:val="nil"/>
              <w:left w:val="nil"/>
              <w:bottom w:val="single" w:sz="4" w:space="0" w:color="auto"/>
              <w:right w:val="nil"/>
            </w:tcBorders>
            <w:vAlign w:val="center"/>
          </w:tcPr>
          <w:p w:rsidR="001C7C52" w:rsidRPr="00802C03" w:rsidRDefault="001C7C52" w:rsidP="004E6197">
            <w:pPr>
              <w:spacing w:line="240" w:lineRule="auto"/>
              <w:rPr>
                <w:rFonts w:ascii="Garamond" w:hAnsi="Garamond"/>
                <w:sz w:val="20"/>
                <w:lang w:val="en-GB"/>
              </w:rPr>
            </w:pPr>
            <w:bookmarkStart w:id="50" w:name="T1"/>
            <w:bookmarkEnd w:id="50"/>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I </w:t>
            </w:r>
            <w:r w:rsidRPr="00802C03">
              <w:rPr>
                <w:rFonts w:ascii="Garamond" w:hAnsi="Garamond"/>
                <w:lang w:val="en-GB"/>
              </w:rPr>
              <w:t>-</w:t>
            </w:r>
            <w:r w:rsidRPr="00802C03">
              <w:rPr>
                <w:rFonts w:ascii="Garamond" w:hAnsi="Garamond"/>
                <w:b/>
                <w:lang w:val="en-GB"/>
              </w:rPr>
              <w:t xml:space="preserve"> </w:t>
            </w:r>
            <w:r w:rsidRPr="00802C03">
              <w:rPr>
                <w:rFonts w:ascii="Garamond" w:hAnsi="Garamond"/>
                <w:sz w:val="20"/>
                <w:lang w:val="en-GB"/>
              </w:rPr>
              <w:t>Credit Migration Matrix: Cohort Method</w:t>
            </w:r>
          </w:p>
        </w:tc>
      </w:tr>
      <w:tr w:rsidR="001C7C52" w:rsidRPr="00802C03" w:rsidTr="008D5D6B">
        <w:tc>
          <w:tcPr>
            <w:tcW w:w="1134" w:type="dxa"/>
            <w:tcBorders>
              <w:top w:val="single" w:sz="4" w:space="0" w:color="auto"/>
              <w:left w:val="nil"/>
              <w:bottom w:val="nil"/>
              <w:right w:val="nil"/>
            </w:tcBorders>
            <w:vAlign w:val="center"/>
          </w:tcPr>
          <w:p w:rsidR="001C7C52" w:rsidRPr="00802C03" w:rsidRDefault="001C7C52" w:rsidP="00C75470">
            <w:pPr>
              <w:rPr>
                <w:rFonts w:ascii="Garamond" w:hAnsi="Garamond"/>
                <w:b/>
                <w:sz w:val="20"/>
                <w:lang w:val="en-GB"/>
              </w:rPr>
            </w:pPr>
          </w:p>
        </w:tc>
        <w:tc>
          <w:tcPr>
            <w:tcW w:w="8326" w:type="dxa"/>
            <w:gridSpan w:val="16"/>
            <w:tcBorders>
              <w:top w:val="single" w:sz="4" w:space="0" w:color="auto"/>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Estimation period: 28/04/1989 – 28/04/2009</w:t>
            </w:r>
          </w:p>
        </w:tc>
      </w:tr>
      <w:tr w:rsidR="001C7C52" w:rsidRPr="00802C03" w:rsidTr="008D5D6B">
        <w:tc>
          <w:tcPr>
            <w:tcW w:w="1134" w:type="dxa"/>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p>
        </w:tc>
        <w:tc>
          <w:tcPr>
            <w:tcW w:w="1040"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AAA</w:t>
            </w:r>
          </w:p>
        </w:tc>
        <w:tc>
          <w:tcPr>
            <w:tcW w:w="1041"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w:t>
            </w:r>
          </w:p>
        </w:tc>
        <w:tc>
          <w:tcPr>
            <w:tcW w:w="1041"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w:t>
            </w:r>
          </w:p>
        </w:tc>
        <w:tc>
          <w:tcPr>
            <w:tcW w:w="1041"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BBB</w:t>
            </w:r>
          </w:p>
        </w:tc>
        <w:tc>
          <w:tcPr>
            <w:tcW w:w="1040"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w:t>
            </w:r>
          </w:p>
        </w:tc>
        <w:tc>
          <w:tcPr>
            <w:tcW w:w="1041"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w:t>
            </w:r>
          </w:p>
        </w:tc>
        <w:tc>
          <w:tcPr>
            <w:tcW w:w="1041"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CCC/C</w:t>
            </w:r>
          </w:p>
        </w:tc>
        <w:tc>
          <w:tcPr>
            <w:tcW w:w="1041"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D</w:t>
            </w:r>
          </w:p>
        </w:tc>
      </w:tr>
      <w:tr w:rsidR="001C7C52" w:rsidRPr="00802C03" w:rsidTr="008D5D6B">
        <w:tc>
          <w:tcPr>
            <w:tcW w:w="1134" w:type="dxa"/>
            <w:tcBorders>
              <w:top w:val="single" w:sz="4" w:space="0" w:color="auto"/>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AAA</w:t>
            </w:r>
          </w:p>
        </w:tc>
        <w:tc>
          <w:tcPr>
            <w:tcW w:w="1040"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0.977827</w:t>
            </w:r>
          </w:p>
        </w:tc>
        <w:tc>
          <w:tcPr>
            <w:tcW w:w="1041"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0.020557</w:t>
            </w:r>
          </w:p>
        </w:tc>
        <w:tc>
          <w:tcPr>
            <w:tcW w:w="1041"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0.001155</w:t>
            </w:r>
          </w:p>
        </w:tc>
        <w:tc>
          <w:tcPr>
            <w:tcW w:w="1041"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0"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0.000231</w:t>
            </w:r>
          </w:p>
        </w:tc>
        <w:tc>
          <w:tcPr>
            <w:tcW w:w="1041"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0.000231</w:t>
            </w:r>
          </w:p>
        </w:tc>
        <w:tc>
          <w:tcPr>
            <w:tcW w:w="1041"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r>
      <w:tr w:rsidR="001C7C52" w:rsidRPr="00802C03" w:rsidTr="008D5D6B">
        <w:tc>
          <w:tcPr>
            <w:tcW w:w="1134"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0.001445</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0.974983</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0.022586</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0.000846</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0.000070</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0.000070</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r>
      <w:tr w:rsidR="001C7C52" w:rsidRPr="00802C03" w:rsidTr="008D5D6B">
        <w:tc>
          <w:tcPr>
            <w:tcW w:w="1134"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0.000285</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0.005177</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0.980382</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0.013118</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0.000687</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0.000134</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0.000117</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0.000101</w:t>
            </w:r>
          </w:p>
        </w:tc>
      </w:tr>
      <w:tr w:rsidR="001C7C52" w:rsidRPr="00802C03" w:rsidTr="008D5D6B">
        <w:tc>
          <w:tcPr>
            <w:tcW w:w="1134"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BBB</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0.000035</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0.000497</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0.008108</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0.978213</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0.011479</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0.001242</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0.000213</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0.000213</w:t>
            </w:r>
          </w:p>
        </w:tc>
      </w:tr>
      <w:tr w:rsidR="001C7C52" w:rsidRPr="00802C03" w:rsidTr="008D5D6B">
        <w:tc>
          <w:tcPr>
            <w:tcW w:w="1134"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0.000084</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0.000281</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0.000646</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0.012380</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0.960138</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0.023608</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0.002162</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0.000702</w:t>
            </w:r>
          </w:p>
        </w:tc>
      </w:tr>
      <w:tr w:rsidR="001C7C52" w:rsidRPr="00802C03" w:rsidTr="008D5D6B">
        <w:tc>
          <w:tcPr>
            <w:tcW w:w="1134"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0.000026</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0.000079</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0.000602</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0.000419</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0.014104</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0.957426</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0.020620</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0.006725</w:t>
            </w:r>
          </w:p>
        </w:tc>
      </w:tr>
      <w:tr w:rsidR="001C7C52" w:rsidRPr="00802C03" w:rsidTr="008D5D6B">
        <w:tc>
          <w:tcPr>
            <w:tcW w:w="1134"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CCC/C</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0.000202</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0.000405</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0.001012</w:t>
            </w:r>
          </w:p>
        </w:tc>
        <w:tc>
          <w:tcPr>
            <w:tcW w:w="1040"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0.002430</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0.034825</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0.865762</w:t>
            </w:r>
          </w:p>
        </w:tc>
        <w:tc>
          <w:tcPr>
            <w:tcW w:w="1041"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0.095363</w:t>
            </w:r>
          </w:p>
        </w:tc>
      </w:tr>
      <w:tr w:rsidR="001C7C52" w:rsidRPr="00802C03" w:rsidTr="008D5D6B">
        <w:tc>
          <w:tcPr>
            <w:tcW w:w="1134" w:type="dxa"/>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D</w:t>
            </w:r>
          </w:p>
        </w:tc>
        <w:tc>
          <w:tcPr>
            <w:tcW w:w="1040"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0"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41"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1.000000</w:t>
            </w:r>
          </w:p>
        </w:tc>
      </w:tr>
      <w:tr w:rsidR="001C7C52" w:rsidRPr="00802C03" w:rsidTr="008D5D6B">
        <w:tc>
          <w:tcPr>
            <w:tcW w:w="9460" w:type="dxa"/>
            <w:gridSpan w:val="17"/>
            <w:tcBorders>
              <w:top w:val="single" w:sz="4" w:space="0" w:color="auto"/>
              <w:left w:val="nil"/>
              <w:bottom w:val="nil"/>
              <w:right w:val="nil"/>
            </w:tcBorders>
            <w:vAlign w:val="center"/>
          </w:tcPr>
          <w:p w:rsidR="001C7C52" w:rsidRPr="00802C03" w:rsidRDefault="001C7C52" w:rsidP="000C4E1E">
            <w:pPr>
              <w:spacing w:after="40" w:line="180" w:lineRule="exact"/>
              <w:jc w:val="both"/>
              <w:rPr>
                <w:rFonts w:ascii="Garamond" w:hAnsi="Garamond"/>
                <w:sz w:val="16"/>
                <w:szCs w:val="16"/>
                <w:lang w:val="en-GB"/>
              </w:rPr>
            </w:pPr>
            <w:r w:rsidRPr="00802C03">
              <w:rPr>
                <w:rFonts w:ascii="Garamond" w:hAnsi="Garamond"/>
                <w:sz w:val="16"/>
                <w:szCs w:val="16"/>
                <w:lang w:val="en-GB"/>
              </w:rPr>
              <w:t xml:space="preserve">The migration probabilities are based on a three-month horizon. The migration probability matrix is computed as an issuer-weighted average of the 40 underlying three-month migration matrices, which are estimated with the cohort estimator. The length of the sample period is 20 years. </w:t>
            </w:r>
          </w:p>
        </w:tc>
      </w:tr>
      <w:tr w:rsidR="001C7C52" w:rsidRPr="000B0ADE" w:rsidTr="00B673EE">
        <w:tc>
          <w:tcPr>
            <w:tcW w:w="9460" w:type="dxa"/>
            <w:gridSpan w:val="17"/>
            <w:tcBorders>
              <w:top w:val="nil"/>
              <w:left w:val="nil"/>
              <w:bottom w:val="single" w:sz="4" w:space="0" w:color="auto"/>
              <w:right w:val="nil"/>
            </w:tcBorders>
            <w:vAlign w:val="center"/>
          </w:tcPr>
          <w:p w:rsidR="001C7C52" w:rsidRPr="00802C03" w:rsidRDefault="001C7C52" w:rsidP="004E6197">
            <w:pPr>
              <w:spacing w:line="240" w:lineRule="auto"/>
              <w:rPr>
                <w:rFonts w:ascii="Garamond" w:hAnsi="Garamond"/>
                <w:sz w:val="20"/>
                <w:lang w:val="en-GB"/>
              </w:rPr>
            </w:pPr>
            <w:bookmarkStart w:id="51" w:name="T2"/>
            <w:bookmarkEnd w:id="51"/>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II </w:t>
            </w:r>
            <w:r w:rsidRPr="00802C03">
              <w:rPr>
                <w:rFonts w:ascii="Garamond" w:hAnsi="Garamond"/>
                <w:lang w:val="en-GB"/>
              </w:rPr>
              <w:t xml:space="preserve">– </w:t>
            </w:r>
            <w:r w:rsidRPr="00802C03">
              <w:rPr>
                <w:rFonts w:ascii="Garamond" w:hAnsi="Garamond"/>
                <w:sz w:val="20"/>
                <w:lang w:val="en-GB"/>
              </w:rPr>
              <w:t>Credit Migration Matrix: Duration Method</w:t>
            </w:r>
          </w:p>
        </w:tc>
      </w:tr>
      <w:tr w:rsidR="001C7C52" w:rsidRPr="00802C03" w:rsidTr="00E17C8F">
        <w:tc>
          <w:tcPr>
            <w:tcW w:w="1276" w:type="dxa"/>
            <w:gridSpan w:val="2"/>
            <w:tcBorders>
              <w:top w:val="single" w:sz="4" w:space="0" w:color="auto"/>
              <w:left w:val="nil"/>
              <w:bottom w:val="nil"/>
              <w:right w:val="nil"/>
            </w:tcBorders>
            <w:vAlign w:val="center"/>
          </w:tcPr>
          <w:p w:rsidR="001C7C52" w:rsidRPr="00802C03" w:rsidRDefault="001C7C52" w:rsidP="00C75470">
            <w:pPr>
              <w:rPr>
                <w:rFonts w:ascii="Garamond" w:hAnsi="Garamond"/>
                <w:b/>
                <w:sz w:val="20"/>
                <w:lang w:val="en-GB"/>
              </w:rPr>
            </w:pPr>
          </w:p>
        </w:tc>
        <w:tc>
          <w:tcPr>
            <w:tcW w:w="8184" w:type="dxa"/>
            <w:gridSpan w:val="15"/>
            <w:tcBorders>
              <w:top w:val="single" w:sz="4" w:space="0" w:color="auto"/>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Estimation period: 28/04/1989 – 28/04/2009</w:t>
            </w:r>
          </w:p>
        </w:tc>
      </w:tr>
      <w:tr w:rsidR="001C7C52" w:rsidRPr="00802C03" w:rsidTr="00E17C8F">
        <w:tc>
          <w:tcPr>
            <w:tcW w:w="1276" w:type="dxa"/>
            <w:gridSpan w:val="2"/>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p>
        </w:tc>
        <w:tc>
          <w:tcPr>
            <w:tcW w:w="1023"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AAA</w:t>
            </w:r>
          </w:p>
        </w:tc>
        <w:tc>
          <w:tcPr>
            <w:tcW w:w="1023"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w:t>
            </w:r>
          </w:p>
        </w:tc>
        <w:tc>
          <w:tcPr>
            <w:tcW w:w="1023"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w:t>
            </w:r>
          </w:p>
        </w:tc>
        <w:tc>
          <w:tcPr>
            <w:tcW w:w="1023"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BBB</w:t>
            </w:r>
          </w:p>
        </w:tc>
        <w:tc>
          <w:tcPr>
            <w:tcW w:w="1023"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w:t>
            </w:r>
          </w:p>
        </w:tc>
        <w:tc>
          <w:tcPr>
            <w:tcW w:w="1023"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w:t>
            </w:r>
          </w:p>
        </w:tc>
        <w:tc>
          <w:tcPr>
            <w:tcW w:w="1023"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CCC/C</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D</w:t>
            </w:r>
          </w:p>
        </w:tc>
      </w:tr>
      <w:tr w:rsidR="001C7C52" w:rsidRPr="00802C03" w:rsidTr="00E17C8F">
        <w:tc>
          <w:tcPr>
            <w:tcW w:w="1276" w:type="dxa"/>
            <w:gridSpan w:val="2"/>
            <w:tcBorders>
              <w:top w:val="single" w:sz="4" w:space="0" w:color="auto"/>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AAA</w:t>
            </w:r>
          </w:p>
        </w:tc>
        <w:tc>
          <w:tcPr>
            <w:tcW w:w="1023"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0.978094</w:t>
            </w:r>
          </w:p>
        </w:tc>
        <w:tc>
          <w:tcPr>
            <w:tcW w:w="1023"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0.020264</w:t>
            </w:r>
          </w:p>
        </w:tc>
        <w:tc>
          <w:tcPr>
            <w:tcW w:w="1023"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0.001144</w:t>
            </w:r>
          </w:p>
        </w:tc>
        <w:tc>
          <w:tcPr>
            <w:tcW w:w="1023"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0.000027</w:t>
            </w:r>
          </w:p>
        </w:tc>
        <w:tc>
          <w:tcPr>
            <w:tcW w:w="1023"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0.000230</w:t>
            </w:r>
          </w:p>
        </w:tc>
        <w:tc>
          <w:tcPr>
            <w:tcW w:w="1023"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0.000020</w:t>
            </w:r>
          </w:p>
        </w:tc>
        <w:tc>
          <w:tcPr>
            <w:tcW w:w="1023"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0.000206</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0.000014</w:t>
            </w:r>
          </w:p>
        </w:tc>
      </w:tr>
      <w:tr w:rsidR="001C7C52" w:rsidRPr="00802C03" w:rsidTr="00E17C8F">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0.001404</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0.974417</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0.023056</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0.001026</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0.000032</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0.000028</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0.000034</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0.000003</w:t>
            </w:r>
          </w:p>
        </w:tc>
      </w:tr>
      <w:tr w:rsidR="001C7C52" w:rsidRPr="00802C03" w:rsidTr="00E17C8F">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0.000298</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0.005051</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0.980022</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0.013563</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0.000887</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0.000140</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0.000019</w:t>
            </w:r>
          </w:p>
        </w:tc>
      </w:tr>
      <w:tr w:rsidR="001C7C52" w:rsidRPr="00802C03" w:rsidTr="00E17C8F">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BBB</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0.000039</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0.000545</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0.008074</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0.977274</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0.012691</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0.001178</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0.000153</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0.000047</w:t>
            </w:r>
          </w:p>
        </w:tc>
      </w:tr>
      <w:tr w:rsidR="001C7C52" w:rsidRPr="00802C03" w:rsidTr="00E17C8F">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0.000086</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0.000343</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0.000843</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0.012058</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0.959084</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0.025385</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0.001863</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0.000339</w:t>
            </w:r>
          </w:p>
        </w:tc>
      </w:tr>
      <w:tr w:rsidR="001C7C52" w:rsidRPr="00802C03" w:rsidTr="00E17C8F">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0.000033</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0.000098</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0.000770</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0.000693</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0.013409</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0.957042</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0.023996</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0.003959</w:t>
            </w:r>
          </w:p>
        </w:tc>
      </w:tr>
      <w:tr w:rsidR="001C7C52" w:rsidRPr="00802C03" w:rsidTr="00E17C8F">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CCC/C</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0.000188</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0.000047</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0.000452</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0.001176</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0.002402</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0.032969</w:t>
            </w:r>
          </w:p>
        </w:tc>
        <w:tc>
          <w:tcPr>
            <w:tcW w:w="1023"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0.841919</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0.120847</w:t>
            </w:r>
          </w:p>
        </w:tc>
      </w:tr>
      <w:tr w:rsidR="001C7C52" w:rsidRPr="00802C03" w:rsidTr="00E17C8F">
        <w:tc>
          <w:tcPr>
            <w:tcW w:w="1276" w:type="dxa"/>
            <w:gridSpan w:val="2"/>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D</w:t>
            </w:r>
          </w:p>
        </w:tc>
        <w:tc>
          <w:tcPr>
            <w:tcW w:w="1023"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1.000000</w:t>
            </w:r>
          </w:p>
        </w:tc>
      </w:tr>
      <w:tr w:rsidR="001C7C52" w:rsidRPr="000B0ADE" w:rsidTr="00E17C8F">
        <w:tc>
          <w:tcPr>
            <w:tcW w:w="9460" w:type="dxa"/>
            <w:gridSpan w:val="17"/>
            <w:tcBorders>
              <w:top w:val="single" w:sz="4" w:space="0" w:color="auto"/>
              <w:left w:val="nil"/>
              <w:bottom w:val="nil"/>
              <w:right w:val="nil"/>
            </w:tcBorders>
            <w:vAlign w:val="center"/>
          </w:tcPr>
          <w:p w:rsidR="001C7C52" w:rsidRPr="00802C03" w:rsidRDefault="001C7C52" w:rsidP="00C45DD3">
            <w:pPr>
              <w:spacing w:after="40" w:line="180" w:lineRule="exact"/>
              <w:jc w:val="both"/>
              <w:rPr>
                <w:rFonts w:ascii="Garamond" w:hAnsi="Garamond"/>
                <w:sz w:val="16"/>
                <w:szCs w:val="16"/>
                <w:lang w:val="en-GB"/>
              </w:rPr>
            </w:pPr>
            <w:r w:rsidRPr="00802C03">
              <w:rPr>
                <w:rFonts w:ascii="Garamond" w:hAnsi="Garamond"/>
                <w:sz w:val="16"/>
                <w:szCs w:val="16"/>
                <w:lang w:val="en-GB"/>
              </w:rPr>
              <w:t>The migration probabilities are based on a three-month horizon. The migration probability matrix is computed with the use of the single sample with a length of 20 years and is calibrated to display a migration horizon of three months.</w:t>
            </w:r>
          </w:p>
        </w:tc>
      </w:tr>
    </w:tbl>
    <w:p w:rsidR="001C7C52" w:rsidRPr="00802C03" w:rsidRDefault="001C7C52" w:rsidP="00AB3324">
      <w:pPr>
        <w:spacing w:line="280" w:lineRule="exact"/>
        <w:rPr>
          <w:lang w:val="en-GB"/>
        </w:rPr>
      </w:pPr>
    </w:p>
    <w:p w:rsidR="001C7C52" w:rsidRPr="00802C03" w:rsidRDefault="001C7C52" w:rsidP="00AB3324">
      <w:pPr>
        <w:spacing w:line="280" w:lineRule="exact"/>
        <w:rPr>
          <w:lang w:val="en-GB"/>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76"/>
        <w:gridCol w:w="1023"/>
        <w:gridCol w:w="1023"/>
        <w:gridCol w:w="1023"/>
        <w:gridCol w:w="1023"/>
        <w:gridCol w:w="1023"/>
        <w:gridCol w:w="1023"/>
        <w:gridCol w:w="1023"/>
        <w:gridCol w:w="1023"/>
      </w:tblGrid>
      <w:tr w:rsidR="001C7C52" w:rsidRPr="000B0ADE" w:rsidTr="00B673EE">
        <w:tc>
          <w:tcPr>
            <w:tcW w:w="9460" w:type="dxa"/>
            <w:gridSpan w:val="9"/>
            <w:tcBorders>
              <w:top w:val="nil"/>
              <w:left w:val="nil"/>
              <w:bottom w:val="single" w:sz="4" w:space="0" w:color="auto"/>
              <w:right w:val="nil"/>
            </w:tcBorders>
            <w:vAlign w:val="center"/>
          </w:tcPr>
          <w:p w:rsidR="001C7C52" w:rsidRPr="00802C03" w:rsidRDefault="001C7C52" w:rsidP="004E6197">
            <w:pPr>
              <w:spacing w:line="240" w:lineRule="auto"/>
              <w:rPr>
                <w:rFonts w:ascii="Garamond" w:hAnsi="Garamond"/>
                <w:sz w:val="20"/>
                <w:lang w:val="en-GB"/>
              </w:rPr>
            </w:pPr>
            <w:bookmarkStart w:id="52" w:name="T3"/>
            <w:bookmarkEnd w:id="52"/>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III </w:t>
            </w:r>
            <w:r w:rsidRPr="00802C03">
              <w:rPr>
                <w:rFonts w:ascii="Garamond" w:hAnsi="Garamond"/>
                <w:lang w:val="en-GB"/>
              </w:rPr>
              <w:t>-</w:t>
            </w:r>
            <w:r w:rsidRPr="00802C03">
              <w:rPr>
                <w:rFonts w:ascii="Garamond" w:hAnsi="Garamond"/>
                <w:b/>
                <w:lang w:val="en-GB"/>
              </w:rPr>
              <w:t xml:space="preserve"> </w:t>
            </w:r>
            <w:r w:rsidRPr="00802C03">
              <w:rPr>
                <w:rFonts w:ascii="Garamond" w:hAnsi="Garamond"/>
                <w:sz w:val="20"/>
                <w:lang w:val="en-GB"/>
              </w:rPr>
              <w:t>Credit Migration Matrix: Aalen-Johansen Estimator</w:t>
            </w:r>
          </w:p>
        </w:tc>
      </w:tr>
      <w:tr w:rsidR="001C7C52" w:rsidRPr="00802C03" w:rsidTr="00E17C8F">
        <w:tc>
          <w:tcPr>
            <w:tcW w:w="1276" w:type="dxa"/>
            <w:tcBorders>
              <w:top w:val="single" w:sz="4" w:space="0" w:color="auto"/>
              <w:left w:val="nil"/>
              <w:bottom w:val="nil"/>
              <w:right w:val="nil"/>
            </w:tcBorders>
            <w:vAlign w:val="center"/>
          </w:tcPr>
          <w:p w:rsidR="001C7C52" w:rsidRPr="00802C03" w:rsidRDefault="001C7C52" w:rsidP="00C75470">
            <w:pPr>
              <w:rPr>
                <w:rFonts w:ascii="Garamond" w:hAnsi="Garamond"/>
                <w:b/>
                <w:sz w:val="20"/>
                <w:lang w:val="en-GB"/>
              </w:rPr>
            </w:pPr>
          </w:p>
        </w:tc>
        <w:tc>
          <w:tcPr>
            <w:tcW w:w="8184" w:type="dxa"/>
            <w:gridSpan w:val="8"/>
            <w:tcBorders>
              <w:top w:val="single" w:sz="4" w:space="0" w:color="auto"/>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Estimation period: 28/04/1989 – 28/04/2009</w:t>
            </w:r>
          </w:p>
        </w:tc>
      </w:tr>
      <w:tr w:rsidR="001C7C52" w:rsidRPr="00802C03" w:rsidTr="00E17C8F">
        <w:tc>
          <w:tcPr>
            <w:tcW w:w="1276" w:type="dxa"/>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AAA</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BBB</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CCC/C</w:t>
            </w:r>
          </w:p>
        </w:tc>
        <w:tc>
          <w:tcPr>
            <w:tcW w:w="1023"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D</w:t>
            </w:r>
          </w:p>
        </w:tc>
      </w:tr>
      <w:tr w:rsidR="001C7C52" w:rsidRPr="00802C03" w:rsidTr="00E17C8F">
        <w:tc>
          <w:tcPr>
            <w:tcW w:w="1276" w:type="dxa"/>
            <w:tcBorders>
              <w:top w:val="single" w:sz="4" w:space="0" w:color="auto"/>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AAA</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0.978445</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0.019827</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0.001207</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0.000027</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0.000233</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0.000036</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0.000215</w:t>
            </w:r>
          </w:p>
        </w:tc>
        <w:tc>
          <w:tcPr>
            <w:tcW w:w="1023"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0.000010</w:t>
            </w:r>
          </w:p>
        </w:tc>
      </w:tr>
      <w:tr w:rsidR="001C7C52" w:rsidRPr="00802C03" w:rsidTr="00E17C8F">
        <w:tc>
          <w:tcPr>
            <w:tcW w:w="1276"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0.001399</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0.974821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0.022552</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0.001098</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0.000050</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0.000042</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0.000037</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0.000001</w:t>
            </w:r>
          </w:p>
        </w:tc>
      </w:tr>
      <w:tr w:rsidR="001C7C52" w:rsidRPr="00802C03" w:rsidTr="00E17C8F">
        <w:tc>
          <w:tcPr>
            <w:tcW w:w="1276"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0.000302</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0.005064</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0.980029</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0.013491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0.000911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0.000158</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0.000025</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0.000019</w:t>
            </w:r>
          </w:p>
        </w:tc>
      </w:tr>
      <w:tr w:rsidR="001C7C52" w:rsidRPr="00802C03" w:rsidTr="00E17C8F">
        <w:tc>
          <w:tcPr>
            <w:tcW w:w="1276"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BBB</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0.000039</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0.000547</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0.008073</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0.977326</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0.012593</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0.001211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0.000163</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0.000048</w:t>
            </w:r>
          </w:p>
        </w:tc>
      </w:tr>
      <w:tr w:rsidR="001C7C52" w:rsidRPr="00802C03" w:rsidTr="00E17C8F">
        <w:tc>
          <w:tcPr>
            <w:tcW w:w="1276"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0.000083</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0.000335</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0.000850</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0.012107</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0.959302</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0.025039</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0.001881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0.000402</w:t>
            </w:r>
          </w:p>
        </w:tc>
      </w:tr>
      <w:tr w:rsidR="001C7C52" w:rsidRPr="00802C03" w:rsidTr="00E17C8F">
        <w:tc>
          <w:tcPr>
            <w:tcW w:w="1276"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0.000029</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0.000095</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0.000772</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0.000700</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0.013436</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0.957167</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0.023292</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0.004510</w:t>
            </w:r>
          </w:p>
        </w:tc>
      </w:tr>
      <w:tr w:rsidR="001C7C52" w:rsidRPr="00802C03" w:rsidTr="00E17C8F">
        <w:tc>
          <w:tcPr>
            <w:tcW w:w="1276" w:type="dxa"/>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CCC/C</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0.000181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0.000048</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0.000436</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0.001175</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0.002522</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0.033121</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0.845049</w:t>
            </w:r>
          </w:p>
        </w:tc>
        <w:tc>
          <w:tcPr>
            <w:tcW w:w="1023"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0.117468</w:t>
            </w:r>
          </w:p>
        </w:tc>
      </w:tr>
      <w:tr w:rsidR="001C7C52" w:rsidRPr="00802C03" w:rsidTr="00E17C8F">
        <w:tc>
          <w:tcPr>
            <w:tcW w:w="1276" w:type="dxa"/>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D</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3" w:type="dxa"/>
            <w:tcBorders>
              <w:top w:val="nil"/>
              <w:left w:val="nil"/>
              <w:bottom w:val="single" w:sz="4" w:space="0" w:color="auto"/>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1.000000</w:t>
            </w:r>
          </w:p>
        </w:tc>
      </w:tr>
      <w:tr w:rsidR="001C7C52" w:rsidRPr="00802C03" w:rsidTr="00E17C8F">
        <w:tc>
          <w:tcPr>
            <w:tcW w:w="9460" w:type="dxa"/>
            <w:gridSpan w:val="9"/>
            <w:tcBorders>
              <w:top w:val="single" w:sz="4" w:space="0" w:color="auto"/>
              <w:left w:val="nil"/>
              <w:bottom w:val="nil"/>
              <w:right w:val="nil"/>
            </w:tcBorders>
            <w:vAlign w:val="center"/>
          </w:tcPr>
          <w:p w:rsidR="001C7C52" w:rsidRPr="00802C03" w:rsidRDefault="001C7C52" w:rsidP="00F246F2">
            <w:pPr>
              <w:spacing w:after="40" w:line="180" w:lineRule="exact"/>
              <w:jc w:val="both"/>
              <w:rPr>
                <w:rFonts w:ascii="Garamond" w:hAnsi="Garamond"/>
                <w:sz w:val="16"/>
                <w:szCs w:val="16"/>
                <w:lang w:val="en-GB"/>
              </w:rPr>
            </w:pPr>
            <w:r w:rsidRPr="00802C03">
              <w:rPr>
                <w:rFonts w:ascii="Garamond" w:hAnsi="Garamond"/>
                <w:sz w:val="16"/>
                <w:szCs w:val="16"/>
                <w:lang w:val="en-GB"/>
              </w:rPr>
              <w:t>The migration probabilities are based on a three-month horizon. The migration probability matrix is computed as an issuer-weighted average of the 40 underlying three-month migration matrices, which are estimated with the Aalen-Johansen estimator. The sample period is 20 years.</w:t>
            </w:r>
          </w:p>
        </w:tc>
      </w:tr>
    </w:tbl>
    <w:p w:rsidR="001C7C52" w:rsidRPr="00802C03" w:rsidRDefault="001C7C52" w:rsidP="00AB3324">
      <w:pPr>
        <w:spacing w:line="280" w:lineRule="exact"/>
        <w:rPr>
          <w:rFonts w:ascii="Garamond" w:hAnsi="Garamond"/>
          <w:lang w:val="en-GB"/>
        </w:rPr>
      </w:pPr>
    </w:p>
    <w:p w:rsidR="001C7C52" w:rsidRPr="00802C03" w:rsidRDefault="001C7C52" w:rsidP="00AB3324">
      <w:pPr>
        <w:spacing w:line="280" w:lineRule="exact"/>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In the comparison of the duration migration matrix (</w:t>
      </w:r>
      <w:hyperlink w:anchor="T2" w:history="1">
        <w:r w:rsidRPr="00802C03">
          <w:rPr>
            <w:rStyle w:val="Hyperlink"/>
            <w:rFonts w:ascii="Garamond" w:hAnsi="Garamond"/>
            <w:color w:val="000066"/>
            <w:u w:val="none"/>
            <w:lang w:val="en-GB"/>
          </w:rPr>
          <w:t>table II</w:t>
        </w:r>
      </w:hyperlink>
      <w:r w:rsidRPr="00802C03">
        <w:rPr>
          <w:rFonts w:ascii="Garamond" w:hAnsi="Garamond"/>
          <w:lang w:val="en-GB"/>
        </w:rPr>
        <w:t>) and the Aalen-Johansen migration matrix (</w:t>
      </w:r>
      <w:hyperlink w:anchor="T3" w:history="1">
        <w:r w:rsidRPr="00802C03">
          <w:rPr>
            <w:rStyle w:val="Hyperlink"/>
            <w:rFonts w:ascii="Garamond" w:hAnsi="Garamond"/>
            <w:color w:val="000066"/>
            <w:u w:val="none"/>
            <w:lang w:val="en-GB"/>
          </w:rPr>
          <w:t>table III</w:t>
        </w:r>
      </w:hyperlink>
      <w:r w:rsidRPr="00802C03">
        <w:rPr>
          <w:rFonts w:ascii="Garamond" w:hAnsi="Garamond"/>
          <w:lang w:val="en-GB"/>
        </w:rPr>
        <w:t xml:space="preserve">), it is apparent that both matrices are remarkably similar. This is completely in line with what is observed in the literature (e.g. </w:t>
      </w:r>
      <w:hyperlink w:anchor="Lando_Skodeberg_2002" w:history="1">
        <w:r w:rsidRPr="00802C03">
          <w:rPr>
            <w:rStyle w:val="Hyperlink"/>
            <w:rFonts w:ascii="Garamond" w:hAnsi="Garamond"/>
            <w:color w:val="000066"/>
            <w:u w:val="none"/>
            <w:lang w:val="en-GB"/>
          </w:rPr>
          <w:t>Lando &amp; Skødeberg, 2002</w:t>
        </w:r>
      </w:hyperlink>
      <w:r w:rsidRPr="00802C03">
        <w:rPr>
          <w:rFonts w:ascii="Garamond" w:hAnsi="Garamond"/>
          <w:lang w:val="en-GB"/>
        </w:rPr>
        <w:t xml:space="preserve">; </w:t>
      </w:r>
      <w:hyperlink w:anchor="Jafry_Schuermann_2004" w:history="1">
        <w:r w:rsidRPr="00802C03">
          <w:rPr>
            <w:rStyle w:val="Hyperlink"/>
            <w:rFonts w:ascii="Garamond" w:hAnsi="Garamond"/>
            <w:color w:val="000066"/>
            <w:u w:val="none"/>
            <w:lang w:val="en-GB"/>
          </w:rPr>
          <w:t>Jafry &amp; Schuermann, 2004</w:t>
        </w:r>
      </w:hyperlink>
      <w:r w:rsidRPr="00802C03">
        <w:rPr>
          <w:rFonts w:ascii="Garamond" w:hAnsi="Garamond"/>
          <w:lang w:val="en-GB"/>
        </w:rPr>
        <w:t xml:space="preserve">). The difference between both estimators is the time-homogeneity assumption underlying the duration methodology. The fact that both matrices are alike demonstrates that for a three-month horizon, the time-homogeneity assumption has no large effect. Moreover, the Aalen-Johansen matrix is not completely non-homogeneous, as the issuer-weighted average brings back some elements of time-homogeneity in the methodology. Nonetheless, the non-parametric Aalen-Johansen matrix does to some extent confirm that at short horizons the time-homogeneity assumption can be made. For longer periods, however, the assumption is unrealistic and time-inhomogeneities should become apparent. This is backed by the fact that a completely non-homogeneous 20-year Aalen-Johansen migration matrix, based on the single 20 year sample, differs considerably from the (scaled) matrix resulting from the duration method (both matrices are not shown). Moreover, </w:t>
      </w:r>
      <w:hyperlink w:anchor="Kleindiek_2005" w:history="1">
        <w:r w:rsidRPr="00802C03">
          <w:rPr>
            <w:rStyle w:val="Hyperlink"/>
            <w:rFonts w:ascii="Garamond" w:hAnsi="Garamond"/>
            <w:color w:val="000066"/>
            <w:u w:val="none"/>
            <w:lang w:val="en-GB"/>
          </w:rPr>
          <w:t>Kleindiek (2005)</w:t>
        </w:r>
      </w:hyperlink>
      <w:r w:rsidRPr="00802C03">
        <w:rPr>
          <w:rFonts w:ascii="Garamond" w:hAnsi="Garamond"/>
          <w:lang w:val="en-GB"/>
        </w:rPr>
        <w:t xml:space="preserve"> presents statistical evidence for time-invariance regarding migration probabilities based on long sample periods. Consequently, all three matrices can only be seen as unconditional estimates that are only valid on average. The effects of macroeconomic shocks and other disturbances are not taken into account. In the duration method, however, the sources of these time-inhomogeneities and other deviations from the standard Markov assumption set can be addressed by working with migration intensities (</w:t>
      </w:r>
      <w:r w:rsidRPr="00100BDF">
        <w:rPr>
          <w:rFonts w:ascii="Garamond" w:hAnsi="Garamond"/>
          <w:position w:val="-10"/>
          <w:lang w:val="en-GB"/>
        </w:rPr>
        <w:object w:dxaOrig="240" w:dyaOrig="300">
          <v:shape id="_x0000_i1706" type="#_x0000_t75" style="width:12pt;height:15pt" o:ole="">
            <v:imagedata r:id="rId1267" o:title=""/>
          </v:shape>
          <o:OLEObject Type="Embed" ProgID="Equation.DSMT4" ShapeID="_x0000_i1706" DrawAspect="Content" ObjectID="_1324894189" r:id="rId1268"/>
        </w:object>
      </w:r>
      <w:r w:rsidRPr="00802C03">
        <w:rPr>
          <w:rFonts w:ascii="Garamond" w:hAnsi="Garamond"/>
          <w:lang w:val="en-GB"/>
        </w:rPr>
        <w:t xml:space="preserve">). Such an assessment is impossible in the application of the cohort estimator </w:t>
      </w:r>
      <w:r>
        <w:rPr>
          <w:rFonts w:ascii="Garamond" w:hAnsi="Garamond"/>
          <w:lang w:val="en-GB"/>
        </w:rPr>
        <w:t>or</w:t>
      </w:r>
      <w:r w:rsidRPr="00802C03">
        <w:rPr>
          <w:rFonts w:ascii="Garamond" w:hAnsi="Garamond"/>
          <w:lang w:val="en-GB"/>
        </w:rPr>
        <w:t xml:space="preserve"> Aalen-Johansen estimator.</w:t>
      </w:r>
      <w:r w:rsidRPr="00802C03">
        <w:rPr>
          <w:rStyle w:val="FootnoteReference"/>
          <w:rFonts w:ascii="Garamond" w:hAnsi="Garamond"/>
          <w:lang w:val="en-GB"/>
        </w:rPr>
        <w:footnoteReference w:id="44"/>
      </w:r>
      <w:r w:rsidRPr="00802C03">
        <w:rPr>
          <w:rFonts w:ascii="Garamond" w:hAnsi="Garamond"/>
          <w:lang w:val="en-GB"/>
        </w:rPr>
        <w:t xml:space="preserve"> This possibility, its convenient scalability and the fact that the duration migration matrix is much easier to compute than the Aalen-Johansen migration matrix, makes the duration approach the preferred method in the recent literature. </w:t>
      </w:r>
    </w:p>
    <w:p w:rsidR="001C7C52" w:rsidRPr="00802C03" w:rsidRDefault="001C7C52" w:rsidP="00AB3324">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2.1.6</w:t>
      </w:r>
      <w:r w:rsidRPr="00802C03">
        <w:rPr>
          <w:rFonts w:ascii="Garamond" w:hAnsi="Garamond"/>
          <w:b/>
          <w:lang w:val="en-GB"/>
        </w:rPr>
        <w:tab/>
      </w:r>
      <w:bookmarkStart w:id="53" w:name="S216"/>
      <w:bookmarkEnd w:id="53"/>
      <w:r w:rsidRPr="00802C03">
        <w:rPr>
          <w:rFonts w:ascii="Garamond" w:hAnsi="Garamond"/>
          <w:b/>
          <w:lang w:val="en-GB"/>
        </w:rPr>
        <w:t>Conditional Credit Migration Matrices</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next step is to focus on time-invariance in the migration matrices. The three matrices presented in the previous section can be defined as unconditional matrices, since they are unconditional (average) estimates that are based on relatively long periods of time. Thus, a logical next step would be to condition the migration matrix on covariates (conditions) that might influence the migration probabilities. Such a setting would address the time-inhomogeneities in the migration matrix, thereby producing conditional probability estimates. This is exactly what recent literature has been focusing on.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One of the first appearances of this subject in the literature is found in </w:t>
      </w:r>
      <w:hyperlink w:anchor="Nickell_et_al_2000" w:history="1">
        <w:r w:rsidRPr="00802C03">
          <w:rPr>
            <w:rStyle w:val="Hyperlink"/>
            <w:rFonts w:ascii="Garamond" w:hAnsi="Garamond"/>
            <w:color w:val="000066"/>
            <w:u w:val="none"/>
            <w:lang w:val="en-GB"/>
          </w:rPr>
          <w:t>Nickell et al. (2000)</w:t>
        </w:r>
      </w:hyperlink>
      <w:r w:rsidRPr="00802C03">
        <w:rPr>
          <w:rFonts w:ascii="Garamond" w:hAnsi="Garamond"/>
          <w:lang w:val="en-GB"/>
        </w:rPr>
        <w:t xml:space="preserve">. They employ ordered probit models and attempt to quantify the dependence of rating migration probabilities on industry and domicile of the issuer and on the stage of the business cycles. </w:t>
      </w:r>
      <w:hyperlink w:anchor="Kavvathas_2001" w:history="1">
        <w:r w:rsidRPr="00802C03">
          <w:rPr>
            <w:rStyle w:val="Hyperlink"/>
            <w:rFonts w:ascii="Garamond" w:hAnsi="Garamond"/>
            <w:color w:val="000066"/>
            <w:u w:val="none"/>
            <w:lang w:val="en-GB"/>
          </w:rPr>
          <w:t>Kavvathas (2001)</w:t>
        </w:r>
      </w:hyperlink>
      <w:r w:rsidRPr="00802C03">
        <w:rPr>
          <w:rFonts w:ascii="Garamond" w:hAnsi="Garamond"/>
          <w:lang w:val="en-GB"/>
        </w:rPr>
        <w:t xml:space="preserve"> utilizes the duration approach to examine the variation in the likelihood of credit migrations over the business cycle and also investigates the effects of non-Markovian behavio</w:t>
      </w:r>
      <w:r>
        <w:rPr>
          <w:rFonts w:ascii="Garamond" w:hAnsi="Garamond"/>
          <w:lang w:val="en-GB"/>
        </w:rPr>
        <w:t>u</w:t>
      </w:r>
      <w:r w:rsidRPr="00802C03">
        <w:rPr>
          <w:rFonts w:ascii="Garamond" w:hAnsi="Garamond"/>
          <w:lang w:val="en-GB"/>
        </w:rPr>
        <w:t xml:space="preserve">r such as rating drift. The conditioning of the migration matrix on stages of the business cycle is performed by </w:t>
      </w:r>
      <w:hyperlink w:anchor="Bangia_et_al_2002" w:history="1">
        <w:r w:rsidRPr="00802C03">
          <w:rPr>
            <w:rStyle w:val="Hyperlink"/>
            <w:rFonts w:ascii="Garamond" w:hAnsi="Garamond"/>
            <w:color w:val="000066"/>
            <w:u w:val="none"/>
            <w:lang w:val="en-GB"/>
          </w:rPr>
          <w:t>Bangia et al. (2002)</w:t>
        </w:r>
      </w:hyperlink>
      <w:r w:rsidRPr="00802C03">
        <w:rPr>
          <w:rFonts w:ascii="Garamond" w:hAnsi="Garamond"/>
          <w:lang w:val="en-GB"/>
        </w:rPr>
        <w:t xml:space="preserve"> as well. In addition, similar to </w:t>
      </w:r>
      <w:hyperlink w:anchor="Kavvathas_2001" w:history="1">
        <w:r w:rsidRPr="00802C03">
          <w:rPr>
            <w:rStyle w:val="Hyperlink"/>
            <w:rFonts w:ascii="Garamond" w:hAnsi="Garamond"/>
            <w:color w:val="000066"/>
            <w:u w:val="none"/>
            <w:lang w:val="en-GB"/>
          </w:rPr>
          <w:t>Kavvathas (2001)</w:t>
        </w:r>
      </w:hyperlink>
      <w:r w:rsidRPr="00802C03">
        <w:rPr>
          <w:rFonts w:ascii="Garamond" w:hAnsi="Garamond"/>
          <w:lang w:val="en-GB"/>
        </w:rPr>
        <w:t xml:space="preserve">, </w:t>
      </w:r>
      <w:hyperlink w:anchor="Lando_Skodeberg_2002" w:history="1">
        <w:r w:rsidRPr="00802C03">
          <w:rPr>
            <w:rStyle w:val="Hyperlink"/>
            <w:rFonts w:ascii="Garamond" w:hAnsi="Garamond"/>
            <w:color w:val="000066"/>
            <w:u w:val="none"/>
            <w:lang w:val="en-GB"/>
          </w:rPr>
          <w:t>Lando &amp; Skødeberg (2002)</w:t>
        </w:r>
      </w:hyperlink>
      <w:r w:rsidRPr="00802C03">
        <w:rPr>
          <w:rFonts w:ascii="Garamond" w:hAnsi="Garamond"/>
          <w:lang w:val="en-GB"/>
        </w:rPr>
        <w:t xml:space="preserve"> use a multiplicative hazard model in their continuous-time framework to assess the presence of rating drift in credit migration dynamics. </w:t>
      </w:r>
      <w:hyperlink w:anchor="Guttler_2006" w:history="1">
        <w:r w:rsidRPr="00802C03">
          <w:rPr>
            <w:rStyle w:val="Hyperlink"/>
            <w:rFonts w:ascii="Garamond" w:hAnsi="Garamond"/>
            <w:color w:val="000066"/>
            <w:u w:val="none"/>
            <w:lang w:val="en-GB"/>
          </w:rPr>
          <w:t>Güttler (2006)</w:t>
        </w:r>
      </w:hyperlink>
      <w:r w:rsidRPr="00802C03">
        <w:rPr>
          <w:rFonts w:ascii="Garamond" w:hAnsi="Garamond"/>
          <w:lang w:val="en-GB"/>
        </w:rPr>
        <w:t xml:space="preserve"> follows a similar approach and focuses on rating drift as well. As an extension to the continuous-time duration methodology, </w:t>
      </w:r>
      <w:hyperlink w:anchor="Christensen_et_al_2004" w:history="1">
        <w:r w:rsidRPr="00802C03">
          <w:rPr>
            <w:rStyle w:val="Hyperlink"/>
            <w:rFonts w:ascii="Garamond" w:hAnsi="Garamond"/>
            <w:color w:val="000066"/>
            <w:u w:val="none"/>
            <w:lang w:val="en-GB"/>
          </w:rPr>
          <w:t>Christensen et al. (2004)</w:t>
        </w:r>
      </w:hyperlink>
      <w:r w:rsidRPr="00802C03">
        <w:rPr>
          <w:rFonts w:ascii="Garamond" w:hAnsi="Garamond"/>
          <w:lang w:val="en-GB"/>
        </w:rPr>
        <w:t xml:space="preserve"> introduce hidden Markov chains in the model as an attempt to capture rating drift. Moreover, </w:t>
      </w:r>
      <w:hyperlink w:anchor="Jafry_Schuermann_2004" w:history="1">
        <w:r w:rsidRPr="00802C03">
          <w:rPr>
            <w:rStyle w:val="Hyperlink"/>
            <w:rFonts w:ascii="Garamond" w:hAnsi="Garamond"/>
            <w:color w:val="000066"/>
            <w:u w:val="none"/>
            <w:lang w:val="en-GB"/>
          </w:rPr>
          <w:t>Jafry &amp; Schuermann (2004)</w:t>
        </w:r>
      </w:hyperlink>
      <w:r w:rsidRPr="00802C03">
        <w:rPr>
          <w:rFonts w:ascii="Garamond" w:hAnsi="Garamond"/>
          <w:lang w:val="en-GB"/>
        </w:rPr>
        <w:t xml:space="preserve"> investigate the effects of conditioning migration matrices on the stage of the business cycle once more and </w:t>
      </w:r>
      <w:hyperlink w:anchor="Figlewski_et_al_2008" w:history="1">
        <w:r w:rsidRPr="00802C03">
          <w:rPr>
            <w:rStyle w:val="Hyperlink"/>
            <w:rFonts w:ascii="Garamond" w:hAnsi="Garamond"/>
            <w:color w:val="000066"/>
            <w:u w:val="none"/>
            <w:lang w:val="en-GB"/>
          </w:rPr>
          <w:t>Figlewski et al. (2008)</w:t>
        </w:r>
      </w:hyperlink>
      <w:r w:rsidRPr="00802C03">
        <w:rPr>
          <w:rFonts w:ascii="Garamond" w:hAnsi="Garamond"/>
          <w:lang w:val="en-GB"/>
        </w:rPr>
        <w:t xml:space="preserve"> utilize the migration intensities </w:t>
      </w:r>
      <w:r>
        <w:rPr>
          <w:rFonts w:ascii="Garamond" w:hAnsi="Garamond"/>
          <w:lang w:val="en-GB"/>
        </w:rPr>
        <w:t>underlying</w:t>
      </w:r>
      <w:r w:rsidRPr="00802C03">
        <w:rPr>
          <w:rFonts w:ascii="Garamond" w:hAnsi="Garamond"/>
          <w:lang w:val="en-GB"/>
        </w:rPr>
        <w:t xml:space="preserve"> the duration approach to examine whether firm-specific variables (addressing rating drift) and macroeconomic variables influence migration probabilities. Lastly, </w:t>
      </w:r>
      <w:hyperlink w:anchor="Frydman_Schuermann_2008" w:history="1">
        <w:r w:rsidRPr="00802C03">
          <w:rPr>
            <w:rStyle w:val="Hyperlink"/>
            <w:rFonts w:ascii="Garamond" w:hAnsi="Garamond"/>
            <w:color w:val="000066"/>
            <w:u w:val="none"/>
            <w:lang w:val="en-GB"/>
          </w:rPr>
          <w:t>Frydman &amp; Schuermann (2008)</w:t>
        </w:r>
      </w:hyperlink>
      <w:r w:rsidRPr="00802C03">
        <w:rPr>
          <w:rFonts w:ascii="Garamond" w:hAnsi="Garamond"/>
          <w:lang w:val="en-GB"/>
        </w:rPr>
        <w:t xml:space="preserve"> model the non-Markov rating drift property found in rating migrations by employing Markov mixture models and also take into account the industry of the issuers and the stage of the business cycle in the conditioning of their model.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fundamental conclusions </w:t>
      </w:r>
      <w:r>
        <w:rPr>
          <w:rFonts w:ascii="Garamond" w:hAnsi="Garamond"/>
          <w:lang w:val="en-GB"/>
        </w:rPr>
        <w:t>to be drawn from the abovementioned body of</w:t>
      </w:r>
      <w:r w:rsidRPr="00802C03">
        <w:rPr>
          <w:rFonts w:ascii="Garamond" w:hAnsi="Garamond"/>
          <w:lang w:val="en-GB"/>
        </w:rPr>
        <w:t xml:space="preserve"> research are unambiguous. Rating drift is the most pronounced non-Markovian factor that one would have to account for in a credit migration matrix or model. All </w:t>
      </w:r>
      <w:r>
        <w:rPr>
          <w:rFonts w:ascii="Garamond" w:hAnsi="Garamond"/>
          <w:lang w:val="en-GB"/>
        </w:rPr>
        <w:t xml:space="preserve">mentioned </w:t>
      </w:r>
      <w:r w:rsidRPr="00802C03">
        <w:rPr>
          <w:rFonts w:ascii="Garamond" w:hAnsi="Garamond"/>
          <w:lang w:val="en-GB"/>
        </w:rPr>
        <w:t>studies that assess this subject find a significant influence of the rating drift concept in their model or find an increase in the forecasting performance of their model if forecasting is actually performed. These findings are independent of whichever type of model is employed.</w:t>
      </w:r>
      <w:r w:rsidRPr="00802C03">
        <w:rPr>
          <w:rStyle w:val="FootnoteReference"/>
          <w:rFonts w:ascii="Garamond" w:hAnsi="Garamond"/>
          <w:lang w:val="en-GB"/>
        </w:rPr>
        <w:footnoteReference w:id="45"/>
      </w:r>
      <w:r w:rsidRPr="00802C03">
        <w:rPr>
          <w:rFonts w:ascii="Garamond" w:hAnsi="Garamond"/>
          <w:lang w:val="en-GB"/>
        </w:rPr>
        <w:t xml:space="preserve"> Secondly, the stage of the business cycle and more specific macroeconomic variables provide a significant influence in rating migration probabilities as well in nearly all cases.</w:t>
      </w:r>
      <w:r w:rsidRPr="00802C03">
        <w:rPr>
          <w:rStyle w:val="FootnoteReference"/>
          <w:rFonts w:ascii="Garamond" w:hAnsi="Garamond"/>
          <w:lang w:val="en-GB"/>
        </w:rPr>
        <w:footnoteReference w:id="46"/>
      </w:r>
      <w:r w:rsidRPr="00802C03">
        <w:rPr>
          <w:rFonts w:ascii="Garamond" w:hAnsi="Garamond"/>
          <w:lang w:val="en-GB"/>
        </w:rPr>
        <w:t xml:space="preserve"> Lastly, issuer domicile and industry, though not often tested, may also enhance the accuracy of a credit migration model.</w:t>
      </w:r>
    </w:p>
    <w:p w:rsidR="001C7C52" w:rsidRPr="00802C03" w:rsidRDefault="001C7C52" w:rsidP="00E70736">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incremental risk model proposed in this study does consider some of these factors. First of all, the constructed S&amp;P dataset is comprised of only US issuers and only corporate bonds from US issuers will be considered in the portfolios that are inserted into the model. This model simplification has the benefit of conditioning on issuer domicile in the estimation of migration matrices and therefore the risk underlying those portfolios is specified in more detail. Secondly, autocorrelation is incorporated into the proposed incremental risk model, which effectively introduces rating drift in the simulation.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Lastly, in the light of the numerous the findings concerning the stage of the business cycle, one additional conditional credit migration matrix is estimated. This matrix is conditioned to the recent credit crisis and estimated with the duration methodology. The estimation of such a matrix also allows for a more detailed examination of migration/default correlation, as increased correlations should be captured (at least partially) by the matrix, since it is based on averages during the credit crisis period.</w:t>
      </w:r>
      <w:r w:rsidRPr="00802C03">
        <w:rPr>
          <w:rStyle w:val="FootnoteReference"/>
          <w:rFonts w:ascii="Garamond" w:hAnsi="Garamond"/>
          <w:lang w:val="en-GB"/>
        </w:rPr>
        <w:footnoteReference w:id="47"/>
      </w:r>
      <w:r w:rsidRPr="00802C03">
        <w:rPr>
          <w:rFonts w:ascii="Garamond" w:hAnsi="Garamond"/>
          <w:lang w:val="en-GB"/>
        </w:rPr>
        <w:t xml:space="preserve"> A comparison of the output of the proposed incremental risk model, with the conditional migration matrix as input and relatively low issuer asset correlations, to that of the same model, with the unconditional duration method matrix and a correlation structure calibrated to the credit crisis, may shed light on the extent to which a conditional migration matrix can capture migration/default correlation. In this section, the estimated conditional matrix is discussed and in </w:t>
      </w:r>
      <w:hyperlink w:anchor="S311" w:history="1">
        <w:r w:rsidRPr="00802C03">
          <w:rPr>
            <w:rStyle w:val="Hyperlink"/>
            <w:rFonts w:ascii="Garamond" w:hAnsi="Garamond"/>
            <w:color w:val="000066"/>
            <w:u w:val="none"/>
            <w:lang w:val="en-GB"/>
          </w:rPr>
          <w:t>Part III section 3.1.1</w:t>
        </w:r>
      </w:hyperlink>
      <w:r w:rsidRPr="00802C03">
        <w:rPr>
          <w:rFonts w:ascii="Garamond" w:hAnsi="Garamond"/>
          <w:lang w:val="en-GB"/>
        </w:rPr>
        <w:t xml:space="preserve"> and </w:t>
      </w:r>
      <w:hyperlink w:anchor="S312" w:history="1">
        <w:r w:rsidRPr="00802C03">
          <w:rPr>
            <w:rStyle w:val="Hyperlink"/>
            <w:rFonts w:ascii="Garamond" w:hAnsi="Garamond"/>
            <w:color w:val="000066"/>
            <w:u w:val="none"/>
            <w:lang w:val="en-GB"/>
          </w:rPr>
          <w:t>3.1.2</w:t>
        </w:r>
      </w:hyperlink>
      <w:r w:rsidRPr="00802C03">
        <w:rPr>
          <w:rFonts w:ascii="Garamond" w:hAnsi="Garamond"/>
          <w:lang w:val="en-GB"/>
        </w:rPr>
        <w:t xml:space="preserve"> its implications with respect to the incremental risk model are examined. </w:t>
      </w:r>
    </w:p>
    <w:p w:rsidR="001C7C52" w:rsidRPr="00802C03" w:rsidRDefault="001C7C52" w:rsidP="00E70736">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conditional credit crisis migration matrix is shown in </w:t>
      </w:r>
      <w:hyperlink w:anchor="T4" w:history="1">
        <w:r w:rsidRPr="00802C03">
          <w:rPr>
            <w:rStyle w:val="Hyperlink"/>
            <w:rFonts w:ascii="Garamond" w:hAnsi="Garamond"/>
            <w:color w:val="000066"/>
            <w:u w:val="none"/>
            <w:lang w:val="en-GB"/>
          </w:rPr>
          <w:t>table IV</w:t>
        </w:r>
      </w:hyperlink>
      <w:r w:rsidRPr="00802C03">
        <w:rPr>
          <w:rFonts w:ascii="Garamond" w:hAnsi="Garamond"/>
          <w:lang w:val="en-GB"/>
        </w:rPr>
        <w:t xml:space="preserve"> and is estimated with the duration methodology. The applied estimation period is 30/07/2007 – 28/04/2009, as the implosion of Bear Stearns’ hedge funds is assumed to be the first real sign of the upcoming financial crisis.</w:t>
      </w:r>
      <w:r w:rsidRPr="00802C03">
        <w:rPr>
          <w:rStyle w:val="FootnoteReference"/>
          <w:rFonts w:ascii="Garamond" w:hAnsi="Garamond"/>
          <w:lang w:val="en-GB"/>
        </w:rPr>
        <w:footnoteReference w:id="48"/>
      </w:r>
      <w:r w:rsidRPr="00802C03">
        <w:rPr>
          <w:rFonts w:ascii="Garamond" w:hAnsi="Garamond"/>
          <w:lang w:val="en-GB"/>
        </w:rPr>
        <w:t xml:space="preserve"> The end of the estimation period is set to the end of the complete sample or database, as one cannot assume the crisis to have ended at that point in time. Notice that the time-homogeneity assumption is much easier to make for this relatively short sample period of 21 months. Hence, the duration estimator should be relatively unbiased.</w:t>
      </w:r>
    </w:p>
    <w:p w:rsidR="001C7C52" w:rsidRPr="00802C03" w:rsidRDefault="001C7C52" w:rsidP="00AB3324">
      <w:pPr>
        <w:spacing w:line="280" w:lineRule="exact"/>
        <w:jc w:val="both"/>
        <w:rPr>
          <w:rFonts w:ascii="Garamond" w:hAnsi="Garamond"/>
          <w:lang w:val="en-GB"/>
        </w:rPr>
      </w:pPr>
      <w:hyperlink w:anchor="T4" w:history="1">
        <w:r w:rsidRPr="00802C03">
          <w:rPr>
            <w:rStyle w:val="Hyperlink"/>
            <w:rFonts w:ascii="Garamond" w:hAnsi="Garamond"/>
            <w:color w:val="000066"/>
            <w:u w:val="none"/>
            <w:lang w:val="en-GB"/>
          </w:rPr>
          <w:t>Table IV</w:t>
        </w:r>
      </w:hyperlink>
      <w:r w:rsidRPr="00802C03">
        <w:rPr>
          <w:rFonts w:ascii="Garamond" w:hAnsi="Garamond"/>
          <w:lang w:val="en-GB"/>
        </w:rPr>
        <w:t xml:space="preserve"> displays the credit migration matrix conditional to the credit crisis. The first difference of the conditional matrix compared the unconditional duration method migration matrix (</w:t>
      </w:r>
      <w:hyperlink w:anchor="T2" w:history="1">
        <w:r w:rsidRPr="00802C03">
          <w:rPr>
            <w:rStyle w:val="Hyperlink"/>
            <w:rFonts w:ascii="Garamond" w:hAnsi="Garamond"/>
            <w:color w:val="000066"/>
            <w:u w:val="none"/>
            <w:lang w:val="en-GB"/>
          </w:rPr>
          <w:t>table II</w:t>
        </w:r>
      </w:hyperlink>
      <w:r w:rsidRPr="00802C03">
        <w:rPr>
          <w:rFonts w:ascii="Garamond" w:hAnsi="Garamond"/>
          <w:lang w:val="en-GB"/>
        </w:rPr>
        <w:t xml:space="preserve">) that is worth emphasizing is the decrease in all the elements of the diagonal or the ‘no migration’ probabilities (except for the BBB-rating). The average decrease in these probabilities is approximately 3% and signals, obviously, that credit ratings were less stable during the crisis. Migrations were more likely to occur and this translated in substantially more downside migration risk, as the probabilities on the right of the diagonal, which represent downgrades, increased in 25 of the 28 entries. On the other side of the diagonal, the probabilities that represent the upgrades decreased in 17 of the 20 cases (ignoring the default row), which signals much less upside potential during the credit crisis. As one would expect, the downside migration risk increased substantially during the period of crisis. The most apparent example here is the default probability of CCC/C-rated issuers that increased by more than 5%, which is approximately 12% when a migration horizon of one year is considered. Further implications of the conditional credit crisis migration matrix as well as the three unconditional migration matrices, however, will be discussed in </w:t>
      </w:r>
      <w:hyperlink w:anchor="S311" w:history="1">
        <w:r w:rsidRPr="00802C03">
          <w:rPr>
            <w:rStyle w:val="Hyperlink"/>
            <w:rFonts w:ascii="Garamond" w:hAnsi="Garamond"/>
            <w:color w:val="000066"/>
            <w:u w:val="none"/>
            <w:lang w:val="en-GB"/>
          </w:rPr>
          <w:t>Part III section 3.1.1</w:t>
        </w:r>
      </w:hyperlink>
      <w:r w:rsidRPr="00802C03">
        <w:rPr>
          <w:rFonts w:ascii="Garamond" w:hAnsi="Garamond"/>
          <w:lang w:val="en-GB"/>
        </w:rPr>
        <w:t>, in the context of the actual estimation of the proposed incremental risk model and its resulting value-at-risk measures.</w:t>
      </w:r>
    </w:p>
    <w:p w:rsidR="001C7C52" w:rsidRPr="00802C03" w:rsidRDefault="001C7C52" w:rsidP="00AB3324">
      <w:pPr>
        <w:spacing w:line="28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09"/>
        <w:gridCol w:w="567"/>
        <w:gridCol w:w="1025"/>
        <w:gridCol w:w="1025"/>
        <w:gridCol w:w="1025"/>
        <w:gridCol w:w="1026"/>
        <w:gridCol w:w="440"/>
        <w:gridCol w:w="585"/>
        <w:gridCol w:w="1025"/>
        <w:gridCol w:w="1025"/>
        <w:gridCol w:w="1026"/>
      </w:tblGrid>
      <w:tr w:rsidR="001C7C52" w:rsidRPr="000B0ADE" w:rsidTr="00B673EE">
        <w:tc>
          <w:tcPr>
            <w:tcW w:w="9478" w:type="dxa"/>
            <w:gridSpan w:val="11"/>
            <w:tcBorders>
              <w:top w:val="nil"/>
              <w:left w:val="nil"/>
              <w:bottom w:val="single" w:sz="4" w:space="0" w:color="auto"/>
              <w:right w:val="nil"/>
            </w:tcBorders>
            <w:vAlign w:val="center"/>
          </w:tcPr>
          <w:p w:rsidR="001C7C52" w:rsidRPr="00802C03" w:rsidRDefault="001C7C52" w:rsidP="004E6197">
            <w:pPr>
              <w:spacing w:line="240" w:lineRule="auto"/>
              <w:rPr>
                <w:rFonts w:ascii="Garamond" w:hAnsi="Garamond"/>
                <w:sz w:val="20"/>
                <w:lang w:val="en-GB"/>
              </w:rPr>
            </w:pPr>
            <w:bookmarkStart w:id="54" w:name="T4"/>
            <w:bookmarkEnd w:id="54"/>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IV </w:t>
            </w:r>
            <w:r w:rsidRPr="00802C03">
              <w:rPr>
                <w:rFonts w:ascii="Garamond" w:hAnsi="Garamond"/>
                <w:lang w:val="en-GB"/>
              </w:rPr>
              <w:t xml:space="preserve">- </w:t>
            </w:r>
            <w:r w:rsidRPr="00802C03">
              <w:rPr>
                <w:rFonts w:ascii="Garamond" w:hAnsi="Garamond"/>
                <w:sz w:val="20"/>
                <w:lang w:val="en-GB"/>
              </w:rPr>
              <w:t xml:space="preserve">Conditional Credit Migration Matrix: Duration Method </w:t>
            </w:r>
          </w:p>
        </w:tc>
      </w:tr>
      <w:tr w:rsidR="001C7C52" w:rsidRPr="00802C03" w:rsidTr="005E2825">
        <w:tc>
          <w:tcPr>
            <w:tcW w:w="1276" w:type="dxa"/>
            <w:gridSpan w:val="2"/>
            <w:tcBorders>
              <w:top w:val="single" w:sz="4" w:space="0" w:color="auto"/>
              <w:left w:val="nil"/>
              <w:bottom w:val="nil"/>
              <w:right w:val="nil"/>
            </w:tcBorders>
            <w:vAlign w:val="center"/>
          </w:tcPr>
          <w:p w:rsidR="001C7C52" w:rsidRPr="00802C03" w:rsidRDefault="001C7C52" w:rsidP="00C75470">
            <w:pPr>
              <w:rPr>
                <w:rFonts w:ascii="Garamond" w:hAnsi="Garamond"/>
                <w:b/>
                <w:sz w:val="20"/>
                <w:lang w:val="en-GB"/>
              </w:rPr>
            </w:pPr>
          </w:p>
        </w:tc>
        <w:tc>
          <w:tcPr>
            <w:tcW w:w="8202" w:type="dxa"/>
            <w:gridSpan w:val="9"/>
            <w:tcBorders>
              <w:top w:val="single" w:sz="4" w:space="0" w:color="auto"/>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Estimation period: 30/07/2007 – 28/04/2009</w:t>
            </w:r>
          </w:p>
        </w:tc>
      </w:tr>
      <w:tr w:rsidR="001C7C52" w:rsidRPr="00802C03" w:rsidTr="005E2825">
        <w:tc>
          <w:tcPr>
            <w:tcW w:w="1276" w:type="dxa"/>
            <w:gridSpan w:val="2"/>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p>
        </w:tc>
        <w:tc>
          <w:tcPr>
            <w:tcW w:w="1025"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AAA</w:t>
            </w:r>
          </w:p>
        </w:tc>
        <w:tc>
          <w:tcPr>
            <w:tcW w:w="1025"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AA</w:t>
            </w:r>
          </w:p>
        </w:tc>
        <w:tc>
          <w:tcPr>
            <w:tcW w:w="1025"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A</w:t>
            </w:r>
          </w:p>
        </w:tc>
        <w:tc>
          <w:tcPr>
            <w:tcW w:w="1026"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BBB</w:t>
            </w:r>
          </w:p>
        </w:tc>
        <w:tc>
          <w:tcPr>
            <w:tcW w:w="1025" w:type="dxa"/>
            <w:gridSpan w:val="2"/>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BB</w:t>
            </w:r>
          </w:p>
        </w:tc>
        <w:tc>
          <w:tcPr>
            <w:tcW w:w="1025"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B</w:t>
            </w:r>
          </w:p>
        </w:tc>
        <w:tc>
          <w:tcPr>
            <w:tcW w:w="1025"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CCC/C</w:t>
            </w:r>
          </w:p>
        </w:tc>
        <w:tc>
          <w:tcPr>
            <w:tcW w:w="1026" w:type="dxa"/>
            <w:tcBorders>
              <w:top w:val="single" w:sz="4" w:space="0" w:color="auto"/>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D</w:t>
            </w:r>
          </w:p>
        </w:tc>
      </w:tr>
      <w:tr w:rsidR="001C7C52" w:rsidRPr="00802C03" w:rsidTr="005E2825">
        <w:tc>
          <w:tcPr>
            <w:tcW w:w="1276" w:type="dxa"/>
            <w:gridSpan w:val="2"/>
            <w:tcBorders>
              <w:top w:val="single" w:sz="4" w:space="0" w:color="auto"/>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AAA</w:t>
            </w:r>
          </w:p>
        </w:tc>
        <w:tc>
          <w:tcPr>
            <w:tcW w:w="1025" w:type="dxa"/>
            <w:tcBorders>
              <w:top w:val="single" w:sz="4" w:space="0" w:color="auto"/>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0.938971</w:t>
            </w:r>
          </w:p>
        </w:tc>
        <w:tc>
          <w:tcPr>
            <w:tcW w:w="1025"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0.050676</w:t>
            </w:r>
          </w:p>
        </w:tc>
        <w:tc>
          <w:tcPr>
            <w:tcW w:w="1025"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0.005079</w:t>
            </w:r>
          </w:p>
        </w:tc>
        <w:tc>
          <w:tcPr>
            <w:tcW w:w="1026"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0.000083</w:t>
            </w:r>
          </w:p>
        </w:tc>
        <w:tc>
          <w:tcPr>
            <w:tcW w:w="1025" w:type="dxa"/>
            <w:gridSpan w:val="2"/>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0.001697</w:t>
            </w:r>
          </w:p>
        </w:tc>
        <w:tc>
          <w:tcPr>
            <w:tcW w:w="1025"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0.000110</w:t>
            </w:r>
          </w:p>
        </w:tc>
        <w:tc>
          <w:tcPr>
            <w:tcW w:w="1025"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0.003076</w:t>
            </w:r>
          </w:p>
        </w:tc>
        <w:tc>
          <w:tcPr>
            <w:tcW w:w="1026" w:type="dxa"/>
            <w:tcBorders>
              <w:top w:val="single" w:sz="4" w:space="0" w:color="auto"/>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0.000308</w:t>
            </w:r>
          </w:p>
        </w:tc>
      </w:tr>
      <w:tr w:rsidR="001C7C52" w:rsidRPr="00802C03" w:rsidTr="005E2825">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AA</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0.000697</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0.936675</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0.060882</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0.001611</w:t>
            </w:r>
          </w:p>
        </w:tc>
        <w:tc>
          <w:tcPr>
            <w:tcW w:w="1025"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0.000091</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0.000023</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0.000014</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0.000006</w:t>
            </w:r>
          </w:p>
        </w:tc>
      </w:tr>
      <w:tr w:rsidR="001C7C52" w:rsidRPr="00802C03" w:rsidTr="005E2825">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A</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0.000004</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0.007708</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0.971976</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0.017196</w:t>
            </w:r>
          </w:p>
        </w:tc>
        <w:tc>
          <w:tcPr>
            <w:tcW w:w="1025"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0.002529</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0.000242</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0.000164</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0.000183</w:t>
            </w:r>
          </w:p>
        </w:tc>
      </w:tr>
      <w:tr w:rsidR="001C7C52" w:rsidRPr="00802C03" w:rsidTr="005E2825">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BBB</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0.000001</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0.000976</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0.006708</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0.977296</w:t>
            </w:r>
          </w:p>
        </w:tc>
        <w:tc>
          <w:tcPr>
            <w:tcW w:w="1025"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0.013886</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0.000935</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0.000178</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0.000020</w:t>
            </w:r>
          </w:p>
        </w:tc>
      </w:tr>
      <w:tr w:rsidR="001C7C52" w:rsidRPr="00802C03" w:rsidTr="005E2825">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BB</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0.000001</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0.000501</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0.000554</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0.011310</w:t>
            </w:r>
          </w:p>
        </w:tc>
        <w:tc>
          <w:tcPr>
            <w:tcW w:w="1025" w:type="dxa"/>
            <w:gridSpan w:val="2"/>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0.944866</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0.040132</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0.002160</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0.000476</w:t>
            </w:r>
          </w:p>
        </w:tc>
      </w:tr>
      <w:tr w:rsidR="001C7C52" w:rsidRPr="00802C03" w:rsidTr="005E2825">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B</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0.000002</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0.000033</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0.000191</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0.000074</w:t>
            </w:r>
          </w:p>
        </w:tc>
        <w:tc>
          <w:tcPr>
            <w:tcW w:w="1025"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0.009742</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0.944632</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0.039214</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0.006113</w:t>
            </w:r>
          </w:p>
        </w:tc>
      </w:tr>
      <w:tr w:rsidR="001C7C52" w:rsidRPr="00802C03" w:rsidTr="005E2825">
        <w:tc>
          <w:tcPr>
            <w:tcW w:w="1276" w:type="dxa"/>
            <w:gridSpan w:val="2"/>
            <w:tcBorders>
              <w:top w:val="nil"/>
              <w:left w:val="nil"/>
              <w:bottom w:val="nil"/>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CCC/C</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0.000003</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0.000053</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0.000044</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0.000027</w:t>
            </w:r>
          </w:p>
        </w:tc>
        <w:tc>
          <w:tcPr>
            <w:tcW w:w="1025" w:type="dxa"/>
            <w:gridSpan w:val="2"/>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0.000194</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0.031800</w:t>
            </w:r>
          </w:p>
        </w:tc>
        <w:tc>
          <w:tcPr>
            <w:tcW w:w="1025" w:type="dxa"/>
            <w:tcBorders>
              <w:top w:val="nil"/>
              <w:left w:val="nil"/>
              <w:bottom w:val="nil"/>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0.795621</w:t>
            </w:r>
          </w:p>
        </w:tc>
        <w:tc>
          <w:tcPr>
            <w:tcW w:w="1026" w:type="dxa"/>
            <w:tcBorders>
              <w:top w:val="nil"/>
              <w:left w:val="nil"/>
              <w:bottom w:val="nil"/>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0.172258</w:t>
            </w:r>
          </w:p>
        </w:tc>
      </w:tr>
      <w:tr w:rsidR="001C7C52" w:rsidRPr="00802C03" w:rsidTr="005E2825">
        <w:tc>
          <w:tcPr>
            <w:tcW w:w="1276" w:type="dxa"/>
            <w:gridSpan w:val="2"/>
            <w:tcBorders>
              <w:top w:val="nil"/>
              <w:left w:val="nil"/>
              <w:bottom w:val="single" w:sz="4" w:space="0" w:color="auto"/>
              <w:right w:val="nil"/>
            </w:tcBorders>
            <w:vAlign w:val="center"/>
          </w:tcPr>
          <w:p w:rsidR="001C7C52" w:rsidRPr="00802C03" w:rsidRDefault="001C7C52" w:rsidP="00C75470">
            <w:pPr>
              <w:rPr>
                <w:rFonts w:ascii="Garamond" w:hAnsi="Garamond"/>
                <w:sz w:val="20"/>
                <w:lang w:val="en-GB"/>
              </w:rPr>
            </w:pPr>
            <w:r w:rsidRPr="00802C03">
              <w:rPr>
                <w:rFonts w:ascii="Garamond" w:hAnsi="Garamond"/>
                <w:sz w:val="20"/>
                <w:lang w:val="en-GB"/>
              </w:rPr>
              <w:t>D</w:t>
            </w:r>
          </w:p>
        </w:tc>
        <w:tc>
          <w:tcPr>
            <w:tcW w:w="1025"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5"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5"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6"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5" w:type="dxa"/>
            <w:gridSpan w:val="2"/>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5"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5" w:type="dxa"/>
            <w:tcBorders>
              <w:top w:val="nil"/>
              <w:left w:val="nil"/>
              <w:bottom w:val="single" w:sz="4" w:space="0" w:color="auto"/>
              <w:right w:val="nil"/>
            </w:tcBorders>
            <w:vAlign w:val="center"/>
          </w:tcPr>
          <w:p w:rsidR="001C7C52" w:rsidRPr="00802C03" w:rsidRDefault="001C7C52" w:rsidP="00C75470">
            <w:pPr>
              <w:jc w:val="center"/>
              <w:rPr>
                <w:rFonts w:ascii="Garamond" w:hAnsi="Garamond"/>
                <w:sz w:val="20"/>
                <w:lang w:val="en-GB"/>
              </w:rPr>
            </w:pPr>
            <w:r w:rsidRPr="00802C03">
              <w:rPr>
                <w:rFonts w:ascii="Garamond" w:hAnsi="Garamond"/>
                <w:sz w:val="20"/>
                <w:lang w:val="en-GB"/>
              </w:rPr>
              <w:t>0.000000</w:t>
            </w:r>
          </w:p>
        </w:tc>
        <w:tc>
          <w:tcPr>
            <w:tcW w:w="1026" w:type="dxa"/>
            <w:tcBorders>
              <w:top w:val="nil"/>
              <w:left w:val="nil"/>
              <w:bottom w:val="single" w:sz="4" w:space="0" w:color="auto"/>
              <w:right w:val="nil"/>
            </w:tcBorders>
            <w:vAlign w:val="center"/>
          </w:tcPr>
          <w:p w:rsidR="001C7C52" w:rsidRPr="00802C03" w:rsidRDefault="001C7C52" w:rsidP="00C75470">
            <w:pPr>
              <w:jc w:val="center"/>
              <w:rPr>
                <w:rFonts w:ascii="Garamond" w:hAnsi="Garamond"/>
                <w:b/>
                <w:sz w:val="20"/>
                <w:lang w:val="en-GB"/>
              </w:rPr>
            </w:pPr>
            <w:r w:rsidRPr="00802C03">
              <w:rPr>
                <w:rFonts w:ascii="Garamond" w:hAnsi="Garamond"/>
                <w:b/>
                <w:sz w:val="20"/>
                <w:lang w:val="en-GB"/>
              </w:rPr>
              <w:t>1.000000</w:t>
            </w:r>
          </w:p>
        </w:tc>
      </w:tr>
      <w:tr w:rsidR="001C7C52" w:rsidRPr="000B0ADE" w:rsidTr="005E2825">
        <w:tc>
          <w:tcPr>
            <w:tcW w:w="9478" w:type="dxa"/>
            <w:gridSpan w:val="11"/>
            <w:tcBorders>
              <w:top w:val="single" w:sz="4" w:space="0" w:color="auto"/>
              <w:left w:val="nil"/>
              <w:bottom w:val="nil"/>
              <w:right w:val="nil"/>
            </w:tcBorders>
            <w:vAlign w:val="center"/>
          </w:tcPr>
          <w:p w:rsidR="001C7C52" w:rsidRPr="00802C03" w:rsidRDefault="001C7C52" w:rsidP="00F246F2">
            <w:pPr>
              <w:spacing w:after="40" w:line="180" w:lineRule="exact"/>
              <w:jc w:val="both"/>
              <w:rPr>
                <w:rFonts w:ascii="Garamond" w:hAnsi="Garamond"/>
                <w:sz w:val="16"/>
                <w:szCs w:val="16"/>
                <w:lang w:val="en-GB"/>
              </w:rPr>
            </w:pPr>
            <w:r w:rsidRPr="00802C03">
              <w:rPr>
                <w:rFonts w:ascii="Garamond" w:hAnsi="Garamond"/>
                <w:sz w:val="16"/>
                <w:szCs w:val="16"/>
                <w:lang w:val="en-GB"/>
              </w:rPr>
              <w:t>The migration probabilities are based on a three-month horizon. The sample period is 21 months. The migration probability matrix is computed with the use of the single sample of 21 months and is calibrated to display a migration horizon of three months.</w:t>
            </w:r>
          </w:p>
        </w:tc>
      </w:tr>
      <w:tr w:rsidR="001C7C52" w:rsidRPr="00802C03" w:rsidTr="002E2E4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4"/>
          <w:wAfter w:w="3553" w:type="dxa"/>
        </w:trPr>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2.2</w:t>
            </w:r>
          </w:p>
        </w:tc>
        <w:tc>
          <w:tcPr>
            <w:tcW w:w="4541" w:type="dxa"/>
            <w:gridSpan w:val="5"/>
          </w:tcPr>
          <w:p w:rsidR="001C7C52" w:rsidRPr="002E2E49" w:rsidRDefault="001C7C52" w:rsidP="002E2E49">
            <w:pPr>
              <w:spacing w:line="280" w:lineRule="exact"/>
              <w:jc w:val="both"/>
              <w:rPr>
                <w:rFonts w:ascii="Garamond" w:hAnsi="Garamond" w:cs="NimbusRomNo9L-Regu"/>
                <w:lang w:val="en-GB" w:eastAsia="nl-NL"/>
              </w:rPr>
            </w:pPr>
            <w:bookmarkStart w:id="55" w:name="S220"/>
            <w:bookmarkEnd w:id="55"/>
            <w:r w:rsidRPr="002E2E49">
              <w:rPr>
                <w:rFonts w:ascii="Garamond" w:hAnsi="Garamond" w:cs="NimbusRomNo9L-Regu"/>
                <w:b/>
                <w:lang w:val="en-GB" w:eastAsia="nl-NL"/>
              </w:rPr>
              <w:t>I</w:t>
            </w:r>
            <w:r w:rsidRPr="002E2E49">
              <w:rPr>
                <w:rFonts w:ascii="Garamond" w:hAnsi="Garamond" w:cs="NimbusRomNo9L-Regu"/>
                <w:b/>
                <w:sz w:val="18"/>
                <w:szCs w:val="18"/>
                <w:lang w:val="en-GB" w:eastAsia="nl-NL"/>
              </w:rPr>
              <w:t>SSUER</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ORRELATION</w:t>
            </w:r>
            <w:r w:rsidRPr="002E2E49">
              <w:rPr>
                <w:rFonts w:ascii="Garamond" w:hAnsi="Garamond" w:cs="NimbusRomNo9L-Regu"/>
                <w:b/>
                <w:lang w:val="en-GB" w:eastAsia="nl-NL"/>
              </w:rPr>
              <w:t xml:space="preserve"> </w:t>
            </w:r>
            <w:r w:rsidRPr="002E2E49">
              <w:rPr>
                <w:rFonts w:ascii="Garamond" w:hAnsi="Garamond" w:cs="NimbusRomNo9L-Regu"/>
                <w:b/>
                <w:sz w:val="18"/>
                <w:szCs w:val="18"/>
                <w:lang w:val="en-GB" w:eastAsia="nl-NL"/>
              </w:rPr>
              <w:t>AND</w:t>
            </w:r>
            <w:r w:rsidRPr="002E2E49">
              <w:rPr>
                <w:rFonts w:ascii="Garamond" w:hAnsi="Garamond" w:cs="NimbusRomNo9L-Regu"/>
                <w:b/>
                <w:lang w:val="en-GB" w:eastAsia="nl-NL"/>
              </w:rPr>
              <w:t xml:space="preserve"> A</w:t>
            </w:r>
            <w:r w:rsidRPr="002E2E49">
              <w:rPr>
                <w:rFonts w:ascii="Garamond" w:hAnsi="Garamond" w:cs="NimbusRomNo9L-Regu"/>
                <w:b/>
                <w:sz w:val="18"/>
                <w:szCs w:val="18"/>
                <w:lang w:val="en-GB" w:eastAsia="nl-NL"/>
              </w:rPr>
              <w:t>UTOCORRELATION</w:t>
            </w:r>
          </w:p>
        </w:tc>
      </w:tr>
    </w:tbl>
    <w:p w:rsidR="001C7C52" w:rsidRPr="00802C03" w:rsidRDefault="001C7C52" w:rsidP="005B3319">
      <w:pPr>
        <w:spacing w:before="160"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issuer asset correlations in the model serve the purpose of the quantification of the relations between the stand-alone risks of the individual positions in the portfolio. Equivalently, the issuer asset autocorrelations quantify the degree of dependence in the time-series dimension. Herein, difficulties emerge, however, since the asset returns, on which these correlations are based, are not readily observable in financial markets. Hence, multiple approaches have been developed to address this issue. </w:t>
      </w:r>
      <w:hyperlink w:anchor="Gupton_et_al_1997" w:history="1">
        <w:r w:rsidRPr="00802C03">
          <w:rPr>
            <w:rStyle w:val="Hyperlink"/>
            <w:rFonts w:ascii="Garamond" w:hAnsi="Garamond" w:cs="NimbusRomNo9L-Regu"/>
            <w:color w:val="000066"/>
            <w:u w:val="none"/>
            <w:lang w:val="en-GB" w:eastAsia="nl-NL"/>
          </w:rPr>
          <w:t>Gupton et al. (1997)</w:t>
        </w:r>
      </w:hyperlink>
      <w:r w:rsidRPr="00802C03">
        <w:rPr>
          <w:rFonts w:ascii="Garamond" w:hAnsi="Garamond" w:cs="NimbusRomNo9L-Regu"/>
          <w:lang w:val="en-GB" w:eastAsia="nl-NL"/>
        </w:rPr>
        <w:t xml:space="preserve"> argue that equity correlations may provide a good proxy for unobserved asset dependency, since equity prices of a company have a strong and direct connection with the value of its assets. Nevertheless, the use of equity correlations is not the only methodology to approach unobserved issuer asset correlations. Numerous alternative estimation methods of the relation between migrations and defaults of companies have surfaced in recent years. </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This section contains the details of the two most commonly applied methods in the mode</w:t>
      </w:r>
      <w:r>
        <w:rPr>
          <w:rFonts w:ascii="Garamond" w:hAnsi="Garamond" w:cs="NimbusRomNo9L-Regu"/>
          <w:lang w:val="en-GB" w:eastAsia="nl-NL"/>
        </w:rPr>
        <w:t>l</w:t>
      </w:r>
      <w:r w:rsidRPr="00802C03">
        <w:rPr>
          <w:rFonts w:ascii="Garamond" w:hAnsi="Garamond" w:cs="NimbusRomNo9L-Regu"/>
          <w:lang w:val="en-GB" w:eastAsia="nl-NL"/>
        </w:rPr>
        <w:t>ling of migration and default correlation. First, the equity correlation proxy is addressed. Subsequently, the estimation of issuer credit quality correlations with the use of observed default data is discussed. The literature may provide many more and perhaps better ways to address issuer correlations, yet almost every approach finds its origin in one of the two mentioned here. Consequently, in this study the emphasis in the estimation of issuer correlation is entirely directed towards these two main approaches.</w:t>
      </w:r>
    </w:p>
    <w:p w:rsidR="001C7C52" w:rsidRPr="00802C03" w:rsidRDefault="001C7C52" w:rsidP="00AB3324">
      <w:pPr>
        <w:spacing w:line="28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2.2.1</w:t>
      </w:r>
      <w:r w:rsidRPr="00802C03">
        <w:rPr>
          <w:rFonts w:ascii="Garamond" w:hAnsi="Garamond"/>
          <w:b/>
          <w:lang w:val="en-GB"/>
        </w:rPr>
        <w:tab/>
      </w:r>
      <w:bookmarkStart w:id="56" w:name="S221"/>
      <w:bookmarkEnd w:id="56"/>
      <w:r w:rsidRPr="00802C03">
        <w:rPr>
          <w:rFonts w:ascii="Garamond" w:hAnsi="Garamond"/>
          <w:b/>
          <w:lang w:val="en-GB"/>
        </w:rPr>
        <w:t>Equity Return Correlation</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most convenient approach to assess the issuer asset correlations is the application of equity return correlations. Equity returns are observable market data which have a strong theoretical relation with the asset returns of a company, i.e. the Merton model. In this sense, credit spreads from the bond market and credit default swaps market also provide market data where issuer asset correlation estimates can be based upon. However, the equity universe is considerable larger than these markets and in these markets data quality and illiquidity are concerns as well. Consequently, the largest advantages of the equity return proxy approach are that all required data is widely available, it comes from liquid markets and is good of quality. An additional advantage is that the correlation estimates can be based on information at the issuer level. No clusters of issuers have to be constructed since equity return information is available for almost every single issuer. </w:t>
      </w:r>
    </w:p>
    <w:p w:rsidR="001C7C52" w:rsidRPr="00802C03" w:rsidRDefault="001C7C52" w:rsidP="00AB3324">
      <w:pPr>
        <w:spacing w:line="280" w:lineRule="exact"/>
        <w:jc w:val="both"/>
        <w:rPr>
          <w:rFonts w:ascii="Garamond" w:hAnsi="Garamond" w:cs="BBDPFK+TimesNewRoman"/>
          <w:lang w:val="en-GB"/>
        </w:rPr>
      </w:pPr>
      <w:r w:rsidRPr="00802C03">
        <w:rPr>
          <w:rFonts w:ascii="Garamond" w:hAnsi="Garamond"/>
          <w:lang w:val="en-GB"/>
        </w:rPr>
        <w:t xml:space="preserve">The major disadvantage of the equity proxy is addressed in </w:t>
      </w:r>
      <w:hyperlink w:anchor="DeServigny_Renault_2003" w:history="1">
        <w:r w:rsidRPr="00802C03">
          <w:rPr>
            <w:rStyle w:val="Hyperlink"/>
            <w:rFonts w:ascii="Garamond" w:hAnsi="Garamond"/>
            <w:color w:val="000066"/>
            <w:u w:val="none"/>
            <w:lang w:val="en-GB"/>
          </w:rPr>
          <w:t>De Servigny &amp; Renault (2003)</w:t>
        </w:r>
      </w:hyperlink>
      <w:r w:rsidRPr="00802C03">
        <w:rPr>
          <w:rFonts w:ascii="Garamond" w:hAnsi="Garamond"/>
          <w:lang w:val="en-GB"/>
        </w:rPr>
        <w:t>. They argue that e</w:t>
      </w:r>
      <w:r w:rsidRPr="00802C03">
        <w:rPr>
          <w:rFonts w:ascii="Garamond" w:hAnsi="Garamond" w:cs="BBDPFK+TimesNewRoman"/>
          <w:lang w:val="en-GB"/>
        </w:rPr>
        <w:t xml:space="preserve">quity prices and returns reflect many factors, such as changes in risk aversion in the equity markets and liquidity effects and that a substantial proportion of these changes may not be related to the financial stability of the issuers. They present empirical evidence that implies that default correlation implied by equity prices does not perform very well in explaining observed default correlation. Nonetheless, the general evidence on the subject is mixed. </w:t>
      </w:r>
      <w:hyperlink w:anchor="Dullmann_et_al_2008" w:history="1">
        <w:r w:rsidRPr="00802C03">
          <w:rPr>
            <w:rStyle w:val="Hyperlink"/>
            <w:rFonts w:ascii="Garamond" w:hAnsi="Garamond" w:cs="BBDPFK+TimesNewRoman"/>
            <w:color w:val="000066"/>
            <w:u w:val="none"/>
            <w:lang w:val="en-GB"/>
          </w:rPr>
          <w:t>Düllmann et al. (2008)</w:t>
        </w:r>
      </w:hyperlink>
      <w:r w:rsidRPr="00802C03">
        <w:rPr>
          <w:rFonts w:ascii="Garamond" w:hAnsi="Garamond" w:cs="BBDPFK+TimesNewRoman"/>
          <w:lang w:val="en-GB"/>
        </w:rPr>
        <w:t xml:space="preserve"> conduct an extensive simulation study to compare the efficiency of estimation of asset correlation through equity prices to that of estimation through default rates. Their results suggest that asset correlation estimates based on equity returns are always more efficient than correlations estimated with default rates, even if the model is misspecified.</w:t>
      </w:r>
      <w:r w:rsidRPr="00802C03">
        <w:rPr>
          <w:rStyle w:val="FootnoteReference"/>
          <w:rFonts w:ascii="Garamond" w:hAnsi="Garamond" w:cs="BBDPFK+TimesNewRoman"/>
          <w:lang w:val="en-GB"/>
        </w:rPr>
        <w:footnoteReference w:id="49"/>
      </w:r>
      <w:r w:rsidRPr="00802C03">
        <w:rPr>
          <w:rFonts w:ascii="Garamond" w:hAnsi="Garamond" w:cs="BBDPFK+TimesNewRoman"/>
          <w:lang w:val="en-GB"/>
        </w:rPr>
        <w:t xml:space="preserve"> The KMV asset value model, as set forth in </w:t>
      </w:r>
      <w:hyperlink w:anchor="Bohn_Crosbie_2003" w:history="1">
        <w:r w:rsidRPr="00802C03">
          <w:rPr>
            <w:rStyle w:val="Hyperlink"/>
            <w:rFonts w:ascii="Garamond" w:hAnsi="Garamond" w:cs="BBDPFK+TimesNewRoman"/>
            <w:color w:val="000066"/>
            <w:u w:val="none"/>
            <w:lang w:val="en-GB"/>
          </w:rPr>
          <w:t>Bohn &amp; Crosbie (2003)</w:t>
        </w:r>
      </w:hyperlink>
      <w:r w:rsidRPr="00802C03">
        <w:rPr>
          <w:rFonts w:ascii="Garamond" w:hAnsi="Garamond" w:cs="BBDPFK+TimesNewRoman"/>
          <w:lang w:val="en-GB"/>
        </w:rPr>
        <w:t xml:space="preserve">, may provide the best alternative in the assessment of asset correlations. This method, however, may become very time-consuming when the number of issuers in the portfolio is large. Consequently, ‘plain’ equity returns will be used to estimate issuer asset correlation in this study.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main share of studies that have employed the equity correlation proxy utilize factor models. In such a model, the linear (pairwise) correlations are based mostly on sector and industry indices. Factor models of this kind were proposed by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as a solution to deal with many credit products in the CreditMetrics model.</w:t>
      </w:r>
      <w:r w:rsidRPr="00802C03">
        <w:rPr>
          <w:rStyle w:val="FootnoteReference"/>
          <w:rFonts w:ascii="Garamond" w:hAnsi="Garamond"/>
          <w:lang w:val="en-GB"/>
        </w:rPr>
        <w:footnoteReference w:id="50"/>
      </w:r>
      <w:r w:rsidRPr="00802C03">
        <w:rPr>
          <w:rFonts w:ascii="Garamond" w:hAnsi="Garamond"/>
          <w:lang w:val="en-GB"/>
        </w:rPr>
        <w:t xml:space="preserve"> Moreover, these models are supposed to filter out the noise in the asset or equity returns and only assess the information that is actually useful (</w:t>
      </w:r>
      <w:hyperlink w:anchor="Elton_Gruber_1973" w:history="1">
        <w:r w:rsidRPr="00802C03">
          <w:rPr>
            <w:rStyle w:val="Hyperlink"/>
            <w:rFonts w:ascii="Garamond" w:hAnsi="Garamond"/>
            <w:color w:val="000066"/>
            <w:u w:val="none"/>
            <w:lang w:val="en-GB"/>
          </w:rPr>
          <w:t>Elton &amp; Gruber, 1973</w:t>
        </w:r>
      </w:hyperlink>
      <w:r w:rsidRPr="00802C03">
        <w:rPr>
          <w:rFonts w:ascii="Garamond" w:hAnsi="Garamond"/>
          <w:lang w:val="en-GB"/>
        </w:rPr>
        <w:t xml:space="preserve">; </w:t>
      </w:r>
      <w:hyperlink w:anchor="Elton_et_al_1978" w:history="1">
        <w:r w:rsidRPr="00802C03">
          <w:rPr>
            <w:rStyle w:val="Hyperlink"/>
            <w:rFonts w:ascii="Garamond" w:hAnsi="Garamond"/>
            <w:color w:val="000066"/>
            <w:u w:val="none"/>
            <w:lang w:val="en-GB"/>
          </w:rPr>
          <w:t>Elton et al., 1978</w:t>
        </w:r>
      </w:hyperlink>
      <w:r w:rsidRPr="00802C03">
        <w:rPr>
          <w:rFonts w:ascii="Garamond" w:hAnsi="Garamond"/>
          <w:lang w:val="en-GB"/>
        </w:rPr>
        <w:t xml:space="preserve">). </w:t>
      </w:r>
      <w:hyperlink w:anchor="Zeng_Zhang_2001" w:history="1">
        <w:r w:rsidRPr="00802C03">
          <w:rPr>
            <w:rStyle w:val="Hyperlink"/>
            <w:rFonts w:ascii="Garamond" w:hAnsi="Garamond"/>
            <w:color w:val="000066"/>
            <w:u w:val="none"/>
            <w:lang w:val="en-GB"/>
          </w:rPr>
          <w:t>Zeng &amp; Zhang (2001)</w:t>
        </w:r>
      </w:hyperlink>
      <w:r w:rsidRPr="00802C03">
        <w:rPr>
          <w:rFonts w:ascii="Garamond" w:hAnsi="Garamond"/>
          <w:lang w:val="en-GB"/>
        </w:rPr>
        <w:t xml:space="preserve"> provide an extensive assessment of these factor models. They compare their out-of-sample forecasting accuracy with that of historical correlations and conclude that historical correlations perform relatively well when enough data is available. A few factor models do however systematically outperform historical correlations, especially when the available data is limited. In the setting of this study, enough data is available and as a result, simple historical (equity) return correlations are used. In an actual trading portfolio, the number of positions will be much larger and then a multiple factor model will provide a better solution. </w:t>
      </w:r>
    </w:p>
    <w:p w:rsidR="001C7C52" w:rsidRPr="00802C03" w:rsidRDefault="001C7C52" w:rsidP="00E70736">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next step is to specify the estimation periods on which the equity correlation sets will be based. In the model estimations in </w:t>
      </w:r>
      <w:hyperlink w:anchor="S310" w:history="1">
        <w:r w:rsidRPr="00802C03">
          <w:rPr>
            <w:rStyle w:val="Hyperlink"/>
            <w:rFonts w:ascii="Garamond" w:hAnsi="Garamond"/>
            <w:color w:val="000066"/>
            <w:u w:val="none"/>
            <w:lang w:val="en-GB"/>
          </w:rPr>
          <w:t>Part III</w:t>
        </w:r>
      </w:hyperlink>
      <w:r w:rsidRPr="00802C03">
        <w:rPr>
          <w:rFonts w:ascii="Garamond" w:hAnsi="Garamond"/>
          <w:lang w:val="en-GB"/>
        </w:rPr>
        <w:t>, the equity return correlations between all underlying issuers in assessed portfolios are required.</w:t>
      </w:r>
      <w:r w:rsidRPr="00802C03">
        <w:rPr>
          <w:rStyle w:val="FootnoteReference"/>
          <w:rFonts w:ascii="Garamond" w:hAnsi="Garamond"/>
          <w:lang w:val="en-GB"/>
        </w:rPr>
        <w:footnoteReference w:id="51"/>
      </w:r>
      <w:r w:rsidRPr="00802C03">
        <w:rPr>
          <w:rFonts w:ascii="Garamond" w:hAnsi="Garamond"/>
          <w:lang w:val="en-GB"/>
        </w:rPr>
        <w:t xml:space="preserve"> Two estimation periods are interesting in the assessment of the effect of alternative inputs and assumptions in the proposed incremental risk model. The first of the two periods obviously is the credit crisis, which also (to a reasonable extent) represents the market environment at the estimation date of the model (01/05/2009). Numerous studies find that correlations in financial markets increase during times of economic turbulence (e.g. </w:t>
      </w:r>
      <w:hyperlink w:anchor="Lee_Kim_1993" w:history="1">
        <w:r w:rsidRPr="00802C03">
          <w:rPr>
            <w:rStyle w:val="Hyperlink"/>
            <w:rFonts w:ascii="Garamond" w:hAnsi="Garamond"/>
            <w:color w:val="000066"/>
            <w:u w:val="none"/>
            <w:lang w:val="en-GB"/>
          </w:rPr>
          <w:t>Lee &amp; Kim, 1993</w:t>
        </w:r>
      </w:hyperlink>
      <w:r w:rsidRPr="00802C03">
        <w:rPr>
          <w:rFonts w:ascii="Garamond" w:hAnsi="Garamond"/>
          <w:lang w:val="en-GB"/>
        </w:rPr>
        <w:t xml:space="preserve">; </w:t>
      </w:r>
      <w:hyperlink w:anchor="Forbes_Rigobon_2002" w:history="1">
        <w:r w:rsidRPr="00802C03">
          <w:rPr>
            <w:rStyle w:val="Hyperlink"/>
            <w:rFonts w:ascii="Garamond" w:hAnsi="Garamond"/>
            <w:color w:val="000066"/>
            <w:u w:val="none"/>
            <w:lang w:val="en-GB"/>
          </w:rPr>
          <w:t>Forbes &amp; Rigobon, 2002</w:t>
        </w:r>
      </w:hyperlink>
      <w:r w:rsidRPr="00802C03">
        <w:rPr>
          <w:rFonts w:ascii="Garamond" w:hAnsi="Garamond"/>
          <w:lang w:val="en-GB"/>
        </w:rPr>
        <w:t xml:space="preserve">; </w:t>
      </w:r>
      <w:hyperlink w:anchor="Rigobon_2003" w:history="1">
        <w:r w:rsidRPr="00802C03">
          <w:rPr>
            <w:rStyle w:val="Hyperlink"/>
            <w:rFonts w:ascii="Garamond" w:hAnsi="Garamond"/>
            <w:color w:val="000066"/>
            <w:u w:val="none"/>
            <w:lang w:val="en-GB"/>
          </w:rPr>
          <w:t>Rigobon, 2003</w:t>
        </w:r>
      </w:hyperlink>
      <w:r w:rsidRPr="00802C03">
        <w:rPr>
          <w:rFonts w:ascii="Garamond" w:hAnsi="Garamond"/>
          <w:lang w:val="en-GB"/>
        </w:rPr>
        <w:t xml:space="preserve">; </w:t>
      </w:r>
      <w:hyperlink w:anchor="Cappiello_et_al_2006" w:history="1">
        <w:r w:rsidRPr="00802C03">
          <w:rPr>
            <w:rStyle w:val="Hyperlink"/>
            <w:rFonts w:ascii="Garamond" w:hAnsi="Garamond"/>
            <w:color w:val="000066"/>
            <w:u w:val="none"/>
            <w:lang w:val="en-GB"/>
          </w:rPr>
          <w:t>Cappiello et al., 2006</w:t>
        </w:r>
      </w:hyperlink>
      <w:r w:rsidRPr="00802C03">
        <w:rPr>
          <w:rFonts w:ascii="Garamond" w:hAnsi="Garamond"/>
          <w:lang w:val="en-GB"/>
        </w:rPr>
        <w:t xml:space="preserve">). In addition, an underestimation of correlation risk in the subprime mortgage market has been one of the most pronounced causes of the credit crisis, making it especially informative to estimate the effect of rising issuer correlations in the proposed incremental risk model. The relevant issuer equity correlations are estimated with equity return information from the end of April 2007 till the end of April 2009, representing the credit crisis. This two-year period starts one quarter earlier than the credit crisis period in the estimation of the credit crisis migration matrix. This decision is based on the fact that a sufficient number of equity return observations is required in the estimation of the correlation estimates.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The second period of interest is the two-year period before the credit crisis, the end of April 2005 till the end of April 2007. This period represents a relatively stable environment. The two chosen periods provide the required information for the assessment of the effect of correlations in different market conditions in the model. In fact, the average issuer equity correlation among the issuers in the portfolio in the credit crisis period is 0.44, whereas the average of the issuer correlations in the stable period is only 0.23. This substantial difference confirms that conditional correlations increase during times of economic crisis and provides the opportunity for a clear assessment of the effects of rising issuer correlations on the migration and default risk in a credit portfolio.</w:t>
      </w:r>
      <w:r w:rsidRPr="00802C03">
        <w:rPr>
          <w:rStyle w:val="FootnoteReference"/>
          <w:rFonts w:ascii="Garamond" w:hAnsi="Garamond"/>
          <w:lang w:val="en-GB"/>
        </w:rPr>
        <w:footnoteReference w:id="52"/>
      </w:r>
      <w:r w:rsidRPr="00802C03">
        <w:rPr>
          <w:rFonts w:ascii="Garamond" w:hAnsi="Garamond"/>
          <w:lang w:val="en-GB"/>
        </w:rPr>
        <w:t xml:space="preserve"> The exact model estimation results with these two different sets of correlations will be discussed in </w:t>
      </w:r>
      <w:hyperlink w:anchor="S324" w:history="1">
        <w:r w:rsidRPr="00802C03">
          <w:rPr>
            <w:rStyle w:val="Hyperlink"/>
            <w:rFonts w:ascii="Garamond" w:hAnsi="Garamond"/>
            <w:color w:val="000066"/>
            <w:u w:val="none"/>
            <w:lang w:val="en-GB"/>
          </w:rPr>
          <w:t>Part III section 3.2.4</w:t>
        </w:r>
      </w:hyperlink>
      <w:r w:rsidRPr="00802C03">
        <w:rPr>
          <w:rFonts w:ascii="Garamond" w:hAnsi="Garamond"/>
          <w:lang w:val="en-GB"/>
        </w:rPr>
        <w:t xml:space="preserve">. </w:t>
      </w:r>
    </w:p>
    <w:p w:rsidR="001C7C52" w:rsidRPr="00802C03" w:rsidRDefault="001C7C52" w:rsidP="00E70736">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Both sets of correlations are estimated using of two years of historical equity returns data. Such an estimation may seem straightforward as the underlying equity data can be easily obtained. Nevertheless, multiple issues have to be dealt with. First of all, the number of equity return observations must be high enough to estimate a positive definite correlation matrix, otherwise the required Cholesky decomposition matrix cannot be computed.</w:t>
      </w:r>
      <w:r w:rsidRPr="00802C03">
        <w:rPr>
          <w:rStyle w:val="FootnoteReference"/>
          <w:rFonts w:ascii="Garamond" w:hAnsi="Garamond"/>
          <w:lang w:val="en-GB"/>
        </w:rPr>
        <w:footnoteReference w:id="53"/>
      </w:r>
      <w:r w:rsidRPr="00802C03">
        <w:rPr>
          <w:rFonts w:ascii="Garamond" w:hAnsi="Garamond"/>
          <w:lang w:val="en-GB"/>
        </w:rPr>
        <w:t xml:space="preserve"> The second issue is that the correlation estimates need to be as reliable as possible.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These issues may seem easily resolved by taking a large number of equity returns observation for each issuer, yet another issue arises here. Namely, what is the return frequency that should be applied? The year and monthly frequency clearly provide too few observations in a two-year estimation period.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argue that 190 return observations should be taken into account in the process. Moreover, they propose a weekly return frequency. Then, if weekly correlations are considered, the assumption must be made that weekly equity correlations reflect actual underlying issuer asset correlations. The weekly return frequency provides enough observations in a 2 year horizon (approximately 100 observations). This is substantially less than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argue that is required, but enlarging the estimation period may result in correlations that do not reflect the current market conditions anymore. One should not be willing to allow this to happen, since the correlation issues that have emerged in the credit crisis emphasis that capturing the current market environment is of crucial importance in the assessment of (correlation) risk in a portfolio.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The selection of the proper frequency is subject to another problem. Estimation based on a yearly, monthly, weekly or daily returns yield different correlations estimates, making the reliability of the estimates doubtful. Theory implies that correlation based on different return frequencies should be equal (at least on average), as (linear) risk factors should affect returns all the time and not only at the end of the month or end of the year. Such a periodical aspect in a risk factor takes away the risk from the risk factor since it become predictable. The actual reason behind the observed phenomenon probably lies in the unstable, noisy, time-varying, non-linear and/or indirect nature of the relations between issuers.</w:t>
      </w:r>
      <w:r w:rsidRPr="00802C03">
        <w:rPr>
          <w:rStyle w:val="FootnoteReference"/>
          <w:rFonts w:ascii="Garamond" w:hAnsi="Garamond"/>
          <w:lang w:val="en-GB"/>
        </w:rPr>
        <w:footnoteReference w:id="54"/>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To select an underlying return frequency that may suffer the least from this somewhat irresolvable problem, issuer correlation matrices are estimated for both the two-year periods, based on the following returns frequencies: daily, weekly, two weeks, three weeks and monthly. Using these matrices, the average correlations are calculated for both two-year periods. Subsequently, the average correlation matrix of each period is compared to the matrices with the different underlying frequencies. For both periods, the computed average correlation matrix is most similar to the correlation matrix based on the weekly frequency. One could interpret this information as evidence that the weekly correlation matrix is the most representative correlation matrix of those of the considered frequencies for both sample periods, and therefore it may be most reliable. This criterion may not be particularly strong, yet a frequency must be selected, while an extensive assessment of correlations at different frequencies is beyond the scope of this study. The selection of the weekly frequency is to some extent confirmed by the literature as well, as the weekly frequency is often applied in relevant studies (e.g. </w:t>
      </w:r>
      <w:hyperlink w:anchor="Gupton_et_al_1997" w:history="1">
        <w:r w:rsidRPr="00802C03">
          <w:rPr>
            <w:rStyle w:val="Hyperlink"/>
            <w:rFonts w:ascii="Garamond" w:hAnsi="Garamond"/>
            <w:color w:val="000066"/>
            <w:u w:val="none"/>
            <w:lang w:val="en-GB"/>
          </w:rPr>
          <w:t>Gupton et al., 1997</w:t>
        </w:r>
      </w:hyperlink>
      <w:r w:rsidRPr="00802C03">
        <w:rPr>
          <w:rFonts w:ascii="Garamond" w:hAnsi="Garamond"/>
          <w:lang w:val="en-GB"/>
        </w:rPr>
        <w:t xml:space="preserve">; </w:t>
      </w:r>
      <w:hyperlink w:anchor="Zeng_Zhang_2001" w:history="1">
        <w:r w:rsidRPr="00802C03">
          <w:rPr>
            <w:rStyle w:val="Hyperlink"/>
            <w:rFonts w:ascii="Garamond" w:hAnsi="Garamond"/>
            <w:color w:val="000066"/>
            <w:u w:val="none"/>
            <w:lang w:val="en-GB"/>
          </w:rPr>
          <w:t>Zeng &amp; Zhang, 2001</w:t>
        </w:r>
      </w:hyperlink>
      <w:r w:rsidRPr="00802C03">
        <w:rPr>
          <w:rFonts w:ascii="Garamond" w:hAnsi="Garamond"/>
          <w:lang w:val="en-GB"/>
        </w:rPr>
        <w:t xml:space="preserve">). Consequently, the issuer equity correlations that will be employed in the model estimations in </w:t>
      </w:r>
      <w:hyperlink w:anchor="S310" w:history="1">
        <w:r w:rsidRPr="00802C03">
          <w:rPr>
            <w:rStyle w:val="Hyperlink"/>
            <w:rFonts w:ascii="Garamond" w:hAnsi="Garamond"/>
            <w:color w:val="000066"/>
            <w:u w:val="none"/>
            <w:lang w:val="en-GB"/>
          </w:rPr>
          <w:t>Part III</w:t>
        </w:r>
      </w:hyperlink>
      <w:r w:rsidRPr="00802C03">
        <w:rPr>
          <w:rFonts w:ascii="Garamond" w:hAnsi="Garamond"/>
          <w:lang w:val="en-GB"/>
        </w:rPr>
        <w:t xml:space="preserve"> are based on weekly equity returns.</w:t>
      </w:r>
    </w:p>
    <w:p w:rsidR="001C7C52" w:rsidRPr="00802C03" w:rsidRDefault="001C7C52" w:rsidP="00E70736">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In addition to the issuer asset correlations, the issuer autocorrelations must be estimated as well. To calibrate the model to display observed issuer autocorrelation correctly, actual autocorrelations have to be obtained. More specifically, </w:t>
      </w:r>
      <w:r w:rsidRPr="00100BDF">
        <w:rPr>
          <w:rFonts w:ascii="Garamond" w:hAnsi="Garamond"/>
          <w:position w:val="-10"/>
          <w:lang w:val="en-GB"/>
        </w:rPr>
        <w:object w:dxaOrig="1200" w:dyaOrig="300">
          <v:shape id="_x0000_i1707" type="#_x0000_t75" style="width:60pt;height:15pt" o:ole="">
            <v:imagedata r:id="rId1269" o:title=""/>
          </v:shape>
          <o:OLEObject Type="Embed" ProgID="Equation.DSMT4" ShapeID="_x0000_i1707" DrawAspect="Content" ObjectID="_1324894190" r:id="rId1270"/>
        </w:object>
      </w:r>
      <w:r w:rsidRPr="00802C03">
        <w:rPr>
          <w:rFonts w:ascii="Garamond" w:hAnsi="Garamond"/>
          <w:lang w:val="en-GB"/>
        </w:rPr>
        <w:t xml:space="preserve"> for </w:t>
      </w:r>
      <w:r w:rsidRPr="00100BDF">
        <w:rPr>
          <w:rFonts w:ascii="Garamond" w:hAnsi="Garamond"/>
          <w:position w:val="-8"/>
          <w:lang w:val="en-GB"/>
        </w:rPr>
        <w:object w:dxaOrig="960" w:dyaOrig="260">
          <v:shape id="_x0000_i1708" type="#_x0000_t75" style="width:48pt;height:13.5pt" o:ole="">
            <v:imagedata r:id="rId1271" o:title=""/>
          </v:shape>
          <o:OLEObject Type="Embed" ProgID="Equation.DSMT4" ShapeID="_x0000_i1708" DrawAspect="Content" ObjectID="_1324894191" r:id="rId1272"/>
        </w:object>
      </w:r>
      <w:r w:rsidRPr="00802C03">
        <w:rPr>
          <w:rFonts w:ascii="Garamond" w:hAnsi="Garamond"/>
          <w:lang w:val="en-GB"/>
        </w:rPr>
        <w:t xml:space="preserve"> has to be estimated from historical equity data (</w:t>
      </w:r>
      <w:r w:rsidRPr="00100BDF">
        <w:rPr>
          <w:rFonts w:ascii="Garamond" w:hAnsi="Garamond"/>
          <w:position w:val="-6"/>
          <w:lang w:val="en-GB"/>
        </w:rPr>
        <w:object w:dxaOrig="180" w:dyaOrig="200">
          <v:shape id="_x0000_i1709" type="#_x0000_t75" style="width:9pt;height:9.75pt" o:ole="">
            <v:imagedata r:id="rId1273" o:title=""/>
          </v:shape>
          <o:OLEObject Type="Embed" ProgID="Equation.DSMT4" ShapeID="_x0000_i1709" DrawAspect="Content" ObjectID="_1324894192" r:id="rId1274"/>
        </w:object>
      </w:r>
      <w:r w:rsidRPr="00802C03">
        <w:rPr>
          <w:rFonts w:ascii="Garamond" w:hAnsi="Garamond"/>
          <w:lang w:val="en-GB"/>
        </w:rPr>
        <w:t xml:space="preserve"> is still the number of positions in the portfolio).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Herein, the underlying return frequency of the equity autocorrelations should be as close as possible to the length of one period in the proposed incremental risk model (three months). In the estimation process of autocorrelations, equivalent arguments essentially apply as those that were set forth in the issuer equity/asset correlation case. For autocorrelations, however, it may be more important to select a frequency that is close to the one that is used in the simulation model. Observed autocorrelations may be weaker for longer horizons and besides, autocorrelation coefficients for different frequencies are directly related as the shorter horizons constitute the longer ones. Another difference is that no positive definite correlation matrix required, since only one correlation coefficient is used separately for each issuer in the simulation model. Still, a sufficient number of returns observations is required to ensure that reliable coefficients can be estimated.</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Due to the fact that the quarterly return frequency yields too few observations, the monthly frequency is selected. For the two periods of two year, this frequency still generates a too small number of observations. Therefore, the two periods are joined together. Thus, only one autocorrelation coefficient per issuer is estimated which is based on both periods. Theory may imply that autocorrelation coefficients change during times of financial turmoil, but such an effect is much less evident than it is for issuer correlations. In that sense, the length of the frequency and number of observations are of much greater importance. Consequently, the estimation of autocorrelation coefficients is based on the monthly return frequency and the entire four-year period. The average of the autocorrelation coefficients of the 70 issuers that constitute the portfolios is only 0.04, with a standard deviation of 0.17 and a maximum and minimum of 0.33 and -0.33, respectively.</w:t>
      </w:r>
    </w:p>
    <w:p w:rsidR="001C7C52" w:rsidRPr="00802C03" w:rsidRDefault="001C7C52" w:rsidP="00E70736">
      <w:pPr>
        <w:spacing w:line="160" w:lineRule="exact"/>
        <w:jc w:val="both"/>
        <w:rPr>
          <w:rFonts w:ascii="Garamond" w:hAnsi="Garamond"/>
          <w:lang w:val="en-GB"/>
        </w:rPr>
      </w:pP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last few details on the estimated equity correlations are that the equity returns are computed as logarithmic returns, which is consistent with the way the issuer asset returns and issuer autocorrelation coefficients are treated in the correlation structure of the proposed incremental risk model. Lastly, the required equity data for all issuers in the portfolios were obtained from Thomson Datastream. </w:t>
      </w:r>
    </w:p>
    <w:p w:rsidR="001C7C52" w:rsidRPr="00802C03" w:rsidRDefault="001C7C52" w:rsidP="00AB3324">
      <w:pPr>
        <w:spacing w:line="280" w:lineRule="exact"/>
        <w:jc w:val="both"/>
        <w:rPr>
          <w:rFonts w:ascii="Garamond" w:hAnsi="Garamond"/>
          <w:lang w:val="en-GB"/>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2.2.2</w:t>
      </w:r>
      <w:r w:rsidRPr="00802C03">
        <w:rPr>
          <w:rFonts w:ascii="Garamond" w:hAnsi="Garamond"/>
          <w:b/>
          <w:lang w:val="en-GB"/>
        </w:rPr>
        <w:tab/>
      </w:r>
      <w:bookmarkStart w:id="57" w:name="S222"/>
      <w:bookmarkEnd w:id="57"/>
      <w:r w:rsidRPr="00802C03">
        <w:rPr>
          <w:rFonts w:ascii="Garamond" w:hAnsi="Garamond"/>
          <w:b/>
          <w:lang w:val="en-GB"/>
        </w:rPr>
        <w:t>Asset Correlation based on Default Rates</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second approach that is considered is the estimation of asset correlations based on default rates. The intuition behind this approach is very simple. If default implies that the asset value of the issuer has dropped below the value of its debt, then when the probability of two issuers jointly defaulting and individually defaulting is known, their asset correlation can be estimated. The link between the joint default probability of two issuers and the implied issuer asset correlation can be mathematically approached. </w:t>
      </w:r>
    </w:p>
    <w:p w:rsidR="001C7C52" w:rsidRPr="00802C03" w:rsidRDefault="001C7C52" w:rsidP="00697F4D">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Consider issuer </w:t>
      </w:r>
      <w:r w:rsidRPr="00100BDF">
        <w:rPr>
          <w:rFonts w:ascii="Garamond" w:hAnsi="Garamond" w:cs="NimbusRomNo9L-Regu"/>
          <w:position w:val="-6"/>
          <w:lang w:val="en-GB" w:eastAsia="nl-NL"/>
        </w:rPr>
        <w:object w:dxaOrig="139" w:dyaOrig="240">
          <v:shape id="_x0000_i1710" type="#_x0000_t75" style="width:6.75pt;height:12pt" o:ole="">
            <v:imagedata r:id="rId1275" o:title=""/>
          </v:shape>
          <o:OLEObject Type="Embed" ProgID="Equation.DSMT4" ShapeID="_x0000_i1710" DrawAspect="Content" ObjectID="_1324894193" r:id="rId1276"/>
        </w:object>
      </w:r>
      <w:r w:rsidRPr="00802C03">
        <w:rPr>
          <w:rFonts w:ascii="Garamond" w:hAnsi="Garamond" w:cs="NimbusRomNo9L-Regu"/>
          <w:lang w:val="en-GB" w:eastAsia="nl-NL"/>
        </w:rPr>
        <w:t xml:space="preserve"> and issuer </w:t>
      </w:r>
      <w:r w:rsidRPr="00100BDF">
        <w:rPr>
          <w:rFonts w:ascii="Garamond" w:hAnsi="Garamond" w:cs="NimbusRomNo9L-Regu"/>
          <w:position w:val="-10"/>
          <w:lang w:val="en-GB" w:eastAsia="nl-NL"/>
        </w:rPr>
        <w:object w:dxaOrig="180" w:dyaOrig="279">
          <v:shape id="_x0000_i1711" type="#_x0000_t75" style="width:9pt;height:13.5pt" o:ole="">
            <v:imagedata r:id="rId1277" o:title=""/>
          </v:shape>
          <o:OLEObject Type="Embed" ProgID="Equation.DSMT4" ShapeID="_x0000_i1711" DrawAspect="Content" ObjectID="_1324894194" r:id="rId1278"/>
        </w:object>
      </w:r>
      <w:r w:rsidRPr="00802C03">
        <w:rPr>
          <w:rFonts w:ascii="Garamond" w:hAnsi="Garamond" w:cs="NimbusRomNo9L-Regu"/>
          <w:lang w:val="en-GB" w:eastAsia="nl-NL"/>
        </w:rPr>
        <w:t xml:space="preserve"> with default probabilities </w:t>
      </w:r>
      <w:r w:rsidRPr="00100BDF">
        <w:rPr>
          <w:rFonts w:ascii="Garamond" w:hAnsi="Garamond" w:cs="NimbusRomNo9L-Regu"/>
          <w:position w:val="-10"/>
          <w:lang w:val="en-GB" w:eastAsia="nl-NL"/>
        </w:rPr>
        <w:object w:dxaOrig="340" w:dyaOrig="300">
          <v:shape id="_x0000_i1712" type="#_x0000_t75" style="width:16.5pt;height:15pt" o:ole="">
            <v:imagedata r:id="rId1279" o:title=""/>
          </v:shape>
          <o:OLEObject Type="Embed" ProgID="Equation.DSMT4" ShapeID="_x0000_i1712" DrawAspect="Content" ObjectID="_1324894195" r:id="rId128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60" w:dyaOrig="300">
          <v:shape id="_x0000_i1713" type="#_x0000_t75" style="width:18pt;height:15pt" o:ole="">
            <v:imagedata r:id="rId1281" o:title=""/>
          </v:shape>
          <o:OLEObject Type="Embed" ProgID="Equation.DSMT4" ShapeID="_x0000_i1713" DrawAspect="Content" ObjectID="_1324894196" r:id="rId1282"/>
        </w:object>
      </w:r>
      <w:r w:rsidRPr="00802C03">
        <w:rPr>
          <w:rFonts w:ascii="Garamond" w:hAnsi="Garamond" w:cs="NimbusRomNo9L-Regu"/>
          <w:lang w:val="en-GB" w:eastAsia="nl-NL"/>
        </w:rPr>
        <w:t xml:space="preserve">, respectively, and a joint default probability denoted as </w:t>
      </w:r>
      <w:r w:rsidRPr="00100BDF">
        <w:rPr>
          <w:rFonts w:ascii="Garamond" w:hAnsi="Garamond" w:cs="NimbusRomNo9L-Regu"/>
          <w:position w:val="-10"/>
          <w:lang w:val="en-GB" w:eastAsia="nl-NL"/>
        </w:rPr>
        <w:object w:dxaOrig="380" w:dyaOrig="300">
          <v:shape id="_x0000_i1714" type="#_x0000_t75" style="width:18.75pt;height:15pt" o:ole="">
            <v:imagedata r:id="rId1283" o:title=""/>
          </v:shape>
          <o:OLEObject Type="Embed" ProgID="Equation.DSMT4" ShapeID="_x0000_i1714" DrawAspect="Content" ObjectID="_1324894197" r:id="rId1284"/>
        </w:object>
      </w:r>
      <w:r w:rsidRPr="00802C03">
        <w:rPr>
          <w:rFonts w:ascii="Garamond" w:hAnsi="Garamond" w:cs="NimbusRomNo9L-Regu"/>
          <w:lang w:val="en-GB" w:eastAsia="nl-NL"/>
        </w:rPr>
        <w:t xml:space="preserve">, all with respect to the same time horizon. Furthermore, let </w:t>
      </w:r>
      <w:r w:rsidRPr="00100BDF">
        <w:rPr>
          <w:rFonts w:ascii="Garamond" w:hAnsi="Garamond" w:cs="NimbusRomNo9L-Regu"/>
          <w:position w:val="-8"/>
          <w:lang w:val="en-GB" w:eastAsia="nl-NL"/>
        </w:rPr>
        <w:object w:dxaOrig="200" w:dyaOrig="279">
          <v:shape id="_x0000_i1715" type="#_x0000_t75" style="width:9.75pt;height:13.5pt" o:ole="">
            <v:imagedata r:id="rId1285" o:title=""/>
          </v:shape>
          <o:OLEObject Type="Embed" ProgID="Equation.DSMT4" ShapeID="_x0000_i1715" DrawAspect="Content" ObjectID="_1324894198" r:id="rId128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220" w:dyaOrig="300">
          <v:shape id="_x0000_i1716" type="#_x0000_t75" style="width:11.25pt;height:15pt" o:ole="">
            <v:imagedata r:id="rId1287" o:title=""/>
          </v:shape>
          <o:OLEObject Type="Embed" ProgID="Equation.DSMT4" ShapeID="_x0000_i1716" DrawAspect="Content" ObjectID="_1324894199" r:id="rId1288"/>
        </w:object>
      </w:r>
      <w:r w:rsidRPr="00802C03">
        <w:rPr>
          <w:rFonts w:ascii="Garamond" w:hAnsi="Garamond" w:cs="NimbusRomNo9L-Regu"/>
          <w:lang w:val="en-GB" w:eastAsia="nl-NL"/>
        </w:rPr>
        <w:t xml:space="preserve"> denote the asset values of issuer </w:t>
      </w:r>
      <w:r w:rsidRPr="00100BDF">
        <w:rPr>
          <w:rFonts w:ascii="Garamond" w:hAnsi="Garamond" w:cs="NimbusRomNo9L-Regu"/>
          <w:position w:val="-6"/>
          <w:lang w:val="en-GB" w:eastAsia="nl-NL"/>
        </w:rPr>
        <w:object w:dxaOrig="139" w:dyaOrig="240">
          <v:shape id="_x0000_i1717" type="#_x0000_t75" style="width:6.75pt;height:12pt" o:ole="">
            <v:imagedata r:id="rId1289" o:title=""/>
          </v:shape>
          <o:OLEObject Type="Embed" ProgID="Equation.DSMT4" ShapeID="_x0000_i1717" DrawAspect="Content" ObjectID="_1324894200" r:id="rId1290"/>
        </w:object>
      </w:r>
      <w:r w:rsidRPr="00802C03">
        <w:rPr>
          <w:rFonts w:ascii="Garamond" w:hAnsi="Garamond" w:cs="NimbusRomNo9L-Regu"/>
          <w:lang w:val="en-GB" w:eastAsia="nl-NL"/>
        </w:rPr>
        <w:t xml:space="preserve"> and issuer </w:t>
      </w:r>
      <w:r w:rsidRPr="00100BDF">
        <w:rPr>
          <w:rFonts w:ascii="Garamond" w:hAnsi="Garamond" w:cs="NimbusRomNo9L-Regu"/>
          <w:position w:val="-10"/>
          <w:lang w:val="en-GB" w:eastAsia="nl-NL"/>
        </w:rPr>
        <w:object w:dxaOrig="180" w:dyaOrig="279">
          <v:shape id="_x0000_i1718" type="#_x0000_t75" style="width:9pt;height:13.5pt" o:ole="">
            <v:imagedata r:id="rId1291" o:title=""/>
          </v:shape>
          <o:OLEObject Type="Embed" ProgID="Equation.DSMT4" ShapeID="_x0000_i1718" DrawAspect="Content" ObjectID="_1324894201" r:id="rId1292"/>
        </w:object>
      </w:r>
      <w:r w:rsidRPr="00802C03">
        <w:rPr>
          <w:rFonts w:ascii="Garamond" w:hAnsi="Garamond" w:cs="NimbusRomNo9L-Regu"/>
          <w:lang w:val="en-GB" w:eastAsia="nl-NL"/>
        </w:rPr>
        <w:t xml:space="preserve"> and let </w:t>
      </w:r>
      <w:r w:rsidRPr="00100BDF">
        <w:rPr>
          <w:rFonts w:ascii="Garamond" w:hAnsi="Garamond" w:cs="NimbusRomNo9L-Regu"/>
          <w:position w:val="-10"/>
          <w:lang w:val="en-GB" w:eastAsia="nl-NL"/>
        </w:rPr>
        <w:object w:dxaOrig="340" w:dyaOrig="300">
          <v:shape id="_x0000_i1719" type="#_x0000_t75" style="width:16.5pt;height:15pt" o:ole="">
            <v:imagedata r:id="rId1293" o:title=""/>
          </v:shape>
          <o:OLEObject Type="Embed" ProgID="Equation.DSMT4" ShapeID="_x0000_i1719" DrawAspect="Content" ObjectID="_1324894202" r:id="rId129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60" w:dyaOrig="300">
          <v:shape id="_x0000_i1720" type="#_x0000_t75" style="width:18pt;height:15pt" o:ole="">
            <v:imagedata r:id="rId1295" o:title=""/>
          </v:shape>
          <o:OLEObject Type="Embed" ProgID="Equation.DSMT4" ShapeID="_x0000_i1720" DrawAspect="Content" ObjectID="_1324894203" r:id="rId1296"/>
        </w:object>
      </w:r>
      <w:r w:rsidRPr="00802C03">
        <w:rPr>
          <w:rFonts w:ascii="Garamond" w:hAnsi="Garamond" w:cs="NimbusRomNo9L-Regu"/>
          <w:lang w:val="en-GB" w:eastAsia="nl-NL"/>
        </w:rPr>
        <w:t xml:space="preserve"> be the default thresholds of issuer </w:t>
      </w:r>
      <w:r w:rsidRPr="00100BDF">
        <w:rPr>
          <w:rFonts w:ascii="Garamond" w:hAnsi="Garamond" w:cs="NimbusRomNo9L-Regu"/>
          <w:position w:val="-6"/>
          <w:lang w:val="en-GB" w:eastAsia="nl-NL"/>
        </w:rPr>
        <w:object w:dxaOrig="139" w:dyaOrig="240">
          <v:shape id="_x0000_i1721" type="#_x0000_t75" style="width:6.75pt;height:12pt" o:ole="">
            <v:imagedata r:id="rId1297" o:title=""/>
          </v:shape>
          <o:OLEObject Type="Embed" ProgID="Equation.DSMT4" ShapeID="_x0000_i1721" DrawAspect="Content" ObjectID="_1324894204" r:id="rId129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80" w:dyaOrig="279">
          <v:shape id="_x0000_i1722" type="#_x0000_t75" style="width:9pt;height:13.5pt" o:ole="">
            <v:imagedata r:id="rId1299" o:title=""/>
          </v:shape>
          <o:OLEObject Type="Embed" ProgID="Equation.DSMT4" ShapeID="_x0000_i1722" DrawAspect="Content" ObjectID="_1324894205" r:id="rId1300"/>
        </w:object>
      </w:r>
      <w:r w:rsidRPr="00802C03">
        <w:rPr>
          <w:rFonts w:ascii="Garamond" w:hAnsi="Garamond" w:cs="NimbusRomNo9L-Regu"/>
          <w:lang w:val="en-GB" w:eastAsia="nl-NL"/>
        </w:rPr>
        <w:t xml:space="preserve"> that specify the asset value at which issuer </w:t>
      </w:r>
      <w:r w:rsidRPr="00100BDF">
        <w:rPr>
          <w:rFonts w:ascii="Garamond" w:hAnsi="Garamond" w:cs="NimbusRomNo9L-Regu"/>
          <w:position w:val="-6"/>
          <w:lang w:val="en-GB" w:eastAsia="nl-NL"/>
        </w:rPr>
        <w:object w:dxaOrig="139" w:dyaOrig="240">
          <v:shape id="_x0000_i1723" type="#_x0000_t75" style="width:6.75pt;height:12pt" o:ole="">
            <v:imagedata r:id="rId1301" o:title=""/>
          </v:shape>
          <o:OLEObject Type="Embed" ProgID="Equation.DSMT4" ShapeID="_x0000_i1723" DrawAspect="Content" ObjectID="_1324894206" r:id="rId1302"/>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80" w:dyaOrig="279">
          <v:shape id="_x0000_i1724" type="#_x0000_t75" style="width:9pt;height:13.5pt" o:ole="">
            <v:imagedata r:id="rId1303" o:title=""/>
          </v:shape>
          <o:OLEObject Type="Embed" ProgID="Equation.DSMT4" ShapeID="_x0000_i1724" DrawAspect="Content" ObjectID="_1324894207" r:id="rId1304"/>
        </w:object>
      </w:r>
      <w:r w:rsidRPr="00802C03">
        <w:rPr>
          <w:rFonts w:ascii="Garamond" w:hAnsi="Garamond" w:cs="NimbusRomNo9L-Regu"/>
          <w:lang w:val="en-GB" w:eastAsia="nl-NL"/>
        </w:rPr>
        <w:t xml:space="preserve"> default. Hence, the joint default probability can be written as:</w:t>
      </w:r>
    </w:p>
    <w:p w:rsidR="001C7C52" w:rsidRPr="00802C03" w:rsidRDefault="001C7C52" w:rsidP="00697F4D">
      <w:pPr>
        <w:tabs>
          <w:tab w:val="left" w:pos="567"/>
          <w:tab w:val="left" w:pos="8505"/>
        </w:tabs>
        <w:spacing w:before="80" w:after="120" w:line="320" w:lineRule="atLeas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2299" w:dyaOrig="300">
          <v:shape id="_x0000_i1725" type="#_x0000_t75" style="width:114.75pt;height:15pt" o:ole="">
            <v:imagedata r:id="rId1305" o:title=""/>
          </v:shape>
          <o:OLEObject Type="Embed" ProgID="Equation.DSMT4" ShapeID="_x0000_i1725" DrawAspect="Content" ObjectID="_1324894208" r:id="rId1306"/>
        </w:object>
      </w:r>
      <w:r w:rsidRPr="00802C03">
        <w:rPr>
          <w:rFonts w:ascii="Garamond" w:hAnsi="Garamond" w:cs="NimbusRomNo9L-Regu"/>
          <w:lang w:val="en-GB" w:eastAsia="nl-NL"/>
        </w:rPr>
        <w:t>.</w:t>
      </w:r>
      <w:r w:rsidRPr="00802C03">
        <w:rPr>
          <w:rFonts w:ascii="Garamond" w:hAnsi="Garamond" w:cs="NimbusRomNo9L-Regu"/>
          <w:lang w:val="en-GB" w:eastAsia="nl-NL"/>
        </w:rPr>
        <w:tab/>
        <w:t>(2.12)</w:t>
      </w:r>
      <w:r w:rsidRPr="00802C03">
        <w:rPr>
          <w:rFonts w:ascii="Garamond" w:hAnsi="Garamond" w:cs="NimbusRomNo9L-Regu"/>
          <w:lang w:val="en-GB" w:eastAsia="nl-NL"/>
        </w:rPr>
        <w:tab/>
      </w:r>
    </w:p>
    <w:p w:rsidR="001C7C52" w:rsidRPr="00802C03" w:rsidRDefault="001C7C52" w:rsidP="00697F4D">
      <w:pPr>
        <w:spacing w:line="280" w:lineRule="exact"/>
        <w:jc w:val="both"/>
        <w:rPr>
          <w:rFonts w:ascii="Garamond" w:hAnsi="Garamond" w:cs="NimbusRomNo9L-Regu"/>
          <w:lang w:val="en-GB" w:eastAsia="nl-NL"/>
        </w:rPr>
      </w:pPr>
      <w:r w:rsidRPr="00802C03">
        <w:rPr>
          <w:rFonts w:ascii="Garamond" w:hAnsi="Garamond" w:cs="NimbusRomNo9L-Regu"/>
          <w:lang w:val="en-GB" w:eastAsia="nl-NL"/>
        </w:rPr>
        <w:t>Applying this notation, the linear default correlation coefficient can be written as (</w:t>
      </w:r>
      <w:hyperlink w:anchor="Lucas_1995" w:history="1">
        <w:r w:rsidRPr="00802C03">
          <w:rPr>
            <w:rStyle w:val="Hyperlink"/>
            <w:rFonts w:ascii="Garamond" w:hAnsi="Garamond" w:cs="NimbusRomNo9L-Regu"/>
            <w:color w:val="000066"/>
            <w:u w:val="none"/>
            <w:lang w:val="en-GB" w:eastAsia="nl-NL"/>
          </w:rPr>
          <w:t>Lucas, 1995</w:t>
        </w:r>
      </w:hyperlink>
      <w:r w:rsidRPr="00802C03">
        <w:rPr>
          <w:rFonts w:ascii="Garamond" w:hAnsi="Garamond" w:cs="NimbusRomNo9L-Regu"/>
          <w:lang w:val="en-GB" w:eastAsia="nl-NL"/>
        </w:rPr>
        <w:t>):</w:t>
      </w:r>
    </w:p>
    <w:p w:rsidR="001C7C52" w:rsidRPr="00802C03" w:rsidRDefault="001C7C52" w:rsidP="00697F4D">
      <w:pPr>
        <w:tabs>
          <w:tab w:val="left" w:pos="567"/>
          <w:tab w:val="left" w:pos="8505"/>
        </w:tabs>
        <w:spacing w:before="100" w:after="120" w:line="320" w:lineRule="atLeast"/>
        <w:ind w:firstLine="567"/>
        <w:jc w:val="both"/>
        <w:rPr>
          <w:rFonts w:ascii="Garamond" w:hAnsi="Garamond" w:cs="NimbusRomNo9L-Regu"/>
          <w:lang w:val="en-GB" w:eastAsia="nl-NL"/>
        </w:rPr>
      </w:pPr>
      <w:r w:rsidRPr="005E2D6F">
        <w:rPr>
          <w:rFonts w:ascii="Garamond" w:hAnsi="Garamond" w:cs="NimbusRomNo9L-Regu"/>
          <w:position w:val="-30"/>
          <w:lang w:val="en-GB" w:eastAsia="nl-NL"/>
        </w:rPr>
        <w:object w:dxaOrig="2760" w:dyaOrig="639">
          <v:shape id="_x0000_i1726" type="#_x0000_t75" style="width:136.5pt;height:32.25pt" o:ole="">
            <v:imagedata r:id="rId1307" o:title=""/>
          </v:shape>
          <o:OLEObject Type="Embed" ProgID="Equation.DSMT4" ShapeID="_x0000_i1726" DrawAspect="Content" ObjectID="_1324894209" r:id="rId1308"/>
        </w:object>
      </w:r>
      <w:r w:rsidRPr="00802C03">
        <w:rPr>
          <w:rFonts w:ascii="Garamond" w:hAnsi="Garamond" w:cs="NimbusRomNo9L-Regu"/>
          <w:lang w:val="en-GB" w:eastAsia="nl-NL"/>
        </w:rPr>
        <w:t>.</w:t>
      </w:r>
      <w:bookmarkStart w:id="58" w:name="E2N13"/>
      <w:bookmarkEnd w:id="58"/>
      <w:r w:rsidRPr="00802C03">
        <w:rPr>
          <w:rFonts w:ascii="Garamond" w:hAnsi="Garamond" w:cs="NimbusRomNo9L-Regu"/>
          <w:lang w:val="en-GB" w:eastAsia="nl-NL"/>
        </w:rPr>
        <w:tab/>
        <w:t>(2.13)</w:t>
      </w:r>
    </w:p>
    <w:p w:rsidR="001C7C52" w:rsidRPr="00802C03" w:rsidRDefault="001C7C52" w:rsidP="00697F4D">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Herein, it is assumed that asset values follow a multivariate normal distribution. Hence, </w:t>
      </w:r>
      <w:r w:rsidRPr="00100BDF">
        <w:rPr>
          <w:rFonts w:ascii="Garamond" w:hAnsi="Garamond" w:cs="NimbusRomNo9L-Regu"/>
          <w:position w:val="-10"/>
          <w:lang w:val="en-GB" w:eastAsia="nl-NL"/>
        </w:rPr>
        <w:object w:dxaOrig="620" w:dyaOrig="300">
          <v:shape id="_x0000_i1727" type="#_x0000_t75" style="width:31.5pt;height:15pt" o:ole="">
            <v:imagedata r:id="rId1309" o:title=""/>
          </v:shape>
          <o:OLEObject Type="Embed" ProgID="Equation.DSMT4" ShapeID="_x0000_i1727" DrawAspect="Content" ObjectID="_1324894210" r:id="rId1310"/>
        </w:object>
      </w:r>
      <w:r w:rsidRPr="00802C03">
        <w:rPr>
          <w:rFonts w:ascii="Garamond" w:hAnsi="Garamond" w:cs="NimbusRomNo9L-Regu"/>
          <w:lang w:val="en-GB" w:eastAsia="nl-NL"/>
        </w:rPr>
        <w:t xml:space="preserve"> is bivariate normal. Let </w:t>
      </w:r>
      <w:r w:rsidRPr="00100BDF">
        <w:rPr>
          <w:rFonts w:ascii="Garamond" w:hAnsi="Garamond" w:cs="NimbusRomNo9L-Regu"/>
          <w:position w:val="-10"/>
          <w:lang w:val="en-GB" w:eastAsia="nl-NL"/>
        </w:rPr>
        <w:object w:dxaOrig="260" w:dyaOrig="300">
          <v:shape id="_x0000_i1728" type="#_x0000_t75" style="width:13.5pt;height:15pt" o:ole="">
            <v:imagedata r:id="rId1311" o:title=""/>
          </v:shape>
          <o:OLEObject Type="Embed" ProgID="Equation.DSMT4" ShapeID="_x0000_i1728" DrawAspect="Content" ObjectID="_1324894211" r:id="rId1312"/>
        </w:object>
      </w:r>
      <w:r w:rsidRPr="00802C03">
        <w:rPr>
          <w:rFonts w:ascii="Garamond" w:hAnsi="Garamond" w:cs="NimbusRomNo9L-Regu"/>
          <w:lang w:val="en-GB" w:eastAsia="nl-NL"/>
        </w:rPr>
        <w:t xml:space="preserve"> denote the issuer asset correlation between asset values </w:t>
      </w:r>
      <w:r w:rsidRPr="00100BDF">
        <w:rPr>
          <w:rFonts w:ascii="Garamond" w:hAnsi="Garamond" w:cs="NimbusRomNo9L-Regu"/>
          <w:position w:val="-8"/>
          <w:lang w:val="en-GB" w:eastAsia="nl-NL"/>
        </w:rPr>
        <w:object w:dxaOrig="200" w:dyaOrig="279">
          <v:shape id="_x0000_i1729" type="#_x0000_t75" style="width:9.75pt;height:13.5pt" o:ole="">
            <v:imagedata r:id="rId1313" o:title=""/>
          </v:shape>
          <o:OLEObject Type="Embed" ProgID="Equation.DSMT4" ShapeID="_x0000_i1729" DrawAspect="Content" ObjectID="_1324894212" r:id="rId131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220" w:dyaOrig="300">
          <v:shape id="_x0000_i1730" type="#_x0000_t75" style="width:11.25pt;height:15pt" o:ole="">
            <v:imagedata r:id="rId1315" o:title=""/>
          </v:shape>
          <o:OLEObject Type="Embed" ProgID="Equation.DSMT4" ShapeID="_x0000_i1730" DrawAspect="Content" ObjectID="_1324894213" r:id="rId1316"/>
        </w:object>
      </w:r>
      <w:r w:rsidRPr="00802C03">
        <w:rPr>
          <w:rFonts w:ascii="Garamond" w:hAnsi="Garamond" w:cs="NimbusRomNo9L-Regu"/>
          <w:lang w:val="en-GB" w:eastAsia="nl-NL"/>
        </w:rPr>
        <w:t xml:space="preserve">. Then when </w:t>
      </w:r>
      <w:r w:rsidRPr="00100BDF">
        <w:rPr>
          <w:rFonts w:ascii="Garamond" w:hAnsi="Garamond" w:cs="NimbusRomNo9L-Regu"/>
          <w:position w:val="-12"/>
          <w:lang w:val="en-GB" w:eastAsia="nl-NL"/>
        </w:rPr>
        <w:object w:dxaOrig="680" w:dyaOrig="320">
          <v:shape id="_x0000_i1731" type="#_x0000_t75" style="width:33.75pt;height:15.75pt" o:ole="">
            <v:imagedata r:id="rId1317" o:title=""/>
          </v:shape>
          <o:OLEObject Type="Embed" ProgID="Equation.DSMT4" ShapeID="_x0000_i1731" DrawAspect="Content" ObjectID="_1324894214" r:id="rId1318"/>
        </w:object>
      </w:r>
      <w:r w:rsidRPr="00802C03">
        <w:rPr>
          <w:rFonts w:ascii="Garamond" w:hAnsi="Garamond" w:cs="NimbusRomNo9L-Regu"/>
          <w:lang w:val="en-GB" w:eastAsia="nl-NL"/>
        </w:rPr>
        <w:t xml:space="preserve"> is the standard normal density function, the joint default probability of issuer </w:t>
      </w:r>
      <w:r w:rsidRPr="00100BDF">
        <w:rPr>
          <w:rFonts w:ascii="Garamond" w:hAnsi="Garamond" w:cs="NimbusRomNo9L-Regu"/>
          <w:position w:val="-6"/>
          <w:lang w:val="en-GB" w:eastAsia="nl-NL"/>
        </w:rPr>
        <w:object w:dxaOrig="139" w:dyaOrig="240">
          <v:shape id="_x0000_i1732" type="#_x0000_t75" style="width:6.75pt;height:12pt" o:ole="">
            <v:imagedata r:id="rId1319" o:title=""/>
          </v:shape>
          <o:OLEObject Type="Embed" ProgID="Equation.DSMT4" ShapeID="_x0000_i1732" DrawAspect="Content" ObjectID="_1324894215" r:id="rId132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80" w:dyaOrig="279">
          <v:shape id="_x0000_i1733" type="#_x0000_t75" style="width:9pt;height:13.5pt" o:ole="">
            <v:imagedata r:id="rId1321" o:title=""/>
          </v:shape>
          <o:OLEObject Type="Embed" ProgID="Equation.DSMT4" ShapeID="_x0000_i1733" DrawAspect="Content" ObjectID="_1324894216" r:id="rId1322"/>
        </w:object>
      </w:r>
      <w:r w:rsidRPr="00802C03">
        <w:rPr>
          <w:rFonts w:ascii="Garamond" w:hAnsi="Garamond" w:cs="NimbusRomNo9L-Regu"/>
          <w:lang w:val="en-GB" w:eastAsia="nl-NL"/>
        </w:rPr>
        <w:t xml:space="preserve"> can be defined as:</w:t>
      </w:r>
    </w:p>
    <w:p w:rsidR="001C7C52" w:rsidRPr="00802C03" w:rsidRDefault="001C7C52" w:rsidP="00697F4D">
      <w:pPr>
        <w:tabs>
          <w:tab w:val="left" w:pos="567"/>
          <w:tab w:val="left" w:pos="8505"/>
        </w:tabs>
        <w:spacing w:before="100" w:after="140" w:line="276" w:lineRule="auto"/>
        <w:ind w:firstLine="567"/>
        <w:jc w:val="both"/>
        <w:rPr>
          <w:rFonts w:ascii="Garamond" w:hAnsi="Garamond" w:cs="NimbusRomNo9L-Regu"/>
          <w:lang w:val="en-GB" w:eastAsia="nl-NL"/>
        </w:rPr>
      </w:pPr>
      <w:r w:rsidRPr="005E2D6F">
        <w:rPr>
          <w:rFonts w:ascii="Garamond" w:hAnsi="Garamond" w:cs="NimbusRomNo9L-Regu"/>
          <w:position w:val="-24"/>
          <w:lang w:val="en-GB" w:eastAsia="nl-NL"/>
        </w:rPr>
        <w:object w:dxaOrig="2100" w:dyaOrig="600">
          <v:shape id="_x0000_i1734" type="#_x0000_t75" style="width:105pt;height:30pt" o:ole="">
            <v:imagedata r:id="rId1323" o:title=""/>
          </v:shape>
          <o:OLEObject Type="Embed" ProgID="Equation.DSMT4" ShapeID="_x0000_i1734" DrawAspect="Content" ObjectID="_1324894217" r:id="rId1324"/>
        </w:object>
      </w:r>
      <w:r w:rsidRPr="00802C03">
        <w:rPr>
          <w:rFonts w:ascii="Garamond" w:hAnsi="Garamond" w:cs="NimbusRomNo9L-Regu"/>
          <w:lang w:val="en-GB" w:eastAsia="nl-NL"/>
        </w:rPr>
        <w:t>.</w:t>
      </w:r>
      <w:r w:rsidRPr="00802C03">
        <w:rPr>
          <w:rFonts w:ascii="Garamond" w:hAnsi="Garamond" w:cs="NimbusRomNo9L-Regu"/>
          <w:lang w:val="en-GB" w:eastAsia="nl-NL"/>
        </w:rPr>
        <w:tab/>
        <w:t>(2.14)</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The application of the bivariate Gaussian copula ensures that this equation can be expressed as:</w:t>
      </w:r>
    </w:p>
    <w:p w:rsidR="001C7C52" w:rsidRPr="00802C03" w:rsidRDefault="001C7C52" w:rsidP="00A714EC">
      <w:pPr>
        <w:tabs>
          <w:tab w:val="left" w:pos="567"/>
          <w:tab w:val="left" w:pos="8505"/>
        </w:tabs>
        <w:spacing w:before="120" w:after="140" w:line="320" w:lineRule="atLeast"/>
        <w:ind w:firstLine="567"/>
        <w:jc w:val="both"/>
        <w:rPr>
          <w:rFonts w:ascii="Garamond" w:hAnsi="Garamond" w:cs="NimbusRomNo9L-Regu"/>
          <w:lang w:val="en-GB" w:eastAsia="nl-NL"/>
        </w:rPr>
      </w:pPr>
      <w:r w:rsidRPr="005E2D6F">
        <w:rPr>
          <w:rFonts w:ascii="Garamond" w:hAnsi="Garamond" w:cs="NimbusRomNo9L-Regu"/>
          <w:position w:val="-30"/>
          <w:lang w:val="en-GB" w:eastAsia="nl-NL"/>
        </w:rPr>
        <w:object w:dxaOrig="4140" w:dyaOrig="680">
          <v:shape id="_x0000_i1735" type="#_x0000_t75" style="width:207pt;height:33.75pt" o:ole="">
            <v:imagedata r:id="rId1325" o:title=""/>
          </v:shape>
          <o:OLEObject Type="Embed" ProgID="Equation.DSMT4" ShapeID="_x0000_i1735" DrawAspect="Content" ObjectID="_1324894218" r:id="rId1326"/>
        </w:object>
      </w:r>
      <w:r w:rsidRPr="00802C03">
        <w:rPr>
          <w:rFonts w:ascii="Garamond" w:hAnsi="Garamond" w:cs="NimbusRomNo9L-Regu"/>
          <w:lang w:val="en-GB" w:eastAsia="nl-NL"/>
        </w:rPr>
        <w:t>.</w:t>
      </w:r>
      <w:r w:rsidRPr="00802C03">
        <w:rPr>
          <w:rFonts w:ascii="Garamond" w:hAnsi="Garamond" w:cs="NimbusRomNo9L-Regu"/>
          <w:lang w:val="en-GB" w:eastAsia="nl-NL"/>
        </w:rPr>
        <w:tab/>
        <w:t>(2.15)</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Consequently, a relatively direct link between the asset values of two issuers is established under the Gaussian assumption. Note that this is not very different from the </w:t>
      </w:r>
      <w:r w:rsidRPr="00802C03">
        <w:rPr>
          <w:rFonts w:ascii="Garamond" w:hAnsi="Garamond" w:cs="NimbusRomNo9L-Regu"/>
          <w:i/>
          <w:lang w:val="en-GB" w:eastAsia="nl-NL"/>
        </w:rPr>
        <w:t>Z</w:t>
      </w:r>
      <w:r w:rsidRPr="00802C03">
        <w:rPr>
          <w:rFonts w:ascii="Garamond" w:hAnsi="Garamond" w:cs="NimbusRomNo9L-Regu"/>
          <w:lang w:val="en-GB" w:eastAsia="nl-NL"/>
        </w:rPr>
        <w:t xml:space="preserve">-value methodology that was applied in </w:t>
      </w:r>
      <w:hyperlink w:anchor="S122" w:history="1">
        <w:r w:rsidRPr="00802C03">
          <w:rPr>
            <w:rStyle w:val="Hyperlink"/>
            <w:rFonts w:ascii="Garamond" w:hAnsi="Garamond" w:cs="NimbusRomNo9L-Regu"/>
            <w:color w:val="000066"/>
            <w:u w:val="none"/>
            <w:lang w:val="en-GB" w:eastAsia="nl-NL"/>
          </w:rPr>
          <w:t>Part I section 1.2.2</w:t>
        </w:r>
      </w:hyperlink>
      <w:r w:rsidRPr="00802C03">
        <w:rPr>
          <w:rFonts w:ascii="Garamond" w:hAnsi="Garamond" w:cs="NimbusRomNo9L-Regu"/>
          <w:lang w:val="en-GB" w:eastAsia="nl-NL"/>
        </w:rPr>
        <w:t xml:space="preserve"> and the Gaussian copula that links the </w:t>
      </w:r>
      <w:r w:rsidRPr="00802C03">
        <w:rPr>
          <w:rFonts w:ascii="Garamond" w:hAnsi="Garamond" w:cs="NimbusRomNo9L-Regu"/>
          <w:i/>
          <w:lang w:val="en-GB" w:eastAsia="nl-NL"/>
        </w:rPr>
        <w:t>Z</w:t>
      </w:r>
      <w:r w:rsidRPr="00802C03">
        <w:rPr>
          <w:rFonts w:ascii="Garamond" w:hAnsi="Garamond" w:cs="NimbusRomNo9L-Regu"/>
          <w:lang w:val="en-GB" w:eastAsia="nl-NL"/>
        </w:rPr>
        <w:t xml:space="preserve">-values of two issuers. Only in this case the link is established through the </w:t>
      </w:r>
      <w:r w:rsidRPr="00802C03">
        <w:rPr>
          <w:rFonts w:ascii="Garamond" w:hAnsi="Garamond" w:cs="NimbusRomNo9L-Regu"/>
          <w:i/>
          <w:lang w:val="en-GB" w:eastAsia="nl-NL"/>
        </w:rPr>
        <w:t>Z</w:t>
      </w:r>
      <w:r w:rsidRPr="00802C03">
        <w:rPr>
          <w:rFonts w:ascii="Garamond" w:hAnsi="Garamond" w:cs="NimbusRomNo9L-Regu"/>
          <w:lang w:val="en-GB" w:eastAsia="nl-NL"/>
        </w:rPr>
        <w:t>-value of default only. The above specification is not really something new in the context of what has already been addressed in this study. Nevertheless, the joint default probability (</w:t>
      </w:r>
      <w:r w:rsidRPr="00100BDF">
        <w:rPr>
          <w:rFonts w:ascii="Garamond" w:hAnsi="Garamond" w:cs="NimbusRomNo9L-Regu"/>
          <w:position w:val="-10"/>
          <w:lang w:val="en-GB" w:eastAsia="nl-NL"/>
        </w:rPr>
        <w:object w:dxaOrig="380" w:dyaOrig="300">
          <v:shape id="_x0000_i1736" type="#_x0000_t75" style="width:18.75pt;height:15pt" o:ole="">
            <v:imagedata r:id="rId1327" o:title=""/>
          </v:shape>
          <o:OLEObject Type="Embed" ProgID="Equation.DSMT4" ShapeID="_x0000_i1736" DrawAspect="Content" ObjectID="_1324894219" r:id="rId1328"/>
        </w:object>
      </w:r>
      <w:r w:rsidRPr="00802C03">
        <w:rPr>
          <w:rFonts w:ascii="Garamond" w:hAnsi="Garamond" w:cs="NimbusRomNo9L-Regu"/>
          <w:lang w:val="en-GB" w:eastAsia="nl-NL"/>
        </w:rPr>
        <w:t>) is a required input in the equation. As a consequence, the essence of this issuer asset correlation estimation methodology is the estimation of the joint default probability (</w:t>
      </w:r>
      <w:r w:rsidRPr="00100BDF">
        <w:rPr>
          <w:rFonts w:ascii="Garamond" w:hAnsi="Garamond" w:cs="NimbusRomNo9L-Regu"/>
          <w:position w:val="-10"/>
          <w:lang w:val="en-GB" w:eastAsia="nl-NL"/>
        </w:rPr>
        <w:object w:dxaOrig="380" w:dyaOrig="300">
          <v:shape id="_x0000_i1737" type="#_x0000_t75" style="width:18.75pt;height:15pt" o:ole="">
            <v:imagedata r:id="rId1329" o:title=""/>
          </v:shape>
          <o:OLEObject Type="Embed" ProgID="Equation.DSMT4" ShapeID="_x0000_i1737" DrawAspect="Content" ObjectID="_1324894220" r:id="rId1330"/>
        </w:object>
      </w:r>
      <w:r w:rsidRPr="00802C03">
        <w:rPr>
          <w:rFonts w:ascii="Garamond" w:hAnsi="Garamond" w:cs="NimbusRomNo9L-Regu"/>
          <w:lang w:val="en-GB" w:eastAsia="nl-NL"/>
        </w:rPr>
        <w:t>).</w:t>
      </w:r>
    </w:p>
    <w:p w:rsidR="001C7C52" w:rsidRPr="00802C03" w:rsidRDefault="001C7C52" w:rsidP="00E632BF">
      <w:pPr>
        <w:spacing w:line="160" w:lineRule="exact"/>
        <w:jc w:val="both"/>
        <w:rPr>
          <w:rFonts w:ascii="Garamond" w:hAnsi="Garamond" w:cs="NimbusRomNo9L-Regu"/>
          <w:lang w:val="en-GB" w:eastAsia="nl-NL"/>
        </w:rPr>
      </w:pP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estimation of the joint default probability relies in the cohort default probability estimator. In this, the horizon that is considered for the correlation estimates must be specified, since the total sample period is divided into cohorts with the length equal to that particular horizon. Within each cohort the default rate of issuers belonging to group </w:t>
      </w:r>
      <w:r w:rsidRPr="00100BDF">
        <w:rPr>
          <w:rFonts w:ascii="Garamond" w:hAnsi="Garamond" w:cs="NimbusRomNo9L-Regu"/>
          <w:position w:val="-6"/>
          <w:lang w:val="en-GB" w:eastAsia="nl-NL"/>
        </w:rPr>
        <w:object w:dxaOrig="139" w:dyaOrig="240">
          <v:shape id="_x0000_i1738" type="#_x0000_t75" style="width:6.75pt;height:12pt" o:ole="">
            <v:imagedata r:id="rId1331" o:title=""/>
          </v:shape>
          <o:OLEObject Type="Embed" ProgID="Equation.DSMT4" ShapeID="_x0000_i1738" DrawAspect="Content" ObjectID="_1324894221" r:id="rId1332"/>
        </w:object>
      </w:r>
      <w:r w:rsidRPr="00802C03">
        <w:rPr>
          <w:rFonts w:ascii="Garamond" w:hAnsi="Garamond" w:cs="NimbusRomNo9L-Regu"/>
          <w:lang w:val="en-GB" w:eastAsia="nl-NL"/>
        </w:rPr>
        <w:t xml:space="preserve"> is consistently estimated as:</w:t>
      </w:r>
    </w:p>
    <w:p w:rsidR="001C7C52" w:rsidRPr="00802C03" w:rsidRDefault="001C7C52" w:rsidP="00E5145A">
      <w:pPr>
        <w:tabs>
          <w:tab w:val="left" w:pos="567"/>
          <w:tab w:val="left" w:pos="8505"/>
        </w:tabs>
        <w:spacing w:before="80" w:line="320" w:lineRule="atLeast"/>
        <w:ind w:firstLine="567"/>
        <w:jc w:val="both"/>
        <w:rPr>
          <w:rFonts w:ascii="Garamond" w:hAnsi="Garamond" w:cs="NimbusRomNo9L-Regu"/>
          <w:lang w:val="en-GB" w:eastAsia="nl-NL"/>
        </w:rPr>
      </w:pPr>
      <w:r w:rsidRPr="005E2D6F">
        <w:rPr>
          <w:rFonts w:ascii="Garamond" w:hAnsi="Garamond" w:cs="NimbusRomNo9L-Regu"/>
          <w:position w:val="-26"/>
          <w:lang w:val="en-GB" w:eastAsia="nl-NL"/>
        </w:rPr>
        <w:object w:dxaOrig="1020" w:dyaOrig="600">
          <v:shape id="_x0000_i1739" type="#_x0000_t75" style="width:50.25pt;height:30pt" o:ole="">
            <v:imagedata r:id="rId1333" o:title=""/>
          </v:shape>
          <o:OLEObject Type="Embed" ProgID="Equation.DSMT4" ShapeID="_x0000_i1739" DrawAspect="Content" ObjectID="_1324894222" r:id="rId1334"/>
        </w:object>
      </w:r>
      <w:r w:rsidRPr="00802C03">
        <w:rPr>
          <w:rFonts w:ascii="Garamond" w:hAnsi="Garamond" w:cs="NimbusRomNo9L-Regu"/>
          <w:lang w:val="en-GB" w:eastAsia="nl-NL"/>
        </w:rPr>
        <w:t>,</w:t>
      </w:r>
      <w:r w:rsidRPr="00802C03">
        <w:rPr>
          <w:rFonts w:ascii="Garamond" w:hAnsi="Garamond" w:cs="NimbusRomNo9L-Regu"/>
          <w:lang w:val="en-GB" w:eastAsia="nl-NL"/>
        </w:rPr>
        <w:tab/>
        <w:t>(2.16)</w:t>
      </w:r>
    </w:p>
    <w:p w:rsidR="001C7C52" w:rsidRPr="00802C03" w:rsidRDefault="001C7C52" w:rsidP="00604772">
      <w:pPr>
        <w:spacing w:before="80" w:after="12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480" w:dyaOrig="300">
          <v:shape id="_x0000_i1740" type="#_x0000_t75" style="width:24pt;height:15pt" o:ole="">
            <v:imagedata r:id="rId1335" o:title=""/>
          </v:shape>
          <o:OLEObject Type="Embed" ProgID="Equation.DSMT4" ShapeID="_x0000_i1740" DrawAspect="Content" ObjectID="_1324894223" r:id="rId1336"/>
        </w:object>
      </w:r>
      <w:r w:rsidRPr="00802C03">
        <w:rPr>
          <w:rFonts w:ascii="Garamond" w:hAnsi="Garamond" w:cs="NimbusRomNo9L-Regu"/>
          <w:lang w:val="en-GB" w:eastAsia="nl-NL"/>
        </w:rPr>
        <w:t xml:space="preserve"> is the number of defaulted issuers in group </w:t>
      </w:r>
      <w:r w:rsidRPr="00100BDF">
        <w:rPr>
          <w:rFonts w:ascii="Garamond" w:hAnsi="Garamond" w:cs="NimbusRomNo9L-Regu"/>
          <w:position w:val="-6"/>
          <w:lang w:val="en-GB" w:eastAsia="nl-NL"/>
        </w:rPr>
        <w:object w:dxaOrig="139" w:dyaOrig="240">
          <v:shape id="_x0000_i1741" type="#_x0000_t75" style="width:6.75pt;height:12pt" o:ole="">
            <v:imagedata r:id="rId1337" o:title=""/>
          </v:shape>
          <o:OLEObject Type="Embed" ProgID="Equation.DSMT4" ShapeID="_x0000_i1741" DrawAspect="Content" ObjectID="_1324894224" r:id="rId1338"/>
        </w:object>
      </w:r>
      <w:r w:rsidRPr="00802C03">
        <w:rPr>
          <w:rFonts w:ascii="Garamond" w:hAnsi="Garamond" w:cs="NimbusRomNo9L-Regu"/>
          <w:lang w:val="en-GB" w:eastAsia="nl-NL"/>
        </w:rPr>
        <w:t xml:space="preserve"> during horizon </w:t>
      </w:r>
      <w:r w:rsidRPr="00100BDF">
        <w:rPr>
          <w:rFonts w:ascii="Garamond" w:hAnsi="Garamond" w:cs="NimbusRomNo9L-Regu"/>
          <w:position w:val="-6"/>
          <w:lang w:val="en-GB" w:eastAsia="nl-NL"/>
        </w:rPr>
        <w:object w:dxaOrig="139" w:dyaOrig="220">
          <v:shape id="_x0000_i1742" type="#_x0000_t75" style="width:6.75pt;height:11.25pt" o:ole="">
            <v:imagedata r:id="rId1339" o:title=""/>
          </v:shape>
          <o:OLEObject Type="Embed" ProgID="Equation.DSMT4" ShapeID="_x0000_i1742" DrawAspect="Content" ObjectID="_1324894225" r:id="rId134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80" w:dyaOrig="300">
          <v:shape id="_x0000_i1743" type="#_x0000_t75" style="width:24pt;height:15pt" o:ole="">
            <v:imagedata r:id="rId1341" o:title=""/>
          </v:shape>
          <o:OLEObject Type="Embed" ProgID="Equation.DSMT4" ShapeID="_x0000_i1743" DrawAspect="Content" ObjectID="_1324894226" r:id="rId1342"/>
        </w:object>
      </w:r>
      <w:r w:rsidRPr="00802C03">
        <w:rPr>
          <w:rFonts w:ascii="Garamond" w:hAnsi="Garamond" w:cs="NimbusRomNo9L-Regu"/>
          <w:lang w:val="en-GB" w:eastAsia="nl-NL"/>
        </w:rPr>
        <w:t xml:space="preserve"> is defined as the total number of issuers in group </w:t>
      </w:r>
      <w:r w:rsidRPr="00100BDF">
        <w:rPr>
          <w:rFonts w:ascii="Garamond" w:hAnsi="Garamond" w:cs="NimbusRomNo9L-Regu"/>
          <w:position w:val="-6"/>
          <w:lang w:val="en-GB" w:eastAsia="nl-NL"/>
        </w:rPr>
        <w:object w:dxaOrig="139" w:dyaOrig="240">
          <v:shape id="_x0000_i1744" type="#_x0000_t75" style="width:6.75pt;height:12pt" o:ole="">
            <v:imagedata r:id="rId1343" o:title=""/>
          </v:shape>
          <o:OLEObject Type="Embed" ProgID="Equation.DSMT4" ShapeID="_x0000_i1744" DrawAspect="Content" ObjectID="_1324894227" r:id="rId1344"/>
        </w:object>
      </w:r>
      <w:r w:rsidRPr="00802C03">
        <w:rPr>
          <w:rFonts w:ascii="Garamond" w:hAnsi="Garamond" w:cs="NimbusRomNo9L-Regu"/>
          <w:lang w:val="en-GB" w:eastAsia="nl-NL"/>
        </w:rPr>
        <w:t xml:space="preserve"> during horizon </w:t>
      </w:r>
      <w:r w:rsidRPr="00100BDF">
        <w:rPr>
          <w:rFonts w:ascii="Garamond" w:hAnsi="Garamond" w:cs="NimbusRomNo9L-Regu"/>
          <w:position w:val="-6"/>
          <w:lang w:val="en-GB" w:eastAsia="nl-NL"/>
        </w:rPr>
        <w:object w:dxaOrig="139" w:dyaOrig="220">
          <v:shape id="_x0000_i1745" type="#_x0000_t75" style="width:6.75pt;height:11.25pt" o:ole="">
            <v:imagedata r:id="rId1345" o:title=""/>
          </v:shape>
          <o:OLEObject Type="Embed" ProgID="Equation.DSMT4" ShapeID="_x0000_i1745" DrawAspect="Content" ObjectID="_1324894228" r:id="rId1346"/>
        </w:object>
      </w:r>
      <w:r w:rsidRPr="00802C03">
        <w:rPr>
          <w:rFonts w:ascii="Garamond" w:hAnsi="Garamond" w:cs="NimbusRomNo9L-Regu"/>
          <w:lang w:val="en-GB" w:eastAsia="nl-NL"/>
        </w:rPr>
        <w:t>.</w:t>
      </w:r>
      <w:r w:rsidRPr="00802C03">
        <w:rPr>
          <w:rStyle w:val="FootnoteReference"/>
          <w:rFonts w:ascii="Garamond" w:hAnsi="Garamond" w:cs="NimbusRomNo9L-Regu"/>
          <w:lang w:val="en-GB" w:eastAsia="nl-NL"/>
        </w:rPr>
        <w:footnoteReference w:id="55"/>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Employing the expression of the group specific default rate, the joint default probability of issuers in group </w:t>
      </w:r>
      <w:r w:rsidRPr="00100BDF">
        <w:rPr>
          <w:rFonts w:ascii="Garamond" w:hAnsi="Garamond" w:cs="NimbusRomNo9L-Regu"/>
          <w:position w:val="-6"/>
          <w:lang w:val="en-GB" w:eastAsia="nl-NL"/>
        </w:rPr>
        <w:object w:dxaOrig="139" w:dyaOrig="240">
          <v:shape id="_x0000_i1750" type="#_x0000_t75" style="width:6.75pt;height:12pt" o:ole="">
            <v:imagedata r:id="rId1347" o:title=""/>
          </v:shape>
          <o:OLEObject Type="Embed" ProgID="Equation.DSMT4" ShapeID="_x0000_i1750" DrawAspect="Content" ObjectID="_1324894229" r:id="rId1348"/>
        </w:object>
      </w:r>
      <w:r w:rsidRPr="00802C03">
        <w:rPr>
          <w:rFonts w:ascii="Garamond" w:hAnsi="Garamond" w:cs="NimbusRomNo9L-Regu"/>
          <w:lang w:val="en-GB" w:eastAsia="nl-NL"/>
        </w:rPr>
        <w:t xml:space="preserve"> and group </w:t>
      </w:r>
      <w:r w:rsidRPr="00100BDF">
        <w:rPr>
          <w:rFonts w:ascii="Garamond" w:hAnsi="Garamond" w:cs="NimbusRomNo9L-Regu"/>
          <w:position w:val="-10"/>
          <w:lang w:val="en-GB" w:eastAsia="nl-NL"/>
        </w:rPr>
        <w:object w:dxaOrig="180" w:dyaOrig="279">
          <v:shape id="_x0000_i1751" type="#_x0000_t75" style="width:9pt;height:13.5pt" o:ole="">
            <v:imagedata r:id="rId1349" o:title=""/>
          </v:shape>
          <o:OLEObject Type="Embed" ProgID="Equation.DSMT4" ShapeID="_x0000_i1751" DrawAspect="Content" ObjectID="_1324894230" r:id="rId1350"/>
        </w:object>
      </w:r>
      <w:r w:rsidRPr="00802C03">
        <w:rPr>
          <w:rFonts w:ascii="Garamond" w:hAnsi="Garamond" w:cs="NimbusRomNo9L-Regu"/>
          <w:lang w:val="en-GB" w:eastAsia="nl-NL"/>
        </w:rPr>
        <w:t xml:space="preserve"> is defined as:</w:t>
      </w:r>
    </w:p>
    <w:p w:rsidR="001C7C52" w:rsidRPr="00802C03" w:rsidRDefault="001C7C52" w:rsidP="00604772">
      <w:pPr>
        <w:tabs>
          <w:tab w:val="left" w:pos="567"/>
          <w:tab w:val="left" w:pos="8505"/>
        </w:tabs>
        <w:spacing w:before="120" w:after="100" w:line="320" w:lineRule="atLeast"/>
        <w:ind w:firstLine="567"/>
        <w:jc w:val="both"/>
        <w:rPr>
          <w:rFonts w:ascii="Garamond" w:hAnsi="Garamond" w:cs="NimbusRomNo9L-Regu"/>
          <w:lang w:val="en-GB" w:eastAsia="nl-NL"/>
        </w:rPr>
      </w:pPr>
      <w:r w:rsidRPr="005E2D6F">
        <w:rPr>
          <w:rFonts w:ascii="Garamond" w:hAnsi="Garamond" w:cs="NimbusRomNo9L-Regu"/>
          <w:position w:val="-26"/>
          <w:lang w:val="en-GB" w:eastAsia="nl-NL"/>
        </w:rPr>
        <w:object w:dxaOrig="1500" w:dyaOrig="600">
          <v:shape id="_x0000_i1752" type="#_x0000_t75" style="width:75pt;height:30pt" o:ole="">
            <v:imagedata r:id="rId1351" o:title=""/>
          </v:shape>
          <o:OLEObject Type="Embed" ProgID="Equation.DSMT4" ShapeID="_x0000_i1752" DrawAspect="Content" ObjectID="_1324894231" r:id="rId1352"/>
        </w:object>
      </w:r>
      <w:r w:rsidRPr="00802C03">
        <w:rPr>
          <w:rFonts w:ascii="Garamond" w:hAnsi="Garamond" w:cs="NimbusRomNo9L-Regu"/>
          <w:lang w:val="en-GB" w:eastAsia="nl-NL"/>
        </w:rPr>
        <w:t>.</w:t>
      </w:r>
      <w:bookmarkStart w:id="59" w:name="E2N17"/>
      <w:bookmarkEnd w:id="59"/>
      <w:r w:rsidRPr="00802C03">
        <w:rPr>
          <w:rFonts w:ascii="Garamond" w:hAnsi="Garamond" w:cs="NimbusRomNo9L-Regu"/>
          <w:lang w:val="en-GB" w:eastAsia="nl-NL"/>
        </w:rPr>
        <w:tab/>
        <w:t>(2.17)</w:t>
      </w:r>
    </w:p>
    <w:p w:rsidR="001C7C52" w:rsidRPr="00802C03" w:rsidRDefault="001C7C52" w:rsidP="00697F4D">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this equation, </w:t>
      </w:r>
      <w:r w:rsidRPr="00100BDF">
        <w:rPr>
          <w:rFonts w:ascii="Garamond" w:hAnsi="Garamond" w:cs="NimbusRomNo9L-Regu"/>
          <w:position w:val="-10"/>
          <w:lang w:val="en-GB" w:eastAsia="nl-NL"/>
        </w:rPr>
        <w:object w:dxaOrig="380" w:dyaOrig="300">
          <v:shape id="_x0000_i1753" type="#_x0000_t75" style="width:18.75pt;height:15pt" o:ole="">
            <v:imagedata r:id="rId1353" o:title=""/>
          </v:shape>
          <o:OLEObject Type="Embed" ProgID="Equation.DSMT4" ShapeID="_x0000_i1753" DrawAspect="Content" ObjectID="_1324894232" r:id="rId1354"/>
        </w:object>
      </w:r>
      <w:r w:rsidRPr="00802C03">
        <w:rPr>
          <w:rFonts w:ascii="Garamond" w:hAnsi="Garamond" w:cs="NimbusRomNo9L-Regu"/>
          <w:lang w:val="en-GB" w:eastAsia="nl-NL"/>
        </w:rPr>
        <w:t xml:space="preserve"> is defined as the probability that an issuer in group </w:t>
      </w:r>
      <w:r w:rsidRPr="00100BDF">
        <w:rPr>
          <w:rFonts w:ascii="Garamond" w:hAnsi="Garamond" w:cs="NimbusRomNo9L-Regu"/>
          <w:position w:val="-6"/>
          <w:lang w:val="en-GB" w:eastAsia="nl-NL"/>
        </w:rPr>
        <w:object w:dxaOrig="139" w:dyaOrig="240">
          <v:shape id="_x0000_i1754" type="#_x0000_t75" style="width:6.75pt;height:12pt" o:ole="">
            <v:imagedata r:id="rId1355" o:title=""/>
          </v:shape>
          <o:OLEObject Type="Embed" ProgID="Equation.DSMT4" ShapeID="_x0000_i1754" DrawAspect="Content" ObjectID="_1324894233" r:id="rId1356"/>
        </w:object>
      </w:r>
      <w:r w:rsidRPr="00802C03">
        <w:rPr>
          <w:rFonts w:ascii="Garamond" w:hAnsi="Garamond" w:cs="NimbusRomNo9L-Regu"/>
          <w:lang w:val="en-GB" w:eastAsia="nl-NL"/>
        </w:rPr>
        <w:t xml:space="preserve"> and another issuer in group </w:t>
      </w:r>
      <w:r w:rsidRPr="00100BDF">
        <w:rPr>
          <w:rFonts w:ascii="Garamond" w:hAnsi="Garamond" w:cs="NimbusRomNo9L-Regu"/>
          <w:position w:val="-10"/>
          <w:lang w:val="en-GB" w:eastAsia="nl-NL"/>
        </w:rPr>
        <w:object w:dxaOrig="180" w:dyaOrig="279">
          <v:shape id="_x0000_i1755" type="#_x0000_t75" style="width:9pt;height:13.5pt" o:ole="">
            <v:imagedata r:id="rId1357" o:title=""/>
          </v:shape>
          <o:OLEObject Type="Embed" ProgID="Equation.DSMT4" ShapeID="_x0000_i1755" DrawAspect="Content" ObjectID="_1324894234" r:id="rId1358"/>
        </w:object>
      </w:r>
      <w:r w:rsidRPr="00802C03">
        <w:rPr>
          <w:rFonts w:ascii="Garamond" w:hAnsi="Garamond" w:cs="NimbusRomNo9L-Regu"/>
          <w:lang w:val="en-GB" w:eastAsia="nl-NL"/>
        </w:rPr>
        <w:t xml:space="preserve"> jointly default during horizon </w:t>
      </w:r>
      <w:r w:rsidRPr="00100BDF">
        <w:rPr>
          <w:rFonts w:ascii="Garamond" w:hAnsi="Garamond" w:cs="NimbusRomNo9L-Regu"/>
          <w:position w:val="-6"/>
          <w:lang w:val="en-GB" w:eastAsia="nl-NL"/>
        </w:rPr>
        <w:object w:dxaOrig="139" w:dyaOrig="220">
          <v:shape id="_x0000_i1756" type="#_x0000_t75" style="width:6.75pt;height:11.25pt" o:ole="">
            <v:imagedata r:id="rId1359" o:title=""/>
          </v:shape>
          <o:OLEObject Type="Embed" ProgID="Equation.DSMT4" ShapeID="_x0000_i1756" DrawAspect="Content" ObjectID="_1324894235" r:id="rId1360"/>
        </w:object>
      </w:r>
      <w:r w:rsidRPr="00802C03">
        <w:rPr>
          <w:rFonts w:ascii="Garamond" w:hAnsi="Garamond" w:cs="NimbusRomNo9L-Regu"/>
          <w:lang w:val="en-GB" w:eastAsia="nl-NL"/>
        </w:rPr>
        <w:t xml:space="preserve">. When </w:t>
      </w:r>
      <w:r w:rsidRPr="00100BDF">
        <w:rPr>
          <w:rFonts w:ascii="Garamond" w:hAnsi="Garamond" w:cs="NimbusRomNo9L-Regu"/>
          <w:position w:val="-10"/>
          <w:lang w:val="en-GB" w:eastAsia="nl-NL"/>
        </w:rPr>
        <w:object w:dxaOrig="440" w:dyaOrig="279">
          <v:shape id="_x0000_i1757" type="#_x0000_t75" style="width:21.75pt;height:13.5pt" o:ole="">
            <v:imagedata r:id="rId1361" o:title=""/>
          </v:shape>
          <o:OLEObject Type="Embed" ProgID="Equation.DSMT4" ShapeID="_x0000_i1757" DrawAspect="Content" ObjectID="_1324894236" r:id="rId1362"/>
        </w:object>
      </w:r>
      <w:r w:rsidRPr="00802C03">
        <w:rPr>
          <w:rFonts w:ascii="Garamond" w:hAnsi="Garamond" w:cs="NimbusRomNo9L-Regu"/>
          <w:lang w:val="en-GB" w:eastAsia="nl-NL"/>
        </w:rPr>
        <w:t xml:space="preserve"> then </w:t>
      </w:r>
      <w:r w:rsidRPr="00100BDF">
        <w:rPr>
          <w:rFonts w:ascii="Garamond" w:hAnsi="Garamond" w:cs="NimbusRomNo9L-Regu"/>
          <w:position w:val="-10"/>
          <w:lang w:val="en-GB" w:eastAsia="nl-NL"/>
        </w:rPr>
        <w:object w:dxaOrig="380" w:dyaOrig="300">
          <v:shape id="_x0000_i1758" type="#_x0000_t75" style="width:18.75pt;height:15pt" o:ole="">
            <v:imagedata r:id="rId1363" o:title=""/>
          </v:shape>
          <o:OLEObject Type="Embed" ProgID="Equation.DSMT4" ShapeID="_x0000_i1758" DrawAspect="Content" ObjectID="_1324894237" r:id="rId1364"/>
        </w:object>
      </w:r>
      <w:r w:rsidRPr="00802C03">
        <w:rPr>
          <w:rFonts w:ascii="Garamond" w:hAnsi="Garamond" w:cs="NimbusRomNo9L-Regu"/>
          <w:lang w:val="en-GB" w:eastAsia="nl-NL"/>
        </w:rPr>
        <w:t xml:space="preserve"> is the intra-group joint default probability and when </w:t>
      </w:r>
      <w:r w:rsidRPr="00100BDF">
        <w:rPr>
          <w:rFonts w:ascii="Garamond" w:hAnsi="Garamond" w:cs="NimbusRomNo9L-Regu"/>
          <w:position w:val="-10"/>
          <w:lang w:val="en-GB" w:eastAsia="nl-NL"/>
        </w:rPr>
        <w:object w:dxaOrig="440" w:dyaOrig="279">
          <v:shape id="_x0000_i1759" type="#_x0000_t75" style="width:21.75pt;height:13.5pt" o:ole="">
            <v:imagedata r:id="rId1365" o:title=""/>
          </v:shape>
          <o:OLEObject Type="Embed" ProgID="Equation.DSMT4" ShapeID="_x0000_i1759" DrawAspect="Content" ObjectID="_1324894238" r:id="rId1366"/>
        </w:object>
      </w:r>
      <w:r w:rsidRPr="00802C03">
        <w:rPr>
          <w:rFonts w:ascii="Garamond" w:hAnsi="Garamond" w:cs="NimbusRomNo9L-Regu"/>
          <w:lang w:val="en-GB" w:eastAsia="nl-NL"/>
        </w:rPr>
        <w:t xml:space="preserve"> then </w:t>
      </w:r>
      <w:r w:rsidRPr="00100BDF">
        <w:rPr>
          <w:rFonts w:ascii="Garamond" w:hAnsi="Garamond" w:cs="NimbusRomNo9L-Regu"/>
          <w:position w:val="-10"/>
          <w:lang w:val="en-GB" w:eastAsia="nl-NL"/>
        </w:rPr>
        <w:object w:dxaOrig="380" w:dyaOrig="300">
          <v:shape id="_x0000_i1760" type="#_x0000_t75" style="width:18.75pt;height:15pt" o:ole="">
            <v:imagedata r:id="rId1367" o:title=""/>
          </v:shape>
          <o:OLEObject Type="Embed" ProgID="Equation.DSMT4" ShapeID="_x0000_i1760" DrawAspect="Content" ObjectID="_1324894239" r:id="rId1368"/>
        </w:object>
      </w:r>
      <w:r w:rsidRPr="00802C03">
        <w:rPr>
          <w:rFonts w:ascii="Garamond" w:hAnsi="Garamond" w:cs="NimbusRomNo9L-Regu"/>
          <w:lang w:val="en-GB" w:eastAsia="nl-NL"/>
        </w:rPr>
        <w:t xml:space="preserve"> is the inter-group joint default probability.</w:t>
      </w:r>
    </w:p>
    <w:p w:rsidR="001C7C52" w:rsidRPr="00802C03" w:rsidRDefault="001C7C52" w:rsidP="00697F4D">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Similar to the cohort approach for credit rating matrices, following </w:t>
      </w:r>
      <w:hyperlink w:anchor="DeServigny_Renault_2003" w:history="1">
        <w:r w:rsidRPr="00802C03">
          <w:rPr>
            <w:rStyle w:val="Hyperlink"/>
            <w:rFonts w:ascii="Garamond" w:hAnsi="Garamond" w:cs="NimbusRomNo9L-Regu"/>
            <w:color w:val="000066"/>
            <w:u w:val="none"/>
            <w:lang w:val="en-GB" w:eastAsia="nl-NL"/>
          </w:rPr>
          <w:t>De Servigny &amp; Renault (2003)</w:t>
        </w:r>
      </w:hyperlink>
      <w:r w:rsidRPr="00802C03">
        <w:rPr>
          <w:rFonts w:ascii="Garamond" w:hAnsi="Garamond" w:cs="NimbusRomNo9L-Regu"/>
          <w:lang w:val="en-GB" w:eastAsia="nl-NL"/>
        </w:rPr>
        <w:t xml:space="preserve">, the issuer-weighted average is taken over all cohorts and both groups to arrive at the joint default probability of issuers in group </w:t>
      </w:r>
      <w:r w:rsidRPr="00100BDF">
        <w:rPr>
          <w:rFonts w:ascii="Garamond" w:hAnsi="Garamond" w:cs="NimbusRomNo9L-Regu"/>
          <w:position w:val="-6"/>
          <w:lang w:val="en-GB" w:eastAsia="nl-NL"/>
        </w:rPr>
        <w:object w:dxaOrig="139" w:dyaOrig="240">
          <v:shape id="_x0000_i1761" type="#_x0000_t75" style="width:6.75pt;height:12pt" o:ole="">
            <v:imagedata r:id="rId1369" o:title=""/>
          </v:shape>
          <o:OLEObject Type="Embed" ProgID="Equation.DSMT4" ShapeID="_x0000_i1761" DrawAspect="Content" ObjectID="_1324894240" r:id="rId1370"/>
        </w:object>
      </w:r>
      <w:r w:rsidRPr="00802C03">
        <w:rPr>
          <w:rFonts w:ascii="Garamond" w:hAnsi="Garamond" w:cs="NimbusRomNo9L-Regu"/>
          <w:lang w:val="en-GB" w:eastAsia="nl-NL"/>
        </w:rPr>
        <w:t xml:space="preserve"> and group </w:t>
      </w:r>
      <w:r w:rsidRPr="00100BDF">
        <w:rPr>
          <w:rFonts w:ascii="Garamond" w:hAnsi="Garamond" w:cs="NimbusRomNo9L-Regu"/>
          <w:position w:val="-10"/>
          <w:lang w:val="en-GB" w:eastAsia="nl-NL"/>
        </w:rPr>
        <w:object w:dxaOrig="180" w:dyaOrig="279">
          <v:shape id="_x0000_i1762" type="#_x0000_t75" style="width:9pt;height:13.5pt" o:ole="">
            <v:imagedata r:id="rId1371" o:title=""/>
          </v:shape>
          <o:OLEObject Type="Embed" ProgID="Equation.DSMT4" ShapeID="_x0000_i1762" DrawAspect="Content" ObjectID="_1324894241" r:id="rId1372"/>
        </w:object>
      </w:r>
      <w:r w:rsidRPr="00802C03">
        <w:rPr>
          <w:rFonts w:ascii="Garamond" w:hAnsi="Garamond" w:cs="NimbusRomNo9L-Regu"/>
          <w:lang w:val="en-GB" w:eastAsia="nl-NL"/>
        </w:rPr>
        <w:t>:</w:t>
      </w:r>
    </w:p>
    <w:p w:rsidR="001C7C52" w:rsidRPr="00802C03" w:rsidRDefault="001C7C52" w:rsidP="00E632BF">
      <w:pPr>
        <w:tabs>
          <w:tab w:val="left" w:pos="567"/>
          <w:tab w:val="left" w:pos="8505"/>
        </w:tabs>
        <w:spacing w:before="120" w:line="320" w:lineRule="atLeast"/>
        <w:ind w:firstLine="567"/>
        <w:jc w:val="both"/>
        <w:rPr>
          <w:rFonts w:ascii="Garamond" w:hAnsi="Garamond" w:cs="NimbusRomNo9L-Regu"/>
          <w:lang w:val="en-GB" w:eastAsia="nl-NL"/>
        </w:rPr>
      </w:pPr>
      <w:r w:rsidRPr="005E2D6F">
        <w:rPr>
          <w:rFonts w:ascii="Garamond" w:hAnsi="Garamond" w:cs="NimbusRomNo9L-Regu"/>
          <w:position w:val="-48"/>
          <w:lang w:val="en-GB" w:eastAsia="nl-NL"/>
        </w:rPr>
        <w:object w:dxaOrig="3060" w:dyaOrig="820">
          <v:shape id="_x0000_i1763" type="#_x0000_t75" style="width:151.5pt;height:40.5pt" o:ole="">
            <v:imagedata r:id="rId1373" o:title=""/>
          </v:shape>
          <o:OLEObject Type="Embed" ProgID="Equation.DSMT4" ShapeID="_x0000_i1763" DrawAspect="Content" ObjectID="_1324894242" r:id="rId1374"/>
        </w:object>
      </w:r>
      <w:r w:rsidRPr="00802C03">
        <w:rPr>
          <w:rFonts w:ascii="Garamond" w:hAnsi="Garamond" w:cs="NimbusRomNo9L-Regu"/>
          <w:lang w:val="en-GB" w:eastAsia="nl-NL"/>
        </w:rPr>
        <w:t>,</w:t>
      </w:r>
      <w:bookmarkStart w:id="60" w:name="E2N18"/>
      <w:bookmarkEnd w:id="60"/>
      <w:r w:rsidRPr="00802C03">
        <w:rPr>
          <w:rFonts w:ascii="Garamond" w:hAnsi="Garamond" w:cs="NimbusRomNo9L-Regu"/>
          <w:lang w:val="en-GB" w:eastAsia="nl-NL"/>
        </w:rPr>
        <w:tab/>
        <w:t>(2.18)</w:t>
      </w:r>
    </w:p>
    <w:p w:rsidR="001C7C52" w:rsidRPr="00802C03" w:rsidRDefault="001C7C52" w:rsidP="00875055">
      <w:pPr>
        <w:spacing w:before="60" w:after="140" w:line="280" w:lineRule="exact"/>
        <w:ind w:firstLine="567"/>
        <w:jc w:val="both"/>
        <w:rPr>
          <w:rFonts w:ascii="Garamond" w:hAnsi="Garamond"/>
          <w:lang w:val="en-GB"/>
        </w:rPr>
      </w:pPr>
      <w:r w:rsidRPr="00802C03">
        <w:rPr>
          <w:rFonts w:ascii="Garamond" w:hAnsi="Garamond"/>
          <w:lang w:val="en-GB"/>
        </w:rPr>
        <w:t xml:space="preserve">where </w:t>
      </w:r>
      <w:r w:rsidRPr="00100BDF">
        <w:rPr>
          <w:rFonts w:ascii="Garamond" w:hAnsi="Garamond"/>
          <w:position w:val="-4"/>
          <w:lang w:val="en-GB"/>
        </w:rPr>
        <w:object w:dxaOrig="200" w:dyaOrig="220">
          <v:shape id="_x0000_i1764" type="#_x0000_t75" style="width:9.75pt;height:11.25pt" o:ole="">
            <v:imagedata r:id="rId1375" o:title=""/>
          </v:shape>
          <o:OLEObject Type="Embed" ProgID="Equation.DSMT4" ShapeID="_x0000_i1764" DrawAspect="Content" ObjectID="_1324894243" r:id="rId1376"/>
        </w:object>
      </w:r>
      <w:r w:rsidRPr="00802C03">
        <w:rPr>
          <w:rFonts w:ascii="Garamond" w:hAnsi="Garamond"/>
          <w:lang w:val="en-GB"/>
        </w:rPr>
        <w:t xml:space="preserve"> is the number of cohorts included in the estimation.</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In the estimation, the issuer-weighted average is preferred over the regular average, which is applied in </w:t>
      </w:r>
      <w:hyperlink w:anchor="Frey_McNeil_2003" w:history="1">
        <w:r w:rsidRPr="00802C03">
          <w:rPr>
            <w:rStyle w:val="Hyperlink"/>
            <w:rFonts w:ascii="Garamond" w:hAnsi="Garamond"/>
            <w:color w:val="000066"/>
            <w:u w:val="none"/>
            <w:lang w:val="en-GB"/>
          </w:rPr>
          <w:t>Frey &amp; McNeil (2003)</w:t>
        </w:r>
      </w:hyperlink>
      <w:r w:rsidRPr="00802C03">
        <w:rPr>
          <w:rFonts w:ascii="Garamond" w:hAnsi="Garamond"/>
          <w:lang w:val="en-GB"/>
        </w:rPr>
        <w:t xml:space="preserve">. This choice may not have a theoretical justification according to </w:t>
      </w:r>
      <w:hyperlink w:anchor="Akhavein_et_al_2005" w:history="1">
        <w:r w:rsidRPr="00802C03">
          <w:rPr>
            <w:rStyle w:val="Hyperlink"/>
            <w:rFonts w:ascii="Garamond" w:hAnsi="Garamond"/>
            <w:color w:val="000066"/>
            <w:u w:val="none"/>
            <w:lang w:val="en-GB"/>
          </w:rPr>
          <w:t>Akhavein et al. (2005)</w:t>
        </w:r>
      </w:hyperlink>
      <w:r w:rsidRPr="00802C03">
        <w:rPr>
          <w:rFonts w:ascii="Garamond" w:hAnsi="Garamond"/>
          <w:lang w:val="en-GB"/>
        </w:rPr>
        <w:t>, but it does have statistical justification. Basically, the cohorts that contain the most observations are weighted the heaviest, since statistical theory implies that those cohorts will provide a more accurate estimate than those with a small number of observations. Notice that time-varying joint default probabilities cannot justify the use of a regular average in favo</w:t>
      </w:r>
      <w:r>
        <w:rPr>
          <w:rFonts w:ascii="Garamond" w:hAnsi="Garamond"/>
          <w:lang w:val="en-GB"/>
        </w:rPr>
        <w:t>u</w:t>
      </w:r>
      <w:r w:rsidRPr="00802C03">
        <w:rPr>
          <w:rFonts w:ascii="Garamond" w:hAnsi="Garamond"/>
          <w:lang w:val="en-GB"/>
        </w:rPr>
        <w:t>r of the issuer-weighted average, as the time-homogeneity assumption has to be made either way to be able take any kind of average out of the single-cohort estimates.</w:t>
      </w:r>
    </w:p>
    <w:p w:rsidR="001C7C52" w:rsidRPr="00802C03" w:rsidRDefault="001C7C52" w:rsidP="00AB3324">
      <w:pPr>
        <w:spacing w:line="280" w:lineRule="exact"/>
        <w:jc w:val="both"/>
        <w:rPr>
          <w:rFonts w:ascii="Garamond" w:hAnsi="Garamond" w:cs="NimbusRomNo9L-Regu"/>
          <w:lang w:val="en-GB" w:eastAsia="nl-NL"/>
        </w:rPr>
      </w:pPr>
      <w:hyperlink w:anchor="E2N18" w:history="1">
        <w:r w:rsidRPr="00802C03">
          <w:rPr>
            <w:rStyle w:val="Hyperlink"/>
            <w:rFonts w:ascii="Garamond" w:hAnsi="Garamond" w:cs="NimbusRomNo9L-Regu"/>
            <w:color w:val="000066"/>
            <w:u w:val="none"/>
            <w:lang w:val="en-GB" w:eastAsia="nl-NL"/>
          </w:rPr>
          <w:t>Equation 2.18</w:t>
        </w:r>
      </w:hyperlink>
      <w:r w:rsidRPr="00802C03">
        <w:rPr>
          <w:rFonts w:ascii="Garamond" w:hAnsi="Garamond" w:cs="NimbusRomNo9L-Regu"/>
          <w:lang w:val="en-GB" w:eastAsia="nl-NL"/>
        </w:rPr>
        <w:t xml:space="preserve"> ensures that the joint default probabilities between the relevant groups of issuers can be estimated. Subsequently, these estimates are utilized in the bivariate Gaussian copula density function to obtain implied asset correlation estimates.</w:t>
      </w:r>
      <w:r w:rsidRPr="00802C03">
        <w:rPr>
          <w:rStyle w:val="FootnoteReference"/>
          <w:rFonts w:ascii="Garamond" w:hAnsi="Garamond" w:cs="NimbusRomNo9L-Regu"/>
          <w:lang w:val="en-GB" w:eastAsia="nl-NL"/>
        </w:rPr>
        <w:footnoteReference w:id="56"/>
      </w:r>
      <w:r w:rsidRPr="00802C03">
        <w:rPr>
          <w:rFonts w:ascii="Garamond" w:hAnsi="Garamond" w:cs="NimbusRomNo9L-Regu"/>
          <w:lang w:val="en-GB" w:eastAsia="nl-NL"/>
        </w:rPr>
        <w:t xml:space="preserve"> </w:t>
      </w:r>
    </w:p>
    <w:p w:rsidR="001C7C52" w:rsidRPr="00802C03" w:rsidRDefault="001C7C52" w:rsidP="00E70736">
      <w:pPr>
        <w:spacing w:line="160" w:lineRule="exact"/>
        <w:jc w:val="both"/>
        <w:rPr>
          <w:rFonts w:ascii="Garamond" w:hAnsi="Garamond" w:cs="NimbusRomNo9L-Regu"/>
          <w:lang w:val="en-GB" w:eastAsia="nl-NL"/>
        </w:rPr>
      </w:pP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To ensure that the required joint default probabilities can be estimated, first groups of issuers (group </w:t>
      </w:r>
      <w:r w:rsidRPr="00100BDF">
        <w:rPr>
          <w:rFonts w:ascii="Garamond" w:hAnsi="Garamond" w:cs="NimbusRomNo9L-Regu"/>
          <w:position w:val="-6"/>
          <w:lang w:val="en-GB" w:eastAsia="nl-NL"/>
        </w:rPr>
        <w:object w:dxaOrig="139" w:dyaOrig="240">
          <v:shape id="_x0000_i1765" type="#_x0000_t75" style="width:6.75pt;height:12pt" o:ole="">
            <v:imagedata r:id="rId1377" o:title=""/>
          </v:shape>
          <o:OLEObject Type="Embed" ProgID="Equation.DSMT4" ShapeID="_x0000_i1765" DrawAspect="Content" ObjectID="_1324894244" r:id="rId137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80" w:dyaOrig="279">
          <v:shape id="_x0000_i1766" type="#_x0000_t75" style="width:9pt;height:13.5pt" o:ole="">
            <v:imagedata r:id="rId1379" o:title=""/>
          </v:shape>
          <o:OLEObject Type="Embed" ProgID="Equation.DSMT4" ShapeID="_x0000_i1766" DrawAspect="Content" ObjectID="_1324894245" r:id="rId1380"/>
        </w:object>
      </w:r>
      <w:r w:rsidRPr="00802C03">
        <w:rPr>
          <w:rFonts w:ascii="Garamond" w:hAnsi="Garamond" w:cs="NimbusRomNo9L-Regu"/>
          <w:lang w:val="en-GB" w:eastAsia="nl-NL"/>
        </w:rPr>
        <w:t>) have to be established. The implied asset correlations will be estimated between those groups and not between specific issuers. Herein, the most imperative drawback of this method arises. To estimate correlations with default rates, default data is needed. This data is scarce and therefore these groups of issuers have to be sufficiently large to ensure enough default data is present in each issuer group. When no default observations are present in a group, the default correlation and implied asset correlation within the group and with the other issuer groups is equal to zero, according to the estimator.</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In the literature, the most commonly applied method is to base the group definitions on industries. Hence, this approach will be taken in this study as well.</w:t>
      </w:r>
      <w:r w:rsidRPr="00802C03">
        <w:rPr>
          <w:rStyle w:val="FootnoteReference"/>
          <w:rFonts w:ascii="Garamond" w:hAnsi="Garamond" w:cs="NimbusRomNo9L-Regu"/>
          <w:lang w:val="en-GB" w:eastAsia="nl-NL"/>
        </w:rPr>
        <w:footnoteReference w:id="57"/>
      </w:r>
      <w:r w:rsidRPr="00802C03">
        <w:rPr>
          <w:rFonts w:ascii="Garamond" w:hAnsi="Garamond" w:cs="NimbusRomNo9L-Regu"/>
          <w:lang w:val="en-GB" w:eastAsia="nl-NL"/>
        </w:rPr>
        <w:t xml:space="preserve"> Company-specific and sector-specific information is ignored in this method as a result of the required estimation on an aggregated basis. This loss of detail will most likely result in an underestimation of the default correlation or implied asset correlation between a substantial number of issuers in the assessed portfolio. </w:t>
      </w:r>
      <w:hyperlink w:anchor="Dullmann_et_al_2007" w:history="1">
        <w:r w:rsidRPr="00802C03">
          <w:rPr>
            <w:rStyle w:val="Hyperlink"/>
            <w:rFonts w:ascii="Garamond" w:hAnsi="Garamond" w:cs="NimbusRomNo9L-Regu"/>
            <w:color w:val="000066"/>
            <w:u w:val="none"/>
            <w:lang w:val="en-GB" w:eastAsia="nl-NL"/>
          </w:rPr>
          <w:t>Düllmann et al. (2007)</w:t>
        </w:r>
      </w:hyperlink>
      <w:r w:rsidRPr="00802C03">
        <w:rPr>
          <w:rFonts w:ascii="Garamond" w:hAnsi="Garamond" w:cs="NimbusRomNo9L-Regu"/>
          <w:lang w:val="en-GB" w:eastAsia="nl-NL"/>
        </w:rPr>
        <w:t>, for example, find that the use of issuer-dependent asset correlation leads to substantially higher portfolio risk than sector dependent asset correlations. Furthermore, it is frequently observed that asset correlations implied by default rates are much lower than those estimated using equity returns or KMV-model based asset correlations (</w:t>
      </w:r>
      <w:hyperlink w:anchor="Gordy_Heitfield_2000" w:history="1">
        <w:r w:rsidRPr="00802C03">
          <w:rPr>
            <w:rStyle w:val="Hyperlink"/>
            <w:rFonts w:ascii="Garamond" w:hAnsi="Garamond" w:cs="NimbusRomNo9L-Regu"/>
            <w:color w:val="000066"/>
            <w:u w:val="none"/>
            <w:lang w:val="en-GB" w:eastAsia="nl-NL"/>
          </w:rPr>
          <w:t>Gordy &amp; Heitfield, 2000</w:t>
        </w:r>
      </w:hyperlink>
      <w:r w:rsidRPr="00802C03">
        <w:rPr>
          <w:rFonts w:ascii="Garamond" w:hAnsi="Garamond" w:cs="NimbusRomNo9L-Regu"/>
          <w:lang w:val="en-GB" w:eastAsia="nl-NL"/>
        </w:rPr>
        <w:t>). Some specific information may be saved by conditioning on industries and other characteristics, but the extent to which issuers can be clustered is very limited, due to the shortage in default observations.</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A second disadvantage in estimation asset correlation based on default rates, is that the estimation sample has to be reasonably long to be able to estimate statistically meaningful correlations. This requirement is even more troublesome than it is in the equity return correlation proxy approach. The one-year capital horizon of the model implies that a one-year correlation horizon must be considered. Hence, the length of a cohort in the estimation is one year. Consequently, conditioning on the market conditions of the last one or two years would yield meaningless estimates, since the estimation would be based on only one or two one-year cohorts.</w:t>
      </w:r>
      <w:r w:rsidRPr="00802C03">
        <w:rPr>
          <w:rStyle w:val="FootnoteReference"/>
          <w:rFonts w:ascii="Garamond" w:hAnsi="Garamond" w:cs="NimbusRomNo9L-Regu"/>
          <w:color w:val="000000"/>
          <w:lang w:val="en-GB" w:eastAsia="nl-NL"/>
        </w:rPr>
        <w:footnoteReference w:id="58"/>
      </w:r>
      <w:r w:rsidRPr="00802C03">
        <w:rPr>
          <w:rFonts w:ascii="Garamond" w:hAnsi="Garamond" w:cs="NimbusRomNo9L-Regu"/>
          <w:lang w:val="en-GB" w:eastAsia="nl-NL"/>
        </w:rPr>
        <w:t xml:space="preserve"> To obtain estimates that are based on sufficient default data, a sample period of ten years is applied in this study. More specifically, the estimation will be based on the last ten years of the S&amp;P US credit rating database that is applied in the estimation of the credit migration matrices. Obviously, this implies that the default definition that is applied there is also applied in this estimation.</w:t>
      </w:r>
    </w:p>
    <w:p w:rsidR="001C7C52" w:rsidRPr="00802C03" w:rsidRDefault="001C7C52" w:rsidP="00E70736">
      <w:pPr>
        <w:spacing w:line="160" w:lineRule="exact"/>
        <w:jc w:val="both"/>
        <w:rPr>
          <w:rFonts w:ascii="Garamond" w:hAnsi="Garamond" w:cs="NimbusRomNo9L-Regu"/>
          <w:lang w:val="en-GB" w:eastAsia="nl-NL"/>
        </w:rPr>
      </w:pP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color w:val="000000"/>
          <w:lang w:val="en-GB" w:eastAsia="nl-NL"/>
        </w:rPr>
        <w:t>Besides the issuer asset correlations, the correlation structure of the proposed incremental risk model also requires asset autocorrelations. To address this subject, a deeper understanding of the joint default probability estimator is required.</w:t>
      </w:r>
      <w:r w:rsidRPr="00802C03">
        <w:rPr>
          <w:rFonts w:ascii="Garamond" w:hAnsi="Garamond" w:cs="NimbusRomNo9L-Regu"/>
          <w:lang w:val="en-GB" w:eastAsia="nl-NL"/>
        </w:rPr>
        <w:t xml:space="preserve"> </w:t>
      </w:r>
      <w:hyperlink w:anchor="E2N13" w:history="1">
        <w:r w:rsidRPr="00802C03">
          <w:rPr>
            <w:rStyle w:val="Hyperlink"/>
            <w:rFonts w:ascii="Garamond" w:hAnsi="Garamond" w:cs="NimbusRomNo9L-Regu"/>
            <w:color w:val="000066"/>
            <w:u w:val="none"/>
            <w:lang w:val="en-GB" w:eastAsia="nl-NL"/>
          </w:rPr>
          <w:t>Equation 2.13</w:t>
        </w:r>
      </w:hyperlink>
      <w:r w:rsidRPr="00802C03">
        <w:rPr>
          <w:rFonts w:ascii="Garamond" w:hAnsi="Garamond" w:cs="NimbusRomNo9L-Regu"/>
          <w:lang w:val="en-GB" w:eastAsia="nl-NL"/>
        </w:rPr>
        <w:t xml:space="preserve"> displays that default correlation between two issuer groups can be estimated, using the joint probability of default between the groups of issuers and the average default probabilities within those groups. The original joint default probability estimator, as applied by </w:t>
      </w:r>
      <w:hyperlink w:anchor="Lucas_1995" w:history="1">
        <w:r w:rsidRPr="00802C03">
          <w:rPr>
            <w:rStyle w:val="Hyperlink"/>
            <w:rFonts w:ascii="Garamond" w:hAnsi="Garamond" w:cs="NimbusRomNo9L-Regu"/>
            <w:color w:val="000066"/>
            <w:u w:val="none"/>
            <w:lang w:val="en-GB" w:eastAsia="nl-NL"/>
          </w:rPr>
          <w:t>Lucas (1995)</w:t>
        </w:r>
      </w:hyperlink>
      <w:r w:rsidRPr="00802C03">
        <w:rPr>
          <w:rFonts w:ascii="Garamond" w:hAnsi="Garamond" w:cs="NimbusRomNo9L-Regu"/>
          <w:lang w:val="en-GB" w:eastAsia="nl-NL"/>
        </w:rPr>
        <w:t xml:space="preserve">, </w:t>
      </w:r>
      <w:hyperlink w:anchor="Nagpal_Bahar_2001" w:history="1">
        <w:r w:rsidRPr="00802C03">
          <w:rPr>
            <w:rStyle w:val="Hyperlink"/>
            <w:rFonts w:ascii="Garamond" w:hAnsi="Garamond" w:cs="NimbusRomNo9L-Regu"/>
            <w:color w:val="000066"/>
            <w:u w:val="none"/>
            <w:lang w:val="en-GB" w:eastAsia="nl-NL"/>
          </w:rPr>
          <w:t>Nagpal &amp; Bahar (2001)</w:t>
        </w:r>
      </w:hyperlink>
      <w:r w:rsidRPr="00802C03">
        <w:rPr>
          <w:rFonts w:ascii="Garamond" w:hAnsi="Garamond" w:cs="NimbusRomNo9L-Regu"/>
          <w:lang w:val="en-GB" w:eastAsia="nl-NL"/>
        </w:rPr>
        <w:t xml:space="preserve"> and </w:t>
      </w:r>
      <w:hyperlink w:anchor="Frey_McNeil_2003" w:history="1">
        <w:r w:rsidRPr="00802C03">
          <w:rPr>
            <w:rStyle w:val="Hyperlink"/>
            <w:rFonts w:ascii="Garamond" w:hAnsi="Garamond" w:cs="NimbusRomNo9L-Regu"/>
            <w:color w:val="000066"/>
            <w:u w:val="none"/>
            <w:lang w:val="en-GB" w:eastAsia="nl-NL"/>
          </w:rPr>
          <w:t>Frey &amp; McNeil (2003)</w:t>
        </w:r>
      </w:hyperlink>
      <w:r w:rsidRPr="00802C03">
        <w:rPr>
          <w:rFonts w:ascii="Garamond" w:hAnsi="Garamond" w:cs="NimbusRomNo9L-Regu"/>
          <w:lang w:val="en-GB" w:eastAsia="nl-NL"/>
        </w:rPr>
        <w:t>, is as follows:</w:t>
      </w:r>
    </w:p>
    <w:p w:rsidR="001C7C52" w:rsidRPr="00802C03" w:rsidRDefault="001C7C52" w:rsidP="00EF4DC5">
      <w:pPr>
        <w:tabs>
          <w:tab w:val="left" w:pos="567"/>
          <w:tab w:val="left" w:pos="8505"/>
        </w:tabs>
        <w:spacing w:before="120" w:after="120" w:line="276" w:lineRule="auto"/>
        <w:ind w:firstLine="567"/>
        <w:jc w:val="both"/>
        <w:rPr>
          <w:rFonts w:ascii="Garamond" w:hAnsi="Garamond" w:cs="NimbusRomNo9L-Regu"/>
          <w:lang w:val="en-GB" w:eastAsia="nl-NL"/>
        </w:rPr>
      </w:pPr>
      <w:r w:rsidRPr="005E2D6F">
        <w:rPr>
          <w:rFonts w:ascii="Garamond" w:hAnsi="Garamond" w:cs="NimbusRomNo9L-Regu"/>
          <w:position w:val="-26"/>
          <w:lang w:val="en-GB" w:eastAsia="nl-NL"/>
        </w:rPr>
        <w:object w:dxaOrig="1860" w:dyaOrig="600">
          <v:shape id="_x0000_i1767" type="#_x0000_t75" style="width:93pt;height:30pt" o:ole="">
            <v:imagedata r:id="rId1381" o:title=""/>
          </v:shape>
          <o:OLEObject Type="Embed" ProgID="Equation.DSMT4" ShapeID="_x0000_i1767" DrawAspect="Content" ObjectID="_1324894246" r:id="rId1382"/>
        </w:object>
      </w:r>
      <w:r w:rsidRPr="00802C03">
        <w:rPr>
          <w:rFonts w:ascii="Garamond" w:hAnsi="Garamond" w:cs="NimbusRomNo9L-Regu"/>
          <w:lang w:val="en-GB" w:eastAsia="nl-NL"/>
        </w:rPr>
        <w:t>.</w:t>
      </w:r>
      <w:r w:rsidRPr="00802C03">
        <w:rPr>
          <w:rFonts w:ascii="Garamond" w:hAnsi="Garamond" w:cs="NimbusRomNo9L-Regu"/>
          <w:lang w:val="en-GB" w:eastAsia="nl-NL"/>
        </w:rPr>
        <w:tab/>
        <w:t>(2.19)</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rationale behind the original estimator is that the denominator counts the total number of issuer pairs between group </w:t>
      </w:r>
      <w:r w:rsidRPr="00100BDF">
        <w:rPr>
          <w:rFonts w:ascii="Garamond" w:hAnsi="Garamond" w:cs="NimbusRomNo9L-Regu"/>
          <w:position w:val="-6"/>
          <w:lang w:val="en-GB" w:eastAsia="nl-NL"/>
        </w:rPr>
        <w:object w:dxaOrig="139" w:dyaOrig="240">
          <v:shape id="_x0000_i1768" type="#_x0000_t75" style="width:6.75pt;height:12pt" o:ole="">
            <v:imagedata r:id="rId1383" o:title=""/>
          </v:shape>
          <o:OLEObject Type="Embed" ProgID="Equation.DSMT4" ShapeID="_x0000_i1768" DrawAspect="Content" ObjectID="_1324894247" r:id="rId138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80" w:dyaOrig="279">
          <v:shape id="_x0000_i1769" type="#_x0000_t75" style="width:9pt;height:13.5pt" o:ole="">
            <v:imagedata r:id="rId1385" o:title=""/>
          </v:shape>
          <o:OLEObject Type="Embed" ProgID="Equation.DSMT4" ShapeID="_x0000_i1769" DrawAspect="Content" ObjectID="_1324894248" r:id="rId1386"/>
        </w:object>
      </w:r>
      <w:r w:rsidRPr="00802C03">
        <w:rPr>
          <w:rFonts w:ascii="Garamond" w:hAnsi="Garamond" w:cs="NimbusRomNo9L-Regu"/>
          <w:lang w:val="en-GB" w:eastAsia="nl-NL"/>
        </w:rPr>
        <w:t xml:space="preserve"> and the numerator counts the number of those pairs that defaulted simultaneously. Hence, the result is the probability of an issuer from group </w:t>
      </w:r>
      <w:r w:rsidRPr="00100BDF">
        <w:rPr>
          <w:rFonts w:ascii="Garamond" w:hAnsi="Garamond" w:cs="NimbusRomNo9L-Regu"/>
          <w:position w:val="-6"/>
          <w:lang w:val="en-GB" w:eastAsia="nl-NL"/>
        </w:rPr>
        <w:object w:dxaOrig="139" w:dyaOrig="240">
          <v:shape id="_x0000_i1770" type="#_x0000_t75" style="width:6.75pt;height:12pt" o:ole="">
            <v:imagedata r:id="rId1387" o:title=""/>
          </v:shape>
          <o:OLEObject Type="Embed" ProgID="Equation.DSMT4" ShapeID="_x0000_i1770" DrawAspect="Content" ObjectID="_1324894249" r:id="rId1388"/>
        </w:object>
      </w:r>
      <w:r w:rsidRPr="00802C03">
        <w:rPr>
          <w:rFonts w:ascii="Garamond" w:hAnsi="Garamond" w:cs="NimbusRomNo9L-Regu"/>
          <w:lang w:val="en-GB" w:eastAsia="nl-NL"/>
        </w:rPr>
        <w:t xml:space="preserve"> and an issuer from group </w:t>
      </w:r>
      <w:r w:rsidRPr="00100BDF">
        <w:rPr>
          <w:rFonts w:ascii="Garamond" w:hAnsi="Garamond" w:cs="NimbusRomNo9L-Regu"/>
          <w:position w:val="-10"/>
          <w:lang w:val="en-GB" w:eastAsia="nl-NL"/>
        </w:rPr>
        <w:object w:dxaOrig="180" w:dyaOrig="279">
          <v:shape id="_x0000_i1771" type="#_x0000_t75" style="width:9pt;height:13.5pt" o:ole="">
            <v:imagedata r:id="rId1389" o:title=""/>
          </v:shape>
          <o:OLEObject Type="Embed" ProgID="Equation.DSMT4" ShapeID="_x0000_i1771" DrawAspect="Content" ObjectID="_1324894250" r:id="rId1390"/>
        </w:object>
      </w:r>
      <w:r w:rsidRPr="00802C03">
        <w:rPr>
          <w:rFonts w:ascii="Garamond" w:hAnsi="Garamond" w:cs="NimbusRomNo9L-Regu"/>
          <w:lang w:val="en-GB" w:eastAsia="nl-NL"/>
        </w:rPr>
        <w:t xml:space="preserve"> both defaulting during time horizon </w:t>
      </w:r>
      <w:r w:rsidRPr="00100BDF">
        <w:rPr>
          <w:rFonts w:ascii="Garamond" w:hAnsi="Garamond" w:cs="NimbusRomNo9L-Regu"/>
          <w:position w:val="-6"/>
          <w:lang w:val="en-GB" w:eastAsia="nl-NL"/>
        </w:rPr>
        <w:object w:dxaOrig="139" w:dyaOrig="220">
          <v:shape id="_x0000_i1772" type="#_x0000_t75" style="width:6.75pt;height:11.25pt" o:ole="">
            <v:imagedata r:id="rId1391" o:title=""/>
          </v:shape>
          <o:OLEObject Type="Embed" ProgID="Equation.DSMT4" ShapeID="_x0000_i1772" DrawAspect="Content" ObjectID="_1324894251" r:id="rId1392"/>
        </w:object>
      </w:r>
      <w:r w:rsidRPr="00802C03">
        <w:rPr>
          <w:rFonts w:ascii="Garamond" w:hAnsi="Garamond" w:cs="NimbusRomNo9L-Regu"/>
          <w:lang w:val="en-GB" w:eastAsia="nl-NL"/>
        </w:rPr>
        <w:t xml:space="preserve">. The estimator was modified by </w:t>
      </w:r>
      <w:hyperlink w:anchor="DeServigny_Renault_2003" w:history="1">
        <w:r w:rsidRPr="00802C03">
          <w:rPr>
            <w:rStyle w:val="Hyperlink"/>
            <w:rFonts w:ascii="Garamond" w:hAnsi="Garamond" w:cs="NimbusRomNo9L-Regu"/>
            <w:color w:val="000066"/>
            <w:u w:val="none"/>
            <w:lang w:val="en-GB" w:eastAsia="nl-NL"/>
          </w:rPr>
          <w:t>De Servigny &amp; Renault (2003)</w:t>
        </w:r>
      </w:hyperlink>
      <w:r w:rsidRPr="00802C03">
        <w:rPr>
          <w:rFonts w:ascii="Garamond" w:hAnsi="Garamond" w:cs="NimbusRomNo9L-Regu"/>
          <w:lang w:val="en-GB" w:eastAsia="nl-NL"/>
        </w:rPr>
        <w:t xml:space="preserve"> into the one presented as </w:t>
      </w:r>
      <w:hyperlink w:anchor="E2N17" w:history="1">
        <w:r w:rsidRPr="00802C03">
          <w:rPr>
            <w:rStyle w:val="Hyperlink"/>
            <w:rFonts w:ascii="Garamond" w:hAnsi="Garamond" w:cs="NimbusRomNo9L-Regu"/>
            <w:color w:val="000066"/>
            <w:u w:val="none"/>
            <w:lang w:val="en-GB" w:eastAsia="nl-NL"/>
          </w:rPr>
          <w:t>equation 2.17</w:t>
        </w:r>
      </w:hyperlink>
      <w:r w:rsidRPr="00802C03">
        <w:rPr>
          <w:rFonts w:ascii="Garamond" w:hAnsi="Garamond" w:cs="NimbusRomNo9L-Regu"/>
          <w:lang w:val="en-GB" w:eastAsia="nl-NL"/>
        </w:rPr>
        <w:t xml:space="preserve">, to ensure no spurious negative joint default probability could result from the estimator. </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To return to the asset autocorrelation subject, essentially, there is no reason to assume that the rationale behind this estimator does not hold for default correlation for the same issuer group in consecutive periods as well. The resulting concept of default autocorrelation is theoretically easily justified as recessions or pressures from the general economy or in industries, sectors or other groups often last longer than a few months. In other words, if the default probability of a specific issuer or issuer group is high in a specific period, then it is not unlikely that that default probability remains high the next period, as some default events are secondary reactions to defaults of other issuers rather than being directly related to the original economic shock.</w:t>
      </w:r>
    </w:p>
    <w:p w:rsidR="001C7C52" w:rsidRPr="00802C03" w:rsidRDefault="001C7C52" w:rsidP="00697F4D">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following estimator can be employed in the estimation of the required joint or consecutive default probability in consecutive periods within group </w:t>
      </w:r>
      <w:r w:rsidRPr="00100BDF">
        <w:rPr>
          <w:rFonts w:ascii="Garamond" w:hAnsi="Garamond" w:cs="NimbusRomNo9L-Regu"/>
          <w:position w:val="-6"/>
          <w:lang w:val="en-GB" w:eastAsia="nl-NL"/>
        </w:rPr>
        <w:object w:dxaOrig="139" w:dyaOrig="240">
          <v:shape id="_x0000_i1773" type="#_x0000_t75" style="width:6.75pt;height:12pt" o:ole="">
            <v:imagedata r:id="rId1393" o:title=""/>
          </v:shape>
          <o:OLEObject Type="Embed" ProgID="Equation.DSMT4" ShapeID="_x0000_i1773" DrawAspect="Content" ObjectID="_1324894252" r:id="rId1394"/>
        </w:object>
      </w:r>
      <w:r w:rsidRPr="00802C03">
        <w:rPr>
          <w:rFonts w:ascii="Garamond" w:hAnsi="Garamond" w:cs="NimbusRomNo9L-Regu"/>
          <w:lang w:val="en-GB" w:eastAsia="nl-NL"/>
        </w:rPr>
        <w:t>:</w:t>
      </w:r>
    </w:p>
    <w:p w:rsidR="001C7C52" w:rsidRPr="00802C03" w:rsidRDefault="001C7C52" w:rsidP="00875055">
      <w:pPr>
        <w:tabs>
          <w:tab w:val="left" w:pos="567"/>
          <w:tab w:val="left" w:pos="8505"/>
        </w:tabs>
        <w:spacing w:before="120" w:after="100" w:line="320" w:lineRule="atLeast"/>
        <w:ind w:firstLine="567"/>
        <w:jc w:val="both"/>
        <w:rPr>
          <w:rFonts w:ascii="Garamond" w:hAnsi="Garamond" w:cs="NimbusRomNo9L-Regu"/>
          <w:lang w:val="en-GB" w:eastAsia="nl-NL"/>
        </w:rPr>
      </w:pPr>
      <w:r w:rsidRPr="005E2D6F">
        <w:rPr>
          <w:rFonts w:ascii="Garamond" w:hAnsi="Garamond" w:cs="NimbusRomNo9L-Regu"/>
          <w:position w:val="-48"/>
          <w:lang w:val="en-GB" w:eastAsia="nl-NL"/>
        </w:rPr>
        <w:object w:dxaOrig="3840" w:dyaOrig="820">
          <v:shape id="_x0000_i1774" type="#_x0000_t75" style="width:192pt;height:40.5pt" o:ole="">
            <v:imagedata r:id="rId1395" o:title=""/>
          </v:shape>
          <o:OLEObject Type="Embed" ProgID="Equation.DSMT4" ShapeID="_x0000_i1774" DrawAspect="Content" ObjectID="_1324894253" r:id="rId1396"/>
        </w:object>
      </w:r>
      <w:r w:rsidRPr="00802C03">
        <w:rPr>
          <w:rFonts w:ascii="Garamond" w:hAnsi="Garamond" w:cs="NimbusRomNo9L-Regu"/>
          <w:lang w:val="en-GB" w:eastAsia="nl-NL"/>
        </w:rPr>
        <w:t>.</w:t>
      </w:r>
      <w:r w:rsidRPr="00802C03">
        <w:rPr>
          <w:rFonts w:ascii="Garamond" w:hAnsi="Garamond" w:cs="NimbusRomNo9L-Regu"/>
          <w:lang w:val="en-GB" w:eastAsia="nl-NL"/>
        </w:rPr>
        <w:tab/>
        <w:t>(2.20)</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this expression, the length one cohort is obviously equal to the required autocorrelation frequency. In this study, that required autocorrelation frequency is equal to the length of one single-period in the simulation model (three months). Subsequently, the issuer asset autocorrelation coefficients, that are required in the correlation structure of the proposed incremental risk model, can be estimated, using the bivariate Gaussian copula density function. Again, herein the last ten years of the S&amp;P credit rating database are used as well as the industry group definitions. </w:t>
      </w:r>
    </w:p>
    <w:p w:rsidR="001C7C52" w:rsidRPr="00802C03" w:rsidRDefault="001C7C52" w:rsidP="00E70736">
      <w:pPr>
        <w:spacing w:line="160" w:lineRule="exact"/>
        <w:jc w:val="both"/>
        <w:rPr>
          <w:rFonts w:ascii="Garamond" w:hAnsi="Garamond" w:cs="NimbusRomNo9L-Regu"/>
          <w:lang w:val="en-GB" w:eastAsia="nl-NL"/>
        </w:rPr>
      </w:pPr>
    </w:p>
    <w:p w:rsidR="001C7C52" w:rsidRPr="00802C03" w:rsidRDefault="001C7C52" w:rsidP="00AB3324">
      <w:pPr>
        <w:spacing w:line="280" w:lineRule="exact"/>
        <w:jc w:val="both"/>
        <w:rPr>
          <w:rFonts w:ascii="Garamond" w:hAnsi="Garamond" w:cs="NimbusRomNo9L-Regu"/>
          <w:lang w:val="en-GB" w:eastAsia="nl-NL"/>
        </w:rPr>
      </w:pPr>
      <w:hyperlink w:anchor="T5" w:history="1">
        <w:r w:rsidRPr="00802C03">
          <w:rPr>
            <w:rStyle w:val="Hyperlink"/>
            <w:rFonts w:ascii="Garamond" w:hAnsi="Garamond" w:cs="NimbusRomNo9L-Regu"/>
            <w:color w:val="000066"/>
            <w:u w:val="none"/>
            <w:lang w:val="en-GB" w:eastAsia="nl-NL"/>
          </w:rPr>
          <w:t>Table V</w:t>
        </w:r>
      </w:hyperlink>
      <w:r w:rsidRPr="00802C03">
        <w:rPr>
          <w:rFonts w:ascii="Garamond" w:hAnsi="Garamond" w:cs="NimbusRomNo9L-Regu"/>
          <w:lang w:val="en-GB" w:eastAsia="nl-NL"/>
        </w:rPr>
        <w:t xml:space="preserve"> displays the estimated implied asset correlations between industries (the off-diagonal elements in the correlation matrix) and within industries (the diagonal of the matrix). In the row below the correlation matrix, the implied asset autocorrelation are shown per industry. All correlation estimates are based on the Gaussian correlation assumption. The corresponding default correlations estimates are given in </w:t>
      </w:r>
      <w:hyperlink w:anchor="SA2" w:history="1">
        <w:r w:rsidRPr="00802C03">
          <w:rPr>
            <w:rStyle w:val="Hyperlink"/>
            <w:rFonts w:ascii="Garamond" w:hAnsi="Garamond" w:cs="NimbusRomNo9L-Regu"/>
            <w:color w:val="000066"/>
            <w:u w:val="none"/>
            <w:lang w:val="en-GB" w:eastAsia="nl-NL"/>
          </w:rPr>
          <w:t>appendix A.2</w:t>
        </w:r>
      </w:hyperlink>
      <w:r w:rsidRPr="00802C03">
        <w:rPr>
          <w:rFonts w:ascii="Garamond" w:hAnsi="Garamond" w:cs="NimbusRomNo9L-Regu"/>
          <w:lang w:val="en-GB" w:eastAsia="nl-NL"/>
        </w:rPr>
        <w:t>.</w:t>
      </w:r>
    </w:p>
    <w:p w:rsidR="001C7C52" w:rsidRPr="00802C03" w:rsidRDefault="001C7C52" w:rsidP="005B3319">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estimates of the implied asset correlations in </w:t>
      </w:r>
      <w:hyperlink w:anchor="T5" w:history="1">
        <w:r w:rsidRPr="00802C03">
          <w:rPr>
            <w:rStyle w:val="Hyperlink"/>
            <w:rFonts w:ascii="Garamond" w:hAnsi="Garamond" w:cs="NimbusRomNo9L-Regu"/>
            <w:color w:val="000066"/>
            <w:u w:val="none"/>
            <w:lang w:val="en-GB" w:eastAsia="nl-NL"/>
          </w:rPr>
          <w:t>table V</w:t>
        </w:r>
      </w:hyperlink>
      <w:r w:rsidRPr="00802C03">
        <w:rPr>
          <w:rFonts w:ascii="Garamond" w:hAnsi="Garamond" w:cs="NimbusRomNo9L-Regu"/>
          <w:lang w:val="en-GB" w:eastAsia="nl-NL"/>
        </w:rPr>
        <w:t xml:space="preserve"> are even lower than expected. </w:t>
      </w:r>
      <w:hyperlink w:anchor="DeServigny_Renault_2003" w:history="1">
        <w:r w:rsidRPr="00802C03">
          <w:rPr>
            <w:rStyle w:val="Hyperlink"/>
            <w:rFonts w:ascii="Garamond" w:hAnsi="Garamond" w:cs="NimbusRomNo9L-Regu"/>
            <w:color w:val="000066"/>
            <w:u w:val="none"/>
            <w:lang w:val="en-GB" w:eastAsia="nl-NL"/>
          </w:rPr>
          <w:t>De Servigny &amp; Renault (2003)</w:t>
        </w:r>
      </w:hyperlink>
      <w:r w:rsidRPr="00802C03">
        <w:rPr>
          <w:rFonts w:ascii="Garamond" w:hAnsi="Garamond" w:cs="NimbusRomNo9L-Regu"/>
          <w:lang w:val="en-GB" w:eastAsia="nl-NL"/>
        </w:rPr>
        <w:t xml:space="preserve">, for example, present much higher estimates. Nonetheless, their estimates are based mainly on issuers with speculative grades, resulting in a strong increase in the implied correlation coefficients. In addition, the implied asset correlation estimates are much lower than the average estimated equity correlations as well. This is often the case with estimates based on historical default rates, as stated in </w:t>
      </w:r>
      <w:hyperlink w:anchor="Gordy_Heitfield_2000" w:history="1">
        <w:r w:rsidRPr="00802C03">
          <w:rPr>
            <w:rStyle w:val="Hyperlink"/>
            <w:rFonts w:ascii="Garamond" w:hAnsi="Garamond" w:cs="NimbusRomNo9L-Regu"/>
            <w:color w:val="000066"/>
            <w:u w:val="none"/>
            <w:lang w:val="en-GB" w:eastAsia="nl-NL"/>
          </w:rPr>
          <w:t>Gordy &amp; Heitfield (2000)</w:t>
        </w:r>
      </w:hyperlink>
      <w:r w:rsidRPr="00802C03">
        <w:rPr>
          <w:rFonts w:ascii="Garamond" w:hAnsi="Garamond" w:cs="NimbusRomNo9L-Regu"/>
          <w:lang w:val="en-GB" w:eastAsia="nl-NL"/>
        </w:rPr>
        <w:t xml:space="preserve"> and </w:t>
      </w:r>
      <w:hyperlink w:anchor="Dullmann_et_al_2007" w:history="1">
        <w:r w:rsidRPr="00802C03">
          <w:rPr>
            <w:rStyle w:val="Hyperlink"/>
            <w:rFonts w:ascii="Garamond" w:hAnsi="Garamond" w:cs="NimbusRomNo9L-Regu"/>
            <w:color w:val="000066"/>
            <w:u w:val="none"/>
            <w:lang w:val="en-GB" w:eastAsia="nl-NL"/>
          </w:rPr>
          <w:t>Düllmann et al. (2007</w:t>
        </w:r>
      </w:hyperlink>
      <w:r w:rsidRPr="00802C03">
        <w:rPr>
          <w:rFonts w:ascii="Garamond" w:hAnsi="Garamond" w:cs="NimbusRomNo9L-Regu"/>
          <w:lang w:val="en-GB" w:eastAsia="nl-NL"/>
        </w:rPr>
        <w:t xml:space="preserve">, </w:t>
      </w:r>
      <w:hyperlink w:anchor="Dullmann_et_al_2008" w:history="1">
        <w:r w:rsidRPr="00802C03">
          <w:rPr>
            <w:rStyle w:val="Hyperlink"/>
            <w:rFonts w:ascii="Garamond" w:hAnsi="Garamond" w:cs="NimbusRomNo9L-Regu"/>
            <w:color w:val="000066"/>
            <w:u w:val="none"/>
            <w:lang w:val="en-GB" w:eastAsia="nl-NL"/>
          </w:rPr>
          <w:t>2008</w:t>
        </w:r>
      </w:hyperlink>
      <w:r w:rsidRPr="00802C03">
        <w:rPr>
          <w:rFonts w:ascii="Garamond" w:hAnsi="Garamond" w:cs="NimbusRomNo9L-Regu"/>
          <w:color w:val="000066"/>
          <w:lang w:val="en-GB" w:eastAsia="nl-NL"/>
        </w:rPr>
        <w:t>)</w:t>
      </w:r>
      <w:r w:rsidRPr="00802C03">
        <w:rPr>
          <w:rFonts w:ascii="Garamond" w:hAnsi="Garamond" w:cs="NimbusRomNo9L-Regu"/>
          <w:lang w:val="en-GB" w:eastAsia="nl-NL"/>
        </w:rPr>
        <w:t xml:space="preserve">. The effect can at least partially be attributed to the necessary clustering of the issuers, resulting in non-homogenous (large) groups of issuers on which the correlations are based. The result of these non-homogenous groups is an erosion of the correlation characteristics of the individual issuers. Consequently, useful issuer-specific correlation information is ignored due to the aggregation effect in the large industry groups. </w:t>
      </w:r>
    </w:p>
    <w:p w:rsidR="001C7C52" w:rsidRPr="00802C03" w:rsidRDefault="001C7C52" w:rsidP="00EF4DC5">
      <w:pPr>
        <w:spacing w:line="280" w:lineRule="exact"/>
        <w:jc w:val="both"/>
        <w:rPr>
          <w:rFonts w:ascii="Garamond" w:hAnsi="Garamond" w:cs="NimbusRomNo9L-Regu"/>
          <w:lang w:val="en-GB" w:eastAsia="nl-NL"/>
        </w:rPr>
      </w:pPr>
    </w:p>
    <w:p w:rsidR="001C7C52" w:rsidRPr="00802C03" w:rsidRDefault="001C7C52" w:rsidP="00EF4DC5">
      <w:pPr>
        <w:spacing w:line="280" w:lineRule="exact"/>
        <w:jc w:val="both"/>
        <w:rPr>
          <w:rFonts w:ascii="Garamond" w:hAnsi="Garamond" w:cs="NimbusRomNo9L-Regu"/>
          <w:lang w:val="en-GB" w:eastAsia="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70"/>
        <w:gridCol w:w="759"/>
        <w:gridCol w:w="759"/>
        <w:gridCol w:w="759"/>
        <w:gridCol w:w="759"/>
        <w:gridCol w:w="759"/>
        <w:gridCol w:w="759"/>
        <w:gridCol w:w="759"/>
        <w:gridCol w:w="759"/>
        <w:gridCol w:w="759"/>
        <w:gridCol w:w="759"/>
      </w:tblGrid>
      <w:tr w:rsidR="001C7C52" w:rsidRPr="000B0ADE" w:rsidTr="00697F4D">
        <w:tc>
          <w:tcPr>
            <w:tcW w:w="9460" w:type="dxa"/>
            <w:gridSpan w:val="11"/>
            <w:tcBorders>
              <w:top w:val="nil"/>
              <w:left w:val="nil"/>
              <w:bottom w:val="single" w:sz="4" w:space="0" w:color="auto"/>
              <w:right w:val="nil"/>
            </w:tcBorders>
            <w:vAlign w:val="center"/>
          </w:tcPr>
          <w:p w:rsidR="001C7C52" w:rsidRPr="00802C03" w:rsidRDefault="001C7C52" w:rsidP="00697F4D">
            <w:pPr>
              <w:spacing w:line="240" w:lineRule="auto"/>
              <w:rPr>
                <w:rFonts w:ascii="Garamond" w:hAnsi="Garamond"/>
                <w:sz w:val="20"/>
                <w:lang w:val="en-GB"/>
              </w:rPr>
            </w:pPr>
            <w:bookmarkStart w:id="61" w:name="T5"/>
            <w:bookmarkEnd w:id="61"/>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V </w:t>
            </w:r>
            <w:r w:rsidRPr="00802C03">
              <w:rPr>
                <w:rFonts w:ascii="Garamond" w:hAnsi="Garamond"/>
                <w:lang w:val="en-GB"/>
              </w:rPr>
              <w:t>-</w:t>
            </w:r>
            <w:r w:rsidRPr="00802C03">
              <w:rPr>
                <w:rFonts w:ascii="Garamond" w:hAnsi="Garamond"/>
                <w:b/>
                <w:lang w:val="en-GB"/>
              </w:rPr>
              <w:t xml:space="preserve"> </w:t>
            </w:r>
            <w:r w:rsidRPr="00802C03">
              <w:rPr>
                <w:rFonts w:ascii="Garamond" w:hAnsi="Garamond"/>
                <w:sz w:val="20"/>
                <w:lang w:val="en-GB"/>
              </w:rPr>
              <w:t>Implied Issuer Asset Correlations Based on Observed Default Rates</w:t>
            </w:r>
          </w:p>
        </w:tc>
      </w:tr>
      <w:tr w:rsidR="001C7C52" w:rsidRPr="00802C03" w:rsidTr="00697F4D">
        <w:tc>
          <w:tcPr>
            <w:tcW w:w="1870" w:type="dxa"/>
            <w:tcBorders>
              <w:top w:val="single" w:sz="4" w:space="0" w:color="auto"/>
              <w:left w:val="nil"/>
              <w:bottom w:val="nil"/>
              <w:right w:val="nil"/>
            </w:tcBorders>
            <w:vAlign w:val="center"/>
          </w:tcPr>
          <w:p w:rsidR="001C7C52" w:rsidRPr="00802C03" w:rsidRDefault="001C7C52" w:rsidP="00697F4D">
            <w:pPr>
              <w:rPr>
                <w:rFonts w:ascii="Garamond" w:hAnsi="Garamond"/>
                <w:b/>
                <w:sz w:val="20"/>
                <w:lang w:val="en-GB"/>
              </w:rPr>
            </w:pPr>
          </w:p>
        </w:tc>
        <w:tc>
          <w:tcPr>
            <w:tcW w:w="7590" w:type="dxa"/>
            <w:gridSpan w:val="10"/>
            <w:tcBorders>
              <w:top w:val="single" w:sz="4" w:space="0" w:color="auto"/>
              <w:left w:val="nil"/>
              <w:bottom w:val="single" w:sz="4" w:space="0" w:color="auto"/>
              <w:right w:val="nil"/>
            </w:tcBorders>
            <w:vAlign w:val="center"/>
          </w:tcPr>
          <w:p w:rsidR="001C7C52" w:rsidRPr="00802C03" w:rsidRDefault="001C7C52" w:rsidP="00697F4D">
            <w:pPr>
              <w:rPr>
                <w:rFonts w:ascii="Garamond" w:hAnsi="Garamond"/>
                <w:sz w:val="20"/>
                <w:lang w:val="en-GB"/>
              </w:rPr>
            </w:pPr>
            <w:r w:rsidRPr="00802C03">
              <w:rPr>
                <w:rFonts w:ascii="Garamond" w:hAnsi="Garamond"/>
                <w:sz w:val="20"/>
                <w:lang w:val="en-GB"/>
              </w:rPr>
              <w:t>Estimation period: 28/04/1999 – 28/04/2009</w:t>
            </w:r>
          </w:p>
        </w:tc>
      </w:tr>
      <w:tr w:rsidR="001C7C52" w:rsidRPr="00802C03" w:rsidTr="00697F4D">
        <w:tc>
          <w:tcPr>
            <w:tcW w:w="1870" w:type="dxa"/>
            <w:tcBorders>
              <w:top w:val="nil"/>
              <w:left w:val="nil"/>
              <w:bottom w:val="single" w:sz="4" w:space="0" w:color="auto"/>
              <w:right w:val="nil"/>
            </w:tcBorders>
            <w:vAlign w:val="center"/>
          </w:tcPr>
          <w:p w:rsidR="001C7C52" w:rsidRPr="00802C03" w:rsidRDefault="001C7C52" w:rsidP="00697F4D">
            <w:pPr>
              <w:rPr>
                <w:rFonts w:ascii="Garamond" w:hAnsi="Garamond"/>
                <w:sz w:val="20"/>
                <w:lang w:val="en-GB"/>
              </w:rPr>
            </w:pP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1.</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2.</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3.</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4.</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5.</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6.</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7.</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8.</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9.</w:t>
            </w:r>
          </w:p>
        </w:tc>
        <w:tc>
          <w:tcPr>
            <w:tcW w:w="759" w:type="dxa"/>
            <w:tcBorders>
              <w:top w:val="single" w:sz="4" w:space="0" w:color="auto"/>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10.</w:t>
            </w:r>
          </w:p>
        </w:tc>
      </w:tr>
      <w:tr w:rsidR="001C7C52" w:rsidRPr="00802C03" w:rsidTr="00697F4D">
        <w:tc>
          <w:tcPr>
            <w:tcW w:w="1870" w:type="dxa"/>
            <w:tcBorders>
              <w:top w:val="single" w:sz="4" w:space="0" w:color="auto"/>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1. Basic Materials</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0.094</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0.096</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0.064</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0.060</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0.023</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0.033</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0.023</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0.078</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0.082</w:t>
            </w:r>
          </w:p>
        </w:tc>
        <w:tc>
          <w:tcPr>
            <w:tcW w:w="759" w:type="dxa"/>
            <w:tcBorders>
              <w:top w:val="single" w:sz="4" w:space="0" w:color="auto"/>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-0.017</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2. Communications</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0.152</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-0.068</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0.074</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0.115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0.012</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3. Consumer C.</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0.064</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0.056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0.048</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0.083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-0.022</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4. Consumer NC.</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0.060</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0.097</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0.059</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0.057</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0.106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-0.009</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5. Diversified</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-0.068</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0.161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-0.009</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-0.034</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-0.058</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6. Energy</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0.033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0.048</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0.059</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-0.009</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0.117</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0.067</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0.006</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7. Financial</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0.074</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0.057</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0.109</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0.044</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-0.086</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4"/>
              </w:tabs>
              <w:rPr>
                <w:rFonts w:ascii="Garamond" w:hAnsi="Garamond"/>
                <w:sz w:val="20"/>
                <w:lang w:val="en-GB"/>
              </w:rPr>
            </w:pPr>
            <w:r w:rsidRPr="00802C03">
              <w:rPr>
                <w:rFonts w:ascii="Garamond" w:hAnsi="Garamond"/>
                <w:sz w:val="20"/>
                <w:lang w:val="en-GB"/>
              </w:rPr>
              <w:t>8. Industrial</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0.078</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0.115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-0.034</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0.067</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0.044</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0.098</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0.028</w:t>
            </w:r>
          </w:p>
        </w:tc>
      </w:tr>
      <w:tr w:rsidR="001C7C52" w:rsidRPr="00802C03" w:rsidTr="00697F4D">
        <w:tc>
          <w:tcPr>
            <w:tcW w:w="1870" w:type="dxa"/>
            <w:tcBorders>
              <w:top w:val="nil"/>
              <w:left w:val="nil"/>
              <w:bottom w:val="nil"/>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9. Technology</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0.082</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0.075</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0.083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0.106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0.066</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0.091</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0.163</w:t>
            </w:r>
          </w:p>
        </w:tc>
        <w:tc>
          <w:tcPr>
            <w:tcW w:w="759" w:type="dxa"/>
            <w:tcBorders>
              <w:top w:val="nil"/>
              <w:left w:val="nil"/>
              <w:bottom w:val="nil"/>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-0.071</w:t>
            </w:r>
          </w:p>
        </w:tc>
      </w:tr>
      <w:tr w:rsidR="001C7C52" w:rsidRPr="00802C03" w:rsidTr="00697F4D">
        <w:tc>
          <w:tcPr>
            <w:tcW w:w="1870" w:type="dxa"/>
            <w:tcBorders>
              <w:top w:val="nil"/>
              <w:left w:val="nil"/>
              <w:bottom w:val="single" w:sz="4" w:space="0" w:color="auto"/>
              <w:right w:val="nil"/>
            </w:tcBorders>
            <w:vAlign w:val="center"/>
          </w:tcPr>
          <w:p w:rsidR="001C7C52" w:rsidRPr="00802C03" w:rsidRDefault="001C7C52" w:rsidP="00697F4D">
            <w:pPr>
              <w:tabs>
                <w:tab w:val="left" w:pos="318"/>
              </w:tabs>
              <w:rPr>
                <w:rFonts w:ascii="Garamond" w:hAnsi="Garamond"/>
                <w:sz w:val="20"/>
                <w:lang w:val="en-GB"/>
              </w:rPr>
            </w:pPr>
            <w:r w:rsidRPr="00802C03">
              <w:rPr>
                <w:rFonts w:ascii="Garamond" w:hAnsi="Garamond"/>
                <w:sz w:val="20"/>
                <w:lang w:val="en-GB"/>
              </w:rPr>
              <w:t>10. Utilities</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-0.017</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0.012</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-0.022</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-0.009</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-0.058</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0.006</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-0.086</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0.028</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-0.071</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b/>
                <w:sz w:val="20"/>
                <w:lang w:val="en-GB"/>
              </w:rPr>
            </w:pPr>
            <w:r w:rsidRPr="00802C03">
              <w:rPr>
                <w:rFonts w:ascii="Garamond" w:hAnsi="Garamond"/>
                <w:b/>
                <w:sz w:val="20"/>
                <w:lang w:val="en-GB"/>
              </w:rPr>
              <w:t>0.120</w:t>
            </w:r>
          </w:p>
        </w:tc>
      </w:tr>
      <w:tr w:rsidR="001C7C52" w:rsidRPr="00802C03" w:rsidTr="00697F4D">
        <w:tc>
          <w:tcPr>
            <w:tcW w:w="1870" w:type="dxa"/>
            <w:tcBorders>
              <w:top w:val="nil"/>
              <w:left w:val="nil"/>
              <w:bottom w:val="single" w:sz="4" w:space="0" w:color="auto"/>
              <w:right w:val="nil"/>
            </w:tcBorders>
            <w:vAlign w:val="center"/>
          </w:tcPr>
          <w:p w:rsidR="001C7C52" w:rsidRPr="00802C03" w:rsidRDefault="001C7C52" w:rsidP="00697F4D">
            <w:pPr>
              <w:rPr>
                <w:rFonts w:ascii="Garamond" w:hAnsi="Garamond"/>
                <w:sz w:val="20"/>
                <w:lang w:val="en-GB"/>
              </w:rPr>
            </w:pPr>
            <w:r w:rsidRPr="00802C03">
              <w:rPr>
                <w:rFonts w:ascii="Garamond" w:hAnsi="Garamond"/>
                <w:sz w:val="20"/>
                <w:lang w:val="en-GB"/>
              </w:rPr>
              <w:t>Autocorrelation</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0.056</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0.105</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0.023</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0.037</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-0.124</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0.073</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0.061</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0.047</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0.091</w:t>
            </w:r>
          </w:p>
        </w:tc>
        <w:tc>
          <w:tcPr>
            <w:tcW w:w="759" w:type="dxa"/>
            <w:tcBorders>
              <w:top w:val="nil"/>
              <w:left w:val="nil"/>
              <w:bottom w:val="single" w:sz="4" w:space="0" w:color="auto"/>
              <w:right w:val="nil"/>
            </w:tcBorders>
            <w:vAlign w:val="center"/>
          </w:tcPr>
          <w:p w:rsidR="001C7C52" w:rsidRPr="00802C03" w:rsidRDefault="001C7C52" w:rsidP="00697F4D">
            <w:pPr>
              <w:jc w:val="center"/>
              <w:rPr>
                <w:rFonts w:ascii="Garamond" w:hAnsi="Garamond"/>
                <w:sz w:val="20"/>
                <w:lang w:val="en-GB"/>
              </w:rPr>
            </w:pPr>
            <w:r w:rsidRPr="00802C03">
              <w:rPr>
                <w:rFonts w:ascii="Garamond" w:hAnsi="Garamond"/>
                <w:sz w:val="20"/>
                <w:lang w:val="en-GB"/>
              </w:rPr>
              <w:t>0.023</w:t>
            </w:r>
          </w:p>
        </w:tc>
      </w:tr>
      <w:tr w:rsidR="001C7C52" w:rsidRPr="000B0ADE" w:rsidTr="00697F4D">
        <w:tc>
          <w:tcPr>
            <w:tcW w:w="9460" w:type="dxa"/>
            <w:gridSpan w:val="11"/>
            <w:tcBorders>
              <w:top w:val="single" w:sz="4" w:space="0" w:color="auto"/>
              <w:left w:val="nil"/>
              <w:bottom w:val="nil"/>
              <w:right w:val="nil"/>
            </w:tcBorders>
            <w:vAlign w:val="center"/>
          </w:tcPr>
          <w:p w:rsidR="001C7C52" w:rsidRPr="00802C03" w:rsidRDefault="001C7C52" w:rsidP="00F246F2">
            <w:pPr>
              <w:spacing w:after="40" w:line="180" w:lineRule="exact"/>
              <w:jc w:val="both"/>
              <w:rPr>
                <w:rFonts w:ascii="Garamond" w:hAnsi="Garamond"/>
                <w:sz w:val="16"/>
                <w:szCs w:val="16"/>
                <w:lang w:val="en-GB"/>
              </w:rPr>
            </w:pPr>
            <w:r w:rsidRPr="00802C03">
              <w:rPr>
                <w:rFonts w:ascii="Garamond" w:hAnsi="Garamond"/>
                <w:sz w:val="16"/>
                <w:szCs w:val="16"/>
                <w:lang w:val="en-GB"/>
              </w:rPr>
              <w:t>The upper matrix displays the implied asset correlation between industries and within industries (the diagonal). The row under the matrix shows the implied asset autocorrelations. Consumer C. = Consumer Cyclical and Consumer NC. = Consumer Non-Cyclical. Both the underlying one-year industry default probabilities and one-year joint default probabilities are computed, using an issuer-weighted average of the relevant 10 one-year (joint) default probabilities (one for each year in the estimation period). Both the underlying three-month industry default probabilities and three-month joint default probabilities are computed, using an issuer-weighted average of the relevant 40 and 39 three-month (joint) default probabilities (one for each quarter in the estimation period), respectively.</w:t>
            </w:r>
          </w:p>
        </w:tc>
      </w:tr>
    </w:tbl>
    <w:p w:rsidR="001C7C52" w:rsidRPr="00802C03" w:rsidRDefault="001C7C52" w:rsidP="00EF4DC5">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One might be able to enforce an increase in the implied asset correlations in </w:t>
      </w:r>
      <w:hyperlink w:anchor="T5" w:history="1">
        <w:r w:rsidRPr="00802C03">
          <w:rPr>
            <w:rStyle w:val="Hyperlink"/>
            <w:rFonts w:ascii="Garamond" w:hAnsi="Garamond" w:cs="NimbusRomNo9L-Regu"/>
            <w:color w:val="000066"/>
            <w:u w:val="none"/>
            <w:lang w:val="en-GB" w:eastAsia="nl-NL"/>
          </w:rPr>
          <w:t>table V</w:t>
        </w:r>
      </w:hyperlink>
      <w:r w:rsidRPr="00802C03">
        <w:rPr>
          <w:rFonts w:ascii="Garamond" w:hAnsi="Garamond" w:cs="NimbusRomNo9L-Regu"/>
          <w:lang w:val="en-GB" w:eastAsia="nl-NL"/>
        </w:rPr>
        <w:t xml:space="preserve"> when more groups are considered, making the groups more homogenous. The largest BICS industry groups contain enough default observations to be split up one or two times more or another industry classification standard could be used that contains more first layer industries. As much as 20-25 groups may be employed, yet correlations will remain relatively low, as very significant amount of aggregation is always necessary. Moreover, a larger number of groups may increase the severity of the sample period length issue. In essence, groups containing fewer issuers will require a longer sample period (more default data) to obtain statistically meaningful estimates.</w:t>
      </w:r>
    </w:p>
    <w:p w:rsidR="001C7C52" w:rsidRPr="00802C03" w:rsidRDefault="001C7C52" w:rsidP="005B3319">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w:t>
      </w:r>
      <w:hyperlink w:anchor="S312" w:history="1">
        <w:r w:rsidRPr="00802C03">
          <w:rPr>
            <w:rStyle w:val="Hyperlink"/>
            <w:rFonts w:ascii="Garamond" w:hAnsi="Garamond" w:cs="NimbusRomNo9L-Regu"/>
            <w:color w:val="000066"/>
            <w:u w:val="none"/>
            <w:lang w:val="en-GB" w:eastAsia="nl-NL"/>
          </w:rPr>
          <w:t>Part III section 3.1.2</w:t>
        </w:r>
      </w:hyperlink>
      <w:r w:rsidRPr="00802C03">
        <w:rPr>
          <w:rFonts w:ascii="Garamond" w:hAnsi="Garamond" w:cs="NimbusRomNo9L-Regu"/>
          <w:lang w:val="en-GB" w:eastAsia="nl-NL"/>
        </w:rPr>
        <w:t xml:space="preserve">, the economic implications of the implied asset correlation estimates are discussed in the model estimation context. Nonetheless, the (too) low implied issuer asset correlation estimates already indicate that it is highly likely that these implied asset correlations will result in an underestimation of the correlation risk in a portfolio of credit products.  </w:t>
      </w:r>
    </w:p>
    <w:p w:rsidR="001C7C52" w:rsidRPr="00802C03" w:rsidRDefault="001C7C52" w:rsidP="00885439">
      <w:pPr>
        <w:spacing w:line="280" w:lineRule="exact"/>
        <w:jc w:val="both"/>
        <w:rPr>
          <w:rFonts w:ascii="Garamond" w:hAnsi="Garamond" w:cs="NimbusRomNo9L-Regu"/>
          <w:lang w:val="en-GB" w:eastAsia="nl-NL"/>
        </w:rPr>
      </w:pPr>
    </w:p>
    <w:tbl>
      <w:tblPr>
        <w:tblW w:w="4337" w:type="dxa"/>
        <w:tblInd w:w="-1276" w:type="dxa"/>
        <w:tblLayout w:type="fixed"/>
        <w:tblCellMar>
          <w:left w:w="0" w:type="dxa"/>
          <w:right w:w="0" w:type="dxa"/>
        </w:tblCellMar>
        <w:tblLook w:val="00A0"/>
      </w:tblPr>
      <w:tblGrid>
        <w:gridCol w:w="709"/>
        <w:gridCol w:w="567"/>
        <w:gridCol w:w="3061"/>
      </w:tblGrid>
      <w:tr w:rsidR="001C7C52" w:rsidRPr="00802C03"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2.3</w:t>
            </w:r>
          </w:p>
        </w:tc>
        <w:tc>
          <w:tcPr>
            <w:tcW w:w="3061" w:type="dxa"/>
          </w:tcPr>
          <w:p w:rsidR="001C7C52" w:rsidRPr="002E2E49" w:rsidRDefault="001C7C52" w:rsidP="002E2E49">
            <w:pPr>
              <w:spacing w:line="280" w:lineRule="exact"/>
              <w:jc w:val="both"/>
              <w:rPr>
                <w:rFonts w:ascii="Garamond" w:hAnsi="Garamond" w:cs="NimbusRomNo9L-Regu"/>
                <w:lang w:val="en-GB" w:eastAsia="nl-NL"/>
              </w:rPr>
            </w:pPr>
            <w:bookmarkStart w:id="62" w:name="S230"/>
            <w:bookmarkEnd w:id="62"/>
            <w:r w:rsidRPr="002E2E49">
              <w:rPr>
                <w:rFonts w:ascii="Garamond" w:hAnsi="Garamond" w:cs="NimbusRomNo9L-Regu"/>
                <w:b/>
                <w:lang w:val="en-GB" w:eastAsia="nl-NL"/>
              </w:rPr>
              <w:t>C</w:t>
            </w:r>
            <w:r w:rsidRPr="002E2E49">
              <w:rPr>
                <w:rFonts w:ascii="Garamond" w:hAnsi="Garamond" w:cs="NimbusRomNo9L-Regu"/>
                <w:b/>
                <w:sz w:val="18"/>
                <w:szCs w:val="18"/>
                <w:lang w:val="en-GB" w:eastAsia="nl-NL"/>
              </w:rPr>
              <w:t>ORPORATE</w:t>
            </w:r>
            <w:r w:rsidRPr="002E2E49">
              <w:rPr>
                <w:rFonts w:ascii="Garamond" w:hAnsi="Garamond" w:cs="NimbusRomNo9L-Regu"/>
                <w:b/>
                <w:lang w:val="en-GB" w:eastAsia="nl-NL"/>
              </w:rPr>
              <w:t xml:space="preserve"> B</w:t>
            </w:r>
            <w:r w:rsidRPr="002E2E49">
              <w:rPr>
                <w:rFonts w:ascii="Garamond" w:hAnsi="Garamond" w:cs="NimbusRomNo9L-Regu"/>
                <w:b/>
                <w:sz w:val="18"/>
                <w:szCs w:val="18"/>
                <w:lang w:val="en-GB" w:eastAsia="nl-NL"/>
              </w:rPr>
              <w:t>OND</w:t>
            </w:r>
            <w:r w:rsidRPr="002E2E49">
              <w:rPr>
                <w:rFonts w:ascii="Garamond" w:hAnsi="Garamond" w:cs="NimbusRomNo9L-Regu"/>
                <w:b/>
                <w:lang w:val="en-GB" w:eastAsia="nl-NL"/>
              </w:rPr>
              <w:t xml:space="preserve"> P</w:t>
            </w:r>
            <w:r w:rsidRPr="002E2E49">
              <w:rPr>
                <w:rFonts w:ascii="Garamond" w:hAnsi="Garamond" w:cs="NimbusRomNo9L-Regu"/>
                <w:b/>
                <w:sz w:val="18"/>
                <w:szCs w:val="18"/>
                <w:lang w:val="en-GB" w:eastAsia="nl-NL"/>
              </w:rPr>
              <w:t>ORTFOLIOS</w:t>
            </w:r>
          </w:p>
        </w:tc>
      </w:tr>
    </w:tbl>
    <w:p w:rsidR="001C7C52" w:rsidRPr="00802C03" w:rsidRDefault="001C7C52" w:rsidP="005B3319">
      <w:pPr>
        <w:spacing w:before="160"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last inputs that have to be calibrated are the portfolios that will be used in the estimation of the proposed incremental risk model. These portfolios are not part of the actual model, nor can they be defined as inputs that need to be estimated. Yet, they do serve an important objective in this study. </w:t>
      </w:r>
    </w:p>
    <w:p w:rsidR="001C7C52" w:rsidRPr="00802C03" w:rsidRDefault="001C7C52" w:rsidP="00567DF8">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portfolios serve two purposes. The first purpose is that they ensure that the incremental risk model, as proposed in </w:t>
      </w:r>
      <w:hyperlink w:anchor="C2_Part1" w:history="1">
        <w:r w:rsidRPr="00802C03">
          <w:rPr>
            <w:rStyle w:val="Hyperlink"/>
            <w:rFonts w:ascii="Garamond" w:hAnsi="Garamond" w:cs="NimbusRomNo9L-Regu"/>
            <w:color w:val="000066"/>
            <w:u w:val="none"/>
            <w:lang w:val="en-GB" w:eastAsia="nl-NL"/>
          </w:rPr>
          <w:t>Part I</w:t>
        </w:r>
      </w:hyperlink>
      <w:r w:rsidRPr="00802C03">
        <w:rPr>
          <w:rFonts w:ascii="Garamond" w:hAnsi="Garamond" w:cs="NimbusRomNo9L-Regu"/>
          <w:lang w:val="en-GB" w:eastAsia="nl-NL"/>
        </w:rPr>
        <w:t>, can be estimated and that the effects of the assumptions and inputs of the model can be assessed. The second purpose of the portfolios is that they are themselves an essential source of input variation in the model. Hence, multiple portfolios are created. In this section, the characteristics of these portfolios are evaluated. As mentioned, only corporate bond portfolios will be employed in this study. First, the construction of each portfolio will be discussed. Subsequently, the required liquidity horizon assumptions of the individual positions in each portfolio will be addressed.</w:t>
      </w:r>
    </w:p>
    <w:p w:rsidR="001C7C52" w:rsidRPr="00802C03" w:rsidRDefault="001C7C52" w:rsidP="00AB3324">
      <w:pPr>
        <w:spacing w:line="280" w:lineRule="exact"/>
        <w:jc w:val="both"/>
        <w:rPr>
          <w:rFonts w:ascii="Garamond" w:hAnsi="Garamond" w:cs="NimbusRomNo9L-Regu"/>
          <w:lang w:val="en-GB" w:eastAsia="nl-NL"/>
        </w:rPr>
      </w:pP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2.3.1</w:t>
      </w:r>
      <w:r w:rsidRPr="00802C03">
        <w:rPr>
          <w:rFonts w:ascii="Garamond" w:hAnsi="Garamond"/>
          <w:b/>
          <w:lang w:val="en-GB"/>
        </w:rPr>
        <w:tab/>
      </w:r>
      <w:bookmarkStart w:id="63" w:name="S231"/>
      <w:bookmarkEnd w:id="63"/>
      <w:r w:rsidRPr="00802C03">
        <w:rPr>
          <w:rFonts w:ascii="Garamond" w:hAnsi="Garamond"/>
          <w:b/>
          <w:lang w:val="en-GB"/>
        </w:rPr>
        <w:t>Portfolio Construction</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order to address the effect of the assumptions or inputs of the model in a meaningful way, it is critical that realistic trading portfolios are constructed. Four criteria are accounted for in this context: (1) diversification in the portfolio, (2) the percentage of the portfolio invested in each credit class, (3) the percentage long and short in the portfolio and lastly, (4) the duration of the portfolio and per group of bonds in a specific credit class. Following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lang w:val="en-GB" w:eastAsia="nl-NL"/>
        </w:rPr>
        <w:t xml:space="preserve">, three portfolios are formed: a diversified long-only portfolio, a diversified portfolio with both long and short positions and a similar long-short portfolio with a few concentrated positions.  </w:t>
      </w:r>
    </w:p>
    <w:p w:rsidR="001C7C52" w:rsidRPr="00802C03" w:rsidRDefault="001C7C52" w:rsidP="00C56D06">
      <w:pPr>
        <w:spacing w:line="160" w:lineRule="exact"/>
        <w:jc w:val="both"/>
        <w:rPr>
          <w:rFonts w:ascii="Garamond" w:hAnsi="Garamond" w:cs="NimbusRomNo9L-Regu"/>
          <w:lang w:val="en-GB" w:eastAsia="nl-NL"/>
        </w:rPr>
      </w:pP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natural starting point is the construction of an average diversified long-only corporate bond portfolio. The justification for such a portfolio is that many passive investors buy relatively low risk index funds, which are mostly comprised of only long positions. Nevertheless, as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lang w:val="en-GB" w:eastAsia="nl-NL"/>
        </w:rPr>
        <w:t xml:space="preserve"> points out, this is an unrealistic assumption for real trading portfolios of large institutions, since they hold a substantial amount of short positions. Hence, a diversified bond portfolio with both long and short positions must be created as well. </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the construction of both the long-only and the long-short portfolio, the long-only portfolio is closely related to the long-short portfolio, since the long-short portfolio structured such that it holds the same long positions as the long-only portfolio. The diversification objective in the portfolios is achieved by selecting one corporate bond from one single issuer from each of 66 second layer industry groups in the Bloomberg industry classification standard (BISC). As mentioned before, only US issuers are considered. Due to the large number of issuers of a few in these industry groups and the fact that only a limited number of these groups contain AAA-rated issuers and AA-rated issuers, two issuers are taken from the following four second layer BISC groups: Banks, Insurance, Telecommunications and Gas. Consequently, the total number of issuers and corresponding corporate bonds that are considered is 70. </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To simplify the exercise, the 70 utilized bonds are not completely identical to existing bonds of the respective 70 issuers, as the coupon dates of all bonds set to the 1st of May each year and are set to be paid annually instead of semi-annually. The bonds do, however, closely resemble the existing bonds of the relevant issuers in terms of maturity and coupon size.</w:t>
      </w:r>
      <w:r w:rsidRPr="00802C03">
        <w:rPr>
          <w:rStyle w:val="FootnoteReference"/>
          <w:rFonts w:ascii="Garamond" w:hAnsi="Garamond" w:cs="NimbusRomNo9L-Regu"/>
          <w:lang w:val="en-GB" w:eastAsia="nl-NL"/>
        </w:rPr>
        <w:footnoteReference w:id="59"/>
      </w:r>
      <w:r w:rsidRPr="00802C03">
        <w:rPr>
          <w:rFonts w:ascii="Garamond" w:hAnsi="Garamond" w:cs="NimbusRomNo9L-Regu"/>
          <w:lang w:val="en-GB" w:eastAsia="nl-NL"/>
        </w:rPr>
        <w:t xml:space="preserve"> Herein, the maturities all range between 1 and 15 years with an average of 7.26. Hence, both the long-only and long-short portfolios can be classified as intermediate maturity bond portfolios relative to the US corporate bond universe. Furthermore, the coupon percentages of all bonds are between 0% and 15%, with an average of 6.71%.  </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the composition of the long-short portfolio,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lang w:val="en-GB" w:eastAsia="nl-NL"/>
        </w:rPr>
        <w:t xml:space="preserve"> argues that 60% long and 40% short is a reasonable reflection of trading positions at major institutions. Following this claim, the long-only portfolio is formed with 42 of the 70 bonds and the long-short portfolio contains the remaining 28 bonds as short positions.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lang w:val="en-GB" w:eastAsia="nl-NL"/>
        </w:rPr>
        <w:t xml:space="preserve"> also states that a reasonable assessment of the portfolio composition of large trading institutions is 70% investment grade and 30% speculative grade, where the position size declines for lower credit ratings. This claim is implemented in the construction of the portfolios as well. More detailed information on the rating characteristics of the long and long-short is presented in </w:t>
      </w:r>
      <w:hyperlink w:anchor="T6" w:history="1">
        <w:r w:rsidRPr="00802C03">
          <w:rPr>
            <w:rStyle w:val="Hyperlink"/>
            <w:rFonts w:ascii="Garamond" w:hAnsi="Garamond" w:cs="NimbusRomNo9L-Regu"/>
            <w:color w:val="000066"/>
            <w:u w:val="none"/>
            <w:lang w:val="en-GB" w:eastAsia="nl-NL"/>
          </w:rPr>
          <w:t>table VI</w:t>
        </w:r>
      </w:hyperlink>
      <w:r w:rsidRPr="00802C03">
        <w:rPr>
          <w:rFonts w:ascii="Garamond" w:hAnsi="Garamond" w:cs="NimbusRomNo9L-Regu"/>
          <w:lang w:val="en-GB" w:eastAsia="nl-NL"/>
        </w:rPr>
        <w:t xml:space="preserve">. The long-only portfolio contains only the long positions that are displayed in panel A and the long-short portfolio comprises both the long positions in panel A and the short positions in panel B. As shown in the table, the total value of the long portfolio is $6.6 million. The relative exposure to the specific rating classes is displayed in the fifth column (Rating Class %) in both the panels in the table. The long and short positions are chosen such that the relative exposures to each rating class are roughly equivalent in the short and the long components of the long-short portfolio. Moreover, the composition adheres to the 70% investment grade vs. 30% speculative grade structure in both the long-only and the long-short portfolio.  </w:t>
      </w:r>
    </w:p>
    <w:p w:rsidR="001C7C52" w:rsidRPr="00802C03" w:rsidRDefault="001C7C52" w:rsidP="00AB3324">
      <w:pPr>
        <w:spacing w:line="280" w:lineRule="exact"/>
        <w:jc w:val="both"/>
        <w:rPr>
          <w:rFonts w:ascii="Garamond" w:hAnsi="Garamond" w:cs="NimbusRomNo9L-Regu"/>
          <w:lang w:val="en-GB" w:eastAsia="nl-NL"/>
        </w:rPr>
      </w:pPr>
    </w:p>
    <w:p w:rsidR="001C7C52" w:rsidRPr="00802C03" w:rsidRDefault="001C7C52" w:rsidP="00AB3324">
      <w:pPr>
        <w:spacing w:line="280" w:lineRule="exact"/>
        <w:jc w:val="both"/>
        <w:rPr>
          <w:rFonts w:ascii="Garamond" w:hAnsi="Garamond" w:cs="NimbusRomNo9L-Regu"/>
          <w:lang w:val="en-GB" w:eastAsia="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80"/>
        <w:gridCol w:w="1225"/>
        <w:gridCol w:w="1226"/>
        <w:gridCol w:w="1226"/>
        <w:gridCol w:w="1225"/>
        <w:gridCol w:w="1226"/>
        <w:gridCol w:w="1226"/>
        <w:gridCol w:w="1226"/>
      </w:tblGrid>
      <w:tr w:rsidR="001C7C52" w:rsidRPr="000B0ADE" w:rsidTr="001C2698">
        <w:tc>
          <w:tcPr>
            <w:tcW w:w="9460" w:type="dxa"/>
            <w:gridSpan w:val="8"/>
            <w:tcBorders>
              <w:top w:val="nil"/>
              <w:left w:val="nil"/>
              <w:bottom w:val="single" w:sz="4" w:space="0" w:color="auto"/>
              <w:right w:val="nil"/>
            </w:tcBorders>
            <w:vAlign w:val="center"/>
          </w:tcPr>
          <w:p w:rsidR="001C7C52" w:rsidRPr="00802C03" w:rsidRDefault="001C7C52" w:rsidP="001C2698">
            <w:pPr>
              <w:spacing w:line="240" w:lineRule="auto"/>
              <w:rPr>
                <w:rFonts w:ascii="Garamond" w:hAnsi="Garamond"/>
                <w:sz w:val="20"/>
                <w:lang w:val="en-GB"/>
              </w:rPr>
            </w:pPr>
            <w:r w:rsidRPr="00802C03">
              <w:rPr>
                <w:rFonts w:ascii="Garamond" w:hAnsi="Garamond"/>
                <w:b/>
                <w:color w:val="000000"/>
                <w:lang w:val="en-GB"/>
              </w:rPr>
              <w:t>T</w:t>
            </w:r>
            <w:r w:rsidRPr="00802C03">
              <w:rPr>
                <w:rFonts w:ascii="Garamond" w:hAnsi="Garamond"/>
                <w:b/>
                <w:color w:val="000000"/>
                <w:sz w:val="18"/>
                <w:szCs w:val="18"/>
                <w:lang w:val="en-GB"/>
              </w:rPr>
              <w:t>ABLE</w:t>
            </w:r>
            <w:r w:rsidRPr="00802C03">
              <w:rPr>
                <w:rFonts w:ascii="Garamond" w:hAnsi="Garamond"/>
                <w:b/>
                <w:color w:val="000000"/>
                <w:lang w:val="en-GB"/>
              </w:rPr>
              <w:t xml:space="preserve"> VI </w:t>
            </w:r>
            <w:r w:rsidRPr="00802C03">
              <w:rPr>
                <w:rFonts w:ascii="Garamond" w:hAnsi="Garamond"/>
                <w:color w:val="000000"/>
                <w:lang w:val="en-GB"/>
              </w:rPr>
              <w:t xml:space="preserve">- </w:t>
            </w:r>
            <w:r w:rsidRPr="00802C03">
              <w:rPr>
                <w:rFonts w:ascii="Garamond" w:hAnsi="Garamond"/>
                <w:sz w:val="20"/>
                <w:lang w:val="en-GB"/>
              </w:rPr>
              <w:t>Portfolio Details of the Long and Long-Short Corporate Bond Portfolios</w:t>
            </w:r>
          </w:p>
        </w:tc>
      </w:tr>
      <w:tr w:rsidR="001C7C52" w:rsidRPr="00802C03" w:rsidTr="001C2698">
        <w:tc>
          <w:tcPr>
            <w:tcW w:w="880" w:type="dxa"/>
            <w:tcBorders>
              <w:top w:val="single" w:sz="4" w:space="0" w:color="auto"/>
              <w:left w:val="nil"/>
              <w:bottom w:val="nil"/>
              <w:right w:val="nil"/>
            </w:tcBorders>
            <w:vAlign w:val="center"/>
          </w:tcPr>
          <w:p w:rsidR="001C7C52" w:rsidRPr="00802C03" w:rsidRDefault="001C7C52" w:rsidP="001C2698">
            <w:pPr>
              <w:rPr>
                <w:rFonts w:ascii="Garamond" w:hAnsi="Garamond"/>
                <w:sz w:val="20"/>
                <w:lang w:val="en-GB"/>
              </w:rPr>
            </w:pPr>
          </w:p>
        </w:tc>
        <w:tc>
          <w:tcPr>
            <w:tcW w:w="8580" w:type="dxa"/>
            <w:gridSpan w:val="7"/>
            <w:tcBorders>
              <w:top w:val="single" w:sz="4" w:space="0" w:color="auto"/>
              <w:left w:val="nil"/>
              <w:bottom w:val="single" w:sz="4" w:space="0" w:color="auto"/>
              <w:right w:val="nil"/>
            </w:tcBorders>
            <w:vAlign w:val="center"/>
          </w:tcPr>
          <w:p w:rsidR="001C7C52" w:rsidRPr="00802C03" w:rsidRDefault="001C7C52" w:rsidP="001C2698">
            <w:pPr>
              <w:rPr>
                <w:rFonts w:ascii="Garamond" w:hAnsi="Garamond"/>
                <w:i/>
                <w:sz w:val="20"/>
                <w:lang w:val="en-GB"/>
              </w:rPr>
            </w:pPr>
            <w:r w:rsidRPr="00802C03">
              <w:rPr>
                <w:rFonts w:ascii="Garamond" w:hAnsi="Garamond"/>
                <w:i/>
                <w:sz w:val="20"/>
                <w:lang w:val="en-GB"/>
              </w:rPr>
              <w:t>A. Long positions</w:t>
            </w:r>
          </w:p>
        </w:tc>
      </w:tr>
      <w:tr w:rsidR="001C7C52" w:rsidRPr="00802C03" w:rsidTr="001C2698">
        <w:tc>
          <w:tcPr>
            <w:tcW w:w="880" w:type="dxa"/>
            <w:tcBorders>
              <w:top w:val="nil"/>
              <w:left w:val="nil"/>
              <w:bottom w:val="single" w:sz="4" w:space="0" w:color="auto"/>
              <w:right w:val="nil"/>
            </w:tcBorders>
            <w:vAlign w:val="center"/>
          </w:tcPr>
          <w:p w:rsidR="001C7C52" w:rsidRPr="00802C03" w:rsidRDefault="001C7C52" w:rsidP="001C2698">
            <w:pPr>
              <w:rPr>
                <w:rFonts w:ascii="Garamond" w:hAnsi="Garamond"/>
                <w:sz w:val="20"/>
                <w:lang w:val="en-GB"/>
              </w:rPr>
            </w:pPr>
          </w:p>
        </w:tc>
        <w:tc>
          <w:tcPr>
            <w:tcW w:w="1225"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Number of Positions</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Value per Position</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Rating Class Exposure</w:t>
            </w:r>
          </w:p>
        </w:tc>
        <w:tc>
          <w:tcPr>
            <w:tcW w:w="1225"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Rating Class %</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Average Duration</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Average Maturity</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Average Coupon</w:t>
            </w:r>
          </w:p>
        </w:tc>
      </w:tr>
      <w:tr w:rsidR="001C7C52" w:rsidRPr="00802C03" w:rsidTr="001C2698">
        <w:tc>
          <w:tcPr>
            <w:tcW w:w="880" w:type="dxa"/>
            <w:tcBorders>
              <w:top w:val="single" w:sz="4" w:space="0" w:color="auto"/>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AAA</w:t>
            </w:r>
          </w:p>
        </w:tc>
        <w:tc>
          <w:tcPr>
            <w:tcW w:w="1225"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$225,000</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$900,000</w:t>
            </w:r>
          </w:p>
        </w:tc>
        <w:tc>
          <w:tcPr>
            <w:tcW w:w="1225"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13.64%</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6.20</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8.00</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4.75%</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AA</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$200,000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$1,400,000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21.21%</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5.81</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7.43</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5.43%</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A</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$200,000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$1,400,000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21.21%</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5.74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7.43</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5.29%</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BBB</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$1,050,000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15.91%</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5.86</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7.29</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8.00%</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BB</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$1,050,000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15.91%</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5.64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7.29</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7.00%</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B</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$100,000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$600,000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9.09%</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5.14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7.33</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8.33%</w:t>
            </w:r>
          </w:p>
        </w:tc>
      </w:tr>
      <w:tr w:rsidR="001C7C52" w:rsidRPr="00802C03" w:rsidTr="001C2698">
        <w:tc>
          <w:tcPr>
            <w:tcW w:w="880" w:type="dxa"/>
            <w:tcBorders>
              <w:top w:val="nil"/>
              <w:left w:val="nil"/>
              <w:bottom w:val="single" w:sz="4" w:space="0" w:color="auto"/>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CCC/C</w:t>
            </w:r>
          </w:p>
        </w:tc>
        <w:tc>
          <w:tcPr>
            <w:tcW w:w="1225"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$50,000</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$200,000</w:t>
            </w:r>
          </w:p>
        </w:tc>
        <w:tc>
          <w:tcPr>
            <w:tcW w:w="1225"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3.03%</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4.15</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5.75</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9.75%</w:t>
            </w:r>
          </w:p>
        </w:tc>
      </w:tr>
      <w:tr w:rsidR="001C7C52" w:rsidRPr="00802C03" w:rsidTr="001C2698">
        <w:tc>
          <w:tcPr>
            <w:tcW w:w="880" w:type="dxa"/>
            <w:tcBorders>
              <w:top w:val="single" w:sz="4" w:space="0" w:color="auto"/>
              <w:left w:val="nil"/>
              <w:bottom w:val="single" w:sz="4" w:space="0" w:color="auto"/>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Total</w:t>
            </w:r>
          </w:p>
        </w:tc>
        <w:tc>
          <w:tcPr>
            <w:tcW w:w="1225" w:type="dxa"/>
            <w:tcBorders>
              <w:top w:val="single" w:sz="4" w:space="0" w:color="auto"/>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42</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p>
        </w:tc>
        <w:tc>
          <w:tcPr>
            <w:tcW w:w="1226" w:type="dxa"/>
            <w:tcBorders>
              <w:top w:val="single" w:sz="4" w:space="0" w:color="auto"/>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$6,600,000</w:t>
            </w:r>
          </w:p>
        </w:tc>
        <w:tc>
          <w:tcPr>
            <w:tcW w:w="1225" w:type="dxa"/>
            <w:tcBorders>
              <w:top w:val="single" w:sz="4" w:space="0" w:color="auto"/>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100.00%</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5.72</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p>
        </w:tc>
        <w:tc>
          <w:tcPr>
            <w:tcW w:w="1226" w:type="dxa"/>
            <w:tcBorders>
              <w:top w:val="single" w:sz="4" w:space="0" w:color="auto"/>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p>
        </w:tc>
      </w:tr>
      <w:tr w:rsidR="001C7C52" w:rsidRPr="00802C03" w:rsidTr="001C2698">
        <w:tc>
          <w:tcPr>
            <w:tcW w:w="880" w:type="dxa"/>
            <w:tcBorders>
              <w:top w:val="single" w:sz="4" w:space="0" w:color="auto"/>
              <w:left w:val="nil"/>
              <w:bottom w:val="nil"/>
              <w:right w:val="nil"/>
            </w:tcBorders>
            <w:vAlign w:val="center"/>
          </w:tcPr>
          <w:p w:rsidR="001C7C52" w:rsidRPr="00802C03" w:rsidRDefault="001C7C52" w:rsidP="001C2698">
            <w:pPr>
              <w:rPr>
                <w:rFonts w:ascii="Garamond" w:hAnsi="Garamond"/>
                <w:sz w:val="20"/>
                <w:lang w:val="en-GB"/>
              </w:rPr>
            </w:pPr>
          </w:p>
        </w:tc>
        <w:tc>
          <w:tcPr>
            <w:tcW w:w="8580" w:type="dxa"/>
            <w:gridSpan w:val="7"/>
            <w:tcBorders>
              <w:top w:val="single" w:sz="4" w:space="0" w:color="auto"/>
              <w:left w:val="nil"/>
              <w:bottom w:val="single" w:sz="4" w:space="0" w:color="auto"/>
              <w:right w:val="nil"/>
            </w:tcBorders>
            <w:vAlign w:val="center"/>
          </w:tcPr>
          <w:p w:rsidR="001C7C52" w:rsidRPr="00802C03" w:rsidRDefault="001C7C52" w:rsidP="001C2698">
            <w:pPr>
              <w:rPr>
                <w:rFonts w:ascii="Garamond" w:hAnsi="Garamond"/>
                <w:i/>
                <w:sz w:val="20"/>
                <w:lang w:val="en-GB"/>
              </w:rPr>
            </w:pPr>
            <w:r w:rsidRPr="00802C03">
              <w:rPr>
                <w:rFonts w:ascii="Garamond" w:hAnsi="Garamond"/>
                <w:i/>
                <w:sz w:val="20"/>
                <w:lang w:val="en-GB"/>
              </w:rPr>
              <w:t>B. Short positions</w:t>
            </w:r>
          </w:p>
        </w:tc>
      </w:tr>
      <w:tr w:rsidR="001C7C52" w:rsidRPr="00802C03" w:rsidTr="001C2698">
        <w:tc>
          <w:tcPr>
            <w:tcW w:w="880" w:type="dxa"/>
            <w:tcBorders>
              <w:top w:val="nil"/>
              <w:left w:val="nil"/>
              <w:bottom w:val="single" w:sz="4" w:space="0" w:color="auto"/>
              <w:right w:val="nil"/>
            </w:tcBorders>
            <w:vAlign w:val="center"/>
          </w:tcPr>
          <w:p w:rsidR="001C7C52" w:rsidRPr="00802C03" w:rsidRDefault="001C7C52" w:rsidP="001C2698">
            <w:pPr>
              <w:rPr>
                <w:rFonts w:ascii="Garamond" w:hAnsi="Garamond"/>
                <w:sz w:val="20"/>
                <w:lang w:val="en-GB"/>
              </w:rPr>
            </w:pPr>
          </w:p>
        </w:tc>
        <w:tc>
          <w:tcPr>
            <w:tcW w:w="1225"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Number of Positions</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Value per Position</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Rating Class Exposure</w:t>
            </w:r>
          </w:p>
        </w:tc>
        <w:tc>
          <w:tcPr>
            <w:tcW w:w="1225"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Rating Class %</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Average Duration</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Average Maturity</w:t>
            </w:r>
          </w:p>
        </w:tc>
        <w:tc>
          <w:tcPr>
            <w:tcW w:w="1226" w:type="dxa"/>
            <w:tcBorders>
              <w:top w:val="single" w:sz="4" w:space="0" w:color="auto"/>
              <w:left w:val="nil"/>
              <w:bottom w:val="single" w:sz="4" w:space="0" w:color="auto"/>
              <w:right w:val="nil"/>
            </w:tcBorders>
            <w:vAlign w:val="center"/>
          </w:tcPr>
          <w:p w:rsidR="001C7C52" w:rsidRPr="00802C03" w:rsidRDefault="001C7C52" w:rsidP="001C2698">
            <w:pPr>
              <w:spacing w:line="240" w:lineRule="auto"/>
              <w:jc w:val="center"/>
              <w:rPr>
                <w:rFonts w:ascii="Garamond" w:hAnsi="Garamond"/>
                <w:sz w:val="20"/>
                <w:lang w:val="en-GB"/>
              </w:rPr>
            </w:pPr>
            <w:r w:rsidRPr="00802C03">
              <w:rPr>
                <w:rFonts w:ascii="Garamond" w:hAnsi="Garamond"/>
                <w:sz w:val="20"/>
                <w:lang w:val="en-GB"/>
              </w:rPr>
              <w:t>Average Coupon</w:t>
            </w:r>
          </w:p>
        </w:tc>
      </w:tr>
      <w:tr w:rsidR="001C7C52" w:rsidRPr="00802C03" w:rsidTr="001C2698">
        <w:tc>
          <w:tcPr>
            <w:tcW w:w="880" w:type="dxa"/>
            <w:tcBorders>
              <w:top w:val="single" w:sz="4" w:space="0" w:color="auto"/>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AAA</w:t>
            </w:r>
          </w:p>
        </w:tc>
        <w:tc>
          <w:tcPr>
            <w:tcW w:w="1225"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3</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-$225,000</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-$675,000</w:t>
            </w:r>
          </w:p>
        </w:tc>
        <w:tc>
          <w:tcPr>
            <w:tcW w:w="1225"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15.43%</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6.11</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7.33</w:t>
            </w:r>
          </w:p>
        </w:tc>
        <w:tc>
          <w:tcPr>
            <w:tcW w:w="1226" w:type="dxa"/>
            <w:tcBorders>
              <w:top w:val="single" w:sz="4" w:space="0" w:color="auto"/>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4.67%</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AA</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-$200,000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-$800,000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18.29%</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5.90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7.25</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6.00%</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A</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-$200,000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-$1,000,000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22.86%</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5.52</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6.80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6.20%</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BBB</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-$750,000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17.14%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5.95</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7.80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5.40%</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BB</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-$600,000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13.71%</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5.44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7.75</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6.75%</w:t>
            </w:r>
          </w:p>
        </w:tc>
      </w:tr>
      <w:tr w:rsidR="001C7C52" w:rsidRPr="00802C03" w:rsidTr="001C2698">
        <w:tc>
          <w:tcPr>
            <w:tcW w:w="880" w:type="dxa"/>
            <w:tcBorders>
              <w:top w:val="nil"/>
              <w:left w:val="nil"/>
              <w:bottom w:val="nil"/>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B</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-$100,000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-$400,000</w:t>
            </w:r>
          </w:p>
        </w:tc>
        <w:tc>
          <w:tcPr>
            <w:tcW w:w="1225"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9.14%</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5.03</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6.50</w:t>
            </w:r>
          </w:p>
        </w:tc>
        <w:tc>
          <w:tcPr>
            <w:tcW w:w="1226" w:type="dxa"/>
            <w:tcBorders>
              <w:top w:val="nil"/>
              <w:left w:val="nil"/>
              <w:bottom w:val="nil"/>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8.50%</w:t>
            </w:r>
          </w:p>
        </w:tc>
      </w:tr>
      <w:tr w:rsidR="001C7C52" w:rsidRPr="00802C03" w:rsidTr="001C2698">
        <w:tc>
          <w:tcPr>
            <w:tcW w:w="880" w:type="dxa"/>
            <w:tcBorders>
              <w:top w:val="nil"/>
              <w:left w:val="nil"/>
              <w:bottom w:val="single" w:sz="4" w:space="0" w:color="auto"/>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CCC/C</w:t>
            </w:r>
          </w:p>
        </w:tc>
        <w:tc>
          <w:tcPr>
            <w:tcW w:w="1225"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3</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-$50,000</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-$150,000</w:t>
            </w:r>
          </w:p>
        </w:tc>
        <w:tc>
          <w:tcPr>
            <w:tcW w:w="1225"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3.43%</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4.20</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7.33</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8.33%</w:t>
            </w:r>
          </w:p>
        </w:tc>
      </w:tr>
      <w:tr w:rsidR="001C7C52" w:rsidRPr="00802C03" w:rsidTr="001C2698">
        <w:tc>
          <w:tcPr>
            <w:tcW w:w="880" w:type="dxa"/>
            <w:tcBorders>
              <w:top w:val="nil"/>
              <w:left w:val="nil"/>
              <w:bottom w:val="single" w:sz="4" w:space="0" w:color="auto"/>
              <w:right w:val="nil"/>
            </w:tcBorders>
            <w:vAlign w:val="center"/>
          </w:tcPr>
          <w:p w:rsidR="001C7C52" w:rsidRPr="00802C03" w:rsidRDefault="001C7C52" w:rsidP="001C2698">
            <w:pPr>
              <w:rPr>
                <w:rFonts w:ascii="Garamond" w:hAnsi="Garamond"/>
                <w:sz w:val="20"/>
                <w:lang w:val="en-GB"/>
              </w:rPr>
            </w:pPr>
            <w:r w:rsidRPr="00802C03">
              <w:rPr>
                <w:rFonts w:ascii="Garamond" w:hAnsi="Garamond"/>
                <w:sz w:val="20"/>
                <w:lang w:val="en-GB"/>
              </w:rPr>
              <w:t>Total</w:t>
            </w:r>
          </w:p>
        </w:tc>
        <w:tc>
          <w:tcPr>
            <w:tcW w:w="1225"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28</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-$4,375,000</w:t>
            </w:r>
          </w:p>
        </w:tc>
        <w:tc>
          <w:tcPr>
            <w:tcW w:w="1225"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100.00%</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r w:rsidRPr="00802C03">
              <w:rPr>
                <w:rFonts w:ascii="Garamond" w:hAnsi="Garamond"/>
                <w:sz w:val="20"/>
                <w:lang w:val="en-GB"/>
              </w:rPr>
              <w:t>5.65</w:t>
            </w: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p>
        </w:tc>
        <w:tc>
          <w:tcPr>
            <w:tcW w:w="1226" w:type="dxa"/>
            <w:tcBorders>
              <w:top w:val="nil"/>
              <w:left w:val="nil"/>
              <w:bottom w:val="single" w:sz="4" w:space="0" w:color="auto"/>
              <w:right w:val="nil"/>
            </w:tcBorders>
            <w:vAlign w:val="center"/>
          </w:tcPr>
          <w:p w:rsidR="001C7C52" w:rsidRPr="00802C03" w:rsidRDefault="001C7C52" w:rsidP="001C2698">
            <w:pPr>
              <w:jc w:val="center"/>
              <w:rPr>
                <w:rFonts w:ascii="Garamond" w:hAnsi="Garamond"/>
                <w:sz w:val="20"/>
                <w:lang w:val="en-GB"/>
              </w:rPr>
            </w:pPr>
          </w:p>
        </w:tc>
      </w:tr>
      <w:tr w:rsidR="001C7C52" w:rsidRPr="00802C03" w:rsidTr="001C2698">
        <w:tc>
          <w:tcPr>
            <w:tcW w:w="9460" w:type="dxa"/>
            <w:gridSpan w:val="8"/>
            <w:tcBorders>
              <w:top w:val="single" w:sz="4" w:space="0" w:color="auto"/>
              <w:left w:val="nil"/>
              <w:bottom w:val="nil"/>
              <w:right w:val="nil"/>
            </w:tcBorders>
            <w:vAlign w:val="center"/>
          </w:tcPr>
          <w:p w:rsidR="001C7C52" w:rsidRPr="00802C03" w:rsidRDefault="001C7C52" w:rsidP="000C4E1E">
            <w:pPr>
              <w:spacing w:after="40" w:line="180" w:lineRule="exact"/>
              <w:jc w:val="both"/>
              <w:rPr>
                <w:rFonts w:ascii="Garamond" w:hAnsi="Garamond"/>
                <w:sz w:val="16"/>
                <w:szCs w:val="16"/>
                <w:lang w:val="en-GB"/>
              </w:rPr>
            </w:pPr>
            <w:r w:rsidRPr="00802C03">
              <w:rPr>
                <w:rFonts w:ascii="Garamond" w:hAnsi="Garamond"/>
                <w:sz w:val="16"/>
                <w:szCs w:val="16"/>
                <w:lang w:val="en-GB"/>
              </w:rPr>
              <w:t>The duration of the ‘total’ denotes the duration of all short or all long positions. All issuer ratings underlying the table are from 01/05/2009, as that is the model estimation date. The rating class exposure denotes the exposure to the specific rating class and the rating class % denotes the relative long or short exposure to the specific rating class. Duration and maturity are both presented in years.</w:t>
            </w:r>
          </w:p>
        </w:tc>
      </w:tr>
    </w:tbl>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Another important characteristic of a bond portfolio is the duration, which signals the sensitivity to interest rate/yield changes. The duration measure might especially be an effective tool in the assessment of migration risk in bond portfolios as its use assumes parallel movement of the yield curve. Credit migrations of issuers mostly generate such movement as yield curves of different rating classes often have similar shapes. Due to these features of the duration concept, it is important to account for it in the formation of the corporate bond portfolios. The duration of the long-only portfolio is 5.72 as shown in </w:t>
      </w:r>
      <w:hyperlink w:anchor="T6" w:history="1">
        <w:r w:rsidRPr="00802C03">
          <w:rPr>
            <w:rStyle w:val="Hyperlink"/>
            <w:rFonts w:ascii="Garamond" w:hAnsi="Garamond"/>
            <w:color w:val="000066"/>
            <w:u w:val="none"/>
            <w:lang w:val="en-GB"/>
          </w:rPr>
          <w:t>table VI</w:t>
        </w:r>
      </w:hyperlink>
      <w:r w:rsidRPr="00802C03">
        <w:rPr>
          <w:rFonts w:ascii="Garamond" w:hAnsi="Garamond"/>
          <w:lang w:val="en-GB"/>
        </w:rPr>
        <w:t>. As a comparison to that number, the average duration of the Barclays US Corporate Intermediate Bond Index at 01/05/2009 was 4.39 and that of the Barclays US Corporate Long Bond Index was 11.25 at that same date. Hence, the long-only portfolio is slightly more sensitive to yield changes than the bonds underlying the Barclays US Corporate Intermediate Bond Index. Therefore, in the duration context, the portfolio can also be defined as a relatively intermediate portfolio.</w:t>
      </w:r>
      <w:r w:rsidRPr="00802C03">
        <w:rPr>
          <w:rStyle w:val="FootnoteReference"/>
          <w:rFonts w:ascii="Garamond" w:hAnsi="Garamond"/>
          <w:lang w:val="en-GB"/>
        </w:rPr>
        <w:footnoteReference w:id="60"/>
      </w:r>
      <w:r w:rsidRPr="00802C03">
        <w:rPr>
          <w:rFonts w:ascii="Garamond" w:hAnsi="Garamond"/>
          <w:lang w:val="en-GB"/>
        </w:rPr>
        <w:t xml:space="preserve"> This intermediate nature of the portfolio adds to the usefulness of the model output that will be generated by the portfolio, since it will reflect the required ‘average’ nature of the portfolio. Consequently, the estimation results reflect the effects that would occur in an average setting.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The total absolute exposure of the long-short portfolio is $10.975 million, since it comprises both the long positions in panel A in </w:t>
      </w:r>
      <w:hyperlink w:anchor="T6" w:history="1">
        <w:r w:rsidRPr="00802C03">
          <w:rPr>
            <w:rStyle w:val="Hyperlink"/>
            <w:rFonts w:ascii="Garamond" w:hAnsi="Garamond"/>
            <w:color w:val="000066"/>
            <w:u w:val="none"/>
            <w:lang w:val="en-GB"/>
          </w:rPr>
          <w:t>table VI</w:t>
        </w:r>
      </w:hyperlink>
      <w:r w:rsidRPr="00802C03">
        <w:rPr>
          <w:rFonts w:ascii="Garamond" w:hAnsi="Garamond"/>
          <w:lang w:val="en-GB"/>
        </w:rPr>
        <w:t xml:space="preserve"> and the short positions in panel B. The net exposure is only $2.225 million. The long positions make up 60.14% of the portfolio and the remaining 39.86% is made up of short positions. In this portfolio, the bond durations are even more important, as the portfolio can be seen as a bundle of assets and liabilities. Duration is used very frequently in the management of risk in an asset-liability context. In the construction of the portfolio, the duration per rating class was the driving factor. As displayed in the table, the durations per rating class and in total are almost equivalent when the long and short positions are compared. It is not unreasonable to assume that large institutions may follow a similar rule, since it implies that the yield or interest rate sensitivity is equal for both the long and short positions. Partially as a result of that, the constructed long-short portfolio may be a reasonable approximation of an average real trading portfolio in terms of durations, maturity, coupon, long-short exposures and relative exposure per rating class.  </w:t>
      </w:r>
      <w:hyperlink w:anchor="SA3" w:history="1">
        <w:r w:rsidRPr="00802C03">
          <w:rPr>
            <w:rStyle w:val="Hyperlink"/>
            <w:rFonts w:ascii="Garamond" w:hAnsi="Garamond"/>
            <w:color w:val="000066"/>
            <w:u w:val="none"/>
            <w:lang w:val="en-GB"/>
          </w:rPr>
          <w:t>Appendix A.3</w:t>
        </w:r>
      </w:hyperlink>
      <w:r w:rsidRPr="00802C03">
        <w:rPr>
          <w:rFonts w:ascii="Garamond" w:hAnsi="Garamond"/>
          <w:lang w:val="en-GB"/>
        </w:rPr>
        <w:t xml:space="preserve"> provides the details of all individual bonds in the portfolios (maturity, coupon and duration). </w:t>
      </w:r>
    </w:p>
    <w:p w:rsidR="001C7C52" w:rsidRPr="00802C03" w:rsidRDefault="001C7C52" w:rsidP="000009F9">
      <w:pPr>
        <w:spacing w:line="160" w:lineRule="exact"/>
        <w:jc w:val="both"/>
        <w:rPr>
          <w:rFonts w:ascii="Garamond" w:hAnsi="Garamond"/>
          <w:lang w:val="en-GB"/>
        </w:rPr>
      </w:pPr>
      <w:bookmarkStart w:id="64" w:name="T6"/>
      <w:bookmarkEnd w:id="64"/>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 xml:space="preserve">With the complete specification of the long only and the long-short portfolio in place, it is time to move on to the long-short portfolio with concentrated positions. The evaluation of such a portfolio in the proposed model displays to what extent the credit risk in a portfolio increases when some large positions are introduced into the portfolio. In practice, many financial institutions have some major positions at some point in time and therefore, it is extremely relevant to estimate what the effects of these positions are on the migration and default risk of the complete bond portfolio. </w:t>
      </w:r>
    </w:p>
    <w:p w:rsidR="001C7C52" w:rsidRPr="00802C03" w:rsidRDefault="001C7C52" w:rsidP="00AB3324">
      <w:pPr>
        <w:spacing w:line="280" w:lineRule="exact"/>
        <w:jc w:val="both"/>
        <w:rPr>
          <w:rFonts w:ascii="Garamond" w:hAnsi="Garamond"/>
          <w:lang w:val="en-GB"/>
        </w:rPr>
      </w:pPr>
      <w:r w:rsidRPr="00802C03">
        <w:rPr>
          <w:rFonts w:ascii="Garamond" w:hAnsi="Garamond"/>
          <w:lang w:val="en-GB"/>
        </w:rPr>
        <w:t>To construct this portfolio the long-short portfolio is copied, yet two positions are enlarged to serve as concentrated positions. The relatively low risk A-rated Goldman Sachs Group Inc (long) position is increased from $200,000 to $800,000, while the other A-rated long positions are reduced from $200,000 to $100,000. In relative terms, this implies that the Goldman Sachs position is increased from 3.03% to 12.12% of the total value of the long positions in the portfolio. The total value of the long positions has not changed due to the decreased value of the other A-rated positions. The second position that is enlarged is the relatively risky B-rated Alliance One International Inc position. This (long) exposure is increased from $100,000 to $500,000 or in relative terms from 1.52% to 7.58% of the total value of the long positions in the portfolio, while the other B-rated long positions have been reduced from $100,000 to $20,000. Again, the decline in the value of the other B-rated long positions ensures that the total value of the long positions in the portfolio remains equal. Obviously, the net exposure does not change as well. Furthermore, the duration of the long positions changes only slightly from 5.72 to 5.53, while the duration of the short positions obviously does not change at all.</w:t>
      </w:r>
    </w:p>
    <w:p w:rsidR="001C7C52" w:rsidRPr="00802C03" w:rsidRDefault="001C7C52" w:rsidP="00E42923">
      <w:pPr>
        <w:tabs>
          <w:tab w:val="left" w:pos="0"/>
        </w:tabs>
        <w:spacing w:after="120" w:line="280" w:lineRule="exact"/>
        <w:ind w:hanging="567"/>
        <w:jc w:val="both"/>
        <w:rPr>
          <w:rFonts w:ascii="Garamond" w:hAnsi="Garamond"/>
          <w:b/>
          <w:lang w:val="en-GB"/>
        </w:rPr>
      </w:pPr>
      <w:r w:rsidRPr="00802C03">
        <w:rPr>
          <w:rFonts w:ascii="Garamond" w:hAnsi="Garamond"/>
          <w:b/>
          <w:lang w:val="en-GB"/>
        </w:rPr>
        <w:t>2.3.2</w:t>
      </w:r>
      <w:r w:rsidRPr="00802C03">
        <w:rPr>
          <w:rFonts w:ascii="Garamond" w:hAnsi="Garamond"/>
          <w:b/>
          <w:lang w:val="en-GB"/>
        </w:rPr>
        <w:tab/>
      </w:r>
      <w:bookmarkStart w:id="65" w:name="S232"/>
      <w:bookmarkEnd w:id="65"/>
      <w:r w:rsidRPr="00802C03">
        <w:rPr>
          <w:rFonts w:ascii="Garamond" w:hAnsi="Garamond"/>
          <w:b/>
          <w:lang w:val="en-GB"/>
        </w:rPr>
        <w:t>Liquidity Horizons</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As pointed out in the guidelines of the incremental risk model, the liquidity horizon of a credit product represents the amount of time it may take to sell or hedge </w:t>
      </w:r>
      <w:r w:rsidRPr="00802C03">
        <w:rPr>
          <w:rFonts w:ascii="Garamond" w:hAnsi="Garamond"/>
          <w:lang w:val="en-GB"/>
        </w:rPr>
        <w:t xml:space="preserve">all material risks covered by the incremental risk model </w:t>
      </w:r>
      <w:r w:rsidRPr="00802C03">
        <w:rPr>
          <w:rFonts w:ascii="Garamond" w:hAnsi="Garamond" w:cs="NimbusRomNo9L-Regu"/>
          <w:lang w:val="en-GB" w:eastAsia="nl-NL"/>
        </w:rPr>
        <w:t>in stressed market conditions. The liquidity horizon concept is a relatively new feature in the Basel II Framework and in the empirical literature as well. Of course, numerous studies have addressed the liquidity subject in the credit risk context.</w:t>
      </w:r>
      <w:r w:rsidRPr="00802C03">
        <w:rPr>
          <w:rStyle w:val="FootnoteReference"/>
          <w:rFonts w:ascii="Garamond" w:hAnsi="Garamond" w:cs="NimbusRomNo9L-Regu"/>
          <w:lang w:val="en-GB" w:eastAsia="nl-NL"/>
        </w:rPr>
        <w:footnoteReference w:id="61"/>
      </w:r>
      <w:r w:rsidRPr="00802C03">
        <w:rPr>
          <w:rFonts w:ascii="Garamond" w:hAnsi="Garamond" w:cs="NimbusRomNo9L-Regu"/>
          <w:lang w:val="en-GB" w:eastAsia="nl-NL"/>
        </w:rPr>
        <w:t xml:space="preserve"> However, few if any have addressed liquidity in the form set forth by the model guidelines. Although the subject is extremely relevant a</w:t>
      </w:r>
      <w:r>
        <w:rPr>
          <w:rFonts w:ascii="Garamond" w:hAnsi="Garamond" w:cs="NimbusRomNo9L-Regu"/>
          <w:lang w:val="en-GB" w:eastAsia="nl-NL"/>
        </w:rPr>
        <w:t>s well as</w:t>
      </w:r>
      <w:r w:rsidRPr="00802C03">
        <w:rPr>
          <w:rFonts w:ascii="Garamond" w:hAnsi="Garamond" w:cs="NimbusRomNo9L-Regu"/>
          <w:lang w:val="en-GB" w:eastAsia="nl-NL"/>
        </w:rPr>
        <w:t xml:space="preserve"> interesting in the current market environment, proposing a model of that form is beyond the scope of this study.</w:t>
      </w: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Even so, the liquidity horizons of all bonds are required inputs in the estimation of the proposed incremental risk model. Consequently, reasonable assumptions have to be made with respect to the liquidity horizons that will be employed in the model estimations. Herein, only one simple rule is followed: the liquidity horizon should be longer for bonds with a lower underlying issuer credit quality. This rule is obviously based on the well known flight for quality during times of severe market turmoil and is also cited in the incremental risk model guidelines. Employing this simple rule, the following assumptions with respect to the liquidity horizons of the individual positions in the portfolio are proposed:</w:t>
      </w:r>
    </w:p>
    <w:p w:rsidR="001C7C52" w:rsidRPr="00802C03" w:rsidRDefault="001C7C52" w:rsidP="00B81020">
      <w:pPr>
        <w:spacing w:before="80" w:line="280" w:lineRule="exact"/>
        <w:jc w:val="both"/>
        <w:rPr>
          <w:rFonts w:ascii="Garamond" w:hAnsi="Garamond" w:cs="NimbusRomNo9L-Regu"/>
          <w:lang w:val="en-GB" w:eastAsia="nl-NL"/>
        </w:rPr>
      </w:pPr>
      <w:r w:rsidRPr="00802C03">
        <w:rPr>
          <w:rFonts w:ascii="Garamond" w:hAnsi="Garamond" w:cs="NimbusRomNo9L-Regu"/>
          <w:lang w:val="en-GB" w:eastAsia="nl-NL"/>
        </w:rPr>
        <w:tab/>
        <w:t xml:space="preserve">AAA, AA </w:t>
      </w:r>
      <w:r w:rsidRPr="00802C03">
        <w:rPr>
          <w:rFonts w:ascii="Garamond" w:hAnsi="Garamond" w:cs="NimbusRomNo9L-Regu"/>
          <w:lang w:val="en-GB" w:eastAsia="nl-NL"/>
        </w:rPr>
        <w:tab/>
      </w:r>
      <w:r w:rsidRPr="00802C03">
        <w:rPr>
          <w:rFonts w:ascii="Garamond" w:hAnsi="Garamond" w:cs="NimbusRomNo9L-Regu"/>
          <w:lang w:val="en-GB" w:eastAsia="nl-NL"/>
        </w:rPr>
        <w:tab/>
      </w:r>
      <w:r w:rsidRPr="00100BDF">
        <w:rPr>
          <w:rFonts w:ascii="Garamond" w:hAnsi="Garamond" w:cs="NimbusRomNo9L-Regu"/>
          <w:position w:val="-10"/>
          <w:lang w:val="en-GB" w:eastAsia="nl-NL"/>
        </w:rPr>
        <w:object w:dxaOrig="520" w:dyaOrig="300">
          <v:shape id="_x0000_i1775" type="#_x0000_t75" style="width:26.25pt;height:15pt" o:ole="">
            <v:imagedata r:id="rId1397" o:title=""/>
          </v:shape>
          <o:OLEObject Type="Embed" ProgID="Equation.DSMT4" ShapeID="_x0000_i1775" DrawAspect="Content" ObjectID="_1324894254" r:id="rId1398"/>
        </w:object>
      </w:r>
      <w:r w:rsidRPr="00802C03">
        <w:rPr>
          <w:rFonts w:ascii="Garamond" w:hAnsi="Garamond" w:cs="NimbusRomNo9L-Regu"/>
          <w:lang w:val="en-GB" w:eastAsia="nl-NL"/>
        </w:rPr>
        <w:t>,</w:t>
      </w:r>
    </w:p>
    <w:p w:rsidR="001C7C52" w:rsidRPr="00802C03" w:rsidRDefault="001C7C52" w:rsidP="00B81020">
      <w:pPr>
        <w:spacing w:before="12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A, BBB, BB </w:t>
      </w:r>
      <w:r w:rsidRPr="00802C03">
        <w:rPr>
          <w:rFonts w:ascii="Garamond" w:hAnsi="Garamond" w:cs="NimbusRomNo9L-Regu"/>
          <w:lang w:val="en-GB" w:eastAsia="nl-NL"/>
        </w:rPr>
        <w:tab/>
      </w:r>
      <w:r w:rsidRPr="00802C03">
        <w:rPr>
          <w:rFonts w:ascii="Garamond" w:hAnsi="Garamond" w:cs="NimbusRomNo9L-Regu"/>
          <w:lang w:val="en-GB" w:eastAsia="nl-NL"/>
        </w:rPr>
        <w:tab/>
      </w:r>
      <w:r w:rsidRPr="00100BDF">
        <w:rPr>
          <w:rFonts w:ascii="Garamond" w:hAnsi="Garamond" w:cs="NimbusRomNo9L-Regu"/>
          <w:position w:val="-10"/>
          <w:lang w:val="en-GB" w:eastAsia="nl-NL"/>
        </w:rPr>
        <w:object w:dxaOrig="540" w:dyaOrig="300">
          <v:shape id="_x0000_i1776" type="#_x0000_t75" style="width:27pt;height:15pt" o:ole="">
            <v:imagedata r:id="rId1399" o:title=""/>
          </v:shape>
          <o:OLEObject Type="Embed" ProgID="Equation.DSMT4" ShapeID="_x0000_i1776" DrawAspect="Content" ObjectID="_1324894255" r:id="rId1400"/>
        </w:object>
      </w:r>
      <w:r w:rsidRPr="00802C03">
        <w:rPr>
          <w:rFonts w:ascii="Garamond" w:hAnsi="Garamond" w:cs="NimbusRomNo9L-Regu"/>
          <w:lang w:val="en-GB" w:eastAsia="nl-NL"/>
        </w:rPr>
        <w:t>,</w:t>
      </w:r>
    </w:p>
    <w:p w:rsidR="001C7C52" w:rsidRPr="00802C03" w:rsidRDefault="001C7C52" w:rsidP="00B81020">
      <w:pPr>
        <w:spacing w:before="12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B </w:t>
      </w:r>
      <w:r w:rsidRPr="00802C03">
        <w:rPr>
          <w:rFonts w:ascii="Garamond" w:hAnsi="Garamond" w:cs="NimbusRomNo9L-Regu"/>
          <w:lang w:val="en-GB" w:eastAsia="nl-NL"/>
        </w:rPr>
        <w:tab/>
      </w:r>
      <w:r w:rsidRPr="00802C03">
        <w:rPr>
          <w:rFonts w:ascii="Garamond" w:hAnsi="Garamond" w:cs="NimbusRomNo9L-Regu"/>
          <w:lang w:val="en-GB" w:eastAsia="nl-NL"/>
        </w:rPr>
        <w:tab/>
      </w:r>
      <w:r w:rsidRPr="00802C03">
        <w:rPr>
          <w:rFonts w:ascii="Garamond" w:hAnsi="Garamond" w:cs="NimbusRomNo9L-Regu"/>
          <w:lang w:val="en-GB" w:eastAsia="nl-NL"/>
        </w:rPr>
        <w:tab/>
      </w:r>
      <w:r w:rsidRPr="00100BDF">
        <w:rPr>
          <w:rFonts w:ascii="Garamond" w:hAnsi="Garamond" w:cs="NimbusRomNo9L-Regu"/>
          <w:position w:val="-10"/>
          <w:lang w:val="en-GB" w:eastAsia="nl-NL"/>
        </w:rPr>
        <w:object w:dxaOrig="540" w:dyaOrig="300">
          <v:shape id="_x0000_i1777" type="#_x0000_t75" style="width:27pt;height:15pt" o:ole="">
            <v:imagedata r:id="rId1401" o:title=""/>
          </v:shape>
          <o:OLEObject Type="Embed" ProgID="Equation.DSMT4" ShapeID="_x0000_i1777" DrawAspect="Content" ObjectID="_1324894256" r:id="rId1402"/>
        </w:object>
      </w:r>
      <w:r w:rsidRPr="00802C03">
        <w:rPr>
          <w:rFonts w:ascii="Garamond" w:hAnsi="Garamond" w:cs="NimbusRomNo9L-Regu"/>
          <w:lang w:val="en-GB" w:eastAsia="nl-NL"/>
        </w:rPr>
        <w:t>,</w:t>
      </w:r>
    </w:p>
    <w:p w:rsidR="001C7C52" w:rsidRPr="00802C03" w:rsidRDefault="001C7C52" w:rsidP="00B81020">
      <w:pPr>
        <w:spacing w:before="12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CCC/C </w:t>
      </w:r>
      <w:r w:rsidRPr="00802C03">
        <w:rPr>
          <w:rFonts w:ascii="Garamond" w:hAnsi="Garamond" w:cs="NimbusRomNo9L-Regu"/>
          <w:lang w:val="en-GB" w:eastAsia="nl-NL"/>
        </w:rPr>
        <w:tab/>
      </w:r>
      <w:r w:rsidRPr="00802C03">
        <w:rPr>
          <w:rFonts w:ascii="Garamond" w:hAnsi="Garamond" w:cs="NimbusRomNo9L-Regu"/>
          <w:lang w:val="en-GB" w:eastAsia="nl-NL"/>
        </w:rPr>
        <w:tab/>
      </w:r>
      <w:r w:rsidRPr="00100BDF">
        <w:rPr>
          <w:rFonts w:ascii="Garamond" w:hAnsi="Garamond" w:cs="NimbusRomNo9L-Regu"/>
          <w:position w:val="-10"/>
          <w:lang w:val="en-GB" w:eastAsia="nl-NL"/>
        </w:rPr>
        <w:object w:dxaOrig="620" w:dyaOrig="300">
          <v:shape id="_x0000_i1778" type="#_x0000_t75" style="width:31.5pt;height:15pt" o:ole="">
            <v:imagedata r:id="rId1403" o:title=""/>
          </v:shape>
          <o:OLEObject Type="Embed" ProgID="Equation.DSMT4" ShapeID="_x0000_i1778" DrawAspect="Content" ObjectID="_1324894257" r:id="rId1404"/>
        </w:object>
      </w:r>
      <w:r w:rsidRPr="00802C03">
        <w:rPr>
          <w:rFonts w:ascii="Garamond" w:hAnsi="Garamond" w:cs="NimbusRomNo9L-Regu"/>
          <w:lang w:val="en-GB" w:eastAsia="nl-NL"/>
        </w:rPr>
        <w:t>,</w:t>
      </w:r>
    </w:p>
    <w:p w:rsidR="001C7C52" w:rsidRPr="00802C03" w:rsidRDefault="001C7C52" w:rsidP="00B81020">
      <w:pPr>
        <w:spacing w:before="160" w:after="160" w:line="28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200" w:dyaOrig="300">
          <v:shape id="_x0000_i1779" type="#_x0000_t75" style="width:9.75pt;height:15pt" o:ole="">
            <v:imagedata r:id="rId1405" o:title=""/>
          </v:shape>
          <o:OLEObject Type="Embed" ProgID="Equation.DSMT4" ShapeID="_x0000_i1779" DrawAspect="Content" ObjectID="_1324894258" r:id="rId1406"/>
        </w:object>
      </w:r>
      <w:r w:rsidRPr="00802C03">
        <w:rPr>
          <w:rFonts w:ascii="Garamond" w:hAnsi="Garamond" w:cs="NimbusRomNo9L-Regu"/>
          <w:lang w:val="en-GB" w:eastAsia="nl-NL"/>
        </w:rPr>
        <w:t xml:space="preserve"> is the length of the liquidity horizon of position </w:t>
      </w:r>
      <w:r w:rsidRPr="00100BDF">
        <w:rPr>
          <w:rFonts w:ascii="Garamond" w:hAnsi="Garamond" w:cs="NimbusRomNo9L-Regu"/>
          <w:position w:val="-6"/>
          <w:lang w:val="en-GB" w:eastAsia="nl-NL"/>
        </w:rPr>
        <w:object w:dxaOrig="139" w:dyaOrig="240">
          <v:shape id="_x0000_i1780" type="#_x0000_t75" style="width:6.75pt;height:12pt" o:ole="">
            <v:imagedata r:id="rId1407" o:title=""/>
          </v:shape>
          <o:OLEObject Type="Embed" ProgID="Equation.DSMT4" ShapeID="_x0000_i1780" DrawAspect="Content" ObjectID="_1324894259" r:id="rId1408"/>
        </w:object>
      </w:r>
      <w:r w:rsidRPr="00802C03">
        <w:rPr>
          <w:rFonts w:ascii="Garamond" w:hAnsi="Garamond" w:cs="NimbusRomNo9L-Regu"/>
          <w:lang w:val="en-GB" w:eastAsia="nl-NL"/>
        </w:rPr>
        <w:t xml:space="preserve"> in months.</w:t>
      </w:r>
    </w:p>
    <w:p w:rsidR="001C7C52" w:rsidRPr="00802C03" w:rsidRDefault="001C7C52" w:rsidP="00AB3324">
      <w:pPr>
        <w:spacing w:line="280" w:lineRule="exact"/>
        <w:jc w:val="both"/>
        <w:rPr>
          <w:rFonts w:ascii="Garamond" w:hAnsi="Garamond"/>
          <w:lang w:val="en-GB"/>
        </w:rPr>
      </w:pPr>
      <w:r w:rsidRPr="00802C03">
        <w:rPr>
          <w:rFonts w:ascii="Garamond" w:hAnsi="Garamond" w:cs="NimbusRomNo9L-Regu"/>
          <w:lang w:val="en-GB" w:eastAsia="nl-NL"/>
        </w:rPr>
        <w:t>This set of liquidity horizon assumptions is applied in all three portfolios. The only exemption is that in the long-short portfolio with concentrated positions, the liquidity horizons of the two concentrated positions are increased by three months relative to the rule expressed above. In essence, t</w:t>
      </w:r>
      <w:r w:rsidRPr="00802C03">
        <w:rPr>
          <w:rFonts w:ascii="Garamond" w:hAnsi="Garamond"/>
          <w:lang w:val="en-GB"/>
        </w:rPr>
        <w:t>he length of the liquidity horizon is likely to be longer for concentrated positions, simply due to the fact that it takes much more time to sell or hedge the risks of a large position or concentration in a stressed market environment. Capturing effects of this nature is essentially one of the main motives behind the introduction of the liquidity horizon concept. In fact, the incremental risk model guidelines explicitly state that the liquidity horizon is expected to be higher for concentrated positions.</w:t>
      </w:r>
    </w:p>
    <w:p w:rsidR="001C7C52" w:rsidRPr="00802C03" w:rsidRDefault="001C7C52" w:rsidP="00E70736">
      <w:pPr>
        <w:spacing w:line="160" w:lineRule="exact"/>
        <w:jc w:val="both"/>
        <w:rPr>
          <w:rFonts w:ascii="Garamond" w:hAnsi="Garamond" w:cs="NimbusRomNo9L-Regu"/>
          <w:lang w:val="en-GB" w:eastAsia="nl-NL"/>
        </w:rPr>
      </w:pPr>
    </w:p>
    <w:p w:rsidR="001C7C52" w:rsidRPr="00802C03" w:rsidRDefault="001C7C52" w:rsidP="00AB332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liquidity horizon is the last assumption or input that had to be specified to enable the estimation of the proposed incremental risk model. In addition, the effect of this particular assumption on the model output is an important point of interest as well. Such an assessment can be produced by varying the liquidity horizon assumption (i.e. increasing or decreasing the liquidity horizons). Obviously, the relevance in the estimation of these effects is easy to identify, since it creates the opportunity to quantify the effect of an underestimation of the liquidity horizon of certain credit products. More essential, however, is that an assessment can be made on the relative importance of the liquidity horizon in the model. For example, when changing the liquidity horizons only results in a marginal change in the 99.9% one-year value-at-risk measure, then the relative importance of the liquidity horizon in the model may become somewhat submerged in practice. Such information sheds light on the whether or not the objective of the Basel Committee to make liquidity a key factor, underlying the Incremental Risk Capital Charge, is likely to be achieved in reality. This subject will be treated in </w:t>
      </w:r>
      <w:hyperlink w:anchor="S313" w:history="1">
        <w:r w:rsidRPr="00802C03">
          <w:rPr>
            <w:rStyle w:val="Hyperlink"/>
            <w:rFonts w:ascii="Garamond" w:hAnsi="Garamond" w:cs="NimbusRomNo9L-Regu"/>
            <w:color w:val="000066"/>
            <w:u w:val="none"/>
            <w:lang w:val="en-GB" w:eastAsia="nl-NL"/>
          </w:rPr>
          <w:t>Part III section 3.1.3</w:t>
        </w:r>
      </w:hyperlink>
      <w:r w:rsidRPr="00802C03">
        <w:rPr>
          <w:rFonts w:ascii="Garamond" w:hAnsi="Garamond" w:cs="NimbusRomNo9L-Regu"/>
          <w:lang w:val="en-GB" w:eastAsia="nl-NL"/>
        </w:rPr>
        <w:t xml:space="preserve"> and in the </w:t>
      </w:r>
      <w:hyperlink w:anchor="C5_Conclusions" w:history="1">
        <w:r w:rsidRPr="00802C03">
          <w:rPr>
            <w:rStyle w:val="Hyperlink"/>
            <w:rFonts w:ascii="Garamond" w:hAnsi="Garamond" w:cs="NimbusRomNo9L-Regu"/>
            <w:color w:val="000066"/>
            <w:u w:val="none"/>
            <w:lang w:val="en-GB" w:eastAsia="nl-NL"/>
          </w:rPr>
          <w:t>conclusions</w:t>
        </w:r>
      </w:hyperlink>
      <w:r w:rsidRPr="00802C03">
        <w:rPr>
          <w:rFonts w:ascii="Garamond" w:hAnsi="Garamond" w:cs="NimbusRomNo9L-Regu"/>
          <w:lang w:val="en-GB" w:eastAsia="nl-NL"/>
        </w:rPr>
        <w:t>.</w:t>
      </w:r>
    </w:p>
    <w:p w:rsidR="001C7C52" w:rsidRPr="00802C03" w:rsidRDefault="001C7C52" w:rsidP="00AB3324">
      <w:pPr>
        <w:spacing w:line="280" w:lineRule="exact"/>
        <w:jc w:val="both"/>
        <w:rPr>
          <w:rFonts w:ascii="Garamond" w:hAnsi="Garamond" w:cs="NimbusRomNo9L-Regu"/>
          <w:lang w:val="en-GB" w:eastAsia="nl-NL"/>
        </w:rPr>
        <w:sectPr w:rsidR="001C7C52" w:rsidRPr="00802C03" w:rsidSect="00FC23CC">
          <w:headerReference w:type="even" r:id="rId1409"/>
          <w:headerReference w:type="default" r:id="rId1410"/>
          <w:footerReference w:type="even" r:id="rId1411"/>
          <w:footerReference w:type="default" r:id="rId1412"/>
          <w:type w:val="continuous"/>
          <w:pgSz w:w="11906" w:h="16838"/>
          <w:pgMar w:top="1247" w:right="1247" w:bottom="1247" w:left="1247" w:header="907" w:footer="907" w:gutter="0"/>
          <w:cols w:space="708"/>
          <w:titlePg/>
          <w:docGrid w:linePitch="360"/>
        </w:sectPr>
      </w:pPr>
    </w:p>
    <w:tbl>
      <w:tblPr>
        <w:tblW w:w="0" w:type="auto"/>
        <w:tblInd w:w="-1106" w:type="dxa"/>
        <w:tblCellMar>
          <w:left w:w="170" w:type="dxa"/>
          <w:right w:w="170" w:type="dxa"/>
        </w:tblCellMar>
        <w:tblLook w:val="00A0"/>
      </w:tblPr>
      <w:tblGrid>
        <w:gridCol w:w="709"/>
        <w:gridCol w:w="567"/>
        <w:gridCol w:w="2001"/>
        <w:gridCol w:w="3839"/>
        <w:gridCol w:w="3542"/>
      </w:tblGrid>
      <w:tr w:rsidR="001C7C52" w:rsidRPr="000B0ADE" w:rsidTr="002E2E49">
        <w:trPr>
          <w:gridBefore w:val="1"/>
        </w:trPr>
        <w:tc>
          <w:tcPr>
            <w:tcW w:w="6407" w:type="dxa"/>
            <w:gridSpan w:val="3"/>
            <w:tcBorders>
              <w:right w:val="single" w:sz="4" w:space="0" w:color="auto"/>
            </w:tcBorders>
          </w:tcPr>
          <w:p w:rsidR="001C7C52" w:rsidRPr="002E2E49" w:rsidRDefault="001C7C52" w:rsidP="002E2E49">
            <w:pPr>
              <w:spacing w:line="280" w:lineRule="atLeast"/>
              <w:jc w:val="right"/>
              <w:rPr>
                <w:rFonts w:ascii="Garamond" w:hAnsi="Garamond" w:cs="NimbusRomNo9L-Regu"/>
                <w:b/>
                <w:sz w:val="80"/>
                <w:szCs w:val="80"/>
                <w:lang w:val="en-GB" w:eastAsia="nl-NL"/>
              </w:rPr>
            </w:pPr>
            <w:bookmarkStart w:id="66" w:name="C4_Part3"/>
            <w:bookmarkEnd w:id="66"/>
          </w:p>
          <w:p w:rsidR="001C7C52" w:rsidRPr="002E2E49" w:rsidRDefault="001C7C52" w:rsidP="002E2E49">
            <w:pPr>
              <w:spacing w:line="280" w:lineRule="atLeast"/>
              <w:jc w:val="right"/>
              <w:rPr>
                <w:rFonts w:ascii="Garamond" w:hAnsi="Garamond" w:cs="NimbusRomNo9L-Regu"/>
                <w:b/>
                <w:sz w:val="80"/>
                <w:szCs w:val="80"/>
                <w:lang w:val="en-GB" w:eastAsia="nl-NL"/>
              </w:rPr>
            </w:pPr>
          </w:p>
          <w:p w:rsidR="001C7C52" w:rsidRPr="002E2E49" w:rsidRDefault="001C7C52" w:rsidP="002E2E49">
            <w:pPr>
              <w:spacing w:line="280" w:lineRule="atLeast"/>
              <w:jc w:val="right"/>
              <w:rPr>
                <w:rFonts w:ascii="Garamond" w:hAnsi="Garamond" w:cs="NimbusRomNo9L-Regu"/>
                <w:b/>
                <w:sz w:val="80"/>
                <w:szCs w:val="80"/>
                <w:lang w:val="en-GB" w:eastAsia="nl-NL"/>
              </w:rPr>
            </w:pPr>
            <w:r w:rsidRPr="002E2E49">
              <w:rPr>
                <w:rFonts w:ascii="Garamond" w:hAnsi="Garamond" w:cs="NimbusRomNo9L-Regu"/>
                <w:b/>
                <w:sz w:val="80"/>
                <w:szCs w:val="80"/>
                <w:lang w:val="en-GB" w:eastAsia="nl-NL"/>
              </w:rPr>
              <w:t>P</w:t>
            </w:r>
            <w:r w:rsidRPr="002E2E49">
              <w:rPr>
                <w:rFonts w:ascii="Garamond" w:hAnsi="Garamond" w:cs="NimbusRomNo9L-Regu"/>
                <w:b/>
                <w:sz w:val="60"/>
                <w:szCs w:val="60"/>
                <w:lang w:val="en-GB" w:eastAsia="nl-NL"/>
              </w:rPr>
              <w:t>ART</w:t>
            </w:r>
            <w:r w:rsidRPr="002E2E49">
              <w:rPr>
                <w:rFonts w:ascii="Garamond" w:hAnsi="Garamond" w:cs="NimbusRomNo9L-Regu"/>
                <w:b/>
                <w:sz w:val="80"/>
                <w:szCs w:val="80"/>
                <w:lang w:val="en-GB" w:eastAsia="nl-NL"/>
              </w:rPr>
              <w:t xml:space="preserve"> III</w:t>
            </w:r>
          </w:p>
          <w:p w:rsidR="001C7C52" w:rsidRPr="002E2E49" w:rsidRDefault="001C7C52" w:rsidP="002E2E49">
            <w:pPr>
              <w:spacing w:line="280" w:lineRule="atLeast"/>
              <w:jc w:val="right"/>
              <w:rPr>
                <w:rFonts w:ascii="Garamond" w:hAnsi="Garamond" w:cs="NimbusRomNo9L-Regu"/>
                <w:b/>
                <w:sz w:val="44"/>
                <w:szCs w:val="44"/>
                <w:lang w:val="en-GB" w:eastAsia="nl-NL"/>
              </w:rPr>
            </w:pPr>
            <w:r w:rsidRPr="002E2E49">
              <w:rPr>
                <w:rFonts w:ascii="Garamond" w:hAnsi="Garamond" w:cs="NimbusRomNo9L-Regu"/>
                <w:b/>
                <w:sz w:val="52"/>
                <w:szCs w:val="52"/>
                <w:lang w:val="en-GB" w:eastAsia="nl-NL"/>
              </w:rPr>
              <w:t>M</w:t>
            </w:r>
            <w:r w:rsidRPr="002E2E49">
              <w:rPr>
                <w:rFonts w:ascii="Garamond" w:hAnsi="Garamond" w:cs="NimbusRomNo9L-Regu"/>
                <w:b/>
                <w:sz w:val="44"/>
                <w:szCs w:val="44"/>
                <w:lang w:val="en-GB" w:eastAsia="nl-NL"/>
              </w:rPr>
              <w:t xml:space="preserve">ODEL </w:t>
            </w:r>
            <w:r w:rsidRPr="002E2E49">
              <w:rPr>
                <w:rFonts w:ascii="Garamond" w:hAnsi="Garamond" w:cs="NimbusRomNo9L-Regu"/>
                <w:b/>
                <w:sz w:val="52"/>
                <w:szCs w:val="52"/>
                <w:lang w:val="en-GB" w:eastAsia="nl-NL"/>
              </w:rPr>
              <w:t>A</w:t>
            </w:r>
            <w:r w:rsidRPr="002E2E49">
              <w:rPr>
                <w:rFonts w:ascii="Garamond" w:hAnsi="Garamond" w:cs="NimbusRomNo9L-Regu"/>
                <w:b/>
                <w:sz w:val="44"/>
                <w:szCs w:val="44"/>
                <w:lang w:val="en-GB" w:eastAsia="nl-NL"/>
              </w:rPr>
              <w:t>SSESSMENT</w:t>
            </w: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jc w:val="right"/>
              <w:rPr>
                <w:rFonts w:ascii="Garamond" w:hAnsi="Garamond" w:cs="NimbusRomNo9L-Regu"/>
                <w:b/>
                <w:sz w:val="16"/>
                <w:szCs w:val="16"/>
                <w:lang w:val="en-GB" w:eastAsia="nl-NL"/>
              </w:rPr>
            </w:pPr>
          </w:p>
          <w:p w:rsidR="001C7C52" w:rsidRPr="002E2E49" w:rsidRDefault="001C7C52" w:rsidP="002E2E49">
            <w:pPr>
              <w:spacing w:line="280" w:lineRule="atLeast"/>
              <w:jc w:val="right"/>
              <w:rPr>
                <w:rFonts w:ascii="Garamond" w:hAnsi="Garamond" w:cs="NimbusRomNo9L-Regu"/>
                <w:sz w:val="44"/>
                <w:szCs w:val="44"/>
                <w:lang w:val="en-GB" w:eastAsia="nl-NL"/>
              </w:rPr>
            </w:pPr>
          </w:p>
        </w:tc>
        <w:tc>
          <w:tcPr>
            <w:tcW w:w="3145" w:type="dxa"/>
            <w:tcBorders>
              <w:left w:val="single" w:sz="4" w:space="0" w:color="auto"/>
            </w:tcBorders>
          </w:tcPr>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lang w:val="en-GB" w:eastAsia="nl-NL"/>
              </w:rPr>
            </w:pPr>
          </w:p>
          <w:p w:rsidR="001C7C52" w:rsidRPr="002E2E49" w:rsidRDefault="001C7C52" w:rsidP="002E2E49">
            <w:pPr>
              <w:spacing w:line="280" w:lineRule="exact"/>
              <w:jc w:val="both"/>
              <w:rPr>
                <w:rFonts w:ascii="Garamond" w:hAnsi="Garamond" w:cs="NimbusRomNo9L-Regu"/>
                <w:i/>
                <w:color w:val="000000"/>
                <w:sz w:val="20"/>
                <w:lang w:val="en-GB" w:eastAsia="nl-NL"/>
              </w:rPr>
            </w:pPr>
            <w:r w:rsidRPr="002E2E49">
              <w:rPr>
                <w:rFonts w:ascii="Garamond" w:hAnsi="Garamond" w:cs="NimbusRomNo9L-Regu"/>
                <w:i/>
                <w:sz w:val="20"/>
                <w:lang w:val="en-GB" w:eastAsia="nl-NL"/>
              </w:rPr>
              <w:t xml:space="preserve">In </w:t>
            </w:r>
            <w:hyperlink w:anchor="C2_Part1" w:history="1">
              <w:r w:rsidRPr="002E2E49">
                <w:rPr>
                  <w:rStyle w:val="Hyperlink"/>
                  <w:rFonts w:ascii="Garamond" w:hAnsi="Garamond" w:cs="NimbusRomNo9L-Regu"/>
                  <w:i/>
                  <w:color w:val="auto"/>
                  <w:sz w:val="20"/>
                  <w:u w:val="none"/>
                  <w:lang w:val="en-GB" w:eastAsia="nl-NL"/>
                </w:rPr>
                <w:t>Part I</w:t>
              </w:r>
            </w:hyperlink>
            <w:r w:rsidRPr="002E2E49">
              <w:rPr>
                <w:rFonts w:ascii="Garamond" w:hAnsi="Garamond" w:cs="NimbusRomNo9L-Regu"/>
                <w:i/>
                <w:sz w:val="20"/>
                <w:lang w:val="en-GB" w:eastAsia="nl-NL"/>
              </w:rPr>
              <w:t xml:space="preserve">, the technical and theoretical structure of the proposed incremental risk model have been defined. In essence, the entire model has been described here. In </w:t>
            </w:r>
            <w:hyperlink w:anchor="C3_Part2" w:history="1">
              <w:r w:rsidRPr="002E2E49">
                <w:rPr>
                  <w:rStyle w:val="Hyperlink"/>
                  <w:rFonts w:ascii="Garamond" w:hAnsi="Garamond" w:cs="NimbusRomNo9L-Regu"/>
                  <w:i/>
                  <w:color w:val="auto"/>
                  <w:sz w:val="20"/>
                  <w:u w:val="none"/>
                  <w:lang w:val="en-GB" w:eastAsia="nl-NL"/>
                </w:rPr>
                <w:t>Part II</w:t>
              </w:r>
            </w:hyperlink>
            <w:r w:rsidRPr="002E2E49">
              <w:rPr>
                <w:rFonts w:ascii="Garamond" w:hAnsi="Garamond" w:cs="NimbusRomNo9L-Regu"/>
                <w:i/>
                <w:sz w:val="20"/>
                <w:lang w:val="en-GB" w:eastAsia="nl-NL"/>
              </w:rPr>
              <w:t>, the required inputs of the model were esti</w:t>
            </w:r>
            <w:r w:rsidRPr="002E2E49">
              <w:rPr>
                <w:rFonts w:ascii="Garamond" w:hAnsi="Garamond" w:cs="NimbusRomNo9L-Regu"/>
                <w:i/>
                <w:color w:val="000000"/>
                <w:sz w:val="20"/>
                <w:lang w:val="en-GB" w:eastAsia="nl-NL"/>
              </w:rPr>
              <w:t>mated and calibrated with the use of various alternative estimation methodologies. Moreover, three corporate bond portfolios were constructed, to be able to perform the necessary model estimations. Hence</w:t>
            </w:r>
            <w:r w:rsidRPr="002E2E49">
              <w:rPr>
                <w:rFonts w:ascii="Garamond" w:hAnsi="Garamond" w:cs="NimbusRomNo9L-Regu"/>
                <w:i/>
                <w:sz w:val="20"/>
                <w:lang w:val="en-GB" w:eastAsia="nl-NL"/>
              </w:rPr>
              <w:t>, Part III</w:t>
            </w:r>
            <w:r w:rsidRPr="002E2E49">
              <w:rPr>
                <w:rFonts w:ascii="Garamond" w:hAnsi="Garamond" w:cs="NimbusRomNo9L-Regu"/>
                <w:i/>
                <w:color w:val="000000"/>
                <w:sz w:val="20"/>
                <w:lang w:val="en-GB" w:eastAsia="nl-NL"/>
              </w:rPr>
              <w:t xml:space="preserve"> </w:t>
            </w:r>
            <w:r w:rsidRPr="002E2E49">
              <w:rPr>
                <w:rFonts w:ascii="Garamond" w:hAnsi="Garamond" w:cs="NimbusRomNo9L-Regu"/>
                <w:i/>
                <w:sz w:val="20"/>
                <w:lang w:val="en-GB" w:eastAsia="nl-NL"/>
              </w:rPr>
              <w:t xml:space="preserve">will contain an assessment of the proposed model and its inputs and assumptions in the form of model estimations and interpretations. In </w:t>
            </w:r>
            <w:hyperlink w:anchor="S310" w:history="1">
              <w:r w:rsidRPr="002E2E49">
                <w:rPr>
                  <w:rStyle w:val="Hyperlink"/>
                  <w:rFonts w:ascii="Garamond" w:hAnsi="Garamond" w:cs="NimbusRomNo9L-Regu"/>
                  <w:i/>
                  <w:color w:val="auto"/>
                  <w:sz w:val="20"/>
                  <w:u w:val="none"/>
                  <w:lang w:val="en-GB" w:eastAsia="nl-NL"/>
                </w:rPr>
                <w:t>section 3.1</w:t>
              </w:r>
            </w:hyperlink>
            <w:r w:rsidRPr="002E2E49">
              <w:rPr>
                <w:rFonts w:ascii="Garamond" w:hAnsi="Garamond" w:cs="NimbusRomNo9L-Regu"/>
                <w:i/>
                <w:sz w:val="20"/>
                <w:lang w:val="en-GB" w:eastAsia="nl-NL"/>
              </w:rPr>
              <w:t xml:space="preserve">, the proposed model will be estimated, applying a variety of combinations of assumptions and inputs. The model is estimated 70 times. In the application of the information produced by the model estimations, </w:t>
            </w:r>
            <w:hyperlink w:anchor="S320" w:history="1">
              <w:r w:rsidRPr="002E2E49">
                <w:rPr>
                  <w:rStyle w:val="Hyperlink"/>
                  <w:rFonts w:ascii="Garamond" w:hAnsi="Garamond" w:cs="NimbusRomNo9L-Regu"/>
                  <w:i/>
                  <w:color w:val="auto"/>
                  <w:sz w:val="20"/>
                  <w:u w:val="none"/>
                  <w:lang w:val="en-GB" w:eastAsia="nl-NL"/>
                </w:rPr>
                <w:t>section 3.2</w:t>
              </w:r>
            </w:hyperlink>
            <w:r w:rsidRPr="002E2E49">
              <w:rPr>
                <w:rFonts w:ascii="Garamond" w:hAnsi="Garamond" w:cs="NimbusRomNo9L-Regu"/>
                <w:i/>
                <w:sz w:val="20"/>
                <w:lang w:val="en-GB" w:eastAsia="nl-NL"/>
              </w:rPr>
              <w:t xml:space="preserve"> presents a thorough interpretation of these results in a model specific but also in general context (where relevant or possible). First, the inputs and assumptions that are most imperative to the model are identified. Subsequently, all major components of the model are addressed once again and possible improvements and limitations</w:t>
            </w:r>
            <w:r w:rsidRPr="002E2E49">
              <w:rPr>
                <w:rFonts w:ascii="Garamond" w:hAnsi="Garamond" w:cs="NimbusRomNo9L-Regu"/>
                <w:i/>
                <w:color w:val="000000"/>
                <w:sz w:val="20"/>
                <w:lang w:val="en-GB" w:eastAsia="nl-NL"/>
              </w:rPr>
              <w:t xml:space="preserve"> are discussed in detail. Herein, the central topics are: the scope of the exercise, the stand-alone risk specification, the issuer correlations and autocorrelations, the constant level of risk assumption and additional valuation assumptions. </w:t>
            </w:r>
            <w:r w:rsidRPr="002E2E49">
              <w:rPr>
                <w:rFonts w:ascii="Garamond" w:hAnsi="Garamond" w:cs="NimbusRomNo9L-Regu"/>
                <w:i/>
                <w:sz w:val="20"/>
                <w:lang w:val="en-GB" w:eastAsia="nl-NL"/>
              </w:rPr>
              <w:t>Part III ends with the discussion of the</w:t>
            </w:r>
            <w:r w:rsidRPr="002E2E49">
              <w:rPr>
                <w:rFonts w:ascii="Garamond" w:hAnsi="Garamond" w:cs="NimbusRomNo9L-Regu"/>
                <w:i/>
                <w:color w:val="000000"/>
                <w:sz w:val="20"/>
                <w:lang w:val="en-GB" w:eastAsia="nl-NL"/>
              </w:rPr>
              <w:t xml:space="preserve"> more general topic concerning the position of the Incremental Risk Capital Charge within the Basel II Market Risk Framework. Basically, the new definition of market risk capital is evaluated here.</w:t>
            </w:r>
          </w:p>
          <w:p w:rsidR="001C7C52" w:rsidRPr="002E2E49" w:rsidRDefault="001C7C52" w:rsidP="002E2E49">
            <w:pPr>
              <w:spacing w:line="280" w:lineRule="exact"/>
              <w:jc w:val="both"/>
              <w:rPr>
                <w:rFonts w:ascii="Garamond" w:hAnsi="Garamond" w:cs="NimbusRomNo9L-Regu"/>
                <w:lang w:val="en-GB" w:eastAsia="nl-NL"/>
              </w:rPr>
            </w:pPr>
          </w:p>
        </w:tc>
      </w:tr>
      <w:tr w:rsidR="001C7C52" w:rsidRPr="00802C03" w:rsidTr="002E2E49">
        <w:tblPrEx>
          <w:tblCellMar>
            <w:left w:w="0" w:type="dxa"/>
            <w:right w:w="0" w:type="dxa"/>
          </w:tblCellMar>
        </w:tblPrEx>
        <w:trPr>
          <w:gridAfter w:val="2"/>
          <w:wAfter w:w="7381" w:type="dxa"/>
        </w:trPr>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3.1</w:t>
            </w:r>
          </w:p>
        </w:tc>
        <w:tc>
          <w:tcPr>
            <w:tcW w:w="2001" w:type="dxa"/>
          </w:tcPr>
          <w:p w:rsidR="001C7C52" w:rsidRPr="002E2E49" w:rsidRDefault="001C7C52" w:rsidP="002E2E49">
            <w:pPr>
              <w:spacing w:line="280" w:lineRule="exact"/>
              <w:jc w:val="both"/>
              <w:rPr>
                <w:rFonts w:ascii="Garamond" w:hAnsi="Garamond" w:cs="NimbusRomNo9L-Regu"/>
                <w:lang w:val="en-GB" w:eastAsia="nl-NL"/>
              </w:rPr>
            </w:pPr>
            <w:bookmarkStart w:id="67" w:name="S310"/>
            <w:bookmarkEnd w:id="67"/>
            <w:r w:rsidRPr="002E2E49">
              <w:rPr>
                <w:rFonts w:ascii="Garamond" w:hAnsi="Garamond" w:cs="NimbusRomNo9L-Regu"/>
                <w:b/>
                <w:lang w:val="en-GB" w:eastAsia="nl-NL"/>
              </w:rPr>
              <w:t>M</w:t>
            </w:r>
            <w:r w:rsidRPr="002E2E49">
              <w:rPr>
                <w:rFonts w:ascii="Garamond" w:hAnsi="Garamond" w:cs="NimbusRomNo9L-Regu"/>
                <w:b/>
                <w:sz w:val="18"/>
                <w:szCs w:val="18"/>
                <w:lang w:val="en-GB" w:eastAsia="nl-NL"/>
              </w:rPr>
              <w:t>ODEL</w:t>
            </w:r>
            <w:r w:rsidRPr="002E2E49">
              <w:rPr>
                <w:rFonts w:ascii="Garamond" w:hAnsi="Garamond" w:cs="NimbusRomNo9L-Regu"/>
                <w:b/>
                <w:lang w:val="en-GB" w:eastAsia="nl-NL"/>
              </w:rPr>
              <w:t xml:space="preserve"> E</w:t>
            </w:r>
            <w:r w:rsidRPr="002E2E49">
              <w:rPr>
                <w:rFonts w:ascii="Garamond" w:hAnsi="Garamond" w:cs="NimbusRomNo9L-Regu"/>
                <w:b/>
                <w:sz w:val="18"/>
                <w:szCs w:val="18"/>
                <w:lang w:val="en-GB" w:eastAsia="nl-NL"/>
              </w:rPr>
              <w:t>STIMATION</w:t>
            </w:r>
          </w:p>
        </w:tc>
      </w:tr>
    </w:tbl>
    <w:p w:rsidR="001C7C52" w:rsidRPr="00802C03" w:rsidRDefault="001C7C52" w:rsidP="001F0514">
      <w:pPr>
        <w:spacing w:before="160"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As stated before, various assumptions were utilized in the construction of the proposed incremental risk model. In addition, different methodologies have been applied in the estimation of the inputs that are required in that model. Hence, numerous specification options have been generated for the estimation of the model. This section will address a large variety of these model estimation specifications. The four main topics are: (1) the stand-alone risk specification, (2) correlations, (3) the liquidity horizons and (4) concentrations. The distributional or copula assumption will play a part in each series of model estimations in each section, since all models will be estimated under the Gaussian assumption as well as two different </w:t>
      </w:r>
      <w:r w:rsidRPr="00802C03">
        <w:rPr>
          <w:rFonts w:ascii="Garamond" w:hAnsi="Garamond" w:cs="NimbusRomNo9L-Regu"/>
          <w:i/>
          <w:color w:val="000000"/>
          <w:lang w:val="en-GB" w:eastAsia="nl-NL"/>
        </w:rPr>
        <w:t>t</w:t>
      </w:r>
      <w:r w:rsidRPr="00802C03">
        <w:rPr>
          <w:rFonts w:ascii="Garamond" w:hAnsi="Garamond" w:cs="NimbusRomNo9L-Regu"/>
          <w:color w:val="000000"/>
          <w:lang w:val="en-GB" w:eastAsia="nl-NL"/>
        </w:rPr>
        <w:t xml:space="preserve">-Student assumptions. </w:t>
      </w:r>
    </w:p>
    <w:p w:rsidR="001C7C52" w:rsidRPr="00802C03" w:rsidRDefault="001C7C52" w:rsidP="001F0514">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lang w:val="en-GB"/>
        </w:rPr>
      </w:pPr>
      <w:r w:rsidRPr="00802C03">
        <w:rPr>
          <w:rFonts w:ascii="Garamond" w:hAnsi="Garamond" w:cs="NimbusRomNo9L-Regu"/>
          <w:color w:val="000000"/>
          <w:lang w:val="en-GB" w:eastAsia="nl-NL"/>
        </w:rPr>
        <w:t xml:space="preserve">First, a general model specification is required to form a base model from which the inputs can be changed. The assumed estimation date of this particular model is 01/05/2009, as that is the date after the day from which the last migration data and equity data is obtained. Hence, in each model estimation, the forward bond valuation is based on the zero credit yield curves of 01/05/2009 as well. Further details on these credit curves are provided in </w:t>
      </w:r>
      <w:hyperlink w:anchor="SA4" w:history="1">
        <w:r w:rsidRPr="00802C03">
          <w:rPr>
            <w:rStyle w:val="Hyperlink"/>
            <w:rFonts w:ascii="Garamond" w:hAnsi="Garamond" w:cs="NimbusRomNo9L-Regu"/>
            <w:color w:val="000066"/>
            <w:u w:val="none"/>
            <w:lang w:val="en-GB" w:eastAsia="nl-NL"/>
          </w:rPr>
          <w:t>appendix A.4</w:t>
        </w:r>
      </w:hyperlink>
      <w:r w:rsidRPr="00802C03">
        <w:rPr>
          <w:rFonts w:ascii="Garamond" w:hAnsi="Garamond" w:cs="NimbusRomNo9L-Regu"/>
          <w:color w:val="000000"/>
          <w:lang w:val="en-GB" w:eastAsia="nl-NL"/>
        </w:rPr>
        <w:t>. In addition, the general model specification utilizes the unconditional duration migration matrix, the credit crisis equity correlation (since this correlation set represent the current market environment at the estimation date), the equity autocorrelations and the standard liquidity horizons,</w:t>
      </w:r>
      <w:r w:rsidRPr="00802C03">
        <w:rPr>
          <w:rFonts w:ascii="Garamond" w:hAnsi="Garamond"/>
          <w:lang w:val="en-GB"/>
        </w:rPr>
        <w:t xml:space="preserve"> according to the assumptions presented in </w:t>
      </w:r>
      <w:hyperlink w:anchor="S232" w:history="1">
        <w:r w:rsidRPr="00802C03">
          <w:rPr>
            <w:rStyle w:val="Hyperlink"/>
            <w:rFonts w:ascii="Garamond" w:hAnsi="Garamond"/>
            <w:color w:val="000066"/>
            <w:u w:val="none"/>
            <w:lang w:val="en-GB"/>
          </w:rPr>
          <w:t>Part II section 2.3.2</w:t>
        </w:r>
      </w:hyperlink>
      <w:r w:rsidRPr="00802C03">
        <w:rPr>
          <w:rFonts w:ascii="Garamond" w:hAnsi="Garamond"/>
          <w:lang w:val="en-GB"/>
        </w:rPr>
        <w:t xml:space="preserve">. </w:t>
      </w:r>
    </w:p>
    <w:p w:rsidR="001C7C52" w:rsidRPr="00802C03" w:rsidRDefault="001C7C52" w:rsidP="001F0514">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lang w:val="en-GB"/>
        </w:rPr>
      </w:pPr>
      <w:r w:rsidRPr="00802C03">
        <w:rPr>
          <w:rFonts w:ascii="Garamond" w:hAnsi="Garamond" w:cs="NimbusRomNo9L-Regu"/>
          <w:color w:val="000000"/>
          <w:lang w:val="en-GB" w:eastAsia="nl-NL"/>
        </w:rPr>
        <w:t>In the model estimations, the required output is the one-year 99.9% value-at-risk estimate. However, t</w:t>
      </w:r>
      <w:r w:rsidRPr="00802C03">
        <w:rPr>
          <w:rFonts w:ascii="Garamond" w:hAnsi="Garamond"/>
          <w:lang w:val="en-GB"/>
        </w:rPr>
        <w:t xml:space="preserve">o gain more insight in the actual workings of the model and to create a greater sense of the default and migration risk measurement produced by it, the 99% and 95% one-year VaR’s are estimated as well. In addition, multiple illustrative probability distribution and cumulative probability distribution graphs, with respect to the total one-year portfolio returns, are displayed where relevant. Furthermore, the upper and lower bounds according to the 95% confidence interval around each VaR-estimate are also computed, as described in </w:t>
      </w:r>
      <w:hyperlink w:anchor="S134" w:history="1">
        <w:r w:rsidRPr="00802C03">
          <w:rPr>
            <w:rStyle w:val="Hyperlink"/>
            <w:rFonts w:ascii="Garamond" w:hAnsi="Garamond"/>
            <w:color w:val="000066"/>
            <w:u w:val="none"/>
            <w:lang w:val="en-GB"/>
          </w:rPr>
          <w:t>Part I section 1.3.4</w:t>
        </w:r>
      </w:hyperlink>
      <w:r w:rsidRPr="00802C03">
        <w:rPr>
          <w:rFonts w:ascii="Garamond" w:hAnsi="Garamond"/>
          <w:lang w:val="en-GB"/>
        </w:rPr>
        <w:t>. These two bounds for each VaR-estimate specify the range in which that VaR-estimate may lie with a confidence of 95% and therefore ensures that value-at-risk estimates generated with the model with equal VaR confidence level’s, but subject to different inputs, can be statistically compared. Moreover, the relative width of this range contains information about the degree of certainty of the relevant VaR-estimate. The main factor driving the certainty of the VaR-estimates obviously is the number of simulations. This number is set to 200,000 for each specific model, ensuring a great level of stability in all three resulting VaR-estimates.</w:t>
      </w:r>
    </w:p>
    <w:p w:rsidR="001C7C52" w:rsidRPr="00802C03" w:rsidRDefault="001C7C52" w:rsidP="001F0514">
      <w:pPr>
        <w:spacing w:line="160" w:lineRule="exact"/>
        <w:jc w:val="both"/>
        <w:rPr>
          <w:rFonts w:ascii="Garamond" w:hAnsi="Garamond"/>
          <w:lang w:val="en-GB"/>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lang w:val="en-GB"/>
        </w:rPr>
        <w:t xml:space="preserve">One last general specification is still required. As stated, the model will also be estimated under the </w:t>
      </w:r>
      <w:r w:rsidRPr="00802C03">
        <w:rPr>
          <w:rFonts w:ascii="Garamond" w:hAnsi="Garamond"/>
          <w:i/>
          <w:lang w:val="en-GB"/>
        </w:rPr>
        <w:t>t</w:t>
      </w:r>
      <w:r w:rsidRPr="00802C03">
        <w:rPr>
          <w:rFonts w:ascii="Garamond" w:hAnsi="Garamond"/>
          <w:lang w:val="en-GB"/>
        </w:rPr>
        <w:t>-Student copula assumption. Herein, the tail dependence has to be specified in the form of the degrees of freedom of the applied t</w:t>
      </w:r>
      <w:r w:rsidRPr="00802C03">
        <w:rPr>
          <w:rFonts w:ascii="Garamond" w:hAnsi="Garamond" w:cs="NimbusRomNo9L-Regu"/>
          <w:lang w:val="en-GB" w:eastAsia="nl-NL"/>
        </w:rPr>
        <w:t xml:space="preserve">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-copula, which naturally relates to the assumed issuer asset return distribution. Multiple studies address the issue of the estimation of the proper degrees of freedom for the Student’s </w:t>
      </w:r>
      <w:r w:rsidRPr="00802C03">
        <w:rPr>
          <w:rFonts w:ascii="Garamond" w:hAnsi="Garamond" w:cs="NimbusRomNo9L-Regu"/>
          <w:i/>
          <w:lang w:val="en-GB" w:eastAsia="nl-NL"/>
        </w:rPr>
        <w:t>t</w:t>
      </w:r>
      <w:r w:rsidRPr="00802C03">
        <w:rPr>
          <w:rFonts w:ascii="Garamond" w:hAnsi="Garamond" w:cs="NimbusRomNo9L-Regu"/>
          <w:lang w:val="en-GB" w:eastAsia="nl-NL"/>
        </w:rPr>
        <w:t xml:space="preserve">-distribution in describing asset returns. Nevertheless, these studies mainly address the daily return frequency. In this context, </w:t>
      </w:r>
      <w:hyperlink w:anchor="Cont_2001" w:history="1">
        <w:r w:rsidRPr="00802C03">
          <w:rPr>
            <w:rStyle w:val="Hyperlink"/>
            <w:rFonts w:ascii="Garamond" w:hAnsi="Garamond" w:cs="NimbusRomNo9L-Regu"/>
            <w:color w:val="000066"/>
            <w:u w:val="none"/>
            <w:lang w:val="en-GB" w:eastAsia="nl-NL"/>
          </w:rPr>
          <w:t>Cont (2001)</w:t>
        </w:r>
      </w:hyperlink>
      <w:r w:rsidRPr="00802C03">
        <w:rPr>
          <w:rFonts w:ascii="Garamond" w:hAnsi="Garamond" w:cs="NimbusRomNo9L-Regu"/>
          <w:lang w:val="en-GB" w:eastAsia="nl-NL"/>
        </w:rPr>
        <w:t xml:space="preserve"> discusses the empirical properties of daily asset returns and states, as a stylized fact, that the degrees of freedom of asset returns is between the value of two and the value of five in nearly all datasets studied in the literature. As a recent example, </w:t>
      </w:r>
      <w:hyperlink w:anchor="LeBaron_2009" w:history="1">
        <w:r w:rsidRPr="00802C03">
          <w:rPr>
            <w:rStyle w:val="Hyperlink"/>
            <w:rFonts w:ascii="Garamond" w:hAnsi="Garamond" w:cs="NimbusRomNo9L-Regu"/>
            <w:color w:val="000066"/>
            <w:u w:val="none"/>
            <w:lang w:val="en-GB" w:eastAsia="nl-NL"/>
          </w:rPr>
          <w:t>LeBaron (2009)</w:t>
        </w:r>
      </w:hyperlink>
      <w:r w:rsidRPr="00802C03">
        <w:rPr>
          <w:rFonts w:ascii="Garamond" w:hAnsi="Garamond" w:cs="NimbusRomNo9L-Regu"/>
          <w:lang w:val="en-GB" w:eastAsia="nl-NL"/>
        </w:rPr>
        <w:t xml:space="preserve"> finds that the Student’s </w:t>
      </w:r>
      <w:r w:rsidRPr="00802C03">
        <w:rPr>
          <w:rFonts w:ascii="Garamond" w:hAnsi="Garamond" w:cs="NimbusRomNo9L-Regu"/>
          <w:i/>
          <w:lang w:val="en-GB" w:eastAsia="nl-NL"/>
        </w:rPr>
        <w:t>t</w:t>
      </w:r>
      <w:r w:rsidRPr="00802C03">
        <w:rPr>
          <w:rFonts w:ascii="Garamond" w:hAnsi="Garamond" w:cs="NimbusRomNo9L-Regu"/>
          <w:lang w:val="en-GB" w:eastAsia="nl-NL"/>
        </w:rPr>
        <w:t>-distribution with three degrees of freedom best characterizes daily return data. In the proposed incremental risk model, however, the return horizons are quarterly and yearly. Longer horizon returns relative to daily returns may display less excess kurtosis (fat tails), as extreme daily asset value movements may be absorbed by average or normal daily returns and extreme returns of the opposite sign in the generation of the quarterly or annual return.</w:t>
      </w:r>
      <w:r w:rsidRPr="00802C03">
        <w:rPr>
          <w:rStyle w:val="FootnoteReference"/>
          <w:rFonts w:ascii="Garamond" w:hAnsi="Garamond" w:cs="NimbusRomNo9L-Regu"/>
          <w:lang w:val="en-GB" w:eastAsia="nl-NL"/>
        </w:rPr>
        <w:footnoteReference w:id="62"/>
      </w:r>
      <w:r w:rsidRPr="00802C03">
        <w:rPr>
          <w:rFonts w:ascii="Garamond" w:hAnsi="Garamond" w:cs="NimbusRomNo9L-Regu"/>
          <w:lang w:val="en-GB" w:eastAsia="nl-NL"/>
        </w:rPr>
        <w:t xml:space="preserve"> Hence, to generate a clear picture on the effects of the copula assumption, two </w:t>
      </w:r>
      <w:r w:rsidRPr="00802C03">
        <w:rPr>
          <w:rFonts w:ascii="Garamond" w:hAnsi="Garamond" w:cs="NimbusRomNo9L-Regu"/>
          <w:i/>
          <w:lang w:val="en-GB" w:eastAsia="nl-NL"/>
        </w:rPr>
        <w:t>t</w:t>
      </w:r>
      <w:r w:rsidRPr="00802C03">
        <w:rPr>
          <w:rFonts w:ascii="Garamond" w:hAnsi="Garamond" w:cs="NimbusRomNo9L-Regu"/>
          <w:lang w:val="en-GB" w:eastAsia="nl-NL"/>
        </w:rPr>
        <w:t>-Student copula specifications are applied: a relatively high risk high tail dependence specification, where the degrees of freedom is equal to the value of 5 (</w:t>
      </w:r>
      <w:r w:rsidRPr="00100BDF">
        <w:rPr>
          <w:rFonts w:ascii="Garamond" w:hAnsi="Garamond" w:cs="NimbusRomNo9L-Regu"/>
          <w:position w:val="-6"/>
          <w:lang w:val="en-GB" w:eastAsia="nl-NL"/>
        </w:rPr>
        <w:object w:dxaOrig="480" w:dyaOrig="240">
          <v:shape id="_x0000_i1781" type="#_x0000_t75" style="width:24pt;height:12pt" o:ole="">
            <v:imagedata r:id="rId1413" o:title=""/>
          </v:shape>
          <o:OLEObject Type="Embed" ProgID="Equation.DSMT4" ShapeID="_x0000_i1781" DrawAspect="Content" ObjectID="_1324894260" r:id="rId1414"/>
        </w:object>
      </w:r>
      <w:r w:rsidRPr="00802C03">
        <w:rPr>
          <w:rFonts w:ascii="Garamond" w:hAnsi="Garamond" w:cs="NimbusRomNo9L-Regu"/>
          <w:lang w:val="en-GB" w:eastAsia="nl-NL"/>
        </w:rPr>
        <w:t>), and an intermediate tail dependence specification, where the degrees of freedom is equal to the value of 15 (</w:t>
      </w:r>
      <w:r w:rsidRPr="00100BDF">
        <w:rPr>
          <w:rFonts w:ascii="Garamond" w:hAnsi="Garamond" w:cs="NimbusRomNo9L-Regu"/>
          <w:position w:val="-6"/>
          <w:lang w:val="en-GB" w:eastAsia="nl-NL"/>
        </w:rPr>
        <w:object w:dxaOrig="560" w:dyaOrig="240">
          <v:shape id="_x0000_i1782" type="#_x0000_t75" style="width:27.75pt;height:12pt" o:ole="">
            <v:imagedata r:id="rId1415" o:title=""/>
          </v:shape>
          <o:OLEObject Type="Embed" ProgID="Equation.DSMT4" ShapeID="_x0000_i1782" DrawAspect="Content" ObjectID="_1324894261" r:id="rId1416"/>
        </w:object>
      </w:r>
      <w:r w:rsidRPr="00802C03">
        <w:rPr>
          <w:rFonts w:ascii="Garamond" w:hAnsi="Garamond" w:cs="NimbusRomNo9L-Regu"/>
          <w:lang w:val="en-GB" w:eastAsia="nl-NL"/>
        </w:rPr>
        <w:t>).</w:t>
      </w:r>
      <w:r w:rsidRPr="00802C03">
        <w:rPr>
          <w:rStyle w:val="FootnoteReference"/>
          <w:rFonts w:ascii="Garamond" w:hAnsi="Garamond" w:cs="NimbusRomNo9L-Regu"/>
          <w:lang w:val="en-GB" w:eastAsia="nl-NL"/>
        </w:rPr>
        <w:footnoteReference w:id="63"/>
      </w:r>
      <w:r w:rsidRPr="00802C03">
        <w:rPr>
          <w:rFonts w:ascii="Garamond" w:hAnsi="Garamond" w:cs="NimbusRomNo9L-Regu"/>
          <w:lang w:val="en-GB" w:eastAsia="nl-NL"/>
        </w:rPr>
        <w:t xml:space="preserve"> These two </w:t>
      </w:r>
      <w:r w:rsidRPr="00802C03">
        <w:rPr>
          <w:rFonts w:ascii="Garamond" w:hAnsi="Garamond" w:cs="NimbusRomNo9L-Regu"/>
          <w:i/>
          <w:lang w:val="en-GB" w:eastAsia="nl-NL"/>
        </w:rPr>
        <w:t>t</w:t>
      </w:r>
      <w:r w:rsidRPr="00802C03">
        <w:rPr>
          <w:rFonts w:ascii="Garamond" w:hAnsi="Garamond" w:cs="NimbusRomNo9L-Regu"/>
          <w:lang w:val="en-GB" w:eastAsia="nl-NL"/>
        </w:rPr>
        <w:t>-Student copula specifications, as well as the Gaussian copula, will be employed for each model estimation, allowing for an examination of the effect of tail dependence on the model implied risk (the copula assumption effect).</w:t>
      </w:r>
    </w:p>
    <w:p w:rsidR="001C7C52" w:rsidRPr="00802C03" w:rsidRDefault="001C7C52" w:rsidP="001F0514">
      <w:pPr>
        <w:spacing w:line="280" w:lineRule="exact"/>
        <w:jc w:val="both"/>
        <w:rPr>
          <w:rFonts w:ascii="Garamond" w:hAnsi="Garamond"/>
          <w:lang w:val="en-GB"/>
        </w:rPr>
      </w:pPr>
    </w:p>
    <w:p w:rsidR="001C7C52" w:rsidRPr="00802C03" w:rsidRDefault="001C7C52" w:rsidP="001F0514">
      <w:pPr>
        <w:tabs>
          <w:tab w:val="left" w:pos="0"/>
        </w:tabs>
        <w:spacing w:after="120" w:line="280" w:lineRule="exact"/>
        <w:ind w:hanging="567"/>
        <w:jc w:val="both"/>
        <w:rPr>
          <w:rFonts w:ascii="Garamond" w:hAnsi="Garamond"/>
          <w:b/>
          <w:lang w:val="en-GB"/>
        </w:rPr>
      </w:pPr>
      <w:r w:rsidRPr="00802C03">
        <w:rPr>
          <w:rFonts w:ascii="Garamond" w:hAnsi="Garamond"/>
          <w:b/>
          <w:lang w:val="en-GB"/>
        </w:rPr>
        <w:t>3.1.1</w:t>
      </w:r>
      <w:r w:rsidRPr="00802C03">
        <w:rPr>
          <w:rFonts w:ascii="Garamond" w:hAnsi="Garamond"/>
          <w:b/>
          <w:lang w:val="en-GB"/>
        </w:rPr>
        <w:tab/>
      </w:r>
      <w:bookmarkStart w:id="68" w:name="S311"/>
      <w:bookmarkEnd w:id="68"/>
      <w:r w:rsidRPr="00802C03">
        <w:rPr>
          <w:rFonts w:ascii="Garamond" w:hAnsi="Garamond"/>
          <w:b/>
          <w:lang w:val="en-GB"/>
        </w:rPr>
        <w:t>Stand-Alone Risk</w: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 xml:space="preserve">The first subject that is addressed, in the evaluation of the model specifications, is the stand-alone risk specification. In other words, the four different credit migration matrices that were estimated in </w:t>
      </w:r>
      <w:hyperlink w:anchor="S210" w:history="1">
        <w:r w:rsidRPr="00802C03">
          <w:rPr>
            <w:rStyle w:val="Hyperlink"/>
            <w:rFonts w:ascii="Garamond" w:hAnsi="Garamond"/>
            <w:color w:val="000066"/>
            <w:u w:val="none"/>
            <w:lang w:val="en-GB"/>
          </w:rPr>
          <w:t>Part II section 2.1</w:t>
        </w:r>
      </w:hyperlink>
      <w:r w:rsidRPr="00802C03">
        <w:rPr>
          <w:rFonts w:ascii="Garamond" w:hAnsi="Garamond"/>
          <w:lang w:val="en-GB"/>
        </w:rPr>
        <w:t xml:space="preserve"> will be employed to generate the required risk measures. The estimations create the opportunity for a comparison of the required value-at-risk measures, generated with the use of different estimation methodologies or estimation samples in the estimation of the applied credit migration matrix. The four different credit migration matrices will be used in the model estimations, while the general specification will be applied with respect to the remaining inputs. The models are estimated for both the long-only portfolio (L) and the long-short portfolio (LS), and under each of the three copula assumptions.</w:t>
      </w:r>
    </w:p>
    <w:p w:rsidR="001C7C52" w:rsidRPr="00802C03" w:rsidRDefault="001C7C52" w:rsidP="001F0514">
      <w:pPr>
        <w:spacing w:line="280" w:lineRule="exact"/>
        <w:jc w:val="both"/>
        <w:rPr>
          <w:rFonts w:ascii="Garamond" w:hAnsi="Garamond"/>
          <w:lang w:val="en-GB"/>
        </w:rPr>
      </w:pPr>
      <w:hyperlink w:anchor="T7" w:history="1">
        <w:r w:rsidRPr="00802C03">
          <w:rPr>
            <w:rStyle w:val="Hyperlink"/>
            <w:rFonts w:ascii="Garamond" w:hAnsi="Garamond"/>
            <w:color w:val="000066"/>
            <w:u w:val="none"/>
            <w:lang w:val="en-GB"/>
          </w:rPr>
          <w:t>Table VII</w:t>
        </w:r>
      </w:hyperlink>
      <w:r w:rsidRPr="00802C03">
        <w:rPr>
          <w:rFonts w:ascii="Garamond" w:hAnsi="Garamond"/>
          <w:lang w:val="en-GB"/>
        </w:rPr>
        <w:t xml:space="preserve"> displays all estimation results. Each panel (A, B, C and D) contains the results for a different credit migration matrix. All single panels in their turn hold the results for the two portfolios (L and LS) and within each portfolio the results for the three copula assumptions are given (N, </w:t>
      </w:r>
      <w:r w:rsidRPr="00802C03">
        <w:rPr>
          <w:rFonts w:ascii="Garamond" w:hAnsi="Garamond"/>
          <w:i/>
          <w:lang w:val="en-GB"/>
        </w:rPr>
        <w:t>t</w:t>
      </w:r>
      <w:r w:rsidRPr="00802C03">
        <w:rPr>
          <w:rFonts w:ascii="Garamond" w:hAnsi="Garamond"/>
          <w:lang w:val="en-GB"/>
        </w:rPr>
        <w:t xml:space="preserve">-5 and </w:t>
      </w:r>
      <w:r w:rsidRPr="00802C03">
        <w:rPr>
          <w:rFonts w:ascii="Garamond" w:hAnsi="Garamond"/>
          <w:i/>
          <w:lang w:val="en-GB"/>
        </w:rPr>
        <w:t>t</w:t>
      </w:r>
      <w:r w:rsidRPr="00802C03">
        <w:rPr>
          <w:rFonts w:ascii="Garamond" w:hAnsi="Garamond"/>
          <w:lang w:val="en-GB"/>
        </w:rPr>
        <w:t xml:space="preserve">-15). For each model estimation, the 99.9% VaR-estimate is displayed in millions (column three) and in terms of a percentage of the initial portfolio value (column four), as are the 95% confidence bounds of the 99.9% VaR-estimate (column five and six). Furthermore, the 99% VaR-estimate and confidence bounds (column seven to ten) for each model estimation and the 95% VaR-estimate and confidence bounds (column eleven to thirteen) are shown as a percentage of the initial portfolio value as well.  </w:t>
      </w:r>
    </w:p>
    <w:p w:rsidR="001C7C52" w:rsidRPr="00802C03" w:rsidRDefault="001C7C52" w:rsidP="001F0514">
      <w:pPr>
        <w:spacing w:line="160" w:lineRule="exact"/>
        <w:jc w:val="both"/>
        <w:rPr>
          <w:rFonts w:ascii="Garamond" w:hAnsi="Garamond"/>
          <w:lang w:val="en-GB"/>
        </w:rPr>
      </w:pP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The first points of attention are the VaR-estimates resulting from the duration migration matrix (panel A), the cohort migration matrix (panel B) and the Aalen-Johansen estimator (AJE) migration matrix (panel C) specifications. In the comparison of the 99.9% VaR-estimates per portfolio and copula assumption, a consistent pattern is found. Although the differences are not always significant, the use of the cohort matrix consistently generates a slightly larger 99.9% VaR-estimate then the duration matrix and AJE matrix per copula assumption.</w:t>
      </w:r>
      <w:r w:rsidRPr="00802C03">
        <w:rPr>
          <w:rStyle w:val="FootnoteReference"/>
          <w:rFonts w:ascii="Garamond" w:hAnsi="Garamond"/>
          <w:lang w:val="en-GB"/>
        </w:rPr>
        <w:footnoteReference w:id="64"/>
      </w:r>
      <w:r w:rsidRPr="00802C03">
        <w:rPr>
          <w:rFonts w:ascii="Garamond" w:hAnsi="Garamond"/>
          <w:lang w:val="en-GB"/>
        </w:rPr>
        <w:t xml:space="preserve"> The difference is less than 2% on average. The duration and AJE matrix display no constant pattern in their outputs relative to each other. Both migration matrices generate roughly equivalent 99.9% VaR-estimates. When the 99% VaR-estimates are considered for the same specifications, all three credit migration estimation methodologies produce approximately equal VaR-estimates per portfolio and copula assumption. The 95% VaR-estimates show again another pattern, as the use of the duration and AJE migration matrices consistently generates slightly higher estimates than the cohort migration matrix. In addition, this difference is significant in almost every comparison and is as small as 0.3% on average.</w: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 xml:space="preserve">The duration migration matrix and the AJE migration matrix obviously generate approximately equal risk measures due to their large similarities. Furthermore, the most apparent reason of the slightly higher 99.9% VaR-estimates for the cohort matrix specification may be found in the fact that the cohort matrix contains higher default probabilities for the lower graded issuers, except for the CCC/C category. The 99.9% worst loss is not likely to be affected to a great extent by the higher CCC/C default probability in the duration and AJE migration matrices, since this scenario is so far left in the tail of the portfolio return distributions that the maximum of defaults in the CCC/C category is likely to be reached anyway. As a consequence, the slightly higher default probability for the A, BBB, BB and B rating classes in the cohort migration matrix almost certainly produced the larger 99.9% VaR-estimates. </w: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A similar way of thinking applies when the higher 95% VaR-estimates generated with the duration and AJE migration matrices, relative to those resulting from the cohort matrix, are considered. These loss scenarios are far less extreme and therefore the larger CCC/C default probabilities do affect these risk estimates, since the number of CCC/C defaults in the relevant simulation scenarios will not nearly reach its maximum. Consequently, the 95% VaR-estimates are higher for the duration and AJE migration matrix specifications.</w:t>
      </w:r>
    </w:p>
    <w:p w:rsidR="001C7C52" w:rsidRPr="00802C03" w:rsidRDefault="001C7C52" w:rsidP="001F0514">
      <w:pPr>
        <w:spacing w:line="160" w:lineRule="exact"/>
        <w:jc w:val="both"/>
        <w:rPr>
          <w:rFonts w:ascii="Garamond" w:hAnsi="Garamond"/>
          <w:lang w:val="en-GB"/>
        </w:rPr>
      </w:pPr>
      <w:r>
        <w:rPr>
          <w:noProof/>
          <w:lang w:val="en-US"/>
        </w:rPr>
        <w:pict>
          <v:shape id="_x0000_s1111" type="#_x0000_t202" style="position:absolute;left:0;text-align:left;margin-left:-12.45pt;margin-top:12.2pt;width:498.9pt;height:546.15pt;z-index:251641344" stroked="f">
            <v:textbox style="mso-next-textbox:#_x0000_s1111">
              <w:txbxContent>
                <w:p w:rsidR="001C7C52" w:rsidRDefault="001C7C52" w:rsidP="001D630E">
                  <w:pPr>
                    <w:spacing w:line="120" w:lineRule="exact"/>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798"/>
                    <w:gridCol w:w="799"/>
                    <w:gridCol w:w="799"/>
                    <w:gridCol w:w="799"/>
                    <w:gridCol w:w="799"/>
                    <w:gridCol w:w="799"/>
                    <w:gridCol w:w="799"/>
                    <w:gridCol w:w="799"/>
                    <w:gridCol w:w="799"/>
                    <w:gridCol w:w="799"/>
                    <w:gridCol w:w="799"/>
                  </w:tblGrid>
                  <w:tr w:rsidR="001C7C52" w:rsidRPr="000B0ADE" w:rsidTr="00C9405D">
                    <w:tc>
                      <w:tcPr>
                        <w:tcW w:w="9639" w:type="dxa"/>
                        <w:gridSpan w:val="12"/>
                        <w:tcBorders>
                          <w:top w:val="nil"/>
                          <w:left w:val="nil"/>
                          <w:bottom w:val="single" w:sz="4" w:space="0" w:color="auto"/>
                          <w:right w:val="nil"/>
                        </w:tcBorders>
                        <w:vAlign w:val="center"/>
                      </w:tcPr>
                      <w:p w:rsidR="001C7C52" w:rsidRPr="00495433" w:rsidRDefault="001C7C52" w:rsidP="00C9405D">
                        <w:pPr>
                          <w:spacing w:line="240" w:lineRule="auto"/>
                          <w:rPr>
                            <w:rFonts w:ascii="Garamond" w:hAnsi="Garamond"/>
                            <w:sz w:val="20"/>
                            <w:lang w:val="en-US"/>
                          </w:rPr>
                        </w:pPr>
                        <w:bookmarkStart w:id="69" w:name="T7"/>
                        <w:bookmarkEnd w:id="69"/>
                        <w:r w:rsidRPr="005E2825">
                          <w:rPr>
                            <w:rFonts w:ascii="Garamond" w:hAnsi="Garamond"/>
                            <w:b/>
                            <w:color w:val="000000"/>
                            <w:lang w:val="en-US"/>
                          </w:rPr>
                          <w:t>T</w:t>
                        </w:r>
                        <w:r w:rsidRPr="005E2825">
                          <w:rPr>
                            <w:rFonts w:ascii="Garamond" w:hAnsi="Garamond"/>
                            <w:b/>
                            <w:color w:val="000000"/>
                            <w:sz w:val="18"/>
                            <w:szCs w:val="18"/>
                            <w:lang w:val="en-US"/>
                          </w:rPr>
                          <w:t>ABLE</w:t>
                        </w:r>
                        <w:r w:rsidRPr="005E2825">
                          <w:rPr>
                            <w:rFonts w:ascii="Garamond" w:hAnsi="Garamond"/>
                            <w:b/>
                            <w:color w:val="000000"/>
                            <w:lang w:val="en-US"/>
                          </w:rPr>
                          <w:t xml:space="preserve"> VII</w:t>
                        </w:r>
                        <w:r>
                          <w:rPr>
                            <w:rFonts w:ascii="Garamond" w:hAnsi="Garamond"/>
                            <w:b/>
                            <w:color w:val="000000"/>
                            <w:lang w:val="en-US"/>
                          </w:rPr>
                          <w:t xml:space="preserve"> </w:t>
                        </w:r>
                        <w:r w:rsidRPr="007928F1">
                          <w:rPr>
                            <w:rFonts w:ascii="Garamond" w:hAnsi="Garamond"/>
                            <w:color w:val="000000"/>
                            <w:lang w:val="en-US"/>
                          </w:rPr>
                          <w:t>-</w:t>
                        </w:r>
                        <w:r>
                          <w:rPr>
                            <w:rFonts w:ascii="Garamond" w:hAnsi="Garamond"/>
                            <w:b/>
                            <w:color w:val="000000"/>
                            <w:lang w:val="en-US"/>
                          </w:rPr>
                          <w:t xml:space="preserve"> </w:t>
                        </w:r>
                        <w:r>
                          <w:rPr>
                            <w:rFonts w:ascii="Garamond" w:hAnsi="Garamond"/>
                            <w:sz w:val="20"/>
                            <w:lang w:val="en-US"/>
                          </w:rPr>
                          <w:t>Incremental Risk Model Estimates: Credit Migration Matrices</w:t>
                        </w:r>
                      </w:p>
                    </w:tc>
                  </w:tr>
                  <w:tr w:rsidR="001C7C52" w:rsidRPr="00495433" w:rsidTr="00C9405D">
                    <w:tc>
                      <w:tcPr>
                        <w:tcW w:w="851" w:type="dxa"/>
                        <w:tcBorders>
                          <w:top w:val="single" w:sz="4" w:space="0" w:color="auto"/>
                          <w:left w:val="nil"/>
                          <w:bottom w:val="nil"/>
                          <w:right w:val="nil"/>
                        </w:tcBorders>
                        <w:vAlign w:val="center"/>
                      </w:tcPr>
                      <w:p w:rsidR="001C7C52" w:rsidRPr="00495433" w:rsidRDefault="001C7C52" w:rsidP="00C9405D">
                        <w:pPr>
                          <w:rPr>
                            <w:rFonts w:ascii="Garamond" w:hAnsi="Garamond"/>
                            <w:sz w:val="20"/>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C9405D">
                        <w:pPr>
                          <w:rPr>
                            <w:rFonts w:ascii="Garamond" w:hAnsi="Garamond"/>
                            <w:i/>
                            <w:sz w:val="20"/>
                            <w:lang w:val="en-US"/>
                          </w:rPr>
                        </w:pPr>
                        <w:r w:rsidRPr="005A7F06">
                          <w:rPr>
                            <w:rFonts w:ascii="Garamond" w:hAnsi="Garamond"/>
                            <w:i/>
                            <w:sz w:val="20"/>
                            <w:lang w:val="en-US"/>
                          </w:rPr>
                          <w:t>A. Duration migration matrix</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nil"/>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nil"/>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99.9% VaR*</w:t>
                        </w:r>
                      </w:p>
                    </w:tc>
                    <w:tc>
                      <w:tcPr>
                        <w:tcW w:w="799" w:type="dxa"/>
                        <w:tcBorders>
                          <w:top w:val="nil"/>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99.9% VaR %</w:t>
                        </w:r>
                      </w:p>
                    </w:tc>
                    <w:tc>
                      <w:tcPr>
                        <w:tcW w:w="799" w:type="dxa"/>
                        <w:tcBorders>
                          <w:top w:val="nil"/>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 VaR %</w:t>
                        </w:r>
                      </w:p>
                    </w:tc>
                    <w:tc>
                      <w:tcPr>
                        <w:tcW w:w="799" w:type="dxa"/>
                        <w:tcBorders>
                          <w:top w:val="nil"/>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95% VaR %</w:t>
                        </w:r>
                      </w:p>
                    </w:tc>
                    <w:tc>
                      <w:tcPr>
                        <w:tcW w:w="799" w:type="dxa"/>
                        <w:tcBorders>
                          <w:top w:val="nil"/>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C9405D">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$1.018</w:t>
                        </w:r>
                      </w:p>
                    </w:tc>
                    <w:tc>
                      <w:tcPr>
                        <w:tcW w:w="799" w:type="dxa"/>
                        <w:tcBorders>
                          <w:top w:val="single" w:sz="4" w:space="0" w:color="auto"/>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15.42%</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14.96%</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16.04%</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7.00%</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6.86%</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7.14%</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1.60%</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1.54%</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1.66%</w:t>
                        </w:r>
                      </w:p>
                    </w:tc>
                  </w:tr>
                  <w:tr w:rsidR="001C7C52" w:rsidRPr="00495433" w:rsidTr="00C9405D">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$2.013</w:t>
                        </w:r>
                      </w:p>
                    </w:tc>
                    <w:tc>
                      <w:tcPr>
                        <w:tcW w:w="799" w:type="dxa"/>
                        <w:tcBorders>
                          <w:top w:val="nil"/>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30.50%</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29.22%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31.88%</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12.46%</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12.20%</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12.81%</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2.48%</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2.39%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2.57%</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22.35%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21.62%</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23.36%</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9.43%</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9.22%</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9.66%</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2.04%</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1.98%</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2.11%</w:t>
                        </w:r>
                      </w:p>
                    </w:tc>
                  </w:tr>
                  <w:tr w:rsidR="001C7C52" w:rsidRPr="00495433" w:rsidTr="00C9405D">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$0.548</w:t>
                        </w:r>
                      </w:p>
                    </w:tc>
                    <w:tc>
                      <w:tcPr>
                        <w:tcW w:w="799" w:type="dxa"/>
                        <w:tcBorders>
                          <w:top w:val="single" w:sz="4" w:space="0" w:color="auto"/>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24.65%</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24.01%</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25.75%</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12.63%</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12.41%</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12.84%</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5.12%</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5.05%</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5.21%</w:t>
                        </w:r>
                      </w:p>
                    </w:tc>
                  </w:tr>
                  <w:tr w:rsidR="001C7C52" w:rsidRPr="00495433" w:rsidTr="00C9405D">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$0.929</w:t>
                        </w:r>
                      </w:p>
                    </w:tc>
                    <w:tc>
                      <w:tcPr>
                        <w:tcW w:w="799" w:type="dxa"/>
                        <w:tcBorders>
                          <w:top w:val="nil"/>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41.74%</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40.36%</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43.13%</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17.28%</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16.88%</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17.67%</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5.07%</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4.96%</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5.19%</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$0.713</w:t>
                        </w:r>
                      </w:p>
                    </w:tc>
                    <w:tc>
                      <w:tcPr>
                        <w:tcW w:w="799" w:type="dxa"/>
                        <w:tcBorders>
                          <w:top w:val="nil"/>
                          <w:left w:val="nil"/>
                          <w:bottom w:val="single" w:sz="4" w:space="0" w:color="auto"/>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32.05%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31.18%</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33.06%</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14.41%</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15.01%</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5.26%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5.16%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5.36%</w:t>
                        </w:r>
                      </w:p>
                    </w:tc>
                  </w:tr>
                  <w:tr w:rsidR="001C7C52" w:rsidRPr="00495433" w:rsidTr="00C9405D">
                    <w:tc>
                      <w:tcPr>
                        <w:tcW w:w="851"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C9405D">
                        <w:pPr>
                          <w:rPr>
                            <w:rFonts w:ascii="Garamond" w:hAnsi="Garamond"/>
                            <w:i/>
                            <w:sz w:val="18"/>
                            <w:szCs w:val="18"/>
                            <w:lang w:val="en-US"/>
                          </w:rPr>
                        </w:pPr>
                        <w:r w:rsidRPr="005A7F06">
                          <w:rPr>
                            <w:rFonts w:ascii="Garamond" w:hAnsi="Garamond"/>
                            <w:i/>
                            <w:sz w:val="20"/>
                            <w:lang w:val="en-US"/>
                          </w:rPr>
                          <w:t>B. Cohort migration matrix</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C9405D">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C9405D">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$1.062</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16.09%</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15.61%</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16.64%</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7.05%</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6.86%</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7.22%</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1.40%</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1.33%</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1.46%</w:t>
                        </w:r>
                      </w:p>
                    </w:tc>
                  </w:tr>
                  <w:tr w:rsidR="001C7C52" w:rsidRPr="00495433" w:rsidTr="00C9405D">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$2.204</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33.40%</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32.29%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35.39%</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12.51%</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12.13%</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12.85%</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2.02%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1.93%</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2.12%</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$1.541</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23.34%</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22.29%</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24.01%</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9.34%</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9.10%</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9.53%</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1.80%</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1.72%</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1.88%</w:t>
                        </w:r>
                      </w:p>
                    </w:tc>
                  </w:tr>
                  <w:tr w:rsidR="001C7C52" w:rsidRPr="00495433" w:rsidTr="00C9405D">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$0.601</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27.03%</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26.28%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28.14%</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13.08%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12.79%</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13.35%</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4.95%</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4.86%</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5.04%</w:t>
                        </w:r>
                      </w:p>
                    </w:tc>
                  </w:tr>
                  <w:tr w:rsidR="001C7C52" w:rsidRPr="00495433" w:rsidTr="00C9405D">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$0.963</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43.29%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41.52%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45.47%</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17.72%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17.27%</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18.14%</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4.72%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4.61%</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4.83%</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$0.768</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34.56%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33.55%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35.78%</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14.99%</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14.67%</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15.30%</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4.93%</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4.84%</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5.03%</w:t>
                        </w:r>
                      </w:p>
                    </w:tc>
                  </w:tr>
                  <w:tr w:rsidR="001C7C52" w:rsidRPr="00495433" w:rsidTr="00C9405D">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C9405D">
                        <w:pPr>
                          <w:rPr>
                            <w:rFonts w:ascii="Garamond" w:hAnsi="Garamond"/>
                            <w:i/>
                            <w:sz w:val="18"/>
                            <w:szCs w:val="18"/>
                            <w:lang w:val="en-US"/>
                          </w:rPr>
                        </w:pPr>
                        <w:r w:rsidRPr="005A7F06">
                          <w:rPr>
                            <w:rFonts w:ascii="Garamond" w:hAnsi="Garamond"/>
                            <w:i/>
                            <w:sz w:val="20"/>
                            <w:lang w:val="en-US"/>
                          </w:rPr>
                          <w:t>C. Aalen-Johansen estimator migration matrix</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C9405D">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C9405D">
                    <w:trPr>
                      <w:trHeight w:val="233"/>
                    </w:trPr>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$1.028</w:t>
                        </w:r>
                      </w:p>
                    </w:tc>
                    <w:tc>
                      <w:tcPr>
                        <w:tcW w:w="799" w:type="dxa"/>
                        <w:tcBorders>
                          <w:top w:val="single" w:sz="4" w:space="0" w:color="auto"/>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15.57%</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15.05%</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16.25%</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7.05%</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6.88%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7.22%</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1.59%</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1.52%</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1.64%</w:t>
                        </w:r>
                      </w:p>
                    </w:tc>
                  </w:tr>
                  <w:tr w:rsidR="001C7C52" w:rsidRPr="00495433" w:rsidTr="00C9405D">
                    <w:trPr>
                      <w:trHeight w:val="233"/>
                    </w:trPr>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$1.940</w:t>
                        </w:r>
                      </w:p>
                    </w:tc>
                    <w:tc>
                      <w:tcPr>
                        <w:tcW w:w="799" w:type="dxa"/>
                        <w:tcBorders>
                          <w:top w:val="nil"/>
                          <w:left w:val="nil"/>
                          <w:bottom w:val="nil"/>
                          <w:right w:val="nil"/>
                        </w:tcBorders>
                        <w:vAlign w:val="center"/>
                      </w:tcPr>
                      <w:p w:rsidR="001C7C52" w:rsidRPr="000A49A1" w:rsidRDefault="001C7C52" w:rsidP="00C9405D">
                        <w:pPr>
                          <w:jc w:val="center"/>
                          <w:rPr>
                            <w:rFonts w:ascii="Garamond" w:hAnsi="Garamond"/>
                            <w:b/>
                            <w:sz w:val="18"/>
                            <w:szCs w:val="18"/>
                            <w:lang w:val="en-US"/>
                          </w:rPr>
                        </w:pPr>
                        <w:r w:rsidRPr="000A49A1">
                          <w:rPr>
                            <w:rFonts w:ascii="Garamond" w:hAnsi="Garamond"/>
                            <w:b/>
                            <w:sz w:val="18"/>
                            <w:szCs w:val="18"/>
                            <w:lang w:val="en-US"/>
                          </w:rPr>
                          <w:t>29.39%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28.02%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30.92%</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11.62%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11.29%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11.99%</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2.27%</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2.19%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2.35%</w:t>
                        </w:r>
                      </w:p>
                    </w:tc>
                  </w:tr>
                  <w:tr w:rsidR="001C7C52" w:rsidRPr="00495433" w:rsidTr="00C9405D">
                    <w:trPr>
                      <w:trHeight w:val="233"/>
                    </w:trPr>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$1.476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22.37%</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21.52%</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22.98%</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9.07%</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8.86%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9.31%</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2.00%</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1.95%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2.08%</w:t>
                        </w:r>
                      </w:p>
                    </w:tc>
                  </w:tr>
                  <w:tr w:rsidR="001C7C52" w:rsidRPr="00495433" w:rsidTr="00C9405D">
                    <w:trPr>
                      <w:trHeight w:val="233"/>
                    </w:trPr>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$0.558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25.09%</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24.46%</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26.06%</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12.60%</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12.38%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12.83%</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5.12%</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5.03%</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5.19%</w:t>
                        </w:r>
                      </w:p>
                    </w:tc>
                  </w:tr>
                  <w:tr w:rsidR="001C7C52" w:rsidRPr="00495433" w:rsidTr="00C9405D">
                    <w:trPr>
                      <w:trHeight w:val="233"/>
                    </w:trPr>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$0.858</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38.54%</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37.12%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39.95%</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16.52%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16.19%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17.00%</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4.92%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4.80%</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5.05%</w:t>
                        </w:r>
                      </w:p>
                    </w:tc>
                  </w:tr>
                  <w:tr w:rsidR="001C7C52" w:rsidRPr="00495433" w:rsidTr="00C9405D">
                    <w:trPr>
                      <w:trHeight w:val="233"/>
                    </w:trPr>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$0.755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33.94%</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32.66%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34.84%</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14.59%</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14.26%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14.88%</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5.19%</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5.09%</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5.27%</w:t>
                        </w:r>
                      </w:p>
                    </w:tc>
                  </w:tr>
                  <w:tr w:rsidR="001C7C52" w:rsidRPr="000B0ADE" w:rsidTr="00C9405D">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C9405D">
                        <w:pPr>
                          <w:rPr>
                            <w:rFonts w:ascii="Garamond" w:hAnsi="Garamond"/>
                            <w:i/>
                            <w:sz w:val="18"/>
                            <w:szCs w:val="18"/>
                            <w:lang w:val="en-US"/>
                          </w:rPr>
                        </w:pPr>
                        <w:r w:rsidRPr="005A7F06">
                          <w:rPr>
                            <w:rFonts w:ascii="Garamond" w:hAnsi="Garamond"/>
                            <w:i/>
                            <w:sz w:val="20"/>
                            <w:lang w:val="en-US"/>
                          </w:rPr>
                          <w:t>D. Durat</w:t>
                        </w:r>
                        <w:r>
                          <w:rPr>
                            <w:rFonts w:ascii="Garamond" w:hAnsi="Garamond"/>
                            <w:i/>
                            <w:sz w:val="20"/>
                            <w:lang w:val="en-US"/>
                          </w:rPr>
                          <w:t>ion migration matrix conditional</w:t>
                        </w:r>
                        <w:r w:rsidRPr="005A7F06">
                          <w:rPr>
                            <w:rFonts w:ascii="Garamond" w:hAnsi="Garamond"/>
                            <w:i/>
                            <w:sz w:val="20"/>
                            <w:lang w:val="en-US"/>
                          </w:rPr>
                          <w:t xml:space="preserve"> to the credit crisis period</w:t>
                        </w:r>
                      </w:p>
                    </w:tc>
                  </w:tr>
                  <w:tr w:rsidR="001C7C52" w:rsidRPr="00495433" w:rsidTr="00C9405D">
                    <w:tc>
                      <w:tcPr>
                        <w:tcW w:w="851" w:type="dxa"/>
                        <w:tcBorders>
                          <w:top w:val="nil"/>
                          <w:left w:val="nil"/>
                          <w:bottom w:val="single" w:sz="4" w:space="0" w:color="auto"/>
                          <w:right w:val="nil"/>
                        </w:tcBorders>
                        <w:vAlign w:val="center"/>
                      </w:tcPr>
                      <w:p w:rsidR="001C7C52" w:rsidRPr="006A2342" w:rsidRDefault="001C7C52" w:rsidP="00C9405D">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C9405D">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0A49A1" w:rsidRDefault="001C7C52" w:rsidP="00C9405D">
                        <w:pPr>
                          <w:spacing w:line="240" w:lineRule="auto"/>
                          <w:jc w:val="center"/>
                          <w:rPr>
                            <w:rFonts w:ascii="Garamond" w:hAnsi="Garamond"/>
                            <w:b/>
                            <w:sz w:val="18"/>
                            <w:szCs w:val="18"/>
                            <w:lang w:val="en-US"/>
                          </w:rPr>
                        </w:pPr>
                        <w:r w:rsidRPr="000A49A1">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C9405D">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C9405D">
                    <w:trPr>
                      <w:trHeight w:val="233"/>
                    </w:trPr>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$1.411</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21.38%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20.90%</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22.22%</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11.59%</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11.37%</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11.81%</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4.93%</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4.84%</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5.00%</w:t>
                        </w:r>
                      </w:p>
                    </w:tc>
                  </w:tr>
                  <w:tr w:rsidR="001C7C52" w:rsidRPr="00495433" w:rsidTr="00C9405D">
                    <w:trPr>
                      <w:trHeight w:val="233"/>
                    </w:trPr>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$2.862</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43.36%</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41.63%</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45.06%</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18.66%</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18.19%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19.03%</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6.40%</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6.26%</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6.52%</w:t>
                        </w:r>
                      </w:p>
                    </w:tc>
                  </w:tr>
                  <w:tr w:rsidR="001C7C52" w:rsidRPr="00495433" w:rsidTr="00C9405D">
                    <w:trPr>
                      <w:trHeight w:val="233"/>
                    </w:trPr>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$2.036</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30.85%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30.07%</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31.48%</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14.41%</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14.17%</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14.66%</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5.79%</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5.70%</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5.89%</w:t>
                        </w:r>
                      </w:p>
                    </w:tc>
                  </w:tr>
                  <w:tr w:rsidR="001C7C52" w:rsidRPr="00495433" w:rsidTr="00C9405D">
                    <w:trPr>
                      <w:trHeight w:val="233"/>
                    </w:trPr>
                    <w:tc>
                      <w:tcPr>
                        <w:tcW w:w="851" w:type="dxa"/>
                        <w:tcBorders>
                          <w:top w:val="single" w:sz="4" w:space="0" w:color="auto"/>
                          <w:left w:val="nil"/>
                          <w:bottom w:val="nil"/>
                          <w:right w:val="nil"/>
                        </w:tcBorders>
                        <w:vAlign w:val="center"/>
                      </w:tcPr>
                      <w:p w:rsidR="001C7C52" w:rsidRPr="006A2342" w:rsidRDefault="001C7C52" w:rsidP="00C9405D">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$0.733</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32.92%</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32.08%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33.77%</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17.73%</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17.48%</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17.98%</w:t>
                        </w:r>
                      </w:p>
                    </w:tc>
                    <w:tc>
                      <w:tcPr>
                        <w:tcW w:w="799" w:type="dxa"/>
                        <w:tcBorders>
                          <w:top w:val="single" w:sz="4" w:space="0" w:color="auto"/>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8.40%</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8.31%</w:t>
                        </w:r>
                      </w:p>
                    </w:tc>
                    <w:tc>
                      <w:tcPr>
                        <w:tcW w:w="799" w:type="dxa"/>
                        <w:tcBorders>
                          <w:top w:val="single" w:sz="4" w:space="0" w:color="auto"/>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8.51%</w:t>
                        </w:r>
                      </w:p>
                    </w:tc>
                  </w:tr>
                  <w:tr w:rsidR="001C7C52" w:rsidRPr="00495433" w:rsidTr="00C9405D">
                    <w:trPr>
                      <w:trHeight w:val="233"/>
                    </w:trPr>
                    <w:tc>
                      <w:tcPr>
                        <w:tcW w:w="851" w:type="dxa"/>
                        <w:tcBorders>
                          <w:top w:val="nil"/>
                          <w:left w:val="nil"/>
                          <w:bottom w:val="nil"/>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$1.199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53.89%</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52.01%</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55.74%</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23.37%</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22.93%</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23.90%</w:t>
                        </w:r>
                      </w:p>
                    </w:tc>
                    <w:tc>
                      <w:tcPr>
                        <w:tcW w:w="799" w:type="dxa"/>
                        <w:tcBorders>
                          <w:top w:val="nil"/>
                          <w:left w:val="nil"/>
                          <w:bottom w:val="nil"/>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9.04%</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8.90%</w:t>
                        </w:r>
                      </w:p>
                    </w:tc>
                    <w:tc>
                      <w:tcPr>
                        <w:tcW w:w="799" w:type="dxa"/>
                        <w:tcBorders>
                          <w:top w:val="nil"/>
                          <w:left w:val="nil"/>
                          <w:bottom w:val="nil"/>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9.18%</w:t>
                        </w:r>
                      </w:p>
                    </w:tc>
                  </w:tr>
                  <w:tr w:rsidR="001C7C52" w:rsidRPr="00495433" w:rsidTr="00C9405D">
                    <w:trPr>
                      <w:trHeight w:val="233"/>
                    </w:trPr>
                    <w:tc>
                      <w:tcPr>
                        <w:tcW w:w="851" w:type="dxa"/>
                        <w:tcBorders>
                          <w:top w:val="nil"/>
                          <w:left w:val="nil"/>
                          <w:bottom w:val="single" w:sz="4" w:space="0" w:color="auto"/>
                          <w:right w:val="nil"/>
                        </w:tcBorders>
                        <w:vAlign w:val="center"/>
                      </w:tcPr>
                      <w:p w:rsidR="001C7C52" w:rsidRPr="006A2342" w:rsidRDefault="001C7C52" w:rsidP="00C9405D">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$0.928</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b/>
                            <w:sz w:val="18"/>
                            <w:szCs w:val="18"/>
                            <w:lang w:val="en-US"/>
                          </w:rPr>
                        </w:pPr>
                        <w:r>
                          <w:rPr>
                            <w:rFonts w:ascii="Garamond" w:hAnsi="Garamond"/>
                            <w:b/>
                            <w:sz w:val="18"/>
                            <w:szCs w:val="18"/>
                            <w:lang w:val="en-US"/>
                          </w:rPr>
                          <w:t>41.69%</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40.25%</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43.01%</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20.11%</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19.81%</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20.51%</w:t>
                        </w:r>
                      </w:p>
                    </w:tc>
                    <w:tc>
                      <w:tcPr>
                        <w:tcW w:w="799" w:type="dxa"/>
                        <w:tcBorders>
                          <w:top w:val="nil"/>
                          <w:left w:val="nil"/>
                          <w:bottom w:val="single" w:sz="4" w:space="0" w:color="auto"/>
                          <w:right w:val="nil"/>
                        </w:tcBorders>
                        <w:vAlign w:val="center"/>
                      </w:tcPr>
                      <w:p w:rsidR="001C7C52" w:rsidRPr="002A400E" w:rsidRDefault="001C7C52" w:rsidP="00C9405D">
                        <w:pPr>
                          <w:jc w:val="center"/>
                          <w:rPr>
                            <w:rFonts w:ascii="Garamond" w:hAnsi="Garamond"/>
                            <w:b/>
                            <w:sz w:val="18"/>
                            <w:szCs w:val="18"/>
                            <w:lang w:val="en-US"/>
                          </w:rPr>
                        </w:pPr>
                        <w:r>
                          <w:rPr>
                            <w:rFonts w:ascii="Garamond" w:hAnsi="Garamond"/>
                            <w:b/>
                            <w:sz w:val="18"/>
                            <w:szCs w:val="18"/>
                            <w:lang w:val="en-US"/>
                          </w:rPr>
                          <w:t>8.90%</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8.78%</w:t>
                        </w:r>
                      </w:p>
                    </w:tc>
                    <w:tc>
                      <w:tcPr>
                        <w:tcW w:w="799" w:type="dxa"/>
                        <w:tcBorders>
                          <w:top w:val="nil"/>
                          <w:left w:val="nil"/>
                          <w:bottom w:val="single" w:sz="4" w:space="0" w:color="auto"/>
                          <w:right w:val="nil"/>
                        </w:tcBorders>
                        <w:vAlign w:val="center"/>
                      </w:tcPr>
                      <w:p w:rsidR="001C7C52" w:rsidRPr="006A2342" w:rsidRDefault="001C7C52" w:rsidP="00C9405D">
                        <w:pPr>
                          <w:jc w:val="center"/>
                          <w:rPr>
                            <w:rFonts w:ascii="Garamond" w:hAnsi="Garamond"/>
                            <w:sz w:val="18"/>
                            <w:szCs w:val="18"/>
                            <w:lang w:val="en-US"/>
                          </w:rPr>
                        </w:pPr>
                        <w:r>
                          <w:rPr>
                            <w:rFonts w:ascii="Garamond" w:hAnsi="Garamond"/>
                            <w:sz w:val="18"/>
                            <w:szCs w:val="18"/>
                            <w:lang w:val="en-US"/>
                          </w:rPr>
                          <w:t>9.00%</w:t>
                        </w:r>
                      </w:p>
                    </w:tc>
                  </w:tr>
                  <w:tr w:rsidR="001C7C52" w:rsidRPr="00495433" w:rsidTr="00C9405D">
                    <w:tc>
                      <w:tcPr>
                        <w:tcW w:w="9639" w:type="dxa"/>
                        <w:gridSpan w:val="12"/>
                        <w:tcBorders>
                          <w:top w:val="single" w:sz="4" w:space="0" w:color="auto"/>
                          <w:left w:val="nil"/>
                          <w:bottom w:val="nil"/>
                          <w:right w:val="nil"/>
                        </w:tcBorders>
                        <w:vAlign w:val="center"/>
                      </w:tcPr>
                      <w:p w:rsidR="001C7C52" w:rsidRPr="00B4632D" w:rsidRDefault="001C7C52" w:rsidP="000C4E1E">
                        <w:pPr>
                          <w:spacing w:after="40" w:line="180" w:lineRule="exact"/>
                          <w:jc w:val="both"/>
                          <w:rPr>
                            <w:rFonts w:ascii="Garamond" w:hAnsi="Garamond"/>
                            <w:sz w:val="16"/>
                            <w:szCs w:val="16"/>
                            <w:lang w:val="en-US"/>
                          </w:rPr>
                        </w:pPr>
                        <w:r w:rsidRPr="00B4632D">
                          <w:rPr>
                            <w:rFonts w:ascii="Garamond" w:hAnsi="Garamond"/>
                            <w:sz w:val="16"/>
                            <w:szCs w:val="16"/>
                            <w:lang w:val="en-US"/>
                          </w:rPr>
                          <w:t xml:space="preserve">* The 99.9% VaR values are reported in millions. All estimates are based on the credit crisis period equity correlations and equity autocorrelations. The applied liquidity horizons are the standard liquidity horizons. Portfolio L is the long only portfolio and Portfolio LS is the long short portfolio. Copula N is the Normal or Gaussian copula and copulas </w:t>
                        </w:r>
                        <w:r w:rsidRPr="00B4632D">
                          <w:rPr>
                            <w:rFonts w:ascii="Garamond" w:hAnsi="Garamond"/>
                            <w:i/>
                            <w:sz w:val="16"/>
                            <w:szCs w:val="16"/>
                            <w:lang w:val="en-US"/>
                          </w:rPr>
                          <w:t>t</w:t>
                        </w:r>
                        <w:r w:rsidRPr="00B4632D">
                          <w:rPr>
                            <w:rFonts w:ascii="Garamond" w:hAnsi="Garamond"/>
                            <w:sz w:val="16"/>
                            <w:szCs w:val="16"/>
                            <w:lang w:val="en-US"/>
                          </w:rPr>
                          <w:t xml:space="preserve">-5 and </w:t>
                        </w:r>
                        <w:r w:rsidRPr="00B4632D">
                          <w:rPr>
                            <w:rFonts w:ascii="Garamond" w:hAnsi="Garamond"/>
                            <w:i/>
                            <w:sz w:val="16"/>
                            <w:szCs w:val="16"/>
                            <w:lang w:val="en-US"/>
                          </w:rPr>
                          <w:t>t</w:t>
                        </w:r>
                        <w:r w:rsidRPr="00B4632D">
                          <w:rPr>
                            <w:rFonts w:ascii="Garamond" w:hAnsi="Garamond"/>
                            <w:sz w:val="16"/>
                            <w:szCs w:val="16"/>
                            <w:lang w:val="en-US"/>
                          </w:rPr>
                          <w:t xml:space="preserve">-15 are the </w:t>
                        </w:r>
                        <w:r w:rsidRPr="00B4632D">
                          <w:rPr>
                            <w:rFonts w:ascii="Garamond" w:hAnsi="Garamond"/>
                            <w:i/>
                            <w:sz w:val="16"/>
                            <w:szCs w:val="16"/>
                            <w:lang w:val="en-US"/>
                          </w:rPr>
                          <w:t>t</w:t>
                        </w:r>
                        <w:r w:rsidRPr="00B4632D">
                          <w:rPr>
                            <w:rFonts w:ascii="Garamond" w:hAnsi="Garamond"/>
                            <w:sz w:val="16"/>
                            <w:szCs w:val="16"/>
                            <w:lang w:val="en-US"/>
                          </w:rPr>
                          <w:t xml:space="preserve">-Student copulas with underlying Student </w:t>
                        </w:r>
                        <w:r w:rsidRPr="00B4632D">
                          <w:rPr>
                            <w:rFonts w:ascii="Garamond" w:hAnsi="Garamond"/>
                            <w:i/>
                            <w:sz w:val="16"/>
                            <w:szCs w:val="16"/>
                            <w:lang w:val="en-US"/>
                          </w:rPr>
                          <w:t>t</w:t>
                        </w:r>
                        <w:r w:rsidRPr="00B4632D">
                          <w:rPr>
                            <w:rFonts w:ascii="Garamond" w:hAnsi="Garamond"/>
                            <w:sz w:val="16"/>
                            <w:szCs w:val="16"/>
                            <w:lang w:val="en-US"/>
                          </w:rPr>
                          <w:t>-distributions with 5 and 15 degrees of freedom, respectively. The estimates reported in percentages are relative to the initial portfolio exposure, whi</w:t>
                        </w:r>
                        <w:r>
                          <w:rPr>
                            <w:rFonts w:ascii="Garamond" w:hAnsi="Garamond"/>
                            <w:sz w:val="16"/>
                            <w:szCs w:val="16"/>
                            <w:lang w:val="en-US"/>
                          </w:rPr>
                          <w:t>ch is $6.6 million for the long-</w:t>
                        </w:r>
                        <w:r w:rsidRPr="00B4632D">
                          <w:rPr>
                            <w:rFonts w:ascii="Garamond" w:hAnsi="Garamond"/>
                            <w:sz w:val="16"/>
                            <w:szCs w:val="16"/>
                            <w:lang w:val="en-US"/>
                          </w:rPr>
                          <w:t>only portfolio and $2.225 million for the long-short portfolio. The upper bound and lower bound represent the 95% confidence interval around the VaR % estimate presented left of them. All estimates are based on 200,000 simulations.</w:t>
                        </w:r>
                      </w:p>
                    </w:tc>
                  </w:tr>
                </w:tbl>
                <w:p w:rsidR="001C7C52" w:rsidRDefault="001C7C52" w:rsidP="00C9405D"/>
                <w:p w:rsidR="001C7C52" w:rsidRDefault="001C7C52" w:rsidP="00C9405D">
                  <w:pPr>
                    <w:spacing w:line="300" w:lineRule="exact"/>
                    <w:jc w:val="both"/>
                    <w:rPr>
                      <w:rFonts w:ascii="Garamond" w:hAnsi="Garamond"/>
                      <w:lang w:val="en-US"/>
                    </w:rPr>
                  </w:pPr>
                </w:p>
                <w:p w:rsidR="001C7C52" w:rsidRPr="00B93922" w:rsidRDefault="001C7C52" w:rsidP="00C9405D">
                  <w:pPr>
                    <w:rPr>
                      <w:lang w:val="en-US"/>
                    </w:rPr>
                  </w:pPr>
                </w:p>
              </w:txbxContent>
            </v:textbox>
            <w10:wrap type="square"/>
          </v:shape>
        </w:pic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 xml:space="preserve">The fourth utilized migration matrix is the duration matrix conditional to the credit crisis (panel D in </w:t>
      </w:r>
      <w:hyperlink w:anchor="T7" w:history="1">
        <w:r w:rsidRPr="00802C03">
          <w:rPr>
            <w:rStyle w:val="Hyperlink"/>
            <w:rFonts w:ascii="Garamond" w:hAnsi="Garamond"/>
            <w:color w:val="000066"/>
            <w:u w:val="none"/>
            <w:lang w:val="en-GB"/>
          </w:rPr>
          <w:t>table VII</w:t>
        </w:r>
      </w:hyperlink>
      <w:r w:rsidRPr="00802C03">
        <w:rPr>
          <w:rFonts w:ascii="Garamond" w:hAnsi="Garamond"/>
          <w:lang w:val="en-GB"/>
        </w:rPr>
        <w:t xml:space="preserve">). This migration matrix contains much more downgrade potential than the three unconditional migration matrices. In the comparison of all VaR-estimates generated by the conditional migration matrix relative to the results of the unconditional migration matrices, the differences are extremely clear, as the conditional credit crisis migration matrix consistently generates much higher risk measures than its unconditional counterparts. The 95% VaR is 4% higher on average for the conditional migration matrix, while the 99% VaR is more than 5% higher on average. In the case of the 99.9 % VaR, the difference dependents considerably more on the copula assumption than it does for the other two VaR-measures. The Gaussian copula returns a 6% difference on average, the Student </w:t>
      </w:r>
      <w:r w:rsidRPr="00802C03">
        <w:rPr>
          <w:rFonts w:ascii="Garamond" w:hAnsi="Garamond"/>
          <w:i/>
          <w:lang w:val="en-GB"/>
        </w:rPr>
        <w:t>t</w:t>
      </w:r>
      <w:r w:rsidRPr="00802C03">
        <w:rPr>
          <w:rFonts w:ascii="Garamond" w:hAnsi="Garamond"/>
          <w:lang w:val="en-GB"/>
        </w:rPr>
        <w:t xml:space="preserve">-copula with 5 degrees of freedom results in a 13% difference on average, and the Student </w:t>
      </w:r>
      <w:r w:rsidRPr="00802C03">
        <w:rPr>
          <w:rFonts w:ascii="Garamond" w:hAnsi="Garamond"/>
          <w:i/>
          <w:lang w:val="en-GB"/>
        </w:rPr>
        <w:t>t</w:t>
      </w:r>
      <w:r w:rsidRPr="00802C03">
        <w:rPr>
          <w:rFonts w:ascii="Garamond" w:hAnsi="Garamond"/>
          <w:lang w:val="en-GB"/>
        </w:rPr>
        <w:t>-copula with 15 degrees of freedom accounts for an average difference of 9%. In this, the differences are significant and more importantly, they are substantial. Notice that the relative increase is much lower in the long-short portfolio than it is in the long-only portfolio. The simply explanation for this outcome is that the conditional migration matrix also ensures that the short positions have a more downgrade and default potential, effectively generating a higher likelihood of profits on that side of the portfolio.</w:t>
      </w:r>
    </w:p>
    <w:p w:rsidR="001C7C52" w:rsidRPr="00802C03" w:rsidRDefault="001C7C52" w:rsidP="001F0514">
      <w:pPr>
        <w:spacing w:line="160" w:lineRule="exact"/>
        <w:jc w:val="both"/>
        <w:rPr>
          <w:rFonts w:ascii="Garamond" w:hAnsi="Garamond"/>
          <w:lang w:val="en-GB"/>
        </w:rPr>
      </w:pPr>
    </w:p>
    <w:p w:rsidR="001C7C52" w:rsidRPr="00802C03" w:rsidRDefault="001C7C52" w:rsidP="001F0514">
      <w:pPr>
        <w:spacing w:line="280" w:lineRule="exact"/>
        <w:jc w:val="both"/>
        <w:rPr>
          <w:rFonts w:ascii="Garamond" w:hAnsi="Garamond"/>
          <w:lang w:val="en-GB"/>
        </w:rPr>
      </w:pPr>
      <w:r>
        <w:rPr>
          <w:noProof/>
          <w:lang w:val="en-US"/>
        </w:rPr>
        <w:pict>
          <v:shape id="_x0000_s1112" type="#_x0000_t202" style="position:absolute;left:0;text-align:left;margin-left:195.05pt;margin-top:3.15pt;width:289.5pt;height:252pt;z-index:251642368" stroked="f">
            <v:textbox style="mso-next-textbox:#_x0000_s1112" inset="6.5mm">
              <w:txbxContent>
                <w:tbl>
                  <w:tblPr>
                    <w:tblW w:w="5340" w:type="dxa"/>
                    <w:tblBorders>
                      <w:bottom w:val="single" w:sz="4" w:space="0" w:color="auto"/>
                    </w:tblBorders>
                    <w:tblLook w:val="00A0"/>
                  </w:tblPr>
                  <w:tblGrid>
                    <w:gridCol w:w="5340"/>
                  </w:tblGrid>
                  <w:tr w:rsidR="001C7C52" w:rsidRPr="000B0ADE" w:rsidTr="002E2E49">
                    <w:tc>
                      <w:tcPr>
                        <w:tcW w:w="5340" w:type="dxa"/>
                        <w:tcBorders>
                          <w:bottom w:val="single" w:sz="4" w:space="0" w:color="auto"/>
                        </w:tcBorders>
                        <w:vAlign w:val="center"/>
                      </w:tcPr>
                      <w:p w:rsidR="001C7C52" w:rsidRPr="002E2E49" w:rsidRDefault="001C7C52" w:rsidP="002E2E49">
                        <w:pPr>
                          <w:spacing w:line="240" w:lineRule="auto"/>
                          <w:rPr>
                            <w:rFonts w:ascii="Garamond" w:hAnsi="Garamond"/>
                            <w:sz w:val="20"/>
                            <w:lang w:val="en-US"/>
                          </w:rPr>
                        </w:pPr>
                        <w:bookmarkStart w:id="70" w:name="F4"/>
                        <w:bookmarkEnd w:id="70"/>
                        <w:r w:rsidRPr="002E2E49">
                          <w:rPr>
                            <w:rFonts w:ascii="Garamond" w:hAnsi="Garamond"/>
                            <w:b/>
                            <w:color w:val="000000"/>
                            <w:lang w:val="en-US"/>
                          </w:rPr>
                          <w:t>F</w:t>
                        </w:r>
                        <w:r w:rsidRPr="002E2E49">
                          <w:rPr>
                            <w:rFonts w:ascii="Garamond" w:hAnsi="Garamond"/>
                            <w:b/>
                            <w:color w:val="000000"/>
                            <w:sz w:val="18"/>
                            <w:szCs w:val="18"/>
                            <w:lang w:val="en-US"/>
                          </w:rPr>
                          <w:t>IGURE</w:t>
                        </w:r>
                        <w:r w:rsidRPr="002E2E49">
                          <w:rPr>
                            <w:rFonts w:ascii="Garamond" w:hAnsi="Garamond"/>
                            <w:b/>
                            <w:color w:val="000000"/>
                            <w:lang w:val="en-US"/>
                          </w:rPr>
                          <w:t xml:space="preserve"> IV</w:t>
                        </w:r>
                        <w:r w:rsidRPr="002E2E49">
                          <w:rPr>
                            <w:rFonts w:ascii="Garamond" w:hAnsi="Garamond"/>
                            <w:color w:val="000000"/>
                            <w:lang w:val="en-US"/>
                          </w:rPr>
                          <w:t xml:space="preserve"> - </w:t>
                        </w:r>
                        <w:r w:rsidRPr="002E2E49">
                          <w:rPr>
                            <w:rFonts w:ascii="Garamond" w:hAnsi="Garamond"/>
                            <w:color w:val="000000"/>
                            <w:sz w:val="20"/>
                            <w:lang w:val="en-US"/>
                          </w:rPr>
                          <w:t>Portfolio Return Probability Distribution</w:t>
                        </w:r>
                      </w:p>
                    </w:tc>
                  </w:tr>
                  <w:tr w:rsidR="001C7C52" w:rsidRPr="000B0ADE" w:rsidTr="002E2E49">
                    <w:tc>
                      <w:tcPr>
                        <w:tcW w:w="5340" w:type="dxa"/>
                        <w:tcBorders>
                          <w:top w:val="single" w:sz="4" w:space="0" w:color="auto"/>
                          <w:bottom w:val="nil"/>
                        </w:tcBorders>
                        <w:vAlign w:val="center"/>
                      </w:tcPr>
                      <w:p w:rsidR="001C7C52" w:rsidRPr="002E2E49" w:rsidRDefault="001C7C52" w:rsidP="002E2E49">
                        <w:pPr>
                          <w:spacing w:line="60" w:lineRule="exact"/>
                          <w:rPr>
                            <w:rFonts w:ascii="Garamond" w:hAnsi="Garamond"/>
                            <w:sz w:val="20"/>
                            <w:lang w:val="en-US"/>
                          </w:rPr>
                        </w:pPr>
                      </w:p>
                    </w:tc>
                  </w:tr>
                </w:tbl>
                <w:p w:rsidR="001C7C52" w:rsidRDefault="001C7C52" w:rsidP="00C9405D">
                  <w:pPr>
                    <w:rPr>
                      <w:lang w:val="en-US"/>
                    </w:rPr>
                  </w:pPr>
                  <w:r w:rsidRPr="002E2E49">
                    <w:rPr>
                      <w:noProof/>
                      <w:lang w:val="en-US"/>
                    </w:rPr>
                    <w:pict>
                      <v:shape id="_x0000_i1784" type="#_x0000_t75" style="width:268.5pt;height:174.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">
                        <v:imagedata r:id="rId1417" o:title="" croptop="-1138f" cropbottom="-1824f" cropleft="-604f" cropright="-1448f"/>
                        <o:lock v:ext="edit" aspectratio="f"/>
                      </v:shape>
                    </w:pict>
                  </w:r>
                </w:p>
                <w:tbl>
                  <w:tblPr>
                    <w:tblW w:w="0" w:type="auto"/>
                    <w:tblBorders>
                      <w:insideH w:val="single" w:sz="4" w:space="0" w:color="000000"/>
                      <w:insideV w:val="single" w:sz="4" w:space="0" w:color="000000"/>
                    </w:tblBorders>
                    <w:tblLook w:val="00A0"/>
                  </w:tblPr>
                  <w:tblGrid>
                    <w:gridCol w:w="5340"/>
                  </w:tblGrid>
                  <w:tr w:rsidR="001C7C52" w:rsidTr="002E2E49">
                    <w:tc>
                      <w:tcPr>
                        <w:tcW w:w="5340" w:type="dxa"/>
                      </w:tcPr>
                      <w:p w:rsidR="001C7C52" w:rsidRPr="002E2E49" w:rsidRDefault="001C7C52" w:rsidP="002E2E49">
                        <w:pPr>
                          <w:spacing w:line="60" w:lineRule="exact"/>
                          <w:rPr>
                            <w:lang w:val="en-US"/>
                          </w:rPr>
                        </w:pPr>
                      </w:p>
                    </w:tc>
                  </w:tr>
                  <w:tr w:rsidR="001C7C52" w:rsidRPr="000B0ADE" w:rsidTr="002E2E49">
                    <w:tc>
                      <w:tcPr>
                        <w:tcW w:w="5340" w:type="dxa"/>
                      </w:tcPr>
                      <w:p w:rsidR="001C7C52" w:rsidRPr="002E2E49" w:rsidRDefault="001C7C52" w:rsidP="002E2E49">
                        <w:pPr>
                          <w:overflowPunct/>
                          <w:autoSpaceDE/>
                          <w:autoSpaceDN/>
                          <w:adjustRightInd/>
                          <w:spacing w:after="40" w:line="180" w:lineRule="exact"/>
                          <w:jc w:val="both"/>
                          <w:textAlignment w:val="auto"/>
                          <w:rPr>
                            <w:rFonts w:ascii="Garamond" w:hAnsi="Garamond" w:cs="NimbusRomNo9L-Regu"/>
                            <w:sz w:val="16"/>
                            <w:szCs w:val="16"/>
                            <w:lang w:val="en-US" w:eastAsia="nl-NL"/>
                          </w:rPr>
                        </w:pPr>
                        <w:r w:rsidRPr="002E2E49">
                          <w:rPr>
                            <w:rFonts w:ascii="Garamond" w:hAnsi="Garamond"/>
                            <w:sz w:val="16"/>
                            <w:szCs w:val="16"/>
                            <w:lang w:val="en-US"/>
                          </w:rPr>
                          <w:t xml:space="preserve">The remaining utilized model specifications are the Gaussian copula assumption, </w:t>
                        </w:r>
                        <w:r w:rsidRPr="002E2E49">
                          <w:rPr>
                            <w:rFonts w:ascii="Garamond" w:hAnsi="Garamond" w:cs="NimbusRomNo9L-Regu"/>
                            <w:color w:val="000000"/>
                            <w:sz w:val="16"/>
                            <w:szCs w:val="16"/>
                            <w:lang w:val="en-US" w:eastAsia="nl-NL"/>
                          </w:rPr>
                          <w:t>the credit crisis equity correlation, the equity autocorrelations and the standard liquidity horizons. The estimated distributions concern the results for the long-short portfolio. The portfolio return probability is equal to the frequency divided by 200,000 (the number of simulations).</w:t>
                        </w:r>
                      </w:p>
                    </w:tc>
                  </w:tr>
                </w:tbl>
                <w:p w:rsidR="001C7C52" w:rsidRPr="00AC31E3" w:rsidRDefault="001C7C52" w:rsidP="00C9405D">
                  <w:pPr>
                    <w:rPr>
                      <w:lang w:val="en-US"/>
                    </w:rPr>
                  </w:pPr>
                </w:p>
              </w:txbxContent>
            </v:textbox>
            <w10:wrap type="square"/>
          </v:shape>
        </w:pict>
      </w:r>
      <w:r>
        <w:rPr>
          <w:noProof/>
          <w:lang w:val="en-US"/>
        </w:rPr>
        <w:pict>
          <v:shape id="_x0000_s1113" type="#_x0000_t202" style="position:absolute;left:0;text-align:left;margin-left:-6.85pt;margin-top:255.15pt;width:488.55pt;height:230.25pt;z-index:251643392" stroked="f">
            <v:textbox style="mso-next-textbox:#_x0000_s1113">
              <w:txbxContent>
                <w:p w:rsidR="001C7C52" w:rsidRDefault="001C7C52" w:rsidP="001D630E">
                  <w:pPr>
                    <w:spacing w:line="200" w:lineRule="exact"/>
                  </w:pPr>
                </w:p>
                <w:tbl>
                  <w:tblPr>
                    <w:tblW w:w="9606" w:type="dxa"/>
                    <w:tblBorders>
                      <w:bottom w:val="single" w:sz="4" w:space="0" w:color="auto"/>
                    </w:tblBorders>
                    <w:tblLook w:val="00A0"/>
                  </w:tblPr>
                  <w:tblGrid>
                    <w:gridCol w:w="9606"/>
                  </w:tblGrid>
                  <w:tr w:rsidR="001C7C52" w:rsidRPr="000B0ADE" w:rsidTr="002E2E49">
                    <w:tc>
                      <w:tcPr>
                        <w:tcW w:w="9606" w:type="dxa"/>
                        <w:tcBorders>
                          <w:bottom w:val="single" w:sz="4" w:space="0" w:color="auto"/>
                        </w:tcBorders>
                        <w:vAlign w:val="center"/>
                      </w:tcPr>
                      <w:p w:rsidR="001C7C52" w:rsidRPr="002E2E49" w:rsidRDefault="001C7C52" w:rsidP="002E2E49">
                        <w:pPr>
                          <w:spacing w:line="240" w:lineRule="auto"/>
                          <w:rPr>
                            <w:rFonts w:ascii="Garamond" w:hAnsi="Garamond"/>
                            <w:sz w:val="20"/>
                            <w:lang w:val="en-US"/>
                          </w:rPr>
                        </w:pPr>
                        <w:bookmarkStart w:id="71" w:name="F5"/>
                        <w:bookmarkEnd w:id="71"/>
                        <w:r w:rsidRPr="002E2E49">
                          <w:rPr>
                            <w:rFonts w:ascii="Garamond" w:hAnsi="Garamond"/>
                            <w:b/>
                            <w:color w:val="000000"/>
                            <w:lang w:val="en-US"/>
                          </w:rPr>
                          <w:t>F</w:t>
                        </w:r>
                        <w:r w:rsidRPr="002E2E49">
                          <w:rPr>
                            <w:rFonts w:ascii="Garamond" w:hAnsi="Garamond"/>
                            <w:b/>
                            <w:color w:val="000000"/>
                            <w:sz w:val="18"/>
                            <w:szCs w:val="18"/>
                            <w:lang w:val="en-US"/>
                          </w:rPr>
                          <w:t>IGURE</w:t>
                        </w:r>
                        <w:r w:rsidRPr="002E2E49">
                          <w:rPr>
                            <w:rFonts w:ascii="Garamond" w:hAnsi="Garamond"/>
                            <w:b/>
                            <w:color w:val="000000"/>
                            <w:lang w:val="en-US"/>
                          </w:rPr>
                          <w:t xml:space="preserve"> V </w:t>
                        </w:r>
                        <w:r w:rsidRPr="002E2E49">
                          <w:rPr>
                            <w:rFonts w:ascii="Garamond" w:hAnsi="Garamond"/>
                            <w:color w:val="000000"/>
                            <w:lang w:val="en-US"/>
                          </w:rPr>
                          <w:t>-</w:t>
                        </w:r>
                        <w:r w:rsidRPr="002E2E49">
                          <w:rPr>
                            <w:rFonts w:ascii="Garamond" w:hAnsi="Garamond"/>
                            <w:b/>
                            <w:color w:val="000000"/>
                            <w:lang w:val="en-US"/>
                          </w:rPr>
                          <w:t xml:space="preserve"> </w:t>
                        </w:r>
                        <w:r w:rsidRPr="002E2E49">
                          <w:rPr>
                            <w:rFonts w:ascii="Garamond" w:hAnsi="Garamond"/>
                            <w:sz w:val="20"/>
                            <w:lang w:val="en-US"/>
                          </w:rPr>
                          <w:t>Cumulative Portfolio Return Probability Distribution: Credit Migration Matrix Comparison</w:t>
                        </w:r>
                      </w:p>
                    </w:tc>
                  </w:tr>
                  <w:tr w:rsidR="001C7C52" w:rsidRPr="000B0ADE" w:rsidTr="002E2E49">
                    <w:trPr>
                      <w:trHeight w:val="113"/>
                    </w:trPr>
                    <w:tc>
                      <w:tcPr>
                        <w:tcW w:w="9606" w:type="dxa"/>
                        <w:tcBorders>
                          <w:top w:val="single" w:sz="4" w:space="0" w:color="auto"/>
                          <w:bottom w:val="nil"/>
                        </w:tcBorders>
                        <w:vAlign w:val="center"/>
                      </w:tcPr>
                      <w:p w:rsidR="001C7C52" w:rsidRPr="002E2E49" w:rsidRDefault="001C7C52" w:rsidP="002E2E49">
                        <w:pPr>
                          <w:spacing w:line="40" w:lineRule="exact"/>
                          <w:rPr>
                            <w:rFonts w:ascii="Garamond" w:hAnsi="Garamond"/>
                            <w:sz w:val="20"/>
                            <w:lang w:val="en-US"/>
                          </w:rPr>
                        </w:pPr>
                      </w:p>
                    </w:tc>
                  </w:tr>
                </w:tbl>
                <w:p w:rsidR="001C7C52" w:rsidRDefault="001C7C52" w:rsidP="006611FB">
                  <w:pPr>
                    <w:rPr>
                      <w:lang w:val="en-US"/>
                    </w:rPr>
                  </w:pPr>
                  <w:r w:rsidRPr="002E2E49">
                    <w:rPr>
                      <w:noProof/>
                      <w:lang w:val="en-US"/>
                    </w:rPr>
                    <w:pict>
                      <v:shape id="Chart 2" o:spid="_x0000_i1786" type="#_x0000_t75" style="width:477.75pt;height:16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">
                        <v:imagedata r:id="rId1418" o:title="" croptop="-5048f" cropbottom="-3248f" cropleft="-566f" cropright="-4159f"/>
                        <o:lock v:ext="edit" aspectratio="f"/>
                      </v:shape>
                    </w:pic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606"/>
                  </w:tblGrid>
                  <w:tr w:rsidR="001C7C52" w:rsidTr="002E2E49">
                    <w:tc>
                      <w:tcPr>
                        <w:tcW w:w="9606" w:type="dxa"/>
                        <w:tcBorders>
                          <w:top w:val="nil"/>
                          <w:left w:val="nil"/>
                          <w:bottom w:val="single" w:sz="4" w:space="0" w:color="auto"/>
                          <w:right w:val="nil"/>
                        </w:tcBorders>
                      </w:tcPr>
                      <w:p w:rsidR="001C7C52" w:rsidRPr="002E2E49" w:rsidRDefault="001C7C52" w:rsidP="002E2E49">
                        <w:pPr>
                          <w:overflowPunct/>
                          <w:autoSpaceDE/>
                          <w:autoSpaceDN/>
                          <w:adjustRightInd/>
                          <w:spacing w:line="60" w:lineRule="exact"/>
                          <w:textAlignment w:val="auto"/>
                          <w:rPr>
                            <w:lang w:val="en-US"/>
                          </w:rPr>
                        </w:pPr>
                      </w:p>
                    </w:tc>
                  </w:tr>
                  <w:tr w:rsidR="001C7C52" w:rsidRPr="000B0ADE" w:rsidTr="002E2E49">
                    <w:tc>
                      <w:tcPr>
                        <w:tcW w:w="9606" w:type="dxa"/>
                        <w:tcBorders>
                          <w:top w:val="single" w:sz="4" w:space="0" w:color="auto"/>
                          <w:left w:val="nil"/>
                          <w:bottom w:val="nil"/>
                          <w:right w:val="nil"/>
                        </w:tcBorders>
                      </w:tcPr>
                      <w:p w:rsidR="001C7C52" w:rsidRPr="002E2E49" w:rsidRDefault="001C7C52" w:rsidP="002E2E49">
                        <w:pPr>
                          <w:overflowPunct/>
                          <w:autoSpaceDE/>
                          <w:autoSpaceDN/>
                          <w:adjustRightInd/>
                          <w:spacing w:after="40" w:line="180" w:lineRule="exact"/>
                          <w:jc w:val="both"/>
                          <w:textAlignment w:val="auto"/>
                          <w:rPr>
                            <w:lang w:val="en-US"/>
                          </w:rPr>
                        </w:pPr>
                        <w:r w:rsidRPr="002E2E49">
                          <w:rPr>
                            <w:rFonts w:ascii="Garamond" w:hAnsi="Garamond"/>
                            <w:sz w:val="16"/>
                            <w:szCs w:val="16"/>
                            <w:lang w:val="en-US"/>
                          </w:rPr>
                          <w:t xml:space="preserve">The remaining utilized model specifications are the Gaussian copula assumption, </w:t>
                        </w:r>
                        <w:r w:rsidRPr="002E2E49">
                          <w:rPr>
                            <w:rFonts w:ascii="Garamond" w:hAnsi="Garamond" w:cs="NimbusRomNo9L-Regu"/>
                            <w:color w:val="000000"/>
                            <w:sz w:val="16"/>
                            <w:szCs w:val="16"/>
                            <w:lang w:val="en-US" w:eastAsia="nl-NL"/>
                          </w:rPr>
                          <w:t>the credit crisis equity correlation, the equity autocorrelations and the standard liquidity horizons. The estimated distributions concern the results for the long-short portfolio.</w:t>
                        </w:r>
                      </w:p>
                    </w:tc>
                  </w:tr>
                </w:tbl>
                <w:p w:rsidR="001C7C52" w:rsidRPr="00AC31E3" w:rsidRDefault="001C7C52" w:rsidP="006611FB">
                  <w:pPr>
                    <w:rPr>
                      <w:lang w:val="en-US"/>
                    </w:rPr>
                  </w:pPr>
                </w:p>
              </w:txbxContent>
            </v:textbox>
            <w10:wrap type="square"/>
          </v:shape>
        </w:pict>
      </w:r>
      <w:r w:rsidRPr="00802C03">
        <w:rPr>
          <w:rFonts w:ascii="Garamond" w:hAnsi="Garamond"/>
          <w:lang w:val="en-GB"/>
        </w:rPr>
        <w:t xml:space="preserve">The main conclusion that results from all model estimation results in </w:t>
      </w:r>
      <w:hyperlink w:anchor="T7" w:history="1">
        <w:r w:rsidRPr="00802C03">
          <w:rPr>
            <w:rStyle w:val="Hyperlink"/>
            <w:rFonts w:ascii="Garamond" w:hAnsi="Garamond"/>
            <w:color w:val="000066"/>
            <w:u w:val="none"/>
            <w:lang w:val="en-GB"/>
          </w:rPr>
          <w:t>table VII</w:t>
        </w:r>
      </w:hyperlink>
      <w:r w:rsidRPr="00802C03">
        <w:rPr>
          <w:rFonts w:ascii="Garamond" w:hAnsi="Garamond"/>
          <w:lang w:val="en-GB"/>
        </w:rPr>
        <w:t xml:space="preserve"> is that the most essential factor in the stand-alone risk specification is the conditionality of the migration matrix. </w:t>
      </w:r>
      <w:hyperlink w:anchor="F4" w:history="1">
        <w:r w:rsidRPr="00802C03">
          <w:rPr>
            <w:rStyle w:val="Hyperlink"/>
            <w:rFonts w:ascii="Garamond" w:hAnsi="Garamond"/>
            <w:color w:val="000066"/>
            <w:u w:val="none"/>
            <w:lang w:val="en-GB"/>
          </w:rPr>
          <w:t>Figure IV</w:t>
        </w:r>
      </w:hyperlink>
      <w:r w:rsidRPr="00802C03">
        <w:rPr>
          <w:rFonts w:ascii="Garamond" w:hAnsi="Garamond"/>
          <w:lang w:val="en-GB"/>
        </w:rPr>
        <w:t xml:space="preserve"> displays part of the portfolio return probability distributions for all four migration matrix specifications for the long-short portfolio under the Gaussian copula assumption. It is clearly visible that the likelihood of severely low portfolio returns is substantially larger when the conditional credit crisis migration matrix is applied. The use of the three unconditional migration matrices does not result in observably different portfolio return distributions according to the figure. Nevertheless, a much clearer view is presented by </w:t>
      </w:r>
      <w:hyperlink w:anchor="F5" w:history="1">
        <w:r w:rsidRPr="00802C03">
          <w:rPr>
            <w:rStyle w:val="Hyperlink"/>
            <w:rFonts w:ascii="Garamond" w:hAnsi="Garamond"/>
            <w:color w:val="000066"/>
            <w:u w:val="none"/>
            <w:lang w:val="en-GB"/>
          </w:rPr>
          <w:t>Figure V</w:t>
        </w:r>
      </w:hyperlink>
      <w:r w:rsidRPr="00802C03">
        <w:rPr>
          <w:rFonts w:ascii="Garamond" w:hAnsi="Garamond"/>
          <w:lang w:val="en-GB"/>
        </w:rPr>
        <w:t xml:space="preserve">, which displays part of the cumulative portfolio return probability distribution resulting from the same four model specifications. The squares display the 99.9% VaR-estimates and the 99% and 95% VaR-estimates can be found where the cumulative probability distribution reaches a cumulative probability of 0.01 and 0.05, respectively. Once more, it is clearly visible that the conditional migration matrix generates the highest VaR-estimates and holds the highest cumulative probabilities for the most negative portfolio returns. The cumulative probability distributions do, to some extent, show the small differences between the estimates generated with the cohort migration matrix relative to those of the duration and AJE migration matrix specifications. Nevertheless, their remarkable similarities dominate the presented picture, especially in the 0.01 to 0.05 cumulative probability range. </w: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 xml:space="preserve">The two figures show in essence that the three unconditional migration matrix specifications generate highly similar results. </w:t>
      </w:r>
      <w:r>
        <w:rPr>
          <w:rFonts w:ascii="Garamond" w:hAnsi="Garamond"/>
          <w:lang w:val="en-GB"/>
        </w:rPr>
        <w:t xml:space="preserve">Even </w:t>
      </w:r>
      <w:r w:rsidRPr="00802C03">
        <w:rPr>
          <w:rFonts w:ascii="Garamond" w:hAnsi="Garamond"/>
          <w:lang w:val="en-GB"/>
        </w:rPr>
        <w:t>though differences can be found between their VaR-estimates, they are small and likely to be particularly dependant on the nature of the evaluated portfolios. The differences generated by the conditional migration matrix are much more apparent. Obviously, these differences are generated by the stressed nature of the period to which the migration matrix is conditioned. Nevertheless, the whole point of the conditional matrix is to account for this stressed environment, since these conditions represent the current market situation at the estimation date. The basic conclusion is that the conditionally of the migration matrix can generate substantial differences in the VaR-estimates, whereas the estimation methodology of the credit migration matrix is not likely to do so.</w:t>
      </w:r>
    </w:p>
    <w:p w:rsidR="001C7C52" w:rsidRPr="00802C03" w:rsidRDefault="001C7C52" w:rsidP="001F0514">
      <w:pPr>
        <w:spacing w:line="160" w:lineRule="exact"/>
        <w:jc w:val="both"/>
        <w:rPr>
          <w:rFonts w:ascii="Garamond" w:hAnsi="Garamond"/>
          <w:lang w:val="en-GB"/>
        </w:rPr>
      </w:pPr>
    </w:p>
    <w:p w:rsidR="001C7C52" w:rsidRPr="00802C03" w:rsidRDefault="001C7C52" w:rsidP="001F0514">
      <w:pPr>
        <w:spacing w:line="280" w:lineRule="exact"/>
        <w:jc w:val="both"/>
        <w:rPr>
          <w:rFonts w:ascii="Garamond" w:hAnsi="Garamond" w:cs="NimbusRomNo9L-Regu"/>
          <w:lang w:val="en-GB" w:eastAsia="nl-NL"/>
        </w:rPr>
      </w:pPr>
      <w:r>
        <w:rPr>
          <w:noProof/>
          <w:lang w:val="en-US"/>
        </w:rPr>
        <w:pict>
          <v:shape id="_x0000_s1114" type="#_x0000_t202" style="position:absolute;left:0;text-align:left;margin-left:-6.8pt;margin-top:186.9pt;width:488.55pt;height:239.8pt;z-index:251644416" stroked="f">
            <v:textbox style="mso-next-textbox:#_x0000_s1114">
              <w:txbxContent>
                <w:p w:rsidR="001C7C52" w:rsidRDefault="001C7C52"/>
                <w:tbl>
                  <w:tblPr>
                    <w:tblW w:w="9606" w:type="dxa"/>
                    <w:tblBorders>
                      <w:bottom w:val="single" w:sz="4" w:space="0" w:color="auto"/>
                    </w:tblBorders>
                    <w:tblLook w:val="00A0"/>
                  </w:tblPr>
                  <w:tblGrid>
                    <w:gridCol w:w="9606"/>
                  </w:tblGrid>
                  <w:tr w:rsidR="001C7C52" w:rsidRPr="000B0ADE" w:rsidTr="002E2E49">
                    <w:tc>
                      <w:tcPr>
                        <w:tcW w:w="9606" w:type="dxa"/>
                        <w:tcBorders>
                          <w:bottom w:val="single" w:sz="4" w:space="0" w:color="auto"/>
                        </w:tcBorders>
                        <w:vAlign w:val="center"/>
                      </w:tcPr>
                      <w:p w:rsidR="001C7C52" w:rsidRPr="002E2E49" w:rsidRDefault="001C7C52" w:rsidP="002E2E49">
                        <w:pPr>
                          <w:spacing w:line="240" w:lineRule="auto"/>
                          <w:rPr>
                            <w:rFonts w:ascii="Garamond" w:hAnsi="Garamond"/>
                            <w:sz w:val="20"/>
                            <w:lang w:val="en-US"/>
                          </w:rPr>
                        </w:pPr>
                        <w:bookmarkStart w:id="72" w:name="F6"/>
                        <w:bookmarkEnd w:id="72"/>
                        <w:r w:rsidRPr="002E2E49">
                          <w:rPr>
                            <w:rFonts w:ascii="Garamond" w:hAnsi="Garamond"/>
                            <w:b/>
                            <w:color w:val="000000"/>
                            <w:lang w:val="en-US"/>
                          </w:rPr>
                          <w:t>F</w:t>
                        </w:r>
                        <w:r w:rsidRPr="002E2E49">
                          <w:rPr>
                            <w:rFonts w:ascii="Garamond" w:hAnsi="Garamond"/>
                            <w:b/>
                            <w:color w:val="000000"/>
                            <w:sz w:val="18"/>
                            <w:szCs w:val="18"/>
                            <w:lang w:val="en-US"/>
                          </w:rPr>
                          <w:t>IGURE</w:t>
                        </w:r>
                        <w:r w:rsidRPr="002E2E49">
                          <w:rPr>
                            <w:rFonts w:ascii="Garamond" w:hAnsi="Garamond"/>
                            <w:b/>
                            <w:color w:val="000000"/>
                            <w:lang w:val="en-US"/>
                          </w:rPr>
                          <w:t xml:space="preserve"> VI </w:t>
                        </w:r>
                        <w:r w:rsidRPr="002E2E49">
                          <w:rPr>
                            <w:rFonts w:ascii="Garamond" w:hAnsi="Garamond"/>
                            <w:color w:val="000000"/>
                            <w:lang w:val="en-US"/>
                          </w:rPr>
                          <w:t>-</w:t>
                        </w:r>
                        <w:r w:rsidRPr="002E2E49">
                          <w:rPr>
                            <w:rFonts w:ascii="Garamond" w:hAnsi="Garamond"/>
                            <w:b/>
                            <w:color w:val="000000"/>
                            <w:lang w:val="en-US"/>
                          </w:rPr>
                          <w:t xml:space="preserve"> </w:t>
                        </w:r>
                        <w:r w:rsidRPr="002E2E49">
                          <w:rPr>
                            <w:rFonts w:ascii="Garamond" w:hAnsi="Garamond"/>
                            <w:sz w:val="20"/>
                            <w:lang w:val="en-US"/>
                          </w:rPr>
                          <w:t>Cumulative Portfolio Return Probability Distribution: Copula Assumption Comparison</w:t>
                        </w:r>
                      </w:p>
                    </w:tc>
                  </w:tr>
                  <w:tr w:rsidR="001C7C52" w:rsidRPr="000B0ADE" w:rsidTr="002E2E49">
                    <w:trPr>
                      <w:trHeight w:val="113"/>
                    </w:trPr>
                    <w:tc>
                      <w:tcPr>
                        <w:tcW w:w="9606" w:type="dxa"/>
                        <w:tcBorders>
                          <w:top w:val="single" w:sz="4" w:space="0" w:color="auto"/>
                          <w:bottom w:val="nil"/>
                        </w:tcBorders>
                        <w:vAlign w:val="center"/>
                      </w:tcPr>
                      <w:p w:rsidR="001C7C52" w:rsidRPr="002E2E49" w:rsidRDefault="001C7C52" w:rsidP="002E2E49">
                        <w:pPr>
                          <w:spacing w:line="40" w:lineRule="exact"/>
                          <w:rPr>
                            <w:rFonts w:ascii="Garamond" w:hAnsi="Garamond"/>
                            <w:sz w:val="20"/>
                            <w:lang w:val="en-US"/>
                          </w:rPr>
                        </w:pPr>
                      </w:p>
                    </w:tc>
                  </w:tr>
                </w:tbl>
                <w:p w:rsidR="001C7C52" w:rsidRDefault="001C7C52" w:rsidP="006611FB">
                  <w:pPr>
                    <w:rPr>
                      <w:lang w:val="en-US"/>
                    </w:rPr>
                  </w:pPr>
                  <w:r w:rsidRPr="002E2E49">
                    <w:rPr>
                      <w:noProof/>
                      <w:lang w:val="en-US"/>
                    </w:rPr>
                    <w:pict>
                      <v:shape id="_x0000_i1788" type="#_x0000_t75" style="width:480pt;height:159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">
                        <v:imagedata r:id="rId1419" o:title="" croptop="-5164f" cropbottom="-1976f" cropleft="-422f" cropright="-3809f"/>
                        <o:lock v:ext="edit" aspectratio="f"/>
                      </v:shape>
                    </w:pic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606"/>
                  </w:tblGrid>
                  <w:tr w:rsidR="001C7C52" w:rsidTr="002E2E49">
                    <w:tc>
                      <w:tcPr>
                        <w:tcW w:w="9606" w:type="dxa"/>
                        <w:tcBorders>
                          <w:top w:val="nil"/>
                          <w:left w:val="nil"/>
                          <w:bottom w:val="single" w:sz="4" w:space="0" w:color="auto"/>
                          <w:right w:val="nil"/>
                        </w:tcBorders>
                      </w:tcPr>
                      <w:p w:rsidR="001C7C52" w:rsidRPr="002E2E49" w:rsidRDefault="001C7C52" w:rsidP="002E2E49">
                        <w:pPr>
                          <w:overflowPunct/>
                          <w:autoSpaceDE/>
                          <w:autoSpaceDN/>
                          <w:adjustRightInd/>
                          <w:spacing w:line="60" w:lineRule="exact"/>
                          <w:textAlignment w:val="auto"/>
                          <w:rPr>
                            <w:lang w:val="en-US"/>
                          </w:rPr>
                        </w:pPr>
                      </w:p>
                    </w:tc>
                  </w:tr>
                  <w:tr w:rsidR="001C7C52" w:rsidRPr="000B0ADE" w:rsidTr="002E2E49">
                    <w:tc>
                      <w:tcPr>
                        <w:tcW w:w="9606" w:type="dxa"/>
                        <w:tcBorders>
                          <w:top w:val="single" w:sz="4" w:space="0" w:color="auto"/>
                          <w:left w:val="nil"/>
                          <w:bottom w:val="nil"/>
                          <w:right w:val="nil"/>
                        </w:tcBorders>
                      </w:tcPr>
                      <w:p w:rsidR="001C7C52" w:rsidRPr="002E2E49" w:rsidRDefault="001C7C52" w:rsidP="002E2E49">
                        <w:pPr>
                          <w:overflowPunct/>
                          <w:autoSpaceDE/>
                          <w:autoSpaceDN/>
                          <w:adjustRightInd/>
                          <w:spacing w:after="40" w:line="180" w:lineRule="exact"/>
                          <w:jc w:val="both"/>
                          <w:textAlignment w:val="auto"/>
                          <w:rPr>
                            <w:lang w:val="en-US"/>
                          </w:rPr>
                        </w:pPr>
                        <w:r w:rsidRPr="002E2E49">
                          <w:rPr>
                            <w:rFonts w:ascii="Garamond" w:hAnsi="Garamond"/>
                            <w:sz w:val="16"/>
                            <w:szCs w:val="16"/>
                            <w:lang w:val="en-US"/>
                          </w:rPr>
                          <w:t xml:space="preserve">The remaining utilized model specifications are the unconditional duration migration matrix, </w:t>
                        </w:r>
                        <w:r w:rsidRPr="002E2E49">
                          <w:rPr>
                            <w:rFonts w:ascii="Garamond" w:hAnsi="Garamond" w:cs="NimbusRomNo9L-Regu"/>
                            <w:color w:val="000000"/>
                            <w:sz w:val="16"/>
                            <w:szCs w:val="16"/>
                            <w:lang w:val="en-US" w:eastAsia="nl-NL"/>
                          </w:rPr>
                          <w:t>the credit crisis equity correlation, the equity auto-correlations and the standard liquidity horizons. The estimated distributions concern the results for the long-short portfolio.</w:t>
                        </w:r>
                      </w:p>
                    </w:tc>
                  </w:tr>
                </w:tbl>
                <w:p w:rsidR="001C7C52" w:rsidRPr="00AC31E3" w:rsidRDefault="001C7C52" w:rsidP="006611FB">
                  <w:pPr>
                    <w:rPr>
                      <w:lang w:val="en-US"/>
                    </w:rPr>
                  </w:pPr>
                </w:p>
              </w:txbxContent>
            </v:textbox>
            <w10:wrap type="square"/>
          </v:shape>
        </w:pict>
      </w:r>
      <w:r w:rsidRPr="00802C03">
        <w:rPr>
          <w:rFonts w:ascii="Garamond" w:hAnsi="Garamond" w:cs="NimbusRomNo9L-Regu"/>
          <w:lang w:val="en-GB" w:eastAsia="nl-NL"/>
        </w:rPr>
        <w:t xml:space="preserve">The last specification topic that is discussed with the use of </w:t>
      </w:r>
      <w:hyperlink w:anchor="T7" w:history="1">
        <w:r w:rsidRPr="00802C03">
          <w:rPr>
            <w:rStyle w:val="Hyperlink"/>
            <w:rFonts w:ascii="Garamond" w:hAnsi="Garamond" w:cs="NimbusRomNo9L-Regu"/>
            <w:color w:val="000066"/>
            <w:u w:val="none"/>
            <w:lang w:val="en-GB" w:eastAsia="nl-NL"/>
          </w:rPr>
          <w:t>table VII</w:t>
        </w:r>
      </w:hyperlink>
      <w:r w:rsidRPr="00802C03">
        <w:rPr>
          <w:rFonts w:ascii="Garamond" w:hAnsi="Garamond" w:cs="NimbusRomNo9L-Regu"/>
          <w:lang w:val="en-GB" w:eastAsia="nl-NL"/>
        </w:rPr>
        <w:t xml:space="preserve"> is the copula distribution assumption (or tail dependence assumption). All model specifications in the table are estimated with the use of each of the three copula assumptions. The results, when the risk measures resulting from each copula assumption are compared per specification, are as anticipated. The Gaussian copula, that incorporates no tail dependence, consistently yields the lowest 99.9% VaR-estimates, while the Student </w:t>
      </w:r>
      <w:r w:rsidRPr="00802C03">
        <w:rPr>
          <w:rFonts w:ascii="Garamond" w:hAnsi="Garamond" w:cs="NimbusRomNo9L-Regu"/>
          <w:i/>
          <w:lang w:val="en-GB" w:eastAsia="nl-NL"/>
        </w:rPr>
        <w:t>t</w:t>
      </w:r>
      <w:r w:rsidRPr="00802C03">
        <w:rPr>
          <w:rFonts w:ascii="Garamond" w:hAnsi="Garamond" w:cs="NimbusRomNo9L-Regu"/>
          <w:lang w:val="en-GB" w:eastAsia="nl-NL"/>
        </w:rPr>
        <w:t>-copula with the high tail dependence   (</w:t>
      </w:r>
      <w:r w:rsidRPr="00100BDF">
        <w:rPr>
          <w:rFonts w:ascii="Garamond" w:hAnsi="Garamond" w:cs="NimbusRomNo9L-Regu"/>
          <w:position w:val="-6"/>
          <w:lang w:val="en-GB" w:eastAsia="nl-NL"/>
        </w:rPr>
        <w:object w:dxaOrig="480" w:dyaOrig="240">
          <v:shape id="_x0000_i1789" type="#_x0000_t75" style="width:24pt;height:12pt" o:ole="">
            <v:imagedata r:id="rId1420" o:title=""/>
          </v:shape>
          <o:OLEObject Type="Embed" ProgID="Equation.DSMT4" ShapeID="_x0000_i1789" DrawAspect="Content" ObjectID="_1324894262" r:id="rId1421"/>
        </w:object>
      </w:r>
      <w:r w:rsidRPr="00802C03">
        <w:rPr>
          <w:rFonts w:ascii="Garamond" w:hAnsi="Garamond" w:cs="NimbusRomNo9L-Regu"/>
          <w:lang w:val="en-GB" w:eastAsia="nl-NL"/>
        </w:rPr>
        <w:t xml:space="preserve">) generates 99.9% VaR-estimates that are 15% higher on average than those resulting from the Gaussian assumption. The difference is even larger than 20% when the conditional migration matrix is applied in the estimations of both copula specifications. The VaR-estimates that are generated with the Student </w:t>
      </w:r>
      <w:r w:rsidRPr="00802C03">
        <w:rPr>
          <w:rFonts w:ascii="Garamond" w:hAnsi="Garamond" w:cs="NimbusRomNo9L-Regu"/>
          <w:i/>
          <w:lang w:val="en-GB" w:eastAsia="nl-NL"/>
        </w:rPr>
        <w:t>t</w:t>
      </w:r>
      <w:r w:rsidRPr="00802C03">
        <w:rPr>
          <w:rFonts w:ascii="Garamond" w:hAnsi="Garamond" w:cs="NimbusRomNo9L-Regu"/>
          <w:lang w:val="en-GB" w:eastAsia="nl-NL"/>
        </w:rPr>
        <w:t>-copula with medium tail dependence (</w:t>
      </w:r>
      <w:r w:rsidRPr="00100BDF">
        <w:rPr>
          <w:rFonts w:ascii="Garamond" w:hAnsi="Garamond" w:cs="NimbusRomNo9L-Regu"/>
          <w:position w:val="-6"/>
          <w:lang w:val="en-GB" w:eastAsia="nl-NL"/>
        </w:rPr>
        <w:object w:dxaOrig="560" w:dyaOrig="240">
          <v:shape id="_x0000_i1790" type="#_x0000_t75" style="width:27.75pt;height:12pt" o:ole="">
            <v:imagedata r:id="rId1422" o:title=""/>
          </v:shape>
          <o:OLEObject Type="Embed" ProgID="Equation.DSMT4" ShapeID="_x0000_i1790" DrawAspect="Content" ObjectID="_1324894263" r:id="rId1423"/>
        </w:object>
      </w:r>
      <w:r w:rsidRPr="00802C03">
        <w:rPr>
          <w:rFonts w:ascii="Garamond" w:hAnsi="Garamond" w:cs="NimbusRomNo9L-Regu"/>
          <w:lang w:val="en-GB" w:eastAsia="nl-NL"/>
        </w:rPr>
        <w:t xml:space="preserve">) are exactly in between those from the high tail dependence and no tail dependence specifications. The 99% VaR-estimates show an equivalent pattern, but with a smaller magnitude. Moreover, all differences between the three different copula assumptions for both the 99.9% and 99% VaR-estimates are highly significant. Lastly, for the 95% VaR-estimates, the pattern only appears for the long-only portfolio. The long-short portfolio displays more ambiguous results. </w:t>
      </w:r>
    </w:p>
    <w:p w:rsidR="001C7C52" w:rsidRPr="00802C03" w:rsidRDefault="001C7C52" w:rsidP="001F0514">
      <w:pPr>
        <w:spacing w:line="280" w:lineRule="exact"/>
        <w:jc w:val="both"/>
        <w:rPr>
          <w:rFonts w:ascii="Garamond" w:hAnsi="Garamond" w:cs="NimbusRomNo9L-Regu"/>
          <w:lang w:val="en-GB" w:eastAsia="nl-NL"/>
        </w:rPr>
      </w:pPr>
      <w:hyperlink w:anchor="F6" w:history="1">
        <w:r w:rsidRPr="00802C03">
          <w:rPr>
            <w:rStyle w:val="Hyperlink"/>
            <w:rFonts w:ascii="Garamond" w:hAnsi="Garamond" w:cs="NimbusRomNo9L-Regu"/>
            <w:color w:val="000066"/>
            <w:u w:val="none"/>
            <w:lang w:val="en-GB" w:eastAsia="nl-NL"/>
          </w:rPr>
          <w:t>Figure VI</w:t>
        </w:r>
      </w:hyperlink>
      <w:r w:rsidRPr="00802C03">
        <w:rPr>
          <w:rFonts w:ascii="Garamond" w:hAnsi="Garamond" w:cs="NimbusRomNo9L-Regu"/>
          <w:lang w:val="en-GB" w:eastAsia="nl-NL"/>
        </w:rPr>
        <w:t xml:space="preserve"> illustrates the recognized differences in the model estimation results between the three copula assumptions. The figure presents part of the cumulative portfolio return probability distribution generated by each of the three copula assumptions for the long-short portfolio. The other underlying inputs are equal for each distribution curve. Clearly, the differences between the three specifications increase for lower cumulative probabilities. The cumulative probability distributions display that the left tail experiences a fatness (kurtosis) similar to the applied copula distribution assumption. In essence, the copula assumption materializes directly in the tails of the portfolio return probability distribution. And since that portfolio return distribution tail is the main point of interest, it ensures that the copula assumption is of crucial importance in the proposed incremental risk model. Furthermore, since the correlation inputs are equal in all three estimations, the differences between the three estimation results are entirely produced by the different assumptions regarding the nature of the correlations in the model. The large differences signal that the copula distribution assumption is an essential specification in the model, especially in the estimation of the required 99.9% VaR.</w:t>
      </w:r>
    </w:p>
    <w:p w:rsidR="001C7C52" w:rsidRPr="00802C03" w:rsidRDefault="001C7C52" w:rsidP="001F0514">
      <w:pPr>
        <w:spacing w:line="280" w:lineRule="exact"/>
        <w:jc w:val="both"/>
        <w:rPr>
          <w:rFonts w:ascii="Garamond" w:hAnsi="Garamond" w:cs="NimbusRomNo9L-Regu"/>
          <w:lang w:val="en-GB" w:eastAsia="nl-NL"/>
        </w:rPr>
      </w:pPr>
    </w:p>
    <w:p w:rsidR="001C7C52" w:rsidRPr="00802C03" w:rsidRDefault="001C7C52" w:rsidP="001F0514">
      <w:pPr>
        <w:tabs>
          <w:tab w:val="left" w:pos="0"/>
        </w:tabs>
        <w:spacing w:after="120" w:line="280" w:lineRule="exact"/>
        <w:ind w:hanging="567"/>
        <w:jc w:val="both"/>
        <w:rPr>
          <w:rFonts w:ascii="Garamond" w:hAnsi="Garamond"/>
          <w:b/>
          <w:lang w:val="en-GB"/>
        </w:rPr>
      </w:pPr>
      <w:r w:rsidRPr="00802C03">
        <w:rPr>
          <w:rFonts w:ascii="Garamond" w:hAnsi="Garamond"/>
          <w:b/>
          <w:lang w:val="en-GB"/>
        </w:rPr>
        <w:t>3.1.2</w:t>
      </w:r>
      <w:r w:rsidRPr="00802C03">
        <w:rPr>
          <w:rFonts w:ascii="Garamond" w:hAnsi="Garamond"/>
          <w:b/>
          <w:lang w:val="en-GB"/>
        </w:rPr>
        <w:tab/>
      </w:r>
      <w:bookmarkStart w:id="73" w:name="S312"/>
      <w:bookmarkEnd w:id="73"/>
      <w:r w:rsidRPr="00802C03">
        <w:rPr>
          <w:rFonts w:ascii="Garamond" w:hAnsi="Garamond"/>
          <w:b/>
          <w:lang w:val="en-GB"/>
        </w:rPr>
        <w:t>Correlations</w: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 xml:space="preserve">The previous section has demonstrated that various assumptions concerning the nature of the issuer asset correlations in the simulation model can initiate large differences in the resulting VaR-estimates. The next logical step is to assess the effect of different assumptions regarding the magnitude of the issuer asset correlations in the model. Accordingly, the equity autocorrelations conditional to the credit crisis and those conditional to the stable period are employed. Recall that the correlations estimated with credit crisis data are about twice as high on average as the correlations from the stable period. The implied issuer asset correlations based on default rates are employed as well. The default rate implied issuer correlations are approximately five times as low on average as the equity correlations conditional to the stable period data. The remaining inputs, that are utilized in the model estimations, are once again taken from the general model specification. </w: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 xml:space="preserve">One last input variation is applied in this context as well. The unconditional duration credit migration matrix is used for the stand-alone risk specification in the first model series of model estimations and subsequently the conditional duration credit migration matrix is applied for the second series of model estimations. The application of these two migration matrices ensures that the effect of combining both conditional inputs, conditional stand-alone risk and conditional correlation risk, can be assessed. </w:t>
      </w: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 xml:space="preserve">The estimation results are displayed in </w:t>
      </w:r>
      <w:hyperlink w:anchor="T8" w:history="1">
        <w:r w:rsidRPr="00802C03">
          <w:rPr>
            <w:rStyle w:val="Hyperlink"/>
            <w:rFonts w:ascii="Garamond" w:hAnsi="Garamond"/>
            <w:color w:val="000066"/>
            <w:u w:val="none"/>
            <w:lang w:val="en-GB"/>
          </w:rPr>
          <w:t>table VIII</w:t>
        </w:r>
      </w:hyperlink>
      <w:r w:rsidRPr="00802C03">
        <w:rPr>
          <w:rFonts w:ascii="Garamond" w:hAnsi="Garamond"/>
          <w:lang w:val="en-GB"/>
        </w:rPr>
        <w:t xml:space="preserve">. Panel A, B and C contain the results that are generated for the credit crisis correlations, stable period correlation and implied asset correlations based in default rates, respectively. Herein, the unconditional duration migration matrix is applied as the stand-alone risk. Panel D, E and F contain the results generated with the same correlation specifications as panel A, B and C, but here the conditional credit migration matrix is used. All single panels in hold the results for the long-only and the long-short portfolios (L and LS) and within each portfolio the results conditional to each of the three copula assumptions are given (N, </w:t>
      </w:r>
      <w:r w:rsidRPr="00802C03">
        <w:rPr>
          <w:rFonts w:ascii="Garamond" w:hAnsi="Garamond"/>
          <w:i/>
          <w:lang w:val="en-GB"/>
        </w:rPr>
        <w:t>t</w:t>
      </w:r>
      <w:r w:rsidRPr="00802C03">
        <w:rPr>
          <w:rFonts w:ascii="Garamond" w:hAnsi="Garamond"/>
          <w:lang w:val="en-GB"/>
        </w:rPr>
        <w:t xml:space="preserve">-5 and </w:t>
      </w:r>
      <w:r w:rsidRPr="00802C03">
        <w:rPr>
          <w:rFonts w:ascii="Garamond" w:hAnsi="Garamond"/>
          <w:i/>
          <w:lang w:val="en-GB"/>
        </w:rPr>
        <w:t>t</w:t>
      </w:r>
      <w:r w:rsidRPr="00802C03">
        <w:rPr>
          <w:rFonts w:ascii="Garamond" w:hAnsi="Garamond"/>
          <w:lang w:val="en-GB"/>
        </w:rPr>
        <w:t>-15). The models estimations, in which the issuer asset correlations based on default rates are applied, are estimated under the Gaussian assumption only, since the utilized estimation methodology of these implied asset correlations explicitly relies on that particular assumption.</w:t>
      </w:r>
    </w:p>
    <w:p w:rsidR="001C7C52" w:rsidRPr="00802C03" w:rsidRDefault="001C7C52" w:rsidP="001F0514">
      <w:pPr>
        <w:spacing w:line="160" w:lineRule="exact"/>
        <w:jc w:val="both"/>
        <w:rPr>
          <w:rFonts w:ascii="Garamond" w:hAnsi="Garamond"/>
          <w:lang w:val="en-GB"/>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First, the results that are generated with the unconditional migration matrix (panel A, B and C) are addressed. The 99.9% VaR-estimates, based on the credit crisis equity correlations (panel A), are consistently and most often significantly higher than those based on the stable period equity correlations. The magnitude of the difference is dependent on the portfolio for which the 99.9% VaR-estimate is computed. For the long-only portfolio, the difference is approximately 5% on average, while it is as low as 2.5% on average for the long-short portfolio. When the 99% VaR-estimates are considered, the significant differences are still existent for the long-only portfolio (3% on average), while the differences have disappeared for the estimates for the more realistic long-short portfolio. The results for the long-short portfolio even show higher 95% VaR-estimates resulting from the stable period equity correlations. In contrast, for the long-only portfolio, the 95% VaR-estimates for the credit crisis equity correlation specification are still significantly higher. </w:t>
      </w:r>
    </w:p>
    <w:p w:rsidR="001C7C52" w:rsidRPr="00802C03" w:rsidRDefault="001C7C52" w:rsidP="001F0514">
      <w:pPr>
        <w:spacing w:line="28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Pr>
          <w:noProof/>
          <w:lang w:val="en-US"/>
        </w:rPr>
        <w:pict>
          <v:shape id="_x0000_s1115" type="#_x0000_t202" style="position:absolute;left:0;text-align:left;margin-left:-12.45pt;margin-top:-4.8pt;width:496.25pt;height:696.9pt;z-index:251645440" stroked="f">
            <v:textbox style="mso-next-textbox:#_x0000_s1115">
              <w:txbxContent>
                <w:p w:rsidR="001C7C52" w:rsidRDefault="001C7C52" w:rsidP="006611FB"/>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798"/>
                    <w:gridCol w:w="799"/>
                    <w:gridCol w:w="799"/>
                    <w:gridCol w:w="799"/>
                    <w:gridCol w:w="799"/>
                    <w:gridCol w:w="799"/>
                    <w:gridCol w:w="799"/>
                    <w:gridCol w:w="799"/>
                    <w:gridCol w:w="799"/>
                    <w:gridCol w:w="799"/>
                    <w:gridCol w:w="799"/>
                  </w:tblGrid>
                  <w:tr w:rsidR="001C7C52" w:rsidRPr="000B0ADE" w:rsidTr="006611FB">
                    <w:tc>
                      <w:tcPr>
                        <w:tcW w:w="9639" w:type="dxa"/>
                        <w:gridSpan w:val="12"/>
                        <w:tcBorders>
                          <w:top w:val="nil"/>
                          <w:left w:val="nil"/>
                          <w:bottom w:val="single" w:sz="4" w:space="0" w:color="auto"/>
                          <w:right w:val="nil"/>
                        </w:tcBorders>
                        <w:vAlign w:val="center"/>
                      </w:tcPr>
                      <w:p w:rsidR="001C7C52" w:rsidRPr="00495433" w:rsidRDefault="001C7C52" w:rsidP="006611FB">
                        <w:pPr>
                          <w:spacing w:line="240" w:lineRule="auto"/>
                          <w:rPr>
                            <w:rFonts w:ascii="Garamond" w:hAnsi="Garamond"/>
                            <w:sz w:val="20"/>
                            <w:lang w:val="en-US"/>
                          </w:rPr>
                        </w:pPr>
                        <w:bookmarkStart w:id="74" w:name="T8"/>
                        <w:bookmarkEnd w:id="74"/>
                        <w:r w:rsidRPr="00495433">
                          <w:rPr>
                            <w:rFonts w:ascii="Garamond" w:hAnsi="Garamond"/>
                            <w:b/>
                            <w:lang w:val="en-US"/>
                          </w:rPr>
                          <w:t>T</w:t>
                        </w:r>
                        <w:r>
                          <w:rPr>
                            <w:rFonts w:ascii="Garamond" w:hAnsi="Garamond"/>
                            <w:b/>
                            <w:sz w:val="18"/>
                            <w:szCs w:val="18"/>
                            <w:lang w:val="en-US"/>
                          </w:rPr>
                          <w:t>AB</w:t>
                        </w:r>
                        <w:r w:rsidRPr="00495433">
                          <w:rPr>
                            <w:rFonts w:ascii="Garamond" w:hAnsi="Garamond"/>
                            <w:b/>
                            <w:sz w:val="18"/>
                            <w:szCs w:val="18"/>
                            <w:lang w:val="en-US"/>
                          </w:rPr>
                          <w:t>L</w:t>
                        </w:r>
                        <w:r>
                          <w:rPr>
                            <w:rFonts w:ascii="Garamond" w:hAnsi="Garamond"/>
                            <w:b/>
                            <w:sz w:val="18"/>
                            <w:szCs w:val="18"/>
                            <w:lang w:val="en-US"/>
                          </w:rPr>
                          <w:t>E</w:t>
                        </w:r>
                        <w:r>
                          <w:rPr>
                            <w:rFonts w:ascii="Garamond" w:hAnsi="Garamond"/>
                            <w:b/>
                            <w:lang w:val="en-US"/>
                          </w:rPr>
                          <w:t xml:space="preserve"> </w:t>
                        </w:r>
                        <w:r w:rsidRPr="005E2825">
                          <w:rPr>
                            <w:rFonts w:ascii="Garamond" w:hAnsi="Garamond"/>
                            <w:b/>
                            <w:color w:val="000000"/>
                            <w:lang w:val="en-US"/>
                          </w:rPr>
                          <w:t>VIII</w:t>
                        </w:r>
                        <w:r>
                          <w:rPr>
                            <w:rFonts w:ascii="Garamond" w:hAnsi="Garamond"/>
                            <w:b/>
                            <w:color w:val="000000"/>
                            <w:lang w:val="en-US"/>
                          </w:rPr>
                          <w:t xml:space="preserve"> </w:t>
                        </w:r>
                        <w:r w:rsidRPr="007928F1">
                          <w:rPr>
                            <w:rFonts w:ascii="Garamond" w:hAnsi="Garamond"/>
                            <w:color w:val="000000"/>
                            <w:lang w:val="en-US"/>
                          </w:rPr>
                          <w:t>-</w:t>
                        </w:r>
                        <w:r>
                          <w:rPr>
                            <w:rFonts w:ascii="Garamond" w:hAnsi="Garamond"/>
                            <w:b/>
                            <w:color w:val="000000"/>
                            <w:lang w:val="en-US"/>
                          </w:rPr>
                          <w:t xml:space="preserve"> </w:t>
                        </w:r>
                        <w:r>
                          <w:rPr>
                            <w:rFonts w:ascii="Garamond" w:hAnsi="Garamond"/>
                            <w:sz w:val="20"/>
                            <w:lang w:val="en-US"/>
                          </w:rPr>
                          <w:t>Incremental Risk Model Estimates: Issuer Asset Correlations</w:t>
                        </w:r>
                      </w:p>
                    </w:tc>
                  </w:tr>
                  <w:tr w:rsidR="001C7C52" w:rsidRPr="000B0ADE" w:rsidTr="006611FB">
                    <w:tc>
                      <w:tcPr>
                        <w:tcW w:w="851" w:type="dxa"/>
                        <w:tcBorders>
                          <w:top w:val="single" w:sz="4" w:space="0" w:color="auto"/>
                          <w:left w:val="nil"/>
                          <w:bottom w:val="nil"/>
                          <w:right w:val="nil"/>
                        </w:tcBorders>
                        <w:vAlign w:val="center"/>
                      </w:tcPr>
                      <w:p w:rsidR="001C7C52" w:rsidRPr="00495433" w:rsidRDefault="001C7C52" w:rsidP="006611FB">
                        <w:pPr>
                          <w:rPr>
                            <w:rFonts w:ascii="Garamond" w:hAnsi="Garamond"/>
                            <w:sz w:val="20"/>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6611FB">
                        <w:pPr>
                          <w:rPr>
                            <w:rFonts w:ascii="Garamond" w:hAnsi="Garamond"/>
                            <w:i/>
                            <w:sz w:val="20"/>
                            <w:lang w:val="en-US"/>
                          </w:rPr>
                        </w:pPr>
                        <w:r w:rsidRPr="005A7F06">
                          <w:rPr>
                            <w:rFonts w:ascii="Garamond" w:hAnsi="Garamond"/>
                            <w:i/>
                            <w:sz w:val="20"/>
                            <w:lang w:val="en-US"/>
                          </w:rPr>
                          <w:t xml:space="preserve">A. </w:t>
                        </w:r>
                        <w:r>
                          <w:rPr>
                            <w:rFonts w:ascii="Garamond" w:hAnsi="Garamond"/>
                            <w:i/>
                            <w:sz w:val="20"/>
                            <w:lang w:val="en-US"/>
                          </w:rPr>
                          <w:t>Credit crisis equity correlations, using the duration migration matrix</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nil"/>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$1.018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15.42%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14.96%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16.04%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7.00%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6.86%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7.14%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1.60%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1.54%</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1.66%</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$2.013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30.50%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29.22%</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31.88%</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12.46%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12.20%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12.81%</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2.48%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2.39%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2.57%</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22.35%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21.62%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23.36%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9.43%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9.22%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9.66%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2.04%</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1.98%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2.11%</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$0.548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24.65%</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24.01%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25.75%</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12.63%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12.41%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12.84%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5.12%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5.05%</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5.21%</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$0.929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41.74%</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40.36%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43.13%</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17.28%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16.88%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17.67%</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5.07%</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4.96%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5.19%</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$0.713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32.05%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31.18%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33.06%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14.41%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15.01%</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5.26%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5.16%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5.36%</w:t>
                        </w:r>
                      </w:p>
                    </w:tc>
                  </w:tr>
                  <w:tr w:rsidR="001C7C52" w:rsidRPr="000B0ADE" w:rsidTr="006611FB">
                    <w:tc>
                      <w:tcPr>
                        <w:tcW w:w="851"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6611FB">
                        <w:pPr>
                          <w:rPr>
                            <w:rFonts w:ascii="Garamond" w:hAnsi="Garamond"/>
                            <w:i/>
                            <w:sz w:val="18"/>
                            <w:szCs w:val="18"/>
                            <w:lang w:val="en-US"/>
                          </w:rPr>
                        </w:pPr>
                        <w:r w:rsidRPr="005A7F06">
                          <w:rPr>
                            <w:rFonts w:ascii="Garamond" w:hAnsi="Garamond"/>
                            <w:i/>
                            <w:sz w:val="20"/>
                            <w:lang w:val="en-US"/>
                          </w:rPr>
                          <w:t xml:space="preserve">B. </w:t>
                        </w:r>
                        <w:r>
                          <w:rPr>
                            <w:rFonts w:ascii="Garamond" w:hAnsi="Garamond"/>
                            <w:i/>
                            <w:sz w:val="20"/>
                            <w:lang w:val="en-US"/>
                          </w:rPr>
                          <w:t>Stable period equity correlations, using the duration migration matrix</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$0.579</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8.78%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8.52%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9.11%</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3.89%</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3.82%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3.98%</w:t>
                        </w:r>
                      </w:p>
                    </w:tc>
                    <w:tc>
                      <w:tcPr>
                        <w:tcW w:w="799" w:type="dxa"/>
                        <w:tcBorders>
                          <w:top w:val="single" w:sz="4" w:space="0" w:color="auto"/>
                          <w:left w:val="nil"/>
                          <w:bottom w:val="nil"/>
                          <w:right w:val="nil"/>
                        </w:tcBorders>
                        <w:vAlign w:val="center"/>
                      </w:tcPr>
                      <w:p w:rsidR="001C7C52" w:rsidRPr="00EF5F9A" w:rsidRDefault="001C7C52" w:rsidP="006611FB">
                        <w:pPr>
                          <w:jc w:val="center"/>
                          <w:rPr>
                            <w:rFonts w:ascii="Garamond" w:hAnsi="Garamond"/>
                            <w:b/>
                            <w:sz w:val="18"/>
                            <w:szCs w:val="18"/>
                            <w:lang w:val="en-US"/>
                          </w:rPr>
                        </w:pPr>
                        <w:r>
                          <w:rPr>
                            <w:rFonts w:ascii="Garamond" w:hAnsi="Garamond"/>
                            <w:b/>
                            <w:sz w:val="18"/>
                            <w:szCs w:val="18"/>
                            <w:lang w:val="en-US"/>
                          </w:rPr>
                          <w:t>0.69%</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0.65%</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0.72%</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$1.664</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25.21%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24.26%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26.62%</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9.39%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9.13%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9.60%</w:t>
                        </w:r>
                      </w:p>
                    </w:tc>
                    <w:tc>
                      <w:tcPr>
                        <w:tcW w:w="799" w:type="dxa"/>
                        <w:tcBorders>
                          <w:top w:val="nil"/>
                          <w:left w:val="nil"/>
                          <w:bottom w:val="nil"/>
                          <w:right w:val="nil"/>
                        </w:tcBorders>
                        <w:vAlign w:val="center"/>
                      </w:tcPr>
                      <w:p w:rsidR="001C7C52" w:rsidRPr="00EF5F9A" w:rsidRDefault="001C7C52" w:rsidP="006611FB">
                        <w:pPr>
                          <w:jc w:val="center"/>
                          <w:rPr>
                            <w:rFonts w:ascii="Garamond" w:hAnsi="Garamond"/>
                            <w:b/>
                            <w:sz w:val="18"/>
                            <w:szCs w:val="18"/>
                            <w:lang w:val="en-US"/>
                          </w:rPr>
                        </w:pPr>
                        <w:r>
                          <w:rPr>
                            <w:rFonts w:ascii="Garamond" w:hAnsi="Garamond"/>
                            <w:b/>
                            <w:sz w:val="18"/>
                            <w:szCs w:val="18"/>
                            <w:lang w:val="en-US"/>
                          </w:rPr>
                          <w:t>1.76%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1.84%</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$1.037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15.72%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15.22%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16.42%</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6.53%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6.38%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6.69%</w:t>
                        </w:r>
                      </w:p>
                    </w:tc>
                    <w:tc>
                      <w:tcPr>
                        <w:tcW w:w="799" w:type="dxa"/>
                        <w:tcBorders>
                          <w:top w:val="nil"/>
                          <w:left w:val="nil"/>
                          <w:bottom w:val="single" w:sz="4" w:space="0" w:color="auto"/>
                          <w:right w:val="nil"/>
                        </w:tcBorders>
                        <w:vAlign w:val="center"/>
                      </w:tcPr>
                      <w:p w:rsidR="001C7C52" w:rsidRPr="00EF5F9A" w:rsidRDefault="001C7C52" w:rsidP="006611FB">
                        <w:pPr>
                          <w:jc w:val="center"/>
                          <w:rPr>
                            <w:rFonts w:ascii="Garamond" w:hAnsi="Garamond"/>
                            <w:b/>
                            <w:sz w:val="18"/>
                            <w:szCs w:val="18"/>
                            <w:lang w:val="en-US"/>
                          </w:rPr>
                        </w:pPr>
                        <w:r>
                          <w:rPr>
                            <w:rFonts w:ascii="Garamond" w:hAnsi="Garamond"/>
                            <w:b/>
                            <w:sz w:val="18"/>
                            <w:szCs w:val="18"/>
                            <w:lang w:val="en-US"/>
                          </w:rPr>
                          <w:t>1.31%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1.36%</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$0.478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21.48%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20.93%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22.12%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12.08%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11.93%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12.26%</w:t>
                        </w:r>
                      </w:p>
                    </w:tc>
                    <w:tc>
                      <w:tcPr>
                        <w:tcW w:w="799" w:type="dxa"/>
                        <w:tcBorders>
                          <w:top w:val="single" w:sz="4" w:space="0" w:color="auto"/>
                          <w:left w:val="nil"/>
                          <w:bottom w:val="nil"/>
                          <w:right w:val="nil"/>
                        </w:tcBorders>
                        <w:vAlign w:val="center"/>
                      </w:tcPr>
                      <w:p w:rsidR="001C7C52" w:rsidRPr="00EF5F9A" w:rsidRDefault="001C7C52" w:rsidP="006611FB">
                        <w:pPr>
                          <w:jc w:val="center"/>
                          <w:rPr>
                            <w:rFonts w:ascii="Garamond" w:hAnsi="Garamond"/>
                            <w:b/>
                            <w:sz w:val="18"/>
                            <w:szCs w:val="18"/>
                            <w:lang w:val="en-US"/>
                          </w:rPr>
                        </w:pPr>
                        <w:r w:rsidRPr="00EF5F9A">
                          <w:rPr>
                            <w:rFonts w:ascii="Garamond" w:hAnsi="Garamond"/>
                            <w:b/>
                            <w:sz w:val="18"/>
                            <w:szCs w:val="18"/>
                            <w:lang w:val="en-US"/>
                          </w:rPr>
                          <w:t>5.80</w:t>
                        </w:r>
                        <w:r>
                          <w:rPr>
                            <w:rFonts w:ascii="Garamond" w:hAnsi="Garamond"/>
                            <w:b/>
                            <w:sz w:val="18"/>
                            <w:szCs w:val="18"/>
                            <w:lang w:val="en-US"/>
                          </w:rPr>
                          <w:t>%</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5.73%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5.88%</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$0.888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39.90%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38.47%</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42.26%</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17.43%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17.04%</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17.81%</w:t>
                        </w:r>
                      </w:p>
                    </w:tc>
                    <w:tc>
                      <w:tcPr>
                        <w:tcW w:w="799" w:type="dxa"/>
                        <w:tcBorders>
                          <w:top w:val="nil"/>
                          <w:left w:val="nil"/>
                          <w:bottom w:val="nil"/>
                          <w:right w:val="nil"/>
                        </w:tcBorders>
                        <w:vAlign w:val="center"/>
                      </w:tcPr>
                      <w:p w:rsidR="001C7C52" w:rsidRPr="00EF5F9A" w:rsidRDefault="001C7C52" w:rsidP="006611FB">
                        <w:pPr>
                          <w:jc w:val="center"/>
                          <w:rPr>
                            <w:rFonts w:ascii="Garamond" w:hAnsi="Garamond"/>
                            <w:b/>
                            <w:sz w:val="18"/>
                            <w:szCs w:val="18"/>
                            <w:lang w:val="en-US"/>
                          </w:rPr>
                        </w:pPr>
                        <w:r>
                          <w:rPr>
                            <w:rFonts w:ascii="Garamond" w:hAnsi="Garamond"/>
                            <w:b/>
                            <w:sz w:val="18"/>
                            <w:szCs w:val="18"/>
                            <w:lang w:val="en-US"/>
                          </w:rPr>
                          <w:t>5.85%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5.74%</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5.97%</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$0.638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28.69%</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27.75%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29.88%</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14.67%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14.38%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14.90%</w:t>
                        </w:r>
                      </w:p>
                    </w:tc>
                    <w:tc>
                      <w:tcPr>
                        <w:tcW w:w="799" w:type="dxa"/>
                        <w:tcBorders>
                          <w:top w:val="nil"/>
                          <w:left w:val="nil"/>
                          <w:bottom w:val="single" w:sz="4" w:space="0" w:color="auto"/>
                          <w:right w:val="nil"/>
                        </w:tcBorders>
                        <w:vAlign w:val="center"/>
                      </w:tcPr>
                      <w:p w:rsidR="001C7C52" w:rsidRPr="00EF5F9A" w:rsidRDefault="001C7C52" w:rsidP="006611FB">
                        <w:pPr>
                          <w:jc w:val="center"/>
                          <w:rPr>
                            <w:rFonts w:ascii="Garamond" w:hAnsi="Garamond"/>
                            <w:b/>
                            <w:sz w:val="18"/>
                            <w:szCs w:val="18"/>
                            <w:lang w:val="en-US"/>
                          </w:rPr>
                        </w:pPr>
                        <w:r>
                          <w:rPr>
                            <w:rFonts w:ascii="Garamond" w:hAnsi="Garamond"/>
                            <w:b/>
                            <w:sz w:val="18"/>
                            <w:szCs w:val="18"/>
                            <w:lang w:val="en-US"/>
                          </w:rPr>
                          <w:t>6.07%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5.98%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6.17%</w:t>
                        </w:r>
                      </w:p>
                    </w:tc>
                  </w:tr>
                  <w:tr w:rsidR="001C7C52" w:rsidRPr="000B0ADE"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6611FB">
                        <w:pPr>
                          <w:rPr>
                            <w:rFonts w:ascii="Garamond" w:hAnsi="Garamond"/>
                            <w:i/>
                            <w:sz w:val="18"/>
                            <w:szCs w:val="18"/>
                            <w:lang w:val="en-US"/>
                          </w:rPr>
                        </w:pPr>
                        <w:r w:rsidRPr="005A7F06">
                          <w:rPr>
                            <w:rFonts w:ascii="Garamond" w:hAnsi="Garamond"/>
                            <w:i/>
                            <w:sz w:val="20"/>
                            <w:lang w:val="en-US"/>
                          </w:rPr>
                          <w:t xml:space="preserve">C. </w:t>
                        </w:r>
                        <w:r>
                          <w:rPr>
                            <w:rFonts w:ascii="Garamond" w:hAnsi="Garamond"/>
                            <w:i/>
                            <w:sz w:val="20"/>
                            <w:lang w:val="en-US"/>
                          </w:rPr>
                          <w:t>Default rate implied asset correlations, using the duration migration matrix</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single" w:sz="4" w:space="0" w:color="auto"/>
                          <w:left w:val="nil"/>
                          <w:bottom w:val="single" w:sz="4" w:space="0" w:color="auto"/>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$0.200</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2.92%</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2.83%</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3.03%</w:t>
                        </w:r>
                      </w:p>
                    </w:tc>
                    <w:tc>
                      <w:tcPr>
                        <w:tcW w:w="799" w:type="dxa"/>
                        <w:tcBorders>
                          <w:top w:val="single" w:sz="4" w:space="0" w:color="auto"/>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0.96%</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0.91%</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0.99%</w:t>
                        </w:r>
                      </w:p>
                    </w:tc>
                    <w:tc>
                      <w:tcPr>
                        <w:tcW w:w="799" w:type="dxa"/>
                        <w:tcBorders>
                          <w:top w:val="single" w:sz="4" w:space="0" w:color="auto"/>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(0.66%)</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(0.68%)</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(0.63%)</w:t>
                        </w:r>
                      </w:p>
                    </w:tc>
                  </w:tr>
                  <w:tr w:rsidR="001C7C52" w:rsidRPr="00495433" w:rsidTr="006611FB">
                    <w:tc>
                      <w:tcPr>
                        <w:tcW w:w="851" w:type="dxa"/>
                        <w:tcBorders>
                          <w:top w:val="single" w:sz="4" w:space="0" w:color="auto"/>
                          <w:left w:val="nil"/>
                          <w:bottom w:val="single" w:sz="4" w:space="0" w:color="auto"/>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$0.354</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15.92%</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15.54%</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16.28%</w:t>
                        </w:r>
                      </w:p>
                    </w:tc>
                    <w:tc>
                      <w:tcPr>
                        <w:tcW w:w="799" w:type="dxa"/>
                        <w:tcBorders>
                          <w:top w:val="single" w:sz="4" w:space="0" w:color="auto"/>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9.97%</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9.85%</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10.10%</w:t>
                        </w:r>
                      </w:p>
                    </w:tc>
                    <w:tc>
                      <w:tcPr>
                        <w:tcW w:w="799" w:type="dxa"/>
                        <w:tcBorders>
                          <w:top w:val="single" w:sz="4" w:space="0" w:color="auto"/>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5.45%</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5.40%</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5.51%</w:t>
                        </w:r>
                      </w:p>
                    </w:tc>
                  </w:tr>
                  <w:tr w:rsidR="001C7C52" w:rsidRPr="000B0ADE"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6611FB">
                        <w:pPr>
                          <w:rPr>
                            <w:rFonts w:ascii="Garamond" w:hAnsi="Garamond"/>
                            <w:i/>
                            <w:sz w:val="18"/>
                            <w:szCs w:val="18"/>
                            <w:lang w:val="en-US"/>
                          </w:rPr>
                        </w:pPr>
                        <w:r w:rsidRPr="005A7F06">
                          <w:rPr>
                            <w:rFonts w:ascii="Garamond" w:hAnsi="Garamond"/>
                            <w:i/>
                            <w:sz w:val="20"/>
                            <w:lang w:val="en-US"/>
                          </w:rPr>
                          <w:t xml:space="preserve">D. </w:t>
                        </w:r>
                        <w:r>
                          <w:rPr>
                            <w:rFonts w:ascii="Garamond" w:hAnsi="Garamond"/>
                            <w:i/>
                            <w:sz w:val="20"/>
                            <w:lang w:val="en-US"/>
                          </w:rPr>
                          <w:t>Credit crisis equity correlations, using duration migration matrix conditional to the credit crisis</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$1.411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21.38%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20.90%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22.22%</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11.59%</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11.37%</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11.81%</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4.93%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4.84%</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5.00%</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$2.862</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43.36%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41.63%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45.06%</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18.66%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18.19%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19.03%</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6.40%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6.26%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6.52%</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$2.036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30.85%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30.07%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31.48%</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14.41%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14.17%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14.66%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5.79%</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5.70%</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5.89%</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$0.733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32.92%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32.08%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33.77%</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17.73%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17.48%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17.98%</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8.40%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8.31%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8.51%</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$1.199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53.89%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52.01%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55.74%</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23.37%</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22.93%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23.90%</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9.04%</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8.90%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9.18%</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$0.928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41.69%</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40.25%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43.01%</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20.11%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19.81%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20.51%</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8.90%</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8.78%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9.00%</w:t>
                        </w:r>
                      </w:p>
                    </w:tc>
                  </w:tr>
                  <w:tr w:rsidR="001C7C52" w:rsidRPr="000B0ADE" w:rsidTr="006611FB">
                    <w:tc>
                      <w:tcPr>
                        <w:tcW w:w="851" w:type="dxa"/>
                        <w:tcBorders>
                          <w:top w:val="single" w:sz="4" w:space="0" w:color="auto"/>
                          <w:left w:val="nil"/>
                          <w:bottom w:val="nil"/>
                          <w:right w:val="nil"/>
                        </w:tcBorders>
                        <w:vAlign w:val="center"/>
                      </w:tcPr>
                      <w:p w:rsidR="001C7C52" w:rsidRDefault="001C7C52" w:rsidP="006611FB">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6A2342" w:rsidRDefault="001C7C52" w:rsidP="006611FB">
                        <w:pPr>
                          <w:rPr>
                            <w:rFonts w:ascii="Garamond" w:hAnsi="Garamond"/>
                            <w:sz w:val="18"/>
                            <w:szCs w:val="18"/>
                            <w:lang w:val="en-US"/>
                          </w:rPr>
                        </w:pPr>
                        <w:r>
                          <w:rPr>
                            <w:rFonts w:ascii="Garamond" w:hAnsi="Garamond"/>
                            <w:i/>
                            <w:sz w:val="20"/>
                            <w:lang w:val="en-US"/>
                          </w:rPr>
                          <w:t>E</w:t>
                        </w:r>
                        <w:r w:rsidRPr="005A7F06">
                          <w:rPr>
                            <w:rFonts w:ascii="Garamond" w:hAnsi="Garamond"/>
                            <w:i/>
                            <w:sz w:val="20"/>
                            <w:lang w:val="en-US"/>
                          </w:rPr>
                          <w:t xml:space="preserve">. </w:t>
                        </w:r>
                        <w:r>
                          <w:rPr>
                            <w:rFonts w:ascii="Garamond" w:hAnsi="Garamond"/>
                            <w:i/>
                            <w:sz w:val="20"/>
                            <w:lang w:val="en-US"/>
                          </w:rPr>
                          <w:t>Stable period equity correlations, using the duration migration matrix conditional to the credit crisis</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$0.862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13.06%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12.77%</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13.42%</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7.42%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7.32%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7.54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3.43%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3.38%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3.48%</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$2.293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34.75%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33.63%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35.89%</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15.41%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15.09%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15.74</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5.61%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5.51%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5.70%</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$1.416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21.46%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20.95%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22.06%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10.75%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10.56%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10.93</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4.45%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4.38%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4.51%</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$0.611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27.44%</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26.96%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28.00%</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17.06%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16.88%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17.26%</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9.37%</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9.28%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9.45%</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$1.102</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49.55%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48.26%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51.00%</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24.19%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23.73%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24.59%</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10.06%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9.91%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10.22%</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$0.836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37.58%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36.64%</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38.72%</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20.00%</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19.73%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20.31%</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9.82%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9.71%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9.94%</w:t>
                        </w:r>
                      </w:p>
                    </w:tc>
                  </w:tr>
                  <w:tr w:rsidR="001C7C52" w:rsidRPr="000B0ADE"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8788" w:type="dxa"/>
                        <w:gridSpan w:val="11"/>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r>
                          <w:rPr>
                            <w:rFonts w:ascii="Garamond" w:hAnsi="Garamond"/>
                            <w:i/>
                            <w:sz w:val="20"/>
                            <w:lang w:val="en-US"/>
                          </w:rPr>
                          <w:t>F</w:t>
                        </w:r>
                        <w:r w:rsidRPr="005A7F06">
                          <w:rPr>
                            <w:rFonts w:ascii="Garamond" w:hAnsi="Garamond"/>
                            <w:i/>
                            <w:sz w:val="20"/>
                            <w:lang w:val="en-US"/>
                          </w:rPr>
                          <w:t xml:space="preserve">. </w:t>
                        </w:r>
                        <w:r>
                          <w:rPr>
                            <w:rFonts w:ascii="Garamond" w:hAnsi="Garamond"/>
                            <w:i/>
                            <w:sz w:val="20"/>
                            <w:lang w:val="en-US"/>
                          </w:rPr>
                          <w:t>Default rate implied asset correlations, using the duration migration matrix conditional to the credit crisis</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nil"/>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$0.407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6.16%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6.02%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6.28%</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3.51%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3.46%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3.57%</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1.56%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1.54%</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1.59%</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$0.459</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20.63%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20.34%</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21.07%</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14.15%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13.98%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14.29%</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8.60%</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8.53%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8.67%</w:t>
                        </w:r>
                      </w:p>
                    </w:tc>
                  </w:tr>
                  <w:tr w:rsidR="001C7C52" w:rsidRPr="00495433" w:rsidTr="006611FB">
                    <w:tc>
                      <w:tcPr>
                        <w:tcW w:w="9639" w:type="dxa"/>
                        <w:gridSpan w:val="12"/>
                        <w:tcBorders>
                          <w:top w:val="single" w:sz="4" w:space="0" w:color="auto"/>
                          <w:left w:val="nil"/>
                          <w:bottom w:val="nil"/>
                          <w:right w:val="nil"/>
                        </w:tcBorders>
                        <w:vAlign w:val="center"/>
                      </w:tcPr>
                      <w:p w:rsidR="001C7C52" w:rsidRPr="00B4632D" w:rsidRDefault="001C7C52" w:rsidP="00F246F2">
                        <w:pPr>
                          <w:spacing w:after="40" w:line="180" w:lineRule="exact"/>
                          <w:jc w:val="both"/>
                          <w:rPr>
                            <w:rFonts w:ascii="Garamond" w:hAnsi="Garamond"/>
                            <w:sz w:val="16"/>
                            <w:szCs w:val="16"/>
                            <w:lang w:val="en-US"/>
                          </w:rPr>
                        </w:pPr>
                        <w:r w:rsidRPr="00B4632D">
                          <w:rPr>
                            <w:rFonts w:ascii="Garamond" w:hAnsi="Garamond"/>
                            <w:sz w:val="16"/>
                            <w:szCs w:val="16"/>
                            <w:lang w:val="en-US"/>
                          </w:rPr>
                          <w:t xml:space="preserve">* The 99.9% VaR values are reported in millions. Estimates in between parenthesis signal that the VaR (%) is negative (not a loss, but still a profit relative to the initial exposure). For the estimates in panel A, B, D and E, equity autocorrelations are used. For the estimates in panel C and F, default </w:t>
                        </w:r>
                        <w:r>
                          <w:rPr>
                            <w:rFonts w:ascii="Garamond" w:hAnsi="Garamond"/>
                            <w:sz w:val="16"/>
                            <w:szCs w:val="16"/>
                            <w:lang w:val="en-US"/>
                          </w:rPr>
                          <w:t xml:space="preserve">rate implied </w:t>
                        </w:r>
                        <w:r w:rsidRPr="00B4632D">
                          <w:rPr>
                            <w:rFonts w:ascii="Garamond" w:hAnsi="Garamond"/>
                            <w:sz w:val="16"/>
                            <w:szCs w:val="16"/>
                            <w:lang w:val="en-US"/>
                          </w:rPr>
                          <w:t xml:space="preserve">autocorrelations are used. The applied liquidity horizons are the standard liquidity horizons. Portfolio L is the long only portfolio and Portfolio LS is the long short portfolio. Copula N is the Normal or Gaussian copula and copulas </w:t>
                        </w:r>
                        <w:r w:rsidRPr="00B4632D">
                          <w:rPr>
                            <w:rFonts w:ascii="Garamond" w:hAnsi="Garamond"/>
                            <w:i/>
                            <w:sz w:val="16"/>
                            <w:szCs w:val="16"/>
                            <w:lang w:val="en-US"/>
                          </w:rPr>
                          <w:t>t</w:t>
                        </w:r>
                        <w:r w:rsidRPr="00B4632D">
                          <w:rPr>
                            <w:rFonts w:ascii="Garamond" w:hAnsi="Garamond"/>
                            <w:sz w:val="16"/>
                            <w:szCs w:val="16"/>
                            <w:lang w:val="en-US"/>
                          </w:rPr>
                          <w:t xml:space="preserve">-5 and </w:t>
                        </w:r>
                        <w:r w:rsidRPr="00B4632D">
                          <w:rPr>
                            <w:rFonts w:ascii="Garamond" w:hAnsi="Garamond"/>
                            <w:i/>
                            <w:sz w:val="16"/>
                            <w:szCs w:val="16"/>
                            <w:lang w:val="en-US"/>
                          </w:rPr>
                          <w:t>t</w:t>
                        </w:r>
                        <w:r w:rsidRPr="00B4632D">
                          <w:rPr>
                            <w:rFonts w:ascii="Garamond" w:hAnsi="Garamond"/>
                            <w:sz w:val="16"/>
                            <w:szCs w:val="16"/>
                            <w:lang w:val="en-US"/>
                          </w:rPr>
                          <w:t xml:space="preserve">-15 are the </w:t>
                        </w:r>
                        <w:r w:rsidRPr="00B4632D">
                          <w:rPr>
                            <w:rFonts w:ascii="Garamond" w:hAnsi="Garamond"/>
                            <w:i/>
                            <w:sz w:val="16"/>
                            <w:szCs w:val="16"/>
                            <w:lang w:val="en-US"/>
                          </w:rPr>
                          <w:t>t</w:t>
                        </w:r>
                        <w:r w:rsidRPr="00B4632D">
                          <w:rPr>
                            <w:rFonts w:ascii="Garamond" w:hAnsi="Garamond"/>
                            <w:sz w:val="16"/>
                            <w:szCs w:val="16"/>
                            <w:lang w:val="en-US"/>
                          </w:rPr>
                          <w:t xml:space="preserve">-Student copulas with underlying Student </w:t>
                        </w:r>
                        <w:r w:rsidRPr="00B4632D">
                          <w:rPr>
                            <w:rFonts w:ascii="Garamond" w:hAnsi="Garamond"/>
                            <w:i/>
                            <w:sz w:val="16"/>
                            <w:szCs w:val="16"/>
                            <w:lang w:val="en-US"/>
                          </w:rPr>
                          <w:t>t</w:t>
                        </w:r>
                        <w:r w:rsidRPr="00B4632D">
                          <w:rPr>
                            <w:rFonts w:ascii="Garamond" w:hAnsi="Garamond"/>
                            <w:sz w:val="16"/>
                            <w:szCs w:val="16"/>
                            <w:lang w:val="en-US"/>
                          </w:rPr>
                          <w:t>-distributions with 5 and 15 degrees of freedom, respectively. The estimates reported in percentages are relative to the initial portfolio exposure, whi</w:t>
                        </w:r>
                        <w:r>
                          <w:rPr>
                            <w:rFonts w:ascii="Garamond" w:hAnsi="Garamond"/>
                            <w:sz w:val="16"/>
                            <w:szCs w:val="16"/>
                            <w:lang w:val="en-US"/>
                          </w:rPr>
                          <w:t>ch is $6.6 million for the long-</w:t>
                        </w:r>
                        <w:r w:rsidRPr="00B4632D">
                          <w:rPr>
                            <w:rFonts w:ascii="Garamond" w:hAnsi="Garamond"/>
                            <w:sz w:val="16"/>
                            <w:szCs w:val="16"/>
                            <w:lang w:val="en-US"/>
                          </w:rPr>
                          <w:t>only portfolio and $2.225 million for the long-short portfolio. The upper bound and lower bound represent the 95% confidence interval around the VaR % estimate presented left of them. All estimates are based on 200,000 simulations.</w:t>
                        </w:r>
                      </w:p>
                    </w:tc>
                  </w:tr>
                </w:tbl>
                <w:p w:rsidR="001C7C52" w:rsidRPr="005F6642" w:rsidRDefault="001C7C52" w:rsidP="006611FB">
                  <w:pPr>
                    <w:rPr>
                      <w:lang w:val="en-US"/>
                    </w:rPr>
                  </w:pPr>
                </w:p>
              </w:txbxContent>
            </v:textbox>
            <w10:wrap type="square"/>
          </v:shape>
        </w:pic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the comparison of the model outputs, generated with the stable period equity correlations and those computed with the correlations based on default rates, the stable period correlation specification always results in significantly and substantially higher VaR-estimates when the long-only portfolio is considered. For the long-short portfolio, the stable period correlation specification generates higher VaR-estimates as well. Although the difference declines heavily with the VaR confidence interval, it does remain significant.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Panels D, E and F in </w:t>
      </w:r>
      <w:hyperlink w:anchor="T8" w:history="1">
        <w:r w:rsidRPr="00802C03">
          <w:rPr>
            <w:rStyle w:val="Hyperlink"/>
            <w:rFonts w:ascii="Garamond" w:hAnsi="Garamond" w:cs="NimbusRomNo9L-Regu"/>
            <w:color w:val="000066"/>
            <w:u w:val="none"/>
            <w:lang w:val="en-GB" w:eastAsia="nl-NL"/>
          </w:rPr>
          <w:t>table VIII</w:t>
        </w:r>
      </w:hyperlink>
      <w:r w:rsidRPr="00802C03">
        <w:rPr>
          <w:rFonts w:ascii="Garamond" w:hAnsi="Garamond" w:cs="NimbusRomNo9L-Regu"/>
          <w:lang w:val="en-GB" w:eastAsia="nl-NL"/>
        </w:rPr>
        <w:t xml:space="preserve"> display the results of the same model estimations as panel A, B and C. The difference is that for the stand-alone risk specification, the credit migration matrix conditional to the credit crisis is employed instead of the unconditional duration migration matrix. The panels display exactly the same estimation results relative to each other as those in panel A, B and C. The only notable aspect herein is that the VaR-estimates in panel D, E and F are always significantly higher than those in panel A, B and C, due to the substantially higher downside migration risk in the conditional migration matrix. Once more, the conditional stand-alone risk specification generates much higher VaR-estimates than the unconditional specification.</w:t>
      </w:r>
    </w:p>
    <w:p w:rsidR="001C7C52" w:rsidRPr="00802C03" w:rsidRDefault="001C7C52" w:rsidP="001F0514">
      <w:pPr>
        <w:spacing w:line="280" w:lineRule="exact"/>
        <w:jc w:val="both"/>
        <w:rPr>
          <w:rFonts w:ascii="Garamond" w:hAnsi="Garamond" w:cs="NimbusRomNo9L-Regu"/>
          <w:lang w:val="en-GB" w:eastAsia="nl-NL"/>
        </w:rPr>
      </w:pPr>
      <w:hyperlink w:anchor="F7" w:history="1">
        <w:r w:rsidRPr="00802C03">
          <w:rPr>
            <w:rStyle w:val="Hyperlink"/>
            <w:rFonts w:ascii="Garamond" w:hAnsi="Garamond" w:cs="NimbusRomNo9L-Regu"/>
            <w:color w:val="000066"/>
            <w:u w:val="none"/>
            <w:lang w:val="en-GB" w:eastAsia="nl-NL"/>
          </w:rPr>
          <w:t>Figure VII</w:t>
        </w:r>
      </w:hyperlink>
      <w:r w:rsidRPr="00802C03">
        <w:rPr>
          <w:rFonts w:ascii="Garamond" w:hAnsi="Garamond" w:cs="NimbusRomNo9L-Regu"/>
          <w:lang w:val="en-GB" w:eastAsia="nl-NL"/>
        </w:rPr>
        <w:t xml:space="preserve"> provides an example of the differences in the model estimation results generated with the three different issuer correlations sets. The figure displays part of the cumulative portfolio return probability distribution resulting from each issuer correlation set for the long-short portfolio. The remaining model specification is equal for each curve. The cumulative portfolio return probability distribution computed with the credit crisis equity correlations is unexpectedly similar to the one resulting from the stable period equity correlations around the 0.01 to 0.02 cumulative probability range. Moreover, as already mentioned, the difference is not large at the 0.001 cumulative probability level (the 99.9% VaR) as well. Conversely, the issuer correlations based on default rates do produce a clearly visible and consistent difference in the left tail of the cumulative probability curve relative to those resulting from the equity correlation sets.</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Pr>
          <w:noProof/>
          <w:lang w:val="en-US"/>
        </w:rPr>
        <w:pict>
          <v:shape id="_x0000_s1116" type="#_x0000_t202" style="position:absolute;left:0;text-align:left;margin-left:-6.8pt;margin-top:129.95pt;width:488.55pt;height:240pt;z-index:251646464" stroked="f">
            <v:textbox style="mso-next-textbox:#_x0000_s1116">
              <w:txbxContent>
                <w:p w:rsidR="001C7C52" w:rsidRDefault="001C7C52"/>
                <w:tbl>
                  <w:tblPr>
                    <w:tblW w:w="9606" w:type="dxa"/>
                    <w:tblBorders>
                      <w:bottom w:val="single" w:sz="4" w:space="0" w:color="auto"/>
                    </w:tblBorders>
                    <w:tblLook w:val="00A0"/>
                  </w:tblPr>
                  <w:tblGrid>
                    <w:gridCol w:w="9606"/>
                  </w:tblGrid>
                  <w:tr w:rsidR="001C7C52" w:rsidRPr="000B0ADE" w:rsidTr="002E2E49">
                    <w:tc>
                      <w:tcPr>
                        <w:tcW w:w="9606" w:type="dxa"/>
                        <w:tcBorders>
                          <w:bottom w:val="single" w:sz="4" w:space="0" w:color="auto"/>
                        </w:tcBorders>
                        <w:vAlign w:val="center"/>
                      </w:tcPr>
                      <w:p w:rsidR="001C7C52" w:rsidRPr="002E2E49" w:rsidRDefault="001C7C52" w:rsidP="002E2E49">
                        <w:pPr>
                          <w:spacing w:line="240" w:lineRule="auto"/>
                          <w:rPr>
                            <w:rFonts w:ascii="Garamond" w:hAnsi="Garamond"/>
                            <w:sz w:val="20"/>
                            <w:lang w:val="en-US"/>
                          </w:rPr>
                        </w:pPr>
                        <w:bookmarkStart w:id="75" w:name="F7"/>
                        <w:bookmarkEnd w:id="75"/>
                        <w:r w:rsidRPr="002E2E49">
                          <w:rPr>
                            <w:rFonts w:ascii="Garamond" w:hAnsi="Garamond"/>
                            <w:b/>
                            <w:color w:val="000000"/>
                            <w:lang w:val="en-US"/>
                          </w:rPr>
                          <w:t>F</w:t>
                        </w:r>
                        <w:r w:rsidRPr="002E2E49">
                          <w:rPr>
                            <w:rFonts w:ascii="Garamond" w:hAnsi="Garamond"/>
                            <w:b/>
                            <w:color w:val="000000"/>
                            <w:sz w:val="18"/>
                            <w:szCs w:val="18"/>
                            <w:lang w:val="en-US"/>
                          </w:rPr>
                          <w:t>IGURE</w:t>
                        </w:r>
                        <w:r w:rsidRPr="002E2E49">
                          <w:rPr>
                            <w:rFonts w:ascii="Garamond" w:hAnsi="Garamond"/>
                            <w:b/>
                            <w:color w:val="000000"/>
                            <w:lang w:val="en-US"/>
                          </w:rPr>
                          <w:t xml:space="preserve"> VII </w:t>
                        </w:r>
                        <w:r w:rsidRPr="002E2E49">
                          <w:rPr>
                            <w:rFonts w:ascii="Garamond" w:hAnsi="Garamond"/>
                            <w:color w:val="000000"/>
                            <w:lang w:val="en-US"/>
                          </w:rPr>
                          <w:t xml:space="preserve">- </w:t>
                        </w:r>
                        <w:r w:rsidRPr="002E2E49">
                          <w:rPr>
                            <w:rFonts w:ascii="Garamond" w:hAnsi="Garamond"/>
                            <w:sz w:val="20"/>
                            <w:lang w:val="en-US"/>
                          </w:rPr>
                          <w:t>Cumulative Portfolio Return Probability Distribution: Issuer Asset Correlation Comparison</w:t>
                        </w:r>
                      </w:p>
                    </w:tc>
                  </w:tr>
                  <w:tr w:rsidR="001C7C52" w:rsidRPr="000B0ADE" w:rsidTr="002E2E49">
                    <w:trPr>
                      <w:trHeight w:val="113"/>
                    </w:trPr>
                    <w:tc>
                      <w:tcPr>
                        <w:tcW w:w="9606" w:type="dxa"/>
                        <w:tcBorders>
                          <w:top w:val="single" w:sz="4" w:space="0" w:color="auto"/>
                          <w:bottom w:val="nil"/>
                        </w:tcBorders>
                        <w:vAlign w:val="center"/>
                      </w:tcPr>
                      <w:p w:rsidR="001C7C52" w:rsidRPr="002E2E49" w:rsidRDefault="001C7C52" w:rsidP="002E2E49">
                        <w:pPr>
                          <w:spacing w:line="40" w:lineRule="exact"/>
                          <w:rPr>
                            <w:rFonts w:ascii="Garamond" w:hAnsi="Garamond"/>
                            <w:sz w:val="20"/>
                            <w:lang w:val="en-US"/>
                          </w:rPr>
                        </w:pPr>
                      </w:p>
                    </w:tc>
                  </w:tr>
                </w:tbl>
                <w:p w:rsidR="001C7C52" w:rsidRDefault="001C7C52" w:rsidP="006611FB">
                  <w:pPr>
                    <w:rPr>
                      <w:lang w:val="en-US"/>
                    </w:rPr>
                  </w:pPr>
                  <w:r w:rsidRPr="002E2E49">
                    <w:rPr>
                      <w:noProof/>
                      <w:lang w:val="en-US"/>
                    </w:rPr>
                    <w:pict>
                      <v:shape id="Chart 4" o:spid="_x0000_i1792" type="#_x0000_t75" style="width:469.5pt;height:168.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">
                        <v:imagedata r:id="rId1424" o:title="" croptop="-4445f" cropbottom="-1854f" cropleft="-333f" cropright="-694f"/>
                        <o:lock v:ext="edit" aspectratio="f"/>
                      </v:shape>
                    </w:pic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606"/>
                  </w:tblGrid>
                  <w:tr w:rsidR="001C7C52" w:rsidTr="002E2E49">
                    <w:tc>
                      <w:tcPr>
                        <w:tcW w:w="9606" w:type="dxa"/>
                        <w:tcBorders>
                          <w:top w:val="nil"/>
                          <w:left w:val="nil"/>
                          <w:bottom w:val="single" w:sz="4" w:space="0" w:color="auto"/>
                          <w:right w:val="nil"/>
                        </w:tcBorders>
                      </w:tcPr>
                      <w:p w:rsidR="001C7C52" w:rsidRPr="002E2E49" w:rsidRDefault="001C7C52" w:rsidP="002E2E49">
                        <w:pPr>
                          <w:overflowPunct/>
                          <w:autoSpaceDE/>
                          <w:autoSpaceDN/>
                          <w:adjustRightInd/>
                          <w:spacing w:line="60" w:lineRule="exact"/>
                          <w:textAlignment w:val="auto"/>
                          <w:rPr>
                            <w:lang w:val="en-US"/>
                          </w:rPr>
                        </w:pPr>
                      </w:p>
                    </w:tc>
                  </w:tr>
                  <w:tr w:rsidR="001C7C52" w:rsidRPr="000B0ADE" w:rsidTr="002E2E49">
                    <w:tc>
                      <w:tcPr>
                        <w:tcW w:w="9606" w:type="dxa"/>
                        <w:tcBorders>
                          <w:top w:val="single" w:sz="4" w:space="0" w:color="auto"/>
                          <w:left w:val="nil"/>
                          <w:bottom w:val="nil"/>
                          <w:right w:val="nil"/>
                        </w:tcBorders>
                      </w:tcPr>
                      <w:p w:rsidR="001C7C52" w:rsidRPr="002E2E49" w:rsidRDefault="001C7C52" w:rsidP="002E2E49">
                        <w:pPr>
                          <w:overflowPunct/>
                          <w:autoSpaceDE/>
                          <w:autoSpaceDN/>
                          <w:adjustRightInd/>
                          <w:spacing w:after="40" w:line="180" w:lineRule="exact"/>
                          <w:jc w:val="both"/>
                          <w:textAlignment w:val="auto"/>
                          <w:rPr>
                            <w:lang w:val="en-US"/>
                          </w:rPr>
                        </w:pPr>
                        <w:r w:rsidRPr="002E2E49">
                          <w:rPr>
                            <w:rFonts w:ascii="Garamond" w:hAnsi="Garamond"/>
                            <w:sz w:val="16"/>
                            <w:szCs w:val="16"/>
                            <w:lang w:val="en-US"/>
                          </w:rPr>
                          <w:t xml:space="preserve">The remaining utilized model specifications are the Gaussian copula assumption, the unconditional duration migration matrix </w:t>
                        </w:r>
                        <w:r w:rsidRPr="002E2E49">
                          <w:rPr>
                            <w:rFonts w:ascii="Garamond" w:hAnsi="Garamond" w:cs="NimbusRomNo9L-Regu"/>
                            <w:color w:val="000000"/>
                            <w:sz w:val="16"/>
                            <w:szCs w:val="16"/>
                            <w:lang w:val="en-US" w:eastAsia="nl-NL"/>
                          </w:rPr>
                          <w:t>and the standard liquidity horizons. The estimated distributions concern the results for the long-short portfolio.</w:t>
                        </w:r>
                      </w:p>
                    </w:tc>
                  </w:tr>
                </w:tbl>
                <w:p w:rsidR="001C7C52" w:rsidRPr="00AC31E3" w:rsidRDefault="001C7C52" w:rsidP="006611FB">
                  <w:pPr>
                    <w:rPr>
                      <w:lang w:val="en-US"/>
                    </w:rPr>
                  </w:pPr>
                </w:p>
              </w:txbxContent>
            </v:textbox>
            <w10:wrap type="square"/>
          </v:shape>
        </w:pict>
      </w:r>
      <w:r w:rsidRPr="00802C03">
        <w:rPr>
          <w:rFonts w:ascii="Garamond" w:hAnsi="Garamond" w:cs="NimbusRomNo9L-Regu"/>
          <w:lang w:val="en-GB" w:eastAsia="nl-NL"/>
        </w:rPr>
        <w:t xml:space="preserve">It may seem counterintuitive that the credit crisis correlations and stable period correlations result in roughly equal 99% VaR-estimates and only modestly different 99.9% VaR-estimates for the long-short portfolio. Nevertheless, the observed effect is almost certainly caused by the short positions in the portfolio. Higher positive issuer asset correlations simply imply that when the long positions experience a scenario with numerous defaults and downgrades, the short positions are also more likely to default or downgrade. This effect offers a risk reduction, since these defaults and downgrades ensure that the short positions in the portfolio generate a relative profit. </w:t>
      </w:r>
      <w:r>
        <w:rPr>
          <w:rFonts w:ascii="Garamond" w:hAnsi="Garamond" w:cs="NimbusRomNo9L-Regu"/>
          <w:lang w:val="en-GB" w:eastAsia="nl-NL"/>
        </w:rPr>
        <w:t>Even so</w:t>
      </w:r>
      <w:r w:rsidRPr="00802C03">
        <w:rPr>
          <w:rFonts w:ascii="Garamond" w:hAnsi="Garamond" w:cs="NimbusRomNo9L-Regu"/>
          <w:lang w:val="en-GB" w:eastAsia="nl-NL"/>
        </w:rPr>
        <w:t xml:space="preserve">, it not would be correct to conclude that the average level of the issuer asset correlations is always likely to only have a small impact on the VaR-estimates in any diversified long-short portfolio.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Although it is true that higher issuer correlations in an long-short portfolio do not generate the additional risk that is found for the long-only portfolio, one cannot expect that the risk reducing effect of the short positions in the long-short portfolio cancels out the effect of increased correlation under any specification for any portfolio. In other words, one cannot expect both effects to be connected with a perfectly linear relation. The relation between both effects is highly likely to be portfolio dependent and will certainly be affected by model parameters such as credit yield curves and the recovery rate as well. In fact, it must be said that when the standard default value model is applied instead of the modified default value model, the different issuer correlation sets do generate rate significantly different VaR-estimates for each VaR confidence interval (not shown).</w:t>
      </w:r>
      <w:r w:rsidRPr="00802C03">
        <w:rPr>
          <w:rStyle w:val="FootnoteReference"/>
          <w:rFonts w:ascii="Garamond" w:hAnsi="Garamond" w:cs="NimbusRomNo9L-Regu"/>
          <w:lang w:val="en-GB" w:eastAsia="nl-NL"/>
        </w:rPr>
        <w:footnoteReference w:id="65"/>
      </w:r>
      <w:r w:rsidRPr="00802C03">
        <w:rPr>
          <w:rFonts w:ascii="Garamond" w:hAnsi="Garamond" w:cs="NimbusRomNo9L-Regu"/>
          <w:lang w:val="en-GB" w:eastAsia="nl-NL"/>
        </w:rPr>
        <w:t xml:space="preserve"> Hence, the recovery rate assumption changes the correlation effect. The cumulative portfolio return probability distribution in </w:t>
      </w:r>
      <w:hyperlink w:anchor="F7" w:history="1">
        <w:r w:rsidRPr="00802C03">
          <w:rPr>
            <w:rStyle w:val="Hyperlink"/>
            <w:rFonts w:ascii="Garamond" w:hAnsi="Garamond" w:cs="NimbusRomNo9L-Regu"/>
            <w:color w:val="000066"/>
            <w:u w:val="none"/>
            <w:lang w:val="en-GB" w:eastAsia="nl-NL"/>
          </w:rPr>
          <w:t>figure VII</w:t>
        </w:r>
      </w:hyperlink>
      <w:r w:rsidRPr="00802C03">
        <w:rPr>
          <w:rFonts w:ascii="Garamond" w:hAnsi="Garamond" w:cs="NimbusRomNo9L-Regu"/>
          <w:lang w:val="en-GB" w:eastAsia="nl-NL"/>
        </w:rPr>
        <w:t xml:space="preserve"> shows signs of a more ambiguous issuer correlation effect as well. Although very similar in the 0.01 to 0.02 cumulative probability range, the stable period correlation specification and the credit crisis correlation specification do generate a differently shaped cumulative probability distribution in the complete range shown in the figure. The different distribution shapes basically imply that both specifications supply a different risk assessment and thus a correlation effect exists, even though the VaR-estimates from both model specifications were not all that different.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Lastly, it must be said that the use of issuer asset correlations implied by default rates seems unsuited for the purpose of the incremental risk model. There is a large probability that it will generate a substantial underestimation of the true migration and default risk in a credit portfolio. Essentially, such a low average level of issuer correlations will produce substantially lower VaR-estimates in almost every circumstance.</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The next point of interest is the effect of the conditionality in the correlation sets and the migration matrices. Basically, a stand-alone risk specification conditional to the credit crisis and an unconditional more general stand-alone risk specification are available. In addition, a correlation risk specification conditional to the credit crisis and a more general stable period correlation risk specification are available as well.</w:t>
      </w:r>
      <w:r w:rsidRPr="00802C03">
        <w:rPr>
          <w:rStyle w:val="FootnoteReference"/>
          <w:rFonts w:ascii="Garamond" w:hAnsi="Garamond" w:cs="NimbusRomNo9L-Regu"/>
          <w:lang w:val="en-GB" w:eastAsia="nl-NL"/>
        </w:rPr>
        <w:footnoteReference w:id="66"/>
      </w:r>
      <w:r w:rsidRPr="00802C03">
        <w:rPr>
          <w:rFonts w:ascii="Garamond" w:hAnsi="Garamond" w:cs="NimbusRomNo9L-Regu"/>
          <w:lang w:val="en-GB" w:eastAsia="nl-NL"/>
        </w:rPr>
        <w:t xml:space="preserve"> One could argue that the conditional credit migration matrix already effectively captures the clustering of defaults and downgrades by generating average migration probabilities from a period that can be seen as a default and downgrade cluster on itself. Furthermore, one could argue as well that the increased collective downgrade potential is already accounted for in the credit crisis correlations. Essentially, conditioning both risks on the credit crisis period will generate the same effect twice, resulting in an unwarranted double increase in the model’s risk measures. The basic implication of such reasoning is that only one of the inputs should be conditioned to the credit crisis to account for this market environment. In fact, if all estimates would display the true underlying values in terms of probabilities and asset correlations and if the relations between the credit quality levels of the individual issuers were indeed both stable and linear, it should not even matter which of the two inputs is conditioned to the credit crisis.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input estimates that were calibrated in </w:t>
      </w:r>
      <w:hyperlink w:anchor="C3_Part2" w:history="1">
        <w:r w:rsidRPr="00802C03">
          <w:rPr>
            <w:rStyle w:val="Hyperlink"/>
            <w:rFonts w:ascii="Garamond" w:hAnsi="Garamond" w:cs="NimbusRomNo9L-Regu"/>
            <w:color w:val="000066"/>
            <w:u w:val="none"/>
            <w:lang w:val="en-GB" w:eastAsia="nl-NL"/>
          </w:rPr>
          <w:t>Part II</w:t>
        </w:r>
      </w:hyperlink>
      <w:r w:rsidRPr="00802C03">
        <w:rPr>
          <w:rFonts w:ascii="Garamond" w:hAnsi="Garamond" w:cs="NimbusRomNo9L-Regu"/>
          <w:lang w:val="en-GB" w:eastAsia="nl-NL"/>
        </w:rPr>
        <w:t xml:space="preserve"> obviously do not display the true values. Nevertheless, a comparison can be made between the model estimation results of the two specifications, where only one of the two relevant inputs is conditioned to the credit crisis (panel A and panel E in </w:t>
      </w:r>
      <w:hyperlink w:anchor="T8" w:history="1">
        <w:r w:rsidRPr="00802C03">
          <w:rPr>
            <w:rStyle w:val="Hyperlink"/>
            <w:rFonts w:ascii="Garamond" w:hAnsi="Garamond" w:cs="NimbusRomNo9L-Regu"/>
            <w:color w:val="000066"/>
            <w:u w:val="none"/>
            <w:lang w:val="en-GB" w:eastAsia="nl-NL"/>
          </w:rPr>
          <w:t>table VIII</w:t>
        </w:r>
      </w:hyperlink>
      <w:r w:rsidRPr="00802C03">
        <w:rPr>
          <w:rFonts w:ascii="Garamond" w:hAnsi="Garamond" w:cs="NimbusRomNo9L-Regu"/>
          <w:lang w:val="en-GB" w:eastAsia="nl-NL"/>
        </w:rPr>
        <w:t xml:space="preserve">). Herein, the use of the conditional credit migration matrix clearly results in a significantly higher model implied risk than the use of conditional correlations. The conditional credit migration matrix does capture the actual default and downgrade cluster, whereas the conditional equity correlations attempt to reproduce such a cluster by introducing high (linear) correlations. Still, the fact remains that the equity correlations are nothing more than a proxy. The conditional equity correlations do, however, generate a default and downgrade cluster using issuer-specific information, while the conditional migration matrix employs higher downgrade and default probabilities that are based on averaging the whole US corporate issuer spectrum. The observed differences may therefore be explained by the fact that the conditional credit migration matrix approaches the problem in a too general form, but more importantly, the conditional equity correlation proxy in combination with the correlation structure of the model, may not fully capture the actual migration and default correlations.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The main conclusion here is that the decision, regarding which input must be conditioned to the current market environment (if any), can generate substantial differences in the VaR-estimates that are generated by the model. In addition, the results indicate that an increase in issuer correlations in a model that employs a relatively simple linear credit quality correlation structure, does not produce a default and downgrade cluster equivalent to what is observed in the spectrum of rated issuers. Basically, simple linear correlations are indeed not likely to fully capture the credit quality relations between issuers.</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last topic to be assessed with the use of </w:t>
      </w:r>
      <w:hyperlink w:anchor="T8" w:history="1">
        <w:r w:rsidRPr="00802C03">
          <w:rPr>
            <w:rStyle w:val="Hyperlink"/>
            <w:rFonts w:ascii="Garamond" w:hAnsi="Garamond" w:cs="NimbusRomNo9L-Regu"/>
            <w:color w:val="000066"/>
            <w:u w:val="none"/>
            <w:lang w:val="en-GB" w:eastAsia="nl-NL"/>
          </w:rPr>
          <w:t>table VIII</w:t>
        </w:r>
      </w:hyperlink>
      <w:r w:rsidRPr="00802C03">
        <w:rPr>
          <w:rFonts w:ascii="Garamond" w:hAnsi="Garamond" w:cs="NimbusRomNo9L-Regu"/>
          <w:lang w:val="en-GB" w:eastAsia="nl-NL"/>
        </w:rPr>
        <w:t xml:space="preserve"> is again the copula assumption. As can be seen in the table, each model specification is estimated under each of the three copula assumptions. Equivalent conclusions can be drawn as those presented in the previous section. In essence, the VaR-estimates increase with the tail dependence of the copula assumption (with the exemption of the 95% VaR-estimates for the long-short portfolio). Basically, this conclusion holds for all further model estimations and for all remaining model specifications that will be examined in this study.</w:t>
      </w:r>
    </w:p>
    <w:p w:rsidR="001C7C52" w:rsidRPr="00802C03" w:rsidRDefault="001C7C52" w:rsidP="0014068D">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A second correlation aspect still to be evaluated, is the effect of incorporating issuer autocorrelations into the model. Needless to say, the examination of the effect of autocorrelation in the issuer asset returns, and therefore to some extend the effect of rating drift, provides valuable information regarding the importance of the incorporating of the observed inefficiency in credit rating dynamics in the incremental risk model.</w:t>
      </w:r>
    </w:p>
    <w:p w:rsidR="001C7C52" w:rsidRPr="00802C03" w:rsidRDefault="001C7C52" w:rsidP="001F0514">
      <w:pPr>
        <w:spacing w:line="280" w:lineRule="exact"/>
        <w:jc w:val="both"/>
        <w:rPr>
          <w:rFonts w:ascii="Garamond" w:hAnsi="Garamond"/>
          <w:lang w:val="en-GB"/>
        </w:rPr>
      </w:pPr>
      <w:r>
        <w:rPr>
          <w:noProof/>
          <w:lang w:val="en-US"/>
        </w:rPr>
        <w:pict>
          <v:shape id="_x0000_s1117" type="#_x0000_t202" style="position:absolute;left:0;text-align:left;margin-left:-12.45pt;margin-top:89.9pt;width:505.1pt;height:319.5pt;z-index:251647488" stroked="f">
            <v:textbox style="mso-next-textbox:#_x0000_s1117">
              <w:txbxContent>
                <w:p w:rsidR="001C7C52" w:rsidRDefault="001C7C52"/>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798"/>
                    <w:gridCol w:w="799"/>
                    <w:gridCol w:w="799"/>
                    <w:gridCol w:w="799"/>
                    <w:gridCol w:w="799"/>
                    <w:gridCol w:w="799"/>
                    <w:gridCol w:w="799"/>
                    <w:gridCol w:w="799"/>
                    <w:gridCol w:w="799"/>
                    <w:gridCol w:w="799"/>
                    <w:gridCol w:w="799"/>
                  </w:tblGrid>
                  <w:tr w:rsidR="001C7C52" w:rsidRPr="000B0ADE" w:rsidTr="006611FB">
                    <w:tc>
                      <w:tcPr>
                        <w:tcW w:w="9639" w:type="dxa"/>
                        <w:gridSpan w:val="12"/>
                        <w:tcBorders>
                          <w:top w:val="nil"/>
                          <w:left w:val="nil"/>
                          <w:bottom w:val="single" w:sz="4" w:space="0" w:color="auto"/>
                          <w:right w:val="nil"/>
                        </w:tcBorders>
                        <w:vAlign w:val="center"/>
                      </w:tcPr>
                      <w:p w:rsidR="001C7C52" w:rsidRPr="00495433" w:rsidRDefault="001C7C52" w:rsidP="006611FB">
                        <w:pPr>
                          <w:spacing w:line="240" w:lineRule="auto"/>
                          <w:rPr>
                            <w:rFonts w:ascii="Garamond" w:hAnsi="Garamond"/>
                            <w:sz w:val="20"/>
                            <w:lang w:val="en-US"/>
                          </w:rPr>
                        </w:pPr>
                        <w:bookmarkStart w:id="76" w:name="T9"/>
                        <w:bookmarkEnd w:id="76"/>
                        <w:r w:rsidRPr="00495433">
                          <w:rPr>
                            <w:rFonts w:ascii="Garamond" w:hAnsi="Garamond"/>
                            <w:b/>
                            <w:lang w:val="en-US"/>
                          </w:rPr>
                          <w:t>T</w:t>
                        </w:r>
                        <w:r>
                          <w:rPr>
                            <w:rFonts w:ascii="Garamond" w:hAnsi="Garamond"/>
                            <w:b/>
                            <w:sz w:val="18"/>
                            <w:szCs w:val="18"/>
                            <w:lang w:val="en-US"/>
                          </w:rPr>
                          <w:t>AB</w:t>
                        </w:r>
                        <w:r w:rsidRPr="00495433">
                          <w:rPr>
                            <w:rFonts w:ascii="Garamond" w:hAnsi="Garamond"/>
                            <w:b/>
                            <w:sz w:val="18"/>
                            <w:szCs w:val="18"/>
                            <w:lang w:val="en-US"/>
                          </w:rPr>
                          <w:t>L</w:t>
                        </w:r>
                        <w:r>
                          <w:rPr>
                            <w:rFonts w:ascii="Garamond" w:hAnsi="Garamond"/>
                            <w:b/>
                            <w:sz w:val="18"/>
                            <w:szCs w:val="18"/>
                            <w:lang w:val="en-US"/>
                          </w:rPr>
                          <w:t>E</w:t>
                        </w:r>
                        <w:r>
                          <w:rPr>
                            <w:rFonts w:ascii="Garamond" w:hAnsi="Garamond"/>
                            <w:b/>
                            <w:lang w:val="en-US"/>
                          </w:rPr>
                          <w:t xml:space="preserve"> </w:t>
                        </w:r>
                        <w:r w:rsidRPr="005E2825">
                          <w:rPr>
                            <w:rFonts w:ascii="Garamond" w:hAnsi="Garamond"/>
                            <w:b/>
                            <w:color w:val="000000"/>
                            <w:lang w:val="en-US"/>
                          </w:rPr>
                          <w:t>IX</w:t>
                        </w:r>
                        <w:r>
                          <w:rPr>
                            <w:rFonts w:ascii="Garamond" w:hAnsi="Garamond"/>
                            <w:b/>
                            <w:color w:val="000000"/>
                            <w:lang w:val="en-US"/>
                          </w:rPr>
                          <w:t xml:space="preserve"> </w:t>
                        </w:r>
                        <w:r w:rsidRPr="007928F1">
                          <w:rPr>
                            <w:rFonts w:ascii="Garamond" w:hAnsi="Garamond"/>
                            <w:color w:val="000000"/>
                            <w:lang w:val="en-US"/>
                          </w:rPr>
                          <w:t>-</w:t>
                        </w:r>
                        <w:r>
                          <w:rPr>
                            <w:rFonts w:ascii="Garamond" w:hAnsi="Garamond"/>
                            <w:b/>
                            <w:color w:val="000000"/>
                            <w:lang w:val="en-US"/>
                          </w:rPr>
                          <w:t xml:space="preserve"> </w:t>
                        </w:r>
                        <w:r>
                          <w:rPr>
                            <w:rFonts w:ascii="Garamond" w:hAnsi="Garamond"/>
                            <w:sz w:val="20"/>
                            <w:lang w:val="en-US"/>
                          </w:rPr>
                          <w:t>Incremental Risk Model Estimates: Autocorrelations</w:t>
                        </w:r>
                      </w:p>
                    </w:tc>
                  </w:tr>
                  <w:tr w:rsidR="001C7C52" w:rsidRPr="00495433" w:rsidTr="006611FB">
                    <w:tc>
                      <w:tcPr>
                        <w:tcW w:w="851" w:type="dxa"/>
                        <w:tcBorders>
                          <w:top w:val="single" w:sz="4" w:space="0" w:color="auto"/>
                          <w:left w:val="nil"/>
                          <w:bottom w:val="nil"/>
                          <w:right w:val="nil"/>
                        </w:tcBorders>
                        <w:vAlign w:val="center"/>
                      </w:tcPr>
                      <w:p w:rsidR="001C7C52" w:rsidRPr="00495433" w:rsidRDefault="001C7C52" w:rsidP="006611FB">
                        <w:pPr>
                          <w:rPr>
                            <w:rFonts w:ascii="Garamond" w:hAnsi="Garamond"/>
                            <w:sz w:val="20"/>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6611FB">
                        <w:pPr>
                          <w:rPr>
                            <w:rFonts w:ascii="Garamond" w:hAnsi="Garamond"/>
                            <w:i/>
                            <w:sz w:val="20"/>
                            <w:lang w:val="en-US"/>
                          </w:rPr>
                        </w:pPr>
                        <w:r w:rsidRPr="005A7F06">
                          <w:rPr>
                            <w:rFonts w:ascii="Garamond" w:hAnsi="Garamond"/>
                            <w:i/>
                            <w:sz w:val="20"/>
                            <w:lang w:val="en-US"/>
                          </w:rPr>
                          <w:t xml:space="preserve">A. </w:t>
                        </w:r>
                        <w:r>
                          <w:rPr>
                            <w:rFonts w:ascii="Garamond" w:hAnsi="Garamond"/>
                            <w:i/>
                            <w:sz w:val="20"/>
                            <w:lang w:val="en-US"/>
                          </w:rPr>
                          <w:t>Equity autocorrelations</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nil"/>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$1.018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15.42%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14.96%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16.04%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7.00%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6.86%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7.14%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1.60%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1.54%</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1.66%</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$2.013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30.50%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29.22%</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31.88%</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12.46%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12.20%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12.81%</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2.48%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2.39%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2.57%</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22.35%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21.62%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23.36%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9.43%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9.22%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9.66%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2.04%</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1.98%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2.11%</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$0.548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24.65%</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24.01%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25.75%</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12.63%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12.41%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12.84%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5.12%</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5.05%</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5.21%</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$0.929</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41.74%</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40.36%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43.13%</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17.28%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16.88%</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17.67%</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5.07%</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4.96%</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5.19%</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$0.713</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32.05%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31.18%</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33.06%</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14.41%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15.01%</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5.26%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5.16%</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5.36%</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6611FB">
                        <w:pPr>
                          <w:rPr>
                            <w:rFonts w:ascii="Garamond" w:hAnsi="Garamond"/>
                            <w:i/>
                            <w:sz w:val="18"/>
                            <w:szCs w:val="18"/>
                            <w:lang w:val="en-US"/>
                          </w:rPr>
                        </w:pPr>
                        <w:r w:rsidRPr="005A7F06">
                          <w:rPr>
                            <w:rFonts w:ascii="Garamond" w:hAnsi="Garamond"/>
                            <w:i/>
                            <w:sz w:val="20"/>
                            <w:lang w:val="en-US"/>
                          </w:rPr>
                          <w:t xml:space="preserve">B. </w:t>
                        </w:r>
                        <w:r>
                          <w:rPr>
                            <w:rFonts w:ascii="Garamond" w:hAnsi="Garamond"/>
                            <w:i/>
                            <w:sz w:val="20"/>
                            <w:lang w:val="en-US"/>
                          </w:rPr>
                          <w:t>No autocorrelation</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6611FB">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6611FB">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6611FB">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$0.937</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14.19%</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13.80%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14.84%</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6.33%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6.18%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6.48%</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1.45%</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1.40%</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1.50%</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$1.952</w:t>
                        </w:r>
                      </w:p>
                    </w:tc>
                    <w:tc>
                      <w:tcPr>
                        <w:tcW w:w="799" w:type="dxa"/>
                        <w:tcBorders>
                          <w:top w:val="nil"/>
                          <w:left w:val="nil"/>
                          <w:bottom w:val="nil"/>
                          <w:right w:val="nil"/>
                        </w:tcBorders>
                        <w:vAlign w:val="center"/>
                      </w:tcPr>
                      <w:p w:rsidR="001C7C52" w:rsidRPr="00C1099E" w:rsidRDefault="001C7C52" w:rsidP="006611FB">
                        <w:pPr>
                          <w:jc w:val="center"/>
                          <w:rPr>
                            <w:rFonts w:ascii="Garamond" w:hAnsi="Garamond"/>
                            <w:b/>
                            <w:sz w:val="18"/>
                            <w:szCs w:val="18"/>
                            <w:lang w:val="en-US"/>
                          </w:rPr>
                        </w:pPr>
                        <w:r w:rsidRPr="00C1099E">
                          <w:rPr>
                            <w:rFonts w:ascii="Garamond" w:hAnsi="Garamond"/>
                            <w:b/>
                            <w:sz w:val="18"/>
                            <w:szCs w:val="18"/>
                            <w:lang w:val="en-US"/>
                          </w:rPr>
                          <w:t>29.58%</w:t>
                        </w:r>
                      </w:p>
                    </w:tc>
                    <w:tc>
                      <w:tcPr>
                        <w:tcW w:w="799" w:type="dxa"/>
                        <w:tcBorders>
                          <w:top w:val="nil"/>
                          <w:left w:val="nil"/>
                          <w:bottom w:val="nil"/>
                          <w:right w:val="nil"/>
                        </w:tcBorders>
                        <w:vAlign w:val="center"/>
                      </w:tcPr>
                      <w:p w:rsidR="001C7C52" w:rsidRPr="00C1099E" w:rsidRDefault="001C7C52" w:rsidP="006611FB">
                        <w:pPr>
                          <w:jc w:val="center"/>
                          <w:rPr>
                            <w:rFonts w:ascii="Garamond" w:hAnsi="Garamond"/>
                            <w:sz w:val="18"/>
                            <w:szCs w:val="18"/>
                            <w:lang w:val="en-US"/>
                          </w:rPr>
                        </w:pPr>
                        <w:r w:rsidRPr="00C1099E">
                          <w:rPr>
                            <w:rFonts w:ascii="Garamond" w:hAnsi="Garamond"/>
                            <w:sz w:val="18"/>
                            <w:szCs w:val="18"/>
                            <w:lang w:val="en-US"/>
                          </w:rPr>
                          <w:t>28.45%</w:t>
                        </w:r>
                      </w:p>
                    </w:tc>
                    <w:tc>
                      <w:tcPr>
                        <w:tcW w:w="799" w:type="dxa"/>
                        <w:tcBorders>
                          <w:top w:val="nil"/>
                          <w:left w:val="nil"/>
                          <w:bottom w:val="nil"/>
                          <w:right w:val="nil"/>
                        </w:tcBorders>
                        <w:vAlign w:val="center"/>
                      </w:tcPr>
                      <w:p w:rsidR="001C7C52" w:rsidRPr="00C1099E" w:rsidRDefault="001C7C52" w:rsidP="006611FB">
                        <w:pPr>
                          <w:jc w:val="center"/>
                          <w:rPr>
                            <w:rFonts w:ascii="Garamond" w:hAnsi="Garamond"/>
                            <w:sz w:val="18"/>
                            <w:szCs w:val="18"/>
                            <w:lang w:val="en-US"/>
                          </w:rPr>
                        </w:pPr>
                        <w:r w:rsidRPr="00C1099E">
                          <w:rPr>
                            <w:rFonts w:ascii="Garamond" w:hAnsi="Garamond"/>
                            <w:sz w:val="18"/>
                            <w:szCs w:val="18"/>
                            <w:lang w:val="en-US"/>
                          </w:rPr>
                          <w:t>30.85%</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10.90%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10.60%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11.22%</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2.12%</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2.03%</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2.21%</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$1.442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21.85%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21.14%</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22.79%</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8.95%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8.71%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9.12%</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1.84%</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1.77%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1.91%</w:t>
                        </w:r>
                      </w:p>
                    </w:tc>
                  </w:tr>
                  <w:tr w:rsidR="001C7C52" w:rsidRPr="00495433" w:rsidTr="006611FB">
                    <w:tc>
                      <w:tcPr>
                        <w:tcW w:w="851" w:type="dxa"/>
                        <w:tcBorders>
                          <w:top w:val="single" w:sz="4" w:space="0" w:color="auto"/>
                          <w:left w:val="nil"/>
                          <w:bottom w:val="nil"/>
                          <w:right w:val="nil"/>
                        </w:tcBorders>
                        <w:vAlign w:val="center"/>
                      </w:tcPr>
                      <w:p w:rsidR="001C7C52" w:rsidRPr="006A2342" w:rsidRDefault="001C7C52" w:rsidP="006611FB">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$0.518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23.26%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22.68%</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23.86%</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11.76%</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11.51%</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11.97%</w:t>
                        </w:r>
                      </w:p>
                    </w:tc>
                    <w:tc>
                      <w:tcPr>
                        <w:tcW w:w="799" w:type="dxa"/>
                        <w:tcBorders>
                          <w:top w:val="single" w:sz="4" w:space="0" w:color="auto"/>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5.03%</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4.95%</w:t>
                        </w:r>
                      </w:p>
                    </w:tc>
                    <w:tc>
                      <w:tcPr>
                        <w:tcW w:w="799" w:type="dxa"/>
                        <w:tcBorders>
                          <w:top w:val="single" w:sz="4" w:space="0" w:color="auto"/>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5.09%</w:t>
                        </w:r>
                      </w:p>
                    </w:tc>
                  </w:tr>
                  <w:tr w:rsidR="001C7C52" w:rsidRPr="00495433" w:rsidTr="006611FB">
                    <w:tc>
                      <w:tcPr>
                        <w:tcW w:w="851" w:type="dxa"/>
                        <w:tcBorders>
                          <w:top w:val="nil"/>
                          <w:left w:val="nil"/>
                          <w:bottom w:val="nil"/>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$0.854</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38.40%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36.91%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40.33%</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16.02%</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15.67%</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16.38%</w:t>
                        </w:r>
                      </w:p>
                    </w:tc>
                    <w:tc>
                      <w:tcPr>
                        <w:tcW w:w="799" w:type="dxa"/>
                        <w:tcBorders>
                          <w:top w:val="nil"/>
                          <w:left w:val="nil"/>
                          <w:bottom w:val="nil"/>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4.91%</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4.80%</w:t>
                        </w:r>
                      </w:p>
                    </w:tc>
                    <w:tc>
                      <w:tcPr>
                        <w:tcW w:w="799" w:type="dxa"/>
                        <w:tcBorders>
                          <w:top w:val="nil"/>
                          <w:left w:val="nil"/>
                          <w:bottom w:val="nil"/>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5.03%</w:t>
                        </w:r>
                      </w:p>
                    </w:tc>
                  </w:tr>
                  <w:tr w:rsidR="001C7C52" w:rsidRPr="00495433" w:rsidTr="006611FB">
                    <w:tc>
                      <w:tcPr>
                        <w:tcW w:w="851" w:type="dxa"/>
                        <w:tcBorders>
                          <w:top w:val="nil"/>
                          <w:left w:val="nil"/>
                          <w:bottom w:val="single" w:sz="4" w:space="0" w:color="auto"/>
                          <w:right w:val="nil"/>
                        </w:tcBorders>
                        <w:vAlign w:val="center"/>
                      </w:tcPr>
                      <w:p w:rsidR="001C7C52" w:rsidRPr="006A2342" w:rsidRDefault="001C7C52" w:rsidP="006611FB">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$0.695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b/>
                            <w:sz w:val="18"/>
                            <w:szCs w:val="18"/>
                            <w:lang w:val="en-US"/>
                          </w:rPr>
                        </w:pPr>
                        <w:r>
                          <w:rPr>
                            <w:rFonts w:ascii="Garamond" w:hAnsi="Garamond"/>
                            <w:b/>
                            <w:sz w:val="18"/>
                            <w:szCs w:val="18"/>
                            <w:lang w:val="en-US"/>
                          </w:rPr>
                          <w:t>31.25%</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29.71%</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32.42%</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13.97%</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13.70%</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14.22%</w:t>
                        </w:r>
                      </w:p>
                    </w:tc>
                    <w:tc>
                      <w:tcPr>
                        <w:tcW w:w="799" w:type="dxa"/>
                        <w:tcBorders>
                          <w:top w:val="nil"/>
                          <w:left w:val="nil"/>
                          <w:bottom w:val="single" w:sz="4" w:space="0" w:color="auto"/>
                          <w:right w:val="nil"/>
                        </w:tcBorders>
                        <w:vAlign w:val="center"/>
                      </w:tcPr>
                      <w:p w:rsidR="001C7C52" w:rsidRPr="002A400E" w:rsidRDefault="001C7C52" w:rsidP="006611FB">
                        <w:pPr>
                          <w:jc w:val="center"/>
                          <w:rPr>
                            <w:rFonts w:ascii="Garamond" w:hAnsi="Garamond"/>
                            <w:b/>
                            <w:sz w:val="18"/>
                            <w:szCs w:val="18"/>
                            <w:lang w:val="en-US"/>
                          </w:rPr>
                        </w:pPr>
                        <w:r>
                          <w:rPr>
                            <w:rFonts w:ascii="Garamond" w:hAnsi="Garamond"/>
                            <w:b/>
                            <w:sz w:val="18"/>
                            <w:szCs w:val="18"/>
                            <w:lang w:val="en-US"/>
                          </w:rPr>
                          <w:t>5.12%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5.02%</w:t>
                        </w:r>
                      </w:p>
                    </w:tc>
                    <w:tc>
                      <w:tcPr>
                        <w:tcW w:w="799" w:type="dxa"/>
                        <w:tcBorders>
                          <w:top w:val="nil"/>
                          <w:left w:val="nil"/>
                          <w:bottom w:val="single" w:sz="4" w:space="0" w:color="auto"/>
                          <w:right w:val="nil"/>
                        </w:tcBorders>
                        <w:vAlign w:val="center"/>
                      </w:tcPr>
                      <w:p w:rsidR="001C7C52" w:rsidRPr="006A2342" w:rsidRDefault="001C7C52" w:rsidP="006611FB">
                        <w:pPr>
                          <w:jc w:val="center"/>
                          <w:rPr>
                            <w:rFonts w:ascii="Garamond" w:hAnsi="Garamond"/>
                            <w:sz w:val="18"/>
                            <w:szCs w:val="18"/>
                            <w:lang w:val="en-US"/>
                          </w:rPr>
                        </w:pPr>
                        <w:r>
                          <w:rPr>
                            <w:rFonts w:ascii="Garamond" w:hAnsi="Garamond"/>
                            <w:sz w:val="18"/>
                            <w:szCs w:val="18"/>
                            <w:lang w:val="en-US"/>
                          </w:rPr>
                          <w:t>5.20%</w:t>
                        </w:r>
                      </w:p>
                    </w:tc>
                  </w:tr>
                  <w:tr w:rsidR="001C7C52" w:rsidRPr="00D11D98" w:rsidTr="006611FB">
                    <w:tc>
                      <w:tcPr>
                        <w:tcW w:w="9639" w:type="dxa"/>
                        <w:gridSpan w:val="12"/>
                        <w:tcBorders>
                          <w:top w:val="single" w:sz="4" w:space="0" w:color="auto"/>
                          <w:left w:val="nil"/>
                          <w:bottom w:val="nil"/>
                          <w:right w:val="nil"/>
                        </w:tcBorders>
                        <w:vAlign w:val="center"/>
                      </w:tcPr>
                      <w:p w:rsidR="001C7C52" w:rsidRPr="00B4632D" w:rsidRDefault="001C7C52" w:rsidP="00F246F2">
                        <w:pPr>
                          <w:spacing w:after="40" w:line="180" w:lineRule="exact"/>
                          <w:jc w:val="both"/>
                          <w:rPr>
                            <w:rFonts w:ascii="Garamond" w:hAnsi="Garamond"/>
                            <w:sz w:val="16"/>
                            <w:szCs w:val="16"/>
                            <w:lang w:val="en-US"/>
                          </w:rPr>
                        </w:pPr>
                        <w:r w:rsidRPr="00B4632D">
                          <w:rPr>
                            <w:rFonts w:ascii="Garamond" w:hAnsi="Garamond"/>
                            <w:sz w:val="16"/>
                            <w:szCs w:val="16"/>
                            <w:lang w:val="en-US"/>
                          </w:rPr>
                          <w:t xml:space="preserve">* The 99.9% VaR values are reported in millions. All estimates are based on the duration migration matrix and credit crisis period equity correlations. The applied liquidity horizons are the standard liquidity horizons. Portfolio L is the long only portfolio and Portfolio LS is the long short portfolio. Copula N is the Normal or Gaussian copula and copulas </w:t>
                        </w:r>
                        <w:r w:rsidRPr="00B4632D">
                          <w:rPr>
                            <w:rFonts w:ascii="Garamond" w:hAnsi="Garamond"/>
                            <w:i/>
                            <w:sz w:val="16"/>
                            <w:szCs w:val="16"/>
                            <w:lang w:val="en-US"/>
                          </w:rPr>
                          <w:t>t</w:t>
                        </w:r>
                        <w:r w:rsidRPr="00B4632D">
                          <w:rPr>
                            <w:rFonts w:ascii="Garamond" w:hAnsi="Garamond"/>
                            <w:sz w:val="16"/>
                            <w:szCs w:val="16"/>
                            <w:lang w:val="en-US"/>
                          </w:rPr>
                          <w:t xml:space="preserve">-5 and </w:t>
                        </w:r>
                        <w:r w:rsidRPr="00B4632D">
                          <w:rPr>
                            <w:rFonts w:ascii="Garamond" w:hAnsi="Garamond"/>
                            <w:i/>
                            <w:sz w:val="16"/>
                            <w:szCs w:val="16"/>
                            <w:lang w:val="en-US"/>
                          </w:rPr>
                          <w:t>t</w:t>
                        </w:r>
                        <w:r w:rsidRPr="00B4632D">
                          <w:rPr>
                            <w:rFonts w:ascii="Garamond" w:hAnsi="Garamond"/>
                            <w:sz w:val="16"/>
                            <w:szCs w:val="16"/>
                            <w:lang w:val="en-US"/>
                          </w:rPr>
                          <w:t xml:space="preserve">-15 are the </w:t>
                        </w:r>
                        <w:r w:rsidRPr="00B4632D">
                          <w:rPr>
                            <w:rFonts w:ascii="Garamond" w:hAnsi="Garamond"/>
                            <w:i/>
                            <w:sz w:val="16"/>
                            <w:szCs w:val="16"/>
                            <w:lang w:val="en-US"/>
                          </w:rPr>
                          <w:t>t</w:t>
                        </w:r>
                        <w:r w:rsidRPr="00B4632D">
                          <w:rPr>
                            <w:rFonts w:ascii="Garamond" w:hAnsi="Garamond"/>
                            <w:sz w:val="16"/>
                            <w:szCs w:val="16"/>
                            <w:lang w:val="en-US"/>
                          </w:rPr>
                          <w:t xml:space="preserve">-Student copulas with underlying Student </w:t>
                        </w:r>
                        <w:r w:rsidRPr="00B4632D">
                          <w:rPr>
                            <w:rFonts w:ascii="Garamond" w:hAnsi="Garamond"/>
                            <w:i/>
                            <w:sz w:val="16"/>
                            <w:szCs w:val="16"/>
                            <w:lang w:val="en-US"/>
                          </w:rPr>
                          <w:t>t</w:t>
                        </w:r>
                        <w:r w:rsidRPr="00B4632D">
                          <w:rPr>
                            <w:rFonts w:ascii="Garamond" w:hAnsi="Garamond"/>
                            <w:sz w:val="16"/>
                            <w:szCs w:val="16"/>
                            <w:lang w:val="en-US"/>
                          </w:rPr>
                          <w:t>-distributions with 5 and 15 degrees of freedom, respectively. The estimates reported in percentages are relative to the initial portfolio exposure, whi</w:t>
                        </w:r>
                        <w:r>
                          <w:rPr>
                            <w:rFonts w:ascii="Garamond" w:hAnsi="Garamond"/>
                            <w:sz w:val="16"/>
                            <w:szCs w:val="16"/>
                            <w:lang w:val="en-US"/>
                          </w:rPr>
                          <w:t>ch is $6.6 million for the long-</w:t>
                        </w:r>
                        <w:r w:rsidRPr="00B4632D">
                          <w:rPr>
                            <w:rFonts w:ascii="Garamond" w:hAnsi="Garamond"/>
                            <w:sz w:val="16"/>
                            <w:szCs w:val="16"/>
                            <w:lang w:val="en-US"/>
                          </w:rPr>
                          <w:t xml:space="preserve">only portfolio and $2.225 million for the long-short portfolio. The upper bound and lower bound represent the 95% confidence interval around the VaR % estimate presented left of them. All estimates are based on 200,000 simulations. </w:t>
                        </w:r>
                      </w:p>
                    </w:tc>
                  </w:tr>
                </w:tbl>
                <w:p w:rsidR="001C7C52" w:rsidRPr="006C0FC6" w:rsidRDefault="001C7C52" w:rsidP="006611FB"/>
              </w:txbxContent>
            </v:textbox>
            <w10:wrap type="square"/>
          </v:shape>
        </w:pict>
      </w:r>
      <w:hyperlink w:anchor="T9" w:history="1">
        <w:r w:rsidRPr="00802C03">
          <w:rPr>
            <w:rStyle w:val="Hyperlink"/>
            <w:rFonts w:ascii="Garamond" w:hAnsi="Garamond" w:cs="NimbusRomNo9L-Regu"/>
            <w:color w:val="000066"/>
            <w:u w:val="none"/>
            <w:lang w:val="en-GB" w:eastAsia="nl-NL"/>
          </w:rPr>
          <w:t>Table IX</w:t>
        </w:r>
      </w:hyperlink>
      <w:r w:rsidRPr="00802C03">
        <w:rPr>
          <w:rFonts w:ascii="Garamond" w:hAnsi="Garamond" w:cs="NimbusRomNo9L-Regu"/>
          <w:lang w:val="en-GB" w:eastAsia="nl-NL"/>
        </w:rPr>
        <w:t xml:space="preserve"> displays the generated VaR-estimates of the model with autocorrelations (panel A) and the exact same model without the incorporation of autocorrelations (panel B). The autocorrelations that are employed in the computation the VaR-estimates in panel A are the equity autocorrelations based on both the stable period and the credit crisis period. The </w:t>
      </w:r>
      <w:r w:rsidRPr="00802C03">
        <w:rPr>
          <w:rFonts w:ascii="Garamond" w:hAnsi="Garamond"/>
          <w:lang w:val="en-GB"/>
        </w:rPr>
        <w:t xml:space="preserve">models are estimated using the long-only and the long-short portfolio (L and LS), and once more all three copula assumptions are separately applied and presented (N, </w:t>
      </w:r>
      <w:r w:rsidRPr="00802C03">
        <w:rPr>
          <w:rFonts w:ascii="Garamond" w:hAnsi="Garamond"/>
          <w:i/>
          <w:lang w:val="en-GB"/>
        </w:rPr>
        <w:t>t</w:t>
      </w:r>
      <w:r w:rsidRPr="00802C03">
        <w:rPr>
          <w:rFonts w:ascii="Garamond" w:hAnsi="Garamond"/>
          <w:lang w:val="en-GB"/>
        </w:rPr>
        <w:t xml:space="preserve">-5 and </w:t>
      </w:r>
      <w:r w:rsidRPr="00802C03">
        <w:rPr>
          <w:rFonts w:ascii="Garamond" w:hAnsi="Garamond"/>
          <w:i/>
          <w:lang w:val="en-GB"/>
        </w:rPr>
        <w:t>t</w:t>
      </w:r>
      <w:r w:rsidRPr="00802C03">
        <w:rPr>
          <w:rFonts w:ascii="Garamond" w:hAnsi="Garamond"/>
          <w:lang w:val="en-GB"/>
        </w:rPr>
        <w:t xml:space="preserve">-15). The remaining utilized inputs in the model estimations are those of the general model specification. </w:t>
      </w:r>
    </w:p>
    <w:p w:rsidR="001C7C52" w:rsidRPr="00802C03" w:rsidRDefault="001C7C52" w:rsidP="001F0514">
      <w:pPr>
        <w:spacing w:line="280" w:lineRule="exact"/>
        <w:jc w:val="both"/>
        <w:rPr>
          <w:rFonts w:ascii="Garamond" w:hAnsi="Garamond" w:cs="NimbusRomNo9L-Regu"/>
          <w:lang w:val="en-GB" w:eastAsia="nl-NL"/>
        </w:rPr>
      </w:pPr>
      <w:r>
        <w:rPr>
          <w:noProof/>
          <w:lang w:val="en-US"/>
        </w:rPr>
        <w:pict>
          <v:shape id="_x0000_s1118" type="#_x0000_t202" style="position:absolute;left:0;text-align:left;margin-left:-6.8pt;margin-top:-2.05pt;width:488.55pt;height:220.05pt;z-index:251648512" stroked="f">
            <v:textbox style="mso-next-textbox:#_x0000_s1118">
              <w:txbxContent>
                <w:tbl>
                  <w:tblPr>
                    <w:tblW w:w="9606" w:type="dxa"/>
                    <w:tblBorders>
                      <w:bottom w:val="single" w:sz="4" w:space="0" w:color="auto"/>
                    </w:tblBorders>
                    <w:tblLook w:val="00A0"/>
                  </w:tblPr>
                  <w:tblGrid>
                    <w:gridCol w:w="9606"/>
                  </w:tblGrid>
                  <w:tr w:rsidR="001C7C52" w:rsidRPr="000B0ADE" w:rsidTr="002E2E49">
                    <w:tc>
                      <w:tcPr>
                        <w:tcW w:w="9606" w:type="dxa"/>
                        <w:tcBorders>
                          <w:bottom w:val="single" w:sz="4" w:space="0" w:color="auto"/>
                        </w:tcBorders>
                        <w:vAlign w:val="center"/>
                      </w:tcPr>
                      <w:p w:rsidR="001C7C52" w:rsidRPr="002E2E49" w:rsidRDefault="001C7C52" w:rsidP="002E2E49">
                        <w:pPr>
                          <w:spacing w:line="240" w:lineRule="auto"/>
                          <w:rPr>
                            <w:rFonts w:ascii="Garamond" w:hAnsi="Garamond"/>
                            <w:sz w:val="20"/>
                            <w:lang w:val="en-US"/>
                          </w:rPr>
                        </w:pPr>
                        <w:bookmarkStart w:id="77" w:name="F8"/>
                        <w:bookmarkEnd w:id="77"/>
                        <w:r w:rsidRPr="002E2E49">
                          <w:rPr>
                            <w:rFonts w:ascii="Garamond" w:hAnsi="Garamond"/>
                            <w:b/>
                            <w:color w:val="000000"/>
                            <w:lang w:val="en-US"/>
                          </w:rPr>
                          <w:t>F</w:t>
                        </w:r>
                        <w:r w:rsidRPr="002E2E49">
                          <w:rPr>
                            <w:rFonts w:ascii="Garamond" w:hAnsi="Garamond"/>
                            <w:b/>
                            <w:color w:val="000000"/>
                            <w:sz w:val="18"/>
                            <w:szCs w:val="18"/>
                            <w:lang w:val="en-US"/>
                          </w:rPr>
                          <w:t>IGURE</w:t>
                        </w:r>
                        <w:r w:rsidRPr="002E2E49">
                          <w:rPr>
                            <w:rFonts w:ascii="Garamond" w:hAnsi="Garamond"/>
                            <w:b/>
                            <w:color w:val="000000"/>
                            <w:lang w:val="en-US"/>
                          </w:rPr>
                          <w:t xml:space="preserve"> VIII </w:t>
                        </w:r>
                        <w:r w:rsidRPr="002E2E49">
                          <w:rPr>
                            <w:rFonts w:ascii="Garamond" w:hAnsi="Garamond"/>
                            <w:color w:val="000000"/>
                            <w:lang w:val="en-US"/>
                          </w:rPr>
                          <w:t>-</w:t>
                        </w:r>
                        <w:r w:rsidRPr="002E2E49">
                          <w:rPr>
                            <w:rFonts w:ascii="Garamond" w:hAnsi="Garamond"/>
                            <w:b/>
                            <w:color w:val="000000"/>
                            <w:lang w:val="en-US"/>
                          </w:rPr>
                          <w:t xml:space="preserve"> </w:t>
                        </w:r>
                        <w:r w:rsidRPr="002E2E49">
                          <w:rPr>
                            <w:rFonts w:ascii="Garamond" w:hAnsi="Garamond"/>
                            <w:sz w:val="20"/>
                            <w:lang w:val="en-US"/>
                          </w:rPr>
                          <w:t>Cumulative Portfolio Return Probability Distribution: Autocorrelation Comparison</w:t>
                        </w:r>
                      </w:p>
                    </w:tc>
                  </w:tr>
                  <w:tr w:rsidR="001C7C52" w:rsidRPr="000B0ADE" w:rsidTr="002E2E49">
                    <w:trPr>
                      <w:trHeight w:val="113"/>
                    </w:trPr>
                    <w:tc>
                      <w:tcPr>
                        <w:tcW w:w="9606" w:type="dxa"/>
                        <w:tcBorders>
                          <w:top w:val="single" w:sz="4" w:space="0" w:color="auto"/>
                          <w:bottom w:val="nil"/>
                        </w:tcBorders>
                        <w:vAlign w:val="center"/>
                      </w:tcPr>
                      <w:p w:rsidR="001C7C52" w:rsidRPr="002E2E49" w:rsidRDefault="001C7C52" w:rsidP="002E2E49">
                        <w:pPr>
                          <w:spacing w:line="40" w:lineRule="exact"/>
                          <w:rPr>
                            <w:rFonts w:ascii="Garamond" w:hAnsi="Garamond"/>
                            <w:sz w:val="20"/>
                            <w:lang w:val="en-US"/>
                          </w:rPr>
                        </w:pPr>
                      </w:p>
                    </w:tc>
                  </w:tr>
                </w:tbl>
                <w:p w:rsidR="001C7C52" w:rsidRDefault="001C7C52" w:rsidP="00641BAF">
                  <w:pPr>
                    <w:rPr>
                      <w:lang w:val="en-US"/>
                    </w:rPr>
                  </w:pPr>
                  <w:r w:rsidRPr="002E2E49">
                    <w:rPr>
                      <w:noProof/>
                      <w:lang w:val="en-US"/>
                    </w:rPr>
                    <w:pict>
                      <v:shape id="_x0000_i1798" type="#_x0000_t75" style="width:479.25pt;height:149.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">
                        <v:imagedata r:id="rId1425" o:title="" croptop="-5036f" cropbottom="-2052f" cropleft="-349f" cropright="-3915f"/>
                        <o:lock v:ext="edit" aspectratio="f"/>
                      </v:shape>
                    </w:pic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606"/>
                  </w:tblGrid>
                  <w:tr w:rsidR="001C7C52" w:rsidTr="002E2E49">
                    <w:tc>
                      <w:tcPr>
                        <w:tcW w:w="9606" w:type="dxa"/>
                        <w:tcBorders>
                          <w:top w:val="nil"/>
                          <w:left w:val="nil"/>
                          <w:bottom w:val="single" w:sz="4" w:space="0" w:color="auto"/>
                          <w:right w:val="nil"/>
                        </w:tcBorders>
                      </w:tcPr>
                      <w:p w:rsidR="001C7C52" w:rsidRPr="002E2E49" w:rsidRDefault="001C7C52" w:rsidP="002E2E49">
                        <w:pPr>
                          <w:overflowPunct/>
                          <w:autoSpaceDE/>
                          <w:autoSpaceDN/>
                          <w:adjustRightInd/>
                          <w:spacing w:line="60" w:lineRule="exact"/>
                          <w:textAlignment w:val="auto"/>
                          <w:rPr>
                            <w:lang w:val="en-US"/>
                          </w:rPr>
                        </w:pPr>
                      </w:p>
                    </w:tc>
                  </w:tr>
                  <w:tr w:rsidR="001C7C52" w:rsidRPr="000B0ADE" w:rsidTr="002E2E49">
                    <w:tc>
                      <w:tcPr>
                        <w:tcW w:w="9606" w:type="dxa"/>
                        <w:tcBorders>
                          <w:top w:val="single" w:sz="4" w:space="0" w:color="auto"/>
                          <w:left w:val="nil"/>
                          <w:bottom w:val="nil"/>
                          <w:right w:val="nil"/>
                        </w:tcBorders>
                      </w:tcPr>
                      <w:p w:rsidR="001C7C52" w:rsidRPr="002E2E49" w:rsidRDefault="001C7C52" w:rsidP="002E2E49">
                        <w:pPr>
                          <w:overflowPunct/>
                          <w:autoSpaceDE/>
                          <w:autoSpaceDN/>
                          <w:adjustRightInd/>
                          <w:spacing w:after="40" w:line="180" w:lineRule="exact"/>
                          <w:jc w:val="both"/>
                          <w:textAlignment w:val="auto"/>
                          <w:rPr>
                            <w:lang w:val="en-US"/>
                          </w:rPr>
                        </w:pPr>
                        <w:r w:rsidRPr="002E2E49">
                          <w:rPr>
                            <w:rFonts w:ascii="Garamond" w:hAnsi="Garamond"/>
                            <w:sz w:val="16"/>
                            <w:szCs w:val="16"/>
                            <w:lang w:val="en-US"/>
                          </w:rPr>
                          <w:t xml:space="preserve">The remaining utilized model specifications are the Gaussian copula assumption, the unconditional duration migration matrix, the credit crisis period equity correlations </w:t>
                        </w:r>
                        <w:r w:rsidRPr="002E2E49">
                          <w:rPr>
                            <w:rFonts w:ascii="Garamond" w:hAnsi="Garamond" w:cs="NimbusRomNo9L-Regu"/>
                            <w:sz w:val="16"/>
                            <w:szCs w:val="16"/>
                            <w:lang w:val="en-US" w:eastAsia="nl-NL"/>
                          </w:rPr>
                          <w:t>and the standard liquidity horizons. The estimated distributions concern the results for the long-short portfolio.</w:t>
                        </w:r>
                      </w:p>
                    </w:tc>
                  </w:tr>
                </w:tbl>
                <w:p w:rsidR="001C7C52" w:rsidRPr="00AC31E3" w:rsidRDefault="001C7C52" w:rsidP="00641BAF">
                  <w:pPr>
                    <w:rPr>
                      <w:lang w:val="en-US"/>
                    </w:rPr>
                  </w:pPr>
                </w:p>
              </w:txbxContent>
            </v:textbox>
            <w10:wrap type="square"/>
          </v:shape>
        </w:pict>
      </w:r>
      <w:r w:rsidRPr="00802C03">
        <w:rPr>
          <w:rFonts w:ascii="Garamond" w:hAnsi="Garamond" w:cs="NimbusRomNo9L-Regu"/>
          <w:lang w:val="en-GB" w:eastAsia="nl-NL"/>
        </w:rPr>
        <w:t xml:space="preserve">In the comparison between the VaR-estimates in panel A and panel B (for all VaR confidence intervals), it is clearly visible that the incorporation of autocorrelation in the proposed incremental risk model results in slightly higher VaR-estimates for all the separate model specifications in the table. The differences are significant about half of the times, but the effect is incredibly consistent. Recall that the average autocorrelation coefficient was 0.04, with a maximum of 0.33 and a minimum of -0.33. The average is positive, but remarkably low as well. The positive nature of the average autocorrelation coefficients explains why the VaR-estimates all have increased as a result of the incorporation of autocorrelation. In essence, positive autocorrelation ensures that when the simulation of a single-period in the multi-period model produces a relatively poor scenario, the subsequent period is more likely to result in a poor scenario as well. Note, however, that this effect also occurs for the short positions, reducing the increase in the VaR-estimates. Consequently, the increase in the VaR-estimates due to the incorporation of autocorrelation is relatively smaller in the long-short portfolio. </w:t>
      </w:r>
      <w:hyperlink w:anchor="F8" w:history="1">
        <w:r w:rsidRPr="00802C03">
          <w:rPr>
            <w:rStyle w:val="Hyperlink"/>
            <w:rFonts w:ascii="Garamond" w:hAnsi="Garamond" w:cs="NimbusRomNo9L-Regu"/>
            <w:color w:val="000066"/>
            <w:u w:val="none"/>
            <w:lang w:val="en-GB" w:eastAsia="nl-NL"/>
          </w:rPr>
          <w:t>Figure VIII</w:t>
        </w:r>
      </w:hyperlink>
      <w:r w:rsidRPr="00802C03">
        <w:rPr>
          <w:rFonts w:ascii="Garamond" w:hAnsi="Garamond" w:cs="NimbusRomNo9L-Regu"/>
          <w:lang w:val="en-GB" w:eastAsia="nl-NL"/>
        </w:rPr>
        <w:t xml:space="preserve"> illustrates the small but consistent difference between the results of the autocorrelation and the no-autocorrelation specifications. The cumulative portfolio return probability distribution is always slightly higher for the model with autocorrelation. Thus, the probability of more negative portfolio returns is slightly higher when the model incorporates autocorrelation.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effect of the autocorrelation in the model estimates is quite small. It does, however, demonstrate that an additional low correlation in the time-series dimension in the model induces visible and consistent effects on all VaR-estimates. In a portfolio with more positively auto-correlated issuer asset returns, the incorporation of autocorrelation will definitely gain importance in the model.  </w:t>
      </w:r>
    </w:p>
    <w:p w:rsidR="001C7C52" w:rsidRPr="00802C03" w:rsidRDefault="001C7C52" w:rsidP="00641BAF">
      <w:pPr>
        <w:spacing w:line="280" w:lineRule="exact"/>
        <w:jc w:val="both"/>
        <w:rPr>
          <w:rFonts w:ascii="Garamond" w:hAnsi="Garamond"/>
          <w:b/>
          <w:color w:val="000000"/>
          <w:lang w:val="en-GB"/>
        </w:rPr>
      </w:pPr>
    </w:p>
    <w:p w:rsidR="001C7C52" w:rsidRPr="00802C03" w:rsidRDefault="001C7C52" w:rsidP="00641BAF">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3.1.3</w:t>
      </w:r>
      <w:r w:rsidRPr="00802C03">
        <w:rPr>
          <w:rFonts w:ascii="Garamond" w:hAnsi="Garamond"/>
          <w:b/>
          <w:color w:val="000000"/>
          <w:lang w:val="en-GB"/>
        </w:rPr>
        <w:tab/>
      </w:r>
      <w:bookmarkStart w:id="78" w:name="S313"/>
      <w:bookmarkEnd w:id="78"/>
      <w:r w:rsidRPr="00802C03">
        <w:rPr>
          <w:rFonts w:ascii="Garamond" w:hAnsi="Garamond"/>
          <w:b/>
          <w:color w:val="000000"/>
          <w:lang w:val="en-GB"/>
        </w:rPr>
        <w:t>Liquidity Horizons</w:t>
      </w:r>
    </w:p>
    <w:p w:rsidR="001C7C52" w:rsidRPr="00802C03" w:rsidRDefault="001C7C52" w:rsidP="001F0514">
      <w:pPr>
        <w:spacing w:line="280" w:lineRule="exact"/>
        <w:jc w:val="both"/>
        <w:rPr>
          <w:rFonts w:ascii="Garamond" w:hAnsi="Garamond"/>
          <w:lang w:val="en-GB"/>
        </w:rPr>
      </w:pPr>
      <w:r w:rsidRPr="00802C03">
        <w:rPr>
          <w:rFonts w:ascii="Garamond" w:hAnsi="Garamond" w:cs="NimbusRomNo9L-Regu"/>
          <w:color w:val="000000"/>
          <w:lang w:val="en-GB" w:eastAsia="nl-NL"/>
        </w:rPr>
        <w:t xml:space="preserve">The next topic, in the discussion of the model estimations, is the examination of the effect of liquidity horizon assumptions in the model. The concept of the liquidity horizon was introduced by the Basel Committee to ensure the capital requirements for less liquid credit products are relatively higher. Consequently, it would be prudent to examine whether the proposed incremental risk model displays this characteristic or not. Such an examination is achieved by comparing the model results that are generated with the equivalent model specifications, but with different liquidity horizon assumptions. Herein, three sets of liquidity horizon assumptions are employed. The general case uses the standard liquidity horizons as described in </w:t>
      </w:r>
      <w:hyperlink w:anchor="S232" w:history="1">
        <w:r w:rsidRPr="00802C03">
          <w:rPr>
            <w:rStyle w:val="Hyperlink"/>
            <w:rFonts w:ascii="Garamond" w:hAnsi="Garamond" w:cs="NimbusRomNo9L-Regu"/>
            <w:color w:val="000066"/>
            <w:u w:val="none"/>
            <w:lang w:val="en-GB" w:eastAsia="nl-NL"/>
          </w:rPr>
          <w:t>Part II section 2.3.2</w:t>
        </w:r>
      </w:hyperlink>
      <w:r w:rsidRPr="00802C03">
        <w:rPr>
          <w:rFonts w:ascii="Garamond" w:hAnsi="Garamond" w:cs="NimbusRomNo9L-Regu"/>
          <w:color w:val="000000"/>
          <w:lang w:val="en-GB" w:eastAsia="nl-NL"/>
        </w:rPr>
        <w:t>. The second specification is the low liquidity horizon specification, where the liquidity horizons of all positions in the portfolios are reduced by three months with a minimum liquidity horizon of three months. The third specification is the high liquidity horizon specification, where the liquidity horizons of all positions in the portfolios are increased by three months with a maximum liquidity horizon of one year. For a</w:t>
      </w:r>
      <w:r w:rsidRPr="00802C03">
        <w:rPr>
          <w:rFonts w:ascii="Garamond" w:hAnsi="Garamond" w:cs="NimbusRomNo9L-Regu"/>
          <w:lang w:val="en-GB" w:eastAsia="nl-NL"/>
        </w:rPr>
        <w:t>ll three models, the remaining inputs from the general model specification are utilized</w:t>
      </w:r>
      <w:r w:rsidRPr="00802C03">
        <w:rPr>
          <w:rFonts w:ascii="Garamond" w:hAnsi="Garamond"/>
          <w:lang w:val="en-GB"/>
        </w:rPr>
        <w:t xml:space="preserve">. </w:t>
      </w:r>
    </w:p>
    <w:p w:rsidR="001C7C52" w:rsidRPr="00802C03" w:rsidRDefault="001C7C52" w:rsidP="001F0514">
      <w:pPr>
        <w:spacing w:line="280" w:lineRule="exact"/>
        <w:jc w:val="both"/>
        <w:rPr>
          <w:rFonts w:ascii="Garamond" w:hAnsi="Garamond" w:cs="NimbusRomNo9L-Regu"/>
          <w:color w:val="000000"/>
          <w:lang w:val="en-GB" w:eastAsia="nl-NL"/>
        </w:rPr>
      </w:pPr>
      <w:r>
        <w:rPr>
          <w:noProof/>
          <w:lang w:val="en-US"/>
        </w:rPr>
        <w:pict>
          <v:shape id="_x0000_s1119" type="#_x0000_t202" style="position:absolute;left:0;text-align:left;margin-left:-12.45pt;margin-top:3.65pt;width:506.25pt;height:436.5pt;z-index:251649536" stroked="f">
            <v:textbox style="mso-next-textbox:#_x0000_s1119">
              <w:txbxContent>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798"/>
                    <w:gridCol w:w="799"/>
                    <w:gridCol w:w="799"/>
                    <w:gridCol w:w="799"/>
                    <w:gridCol w:w="799"/>
                    <w:gridCol w:w="799"/>
                    <w:gridCol w:w="799"/>
                    <w:gridCol w:w="799"/>
                    <w:gridCol w:w="799"/>
                    <w:gridCol w:w="799"/>
                    <w:gridCol w:w="799"/>
                  </w:tblGrid>
                  <w:tr w:rsidR="001C7C52" w:rsidRPr="000B0ADE" w:rsidTr="002000B8">
                    <w:tc>
                      <w:tcPr>
                        <w:tcW w:w="9639" w:type="dxa"/>
                        <w:gridSpan w:val="12"/>
                        <w:tcBorders>
                          <w:top w:val="nil"/>
                          <w:left w:val="nil"/>
                          <w:bottom w:val="single" w:sz="4" w:space="0" w:color="auto"/>
                          <w:right w:val="nil"/>
                        </w:tcBorders>
                        <w:vAlign w:val="center"/>
                      </w:tcPr>
                      <w:p w:rsidR="001C7C52" w:rsidRPr="00495433" w:rsidRDefault="001C7C52" w:rsidP="002000B8">
                        <w:pPr>
                          <w:rPr>
                            <w:rFonts w:ascii="Garamond" w:hAnsi="Garamond"/>
                            <w:sz w:val="20"/>
                            <w:lang w:val="en-US"/>
                          </w:rPr>
                        </w:pPr>
                        <w:bookmarkStart w:id="79" w:name="T10"/>
                        <w:bookmarkEnd w:id="79"/>
                        <w:r w:rsidRPr="00495433">
                          <w:rPr>
                            <w:rFonts w:ascii="Garamond" w:hAnsi="Garamond"/>
                            <w:b/>
                            <w:lang w:val="en-US"/>
                          </w:rPr>
                          <w:t>T</w:t>
                        </w:r>
                        <w:r>
                          <w:rPr>
                            <w:rFonts w:ascii="Garamond" w:hAnsi="Garamond"/>
                            <w:b/>
                            <w:sz w:val="18"/>
                            <w:szCs w:val="18"/>
                            <w:lang w:val="en-US"/>
                          </w:rPr>
                          <w:t>AB</w:t>
                        </w:r>
                        <w:r w:rsidRPr="00495433">
                          <w:rPr>
                            <w:rFonts w:ascii="Garamond" w:hAnsi="Garamond"/>
                            <w:b/>
                            <w:sz w:val="18"/>
                            <w:szCs w:val="18"/>
                            <w:lang w:val="en-US"/>
                          </w:rPr>
                          <w:t>L</w:t>
                        </w:r>
                        <w:r>
                          <w:rPr>
                            <w:rFonts w:ascii="Garamond" w:hAnsi="Garamond"/>
                            <w:b/>
                            <w:sz w:val="18"/>
                            <w:szCs w:val="18"/>
                            <w:lang w:val="en-US"/>
                          </w:rPr>
                          <w:t>E</w:t>
                        </w:r>
                        <w:r>
                          <w:rPr>
                            <w:rFonts w:ascii="Garamond" w:hAnsi="Garamond"/>
                            <w:b/>
                            <w:lang w:val="en-US"/>
                          </w:rPr>
                          <w:t xml:space="preserve"> </w:t>
                        </w:r>
                        <w:r w:rsidRPr="005E2825">
                          <w:rPr>
                            <w:rFonts w:ascii="Garamond" w:hAnsi="Garamond"/>
                            <w:b/>
                            <w:color w:val="000000"/>
                            <w:lang w:val="en-US"/>
                          </w:rPr>
                          <w:t>X</w:t>
                        </w:r>
                        <w:r>
                          <w:rPr>
                            <w:rFonts w:ascii="Garamond" w:hAnsi="Garamond"/>
                            <w:b/>
                            <w:color w:val="000000"/>
                            <w:lang w:val="en-US"/>
                          </w:rPr>
                          <w:t xml:space="preserve"> </w:t>
                        </w:r>
                        <w:r w:rsidRPr="007928F1">
                          <w:rPr>
                            <w:rFonts w:ascii="Garamond" w:hAnsi="Garamond"/>
                            <w:color w:val="000000"/>
                            <w:lang w:val="en-US"/>
                          </w:rPr>
                          <w:t>-</w:t>
                        </w:r>
                        <w:r>
                          <w:rPr>
                            <w:rFonts w:ascii="Garamond" w:hAnsi="Garamond"/>
                            <w:b/>
                            <w:color w:val="000000"/>
                            <w:lang w:val="en-US"/>
                          </w:rPr>
                          <w:t xml:space="preserve"> </w:t>
                        </w:r>
                        <w:r>
                          <w:rPr>
                            <w:rFonts w:ascii="Garamond" w:hAnsi="Garamond"/>
                            <w:sz w:val="20"/>
                            <w:lang w:val="en-US"/>
                          </w:rPr>
                          <w:t>Incremental Risk Model Estimates: Liquidity Horizons</w:t>
                        </w:r>
                      </w:p>
                    </w:tc>
                  </w:tr>
                  <w:tr w:rsidR="001C7C52" w:rsidRPr="00495433" w:rsidTr="002000B8">
                    <w:tc>
                      <w:tcPr>
                        <w:tcW w:w="851" w:type="dxa"/>
                        <w:tcBorders>
                          <w:top w:val="single" w:sz="4" w:space="0" w:color="auto"/>
                          <w:left w:val="nil"/>
                          <w:bottom w:val="nil"/>
                          <w:right w:val="nil"/>
                        </w:tcBorders>
                        <w:vAlign w:val="center"/>
                      </w:tcPr>
                      <w:p w:rsidR="001C7C52" w:rsidRPr="00495433" w:rsidRDefault="001C7C52" w:rsidP="002000B8">
                        <w:pPr>
                          <w:rPr>
                            <w:rFonts w:ascii="Garamond" w:hAnsi="Garamond"/>
                            <w:sz w:val="20"/>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2000B8">
                        <w:pPr>
                          <w:rPr>
                            <w:rFonts w:ascii="Garamond" w:hAnsi="Garamond"/>
                            <w:i/>
                            <w:sz w:val="20"/>
                            <w:lang w:val="en-US"/>
                          </w:rPr>
                        </w:pPr>
                        <w:r w:rsidRPr="005A7F06">
                          <w:rPr>
                            <w:rFonts w:ascii="Garamond" w:hAnsi="Garamond"/>
                            <w:i/>
                            <w:sz w:val="20"/>
                            <w:lang w:val="en-US"/>
                          </w:rPr>
                          <w:t xml:space="preserve">A. </w:t>
                        </w:r>
                        <w:r>
                          <w:rPr>
                            <w:rFonts w:ascii="Garamond" w:hAnsi="Garamond"/>
                            <w:i/>
                            <w:sz w:val="20"/>
                            <w:lang w:val="en-US"/>
                          </w:rPr>
                          <w:t>Low liquidity horizons</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nil"/>
                          <w:left w:val="nil"/>
                          <w:bottom w:val="single" w:sz="4" w:space="0" w:color="auto"/>
                          <w:right w:val="nil"/>
                        </w:tcBorders>
                        <w:vAlign w:val="center"/>
                      </w:tcPr>
                      <w:p w:rsidR="001C7C52" w:rsidRPr="005A7F06" w:rsidRDefault="001C7C52" w:rsidP="002000B8">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nil"/>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$0.669</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10.14%</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9.89%</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10.53%</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4.39%</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4.29%</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4.51%</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0.52%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0.48%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0.57%</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$1.537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23.29%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22.53%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24.48%</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8.78%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8.51%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9.05%</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1.31%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1.38%</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$1.004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15.21%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14.78%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15.82%</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6.34%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6.20%</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6.52%</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1.01%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0.96%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1.07%</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$0.382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17.18%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16.63%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17.73%</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8.63%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8.50%</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8.80%</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3.41%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3.35%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3.46%</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$0.678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30.49%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29.33%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31.64%</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12.61%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12.34%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12.96%</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3.65%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3.56%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3.73%</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$0.504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22.65%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22.13%</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23.42%</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10.61%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10.41%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10.85%</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3.78%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3.71%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3.85%</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2000B8">
                        <w:pPr>
                          <w:rPr>
                            <w:rFonts w:ascii="Garamond" w:hAnsi="Garamond"/>
                            <w:i/>
                            <w:sz w:val="18"/>
                            <w:szCs w:val="18"/>
                            <w:lang w:val="en-US"/>
                          </w:rPr>
                        </w:pPr>
                        <w:r w:rsidRPr="005A7F06">
                          <w:rPr>
                            <w:rFonts w:ascii="Garamond" w:hAnsi="Garamond"/>
                            <w:i/>
                            <w:sz w:val="20"/>
                            <w:lang w:val="en-US"/>
                          </w:rPr>
                          <w:t xml:space="preserve">B. </w:t>
                        </w:r>
                        <w:r>
                          <w:rPr>
                            <w:rFonts w:ascii="Garamond" w:hAnsi="Garamond"/>
                            <w:i/>
                            <w:sz w:val="20"/>
                            <w:lang w:val="en-US"/>
                          </w:rPr>
                          <w:t>Standard liquidity horizons</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2000B8">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$1.018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15.42%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14.96%</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16.04%</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7.00%</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6.86%</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7.14%</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1.60%</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1.54%</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1.66%</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$2.013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30.50%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29.22%</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31.88%</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12.46%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12.20%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12.81%</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2.48%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2.57%</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22.35%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21.62%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23.36%</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9.43%</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9.22%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9.66%</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2.04%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1.98%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2.11%</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$0.548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24.65%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24.01%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25.75%</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12.63%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12.41%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12.84%</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5.12%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5.05%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5.21%</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$0.929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41.74%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40.36%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43.13%</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17.28%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16.88%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17.67%</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5.07%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4.96%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5.19%</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$0.713</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32.05%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31.18%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33.06%</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14.41%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15.01%</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5.26%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5.16%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5.36%</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2000B8">
                        <w:pPr>
                          <w:rPr>
                            <w:rFonts w:ascii="Garamond" w:hAnsi="Garamond"/>
                            <w:i/>
                            <w:sz w:val="18"/>
                            <w:szCs w:val="18"/>
                            <w:lang w:val="en-US"/>
                          </w:rPr>
                        </w:pPr>
                        <w:r w:rsidRPr="005A7F06">
                          <w:rPr>
                            <w:rFonts w:ascii="Garamond" w:hAnsi="Garamond"/>
                            <w:i/>
                            <w:sz w:val="20"/>
                            <w:lang w:val="en-US"/>
                          </w:rPr>
                          <w:t xml:space="preserve">C. </w:t>
                        </w:r>
                        <w:r>
                          <w:rPr>
                            <w:rFonts w:ascii="Garamond" w:hAnsi="Garamond"/>
                            <w:i/>
                            <w:sz w:val="20"/>
                            <w:lang w:val="en-US"/>
                          </w:rPr>
                          <w:t>High liquidity horizons</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2000B8">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$1.407</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21.31%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20.41%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22.14%</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9.48%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9.26%</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9.72%</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2.80%</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2.73%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2.88%</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$2.618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39.66%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39.09%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40.66%</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16.06%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15.69%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16.43%</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3.71%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3.59%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3.82%</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$1.921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29.11%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28.21%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30.13%</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12.07%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11.83%</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12.34%</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3.31%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3.21%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3.41%</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$0.712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32.02%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31.21%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32.92%</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16.09%</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15.82%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16.38%</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6.85%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6.75%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6.96%</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$1.149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51.62%</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49.97%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54.21%</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21.53%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21.04%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22.04%</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6.83%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6.71%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6.97%</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$0.891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40.02%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39.02%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41.79%</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18.31%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18.04%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18.63%</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6.92%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6.81%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7.04%</w:t>
                        </w:r>
                      </w:p>
                    </w:tc>
                  </w:tr>
                  <w:tr w:rsidR="001C7C52" w:rsidRPr="00495433" w:rsidTr="002000B8">
                    <w:tc>
                      <w:tcPr>
                        <w:tcW w:w="9639" w:type="dxa"/>
                        <w:gridSpan w:val="12"/>
                        <w:tcBorders>
                          <w:top w:val="single" w:sz="4" w:space="0" w:color="auto"/>
                          <w:left w:val="nil"/>
                          <w:bottom w:val="nil"/>
                          <w:right w:val="nil"/>
                        </w:tcBorders>
                        <w:vAlign w:val="center"/>
                      </w:tcPr>
                      <w:p w:rsidR="001C7C52" w:rsidRPr="00B4632D" w:rsidRDefault="001C7C52" w:rsidP="00F246F2">
                        <w:pPr>
                          <w:spacing w:after="40" w:line="180" w:lineRule="exact"/>
                          <w:jc w:val="both"/>
                          <w:rPr>
                            <w:rFonts w:ascii="Garamond" w:hAnsi="Garamond"/>
                            <w:sz w:val="16"/>
                            <w:szCs w:val="16"/>
                            <w:lang w:val="en-US"/>
                          </w:rPr>
                        </w:pPr>
                        <w:r w:rsidRPr="00B4632D">
                          <w:rPr>
                            <w:rFonts w:ascii="Garamond" w:hAnsi="Garamond"/>
                            <w:sz w:val="16"/>
                            <w:szCs w:val="16"/>
                            <w:lang w:val="en-US"/>
                          </w:rPr>
                          <w:t xml:space="preserve">* The 99.9% VaR values are reported in millions. All estimates are based on the duration migration matrix, credit crisis period equity correlations and equity autocorrelations. Portfolio L is the long only portfolio and Portfolio LS is the long short portfolio. Copula N is the Normal or Gaussian copula and copulas </w:t>
                        </w:r>
                        <w:r w:rsidRPr="00B4632D">
                          <w:rPr>
                            <w:rFonts w:ascii="Garamond" w:hAnsi="Garamond"/>
                            <w:i/>
                            <w:sz w:val="16"/>
                            <w:szCs w:val="16"/>
                            <w:lang w:val="en-US"/>
                          </w:rPr>
                          <w:t>t</w:t>
                        </w:r>
                        <w:r w:rsidRPr="00B4632D">
                          <w:rPr>
                            <w:rFonts w:ascii="Garamond" w:hAnsi="Garamond"/>
                            <w:sz w:val="16"/>
                            <w:szCs w:val="16"/>
                            <w:lang w:val="en-US"/>
                          </w:rPr>
                          <w:t xml:space="preserve">-5 and </w:t>
                        </w:r>
                        <w:r w:rsidRPr="00B4632D">
                          <w:rPr>
                            <w:rFonts w:ascii="Garamond" w:hAnsi="Garamond"/>
                            <w:i/>
                            <w:sz w:val="16"/>
                            <w:szCs w:val="16"/>
                            <w:lang w:val="en-US"/>
                          </w:rPr>
                          <w:t>t</w:t>
                        </w:r>
                        <w:r w:rsidRPr="00B4632D">
                          <w:rPr>
                            <w:rFonts w:ascii="Garamond" w:hAnsi="Garamond"/>
                            <w:sz w:val="16"/>
                            <w:szCs w:val="16"/>
                            <w:lang w:val="en-US"/>
                          </w:rPr>
                          <w:t xml:space="preserve">-15 are the </w:t>
                        </w:r>
                        <w:r w:rsidRPr="00B4632D">
                          <w:rPr>
                            <w:rFonts w:ascii="Garamond" w:hAnsi="Garamond"/>
                            <w:i/>
                            <w:sz w:val="16"/>
                            <w:szCs w:val="16"/>
                            <w:lang w:val="en-US"/>
                          </w:rPr>
                          <w:t>t</w:t>
                        </w:r>
                        <w:r w:rsidRPr="00B4632D">
                          <w:rPr>
                            <w:rFonts w:ascii="Garamond" w:hAnsi="Garamond"/>
                            <w:sz w:val="16"/>
                            <w:szCs w:val="16"/>
                            <w:lang w:val="en-US"/>
                          </w:rPr>
                          <w:t xml:space="preserve">-Student copulas with underlying Student </w:t>
                        </w:r>
                        <w:r w:rsidRPr="00B4632D">
                          <w:rPr>
                            <w:rFonts w:ascii="Garamond" w:hAnsi="Garamond"/>
                            <w:i/>
                            <w:sz w:val="16"/>
                            <w:szCs w:val="16"/>
                            <w:lang w:val="en-US"/>
                          </w:rPr>
                          <w:t>t</w:t>
                        </w:r>
                        <w:r w:rsidRPr="00B4632D">
                          <w:rPr>
                            <w:rFonts w:ascii="Garamond" w:hAnsi="Garamond"/>
                            <w:sz w:val="16"/>
                            <w:szCs w:val="16"/>
                            <w:lang w:val="en-US"/>
                          </w:rPr>
                          <w:t>-distributions with 5 and 15 degrees of freedom, respectively. The estimates reported in percentages are relative to the initial portfolio exposure, whi</w:t>
                        </w:r>
                        <w:r>
                          <w:rPr>
                            <w:rFonts w:ascii="Garamond" w:hAnsi="Garamond"/>
                            <w:sz w:val="16"/>
                            <w:szCs w:val="16"/>
                            <w:lang w:val="en-US"/>
                          </w:rPr>
                          <w:t>ch is $6.6 million for the long-</w:t>
                        </w:r>
                        <w:r w:rsidRPr="00B4632D">
                          <w:rPr>
                            <w:rFonts w:ascii="Garamond" w:hAnsi="Garamond"/>
                            <w:sz w:val="16"/>
                            <w:szCs w:val="16"/>
                            <w:lang w:val="en-US"/>
                          </w:rPr>
                          <w:t>only portfolio and $2.225 million for the long-short portfolio. The upper bound and lower bound represent the 95% confidence interval around the VaR % estimate presented left of them. All estimates are based on 200,000 simulations.</w:t>
                        </w:r>
                      </w:p>
                    </w:tc>
                  </w:tr>
                </w:tbl>
                <w:p w:rsidR="001C7C52" w:rsidRPr="00DE7ECF" w:rsidRDefault="001C7C52" w:rsidP="00641BAF">
                  <w:pPr>
                    <w:spacing w:line="300" w:lineRule="exact"/>
                    <w:jc w:val="both"/>
                    <w:rPr>
                      <w:rFonts w:ascii="Garamond" w:hAnsi="Garamond" w:cs="NimbusRomNo9L-Regu"/>
                      <w:color w:val="000000"/>
                      <w:lang w:val="en-US" w:eastAsia="nl-NL"/>
                    </w:rPr>
                  </w:pPr>
                </w:p>
                <w:p w:rsidR="001C7C52" w:rsidRPr="00AA1D48" w:rsidRDefault="001C7C52" w:rsidP="00641BAF">
                  <w:pPr>
                    <w:rPr>
                      <w:lang w:val="en-US"/>
                    </w:rPr>
                  </w:pPr>
                </w:p>
              </w:txbxContent>
            </v:textbox>
            <w10:wrap type="square"/>
          </v:shape>
        </w:pict>
      </w:r>
      <w:r w:rsidRPr="00802C03">
        <w:rPr>
          <w:rFonts w:ascii="Garamond" w:hAnsi="Garamond" w:cs="NimbusRomNo9L-Regu"/>
          <w:color w:val="000000"/>
          <w:lang w:val="en-GB" w:eastAsia="nl-NL"/>
        </w:rPr>
        <w:t>The estimation results are displayed in</w:t>
      </w:r>
      <w:r w:rsidRPr="00802C03">
        <w:rPr>
          <w:rFonts w:ascii="Garamond" w:hAnsi="Garamond" w:cs="NimbusRomNo9L-Regu"/>
          <w:lang w:val="en-GB" w:eastAsia="nl-NL"/>
        </w:rPr>
        <w:t xml:space="preserve"> </w:t>
      </w:r>
      <w:hyperlink w:anchor="T10" w:history="1">
        <w:r w:rsidRPr="00802C03">
          <w:rPr>
            <w:rStyle w:val="Hyperlink"/>
            <w:rFonts w:ascii="Garamond" w:hAnsi="Garamond" w:cs="NimbusRomNo9L-Regu"/>
            <w:color w:val="000066"/>
            <w:u w:val="none"/>
            <w:lang w:val="en-GB" w:eastAsia="nl-NL"/>
          </w:rPr>
          <w:t>table X</w:t>
        </w:r>
      </w:hyperlink>
      <w:r w:rsidRPr="00802C03">
        <w:rPr>
          <w:rFonts w:ascii="Garamond" w:hAnsi="Garamond" w:cs="NimbusRomNo9L-Regu"/>
          <w:color w:val="000000"/>
          <w:lang w:val="en-GB" w:eastAsia="nl-NL"/>
        </w:rPr>
        <w:t xml:space="preserve">. Panel A presents the results for the low liquidity horizon model specification. Panel B displays the estimates generated by the standard liquidity horizon specification and panel C holds the estimates resulting from the high liquidity horizon model specification.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In the comparison of the VaR-estimates between the three specifications, clear differences can be found. As one would anticipate, the low liquidity horizon specification always generates the smallest VaR-estimates, while the high liquidity horizon specification always produces the largest VaR-estimates. When the 99.9% VaR-estimates are considered, the liquidity horizons effect is very substantial. For the long-only portfolio, the difference between the 99.9% VaR-estimates resulting from the low liquidity horizon model and the standard liquidity horizon model is 6% on average, and the difference between the estimates from the standard liquidity horizon model and the high liquidity horizon model is 7.5% on average. The long-short portfolio displays an average difference of 9.5% between the estimates from the low liquidity horizon model and the standard liquidity horizon model, while an average difference of 8.5% can be found between the estimates resulting from the standard liquidity horizon model and those of the high liquidity horizon model. All these differences are highly significant.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In the case of the 99% VaR and the 95% VaR, similar significant differences of a smaller magnitude can be found. The magnitude of the differences basically declines again with the VaR confidence interval.</w:t>
      </w:r>
    </w:p>
    <w:p w:rsidR="001C7C52" w:rsidRPr="00802C03" w:rsidRDefault="001C7C52" w:rsidP="001F0514">
      <w:pPr>
        <w:spacing w:line="280" w:lineRule="exact"/>
        <w:jc w:val="both"/>
        <w:rPr>
          <w:rFonts w:ascii="Garamond" w:hAnsi="Garamond" w:cs="NimbusRomNo9L-Regu"/>
          <w:color w:val="000000"/>
          <w:lang w:val="en-GB" w:eastAsia="nl-NL"/>
        </w:rPr>
      </w:pPr>
      <w:r>
        <w:rPr>
          <w:noProof/>
          <w:lang w:val="en-US"/>
        </w:rPr>
        <w:pict>
          <v:shape id="_x0000_s1120" type="#_x0000_t202" style="position:absolute;left:0;text-align:left;margin-left:-6.8pt;margin-top:416.9pt;width:488.55pt;height:263.25pt;z-index:251651584" stroked="f">
            <v:textbox style="mso-next-textbox:#_x0000_s1120">
              <w:txbxContent>
                <w:p w:rsidR="001C7C52" w:rsidRDefault="001C7C52"/>
                <w:tbl>
                  <w:tblPr>
                    <w:tblW w:w="9606" w:type="dxa"/>
                    <w:tblBorders>
                      <w:bottom w:val="single" w:sz="4" w:space="0" w:color="auto"/>
                    </w:tblBorders>
                    <w:tblLook w:val="00A0"/>
                  </w:tblPr>
                  <w:tblGrid>
                    <w:gridCol w:w="9606"/>
                  </w:tblGrid>
                  <w:tr w:rsidR="001C7C52" w:rsidRPr="000B0ADE" w:rsidTr="002E2E49">
                    <w:tc>
                      <w:tcPr>
                        <w:tcW w:w="9606" w:type="dxa"/>
                        <w:tcBorders>
                          <w:bottom w:val="single" w:sz="4" w:space="0" w:color="auto"/>
                        </w:tcBorders>
                        <w:vAlign w:val="center"/>
                      </w:tcPr>
                      <w:p w:rsidR="001C7C52" w:rsidRPr="002E2E49" w:rsidRDefault="001C7C52" w:rsidP="002E2E49">
                        <w:pPr>
                          <w:spacing w:line="240" w:lineRule="auto"/>
                          <w:rPr>
                            <w:rFonts w:ascii="Garamond" w:hAnsi="Garamond"/>
                            <w:sz w:val="20"/>
                            <w:lang w:val="en-US"/>
                          </w:rPr>
                        </w:pPr>
                        <w:bookmarkStart w:id="80" w:name="F10"/>
                        <w:bookmarkEnd w:id="80"/>
                        <w:r w:rsidRPr="002E2E49">
                          <w:rPr>
                            <w:rFonts w:ascii="Garamond" w:hAnsi="Garamond"/>
                            <w:b/>
                            <w:color w:val="000000"/>
                            <w:lang w:val="en-US"/>
                          </w:rPr>
                          <w:t>F</w:t>
                        </w:r>
                        <w:r w:rsidRPr="002E2E49">
                          <w:rPr>
                            <w:rFonts w:ascii="Garamond" w:hAnsi="Garamond"/>
                            <w:b/>
                            <w:color w:val="000000"/>
                            <w:sz w:val="18"/>
                            <w:szCs w:val="18"/>
                            <w:lang w:val="en-US"/>
                          </w:rPr>
                          <w:t>IGURE</w:t>
                        </w:r>
                        <w:r w:rsidRPr="002E2E49">
                          <w:rPr>
                            <w:rFonts w:ascii="Garamond" w:hAnsi="Garamond"/>
                            <w:b/>
                            <w:color w:val="000000"/>
                            <w:lang w:val="en-US"/>
                          </w:rPr>
                          <w:t xml:space="preserve"> X </w:t>
                        </w:r>
                        <w:r w:rsidRPr="002E2E49">
                          <w:rPr>
                            <w:rFonts w:ascii="Garamond" w:hAnsi="Garamond"/>
                            <w:color w:val="000000"/>
                            <w:lang w:val="en-US"/>
                          </w:rPr>
                          <w:t>-</w:t>
                        </w:r>
                        <w:r w:rsidRPr="002E2E49">
                          <w:rPr>
                            <w:rFonts w:ascii="Garamond" w:hAnsi="Garamond"/>
                            <w:sz w:val="20"/>
                            <w:lang w:val="en-US"/>
                          </w:rPr>
                          <w:t xml:space="preserve"> Cumulative Portfolio Return Probability Distribution: Liquidity Horizon Assumption Comparison</w:t>
                        </w:r>
                      </w:p>
                    </w:tc>
                  </w:tr>
                  <w:tr w:rsidR="001C7C52" w:rsidRPr="000B0ADE" w:rsidTr="002E2E49">
                    <w:trPr>
                      <w:trHeight w:val="113"/>
                    </w:trPr>
                    <w:tc>
                      <w:tcPr>
                        <w:tcW w:w="9606" w:type="dxa"/>
                        <w:tcBorders>
                          <w:top w:val="single" w:sz="4" w:space="0" w:color="auto"/>
                          <w:bottom w:val="nil"/>
                        </w:tcBorders>
                        <w:vAlign w:val="center"/>
                      </w:tcPr>
                      <w:p w:rsidR="001C7C52" w:rsidRPr="002E2E49" w:rsidRDefault="001C7C52" w:rsidP="002E2E49">
                        <w:pPr>
                          <w:spacing w:line="40" w:lineRule="exact"/>
                          <w:rPr>
                            <w:rFonts w:ascii="Garamond" w:hAnsi="Garamond"/>
                            <w:sz w:val="20"/>
                            <w:lang w:val="en-US"/>
                          </w:rPr>
                        </w:pPr>
                      </w:p>
                    </w:tc>
                  </w:tr>
                </w:tbl>
                <w:p w:rsidR="001C7C52" w:rsidRDefault="001C7C52" w:rsidP="002000B8">
                  <w:pPr>
                    <w:rPr>
                      <w:lang w:val="en-US"/>
                    </w:rPr>
                  </w:pPr>
                  <w:r w:rsidRPr="002E2E49">
                    <w:rPr>
                      <w:noProof/>
                      <w:lang w:val="en-US"/>
                    </w:rPr>
                    <w:pict>
                      <v:shape id="Chart 5" o:spid="_x0000_i1800" type="#_x0000_t75" style="width:478.5pt;height:192.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">
                        <v:imagedata r:id="rId1426" o:title="" croptop="-4857f" cropbottom="-1894f" cropleft="-349f" cropright="-3693f"/>
                        <o:lock v:ext="edit" aspectratio="f"/>
                      </v:shape>
                    </w:pic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606"/>
                  </w:tblGrid>
                  <w:tr w:rsidR="001C7C52" w:rsidTr="002E2E49">
                    <w:tc>
                      <w:tcPr>
                        <w:tcW w:w="9606" w:type="dxa"/>
                        <w:tcBorders>
                          <w:top w:val="nil"/>
                          <w:left w:val="nil"/>
                          <w:bottom w:val="single" w:sz="4" w:space="0" w:color="auto"/>
                          <w:right w:val="nil"/>
                        </w:tcBorders>
                      </w:tcPr>
                      <w:p w:rsidR="001C7C52" w:rsidRPr="002E2E49" w:rsidRDefault="001C7C52" w:rsidP="002E2E49">
                        <w:pPr>
                          <w:overflowPunct/>
                          <w:autoSpaceDE/>
                          <w:autoSpaceDN/>
                          <w:adjustRightInd/>
                          <w:spacing w:line="60" w:lineRule="exact"/>
                          <w:textAlignment w:val="auto"/>
                          <w:rPr>
                            <w:lang w:val="en-US"/>
                          </w:rPr>
                        </w:pPr>
                      </w:p>
                    </w:tc>
                  </w:tr>
                  <w:tr w:rsidR="001C7C52" w:rsidRPr="000B0ADE" w:rsidTr="002E2E49">
                    <w:tc>
                      <w:tcPr>
                        <w:tcW w:w="9606" w:type="dxa"/>
                        <w:tcBorders>
                          <w:top w:val="single" w:sz="4" w:space="0" w:color="auto"/>
                          <w:left w:val="nil"/>
                          <w:bottom w:val="nil"/>
                          <w:right w:val="nil"/>
                        </w:tcBorders>
                      </w:tcPr>
                      <w:p w:rsidR="001C7C52" w:rsidRPr="002E2E49" w:rsidRDefault="001C7C52" w:rsidP="002E2E49">
                        <w:pPr>
                          <w:overflowPunct/>
                          <w:autoSpaceDE/>
                          <w:autoSpaceDN/>
                          <w:adjustRightInd/>
                          <w:spacing w:after="40" w:line="180" w:lineRule="exact"/>
                          <w:jc w:val="both"/>
                          <w:textAlignment w:val="auto"/>
                          <w:rPr>
                            <w:lang w:val="en-US"/>
                          </w:rPr>
                        </w:pPr>
                        <w:r w:rsidRPr="002E2E49">
                          <w:rPr>
                            <w:rFonts w:ascii="Garamond" w:hAnsi="Garamond"/>
                            <w:sz w:val="16"/>
                            <w:szCs w:val="16"/>
                            <w:lang w:val="en-US"/>
                          </w:rPr>
                          <w:t xml:space="preserve">The remaining utilized model specifications are the </w:t>
                        </w:r>
                        <w:r w:rsidRPr="002E2E49">
                          <w:rPr>
                            <w:rFonts w:ascii="Garamond" w:hAnsi="Garamond" w:cs="NimbusRomNo9L-Regu"/>
                            <w:sz w:val="16"/>
                            <w:szCs w:val="16"/>
                            <w:lang w:val="en-US" w:eastAsia="nl-NL"/>
                          </w:rPr>
                          <w:t xml:space="preserve">Student’s </w:t>
                        </w:r>
                        <w:r w:rsidRPr="002E2E49">
                          <w:rPr>
                            <w:rFonts w:ascii="Garamond" w:hAnsi="Garamond" w:cs="NimbusRomNo9L-Regu"/>
                            <w:i/>
                            <w:sz w:val="16"/>
                            <w:szCs w:val="16"/>
                            <w:lang w:val="en-US" w:eastAsia="nl-NL"/>
                          </w:rPr>
                          <w:t>t</w:t>
                        </w:r>
                        <w:r w:rsidRPr="002E2E49">
                          <w:rPr>
                            <w:rFonts w:ascii="Garamond" w:hAnsi="Garamond" w:cs="NimbusRomNo9L-Regu"/>
                            <w:sz w:val="16"/>
                            <w:szCs w:val="16"/>
                            <w:lang w:val="en-US" w:eastAsia="nl-NL"/>
                          </w:rPr>
                          <w:t>-15 copula</w:t>
                        </w:r>
                        <w:r w:rsidRPr="002E2E49">
                          <w:rPr>
                            <w:rFonts w:ascii="Garamond" w:hAnsi="Garamond"/>
                            <w:sz w:val="16"/>
                            <w:szCs w:val="16"/>
                            <w:lang w:val="en-US"/>
                          </w:rPr>
                          <w:t xml:space="preserve"> assumption, the unconditional duration migration matrix, the credit crisis period equity correlations </w:t>
                        </w:r>
                        <w:r w:rsidRPr="002E2E49">
                          <w:rPr>
                            <w:rFonts w:ascii="Garamond" w:hAnsi="Garamond" w:cs="NimbusRomNo9L-Regu"/>
                            <w:color w:val="000000"/>
                            <w:sz w:val="16"/>
                            <w:szCs w:val="16"/>
                            <w:lang w:val="en-US" w:eastAsia="nl-NL"/>
                          </w:rPr>
                          <w:t>and the equity autocorrelations. The estimated distributions concern the results for the long-short portfolio.</w:t>
                        </w:r>
                      </w:p>
                    </w:tc>
                  </w:tr>
                </w:tbl>
                <w:p w:rsidR="001C7C52" w:rsidRPr="00AC31E3" w:rsidRDefault="001C7C52" w:rsidP="002000B8">
                  <w:pPr>
                    <w:rPr>
                      <w:lang w:val="en-US"/>
                    </w:rPr>
                  </w:pPr>
                </w:p>
              </w:txbxContent>
            </v:textbox>
            <w10:wrap type="square"/>
          </v:shape>
        </w:pict>
      </w:r>
      <w:r>
        <w:rPr>
          <w:noProof/>
          <w:lang w:val="en-US"/>
        </w:rPr>
        <w:pict>
          <v:shape id="_x0000_s1121" type="#_x0000_t202" style="position:absolute;left:0;text-align:left;margin-left:192.2pt;margin-top:3.65pt;width:296.5pt;height:287.05pt;z-index:251650560" stroked="f">
            <v:textbox style="mso-next-textbox:#_x0000_s1121" inset="6.5mm">
              <w:txbxContent>
                <w:tbl>
                  <w:tblPr>
                    <w:tblW w:w="5386" w:type="dxa"/>
                    <w:tblBorders>
                      <w:bottom w:val="single" w:sz="4" w:space="0" w:color="auto"/>
                    </w:tblBorders>
                    <w:tblLook w:val="00A0"/>
                  </w:tblPr>
                  <w:tblGrid>
                    <w:gridCol w:w="5386"/>
                  </w:tblGrid>
                  <w:tr w:rsidR="001C7C52" w:rsidRPr="000B0ADE" w:rsidTr="002E2E49">
                    <w:tc>
                      <w:tcPr>
                        <w:tcW w:w="5386" w:type="dxa"/>
                        <w:tcBorders>
                          <w:bottom w:val="single" w:sz="4" w:space="0" w:color="auto"/>
                        </w:tcBorders>
                        <w:vAlign w:val="center"/>
                      </w:tcPr>
                      <w:p w:rsidR="001C7C52" w:rsidRPr="002E2E49" w:rsidRDefault="001C7C52" w:rsidP="002E2E49">
                        <w:pPr>
                          <w:spacing w:line="240" w:lineRule="auto"/>
                          <w:rPr>
                            <w:rFonts w:ascii="Garamond" w:hAnsi="Garamond"/>
                            <w:sz w:val="20"/>
                            <w:lang w:val="en-US"/>
                          </w:rPr>
                        </w:pPr>
                        <w:bookmarkStart w:id="81" w:name="F9"/>
                        <w:bookmarkEnd w:id="81"/>
                        <w:r w:rsidRPr="002E2E49">
                          <w:rPr>
                            <w:rFonts w:ascii="Garamond" w:hAnsi="Garamond"/>
                            <w:b/>
                            <w:color w:val="000000"/>
                            <w:lang w:val="en-US"/>
                          </w:rPr>
                          <w:t>F</w:t>
                        </w:r>
                        <w:r w:rsidRPr="002E2E49">
                          <w:rPr>
                            <w:rFonts w:ascii="Garamond" w:hAnsi="Garamond"/>
                            <w:b/>
                            <w:color w:val="000000"/>
                            <w:sz w:val="18"/>
                            <w:szCs w:val="18"/>
                            <w:lang w:val="en-US"/>
                          </w:rPr>
                          <w:t>IGURE</w:t>
                        </w:r>
                        <w:r w:rsidRPr="002E2E49">
                          <w:rPr>
                            <w:rFonts w:ascii="Garamond" w:hAnsi="Garamond"/>
                            <w:b/>
                            <w:color w:val="000000"/>
                            <w:lang w:val="en-US"/>
                          </w:rPr>
                          <w:t xml:space="preserve"> IX </w:t>
                        </w:r>
                        <w:r w:rsidRPr="002E2E49">
                          <w:rPr>
                            <w:rFonts w:ascii="Garamond" w:hAnsi="Garamond"/>
                            <w:color w:val="000000"/>
                            <w:lang w:val="en-US"/>
                          </w:rPr>
                          <w:t>-</w:t>
                        </w:r>
                        <w:r w:rsidRPr="002E2E49">
                          <w:rPr>
                            <w:rFonts w:ascii="Garamond" w:hAnsi="Garamond"/>
                            <w:b/>
                            <w:color w:val="000000"/>
                            <w:lang w:val="en-US"/>
                          </w:rPr>
                          <w:t xml:space="preserve"> </w:t>
                        </w:r>
                        <w:r w:rsidRPr="002E2E49">
                          <w:rPr>
                            <w:rFonts w:ascii="Garamond" w:hAnsi="Garamond"/>
                            <w:sz w:val="20"/>
                            <w:lang w:val="en-US"/>
                          </w:rPr>
                          <w:t>Portfolio Return Probability Distribution</w:t>
                        </w:r>
                      </w:p>
                    </w:tc>
                  </w:tr>
                  <w:tr w:rsidR="001C7C52" w:rsidRPr="000B0ADE" w:rsidTr="002E2E49">
                    <w:tc>
                      <w:tcPr>
                        <w:tcW w:w="5386" w:type="dxa"/>
                        <w:tcBorders>
                          <w:top w:val="single" w:sz="4" w:space="0" w:color="auto"/>
                          <w:bottom w:val="nil"/>
                        </w:tcBorders>
                        <w:vAlign w:val="center"/>
                      </w:tcPr>
                      <w:p w:rsidR="001C7C52" w:rsidRPr="002E2E49" w:rsidRDefault="001C7C52" w:rsidP="002E2E49">
                        <w:pPr>
                          <w:spacing w:line="60" w:lineRule="exact"/>
                          <w:rPr>
                            <w:rFonts w:ascii="Garamond" w:hAnsi="Garamond"/>
                            <w:sz w:val="20"/>
                            <w:lang w:val="en-US"/>
                          </w:rPr>
                        </w:pPr>
                      </w:p>
                    </w:tc>
                  </w:tr>
                </w:tbl>
                <w:p w:rsidR="001C7C52" w:rsidRDefault="001C7C52" w:rsidP="002000B8">
                  <w:pPr>
                    <w:rPr>
                      <w:lang w:val="en-US"/>
                    </w:rPr>
                  </w:pPr>
                  <w:r w:rsidRPr="002E2E49">
                    <w:rPr>
                      <w:noProof/>
                      <w:lang w:val="en-US"/>
                    </w:rPr>
                    <w:pict>
                      <v:shape id="_x0000_i1802" type="#_x0000_t75" style="width:270.75pt;height:198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">
                        <v:imagedata r:id="rId1427" o:title="" croptop="-807f" cropbottom="-1530f" cropleft="-599f" cropright="-1385f"/>
                        <o:lock v:ext="edit" aspectratio="f"/>
                      </v:shape>
                    </w:pict>
                  </w:r>
                </w:p>
                <w:tbl>
                  <w:tblPr>
                    <w:tblW w:w="0" w:type="auto"/>
                    <w:tblBorders>
                      <w:insideH w:val="single" w:sz="4" w:space="0" w:color="000000"/>
                      <w:insideV w:val="single" w:sz="4" w:space="0" w:color="000000"/>
                    </w:tblBorders>
                    <w:tblLook w:val="00A0"/>
                  </w:tblPr>
                  <w:tblGrid>
                    <w:gridCol w:w="5386"/>
                  </w:tblGrid>
                  <w:tr w:rsidR="001C7C52" w:rsidTr="002E2E49">
                    <w:tc>
                      <w:tcPr>
                        <w:tcW w:w="5386" w:type="dxa"/>
                      </w:tcPr>
                      <w:p w:rsidR="001C7C52" w:rsidRPr="002E2E49" w:rsidRDefault="001C7C52" w:rsidP="002E2E49">
                        <w:pPr>
                          <w:spacing w:line="60" w:lineRule="exact"/>
                          <w:rPr>
                            <w:lang w:val="en-US"/>
                          </w:rPr>
                        </w:pPr>
                      </w:p>
                    </w:tc>
                  </w:tr>
                  <w:tr w:rsidR="001C7C52" w:rsidRPr="000B0ADE" w:rsidTr="002E2E49">
                    <w:tc>
                      <w:tcPr>
                        <w:tcW w:w="5386" w:type="dxa"/>
                      </w:tcPr>
                      <w:p w:rsidR="001C7C52" w:rsidRPr="002E2E49" w:rsidRDefault="001C7C52" w:rsidP="002E2E49">
                        <w:pPr>
                          <w:overflowPunct/>
                          <w:autoSpaceDE/>
                          <w:autoSpaceDN/>
                          <w:adjustRightInd/>
                          <w:spacing w:after="40" w:line="180" w:lineRule="exact"/>
                          <w:jc w:val="both"/>
                          <w:textAlignment w:val="auto"/>
                          <w:rPr>
                            <w:rFonts w:ascii="Garamond" w:hAnsi="Garamond" w:cs="NimbusRomNo9L-Regu"/>
                            <w:sz w:val="16"/>
                            <w:szCs w:val="16"/>
                            <w:lang w:val="en-US" w:eastAsia="nl-NL"/>
                          </w:rPr>
                        </w:pPr>
                        <w:r w:rsidRPr="002E2E49">
                          <w:rPr>
                            <w:rFonts w:ascii="Garamond" w:hAnsi="Garamond"/>
                            <w:sz w:val="16"/>
                            <w:szCs w:val="16"/>
                            <w:lang w:val="en-US"/>
                          </w:rPr>
                          <w:t xml:space="preserve">The remaining utilized model specifications are the </w:t>
                        </w:r>
                        <w:r w:rsidRPr="002E2E49">
                          <w:rPr>
                            <w:rFonts w:ascii="Garamond" w:hAnsi="Garamond" w:cs="NimbusRomNo9L-Regu"/>
                            <w:sz w:val="16"/>
                            <w:szCs w:val="16"/>
                            <w:lang w:val="en-US" w:eastAsia="nl-NL"/>
                          </w:rPr>
                          <w:t xml:space="preserve">Student’s </w:t>
                        </w:r>
                        <w:r w:rsidRPr="002E2E49">
                          <w:rPr>
                            <w:rFonts w:ascii="Garamond" w:hAnsi="Garamond" w:cs="NimbusRomNo9L-Regu"/>
                            <w:i/>
                            <w:sz w:val="16"/>
                            <w:szCs w:val="16"/>
                            <w:lang w:val="en-US" w:eastAsia="nl-NL"/>
                          </w:rPr>
                          <w:t>t</w:t>
                        </w:r>
                        <w:r w:rsidRPr="002E2E49">
                          <w:rPr>
                            <w:rFonts w:ascii="Garamond" w:hAnsi="Garamond" w:cs="NimbusRomNo9L-Regu"/>
                            <w:sz w:val="16"/>
                            <w:szCs w:val="16"/>
                            <w:lang w:val="en-US" w:eastAsia="nl-NL"/>
                          </w:rPr>
                          <w:t>-15 copula</w:t>
                        </w:r>
                        <w:r w:rsidRPr="002E2E49">
                          <w:rPr>
                            <w:rFonts w:ascii="Garamond" w:hAnsi="Garamond"/>
                            <w:sz w:val="16"/>
                            <w:szCs w:val="16"/>
                            <w:lang w:val="en-US"/>
                          </w:rPr>
                          <w:t xml:space="preserve"> assumption, the unconditional duration migration matrix, the credit crisis period equity correlations </w:t>
                        </w:r>
                        <w:r w:rsidRPr="002E2E49">
                          <w:rPr>
                            <w:rFonts w:ascii="Garamond" w:hAnsi="Garamond" w:cs="NimbusRomNo9L-Regu"/>
                            <w:color w:val="000000"/>
                            <w:sz w:val="16"/>
                            <w:szCs w:val="16"/>
                            <w:lang w:val="en-US" w:eastAsia="nl-NL"/>
                          </w:rPr>
                          <w:t>and the equity autocorrelations. The estimated distributions concern the results for the long-short portfolio. The portfolio return probability is equal to the frequency divided by 200,000 (the number of simulations).</w:t>
                        </w:r>
                      </w:p>
                    </w:tc>
                  </w:tr>
                </w:tbl>
                <w:p w:rsidR="001C7C52" w:rsidRPr="00AC31E3" w:rsidRDefault="001C7C52" w:rsidP="002000B8">
                  <w:pPr>
                    <w:rPr>
                      <w:lang w:val="en-US"/>
                    </w:rPr>
                  </w:pPr>
                </w:p>
              </w:txbxContent>
            </v:textbox>
            <w10:wrap type="square"/>
          </v:shape>
        </w:pict>
      </w:r>
      <w:r w:rsidRPr="00802C03">
        <w:rPr>
          <w:rFonts w:ascii="Garamond" w:hAnsi="Garamond" w:cs="NimbusRomNo9L-Regu"/>
          <w:color w:val="000000"/>
          <w:lang w:val="en-GB" w:eastAsia="nl-NL"/>
        </w:rPr>
        <w:t xml:space="preserve">The effects of the different liquidity horizons assumptions are graphically displayed in </w:t>
      </w:r>
      <w:hyperlink w:anchor="F9" w:history="1">
        <w:r w:rsidRPr="00802C03">
          <w:rPr>
            <w:rStyle w:val="Hyperlink"/>
            <w:rFonts w:ascii="Garamond" w:hAnsi="Garamond" w:cs="NimbusRomNo9L-Regu"/>
            <w:color w:val="000066"/>
            <w:u w:val="none"/>
            <w:lang w:val="en-GB" w:eastAsia="nl-NL"/>
          </w:rPr>
          <w:t>figure IX</w:t>
        </w:r>
      </w:hyperlink>
      <w:r w:rsidRPr="00802C03">
        <w:rPr>
          <w:rFonts w:ascii="Garamond" w:hAnsi="Garamond" w:cs="NimbusRomNo9L-Regu"/>
          <w:color w:val="000000"/>
          <w:lang w:val="en-GB" w:eastAsia="nl-NL"/>
        </w:rPr>
        <w:t xml:space="preserve"> and </w:t>
      </w:r>
      <w:hyperlink w:anchor="F10" w:history="1">
        <w:r w:rsidRPr="00802C03">
          <w:rPr>
            <w:rStyle w:val="Hyperlink"/>
            <w:rFonts w:ascii="Garamond" w:hAnsi="Garamond" w:cs="NimbusRomNo9L-Regu"/>
            <w:color w:val="000066"/>
            <w:u w:val="none"/>
            <w:lang w:val="en-GB" w:eastAsia="nl-NL"/>
          </w:rPr>
          <w:t>figure X</w:t>
        </w:r>
      </w:hyperlink>
      <w:r w:rsidRPr="00802C03">
        <w:rPr>
          <w:rFonts w:ascii="Garamond" w:hAnsi="Garamond" w:cs="NimbusRomNo9L-Regu"/>
          <w:color w:val="000000"/>
          <w:lang w:val="en-GB" w:eastAsia="nl-NL"/>
        </w:rPr>
        <w:t xml:space="preserve">. The </w:t>
      </w:r>
      <w:r w:rsidRPr="00802C03">
        <w:rPr>
          <w:rFonts w:ascii="Garamond" w:hAnsi="Garamond" w:cs="NimbusRomNo9L-Regu"/>
          <w:lang w:val="en-GB" w:eastAsia="nl-NL"/>
        </w:rPr>
        <w:t xml:space="preserve">figures present the left tail of the portfolio return probability distribution and cumulative portfolio return probability distribution, respectively, for the long-short portfolio, resulting from each of the three liquidity horizon assumption sets. The remaining underlying model specification is the equal for the three probability curves in each figure. </w:t>
      </w:r>
      <w:hyperlink w:anchor="F9" w:history="1">
        <w:r w:rsidRPr="00802C03">
          <w:rPr>
            <w:rStyle w:val="Hyperlink"/>
            <w:rFonts w:ascii="Garamond" w:hAnsi="Garamond" w:cs="NimbusRomNo9L-Regu"/>
            <w:color w:val="000066"/>
            <w:u w:val="none"/>
            <w:lang w:val="en-GB" w:eastAsia="nl-NL"/>
          </w:rPr>
          <w:t>Figure IX</w:t>
        </w:r>
      </w:hyperlink>
      <w:r w:rsidRPr="00802C03">
        <w:rPr>
          <w:rFonts w:ascii="Garamond" w:hAnsi="Garamond" w:cs="NimbusRomNo9L-Regu"/>
          <w:lang w:val="en-GB" w:eastAsia="nl-NL"/>
        </w:rPr>
        <w:t xml:space="preserve"> sets forth a clear picture, since it demonstrates that the likelihood of larger losses is visibly higher when the liquidity horizons are increased. </w:t>
      </w:r>
      <w:hyperlink w:anchor="F10" w:history="1">
        <w:r w:rsidRPr="00802C03">
          <w:rPr>
            <w:rStyle w:val="Hyperlink"/>
            <w:rFonts w:ascii="Garamond" w:hAnsi="Garamond" w:cs="NimbusRomNo9L-Regu"/>
            <w:color w:val="000066"/>
            <w:u w:val="none"/>
            <w:lang w:val="en-GB" w:eastAsia="nl-NL"/>
          </w:rPr>
          <w:t>Figure X</w:t>
        </w:r>
      </w:hyperlink>
      <w:r w:rsidRPr="00802C03">
        <w:rPr>
          <w:rFonts w:ascii="Garamond" w:hAnsi="Garamond" w:cs="NimbusRomNo9L-Regu"/>
          <w:lang w:val="en-GB" w:eastAsia="nl-NL"/>
        </w:rPr>
        <w:t xml:space="preserve"> confirms this statement for the cumulative probability distribution. In essence, the figures reveal that the left tail of both the portfolio return probability distribution and the cumulative portfolio return probability distribution is highly sensitive to the liquidity horizon assumption set, underlying the evaluated portfolio. The portfolio return decreases drastically for a given cumulative probability, or VaR confidence interval, when the liquidity horizons of the positions in the portfolio are enlarged. </w:t>
      </w:r>
      <w:r w:rsidRPr="00802C03">
        <w:rPr>
          <w:rFonts w:ascii="Garamond" w:hAnsi="Garamond" w:cs="NimbusRomNo9L-Regu"/>
          <w:color w:val="000000"/>
          <w:lang w:val="en-GB" w:eastAsia="nl-NL"/>
        </w:rPr>
        <w:t>The main conclusion, based on the estimation results and both figures, is that a modest change in the liquidity horizon assumption set produces substantial variations in the relevant VaR-estimates or in more general terms</w:t>
      </w:r>
      <w:r>
        <w:rPr>
          <w:rFonts w:ascii="Garamond" w:hAnsi="Garamond" w:cs="NimbusRomNo9L-Regu"/>
          <w:color w:val="000000"/>
          <w:lang w:val="en-GB" w:eastAsia="nl-NL"/>
        </w:rPr>
        <w:t>,</w:t>
      </w:r>
      <w:r w:rsidRPr="00802C03">
        <w:rPr>
          <w:rFonts w:ascii="Garamond" w:hAnsi="Garamond" w:cs="NimbusRomNo9L-Regu"/>
          <w:color w:val="000000"/>
          <w:lang w:val="en-GB" w:eastAsia="nl-NL"/>
        </w:rPr>
        <w:t xml:space="preserve"> the model’s risk measures. As a consequence, a credit portfolio that is assumed to be less liquid will definitely generate a higher 99.9% VaR measure, which is entirely consistent with the objectives underlying the concept of the liquidity horizon. Hence, the liquidity horizon must be considered a crucial input in the model. </w:t>
      </w: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3.1.4</w:t>
      </w:r>
      <w:r w:rsidRPr="00802C03">
        <w:rPr>
          <w:rFonts w:ascii="Garamond" w:hAnsi="Garamond"/>
          <w:b/>
          <w:color w:val="000000"/>
          <w:lang w:val="en-GB"/>
        </w:rPr>
        <w:tab/>
      </w:r>
      <w:bookmarkStart w:id="82" w:name="S314"/>
      <w:bookmarkEnd w:id="82"/>
      <w:r w:rsidRPr="00802C03">
        <w:rPr>
          <w:rFonts w:ascii="Garamond" w:hAnsi="Garamond"/>
          <w:b/>
          <w:color w:val="000000"/>
          <w:lang w:val="en-GB"/>
        </w:rPr>
        <w:t>Concentrated Positions</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last model specification topic to be discussed is the effect of concentrated positions in the portfolio. Although concentrations are not actually inputs that require estimations or calibrations, it is informative as well as critical to make an assessment of the effects of concentrations on the risk measures of the model. The Basel Committee states that the effects of issuer concentrations and market concentrations should be captured in the incremental risk model. The assessment of the portfolio with concentrated positions (the concentrated portfolio) allows for the examination of the effect in the model of issuer concentrations in the form of two large positions in the portfolio. For this purpose, various model specifications are applied again. These different models are estimated for both the long-short portfolio (LS) and for the long-short portfolio with concentrated positions (LS-C).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net and absolute exposure of both portfolios is equal, as well as the relative and absolute long and short exposure to each credit rating. This equivalence ensures that the VaR-estimates resulting from both portfolios can be directly compared. The only additional difference between both portfolios is that the liquidity horizons of the two concentrated positions are increased by three months in the concentrated portfolio. Apart from the direct comparison of the results generated by both portfolios, the second objective is to examine whether the conclusions highlighted in the previous sections still apply for the concentrated portfolio.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Four different model specifications are estimated for both portfolios and for all three copula assumptions. The results are shown in </w:t>
      </w:r>
      <w:hyperlink w:anchor="T11" w:history="1">
        <w:r w:rsidRPr="00802C03">
          <w:rPr>
            <w:rStyle w:val="Hyperlink"/>
            <w:rFonts w:ascii="Garamond" w:hAnsi="Garamond" w:cs="NimbusRomNo9L-Regu"/>
            <w:color w:val="000066"/>
            <w:u w:val="none"/>
            <w:lang w:val="en-GB" w:eastAsia="nl-NL"/>
          </w:rPr>
          <w:t>table XI</w:t>
        </w:r>
      </w:hyperlink>
      <w:r w:rsidRPr="00802C03">
        <w:rPr>
          <w:rFonts w:ascii="Garamond" w:hAnsi="Garamond" w:cs="NimbusRomNo9L-Regu"/>
          <w:lang w:val="en-GB" w:eastAsia="nl-NL"/>
        </w:rPr>
        <w:t>. The estimates in panel A are computed with the use of the unconditional duration migration matrix, the credit crisis equity correlations and equity autocorrelations. The panel B estimates are generated using of the duration migration matrix conditional to the credit crisis, the credit crisis equity correlations and equity autocorrelations. The panel C estimates employ the unconditional duration migration matrix, the stable period equity correlations and equity autocorrelations. Lastly, the panel D estimates are the result of the application of the unconditional duration migration matrix and the credit crisis equity correlations. Hence, issuer autocorrelation is not incorporated in this last specification.</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In the comparison of the two portfolios for each model specification, it is very clear that the concentrated portfolio generates much higher VaR-estimates. Large and significant differences between the estimates of the long-short portfolio and the concentrated portfolio are observed for all different model specifications. The 99.9% VaR-estimates display a difference, ranging from 5.5% to 13%. The 99% VaR-estimates show an average difference 9% in favo</w:t>
      </w:r>
      <w:r>
        <w:rPr>
          <w:rFonts w:ascii="Garamond" w:hAnsi="Garamond" w:cs="NimbusRomNo9L-Regu"/>
          <w:lang w:val="en-GB" w:eastAsia="nl-NL"/>
        </w:rPr>
        <w:t>u</w:t>
      </w:r>
      <w:r w:rsidRPr="00802C03">
        <w:rPr>
          <w:rFonts w:ascii="Garamond" w:hAnsi="Garamond" w:cs="NimbusRomNo9L-Regu"/>
          <w:lang w:val="en-GB" w:eastAsia="nl-NL"/>
        </w:rPr>
        <w:t xml:space="preserve">r of the concentrated portfolio. Lastly, the difference in the 95% VaR-estimates ranges from 3% to 6.5%. The conclusion is extremely clear. The effect of the introduction of concentrated positions in the long-short portfolio is rather large. Obviously, the large differences that can be found in the VaR-estimates are dependent on the applied definition of concentrated positions and would have been smaller in magnitude if the concentrated positions would have been relatively smaller. Also note that the increase in the VaR-estimates generated for the concentrated portfolio are partially due to the increased liquidity horizons of the concentrated positions. Nevertheless, the VaR-estimates undoubtedly show that the model implied risk is relatively sensitive to concentrations.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In essence, a concentration is nothing more than a set of highly correlated positions or perfectly correlated positions when one large position is considered as the concentration. Therefore, the conclusions drawn on the subject apply to market concentrations as well, but to a smaller extent (i.e. the effects are smaller for market concentrations). The additional risk induced by market concentrations is simply caused by much higher than average correlations. A further increase of the model implied risk may be induced by higher liquidity horizon assumptions for the positions that are part of the market concentration. Similar to issuer concentrations, these positions are likely to require more time to be sold or hedged in an economic downturn than positions that are not part of a concentration of any type.</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second aspect that is addressed with the use of </w:t>
      </w:r>
      <w:hyperlink w:anchor="T11" w:history="1">
        <w:r w:rsidRPr="00802C03">
          <w:rPr>
            <w:rStyle w:val="Hyperlink"/>
            <w:rFonts w:ascii="Garamond" w:hAnsi="Garamond" w:cs="NimbusRomNo9L-Regu"/>
            <w:color w:val="000066"/>
            <w:u w:val="none"/>
            <w:lang w:val="en-GB" w:eastAsia="nl-NL"/>
          </w:rPr>
          <w:t>table XI</w:t>
        </w:r>
      </w:hyperlink>
      <w:r w:rsidRPr="00802C03">
        <w:rPr>
          <w:rFonts w:ascii="Garamond" w:hAnsi="Garamond" w:cs="NimbusRomNo9L-Regu"/>
          <w:lang w:val="en-GB" w:eastAsia="nl-NL"/>
        </w:rPr>
        <w:t xml:space="preserve">, are the conclusions that have been drawn in the previous sections. Basically, the model estimations, under the various parameter specifications, allow for a second assessment of the previous topics in the context of the portfolio with concentrated positions. In essence, the estimations show whether these conclusions are robust to the concentrated portfolio. </w:t>
      </w:r>
    </w:p>
    <w:p w:rsidR="001C7C52" w:rsidRPr="00802C03" w:rsidRDefault="001C7C52" w:rsidP="001F0514">
      <w:pPr>
        <w:spacing w:line="280" w:lineRule="exact"/>
        <w:jc w:val="both"/>
        <w:rPr>
          <w:rFonts w:ascii="Garamond" w:hAnsi="Garamond" w:cs="NimbusRomNo9L-Regu"/>
          <w:lang w:val="en-GB" w:eastAsia="nl-NL"/>
        </w:rPr>
      </w:pPr>
      <w:r>
        <w:rPr>
          <w:noProof/>
          <w:lang w:val="en-US"/>
        </w:rPr>
        <w:pict>
          <v:shape id="_x0000_s1122" type="#_x0000_t202" style="position:absolute;left:0;text-align:left;margin-left:-12.45pt;margin-top:119.9pt;width:495.85pt;height:556.7pt;z-index:251652608" stroked="f">
            <v:textbox style="mso-next-textbox:#_x0000_s1122">
              <w:txbxContent>
                <w:p w:rsidR="001C7C52" w:rsidRPr="00DE7ECF" w:rsidRDefault="001C7C52" w:rsidP="002000B8">
                  <w:pPr>
                    <w:spacing w:line="300" w:lineRule="exact"/>
                    <w:jc w:val="both"/>
                    <w:rPr>
                      <w:rFonts w:ascii="Garamond" w:hAnsi="Garamond" w:cs="NimbusRomNo9L-Regu"/>
                      <w:color w:val="000000"/>
                      <w:lang w:val="en-US" w:eastAsia="nl-NL"/>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51"/>
                    <w:gridCol w:w="798"/>
                    <w:gridCol w:w="799"/>
                    <w:gridCol w:w="799"/>
                    <w:gridCol w:w="799"/>
                    <w:gridCol w:w="799"/>
                    <w:gridCol w:w="799"/>
                    <w:gridCol w:w="799"/>
                    <w:gridCol w:w="799"/>
                    <w:gridCol w:w="799"/>
                    <w:gridCol w:w="799"/>
                    <w:gridCol w:w="799"/>
                  </w:tblGrid>
                  <w:tr w:rsidR="001C7C52" w:rsidRPr="000B0ADE" w:rsidTr="002000B8">
                    <w:tc>
                      <w:tcPr>
                        <w:tcW w:w="9639" w:type="dxa"/>
                        <w:gridSpan w:val="12"/>
                        <w:tcBorders>
                          <w:top w:val="nil"/>
                          <w:left w:val="nil"/>
                          <w:bottom w:val="single" w:sz="4" w:space="0" w:color="auto"/>
                          <w:right w:val="nil"/>
                        </w:tcBorders>
                        <w:vAlign w:val="center"/>
                      </w:tcPr>
                      <w:p w:rsidR="001C7C52" w:rsidRPr="00495433" w:rsidRDefault="001C7C52" w:rsidP="002000B8">
                        <w:pPr>
                          <w:spacing w:line="240" w:lineRule="auto"/>
                          <w:rPr>
                            <w:rFonts w:ascii="Garamond" w:hAnsi="Garamond"/>
                            <w:sz w:val="20"/>
                            <w:lang w:val="en-US"/>
                          </w:rPr>
                        </w:pPr>
                        <w:bookmarkStart w:id="83" w:name="T11"/>
                        <w:bookmarkEnd w:id="83"/>
                        <w:r w:rsidRPr="00495433">
                          <w:rPr>
                            <w:rFonts w:ascii="Garamond" w:hAnsi="Garamond"/>
                            <w:b/>
                            <w:lang w:val="en-US"/>
                          </w:rPr>
                          <w:t>T</w:t>
                        </w:r>
                        <w:r>
                          <w:rPr>
                            <w:rFonts w:ascii="Garamond" w:hAnsi="Garamond"/>
                            <w:b/>
                            <w:sz w:val="18"/>
                            <w:szCs w:val="18"/>
                            <w:lang w:val="en-US"/>
                          </w:rPr>
                          <w:t>AB</w:t>
                        </w:r>
                        <w:r w:rsidRPr="00495433">
                          <w:rPr>
                            <w:rFonts w:ascii="Garamond" w:hAnsi="Garamond"/>
                            <w:b/>
                            <w:sz w:val="18"/>
                            <w:szCs w:val="18"/>
                            <w:lang w:val="en-US"/>
                          </w:rPr>
                          <w:t>L</w:t>
                        </w:r>
                        <w:r>
                          <w:rPr>
                            <w:rFonts w:ascii="Garamond" w:hAnsi="Garamond"/>
                            <w:b/>
                            <w:sz w:val="18"/>
                            <w:szCs w:val="18"/>
                            <w:lang w:val="en-US"/>
                          </w:rPr>
                          <w:t>E</w:t>
                        </w:r>
                        <w:r>
                          <w:rPr>
                            <w:rFonts w:ascii="Garamond" w:hAnsi="Garamond"/>
                            <w:b/>
                            <w:lang w:val="en-US"/>
                          </w:rPr>
                          <w:t xml:space="preserve"> </w:t>
                        </w:r>
                        <w:r w:rsidRPr="005E2825">
                          <w:rPr>
                            <w:rFonts w:ascii="Garamond" w:hAnsi="Garamond"/>
                            <w:b/>
                            <w:color w:val="000000"/>
                            <w:lang w:val="en-US"/>
                          </w:rPr>
                          <w:t>XI</w:t>
                        </w:r>
                        <w:r>
                          <w:rPr>
                            <w:rFonts w:ascii="Garamond" w:hAnsi="Garamond"/>
                            <w:b/>
                            <w:color w:val="000000"/>
                            <w:lang w:val="en-US"/>
                          </w:rPr>
                          <w:t xml:space="preserve"> </w:t>
                        </w:r>
                        <w:r w:rsidRPr="007928F1">
                          <w:rPr>
                            <w:rFonts w:ascii="Garamond" w:hAnsi="Garamond"/>
                            <w:color w:val="000000"/>
                            <w:lang w:val="en-US"/>
                          </w:rPr>
                          <w:t>-</w:t>
                        </w:r>
                        <w:r>
                          <w:rPr>
                            <w:rFonts w:ascii="Garamond" w:hAnsi="Garamond"/>
                            <w:b/>
                            <w:color w:val="000000"/>
                            <w:lang w:val="en-US"/>
                          </w:rPr>
                          <w:t xml:space="preserve"> </w:t>
                        </w:r>
                        <w:r>
                          <w:rPr>
                            <w:rFonts w:ascii="Garamond" w:hAnsi="Garamond"/>
                            <w:sz w:val="20"/>
                            <w:lang w:val="en-US"/>
                          </w:rPr>
                          <w:t>Incremental Risk Model Estimates: Concentrations</w:t>
                        </w:r>
                      </w:p>
                    </w:tc>
                  </w:tr>
                  <w:tr w:rsidR="001C7C52" w:rsidRPr="000B0ADE" w:rsidTr="002000B8">
                    <w:tc>
                      <w:tcPr>
                        <w:tcW w:w="851" w:type="dxa"/>
                        <w:tcBorders>
                          <w:top w:val="single" w:sz="4" w:space="0" w:color="auto"/>
                          <w:left w:val="nil"/>
                          <w:bottom w:val="nil"/>
                          <w:right w:val="nil"/>
                        </w:tcBorders>
                        <w:vAlign w:val="center"/>
                      </w:tcPr>
                      <w:p w:rsidR="001C7C52" w:rsidRPr="00495433" w:rsidRDefault="001C7C52" w:rsidP="002000B8">
                        <w:pPr>
                          <w:rPr>
                            <w:rFonts w:ascii="Garamond" w:hAnsi="Garamond"/>
                            <w:sz w:val="20"/>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2000B8">
                        <w:pPr>
                          <w:rPr>
                            <w:rFonts w:ascii="Garamond" w:hAnsi="Garamond"/>
                            <w:i/>
                            <w:sz w:val="20"/>
                            <w:lang w:val="en-US"/>
                          </w:rPr>
                        </w:pPr>
                        <w:r w:rsidRPr="005A7F06">
                          <w:rPr>
                            <w:rFonts w:ascii="Garamond" w:hAnsi="Garamond"/>
                            <w:i/>
                            <w:sz w:val="20"/>
                            <w:lang w:val="en-US"/>
                          </w:rPr>
                          <w:t xml:space="preserve">A. </w:t>
                        </w:r>
                        <w:r>
                          <w:rPr>
                            <w:rFonts w:ascii="Garamond" w:hAnsi="Garamond"/>
                            <w:i/>
                            <w:sz w:val="20"/>
                            <w:lang w:val="en-US"/>
                          </w:rPr>
                          <w:t>Duration matrix, credit crisis equity correlations and equity autocorrelations</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nil"/>
                          <w:left w:val="nil"/>
                          <w:bottom w:val="single" w:sz="4" w:space="0" w:color="auto"/>
                          <w:right w:val="nil"/>
                        </w:tcBorders>
                        <w:vAlign w:val="center"/>
                      </w:tcPr>
                      <w:p w:rsidR="001C7C52" w:rsidRPr="005A7F06" w:rsidRDefault="001C7C52" w:rsidP="002000B8">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nil"/>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nil"/>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nil"/>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$0.548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24.65%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24.01%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25.75%</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12.63%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12.41%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12.84%</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5.12%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5.05%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5.21%</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$0.929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41.74%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40.36%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43.13%</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17.28%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16.88%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17.67%</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5.07%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4.96%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5.19%</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$0.713</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32.05%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31.18%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33.06%</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14.75%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14.41%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15.01%</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5.26%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5.16%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5.36%</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LS-C</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$0.804</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36.15%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35.48%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36.79%</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22.54%</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22.22%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22.82%</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9.45%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9.27%</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9.62%</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$1.133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50.90%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49.68%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52.61%</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26.13%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25.74%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26.52%</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8.56%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8.35%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8.80%</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$0.939</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42.19%</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40.76%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43.59%</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24.30%</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23.88%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24.62%</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9.14%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8.94%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9.33%</w:t>
                        </w:r>
                      </w:p>
                    </w:tc>
                  </w:tr>
                  <w:tr w:rsidR="001C7C52" w:rsidRPr="000B0ADE" w:rsidTr="002000B8">
                    <w:tc>
                      <w:tcPr>
                        <w:tcW w:w="851"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2000B8">
                        <w:pPr>
                          <w:rPr>
                            <w:rFonts w:ascii="Garamond" w:hAnsi="Garamond"/>
                            <w:i/>
                            <w:sz w:val="18"/>
                            <w:szCs w:val="18"/>
                            <w:lang w:val="en-US"/>
                          </w:rPr>
                        </w:pPr>
                        <w:r w:rsidRPr="005A7F06">
                          <w:rPr>
                            <w:rFonts w:ascii="Garamond" w:hAnsi="Garamond"/>
                            <w:i/>
                            <w:sz w:val="20"/>
                            <w:lang w:val="en-US"/>
                          </w:rPr>
                          <w:t xml:space="preserve">B. </w:t>
                        </w:r>
                        <w:r>
                          <w:rPr>
                            <w:rFonts w:ascii="Garamond" w:hAnsi="Garamond"/>
                            <w:i/>
                            <w:sz w:val="20"/>
                            <w:lang w:val="en-US"/>
                          </w:rPr>
                          <w:t>Duration matrix conditional to the credit crisis period, credit crisis equity correlations and equity autocorrelations</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2000B8">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$0.733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32.92%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32.08%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33.77%</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17.73%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17.48%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17.98%</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8.40%</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8.31%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8.51%</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$1.199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53.89%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52.01%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55.74%</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23.37%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22.93%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23.90%</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9.04%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8.90%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9.18%</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$0.928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41.69%</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40.25%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43.01%</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20.11%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19.81%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20.51%</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8.90%</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8.78%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9.00%</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LS-C</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$0.958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43.04%</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42.23%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44.22%</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28.18%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27.95%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28.49%</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14.93%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14.75%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15.11%</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$1.303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58.57%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57.27%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60.86%</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31.74%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31.32%</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32.14%</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15.24%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14.98%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15.46%</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$1.080</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48.56%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47.44%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50.16%</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29.98%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29.68%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30.31%</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15.20%</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14.98%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15.40%</w:t>
                        </w:r>
                      </w:p>
                    </w:tc>
                  </w:tr>
                  <w:tr w:rsidR="001C7C52" w:rsidRPr="000B0ADE"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5A7F06" w:rsidRDefault="001C7C52" w:rsidP="002000B8">
                        <w:pPr>
                          <w:rPr>
                            <w:rFonts w:ascii="Garamond" w:hAnsi="Garamond"/>
                            <w:i/>
                            <w:sz w:val="18"/>
                            <w:szCs w:val="18"/>
                            <w:lang w:val="en-US"/>
                          </w:rPr>
                        </w:pPr>
                        <w:r>
                          <w:rPr>
                            <w:rFonts w:ascii="Garamond" w:hAnsi="Garamond"/>
                            <w:i/>
                            <w:sz w:val="20"/>
                            <w:lang w:val="en-US"/>
                          </w:rPr>
                          <w:t>C. Duration matrix, stable period equity correlations and equity autocorrelations</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5A7F06" w:rsidRDefault="001C7C52" w:rsidP="002000B8">
                        <w:pPr>
                          <w:spacing w:line="240" w:lineRule="auto"/>
                          <w:jc w:val="center"/>
                          <w:rPr>
                            <w:rFonts w:ascii="Garamond" w:hAnsi="Garamond"/>
                            <w:sz w:val="18"/>
                            <w:szCs w:val="18"/>
                            <w:lang w:val="en-US"/>
                          </w:rPr>
                        </w:pPr>
                        <w:r w:rsidRPr="006A2342">
                          <w:rPr>
                            <w:rFonts w:ascii="Garamond" w:hAnsi="Garamond"/>
                            <w:b/>
                            <w:sz w:val="18"/>
                            <w:szCs w:val="18"/>
                            <w:lang w:val="en-US"/>
                          </w:rPr>
                          <w:t>99.9% VaR</w:t>
                        </w:r>
                        <w:r>
                          <w:rPr>
                            <w:rFonts w:ascii="Garamond" w:hAnsi="Garamond"/>
                            <w:sz w:val="18"/>
                            <w:szCs w:val="18"/>
                            <w:lang w:val="en-US"/>
                          </w:rPr>
                          <w:t>*</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8F7A96" w:rsidRDefault="001C7C52" w:rsidP="002000B8">
                        <w:pPr>
                          <w:spacing w:line="240" w:lineRule="auto"/>
                          <w:jc w:val="center"/>
                          <w:rPr>
                            <w:rFonts w:ascii="Garamond" w:hAnsi="Garamond"/>
                            <w:b/>
                            <w:sz w:val="18"/>
                            <w:szCs w:val="18"/>
                            <w:lang w:val="en-US"/>
                          </w:rPr>
                        </w:pPr>
                        <w:r w:rsidRPr="008F7A96">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$0.478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21.48%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20.93%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22.12%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12.08%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11.93%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12.26%</w:t>
                        </w:r>
                      </w:p>
                    </w:tc>
                    <w:tc>
                      <w:tcPr>
                        <w:tcW w:w="799" w:type="dxa"/>
                        <w:tcBorders>
                          <w:top w:val="single" w:sz="4" w:space="0" w:color="auto"/>
                          <w:left w:val="nil"/>
                          <w:bottom w:val="nil"/>
                          <w:right w:val="nil"/>
                        </w:tcBorders>
                        <w:vAlign w:val="center"/>
                      </w:tcPr>
                      <w:p w:rsidR="001C7C52" w:rsidRPr="00EF5F9A" w:rsidRDefault="001C7C52" w:rsidP="002000B8">
                        <w:pPr>
                          <w:jc w:val="center"/>
                          <w:rPr>
                            <w:rFonts w:ascii="Garamond" w:hAnsi="Garamond"/>
                            <w:b/>
                            <w:sz w:val="18"/>
                            <w:szCs w:val="18"/>
                            <w:lang w:val="en-US"/>
                          </w:rPr>
                        </w:pPr>
                        <w:r w:rsidRPr="00EF5F9A">
                          <w:rPr>
                            <w:rFonts w:ascii="Garamond" w:hAnsi="Garamond"/>
                            <w:b/>
                            <w:sz w:val="18"/>
                            <w:szCs w:val="18"/>
                            <w:lang w:val="en-US"/>
                          </w:rPr>
                          <w:t>5.80</w:t>
                        </w:r>
                        <w:r>
                          <w:rPr>
                            <w:rFonts w:ascii="Garamond" w:hAnsi="Garamond"/>
                            <w:b/>
                            <w:sz w:val="18"/>
                            <w:szCs w:val="18"/>
                            <w:lang w:val="en-US"/>
                          </w:rPr>
                          <w:t>%</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5.73%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5.88%</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$0.888</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39.90%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38.47%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42.26%</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17.43%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17.04%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17.81%</w:t>
                        </w:r>
                      </w:p>
                    </w:tc>
                    <w:tc>
                      <w:tcPr>
                        <w:tcW w:w="799" w:type="dxa"/>
                        <w:tcBorders>
                          <w:top w:val="nil"/>
                          <w:left w:val="nil"/>
                          <w:bottom w:val="nil"/>
                          <w:right w:val="nil"/>
                        </w:tcBorders>
                        <w:vAlign w:val="center"/>
                      </w:tcPr>
                      <w:p w:rsidR="001C7C52" w:rsidRPr="00EF5F9A" w:rsidRDefault="001C7C52" w:rsidP="002000B8">
                        <w:pPr>
                          <w:jc w:val="center"/>
                          <w:rPr>
                            <w:rFonts w:ascii="Garamond" w:hAnsi="Garamond"/>
                            <w:b/>
                            <w:sz w:val="18"/>
                            <w:szCs w:val="18"/>
                            <w:lang w:val="en-US"/>
                          </w:rPr>
                        </w:pPr>
                        <w:r>
                          <w:rPr>
                            <w:rFonts w:ascii="Garamond" w:hAnsi="Garamond"/>
                            <w:b/>
                            <w:sz w:val="18"/>
                            <w:szCs w:val="18"/>
                            <w:lang w:val="en-US"/>
                          </w:rPr>
                          <w:t>5.85%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5.74%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5.97%</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$0.638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28.69%</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27.75%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29.88%</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14.67%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14.38%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14.90%</w:t>
                        </w:r>
                      </w:p>
                    </w:tc>
                    <w:tc>
                      <w:tcPr>
                        <w:tcW w:w="799" w:type="dxa"/>
                        <w:tcBorders>
                          <w:top w:val="nil"/>
                          <w:left w:val="nil"/>
                          <w:bottom w:val="single" w:sz="4" w:space="0" w:color="auto"/>
                          <w:right w:val="nil"/>
                        </w:tcBorders>
                        <w:vAlign w:val="center"/>
                      </w:tcPr>
                      <w:p w:rsidR="001C7C52" w:rsidRPr="00EF5F9A" w:rsidRDefault="001C7C52" w:rsidP="002000B8">
                        <w:pPr>
                          <w:jc w:val="center"/>
                          <w:rPr>
                            <w:rFonts w:ascii="Garamond" w:hAnsi="Garamond"/>
                            <w:b/>
                            <w:sz w:val="18"/>
                            <w:szCs w:val="18"/>
                            <w:lang w:val="en-US"/>
                          </w:rPr>
                        </w:pPr>
                        <w:r>
                          <w:rPr>
                            <w:rFonts w:ascii="Garamond" w:hAnsi="Garamond"/>
                            <w:b/>
                            <w:sz w:val="18"/>
                            <w:szCs w:val="18"/>
                            <w:lang w:val="en-US"/>
                          </w:rPr>
                          <w:t>6.07%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5.98%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6.17%</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LS-C</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$0.765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34.37%</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33.85%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35.16%</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22.14%</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21.82%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22.46%</w:t>
                        </w:r>
                      </w:p>
                    </w:tc>
                    <w:tc>
                      <w:tcPr>
                        <w:tcW w:w="799" w:type="dxa"/>
                        <w:tcBorders>
                          <w:top w:val="single" w:sz="4" w:space="0" w:color="auto"/>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9.63%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9.48%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9.78%</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$1.021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45.90</w:t>
                        </w:r>
                        <w:r w:rsidRPr="00DB62C0">
                          <w:rPr>
                            <w:rFonts w:ascii="Garamond" w:hAnsi="Garamond"/>
                            <w:b/>
                            <w:sz w:val="18"/>
                            <w:szCs w:val="18"/>
                            <w:lang w:val="en-US"/>
                          </w:rPr>
                          <w:t>%</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44.36%</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47.53%</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25.70%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25.30%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26.11%</w:t>
                        </w:r>
                      </w:p>
                    </w:tc>
                    <w:tc>
                      <w:tcPr>
                        <w:tcW w:w="799" w:type="dxa"/>
                        <w:tcBorders>
                          <w:top w:val="nil"/>
                          <w:left w:val="nil"/>
                          <w:bottom w:val="nil"/>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8.61%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8.39%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8.81%</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$0.891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b/>
                            <w:sz w:val="18"/>
                            <w:szCs w:val="18"/>
                            <w:lang w:val="en-US"/>
                          </w:rPr>
                        </w:pPr>
                        <w:r>
                          <w:rPr>
                            <w:rFonts w:ascii="Garamond" w:hAnsi="Garamond"/>
                            <w:b/>
                            <w:sz w:val="18"/>
                            <w:szCs w:val="18"/>
                            <w:lang w:val="en-US"/>
                          </w:rPr>
                          <w:t>40.02%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39.44%</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40.95%</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24.09%</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23.78%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24.41%</w:t>
                        </w:r>
                      </w:p>
                    </w:tc>
                    <w:tc>
                      <w:tcPr>
                        <w:tcW w:w="799" w:type="dxa"/>
                        <w:tcBorders>
                          <w:top w:val="nil"/>
                          <w:left w:val="nil"/>
                          <w:bottom w:val="single" w:sz="4" w:space="0" w:color="auto"/>
                          <w:right w:val="nil"/>
                        </w:tcBorders>
                        <w:vAlign w:val="center"/>
                      </w:tcPr>
                      <w:p w:rsidR="001C7C52" w:rsidRPr="002A400E" w:rsidRDefault="001C7C52" w:rsidP="002000B8">
                        <w:pPr>
                          <w:jc w:val="center"/>
                          <w:rPr>
                            <w:rFonts w:ascii="Garamond" w:hAnsi="Garamond"/>
                            <w:b/>
                            <w:sz w:val="18"/>
                            <w:szCs w:val="18"/>
                            <w:lang w:val="en-US"/>
                          </w:rPr>
                        </w:pPr>
                        <w:r>
                          <w:rPr>
                            <w:rFonts w:ascii="Garamond" w:hAnsi="Garamond"/>
                            <w:b/>
                            <w:sz w:val="18"/>
                            <w:szCs w:val="18"/>
                            <w:lang w:val="en-US"/>
                          </w:rPr>
                          <w:t>9.67%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9.48%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9.85%</w:t>
                        </w:r>
                      </w:p>
                    </w:tc>
                  </w:tr>
                  <w:tr w:rsidR="001C7C52" w:rsidRPr="000B0ADE" w:rsidTr="002000B8">
                    <w:tc>
                      <w:tcPr>
                        <w:tcW w:w="851" w:type="dxa"/>
                        <w:tcBorders>
                          <w:top w:val="single" w:sz="4" w:space="0" w:color="auto"/>
                          <w:left w:val="nil"/>
                          <w:bottom w:val="nil"/>
                          <w:right w:val="nil"/>
                        </w:tcBorders>
                        <w:vAlign w:val="center"/>
                      </w:tcPr>
                      <w:p w:rsidR="001C7C52" w:rsidRDefault="001C7C52" w:rsidP="002000B8">
                        <w:pPr>
                          <w:rPr>
                            <w:rFonts w:ascii="Garamond" w:hAnsi="Garamond"/>
                            <w:sz w:val="18"/>
                            <w:szCs w:val="18"/>
                            <w:lang w:val="en-US"/>
                          </w:rPr>
                        </w:pPr>
                      </w:p>
                    </w:tc>
                    <w:tc>
                      <w:tcPr>
                        <w:tcW w:w="8788" w:type="dxa"/>
                        <w:gridSpan w:val="11"/>
                        <w:tcBorders>
                          <w:top w:val="single" w:sz="4" w:space="0" w:color="auto"/>
                          <w:left w:val="nil"/>
                          <w:bottom w:val="single" w:sz="4" w:space="0" w:color="auto"/>
                          <w:right w:val="nil"/>
                        </w:tcBorders>
                        <w:vAlign w:val="center"/>
                      </w:tcPr>
                      <w:p w:rsidR="001C7C52" w:rsidRPr="006A2342" w:rsidRDefault="001C7C52" w:rsidP="002000B8">
                        <w:pPr>
                          <w:rPr>
                            <w:rFonts w:ascii="Garamond" w:hAnsi="Garamond"/>
                            <w:sz w:val="18"/>
                            <w:szCs w:val="18"/>
                            <w:lang w:val="en-US"/>
                          </w:rPr>
                        </w:pPr>
                        <w:r>
                          <w:rPr>
                            <w:rFonts w:ascii="Garamond" w:hAnsi="Garamond"/>
                            <w:i/>
                            <w:sz w:val="20"/>
                            <w:lang w:val="en-US"/>
                          </w:rPr>
                          <w:t>D</w:t>
                        </w:r>
                        <w:r w:rsidRPr="005A7F06">
                          <w:rPr>
                            <w:rFonts w:ascii="Garamond" w:hAnsi="Garamond"/>
                            <w:i/>
                            <w:sz w:val="20"/>
                            <w:lang w:val="en-US"/>
                          </w:rPr>
                          <w:t xml:space="preserve">. </w:t>
                        </w:r>
                        <w:r>
                          <w:rPr>
                            <w:rFonts w:ascii="Garamond" w:hAnsi="Garamond"/>
                            <w:i/>
                            <w:sz w:val="20"/>
                            <w:lang w:val="en-US"/>
                          </w:rPr>
                          <w:t>Duration matrix, credit crisis equity correlations and no autocorrelations</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spacing w:line="240" w:lineRule="auto"/>
                          <w:rPr>
                            <w:rFonts w:ascii="Garamond" w:hAnsi="Garamond"/>
                            <w:sz w:val="18"/>
                            <w:szCs w:val="18"/>
                            <w:lang w:val="en-US"/>
                          </w:rPr>
                        </w:pPr>
                        <w:r>
                          <w:rPr>
                            <w:rFonts w:ascii="Garamond" w:hAnsi="Garamond"/>
                            <w:sz w:val="18"/>
                            <w:szCs w:val="18"/>
                            <w:lang w:val="en-US"/>
                          </w:rPr>
                          <w:t>Portfolio</w:t>
                        </w:r>
                      </w:p>
                    </w:tc>
                    <w:tc>
                      <w:tcPr>
                        <w:tcW w:w="798"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Copula</w:t>
                        </w:r>
                      </w:p>
                    </w:tc>
                    <w:tc>
                      <w:tcPr>
                        <w:tcW w:w="799" w:type="dxa"/>
                        <w:tcBorders>
                          <w:top w:val="single" w:sz="4" w:space="0" w:color="auto"/>
                          <w:left w:val="nil"/>
                          <w:bottom w:val="single" w:sz="4" w:space="0" w:color="auto"/>
                          <w:right w:val="nil"/>
                        </w:tcBorders>
                        <w:vAlign w:val="center"/>
                      </w:tcPr>
                      <w:p w:rsidR="001C7C52" w:rsidRPr="00635AAA" w:rsidRDefault="001C7C52" w:rsidP="002000B8">
                        <w:pPr>
                          <w:spacing w:line="240" w:lineRule="auto"/>
                          <w:jc w:val="center"/>
                          <w:rPr>
                            <w:rFonts w:ascii="Garamond" w:hAnsi="Garamond"/>
                            <w:sz w:val="18"/>
                            <w:szCs w:val="18"/>
                            <w:lang w:val="en-US"/>
                          </w:rPr>
                        </w:pPr>
                        <w:r w:rsidRPr="00635AAA">
                          <w:rPr>
                            <w:rFonts w:ascii="Garamond" w:hAnsi="Garamond"/>
                            <w:sz w:val="18"/>
                            <w:szCs w:val="18"/>
                            <w:lang w:val="en-US"/>
                          </w:rPr>
                          <w:t>99.9% VaR*</w:t>
                        </w:r>
                      </w:p>
                    </w:tc>
                    <w:tc>
                      <w:tcPr>
                        <w:tcW w:w="799" w:type="dxa"/>
                        <w:tcBorders>
                          <w:top w:val="single" w:sz="4" w:space="0" w:color="auto"/>
                          <w:left w:val="nil"/>
                          <w:bottom w:val="single" w:sz="4" w:space="0" w:color="auto"/>
                          <w:right w:val="nil"/>
                        </w:tcBorders>
                        <w:vAlign w:val="center"/>
                      </w:tcPr>
                      <w:p w:rsidR="001C7C52" w:rsidRPr="00635AAA" w:rsidRDefault="001C7C52" w:rsidP="002000B8">
                        <w:pPr>
                          <w:spacing w:line="240" w:lineRule="auto"/>
                          <w:jc w:val="center"/>
                          <w:rPr>
                            <w:rFonts w:ascii="Garamond" w:hAnsi="Garamond"/>
                            <w:b/>
                            <w:sz w:val="18"/>
                            <w:szCs w:val="18"/>
                            <w:lang w:val="en-US"/>
                          </w:rPr>
                        </w:pPr>
                        <w:r w:rsidRPr="00635AAA">
                          <w:rPr>
                            <w:rFonts w:ascii="Garamond" w:hAnsi="Garamond"/>
                            <w:b/>
                            <w:sz w:val="18"/>
                            <w:szCs w:val="18"/>
                            <w:lang w:val="en-US"/>
                          </w:rPr>
                          <w:t>99.9%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635AAA" w:rsidRDefault="001C7C52" w:rsidP="002000B8">
                        <w:pPr>
                          <w:spacing w:line="240" w:lineRule="auto"/>
                          <w:jc w:val="center"/>
                          <w:rPr>
                            <w:rFonts w:ascii="Garamond" w:hAnsi="Garamond"/>
                            <w:b/>
                            <w:sz w:val="18"/>
                            <w:szCs w:val="18"/>
                            <w:lang w:val="en-US"/>
                          </w:rPr>
                        </w:pPr>
                        <w:r w:rsidRPr="00635AAA">
                          <w:rPr>
                            <w:rFonts w:ascii="Garamond" w:hAnsi="Garamond"/>
                            <w:b/>
                            <w:sz w:val="18"/>
                            <w:szCs w:val="18"/>
                            <w:lang w:val="en-US"/>
                          </w:rPr>
                          <w:t>99%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c>
                      <w:tcPr>
                        <w:tcW w:w="799" w:type="dxa"/>
                        <w:tcBorders>
                          <w:top w:val="single" w:sz="4" w:space="0" w:color="auto"/>
                          <w:left w:val="nil"/>
                          <w:bottom w:val="single" w:sz="4" w:space="0" w:color="auto"/>
                          <w:right w:val="nil"/>
                        </w:tcBorders>
                        <w:vAlign w:val="center"/>
                      </w:tcPr>
                      <w:p w:rsidR="001C7C52" w:rsidRPr="00635AAA" w:rsidRDefault="001C7C52" w:rsidP="002000B8">
                        <w:pPr>
                          <w:spacing w:line="240" w:lineRule="auto"/>
                          <w:jc w:val="center"/>
                          <w:rPr>
                            <w:rFonts w:ascii="Garamond" w:hAnsi="Garamond"/>
                            <w:b/>
                            <w:sz w:val="18"/>
                            <w:szCs w:val="18"/>
                            <w:lang w:val="en-US"/>
                          </w:rPr>
                        </w:pPr>
                        <w:r w:rsidRPr="00635AAA">
                          <w:rPr>
                            <w:rFonts w:ascii="Garamond" w:hAnsi="Garamond"/>
                            <w:b/>
                            <w:sz w:val="18"/>
                            <w:szCs w:val="18"/>
                            <w:lang w:val="en-US"/>
                          </w:rPr>
                          <w:t>95% VaR %</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Upper Bound</w:t>
                        </w:r>
                      </w:p>
                    </w:tc>
                    <w:tc>
                      <w:tcPr>
                        <w:tcW w:w="799" w:type="dxa"/>
                        <w:tcBorders>
                          <w:top w:val="single" w:sz="4" w:space="0" w:color="auto"/>
                          <w:left w:val="nil"/>
                          <w:bottom w:val="single" w:sz="4" w:space="0" w:color="auto"/>
                          <w:right w:val="nil"/>
                        </w:tcBorders>
                        <w:vAlign w:val="center"/>
                      </w:tcPr>
                      <w:p w:rsidR="001C7C52" w:rsidRPr="006A2342" w:rsidRDefault="001C7C52" w:rsidP="002000B8">
                        <w:pPr>
                          <w:spacing w:line="240" w:lineRule="auto"/>
                          <w:jc w:val="center"/>
                          <w:rPr>
                            <w:rFonts w:ascii="Garamond" w:hAnsi="Garamond"/>
                            <w:sz w:val="18"/>
                            <w:szCs w:val="18"/>
                            <w:lang w:val="en-US"/>
                          </w:rPr>
                        </w:pPr>
                        <w:r>
                          <w:rPr>
                            <w:rFonts w:ascii="Garamond" w:hAnsi="Garamond"/>
                            <w:sz w:val="18"/>
                            <w:szCs w:val="18"/>
                            <w:lang w:val="en-US"/>
                          </w:rPr>
                          <w:t>Lower Bound</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sz w:val="18"/>
                            <w:szCs w:val="18"/>
                            <w:lang w:val="en-US"/>
                          </w:rPr>
                        </w:pPr>
                        <w:r w:rsidRPr="00635AAA">
                          <w:rPr>
                            <w:rFonts w:ascii="Garamond" w:hAnsi="Garamond"/>
                            <w:sz w:val="18"/>
                            <w:szCs w:val="18"/>
                            <w:lang w:val="en-US"/>
                          </w:rPr>
                          <w:t>$0.518</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23.26%</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22.68%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23.86%</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11.76%</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11.51%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11.97%</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5.03%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4.95%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5.09%</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sz w:val="18"/>
                            <w:szCs w:val="18"/>
                            <w:lang w:val="en-US"/>
                          </w:rPr>
                        </w:pPr>
                        <w:r w:rsidRPr="00635AAA">
                          <w:rPr>
                            <w:rFonts w:ascii="Garamond" w:hAnsi="Garamond"/>
                            <w:sz w:val="18"/>
                            <w:szCs w:val="18"/>
                            <w:lang w:val="en-US"/>
                          </w:rPr>
                          <w:t>$0.854</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38.40%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36.91%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40.33%</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16.02%</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15.67%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16.38%</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4.91%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4.80%</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5.03%</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sz w:val="18"/>
                            <w:szCs w:val="18"/>
                            <w:lang w:val="en-US"/>
                          </w:rPr>
                        </w:pPr>
                        <w:r w:rsidRPr="00635AAA">
                          <w:rPr>
                            <w:rFonts w:ascii="Garamond" w:hAnsi="Garamond"/>
                            <w:sz w:val="18"/>
                            <w:szCs w:val="18"/>
                            <w:lang w:val="en-US"/>
                          </w:rPr>
                          <w:t>$0.695</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31.25%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29.71%</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32.42%</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13.97%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13.70%</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14.22%</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5.12%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5.02%</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5.20%</w:t>
                        </w:r>
                      </w:p>
                    </w:tc>
                  </w:tr>
                  <w:tr w:rsidR="001C7C52" w:rsidRPr="00495433" w:rsidTr="002000B8">
                    <w:tc>
                      <w:tcPr>
                        <w:tcW w:w="851" w:type="dxa"/>
                        <w:tcBorders>
                          <w:top w:val="single" w:sz="4" w:space="0" w:color="auto"/>
                          <w:left w:val="nil"/>
                          <w:bottom w:val="nil"/>
                          <w:right w:val="nil"/>
                        </w:tcBorders>
                        <w:vAlign w:val="center"/>
                      </w:tcPr>
                      <w:p w:rsidR="001C7C52" w:rsidRPr="006A2342" w:rsidRDefault="001C7C52" w:rsidP="002000B8">
                        <w:pPr>
                          <w:rPr>
                            <w:rFonts w:ascii="Garamond" w:hAnsi="Garamond"/>
                            <w:sz w:val="18"/>
                            <w:szCs w:val="18"/>
                            <w:lang w:val="en-US"/>
                          </w:rPr>
                        </w:pPr>
                        <w:r>
                          <w:rPr>
                            <w:rFonts w:ascii="Garamond" w:hAnsi="Garamond"/>
                            <w:sz w:val="18"/>
                            <w:szCs w:val="18"/>
                            <w:lang w:val="en-US"/>
                          </w:rPr>
                          <w:t>LS-C</w:t>
                        </w:r>
                      </w:p>
                    </w:tc>
                    <w:tc>
                      <w:tcPr>
                        <w:tcW w:w="798"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N</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sz w:val="18"/>
                            <w:szCs w:val="18"/>
                            <w:lang w:val="en-US"/>
                          </w:rPr>
                        </w:pPr>
                        <w:r w:rsidRPr="00635AAA">
                          <w:rPr>
                            <w:rFonts w:ascii="Garamond" w:hAnsi="Garamond"/>
                            <w:sz w:val="18"/>
                            <w:szCs w:val="18"/>
                            <w:lang w:val="en-US"/>
                          </w:rPr>
                          <w:t>$0.780</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35.05%</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34.58%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35.74%</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21.31%</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21.03%</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21.58%</w:t>
                        </w:r>
                      </w:p>
                    </w:tc>
                    <w:tc>
                      <w:tcPr>
                        <w:tcW w:w="799" w:type="dxa"/>
                        <w:tcBorders>
                          <w:top w:val="single" w:sz="4" w:space="0" w:color="auto"/>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8.98%</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8.82%</w:t>
                        </w:r>
                      </w:p>
                    </w:tc>
                    <w:tc>
                      <w:tcPr>
                        <w:tcW w:w="799" w:type="dxa"/>
                        <w:tcBorders>
                          <w:top w:val="single" w:sz="4" w:space="0" w:color="auto"/>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9.15%</w:t>
                        </w:r>
                      </w:p>
                    </w:tc>
                  </w:tr>
                  <w:tr w:rsidR="001C7C52" w:rsidRPr="00495433" w:rsidTr="002000B8">
                    <w:tc>
                      <w:tcPr>
                        <w:tcW w:w="851" w:type="dxa"/>
                        <w:tcBorders>
                          <w:top w:val="nil"/>
                          <w:left w:val="nil"/>
                          <w:bottom w:val="nil"/>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-5</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sz w:val="18"/>
                            <w:szCs w:val="18"/>
                            <w:lang w:val="en-US"/>
                          </w:rPr>
                        </w:pPr>
                        <w:r w:rsidRPr="00635AAA">
                          <w:rPr>
                            <w:rFonts w:ascii="Garamond" w:hAnsi="Garamond"/>
                            <w:sz w:val="18"/>
                            <w:szCs w:val="18"/>
                            <w:lang w:val="en-US"/>
                          </w:rPr>
                          <w:t>$1.031</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46.33%</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45.24%</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48.00%</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25.27%</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24.89%</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25.69%</w:t>
                        </w:r>
                      </w:p>
                    </w:tc>
                    <w:tc>
                      <w:tcPr>
                        <w:tcW w:w="799" w:type="dxa"/>
                        <w:tcBorders>
                          <w:top w:val="nil"/>
                          <w:left w:val="nil"/>
                          <w:bottom w:val="nil"/>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8.32%</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8.11%</w:t>
                        </w:r>
                      </w:p>
                    </w:tc>
                    <w:tc>
                      <w:tcPr>
                        <w:tcW w:w="799" w:type="dxa"/>
                        <w:tcBorders>
                          <w:top w:val="nil"/>
                          <w:left w:val="nil"/>
                          <w:bottom w:val="nil"/>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8.53%</w:t>
                        </w:r>
                      </w:p>
                    </w:tc>
                  </w:tr>
                  <w:tr w:rsidR="001C7C52" w:rsidRPr="00495433" w:rsidTr="002000B8">
                    <w:tc>
                      <w:tcPr>
                        <w:tcW w:w="851" w:type="dxa"/>
                        <w:tcBorders>
                          <w:top w:val="nil"/>
                          <w:left w:val="nil"/>
                          <w:bottom w:val="single" w:sz="4" w:space="0" w:color="auto"/>
                          <w:right w:val="nil"/>
                        </w:tcBorders>
                        <w:vAlign w:val="center"/>
                      </w:tcPr>
                      <w:p w:rsidR="001C7C52" w:rsidRPr="006A2342" w:rsidRDefault="001C7C52" w:rsidP="002000B8">
                        <w:pPr>
                          <w:rPr>
                            <w:rFonts w:ascii="Garamond" w:hAnsi="Garamond"/>
                            <w:sz w:val="18"/>
                            <w:szCs w:val="18"/>
                            <w:lang w:val="en-US"/>
                          </w:rPr>
                        </w:pPr>
                      </w:p>
                    </w:tc>
                    <w:tc>
                      <w:tcPr>
                        <w:tcW w:w="798"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sidRPr="006D683C">
                          <w:rPr>
                            <w:rFonts w:ascii="Garamond" w:hAnsi="Garamond"/>
                            <w:i/>
                            <w:sz w:val="18"/>
                            <w:szCs w:val="18"/>
                            <w:lang w:val="en-US"/>
                          </w:rPr>
                          <w:t>t</w:t>
                        </w:r>
                        <w:r>
                          <w:rPr>
                            <w:rFonts w:ascii="Garamond" w:hAnsi="Garamond"/>
                            <w:sz w:val="18"/>
                            <w:szCs w:val="18"/>
                            <w:lang w:val="en-US"/>
                          </w:rPr>
                          <w:t>-15</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sz w:val="18"/>
                            <w:szCs w:val="18"/>
                            <w:lang w:val="en-US"/>
                          </w:rPr>
                        </w:pPr>
                        <w:r w:rsidRPr="00635AAA">
                          <w:rPr>
                            <w:rFonts w:ascii="Garamond" w:hAnsi="Garamond"/>
                            <w:sz w:val="18"/>
                            <w:szCs w:val="18"/>
                            <w:lang w:val="en-US"/>
                          </w:rPr>
                          <w:t>$0.882</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39.65%</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38.77%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40.59%</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23.06%</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22.68%</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23.39%</w:t>
                        </w:r>
                      </w:p>
                    </w:tc>
                    <w:tc>
                      <w:tcPr>
                        <w:tcW w:w="799" w:type="dxa"/>
                        <w:tcBorders>
                          <w:top w:val="nil"/>
                          <w:left w:val="nil"/>
                          <w:bottom w:val="single" w:sz="4" w:space="0" w:color="auto"/>
                          <w:right w:val="nil"/>
                        </w:tcBorders>
                        <w:vAlign w:val="center"/>
                      </w:tcPr>
                      <w:p w:rsidR="001C7C52" w:rsidRPr="00635AAA" w:rsidRDefault="001C7C52" w:rsidP="002000B8">
                        <w:pPr>
                          <w:jc w:val="center"/>
                          <w:rPr>
                            <w:rFonts w:ascii="Garamond" w:hAnsi="Garamond"/>
                            <w:b/>
                            <w:sz w:val="18"/>
                            <w:szCs w:val="18"/>
                            <w:lang w:val="en-US"/>
                          </w:rPr>
                        </w:pPr>
                        <w:r w:rsidRPr="00635AAA">
                          <w:rPr>
                            <w:rFonts w:ascii="Garamond" w:hAnsi="Garamond"/>
                            <w:b/>
                            <w:sz w:val="18"/>
                            <w:szCs w:val="18"/>
                            <w:lang w:val="en-US"/>
                          </w:rPr>
                          <w:t>8.87%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8.67%</w:t>
                        </w:r>
                      </w:p>
                    </w:tc>
                    <w:tc>
                      <w:tcPr>
                        <w:tcW w:w="799" w:type="dxa"/>
                        <w:tcBorders>
                          <w:top w:val="nil"/>
                          <w:left w:val="nil"/>
                          <w:bottom w:val="single" w:sz="4" w:space="0" w:color="auto"/>
                          <w:right w:val="nil"/>
                        </w:tcBorders>
                        <w:vAlign w:val="center"/>
                      </w:tcPr>
                      <w:p w:rsidR="001C7C52" w:rsidRPr="006A2342" w:rsidRDefault="001C7C52" w:rsidP="002000B8">
                        <w:pPr>
                          <w:jc w:val="center"/>
                          <w:rPr>
                            <w:rFonts w:ascii="Garamond" w:hAnsi="Garamond"/>
                            <w:sz w:val="18"/>
                            <w:szCs w:val="18"/>
                            <w:lang w:val="en-US"/>
                          </w:rPr>
                        </w:pPr>
                        <w:r>
                          <w:rPr>
                            <w:rFonts w:ascii="Garamond" w:hAnsi="Garamond"/>
                            <w:sz w:val="18"/>
                            <w:szCs w:val="18"/>
                            <w:lang w:val="en-US"/>
                          </w:rPr>
                          <w:t>9.04%</w:t>
                        </w:r>
                      </w:p>
                    </w:tc>
                  </w:tr>
                  <w:tr w:rsidR="001C7C52" w:rsidRPr="00D11D98" w:rsidTr="002000B8">
                    <w:tc>
                      <w:tcPr>
                        <w:tcW w:w="9639" w:type="dxa"/>
                        <w:gridSpan w:val="12"/>
                        <w:tcBorders>
                          <w:top w:val="single" w:sz="4" w:space="0" w:color="auto"/>
                          <w:left w:val="nil"/>
                          <w:bottom w:val="nil"/>
                          <w:right w:val="nil"/>
                        </w:tcBorders>
                        <w:vAlign w:val="center"/>
                      </w:tcPr>
                      <w:p w:rsidR="001C7C52" w:rsidRPr="00B4632D" w:rsidRDefault="001C7C52" w:rsidP="00F246F2">
                        <w:pPr>
                          <w:spacing w:after="40" w:line="180" w:lineRule="exact"/>
                          <w:jc w:val="both"/>
                          <w:rPr>
                            <w:rFonts w:ascii="Garamond" w:hAnsi="Garamond"/>
                            <w:sz w:val="16"/>
                            <w:szCs w:val="16"/>
                            <w:lang w:val="en-US"/>
                          </w:rPr>
                        </w:pPr>
                        <w:r w:rsidRPr="00B4632D">
                          <w:rPr>
                            <w:rFonts w:ascii="Garamond" w:hAnsi="Garamond"/>
                            <w:sz w:val="16"/>
                            <w:szCs w:val="16"/>
                            <w:lang w:val="en-US"/>
                          </w:rPr>
                          <w:t xml:space="preserve">* The 99.9% VaR values are reported in millions. Portfolio LS is the long-short portfolio and portfolio LS-C is the long-short portfolio with concentrated positions. Copula N is the Normal or Gaussian copula and copulas </w:t>
                        </w:r>
                        <w:r w:rsidRPr="00B4632D">
                          <w:rPr>
                            <w:rFonts w:ascii="Garamond" w:hAnsi="Garamond"/>
                            <w:i/>
                            <w:sz w:val="16"/>
                            <w:szCs w:val="16"/>
                            <w:lang w:val="en-US"/>
                          </w:rPr>
                          <w:t>t</w:t>
                        </w:r>
                        <w:r w:rsidRPr="00B4632D">
                          <w:rPr>
                            <w:rFonts w:ascii="Garamond" w:hAnsi="Garamond"/>
                            <w:sz w:val="16"/>
                            <w:szCs w:val="16"/>
                            <w:lang w:val="en-US"/>
                          </w:rPr>
                          <w:t xml:space="preserve">-5 and </w:t>
                        </w:r>
                        <w:r w:rsidRPr="00B4632D">
                          <w:rPr>
                            <w:rFonts w:ascii="Garamond" w:hAnsi="Garamond"/>
                            <w:i/>
                            <w:sz w:val="16"/>
                            <w:szCs w:val="16"/>
                            <w:lang w:val="en-US"/>
                          </w:rPr>
                          <w:t>t</w:t>
                        </w:r>
                        <w:r w:rsidRPr="00B4632D">
                          <w:rPr>
                            <w:rFonts w:ascii="Garamond" w:hAnsi="Garamond"/>
                            <w:sz w:val="16"/>
                            <w:szCs w:val="16"/>
                            <w:lang w:val="en-US"/>
                          </w:rPr>
                          <w:t xml:space="preserve">-15 are the </w:t>
                        </w:r>
                        <w:r w:rsidRPr="00B4632D">
                          <w:rPr>
                            <w:rFonts w:ascii="Garamond" w:hAnsi="Garamond"/>
                            <w:i/>
                            <w:sz w:val="16"/>
                            <w:szCs w:val="16"/>
                            <w:lang w:val="en-US"/>
                          </w:rPr>
                          <w:t>t</w:t>
                        </w:r>
                        <w:r w:rsidRPr="00B4632D">
                          <w:rPr>
                            <w:rFonts w:ascii="Garamond" w:hAnsi="Garamond"/>
                            <w:sz w:val="16"/>
                            <w:szCs w:val="16"/>
                            <w:lang w:val="en-US"/>
                          </w:rPr>
                          <w:t xml:space="preserve">-Student copulas with underlying Student </w:t>
                        </w:r>
                        <w:r w:rsidRPr="00B4632D">
                          <w:rPr>
                            <w:rFonts w:ascii="Garamond" w:hAnsi="Garamond"/>
                            <w:i/>
                            <w:sz w:val="16"/>
                            <w:szCs w:val="16"/>
                            <w:lang w:val="en-US"/>
                          </w:rPr>
                          <w:t>t</w:t>
                        </w:r>
                        <w:r w:rsidRPr="00B4632D">
                          <w:rPr>
                            <w:rFonts w:ascii="Garamond" w:hAnsi="Garamond"/>
                            <w:sz w:val="16"/>
                            <w:szCs w:val="16"/>
                            <w:lang w:val="en-US"/>
                          </w:rPr>
                          <w:t>-distributions with 5 and 15 degrees of freedom, respectively. The applied liquidity horizons are the standard liquidity horizons for the LS portfolio. For the LS-C portfolio, the standard liquidity horizons also used, but the liquidity horizons of the two concentrated positions are increased by three months. The estimates reported in percentages are relative to the initial portfolio exposure, which is $2.225 million for both the long-short portfolio and the long-short portfolio with concentrated positions. The upper bound and lower bound represent the 95% confidence interval around the VaR % estimate presented left of them. All estimates are based on 200,000 simulations.</w:t>
                        </w:r>
                      </w:p>
                    </w:tc>
                  </w:tr>
                </w:tbl>
                <w:p w:rsidR="001C7C52" w:rsidRDefault="001C7C52" w:rsidP="002000B8">
                  <w:pPr>
                    <w:spacing w:line="300" w:lineRule="exact"/>
                    <w:jc w:val="both"/>
                    <w:rPr>
                      <w:rFonts w:ascii="Garamond" w:hAnsi="Garamond"/>
                      <w:lang w:val="en-US"/>
                    </w:rPr>
                  </w:pPr>
                </w:p>
                <w:p w:rsidR="001C7C52" w:rsidRPr="009002D6" w:rsidRDefault="001C7C52" w:rsidP="002000B8">
                  <w:pPr>
                    <w:rPr>
                      <w:lang w:val="en-US"/>
                    </w:rPr>
                  </w:pPr>
                </w:p>
              </w:txbxContent>
            </v:textbox>
            <w10:wrap type="square"/>
          </v:shape>
        </w:pict>
      </w:r>
      <w:r w:rsidRPr="00802C03">
        <w:rPr>
          <w:rFonts w:ascii="Garamond" w:hAnsi="Garamond" w:cs="NimbusRomNo9L-Regu"/>
          <w:lang w:val="en-GB" w:eastAsia="nl-NL"/>
        </w:rPr>
        <w:t xml:space="preserve">The conditionality in the stand-alone risk specification can be assessed again with the use of the estimations in panel A and panel B. The VaR-estimates in panel A and B are generated with the exact same model specification, yet in panel A the unconditional duration migration matrix is applied, whereas in panel B the migration matrix conditional to the credit crisis is employed. In the comparison of both model specifications for the concentrated long-short portfolio, it is evident that the conclusion is the equal to the one drawn in </w:t>
      </w:r>
      <w:hyperlink w:anchor="S311" w:history="1">
        <w:r w:rsidRPr="00802C03">
          <w:rPr>
            <w:rStyle w:val="Hyperlink"/>
            <w:rFonts w:ascii="Garamond" w:hAnsi="Garamond" w:cs="NimbusRomNo9L-Regu"/>
            <w:color w:val="000066"/>
            <w:u w:val="none"/>
            <w:lang w:val="en-GB" w:eastAsia="nl-NL"/>
          </w:rPr>
          <w:t>section 3.1.1</w:t>
        </w:r>
      </w:hyperlink>
      <w:r w:rsidRPr="00802C03">
        <w:rPr>
          <w:rFonts w:ascii="Garamond" w:hAnsi="Garamond" w:cs="NimbusRomNo9L-Regu"/>
          <w:lang w:val="en-GB" w:eastAsia="nl-NL"/>
        </w:rPr>
        <w:t xml:space="preserve">. Once again, the application of conditional migration matrix yields significantly higher risk estimates. Even the magnitude of the differences for each VaR confidence interval is roughly equal, compared to those generated for the regular long-short portfolio.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second topic that is assessed again is the effect of increased issuer correlations. The estimates in panel A and C are generated with the credit crisis equity correlations and the stable period equity correlation, respectively. The remaining model specifications per copula assumption are equal for the estimates in the two different panels. The effect of increased correlations that was found in </w:t>
      </w:r>
      <w:hyperlink w:anchor="S312" w:history="1">
        <w:r w:rsidRPr="00802C03">
          <w:rPr>
            <w:rStyle w:val="Hyperlink"/>
            <w:rFonts w:ascii="Garamond" w:hAnsi="Garamond" w:cs="NimbusRomNo9L-Regu"/>
            <w:color w:val="000066"/>
            <w:u w:val="none"/>
            <w:lang w:val="en-GB" w:eastAsia="nl-NL"/>
          </w:rPr>
          <w:t>section 3.1.2</w:t>
        </w:r>
      </w:hyperlink>
      <w:r w:rsidRPr="00802C03">
        <w:rPr>
          <w:rFonts w:ascii="Garamond" w:hAnsi="Garamond" w:cs="NimbusRomNo9L-Regu"/>
          <w:lang w:val="en-GB" w:eastAsia="nl-NL"/>
        </w:rPr>
        <w:t xml:space="preserve"> for the long-short portfolio was only moderate for 99.9% VaR. No detectable effect was found for the 99% VaR-estimates, while the credit crisis correlations are roughly twice as high on average. Nonetheless, the shape of the cumulative portfolio return probability distribution resulting from both correlations sets did show some suspicious differences. In comparison of the 99.9% and 99% VaR-estimates in panel A and C for the concentrated portfolio, the exact same conclusion can be found again. The credit crisis correlation set generates a moderately and mostly significantly higher 99.9% VaR, while no single significant difference can be detected of 99% VaR-estimates. Yet again, these VaR-estimates imply that the cumulative portfolio return probability distributions generated by the two different correlation sets display the same dissimilarities as those of the regular long-short portfolio. Once more, the effect of increased issuer correlations seems quite weak for the required risk measure (the 99.9% VaR). Nevertheless, this observation certainly does not imply that this will be the case for any portfolio and any set of model parameters.</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last topic that is discussed with the use </w:t>
      </w:r>
      <w:hyperlink w:anchor="T11" w:history="1">
        <w:r w:rsidRPr="00802C03">
          <w:rPr>
            <w:rStyle w:val="Hyperlink"/>
            <w:rFonts w:ascii="Garamond" w:hAnsi="Garamond" w:cs="NimbusRomNo9L-Regu"/>
            <w:color w:val="000066"/>
            <w:u w:val="none"/>
            <w:lang w:val="en-GB" w:eastAsia="nl-NL"/>
          </w:rPr>
          <w:t>table XI</w:t>
        </w:r>
      </w:hyperlink>
      <w:r w:rsidRPr="00802C03">
        <w:rPr>
          <w:rFonts w:ascii="Garamond" w:hAnsi="Garamond" w:cs="NimbusRomNo9L-Regu"/>
          <w:lang w:val="en-GB" w:eastAsia="nl-NL"/>
        </w:rPr>
        <w:t xml:space="preserve">, is the effect of autocorrelations. A comparison of panel A and D for the concentrated portfolio per copula assumption assesses this particular effect once again. Similar to the previous two topics, the effect for the concentrated portfolio is in line with the findings for the regular long-short portfolio that where highlighted in the previous sections. The VaR-estimates resulting from the simulation model without autocorrelations are slightly and mostly significantly smaller than those generated with the simulation model where autocorrelation is incorporated. The effect is consistent over all the VaR confidence intervals and copula distribution assumptions.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It seems that the long-short portfolio, apart from its additional concentration or correlation risk, is subject to the exact same effects as the regular long-short portfolio. Although the results do not imply that the effects are equal for every possible portfolio, their consistency does provide the necessary additional strength and robustness to the conclusions presented in the previous sections.</w:t>
      </w:r>
    </w:p>
    <w:p w:rsidR="001C7C52" w:rsidRPr="00802C03" w:rsidRDefault="001C7C52" w:rsidP="001F0514">
      <w:pPr>
        <w:spacing w:line="280" w:lineRule="exact"/>
        <w:jc w:val="both"/>
        <w:rPr>
          <w:rFonts w:ascii="Garamond" w:hAnsi="Garamond" w:cs="NimbusRomNo9L-Regu"/>
          <w:lang w:val="en-GB" w:eastAsia="nl-NL"/>
        </w:rPr>
      </w:pPr>
    </w:p>
    <w:tbl>
      <w:tblPr>
        <w:tblW w:w="6214" w:type="dxa"/>
        <w:tblInd w:w="-1276" w:type="dxa"/>
        <w:tblLayout w:type="fixed"/>
        <w:tblCellMar>
          <w:left w:w="0" w:type="dxa"/>
          <w:right w:w="0" w:type="dxa"/>
        </w:tblCellMar>
        <w:tblLook w:val="00A0"/>
      </w:tblPr>
      <w:tblGrid>
        <w:gridCol w:w="709"/>
        <w:gridCol w:w="567"/>
        <w:gridCol w:w="4938"/>
      </w:tblGrid>
      <w:tr w:rsidR="001C7C52" w:rsidRPr="00802C03"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3.2</w:t>
            </w:r>
          </w:p>
        </w:tc>
        <w:tc>
          <w:tcPr>
            <w:tcW w:w="4938" w:type="dxa"/>
          </w:tcPr>
          <w:p w:rsidR="001C7C52" w:rsidRPr="002E2E49" w:rsidRDefault="001C7C52" w:rsidP="002E2E49">
            <w:pPr>
              <w:spacing w:line="280" w:lineRule="exact"/>
              <w:jc w:val="both"/>
              <w:rPr>
                <w:rFonts w:ascii="Garamond" w:hAnsi="Garamond" w:cs="NimbusRomNo9L-Regu"/>
                <w:lang w:val="en-GB" w:eastAsia="nl-NL"/>
              </w:rPr>
            </w:pPr>
            <w:bookmarkStart w:id="84" w:name="S320"/>
            <w:bookmarkEnd w:id="84"/>
            <w:r w:rsidRPr="002E2E49">
              <w:rPr>
                <w:rFonts w:ascii="Garamond" w:hAnsi="Garamond" w:cs="NimbusRomNo9L-Regu"/>
                <w:b/>
                <w:lang w:val="en-GB" w:eastAsia="nl-NL"/>
              </w:rPr>
              <w:t>I</w:t>
            </w:r>
            <w:r w:rsidRPr="002E2E49">
              <w:rPr>
                <w:rFonts w:ascii="Garamond" w:hAnsi="Garamond" w:cs="NimbusRomNo9L-Regu"/>
                <w:b/>
                <w:sz w:val="18"/>
                <w:szCs w:val="18"/>
                <w:lang w:val="en-GB" w:eastAsia="nl-NL"/>
              </w:rPr>
              <w:t>NTERPRETATIONS</w:t>
            </w:r>
            <w:r w:rsidRPr="002E2E49">
              <w:rPr>
                <w:rFonts w:ascii="Garamond" w:hAnsi="Garamond" w:cs="NimbusRomNo9L-Regu"/>
                <w:b/>
                <w:sz w:val="20"/>
                <w:lang w:val="en-GB" w:eastAsia="nl-NL"/>
              </w:rPr>
              <w:t>,</w:t>
            </w:r>
            <w:r w:rsidRPr="002E2E49">
              <w:rPr>
                <w:rFonts w:ascii="Garamond" w:hAnsi="Garamond" w:cs="NimbusRomNo9L-Regu"/>
                <w:b/>
                <w:lang w:val="en-GB" w:eastAsia="nl-NL"/>
              </w:rPr>
              <w:t xml:space="preserve"> E</w:t>
            </w:r>
            <w:r w:rsidRPr="002E2E49">
              <w:rPr>
                <w:rFonts w:ascii="Garamond" w:hAnsi="Garamond" w:cs="NimbusRomNo9L-Regu"/>
                <w:b/>
                <w:sz w:val="18"/>
                <w:szCs w:val="18"/>
                <w:lang w:val="en-GB" w:eastAsia="nl-NL"/>
              </w:rPr>
              <w:t>XTENSIONS</w:t>
            </w:r>
            <w:r w:rsidRPr="002E2E49">
              <w:rPr>
                <w:rFonts w:ascii="Garamond" w:hAnsi="Garamond" w:cs="NimbusRomNo9L-Regu"/>
                <w:b/>
                <w:lang w:val="en-GB" w:eastAsia="nl-NL"/>
              </w:rPr>
              <w:t xml:space="preserve"> </w:t>
            </w:r>
            <w:r w:rsidRPr="002E2E49">
              <w:rPr>
                <w:rFonts w:ascii="Garamond" w:hAnsi="Garamond" w:cs="NimbusRomNo9L-Regu"/>
                <w:b/>
                <w:sz w:val="18"/>
                <w:szCs w:val="18"/>
                <w:lang w:val="en-GB" w:eastAsia="nl-NL"/>
              </w:rPr>
              <w:t>AND</w:t>
            </w:r>
            <w:r w:rsidRPr="002E2E49">
              <w:rPr>
                <w:rFonts w:ascii="Garamond" w:hAnsi="Garamond" w:cs="NimbusRomNo9L-Regu"/>
                <w:b/>
                <w:lang w:val="en-GB" w:eastAsia="nl-NL"/>
              </w:rPr>
              <w:t xml:space="preserve"> L</w:t>
            </w:r>
            <w:r w:rsidRPr="002E2E49">
              <w:rPr>
                <w:rFonts w:ascii="Garamond" w:hAnsi="Garamond" w:cs="NimbusRomNo9L-Regu"/>
                <w:b/>
                <w:sz w:val="18"/>
                <w:szCs w:val="18"/>
                <w:lang w:val="en-GB" w:eastAsia="nl-NL"/>
              </w:rPr>
              <w:t>IMITATIONS</w:t>
            </w:r>
          </w:p>
        </w:tc>
      </w:tr>
    </w:tbl>
    <w:p w:rsidR="001C7C52" w:rsidRPr="00802C03" w:rsidRDefault="001C7C52" w:rsidP="001F0514">
      <w:pPr>
        <w:tabs>
          <w:tab w:val="left" w:pos="851"/>
        </w:tabs>
        <w:spacing w:before="160" w:line="280" w:lineRule="exact"/>
        <w:jc w:val="both"/>
        <w:rPr>
          <w:rFonts w:ascii="Garamond" w:hAnsi="Garamond" w:cs="NimbusRomNo9L-Regu"/>
          <w:lang w:val="en-GB" w:eastAsia="nl-NL"/>
        </w:rPr>
      </w:pPr>
      <w:r w:rsidRPr="00802C03">
        <w:rPr>
          <w:rFonts w:ascii="Garamond" w:hAnsi="Garamond" w:cs="NimbusRomNo9L-Regu"/>
          <w:lang w:val="en-GB" w:eastAsia="nl-NL"/>
        </w:rPr>
        <w:t>In the previous section, a large number of models have been estimated under various assumptions and with the use of multiple alternative inputs. The results generate a quite clear picture on the workings of the proposed model. The next topic is the interpretation of the model estimation results in the form of an assessment of the most crucial inputs and assumptions in the model. Apart from the inputs and assumptions highlighted in the model estimations, multiple additional inputs and assumptions also play a role in the model. Therefore, after the identification of the most crucial inputs and assumptions, the major components of the model will be addressed once again. Herein, limitations or additional assumptions and possible extensions or improvements of these specific model components are the key topics. Moreover, it is also important to point out whether or not the conclusions, based on the model estimations and interpretations, are likely to apply to the incremental risk model in general. Hence, this aspect will be addressed where relevant. The section is completed with an elaboration of the position of the incremental risk model within the Basel II Market Risk Framework and an assessment of the issues that are introduced by the new definition of market risk capital in this Market Risk Framework.</w:t>
      </w:r>
    </w:p>
    <w:p w:rsidR="001C7C52" w:rsidRPr="00802C03" w:rsidRDefault="001C7C52" w:rsidP="001F0514">
      <w:pPr>
        <w:tabs>
          <w:tab w:val="left" w:pos="851"/>
        </w:tabs>
        <w:spacing w:line="280" w:lineRule="exact"/>
        <w:jc w:val="both"/>
        <w:rPr>
          <w:rFonts w:ascii="Garamond" w:hAnsi="Garamond" w:cs="NimbusRomNo9L-Regu"/>
          <w:lang w:val="en-GB" w:eastAsia="nl-NL"/>
        </w:rPr>
      </w:pP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3.2.1</w:t>
      </w:r>
      <w:r w:rsidRPr="00802C03">
        <w:rPr>
          <w:rFonts w:ascii="Garamond" w:hAnsi="Garamond"/>
          <w:b/>
          <w:color w:val="000000"/>
          <w:lang w:val="en-GB"/>
        </w:rPr>
        <w:tab/>
      </w:r>
      <w:bookmarkStart w:id="85" w:name="S321"/>
      <w:bookmarkEnd w:id="85"/>
      <w:r w:rsidRPr="00802C03">
        <w:rPr>
          <w:rFonts w:ascii="Garamond" w:hAnsi="Garamond"/>
          <w:b/>
          <w:color w:val="000000"/>
          <w:lang w:val="en-GB"/>
        </w:rPr>
        <w:t>Crucial Inputs and Assumptions</w:t>
      </w:r>
    </w:p>
    <w:p w:rsidR="001C7C52" w:rsidRPr="00802C03" w:rsidRDefault="001C7C52" w:rsidP="001F0514">
      <w:pPr>
        <w:tabs>
          <w:tab w:val="left" w:pos="851"/>
        </w:tabs>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majority of observed effects of the various specifications in the model estimations were as anticipated. Those that were not, proved easily explainable. Consequently, the model yields intuitively appealing results. In addition, the set-up of the model is built on the CreditMetrics model and has largely preserved its intuition. Obviously, these two aspects do not ensure that the model is validated for its purpose, yet they do imply that the constructed simulation framework performs as it was intended to do. </w:t>
      </w:r>
    </w:p>
    <w:p w:rsidR="001C7C52" w:rsidRPr="00802C03" w:rsidRDefault="001C7C52" w:rsidP="001F0514">
      <w:pPr>
        <w:tabs>
          <w:tab w:val="left" w:pos="851"/>
        </w:tabs>
        <w:spacing w:line="280" w:lineRule="exact"/>
        <w:jc w:val="both"/>
        <w:rPr>
          <w:rFonts w:ascii="Garamond" w:hAnsi="Garamond" w:cs="NimbusRomNo9L-Regu"/>
          <w:lang w:val="en-GB" w:eastAsia="nl-NL"/>
        </w:rPr>
      </w:pPr>
      <w:r w:rsidRPr="00802C03">
        <w:rPr>
          <w:rFonts w:ascii="Garamond" w:hAnsi="Garamond" w:cs="NimbusRomNo9L-Regu"/>
          <w:lang w:val="en-GB" w:eastAsia="nl-NL"/>
        </w:rPr>
        <w:t>Furthermore, the assessment in the previous section ensures that the most important components in the development of an incremental risk model can be identified (i.e. which components generate the largest relative effect in such a model). Implications as such are clearly relevant in the regulation, validation and model</w:t>
      </w:r>
      <w:r>
        <w:rPr>
          <w:rFonts w:ascii="Garamond" w:hAnsi="Garamond" w:cs="NimbusRomNo9L-Regu"/>
          <w:lang w:val="en-GB" w:eastAsia="nl-NL"/>
        </w:rPr>
        <w:t>l</w:t>
      </w:r>
      <w:r w:rsidRPr="00802C03">
        <w:rPr>
          <w:rFonts w:ascii="Garamond" w:hAnsi="Garamond" w:cs="NimbusRomNo9L-Regu"/>
          <w:lang w:val="en-GB" w:eastAsia="nl-NL"/>
        </w:rPr>
        <w:t xml:space="preserve">ing context. When the most critical inputs and assumptions are identified, an overview can be produced with reference to where particular attention may be considered necessary. Regulators may use such information to determine which parts of the model require additional guidance or restrictions, and to detect whether or not a model of this kind performs in way that is consistent with their objectives. Model developers may use it to identify where emphasis is required in the construction of a model, and in the validation context the information may be directly useful in the determination of which assumptions and inputs require the most attention and demand the highest standards in the validation process. </w:t>
      </w:r>
    </w:p>
    <w:p w:rsidR="001C7C52" w:rsidRPr="00802C03" w:rsidRDefault="001C7C52" w:rsidP="001F0514">
      <w:pPr>
        <w:tabs>
          <w:tab w:val="left" w:pos="851"/>
        </w:tabs>
        <w:spacing w:line="280" w:lineRule="exact"/>
        <w:jc w:val="both"/>
        <w:rPr>
          <w:rFonts w:ascii="Garamond" w:hAnsi="Garamond" w:cs="NimbusRomNo9L-Regu"/>
          <w:lang w:val="en-GB" w:eastAsia="nl-NL"/>
        </w:rPr>
      </w:pPr>
      <w:r w:rsidRPr="00802C03">
        <w:rPr>
          <w:rFonts w:ascii="Garamond" w:hAnsi="Garamond" w:cs="NimbusRomNo9L-Regu"/>
          <w:lang w:val="en-GB" w:eastAsia="nl-NL"/>
        </w:rPr>
        <w:t>Based on the estimation results of the previous section, a list of the model assumptions and inputs in order of importance can be constructed. This list is presented below and comprises the seven main components of the model that were addressed in the estimations. The first four components are the most critical.</w:t>
      </w:r>
    </w:p>
    <w:p w:rsidR="001C7C52" w:rsidRPr="00802C03" w:rsidRDefault="001C7C52" w:rsidP="00D62F75">
      <w:pPr>
        <w:tabs>
          <w:tab w:val="left" w:pos="851"/>
        </w:tabs>
        <w:spacing w:line="160" w:lineRule="exact"/>
        <w:jc w:val="both"/>
        <w:rPr>
          <w:rFonts w:ascii="Garamond" w:hAnsi="Garamond" w:cs="NimbusRomNo9L-Regu"/>
          <w:lang w:val="en-GB" w:eastAsia="nl-NL"/>
        </w:rPr>
      </w:pPr>
    </w:p>
    <w:p w:rsidR="001C7C52" w:rsidRPr="00802C03" w:rsidRDefault="001C7C52" w:rsidP="001F0514">
      <w:pPr>
        <w:pStyle w:val="ListParagraph"/>
        <w:numPr>
          <w:ilvl w:val="0"/>
          <w:numId w:val="15"/>
        </w:numPr>
        <w:tabs>
          <w:tab w:val="left" w:pos="709"/>
        </w:tabs>
        <w:overflowPunct w:val="0"/>
        <w:autoSpaceDE w:val="0"/>
        <w:autoSpaceDN w:val="0"/>
        <w:adjustRightInd w:val="0"/>
        <w:spacing w:after="0" w:line="280" w:lineRule="exact"/>
        <w:ind w:left="0" w:firstLine="284"/>
        <w:jc w:val="both"/>
        <w:textAlignment w:val="baseline"/>
        <w:rPr>
          <w:rFonts w:ascii="Garamond" w:hAnsi="Garamond" w:cs="NimbusRomNo9L-Regu"/>
          <w:lang w:val="en-GB" w:eastAsia="nl-NL"/>
        </w:rPr>
      </w:pPr>
      <w:r w:rsidRPr="00802C03">
        <w:rPr>
          <w:rFonts w:ascii="Garamond" w:hAnsi="Garamond" w:cs="NimbusRomNo9L-Regu"/>
          <w:i/>
          <w:lang w:val="en-GB" w:eastAsia="nl-NL"/>
        </w:rPr>
        <w:t>Copula distribution assumption</w:t>
      </w:r>
      <w:r w:rsidRPr="00802C03">
        <w:rPr>
          <w:rFonts w:ascii="Garamond" w:hAnsi="Garamond" w:cs="NimbusRomNo9L-Regu"/>
          <w:lang w:val="en-GB" w:eastAsia="nl-NL"/>
        </w:rPr>
        <w:t xml:space="preserve">: The most essential assumption or input in the model is the copula distribution assumption. Each series of model estimations has demonstrated that large differences in the model implied risk can be generate with different copula assumptions. Moreover, these large differences are robust to a wide variety of model specifications. Essentially, it seems that the nature of the relations between the individual positions in a credit portfolio is more important than the exact magnitude of these particular relations. Herein, the often applied simple Gaussian models do not account for the likely tail dependence in asset returns (or credit quality in general), and therefore a Gaussian copula specification will almost certainly underestimate the migration and default risk of the entire trading portfolio. For example, the model implied risk that is generated with the much more realistic Student’s </w:t>
      </w:r>
      <w:r w:rsidRPr="00802C03">
        <w:rPr>
          <w:rFonts w:ascii="Garamond" w:hAnsi="Garamond" w:cs="NimbusRomNo9L-Regu"/>
          <w:i/>
          <w:lang w:val="en-GB" w:eastAsia="nl-NL"/>
        </w:rPr>
        <w:t>t</w:t>
      </w:r>
      <w:r w:rsidRPr="00802C03">
        <w:rPr>
          <w:rFonts w:ascii="Garamond" w:hAnsi="Garamond" w:cs="NimbusRomNo9L-Regu"/>
          <w:lang w:val="en-GB" w:eastAsia="nl-NL"/>
        </w:rPr>
        <w:t>-copula specification with 15 degrees of freedom, which incorporates an intermediate degree of tail dependence, is still much higher than the implied risk resulting from the Gaussian model.</w:t>
      </w:r>
    </w:p>
    <w:p w:rsidR="001C7C52" w:rsidRPr="00802C03" w:rsidRDefault="001C7C52" w:rsidP="001F0514">
      <w:pPr>
        <w:tabs>
          <w:tab w:val="left" w:pos="709"/>
        </w:tabs>
        <w:spacing w:line="280" w:lineRule="exact"/>
        <w:jc w:val="both"/>
        <w:rPr>
          <w:rFonts w:ascii="Garamond" w:hAnsi="Garamond" w:cs="NimbusRomNo9L-Regu"/>
          <w:lang w:val="en-GB" w:eastAsia="nl-NL"/>
        </w:rPr>
      </w:pPr>
      <w:r w:rsidRPr="00802C03">
        <w:rPr>
          <w:rFonts w:ascii="Garamond" w:hAnsi="Garamond" w:cs="NimbusRomNo9L-Regu"/>
          <w:lang w:val="en-GB" w:eastAsia="nl-NL"/>
        </w:rPr>
        <w:t>Furthermore, simulation is the most probable way in which any incremental risk model will be constructed. In addition, risk relations must be specified by correlation coefficients according to the Incremental Risk Capital Charge guidelines. Consequently, a copula assumption of some kind is likely to be made in such a model. This implies that any copula related conclusion is relevant in the general incremental risk model context. In fact, the copula conclusions based on the model estimations almost certainly apply in general as well. Hence, in practice it is critical that the actual asset return distributions of the relevant issuers and their correlations, albeit on an average level, are examined in order to find the proper copula specification.</w:t>
      </w:r>
      <w:r w:rsidRPr="00802C03">
        <w:rPr>
          <w:rStyle w:val="FootnoteReference"/>
          <w:rFonts w:ascii="Garamond" w:hAnsi="Garamond" w:cs="NimbusRomNo9L-Regu"/>
          <w:lang w:val="en-GB" w:eastAsia="nl-NL"/>
        </w:rPr>
        <w:footnoteReference w:id="67"/>
      </w:r>
      <w:r w:rsidRPr="00802C03">
        <w:rPr>
          <w:rFonts w:ascii="Garamond" w:hAnsi="Garamond" w:cs="NimbusRomNo9L-Regu"/>
          <w:lang w:val="en-GB" w:eastAsia="nl-NL"/>
        </w:rPr>
        <w:t xml:space="preserve"> </w:t>
      </w:r>
    </w:p>
    <w:p w:rsidR="001C7C52" w:rsidRPr="00802C03" w:rsidRDefault="001C7C52" w:rsidP="001F0514">
      <w:pPr>
        <w:tabs>
          <w:tab w:val="left" w:pos="709"/>
        </w:tabs>
        <w:spacing w:line="160" w:lineRule="exact"/>
        <w:jc w:val="both"/>
        <w:rPr>
          <w:rFonts w:ascii="Garamond" w:hAnsi="Garamond" w:cs="NimbusRomNo9L-Regu"/>
          <w:lang w:val="en-GB" w:eastAsia="nl-NL"/>
        </w:rPr>
      </w:pPr>
    </w:p>
    <w:p w:rsidR="001C7C52" w:rsidRPr="00802C03" w:rsidRDefault="001C7C52" w:rsidP="00BF30BE">
      <w:pPr>
        <w:pStyle w:val="ListParagraph"/>
        <w:numPr>
          <w:ilvl w:val="0"/>
          <w:numId w:val="15"/>
        </w:numPr>
        <w:tabs>
          <w:tab w:val="left" w:pos="709"/>
        </w:tabs>
        <w:overflowPunct w:val="0"/>
        <w:autoSpaceDE w:val="0"/>
        <w:autoSpaceDN w:val="0"/>
        <w:adjustRightInd w:val="0"/>
        <w:spacing w:after="0" w:line="280" w:lineRule="exact"/>
        <w:ind w:left="0" w:firstLine="284"/>
        <w:jc w:val="both"/>
        <w:textAlignment w:val="baseline"/>
        <w:rPr>
          <w:rFonts w:ascii="Garamond" w:hAnsi="Garamond" w:cs="NimbusRomNo9L-Regu"/>
          <w:i/>
          <w:lang w:val="en-GB" w:eastAsia="nl-NL"/>
        </w:rPr>
      </w:pPr>
      <w:r w:rsidRPr="00802C03">
        <w:rPr>
          <w:rFonts w:ascii="Garamond" w:hAnsi="Garamond" w:cs="NimbusRomNo9L-Regu"/>
          <w:i/>
          <w:lang w:val="en-GB" w:eastAsia="nl-NL"/>
        </w:rPr>
        <w:t>Conditionality</w:t>
      </w:r>
      <w:r w:rsidRPr="00802C03">
        <w:rPr>
          <w:rFonts w:ascii="Garamond" w:hAnsi="Garamond" w:cs="NimbusRomNo9L-Regu"/>
          <w:lang w:val="en-GB" w:eastAsia="nl-NL"/>
        </w:rPr>
        <w:t xml:space="preserve">: The second most critical aspect in the proposed incremental risk model is the conditionality of the risks in the model. The two main risks components, the stand-alone risk and the correlation risk, can both be conditioned on specific economic environment or time period. Especially, the stand-alone risk in the form of a credit migration matrix is crucial in this respect. The credit migration matrix conditioned to the credit crisis yields consistently and substantially higher model implied risk measures than a more general unconditional migration matrix based on 20 years of historical data. This statement holds for both the long-short and long-only portfolio and applies under wide variety of additional model specifications. The example is obviously quite extreme, but the results are remarkably clear. Hence, as one would expect, an incremental risk model is highly likely to be incredibly sensitive to the conditionality applied in its inputs. </w:t>
      </w:r>
    </w:p>
    <w:p w:rsidR="001C7C52" w:rsidRPr="00802C03" w:rsidRDefault="001C7C52" w:rsidP="00FE5C47">
      <w:pPr>
        <w:tabs>
          <w:tab w:val="left" w:pos="709"/>
        </w:tabs>
        <w:spacing w:line="280" w:lineRule="exact"/>
        <w:jc w:val="both"/>
        <w:rPr>
          <w:rFonts w:ascii="Garamond" w:hAnsi="Garamond" w:cs="NimbusRomNo9L-Regu"/>
          <w:i/>
          <w:lang w:val="en-GB" w:eastAsia="nl-NL"/>
        </w:rPr>
      </w:pPr>
      <w:r w:rsidRPr="00802C03">
        <w:rPr>
          <w:rFonts w:ascii="Garamond" w:hAnsi="Garamond" w:cs="NimbusRomNo9L-Regu"/>
          <w:lang w:val="en-GB" w:eastAsia="nl-NL"/>
        </w:rPr>
        <w:t xml:space="preserve">Essentially, in any incremental risk model a decision has to be specified regarding the economic conditions or the time period to which the inputs of the model will to be conditioned. Herein, the at that point in time relevant credit migration matrix should be applied, yet this should also be consistent with the general objective and intuition of the incremental risk model. The same applies to the correlations that are applied in the model, but to a much smaller extend. The conditionally issue will be discussed extensively in </w:t>
      </w:r>
      <w:hyperlink w:anchor="S324" w:history="1">
        <w:r w:rsidRPr="00802C03">
          <w:rPr>
            <w:rStyle w:val="Hyperlink"/>
            <w:rFonts w:ascii="Garamond" w:hAnsi="Garamond" w:cs="NimbusRomNo9L-Regu"/>
            <w:color w:val="000066"/>
            <w:u w:val="none"/>
            <w:lang w:val="en-GB" w:eastAsia="nl-NL"/>
          </w:rPr>
          <w:t>section 3.2.4</w:t>
        </w:r>
      </w:hyperlink>
      <w:r w:rsidRPr="00802C03">
        <w:rPr>
          <w:rFonts w:ascii="Garamond" w:hAnsi="Garamond" w:cs="NimbusRomNo9L-Regu"/>
          <w:lang w:val="en-GB" w:eastAsia="nl-NL"/>
        </w:rPr>
        <w:t>.</w:t>
      </w:r>
    </w:p>
    <w:p w:rsidR="001C7C52" w:rsidRPr="00802C03" w:rsidRDefault="001C7C52" w:rsidP="00BD1394">
      <w:pPr>
        <w:tabs>
          <w:tab w:val="left" w:pos="709"/>
        </w:tabs>
        <w:spacing w:line="160" w:lineRule="exact"/>
        <w:jc w:val="both"/>
        <w:rPr>
          <w:rFonts w:ascii="Garamond" w:hAnsi="Garamond" w:cs="NimbusRomNo9L-Regu"/>
          <w:i/>
          <w:lang w:val="en-GB" w:eastAsia="nl-NL"/>
        </w:rPr>
      </w:pPr>
    </w:p>
    <w:p w:rsidR="001C7C52" w:rsidRPr="00802C03" w:rsidRDefault="001C7C52" w:rsidP="00BF30BE">
      <w:pPr>
        <w:pStyle w:val="ListParagraph"/>
        <w:numPr>
          <w:ilvl w:val="0"/>
          <w:numId w:val="15"/>
        </w:numPr>
        <w:tabs>
          <w:tab w:val="left" w:pos="709"/>
        </w:tabs>
        <w:overflowPunct w:val="0"/>
        <w:autoSpaceDE w:val="0"/>
        <w:autoSpaceDN w:val="0"/>
        <w:adjustRightInd w:val="0"/>
        <w:spacing w:after="0" w:line="280" w:lineRule="exact"/>
        <w:ind w:left="0" w:firstLine="284"/>
        <w:jc w:val="both"/>
        <w:textAlignment w:val="baseline"/>
        <w:rPr>
          <w:rFonts w:ascii="Garamond" w:hAnsi="Garamond" w:cs="NimbusRomNo9L-Regu"/>
          <w:i/>
          <w:lang w:val="en-GB" w:eastAsia="nl-NL"/>
        </w:rPr>
      </w:pPr>
      <w:r w:rsidRPr="00802C03">
        <w:rPr>
          <w:rFonts w:ascii="Garamond" w:hAnsi="Garamond" w:cs="NimbusRomNo9L-Regu"/>
          <w:i/>
          <w:lang w:val="en-GB" w:eastAsia="nl-NL"/>
        </w:rPr>
        <w:t>Liquidity horizons</w:t>
      </w:r>
      <w:r w:rsidRPr="00802C03">
        <w:rPr>
          <w:rFonts w:ascii="Garamond" w:hAnsi="Garamond" w:cs="NimbusRomNo9L-Regu"/>
          <w:lang w:val="en-GB" w:eastAsia="nl-NL"/>
        </w:rPr>
        <w:t xml:space="preserve">: The length of the liquidity horizons of the positions in the model is another crucial input/assumption in the incremental risk model. The implied risk estimates of the proposed model are relatively sensitive to the assumed liquidity horizons lengths, as a modest increase in all the liquidity horizons generated a substantial increase in the model implied risk. It is not unlikely that effects as such will be present in actual incremental risk models, since the liquidity horizons and the constant risk assumption are incorporated into the proposed model in accordance with the Basel Committee’s requirements. An actual incremental risk model may follow a similar approach with respect to the constant risk assumption and is likely to produce similar results for that matter. </w:t>
      </w:r>
      <w:r w:rsidRPr="00802C03">
        <w:rPr>
          <w:rFonts w:ascii="Garamond" w:hAnsi="Garamond" w:cs="NimbusRomNo9L-Regu"/>
          <w:color w:val="000000"/>
          <w:lang w:val="en-GB" w:eastAsia="nl-NL"/>
        </w:rPr>
        <w:t xml:space="preserve">Thus, a credit portfolio that is assumed to be less liquid will almost certainly be subject to a higher Incremental Risk Capital Charge in practice. </w:t>
      </w:r>
    </w:p>
    <w:p w:rsidR="001C7C52" w:rsidRPr="00802C03" w:rsidRDefault="001C7C52" w:rsidP="00FE5C47">
      <w:pPr>
        <w:tabs>
          <w:tab w:val="left" w:pos="709"/>
        </w:tabs>
        <w:spacing w:line="280" w:lineRule="exact"/>
        <w:jc w:val="both"/>
        <w:rPr>
          <w:rFonts w:ascii="Garamond" w:hAnsi="Garamond" w:cs="NimbusRomNo9L-Regu"/>
          <w:i/>
          <w:lang w:val="en-GB" w:eastAsia="nl-NL"/>
        </w:rPr>
      </w:pPr>
      <w:r w:rsidRPr="00802C03">
        <w:rPr>
          <w:rFonts w:ascii="Garamond" w:hAnsi="Garamond" w:cs="NimbusRomNo9L-Regu"/>
          <w:lang w:val="en-GB" w:eastAsia="nl-NL"/>
        </w:rPr>
        <w:t xml:space="preserve">Apart from the theoretical ambiguity surrounding the constant risk assumption, the current incremental risk model proposal of the Basel Committee will </w:t>
      </w:r>
      <w:r>
        <w:rPr>
          <w:rFonts w:ascii="Garamond" w:hAnsi="Garamond" w:cs="NimbusRomNo9L-Regu"/>
          <w:lang w:val="en-GB" w:eastAsia="nl-NL"/>
        </w:rPr>
        <w:t>accentuate</w:t>
      </w:r>
      <w:r w:rsidRPr="00802C03">
        <w:rPr>
          <w:rFonts w:ascii="Garamond" w:hAnsi="Garamond" w:cs="NimbusRomNo9L-Regu"/>
          <w:lang w:val="en-GB" w:eastAsia="nl-NL"/>
        </w:rPr>
        <w:t xml:space="preserve"> the importance of the liquidity of trading positions, which is as stated by </w:t>
      </w:r>
      <w:hyperlink w:anchor="Finger_2009" w:history="1">
        <w:r w:rsidRPr="00802C03">
          <w:rPr>
            <w:rStyle w:val="Hyperlink"/>
            <w:rFonts w:ascii="Garamond" w:hAnsi="Garamond" w:cs="NimbusRomNo9L-Regu"/>
            <w:color w:val="000066"/>
            <w:u w:val="none"/>
            <w:lang w:val="en-GB" w:eastAsia="nl-NL"/>
          </w:rPr>
          <w:t>Finger (2009)</w:t>
        </w:r>
      </w:hyperlink>
      <w:r w:rsidRPr="00802C03">
        <w:rPr>
          <w:rFonts w:ascii="Garamond" w:hAnsi="Garamond" w:cs="NimbusRomNo9L-Regu"/>
          <w:lang w:val="en-GB" w:eastAsia="nl-NL"/>
        </w:rPr>
        <w:t xml:space="preserve"> a worthy goal in its own right in the light of recent events. An additional component that is still required, however, is an accurate methodology to estimate the length of the liquidity horizon of the positions in the trading portfolio. This is obviously a subject of further research and discussion.</w:t>
      </w:r>
    </w:p>
    <w:p w:rsidR="001C7C52" w:rsidRPr="00802C03" w:rsidRDefault="001C7C52" w:rsidP="001F0514">
      <w:pPr>
        <w:spacing w:line="160" w:lineRule="exact"/>
        <w:rPr>
          <w:rFonts w:ascii="Garamond" w:hAnsi="Garamond" w:cs="NimbusRomNo9L-Regu"/>
          <w:lang w:val="en-GB" w:eastAsia="nl-NL"/>
        </w:rPr>
      </w:pPr>
    </w:p>
    <w:p w:rsidR="001C7C52" w:rsidRPr="00802C03" w:rsidRDefault="001C7C52" w:rsidP="00BF30BE">
      <w:pPr>
        <w:pStyle w:val="ListParagraph"/>
        <w:numPr>
          <w:ilvl w:val="0"/>
          <w:numId w:val="15"/>
        </w:numPr>
        <w:tabs>
          <w:tab w:val="left" w:pos="709"/>
        </w:tabs>
        <w:overflowPunct w:val="0"/>
        <w:autoSpaceDE w:val="0"/>
        <w:autoSpaceDN w:val="0"/>
        <w:adjustRightInd w:val="0"/>
        <w:spacing w:after="0" w:line="280" w:lineRule="exact"/>
        <w:ind w:left="0" w:firstLine="284"/>
        <w:jc w:val="both"/>
        <w:textAlignment w:val="baseline"/>
        <w:rPr>
          <w:rFonts w:ascii="Garamond" w:hAnsi="Garamond" w:cs="NimbusRomNo9L-Regu"/>
          <w:lang w:val="en-GB" w:eastAsia="nl-NL"/>
        </w:rPr>
      </w:pPr>
      <w:r w:rsidRPr="00802C03">
        <w:rPr>
          <w:rFonts w:ascii="Garamond" w:hAnsi="Garamond" w:cs="NimbusRomNo9L-Regu"/>
          <w:i/>
          <w:lang w:val="en-GB" w:eastAsia="nl-NL"/>
        </w:rPr>
        <w:t>Average issuer correlation level</w:t>
      </w:r>
      <w:r w:rsidRPr="00802C03">
        <w:rPr>
          <w:rFonts w:ascii="Garamond" w:hAnsi="Garamond" w:cs="NimbusRomNo9L-Regu"/>
          <w:lang w:val="en-GB" w:eastAsia="nl-NL"/>
        </w:rPr>
        <w:t>: The period or economic environment, to which the issuer correlations in the model are conditioned, plays a vital role as well. Although the two different periods applied in this study did yield very different average correlations, the implications of these differences in the more realistic long-short were only marginal when compared to the effects of copula assumption for example. Nonetheless, this observation is not likely to apply in general. Basically, the reduced increase in the model’s risk measures only applies for trading portfolios with a substantial proportion of short positions, where the long and short positions are of a very similar nature. More specifically, the risk reduction provided by the short positions in a high correlation environment will exist only when the short positions exhibit a value loss similar to the long positions in the worst simulation scenarios.</w:t>
      </w:r>
      <w:r w:rsidRPr="00802C03">
        <w:rPr>
          <w:rStyle w:val="FootnoteReference"/>
          <w:rFonts w:ascii="Garamond" w:hAnsi="Garamond" w:cs="NimbusRomNo9L-Regu"/>
          <w:lang w:val="en-GB" w:eastAsia="nl-NL"/>
        </w:rPr>
        <w:footnoteReference w:id="68"/>
      </w:r>
      <w:r w:rsidRPr="00802C03">
        <w:rPr>
          <w:rFonts w:ascii="Garamond" w:hAnsi="Garamond" w:cs="NimbusRomNo9L-Regu"/>
          <w:lang w:val="en-GB" w:eastAsia="nl-NL"/>
        </w:rPr>
        <w:t xml:space="preserve"> In practice, however, one cannot assume this will always apply and therefore it is essential that the average correlation level is displayed accurately. Moreover, when the effect does exist, it is not realistic to assume it will always largely cancel out the effect of increased correlations on the long positions. The magnitude of the risk reducing effect of the short positions is likely to be highly dependent on the applied credit yield curves and the recovery rate, since these inputs determine the actual losses or gains in the portfolio as a result of downgrades, upgrades or defaults. </w:t>
      </w:r>
    </w:p>
    <w:p w:rsidR="001C7C52" w:rsidRPr="00802C03" w:rsidRDefault="001C7C52" w:rsidP="001F0514">
      <w:pPr>
        <w:tabs>
          <w:tab w:val="left" w:pos="709"/>
        </w:tabs>
        <w:spacing w:line="280" w:lineRule="exact"/>
        <w:jc w:val="both"/>
        <w:rPr>
          <w:rFonts w:ascii="Garamond" w:hAnsi="Garamond" w:cs="NimbusRomNo9L-Regu"/>
          <w:lang w:val="en-GB" w:eastAsia="nl-NL"/>
        </w:rPr>
      </w:pPr>
      <w:r w:rsidRPr="00802C03">
        <w:rPr>
          <w:rFonts w:ascii="Garamond" w:hAnsi="Garamond" w:cs="NimbusRomNo9L-Regu"/>
          <w:lang w:val="en-GB" w:eastAsia="nl-NL"/>
        </w:rPr>
        <w:t>Furthermore, evidence for the importance of accurately capturing the average level of issuer correlations can be found in the fact that the comparison between the results of the almost no issuer correlation (correlations implied by default rates) specifications and the stable period issuer correlation specifications did yield in a consistent and substantial difference in the model’s risk measures. An even larger effect induced by increased correlations was found for the long-only portfolio, due to the fact that the risk reducing effect is not present in the long-only portfolio. Consequently, the average level of the issuer correlations is a key component of the proposed model and therefore of the incremental risk model in general as well. The precision of the all the underlying individual correlation coefficients, however, seems to be of much less importance. Basically, it is the aggregate correlation effect that may significantly influence the model implied risk, whereas differences in individual correlation estimates in a large portfolio are much too inconsequential to induce such an effect.</w:t>
      </w:r>
    </w:p>
    <w:p w:rsidR="001C7C52" w:rsidRPr="00802C03" w:rsidRDefault="001C7C52" w:rsidP="001F0514">
      <w:pPr>
        <w:tabs>
          <w:tab w:val="left" w:pos="709"/>
        </w:tabs>
        <w:spacing w:line="280" w:lineRule="exact"/>
        <w:jc w:val="both"/>
        <w:rPr>
          <w:rFonts w:ascii="Garamond" w:hAnsi="Garamond" w:cs="NimbusRomNo9L-Regu"/>
          <w:lang w:val="en-GB" w:eastAsia="nl-NL"/>
        </w:rPr>
      </w:pPr>
      <w:r w:rsidRPr="00802C03">
        <w:rPr>
          <w:rFonts w:ascii="Garamond" w:hAnsi="Garamond" w:cs="NimbusRomNo9L-Regu"/>
          <w:lang w:val="en-GB" w:eastAsia="nl-NL"/>
        </w:rPr>
        <w:t>Lastly, in a large trading portfolio with numerous different credit products, there may be correlation effects that are not completely captured by one single average level of issuer correlations. In this case, it would be prudent to assess the correlations in the portfolio as averages within and between industries or within and between product types.</w:t>
      </w:r>
    </w:p>
    <w:p w:rsidR="001C7C52" w:rsidRPr="00802C03" w:rsidRDefault="001C7C52" w:rsidP="001F0514">
      <w:pPr>
        <w:tabs>
          <w:tab w:val="left" w:pos="709"/>
        </w:tabs>
        <w:spacing w:line="160" w:lineRule="exact"/>
        <w:jc w:val="both"/>
        <w:rPr>
          <w:rFonts w:ascii="Garamond" w:hAnsi="Garamond" w:cs="NimbusRomNo9L-Regu"/>
          <w:lang w:val="en-GB" w:eastAsia="nl-NL"/>
        </w:rPr>
      </w:pPr>
    </w:p>
    <w:p w:rsidR="001C7C52" w:rsidRPr="00802C03" w:rsidRDefault="001C7C52" w:rsidP="00BF30BE">
      <w:pPr>
        <w:pStyle w:val="ListParagraph"/>
        <w:numPr>
          <w:ilvl w:val="0"/>
          <w:numId w:val="15"/>
        </w:numPr>
        <w:tabs>
          <w:tab w:val="left" w:pos="709"/>
        </w:tabs>
        <w:overflowPunct w:val="0"/>
        <w:autoSpaceDE w:val="0"/>
        <w:autoSpaceDN w:val="0"/>
        <w:adjustRightInd w:val="0"/>
        <w:spacing w:after="0" w:line="280" w:lineRule="exact"/>
        <w:ind w:left="0" w:firstLine="284"/>
        <w:jc w:val="both"/>
        <w:textAlignment w:val="baseline"/>
        <w:rPr>
          <w:rFonts w:ascii="Garamond" w:hAnsi="Garamond" w:cs="NimbusRomNo9L-Regu"/>
          <w:i/>
          <w:lang w:val="en-GB" w:eastAsia="nl-NL"/>
        </w:rPr>
      </w:pPr>
      <w:r w:rsidRPr="00802C03">
        <w:rPr>
          <w:rFonts w:ascii="Garamond" w:hAnsi="Garamond" w:cs="NimbusRomNo9L-Regu"/>
          <w:i/>
          <w:lang w:val="en-GB" w:eastAsia="nl-NL"/>
        </w:rPr>
        <w:t>Autocorrelation</w:t>
      </w:r>
      <w:r w:rsidRPr="00802C03">
        <w:rPr>
          <w:rFonts w:ascii="Garamond" w:hAnsi="Garamond" w:cs="NimbusRomNo9L-Regu"/>
          <w:lang w:val="en-GB" w:eastAsia="nl-NL"/>
        </w:rPr>
        <w:t xml:space="preserve">: The issuer-specific autocorrelation introduced in the issuer asset returns is an aspect of moderate importance in the proposed incremental risk model. Its incorporation into the model led to a relatively small increase in the model implied risk that was robust to the three different copula assumptions, three different portfolios and three different VaR confidence intervals. Herein, it must be noted that the applied autocorrelations inputs were relatively low. Consequently, the model implied risk seems to be quite sensitive to autocorrelation. In practice, however, the magnitude of autocorrelations is likely to be not high as well and therefore it is not likely that autocorrelations will produce large effects within the model. If the decision is made to incorporate it, then a small or modest effect will be introduced with respect to the model’s risk measures, depending on the magnitude of the estimated autocorrelation inputs. This statement is rather certain for the proposed model and is also likely to apply to a reasonable extent in general to any proposed incremental risk model that incorporates issuer-specific autocorrelation. </w:t>
      </w:r>
    </w:p>
    <w:p w:rsidR="001C7C52" w:rsidRPr="00802C03" w:rsidRDefault="001C7C52" w:rsidP="001F0514">
      <w:pPr>
        <w:tabs>
          <w:tab w:val="left" w:pos="709"/>
        </w:tabs>
        <w:spacing w:line="160" w:lineRule="exact"/>
        <w:jc w:val="both"/>
        <w:rPr>
          <w:rFonts w:ascii="Garamond" w:hAnsi="Garamond" w:cs="NimbusRomNo9L-Regu"/>
          <w:lang w:val="en-GB" w:eastAsia="nl-NL"/>
        </w:rPr>
      </w:pPr>
    </w:p>
    <w:p w:rsidR="001C7C52" w:rsidRPr="00802C03" w:rsidRDefault="001C7C52" w:rsidP="00BF30BE">
      <w:pPr>
        <w:pStyle w:val="ListParagraph"/>
        <w:numPr>
          <w:ilvl w:val="0"/>
          <w:numId w:val="15"/>
        </w:numPr>
        <w:tabs>
          <w:tab w:val="left" w:pos="709"/>
        </w:tabs>
        <w:overflowPunct w:val="0"/>
        <w:autoSpaceDE w:val="0"/>
        <w:autoSpaceDN w:val="0"/>
        <w:adjustRightInd w:val="0"/>
        <w:spacing w:after="0" w:line="280" w:lineRule="exact"/>
        <w:ind w:left="0" w:firstLine="284"/>
        <w:jc w:val="both"/>
        <w:textAlignment w:val="baseline"/>
        <w:rPr>
          <w:rFonts w:ascii="Garamond" w:hAnsi="Garamond" w:cs="NimbusRomNo9L-Regu"/>
          <w:i/>
          <w:lang w:val="en-GB" w:eastAsia="nl-NL"/>
        </w:rPr>
      </w:pPr>
      <w:r w:rsidRPr="00802C03">
        <w:rPr>
          <w:rFonts w:ascii="Garamond" w:hAnsi="Garamond" w:cs="NimbusRomNo9L-Regu"/>
          <w:i/>
          <w:lang w:val="en-GB" w:eastAsia="nl-NL"/>
        </w:rPr>
        <w:t>Issuer-specific correlations</w:t>
      </w:r>
      <w:r w:rsidRPr="00802C03">
        <w:rPr>
          <w:rFonts w:ascii="Garamond" w:hAnsi="Garamond" w:cs="NimbusRomNo9L-Regu"/>
          <w:lang w:val="en-GB" w:eastAsia="nl-NL"/>
        </w:rPr>
        <w:t xml:space="preserve">: The second least important input, of the inputs that were evaluated in the previous section, is the specific value of the correlation coefficients between the issuers in the portfolio. Essentially, in a relatively simple diversified portfolio with substantial short positions, an increase in the average level of the issuer correlation only produced a small increase in the model implied risk. Obviously, this does not apply to all possible credit portfolios, but it does shift the attention from specific individual correlation coefficients to the more general average level of issuer correlations. Hence, all specific correlation coefficients between all issuers will only have to be approximations of true value, as long as the average correlation level is displayed correctly. </w:t>
      </w:r>
    </w:p>
    <w:p w:rsidR="001C7C52" w:rsidRPr="00802C03" w:rsidRDefault="001C7C52" w:rsidP="001F0514">
      <w:pPr>
        <w:tabs>
          <w:tab w:val="left" w:pos="709"/>
        </w:tabs>
        <w:spacing w:line="280" w:lineRule="exact"/>
        <w:jc w:val="both"/>
        <w:rPr>
          <w:rFonts w:ascii="Garamond" w:hAnsi="Garamond" w:cs="NimbusRomNo9L-Regu"/>
          <w:i/>
          <w:lang w:val="en-GB" w:eastAsia="nl-NL"/>
        </w:rPr>
      </w:pPr>
      <w:r w:rsidRPr="00802C03">
        <w:rPr>
          <w:rFonts w:ascii="Garamond" w:hAnsi="Garamond" w:cs="NimbusRomNo9L-Regu"/>
          <w:lang w:val="en-GB" w:eastAsia="nl-NL"/>
        </w:rPr>
        <w:t xml:space="preserve">Furthermore, the specific issuer correlations underlying large or concentrated positions may required more precise estimates, as concentrations can generate a large increase in the model’s risk measures, as observed in the model estimations in </w:t>
      </w:r>
      <w:hyperlink w:anchor="S314" w:history="1">
        <w:r w:rsidRPr="00802C03">
          <w:rPr>
            <w:rStyle w:val="Hyperlink"/>
            <w:rFonts w:ascii="Garamond" w:hAnsi="Garamond" w:cs="NimbusRomNo9L-Regu"/>
            <w:color w:val="000066"/>
            <w:u w:val="none"/>
            <w:lang w:val="en-GB" w:eastAsia="nl-NL"/>
          </w:rPr>
          <w:t>section 3.1.4</w:t>
        </w:r>
      </w:hyperlink>
      <w:r w:rsidRPr="00802C03">
        <w:rPr>
          <w:rFonts w:ascii="Garamond" w:hAnsi="Garamond" w:cs="NimbusRomNo9L-Regu"/>
          <w:lang w:val="en-GB" w:eastAsia="nl-NL"/>
        </w:rPr>
        <w:t>. Basically, when issuer correlations within market concentrations are not correctly displayed, the concentrations may not be recognized as such. Especially market concentrations or issuer concentrations that only contain long or only short positions require additional attention. The risk reducing effect, that is introduced by high correlations and occurs in the opposite side of the portfolio, will not be present in concentrations of this kind.</w:t>
      </w:r>
    </w:p>
    <w:p w:rsidR="001C7C52" w:rsidRPr="00802C03" w:rsidRDefault="001C7C52" w:rsidP="001F0514">
      <w:pPr>
        <w:spacing w:line="160" w:lineRule="exact"/>
        <w:jc w:val="both"/>
        <w:rPr>
          <w:rFonts w:ascii="Garamond" w:hAnsi="Garamond" w:cs="NimbusRomNo9L-Regu"/>
          <w:b/>
          <w:lang w:val="en-GB" w:eastAsia="nl-NL"/>
        </w:rPr>
      </w:pPr>
    </w:p>
    <w:p w:rsidR="001C7C52" w:rsidRPr="00802C03" w:rsidRDefault="001C7C52" w:rsidP="00BF30BE">
      <w:pPr>
        <w:pStyle w:val="ListParagraph"/>
        <w:numPr>
          <w:ilvl w:val="0"/>
          <w:numId w:val="15"/>
        </w:numPr>
        <w:tabs>
          <w:tab w:val="left" w:pos="709"/>
        </w:tabs>
        <w:overflowPunct w:val="0"/>
        <w:autoSpaceDE w:val="0"/>
        <w:autoSpaceDN w:val="0"/>
        <w:adjustRightInd w:val="0"/>
        <w:spacing w:after="0" w:line="280" w:lineRule="exact"/>
        <w:ind w:left="0" w:firstLine="284"/>
        <w:jc w:val="both"/>
        <w:textAlignment w:val="baseline"/>
        <w:rPr>
          <w:rFonts w:ascii="Garamond" w:hAnsi="Garamond" w:cs="NimbusRomNo9L-Regu"/>
          <w:lang w:val="en-GB" w:eastAsia="nl-NL"/>
        </w:rPr>
      </w:pPr>
      <w:r w:rsidRPr="00802C03">
        <w:rPr>
          <w:rFonts w:ascii="Garamond" w:hAnsi="Garamond" w:cs="NimbusRomNo9L-Regu"/>
          <w:i/>
          <w:lang w:val="en-GB" w:eastAsia="nl-NL"/>
        </w:rPr>
        <w:t>Credit migration matrix estimation methodology</w:t>
      </w:r>
      <w:r w:rsidRPr="00802C03">
        <w:rPr>
          <w:rFonts w:ascii="Garamond" w:hAnsi="Garamond" w:cs="NimbusRomNo9L-Regu"/>
          <w:lang w:val="en-GB" w:eastAsia="nl-NL"/>
        </w:rPr>
        <w:t>: The least important evaluated input aspect of the model is the credit migration matrix estimation methodology. Unlike the conditionality imposed into the credit migration matrix, the different methodologies in the estimation of the migration matrices are not likely to generate substantial differences in the model implied risk. Only for portfolios with large quantities of lower rated positions (BB, B and CCC/C) substantial differences may emerge as a result of the application of different methodologies. In general, one may prefer the duration methodology, since it employs all relevant information in the most efficient way and has numerous practical or technical advantages as well. Moreover, when a more detailed conditional stand-alone risk specification is required, the duration methodology is the only of the three estimation methods that allows for the estimation of the required parameters and their statistical properties in such a more complicated risk specification.</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One important model input is missing in this list. That is, the applied recovery rate is a crucial input as well. The effect of changing this input has not been addressed in the model estimations, since this effect is quite straightforward and its inclusion would extent the scope of this study even further to an unwarranted level. Basically, the recovery rate determines the (average) loss (or gain for a short position) as a result of a simulated default in the model. The loss as a result of default can generally be considered as the largest possible value change for a single position due to a (single rating class) change in credit quality, as the expected magnitude of this change is larger than any possible value change generated by a one rating class downgrade or upgrade. Hence, a lower (higher) recovery rate will increase (decrease) the model’s risk measures, since defaults play a crucial role in the extremely poor simulation scenarios from with the required risk measure is taken. This statement is confirmed by the fact that when the standard default value model is employed in the model estimations, instead of the modified version of the default value model, the all VaR-estimates decrease drastically.</w:t>
      </w:r>
      <w:r w:rsidRPr="00802C03">
        <w:rPr>
          <w:rStyle w:val="FootnoteReference"/>
          <w:rFonts w:ascii="Garamond" w:hAnsi="Garamond" w:cs="NimbusRomNo9L-Regu"/>
          <w:lang w:val="en-GB" w:eastAsia="nl-NL"/>
        </w:rPr>
        <w:footnoteReference w:id="69"/>
      </w:r>
      <w:r w:rsidRPr="00802C03">
        <w:rPr>
          <w:rFonts w:ascii="Garamond" w:hAnsi="Garamond" w:cs="NimbusRomNo9L-Regu"/>
          <w:lang w:val="en-GB" w:eastAsia="nl-NL"/>
        </w:rPr>
        <w:t xml:space="preserve"> Recall that the difference between both default value models is that the standard model employs a much higher effective recovery rate. In summary, in the construction and estimation of an actual incremental risk model, one must place great emphasis on the recovery rate assumption as well.</w:t>
      </w:r>
    </w:p>
    <w:p w:rsidR="001C7C52" w:rsidRPr="00802C03" w:rsidRDefault="001C7C52" w:rsidP="006922C6">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Apart from the model components or aspects discussed above, there are obviously more inputs and assumptions underlying the proposed model or an incremental risk model in general. In the model estimations, however, the decision has been made to focus on this set of inputs, since they are regarded to be the most imperative to the model in general. In addition, apart from possibly the credit yields curves, there are no remaining inputs that are likely to have an impact on the model’s risk measures as large as any of the components addressed in this section. </w:t>
      </w:r>
      <w:hyperlink w:anchor="S322" w:history="1">
        <w:r w:rsidRPr="00802C03">
          <w:rPr>
            <w:rStyle w:val="Hyperlink"/>
            <w:rFonts w:ascii="Garamond" w:hAnsi="Garamond" w:cs="NimbusRomNo9L-Regu"/>
            <w:color w:val="000066"/>
            <w:u w:val="none"/>
            <w:lang w:val="en-GB" w:eastAsia="nl-NL"/>
          </w:rPr>
          <w:t>Section 3.2.2</w:t>
        </w:r>
      </w:hyperlink>
      <w:r w:rsidRPr="00802C03">
        <w:rPr>
          <w:rFonts w:ascii="Garamond" w:hAnsi="Garamond" w:cs="NimbusRomNo9L-Regu"/>
          <w:lang w:val="en-GB" w:eastAsia="nl-NL"/>
        </w:rPr>
        <w:t xml:space="preserve"> to </w:t>
      </w:r>
      <w:hyperlink w:anchor="S326" w:history="1">
        <w:r w:rsidRPr="00802C03">
          <w:rPr>
            <w:rStyle w:val="Hyperlink"/>
            <w:rFonts w:ascii="Garamond" w:hAnsi="Garamond" w:cs="NimbusRomNo9L-Regu"/>
            <w:color w:val="000066"/>
            <w:u w:val="none"/>
            <w:lang w:val="en-GB" w:eastAsia="nl-NL"/>
          </w:rPr>
          <w:t>3.2.6</w:t>
        </w:r>
      </w:hyperlink>
      <w:r w:rsidRPr="00802C03">
        <w:rPr>
          <w:rFonts w:ascii="Garamond" w:hAnsi="Garamond" w:cs="NimbusRomNo9L-Regu"/>
          <w:lang w:val="en-GB" w:eastAsia="nl-NL"/>
        </w:rPr>
        <w:t xml:space="preserve"> will assess the major components of the model once more, and here many of additional assumptions, limitations and possible improvements are addressed to complete the assessment of the proposed model.</w:t>
      </w:r>
    </w:p>
    <w:p w:rsidR="001C7C52" w:rsidRPr="00802C03" w:rsidRDefault="001C7C52" w:rsidP="001F0514">
      <w:pPr>
        <w:spacing w:line="300" w:lineRule="exact"/>
        <w:jc w:val="both"/>
        <w:rPr>
          <w:rFonts w:ascii="Garamond" w:hAnsi="Garamond" w:cs="NimbusRomNo9L-Regu"/>
          <w:lang w:val="en-GB" w:eastAsia="nl-NL"/>
        </w:rPr>
      </w:pP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3.2.2</w:t>
      </w:r>
      <w:r w:rsidRPr="00802C03">
        <w:rPr>
          <w:rFonts w:ascii="Garamond" w:hAnsi="Garamond"/>
          <w:b/>
          <w:color w:val="000000"/>
          <w:lang w:val="en-GB"/>
        </w:rPr>
        <w:tab/>
      </w:r>
      <w:bookmarkStart w:id="86" w:name="S322"/>
      <w:bookmarkEnd w:id="86"/>
      <w:r w:rsidRPr="00802C03">
        <w:rPr>
          <w:rFonts w:ascii="Garamond" w:hAnsi="Garamond"/>
          <w:b/>
          <w:color w:val="000000"/>
          <w:lang w:val="en-GB"/>
        </w:rPr>
        <w:t>The Scope of the Exercise</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first aspect to be evaluated, is the scope of the model estimations that were presented in </w:t>
      </w:r>
      <w:hyperlink w:anchor="S310" w:history="1">
        <w:r w:rsidRPr="00802C03">
          <w:rPr>
            <w:rStyle w:val="Hyperlink"/>
            <w:rFonts w:ascii="Garamond" w:hAnsi="Garamond" w:cs="NimbusRomNo9L-Regu"/>
            <w:color w:val="000066"/>
            <w:u w:val="none"/>
            <w:lang w:val="en-GB" w:eastAsia="nl-NL"/>
          </w:rPr>
          <w:t>section 3.1</w:t>
        </w:r>
      </w:hyperlink>
      <w:r w:rsidRPr="00802C03">
        <w:rPr>
          <w:rFonts w:ascii="Garamond" w:hAnsi="Garamond" w:cs="NimbusRomNo9L-Regu"/>
          <w:lang w:val="en-GB" w:eastAsia="nl-NL"/>
        </w:rPr>
        <w:t xml:space="preserve">. This scope is quite limited, </w:t>
      </w:r>
      <w:r>
        <w:rPr>
          <w:rFonts w:ascii="Garamond" w:hAnsi="Garamond" w:cs="NimbusRomNo9L-Regu"/>
          <w:lang w:val="en-GB" w:eastAsia="nl-NL"/>
        </w:rPr>
        <w:t>since</w:t>
      </w:r>
      <w:r w:rsidRPr="00802C03">
        <w:rPr>
          <w:rFonts w:ascii="Garamond" w:hAnsi="Garamond" w:cs="NimbusRomNo9L-Regu"/>
          <w:lang w:val="en-GB" w:eastAsia="nl-NL"/>
        </w:rPr>
        <w:t xml:space="preserve"> the assessed portfolios only contain corporate bonds. </w:t>
      </w:r>
      <w:r>
        <w:rPr>
          <w:rFonts w:ascii="Garamond" w:hAnsi="Garamond" w:cs="NimbusRomNo9L-Regu"/>
          <w:lang w:val="en-GB" w:eastAsia="nl-NL"/>
        </w:rPr>
        <w:t>Even so</w:t>
      </w:r>
      <w:r w:rsidRPr="00802C03">
        <w:rPr>
          <w:rFonts w:ascii="Garamond" w:hAnsi="Garamond" w:cs="NimbusRomNo9L-Regu"/>
          <w:lang w:val="en-GB" w:eastAsia="nl-NL"/>
        </w:rPr>
        <w:t>, the model does yield realistic results. In that sense, it is not too hard to imagine how the model may behave when portfolios of multiple different credit p</w:t>
      </w:r>
      <w:r>
        <w:rPr>
          <w:rFonts w:ascii="Garamond" w:hAnsi="Garamond" w:cs="NimbusRomNo9L-Regu"/>
          <w:lang w:val="en-GB" w:eastAsia="nl-NL"/>
        </w:rPr>
        <w:t>roducts would be assessed with</w:t>
      </w:r>
      <w:r w:rsidRPr="00802C03">
        <w:rPr>
          <w:rFonts w:ascii="Garamond" w:hAnsi="Garamond" w:cs="NimbusRomNo9L-Regu"/>
          <w:lang w:val="en-GB" w:eastAsia="nl-NL"/>
        </w:rPr>
        <w:t xml:space="preserve"> the model. Although such an exercise is beyond the scope of the study, it is a recommended extension to the exercise presented in this study. Moreover, the assessed corporate bond portfolios were designed to display the characteristics of an average corporate bond portfolio, such that its implications can </w:t>
      </w:r>
      <w:r>
        <w:rPr>
          <w:rFonts w:ascii="Garamond" w:hAnsi="Garamond" w:cs="NimbusRomNo9L-Regu"/>
          <w:lang w:val="en-GB" w:eastAsia="nl-NL"/>
        </w:rPr>
        <w:t xml:space="preserve">evaluated in general context. Even </w:t>
      </w:r>
      <w:r w:rsidRPr="00802C03">
        <w:rPr>
          <w:rFonts w:ascii="Garamond" w:hAnsi="Garamond" w:cs="NimbusRomNo9L-Regu"/>
          <w:lang w:val="en-GB" w:eastAsia="nl-NL"/>
        </w:rPr>
        <w:t>though such a general view in the evaluation of the model is warranted, its implications may not be completely extendable to more specific cases. Examples obviously are portfolios containing</w:t>
      </w:r>
      <w:r>
        <w:rPr>
          <w:rFonts w:ascii="Garamond" w:hAnsi="Garamond" w:cs="NimbusRomNo9L-Regu"/>
          <w:lang w:val="en-GB" w:eastAsia="nl-NL"/>
        </w:rPr>
        <w:t xml:space="preserve"> multiple</w:t>
      </w:r>
      <w:r w:rsidRPr="00802C03">
        <w:rPr>
          <w:rFonts w:ascii="Garamond" w:hAnsi="Garamond" w:cs="NimbusRomNo9L-Regu"/>
          <w:lang w:val="en-GB" w:eastAsia="nl-NL"/>
        </w:rPr>
        <w:t xml:space="preserve"> different credit product classes or portfolios made up entirely b</w:t>
      </w:r>
      <w:r>
        <w:rPr>
          <w:rFonts w:ascii="Garamond" w:hAnsi="Garamond" w:cs="NimbusRomNo9L-Regu"/>
          <w:lang w:val="en-GB" w:eastAsia="nl-NL"/>
        </w:rPr>
        <w:t>y a single other type of credit product</w:t>
      </w:r>
      <w:r w:rsidRPr="00802C03">
        <w:rPr>
          <w:rFonts w:ascii="Garamond" w:hAnsi="Garamond" w:cs="NimbusRomNo9L-Regu"/>
          <w:lang w:val="en-GB" w:eastAsia="nl-NL"/>
        </w:rPr>
        <w:t xml:space="preserve">.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One can be fairly certain that the model will behave very similar to what was observed in the previous section in terms of the importance of the components in the model, when it is applied to a mainly speculative grade corporate bond portfolio, for example. However, when it comes to the application of a portfolio containing different types of credit products, only reasonable expectations can be formed in this context. It is rather certain that the importance of the copula assumption, conditionality and the liquidity horizon specification can be generalized to almost every possible scenario. The average level of issuer correlation, however, may induce substantially different effects in different portfolios. For instance, when some form of optionality is present in the majority of short positions in the portfolio, the risk reducing effect of the short positions in a high correlation environment may not exist at all. In that case, the importance of accurately capturing the issuer correlation effect must be seriously amplified. Furthermore, it is not unlikely that the issuer-specific autocorrelations, the estimation method of the credit migration matrix and even the specific correlation coefficient values may gain importance in alternative scenarios.</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 second aspect related to the scope of the exercise in the study is a point-in-time model assessment. In such an assessment, one evaluates how the model would behave through time, as the model would be estimated for many different estimation dates. The output can then be utilized to construct a measure of the risk implied by the model in a time-series dimension, which can subsequently be compared to a benchmark of some kind. Obviously, such a procedure would enhance the understanding of the workings of the proposed model, but it is a very time time-consuming addition to the study as well. Hence, the decision has been made to not perform such an assessment. Basically, in each estimation the credit yield curves have to be replaced in the forward (re)valuation of all the positions in the portfolios. Moreover, the credit migration matrices and all correlations would have to be re-estimated based on the new estimation dates. Furthermore, the idea behind the procedure may sound very appealing in a validation context, but the selection of the relevant migration and default risk benchmarks may be much more difficult than one would expect at first sight. Useful or functional benchmarks of this kind may not even exist. Again, extensions of this kind to the model estimations in </w:t>
      </w:r>
      <w:hyperlink w:anchor="S310" w:history="1">
        <w:r w:rsidRPr="00802C03">
          <w:rPr>
            <w:rStyle w:val="Hyperlink"/>
            <w:rFonts w:ascii="Garamond" w:hAnsi="Garamond" w:cs="NimbusRomNo9L-Regu"/>
            <w:color w:val="000066"/>
            <w:u w:val="none"/>
            <w:lang w:val="en-GB" w:eastAsia="nl-NL"/>
          </w:rPr>
          <w:t>section 3.1</w:t>
        </w:r>
      </w:hyperlink>
      <w:r w:rsidRPr="00802C03">
        <w:rPr>
          <w:rFonts w:ascii="Garamond" w:hAnsi="Garamond" w:cs="NimbusRomNo9L-Regu"/>
          <w:lang w:val="en-GB" w:eastAsia="nl-NL"/>
        </w:rPr>
        <w:t xml:space="preserve"> can be seen as suggestions for improvement. The initial objective was to present a general picture of the workings of the model and identify its most critical components. In that context, the model estimations and their evaluations have already presented a vast amount of useful information.</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last aspect, concerning the scope of the exercise, is an extension to also incorporate non-US issuers. Such an extension does not really shed more light in the workings of the model, but it is an extension that is likely to be required in an actual incremental risk model. In essence, trading portfolios nearly always contain assets from multiple countries. Nonetheless, such an extension is very straightforward. The effects within the model are almost certainly equivalent to those observed in the model estimation in </w:t>
      </w:r>
      <w:hyperlink w:anchor="S310" w:history="1">
        <w:r w:rsidRPr="00802C03">
          <w:rPr>
            <w:rStyle w:val="Hyperlink"/>
            <w:rFonts w:ascii="Garamond" w:hAnsi="Garamond" w:cs="NimbusRomNo9L-Regu"/>
            <w:color w:val="000066"/>
            <w:u w:val="none"/>
            <w:lang w:val="en-GB" w:eastAsia="nl-NL"/>
          </w:rPr>
          <w:t>section 3.1</w:t>
        </w:r>
      </w:hyperlink>
      <w:r w:rsidRPr="00802C03">
        <w:rPr>
          <w:rFonts w:ascii="Garamond" w:hAnsi="Garamond" w:cs="NimbusRomNo9L-Regu"/>
          <w:lang w:val="en-GB" w:eastAsia="nl-NL"/>
        </w:rPr>
        <w:t xml:space="preserve">, as the model dynamics do not actually change. Basically, the only difference is that a set of additional inputs is required when, for example, UK issuers are also included. First of all, a separate UK credit migration matrix is needed, as migration probabilities tend to differ across countries and regions. In addition, UK credit yield curves are also required, as yields tend to differ substantially across countries and regions as well. Essentially, the value of a bond of a US BBB-rated issuer can be substantially different from that of a similar bond of a similar UK BBB-rated issuer. Note, however, that these yield curves should be based on the currency of the country in which the bank that is holding the trading portfolio is located. Lastly, additional important inputs like recovery rates are best specified conditional to the UK as well. Thus, it is best to condition all inputs to the specific countries of the issuers that are assessed with the model. For small countries, however, the necessary credit migration data and credit yield curves for low ratings (B and CCC/C) are not likely to be available. In such cases, one has to settle with more general data (European data for Dutch issuers for example).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last point of attention here is the estimation of issuer correlations when multiple countries and therefore multiple currencies are assessed. In essence, one should use equity return data that is based on the local currency of each respective issuer. Why not use US dollar return data when the bank holding the portfolio is located in the US? The answer is quite simple. When US dollar equity returns are used for a UK issuer for example, then </w:t>
      </w:r>
      <w:r>
        <w:rPr>
          <w:rFonts w:ascii="Garamond" w:hAnsi="Garamond" w:cs="NimbusRomNo9L-Regu"/>
          <w:lang w:val="en-GB" w:eastAsia="nl-NL"/>
        </w:rPr>
        <w:t>if</w:t>
      </w:r>
      <w:r w:rsidRPr="00802C03">
        <w:rPr>
          <w:rFonts w:ascii="Garamond" w:hAnsi="Garamond" w:cs="NimbusRomNo9L-Regu"/>
          <w:lang w:val="en-GB" w:eastAsia="nl-NL"/>
        </w:rPr>
        <w:t xml:space="preserve"> the UK issuer </w:t>
      </w:r>
      <w:r>
        <w:rPr>
          <w:rFonts w:ascii="Garamond" w:hAnsi="Garamond" w:cs="NimbusRomNo9L-Regu"/>
          <w:lang w:val="en-GB" w:eastAsia="nl-NL"/>
        </w:rPr>
        <w:t>generates</w:t>
      </w:r>
      <w:r w:rsidRPr="00802C03">
        <w:rPr>
          <w:rFonts w:ascii="Garamond" w:hAnsi="Garamond" w:cs="NimbusRomNo9L-Regu"/>
          <w:lang w:val="en-GB" w:eastAsia="nl-NL"/>
        </w:rPr>
        <w:t xml:space="preserve"> a large negative return in British pounds but the pound appreciates at the same time, then US dollar return may indicate only a slight de</w:t>
      </w:r>
      <w:r>
        <w:rPr>
          <w:rFonts w:ascii="Garamond" w:hAnsi="Garamond" w:cs="NimbusRomNo9L-Regu"/>
          <w:lang w:val="en-GB" w:eastAsia="nl-NL"/>
        </w:rPr>
        <w:t>terioration</w:t>
      </w:r>
      <w:r w:rsidRPr="00802C03">
        <w:rPr>
          <w:rFonts w:ascii="Garamond" w:hAnsi="Garamond" w:cs="NimbusRomNo9L-Regu"/>
          <w:lang w:val="en-GB" w:eastAsia="nl-NL"/>
        </w:rPr>
        <w:t xml:space="preserve"> in creditworthiness of the issuer, while in fact the issuer may be close to default as a result of the poor actual British pound return. Hence, the British pound return is more relevant for the actual credit quality of that issuer. Basically, the own local currency return provides a more clean assessment of the issuers credit quality. In fact, a conversion to another currency is only more likely to introduce noise in this assessment. Since the point of interest is the correlation between issuers in their actual level of credit quality, it is obvious that local currency returns are required.</w:t>
      </w:r>
    </w:p>
    <w:p w:rsidR="001C7C52" w:rsidRPr="00802C03" w:rsidRDefault="001C7C52" w:rsidP="001F0514">
      <w:pPr>
        <w:spacing w:line="280" w:lineRule="exact"/>
        <w:jc w:val="both"/>
        <w:rPr>
          <w:rFonts w:ascii="Garamond" w:hAnsi="Garamond" w:cs="NimbusRomNo9L-Regu"/>
          <w:lang w:val="en-GB" w:eastAsia="nl-NL"/>
        </w:rPr>
      </w:pP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3.2.3</w:t>
      </w:r>
      <w:r w:rsidRPr="00802C03">
        <w:rPr>
          <w:rFonts w:ascii="Garamond" w:hAnsi="Garamond"/>
          <w:b/>
          <w:color w:val="000000"/>
          <w:lang w:val="en-GB"/>
        </w:rPr>
        <w:tab/>
      </w:r>
      <w:bookmarkStart w:id="87" w:name="S323"/>
      <w:bookmarkEnd w:id="87"/>
      <w:r w:rsidRPr="00802C03">
        <w:rPr>
          <w:rFonts w:ascii="Garamond" w:hAnsi="Garamond"/>
          <w:b/>
          <w:color w:val="000000"/>
          <w:lang w:val="en-GB"/>
        </w:rPr>
        <w:t>Stand-Alone Risk</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The primary aspect of the stand-alone risk specification obviously is the credit migration matrix. One general issue underlying the credit migration matrix is that it might approach migration and default risk in a too general form. In the utilization of a single migration matrix, all BBB-rated issuers for example are assumed to be subject to </w:t>
      </w:r>
      <w:r>
        <w:rPr>
          <w:rFonts w:ascii="Garamond" w:hAnsi="Garamond" w:cs="NimbusRomNo9L-Regu"/>
          <w:color w:val="000000"/>
          <w:lang w:val="en-GB" w:eastAsia="nl-NL"/>
        </w:rPr>
        <w:t>identical</w:t>
      </w:r>
      <w:r w:rsidRPr="00802C03">
        <w:rPr>
          <w:rFonts w:ascii="Garamond" w:hAnsi="Garamond" w:cs="NimbusRomNo9L-Regu"/>
          <w:color w:val="000000"/>
          <w:lang w:val="en-GB" w:eastAsia="nl-NL"/>
        </w:rPr>
        <w:t xml:space="preserve"> migration probabilities. In reality, this assumption is likely to be flawed. Conditional credit migration matrices may provide a solution to this issue. As pointed out in the credit migration matrix estimation section (</w:t>
      </w:r>
      <w:hyperlink w:anchor="S216" w:history="1">
        <w:r w:rsidRPr="00802C03">
          <w:rPr>
            <w:rStyle w:val="Hyperlink"/>
            <w:rFonts w:ascii="Garamond" w:hAnsi="Garamond" w:cs="NimbusRomNo9L-Regu"/>
            <w:color w:val="000066"/>
            <w:u w:val="none"/>
            <w:lang w:val="en-GB" w:eastAsia="nl-NL"/>
          </w:rPr>
          <w:t>Part II section 2.1.6</w:t>
        </w:r>
      </w:hyperlink>
      <w:r w:rsidRPr="00802C03">
        <w:rPr>
          <w:rFonts w:ascii="Garamond" w:hAnsi="Garamond" w:cs="NimbusRomNo9L-Regu"/>
          <w:color w:val="000000"/>
          <w:lang w:val="en-GB" w:eastAsia="nl-NL"/>
        </w:rPr>
        <w:t xml:space="preserve">), credit migration dynamics can be approached in a much more detailed setting. The most important additional characteristics that may be incorporated in the simulation model through an extended credit migration matrix specification are: rating drift, business cycle effects, effects of macroeconomic factors and industry specific credit migration dynamics.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The utilization of different migration matrices conditioned to different industries is a very simple way to enforce a more detailed risk specification. A stand-alone migration and default risk specification of this kind may sound appealing, as it would be consistent with the fact that the required credit yield curves are also often available for each industry in the valuation context. The disadvantage of this extension, however, is the limited availability of underlying data per industry, which will result in a very limited reliability of the migration probability estimates resulting from these rather small datasets. Moreover, conditioning on industries is never in the literature addressed as the most essential additional estimation specification in the credit migration matrix.</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In essence, rating drift is regarded in the literature as the most important (non-Markov) effect that is not captured in a straightforward migration matrix. The incorporation of rating drift in the credit migration matrix specification requires a much more complicated approach. </w:t>
      </w:r>
      <w:r>
        <w:rPr>
          <w:rFonts w:ascii="Garamond" w:hAnsi="Garamond" w:cs="NimbusRomNo9L-Regu"/>
          <w:color w:val="000000"/>
          <w:lang w:val="en-GB" w:eastAsia="nl-NL"/>
        </w:rPr>
        <w:t xml:space="preserve">Even </w:t>
      </w:r>
      <w:r w:rsidRPr="00802C03">
        <w:rPr>
          <w:rFonts w:ascii="Garamond" w:hAnsi="Garamond" w:cs="NimbusRomNo9L-Regu"/>
          <w:color w:val="000000"/>
          <w:lang w:val="en-GB" w:eastAsia="nl-NL"/>
        </w:rPr>
        <w:t xml:space="preserve">though rating drift is introduced in the simulation model through the asset return autocorrelations, incorporating it directly into the stand-alone risk specification should allow for a much more accurate display of the observed credit migration dynamics. Nevertheless, such an extension to the proposed simulation model requires complicated credit migration matrix estimation techniques such as Markov mixture models as in </w:t>
      </w:r>
      <w:hyperlink w:anchor="Frydman_2005" w:history="1">
        <w:r w:rsidRPr="00802C03">
          <w:rPr>
            <w:rStyle w:val="Hyperlink"/>
            <w:rFonts w:ascii="Garamond" w:hAnsi="Garamond" w:cs="NimbusRomNo9L-Regu"/>
            <w:color w:val="000066"/>
            <w:u w:val="none"/>
            <w:lang w:val="en-GB" w:eastAsia="nl-NL"/>
          </w:rPr>
          <w:t>Frydman (2005)</w:t>
        </w:r>
      </w:hyperlink>
      <w:r w:rsidRPr="00802C03">
        <w:rPr>
          <w:rFonts w:ascii="Garamond" w:hAnsi="Garamond" w:cs="NimbusRomNo9L-Regu"/>
          <w:color w:val="000000"/>
          <w:lang w:val="en-GB" w:eastAsia="nl-NL"/>
        </w:rPr>
        <w:t xml:space="preserve"> and </w:t>
      </w:r>
      <w:hyperlink w:anchor="Frydman_Schuermann_2008" w:history="1">
        <w:r w:rsidRPr="00802C03">
          <w:rPr>
            <w:rStyle w:val="Hyperlink"/>
            <w:rFonts w:ascii="Garamond" w:hAnsi="Garamond" w:cs="NimbusRomNo9L-Regu"/>
            <w:color w:val="000066"/>
            <w:u w:val="none"/>
            <w:lang w:val="en-GB" w:eastAsia="nl-NL"/>
          </w:rPr>
          <w:t>Frydman &amp; Schuermann (2008)</w:t>
        </w:r>
      </w:hyperlink>
      <w:r w:rsidRPr="00802C03">
        <w:rPr>
          <w:rFonts w:ascii="Garamond" w:hAnsi="Garamond" w:cs="NimbusRomNo9L-Regu"/>
          <w:color w:val="000000"/>
          <w:lang w:val="en-GB" w:eastAsia="nl-NL"/>
        </w:rPr>
        <w:t xml:space="preserve"> or multiple hidden Markov chains as in </w:t>
      </w:r>
      <w:hyperlink w:anchor="Christensen_et_al_2004" w:history="1">
        <w:r w:rsidRPr="00802C03">
          <w:rPr>
            <w:rStyle w:val="Hyperlink"/>
            <w:rFonts w:ascii="Garamond" w:hAnsi="Garamond" w:cs="NimbusRomNo9L-Regu"/>
            <w:color w:val="000066"/>
            <w:u w:val="none"/>
            <w:lang w:val="en-GB" w:eastAsia="nl-NL"/>
          </w:rPr>
          <w:t>Christensen et al. (2004)</w:t>
        </w:r>
      </w:hyperlink>
      <w:r w:rsidRPr="00802C03">
        <w:rPr>
          <w:rFonts w:ascii="Garamond" w:hAnsi="Garamond" w:cs="NimbusRomNo9L-Regu"/>
          <w:color w:val="000000"/>
          <w:lang w:val="en-GB" w:eastAsia="nl-NL"/>
        </w:rPr>
        <w:t>. The estimation of these models may not be a real issue, but the estimation output has to be model</w:t>
      </w:r>
      <w:r>
        <w:rPr>
          <w:rFonts w:ascii="Garamond" w:hAnsi="Garamond" w:cs="NimbusRomNo9L-Regu"/>
          <w:color w:val="000000"/>
          <w:lang w:val="en-GB" w:eastAsia="nl-NL"/>
        </w:rPr>
        <w:t>l</w:t>
      </w:r>
      <w:r w:rsidRPr="00802C03">
        <w:rPr>
          <w:rFonts w:ascii="Garamond" w:hAnsi="Garamond" w:cs="NimbusRomNo9L-Regu"/>
          <w:color w:val="000000"/>
          <w:lang w:val="en-GB" w:eastAsia="nl-NL"/>
        </w:rPr>
        <w:t xml:space="preserve">ed into the simulation structure as well. The construction of a simulation structure that incorporates rating drift, as it is observed in historical credit rating datasets, will however make the simulation substantially more realistic. Its effect on the model’s required risk measures is likely to be similar to that of the incorporation of autocorrelations.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Another approach to the incorporation of rating drift and also macroeconomic covariates is the application of hazard functions that directly assess the intensities on which the duration migration matrix estimation methodology is built. Such a methodology is applied by </w:t>
      </w:r>
      <w:hyperlink w:anchor="Lando_Skodeberg_2002" w:history="1">
        <w:r w:rsidRPr="00802C03">
          <w:rPr>
            <w:rStyle w:val="Hyperlink"/>
            <w:rFonts w:ascii="Garamond" w:hAnsi="Garamond" w:cs="NimbusRomNo9L-Regu"/>
            <w:color w:val="000066"/>
            <w:u w:val="none"/>
            <w:lang w:val="en-GB" w:eastAsia="nl-NL"/>
          </w:rPr>
          <w:t xml:space="preserve">Lando &amp; </w:t>
        </w:r>
        <w:r w:rsidRPr="00802C03">
          <w:rPr>
            <w:rStyle w:val="Hyperlink"/>
            <w:rFonts w:ascii="Garamond" w:hAnsi="Garamond"/>
            <w:color w:val="000066"/>
            <w:u w:val="none"/>
            <w:lang w:val="en-GB"/>
          </w:rPr>
          <w:t>Skødeberg</w:t>
        </w:r>
        <w:r w:rsidRPr="00802C03">
          <w:rPr>
            <w:rStyle w:val="Hyperlink"/>
            <w:rFonts w:ascii="Garamond" w:hAnsi="Garamond" w:cs="NimbusRomNo9L-Regu"/>
            <w:color w:val="000066"/>
            <w:u w:val="none"/>
            <w:lang w:val="en-GB" w:eastAsia="nl-NL"/>
          </w:rPr>
          <w:t xml:space="preserve"> (2002)</w:t>
        </w:r>
      </w:hyperlink>
      <w:r w:rsidRPr="00802C03">
        <w:rPr>
          <w:rFonts w:ascii="Garamond" w:hAnsi="Garamond" w:cs="NimbusRomNo9L-Regu"/>
          <w:color w:val="000000"/>
          <w:lang w:val="en-GB" w:eastAsia="nl-NL"/>
        </w:rPr>
        <w:t xml:space="preserve"> to assess rating drift. In addition, </w:t>
      </w:r>
      <w:hyperlink w:anchor="Figlewski_et_al_2008" w:history="1">
        <w:r w:rsidRPr="00802C03">
          <w:rPr>
            <w:rStyle w:val="Hyperlink"/>
            <w:rFonts w:ascii="Garamond" w:hAnsi="Garamond" w:cs="NimbusRomNo9L-Regu"/>
            <w:color w:val="000066"/>
            <w:u w:val="none"/>
            <w:lang w:val="en-GB" w:eastAsia="nl-NL"/>
          </w:rPr>
          <w:t>Figlewski et al. (2008)</w:t>
        </w:r>
      </w:hyperlink>
      <w:r w:rsidRPr="00802C03">
        <w:rPr>
          <w:rFonts w:ascii="Garamond" w:hAnsi="Garamond" w:cs="NimbusRomNo9L-Regu"/>
          <w:color w:val="000000"/>
          <w:lang w:val="en-GB" w:eastAsia="nl-NL"/>
        </w:rPr>
        <w:t xml:space="preserve"> employ it to approach the effect of macroeconomic factors as well. Hazard models of this kind may even be altered to incorporate firm-specific financial statement data, as is often performed in default prediction hazard models (e.g. </w:t>
      </w:r>
      <w:hyperlink w:anchor="Whalen_1991" w:history="1">
        <w:r w:rsidRPr="00802C03">
          <w:rPr>
            <w:rStyle w:val="Hyperlink"/>
            <w:rFonts w:ascii="Garamond" w:hAnsi="Garamond" w:cs="NimbusRomNo9L-Regu"/>
            <w:color w:val="000066"/>
            <w:u w:val="none"/>
            <w:lang w:val="en-GB" w:eastAsia="nl-NL"/>
          </w:rPr>
          <w:t>Whalen, 1991</w:t>
        </w:r>
      </w:hyperlink>
      <w:r w:rsidRPr="00802C03">
        <w:rPr>
          <w:rFonts w:ascii="Garamond" w:hAnsi="Garamond" w:cs="NimbusRomNo9L-Regu"/>
          <w:color w:val="000000"/>
          <w:lang w:val="en-GB" w:eastAsia="nl-NL"/>
        </w:rPr>
        <w:t xml:space="preserve">; </w:t>
      </w:r>
      <w:hyperlink w:anchor="Shumway_2001" w:history="1">
        <w:r w:rsidRPr="00802C03">
          <w:rPr>
            <w:rStyle w:val="Hyperlink"/>
            <w:rFonts w:ascii="Garamond" w:hAnsi="Garamond" w:cs="NimbusRomNo9L-Regu"/>
            <w:color w:val="000066"/>
            <w:u w:val="none"/>
            <w:lang w:val="en-GB" w:eastAsia="nl-NL"/>
          </w:rPr>
          <w:t>Shumway, 2001</w:t>
        </w:r>
      </w:hyperlink>
      <w:r w:rsidRPr="00802C03">
        <w:rPr>
          <w:rFonts w:ascii="Garamond" w:hAnsi="Garamond" w:cs="NimbusRomNo9L-Regu"/>
          <w:color w:val="000000"/>
          <w:lang w:val="en-GB" w:eastAsia="nl-NL"/>
        </w:rPr>
        <w:t xml:space="preserve">; </w:t>
      </w:r>
      <w:hyperlink w:anchor="Chava_Jarrow_2004" w:history="1">
        <w:r w:rsidRPr="00802C03">
          <w:rPr>
            <w:rStyle w:val="Hyperlink"/>
            <w:rFonts w:ascii="Garamond" w:hAnsi="Garamond" w:cs="NimbusRomNo9L-Regu"/>
            <w:color w:val="000066"/>
            <w:u w:val="none"/>
            <w:lang w:val="en-GB" w:eastAsia="nl-NL"/>
          </w:rPr>
          <w:t>Chava &amp; Jarrow, 2004</w:t>
        </w:r>
      </w:hyperlink>
      <w:r w:rsidRPr="00802C03">
        <w:rPr>
          <w:rFonts w:ascii="Garamond" w:hAnsi="Garamond" w:cs="NimbusRomNo9L-Regu"/>
          <w:color w:val="000000"/>
          <w:lang w:val="en-GB" w:eastAsia="nl-NL"/>
        </w:rPr>
        <w:t>). Again, the incorporation of such highly specified assessments of credit migration dynamics in the model definitely will significantly enhance to the quality of the simulation model.</w:t>
      </w:r>
    </w:p>
    <w:p w:rsidR="001C7C52" w:rsidRPr="00802C03" w:rsidRDefault="001C7C52" w:rsidP="001F0514">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The conditioning of the credit migration matrix to stages of the business cycle is often applied in the literature as well. In fact, the credit crisis migration matrix that is estimated in </w:t>
      </w:r>
      <w:hyperlink w:anchor="S216" w:history="1">
        <w:r w:rsidRPr="00802C03">
          <w:rPr>
            <w:rStyle w:val="Hyperlink"/>
            <w:rFonts w:ascii="Garamond" w:hAnsi="Garamond" w:cs="NimbusRomNo9L-Regu"/>
            <w:color w:val="000066"/>
            <w:u w:val="none"/>
            <w:lang w:val="en-GB" w:eastAsia="nl-NL"/>
          </w:rPr>
          <w:t>Part II section 2.1.6</w:t>
        </w:r>
      </w:hyperlink>
      <w:r w:rsidRPr="00802C03">
        <w:rPr>
          <w:rFonts w:ascii="Garamond" w:hAnsi="Garamond" w:cs="NimbusRomNo9L-Regu"/>
          <w:color w:val="000000"/>
          <w:lang w:val="en-GB" w:eastAsia="nl-NL"/>
        </w:rPr>
        <w:t xml:space="preserve"> can be regarded as a conditional migration matrix of this kind. In essence, it is nothing more than selecting an estimation sample that applies to a specific economic environment. The Basel II Framework does not contain requirements to incorporate rating drift or macroeconomic factors in the use of a credit migration matrix specification. It does, however, provide some guidance with respect to conditioning in the form of the estimation sample period on which risk specification can be built </w:t>
      </w:r>
      <w:r w:rsidRPr="00802C03">
        <w:rPr>
          <w:rFonts w:ascii="Garamond" w:hAnsi="Garamond" w:cs="NimbusRomNo9L-Regu"/>
          <w:lang w:val="en-GB" w:eastAsia="nl-NL"/>
        </w:rPr>
        <w:t>(</w:t>
      </w:r>
      <w:hyperlink w:anchor="BCBS_2006" w:history="1">
        <w:r w:rsidRPr="00802C03">
          <w:rPr>
            <w:rStyle w:val="Hyperlink"/>
            <w:rFonts w:ascii="Garamond" w:hAnsi="Garamond" w:cs="NimbusRomNo9L-Regu"/>
            <w:color w:val="000066"/>
            <w:u w:val="none"/>
            <w:lang w:val="en-GB" w:eastAsia="nl-NL"/>
          </w:rPr>
          <w:t>BCBS, 2006</w:t>
        </w:r>
      </w:hyperlink>
      <w:r w:rsidRPr="00802C03">
        <w:rPr>
          <w:rFonts w:ascii="Garamond" w:hAnsi="Garamond" w:cs="NimbusRomNo9L-Regu"/>
          <w:color w:val="000000"/>
          <w:lang w:val="en-GB" w:eastAsia="nl-NL"/>
        </w:rPr>
        <w:t xml:space="preserve">). Two important aspects are relevant in this context. The first is regulatory capital arbitrage and the second is the general intuition of the whole incremental risk model, which is to some extent again related to the capital arbitrage aspect.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As stated in the </w:t>
      </w:r>
      <w:hyperlink w:anchor="C1_Introduction" w:history="1">
        <w:r w:rsidRPr="00802C03">
          <w:rPr>
            <w:rStyle w:val="Hyperlink"/>
            <w:rFonts w:ascii="Garamond" w:hAnsi="Garamond" w:cs="NimbusRomNo9L-Regu"/>
            <w:color w:val="000066"/>
            <w:u w:val="none"/>
            <w:lang w:val="en-GB" w:eastAsia="nl-NL"/>
          </w:rPr>
          <w:t>introduction</w:t>
        </w:r>
      </w:hyperlink>
      <w:r w:rsidRPr="00802C03">
        <w:rPr>
          <w:rFonts w:ascii="Garamond" w:hAnsi="Garamond" w:cs="NimbusRomNo9L-Regu"/>
          <w:color w:val="000000"/>
          <w:lang w:val="en-GB" w:eastAsia="nl-NL"/>
        </w:rPr>
        <w:t xml:space="preserve">, regulatory capital arbitrage between the trading book and the banking book is one of the main reasons for the introduction of the Incremental Risk Capital Charge. The incremental risk model (IRC-model) should provide the level of capital requirements for the positions in the trading book and in most cases the internal ratings-based model (IRB-model) should produce the level of capital requirements for the positions in the banking book. In both models the 99.9% value-at-risk measure is applied. Then obviously capital arbitrage between both books is prevented when both models deliver the same charge for similar positions. The Basel Committee’s incremental risk model guidelines even contain a proposal of the application of the banking book treatment to the trading book or to apply it for the most illiquid positions. Nonetheless, all financial institutions that commented on this proposal strongly disagreed with such a treatment. The primary reason was that banking book and trading book positions are subject to different risks, as the key risk driver in the banking book is the probability of default and in the trading book more general (market related) forces play a much larger role. Moreover, the treatment would not be consistent with risk management objectives and practices.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What does capital arbitrage between the trading book and banking book has to do with the conditionality of the credit migration matrix? Essentially, if both books must be subject to similar capital charges then their general specification in terms of conditionality should also be relatively similar. The incremental risk model guidelines do not contain any requirements regarding </w:t>
      </w:r>
      <w:r>
        <w:rPr>
          <w:rFonts w:ascii="Garamond" w:hAnsi="Garamond" w:cs="NimbusRomNo9L-Regu"/>
          <w:color w:val="000000"/>
          <w:lang w:val="en-GB" w:eastAsia="nl-NL"/>
        </w:rPr>
        <w:t xml:space="preserve">the </w:t>
      </w:r>
      <w:r w:rsidRPr="00802C03">
        <w:rPr>
          <w:rFonts w:ascii="Garamond" w:hAnsi="Garamond" w:cs="NimbusRomNo9L-Regu"/>
          <w:color w:val="000000"/>
          <w:lang w:val="en-GB" w:eastAsia="nl-NL"/>
        </w:rPr>
        <w:t>conditionality</w:t>
      </w:r>
      <w:r>
        <w:rPr>
          <w:rFonts w:ascii="Garamond" w:hAnsi="Garamond" w:cs="NimbusRomNo9L-Regu"/>
          <w:color w:val="000000"/>
          <w:lang w:val="en-GB" w:eastAsia="nl-NL"/>
        </w:rPr>
        <w:t>,</w:t>
      </w:r>
      <w:r w:rsidRPr="00802C03">
        <w:rPr>
          <w:rFonts w:ascii="Garamond" w:hAnsi="Garamond" w:cs="NimbusRomNo9L-Regu"/>
          <w:color w:val="000000"/>
          <w:lang w:val="en-GB" w:eastAsia="nl-NL"/>
        </w:rPr>
        <w:t xml:space="preserve"> in the form of the estimation sample period</w:t>
      </w:r>
      <w:r>
        <w:rPr>
          <w:rFonts w:ascii="Garamond" w:hAnsi="Garamond" w:cs="NimbusRomNo9L-Regu"/>
          <w:color w:val="000000"/>
          <w:lang w:val="en-GB" w:eastAsia="nl-NL"/>
        </w:rPr>
        <w:t>,</w:t>
      </w:r>
      <w:r w:rsidRPr="00802C03">
        <w:rPr>
          <w:rFonts w:ascii="Garamond" w:hAnsi="Garamond" w:cs="NimbusRomNo9L-Regu"/>
          <w:color w:val="000000"/>
          <w:lang w:val="en-GB" w:eastAsia="nl-NL"/>
        </w:rPr>
        <w:t xml:space="preserve"> on which </w:t>
      </w:r>
      <w:r>
        <w:rPr>
          <w:rFonts w:ascii="Garamond" w:hAnsi="Garamond" w:cs="NimbusRomNo9L-Regu"/>
          <w:color w:val="000000"/>
          <w:lang w:val="en-GB" w:eastAsia="nl-NL"/>
        </w:rPr>
        <w:t xml:space="preserve">the (stand-alone) </w:t>
      </w:r>
      <w:r w:rsidRPr="00802C03">
        <w:rPr>
          <w:rFonts w:ascii="Garamond" w:hAnsi="Garamond" w:cs="NimbusRomNo9L-Regu"/>
          <w:color w:val="000000"/>
          <w:lang w:val="en-GB" w:eastAsia="nl-NL"/>
        </w:rPr>
        <w:t xml:space="preserve">risk specifications should be built. </w:t>
      </w:r>
      <w:r>
        <w:rPr>
          <w:rFonts w:ascii="Garamond" w:hAnsi="Garamond" w:cs="NimbusRomNo9L-Regu"/>
          <w:color w:val="000000"/>
          <w:lang w:val="en-GB" w:eastAsia="nl-NL"/>
        </w:rPr>
        <w:t>Even so</w:t>
      </w:r>
      <w:r w:rsidRPr="00802C03">
        <w:rPr>
          <w:rFonts w:ascii="Garamond" w:hAnsi="Garamond" w:cs="NimbusRomNo9L-Regu"/>
          <w:color w:val="000000"/>
          <w:lang w:val="en-GB" w:eastAsia="nl-NL"/>
        </w:rPr>
        <w:t xml:space="preserve">, the internal ratings-based approach roughly offers two choices in the sample period conditionality of probabilities of default and other related utilized risk components. The first is a through-the-cycle specification and the second is a point-in-time specification. The through-the-cycle specification basically implies that one or more (business) cycles should be taken into account, where one cycle is believed to last between </w:t>
      </w:r>
      <w:r w:rsidRPr="00802C03">
        <w:rPr>
          <w:rFonts w:ascii="Garamond" w:hAnsi="Garamond" w:cs="NimbusRomNo9L-Regu"/>
          <w:lang w:val="en-GB" w:eastAsia="nl-NL"/>
        </w:rPr>
        <w:t>ten and twelve years</w:t>
      </w:r>
      <w:r w:rsidRPr="00802C03">
        <w:rPr>
          <w:rFonts w:ascii="Garamond" w:hAnsi="Garamond" w:cs="NimbusRomNo9L-Regu"/>
          <w:color w:val="000000"/>
          <w:lang w:val="en-GB" w:eastAsia="nl-NL"/>
        </w:rPr>
        <w:t xml:space="preserve">. The point-in-time specification is approximately equal to conditioning to the current economic environment. The point here is that when one of the two is applied in the internal ratings-based model, the incremental risk model should be based on the same specification to achieve the required consistency.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On the other hand, when the intuition and objectives behind both models and the practical nature of the positions that they assess are taken into account, the opposite conclusion may be reached. The internal ratings-based approach assesses the banking book which contains long-term illiquid positions, whereas the incremental risk model addresses the trading book which predominantly contains positions that are held for sale or ‘trading’.</w:t>
      </w:r>
      <w:r w:rsidRPr="00802C03">
        <w:rPr>
          <w:rStyle w:val="FootnoteReference"/>
          <w:rFonts w:ascii="Garamond" w:hAnsi="Garamond" w:cs="NimbusRomNo9L-Regu"/>
          <w:color w:val="000000"/>
          <w:lang w:val="en-GB" w:eastAsia="nl-NL"/>
        </w:rPr>
        <w:footnoteReference w:id="70"/>
      </w:r>
      <w:r w:rsidRPr="00802C03">
        <w:rPr>
          <w:rFonts w:ascii="Garamond" w:hAnsi="Garamond" w:cs="NimbusRomNo9L-Regu"/>
          <w:color w:val="000000"/>
          <w:lang w:val="en-GB" w:eastAsia="nl-NL"/>
        </w:rPr>
        <w:t xml:space="preserve"> Thus, in the trading book the short-term environment is much more relevant, as positions that are held for trading purposes obviously require an assessment of their value and risk in the current market environment. Conversely, in the banking book the current market environment is of much less importance, as positions are mainly held to maturity. In the banking book, results generally materialize in the long-term. Hence, the long-term environment is more appropriate here. Furthermore, a through-the-cycle specification is better aligned with such a long-term objective, whereas the short-term is more consistent with a point-in-time specification. In other words, both models intuitively require different condition</w:t>
      </w:r>
      <w:r>
        <w:rPr>
          <w:rFonts w:ascii="Garamond" w:hAnsi="Garamond" w:cs="NimbusRomNo9L-Regu"/>
          <w:color w:val="000000"/>
          <w:lang w:val="en-GB" w:eastAsia="nl-NL"/>
        </w:rPr>
        <w:t>ality specifications, while these conditionality specifications</w:t>
      </w:r>
      <w:r w:rsidRPr="00802C03">
        <w:rPr>
          <w:rFonts w:ascii="Garamond" w:hAnsi="Garamond" w:cs="NimbusRomNo9L-Regu"/>
          <w:color w:val="000000"/>
          <w:lang w:val="en-GB" w:eastAsia="nl-NL"/>
        </w:rPr>
        <w:t xml:space="preserve"> should be roughly similar to prevent capital arbitrage. Note, however, that similar capital charges can also be generated with different conditionality specifications in both models, </w:t>
      </w:r>
      <w:r>
        <w:rPr>
          <w:rFonts w:ascii="Garamond" w:hAnsi="Garamond" w:cs="NimbusRomNo9L-Regu"/>
          <w:color w:val="000000"/>
          <w:lang w:val="en-GB" w:eastAsia="nl-NL"/>
        </w:rPr>
        <w:t>albeit</w:t>
      </w:r>
      <w:r w:rsidRPr="00802C03">
        <w:rPr>
          <w:rFonts w:ascii="Garamond" w:hAnsi="Garamond" w:cs="NimbusRomNo9L-Regu"/>
          <w:color w:val="000000"/>
          <w:lang w:val="en-GB" w:eastAsia="nl-NL"/>
        </w:rPr>
        <w:t xml:space="preserve"> certainly much more difficult to achieve. In such a setting, both model are inconsistently defined and therefore behave fundamentally different. The principal objective of the incremental risk model, however, must not be forgotten. The model should address the default and migration risk incremental to the credit positions in the trading book. It is not just introduced to prevent capital arbitrage.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In addition, emphasis must also be placed on the general statistical intuition of the actual risk measure that is required in the incremental risk model. As mentioned, at first sight the short-term current environment approach of a point-in-time specification seems more appealing for trading positions. Nonetheless, if the nature of the required value-at-risk measure is taken into account, another conclusion might be reached. For example, consider the migration matrix conditional to the credit crisis. This matrix can be seen as a point-in-time specification of the migration matrix. Then when the 99.9% one-year VaR is taken from the portfolio return distribution, it implies that the 99.9% worst result in the credit crisis market environment is taken, which is a scenario that would only occur once in 1000 years of credit crisis. Basically, an extremely poor scenario is assessed, within a market environment that can be classified as an extremely poor scenario on itself. The credit crisis on itself can be defined as a 90% to 95% worst scenario at best. Based on S&amp;P500 annual returns it may even be close to the 99% worst scenario.</w:t>
      </w:r>
      <w:r w:rsidRPr="00802C03">
        <w:rPr>
          <w:rStyle w:val="FootnoteReference"/>
          <w:rFonts w:ascii="Garamond" w:hAnsi="Garamond" w:cs="NimbusRomNo9L-Regu"/>
          <w:color w:val="000000"/>
          <w:lang w:val="en-GB" w:eastAsia="nl-NL"/>
        </w:rPr>
        <w:footnoteReference w:id="71"/>
      </w:r>
      <w:r w:rsidRPr="00802C03">
        <w:rPr>
          <w:rFonts w:ascii="Garamond" w:hAnsi="Garamond" w:cs="NimbusRomNo9L-Regu"/>
          <w:color w:val="000000"/>
          <w:lang w:val="en-GB" w:eastAsia="nl-NL"/>
        </w:rPr>
        <w:t xml:space="preserve"> In this context, it would be utter nonsense to apply a point-in-time specification for the credit migration matrix, as it ensures a scenario that would never occur is approached. Although such reasoning is inherent to the credit crisis being the current market situation, the point is remarkably clear.</w:t>
      </w:r>
    </w:p>
    <w:p w:rsidR="001C7C52" w:rsidRPr="00802C03" w:rsidRDefault="001C7C52" w:rsidP="001F0514">
      <w:pPr>
        <w:pStyle w:val="FootnoteText"/>
        <w:tabs>
          <w:tab w:val="left" w:pos="0"/>
        </w:tabs>
        <w:spacing w:line="280" w:lineRule="exact"/>
        <w:ind w:left="0" w:firstLine="0"/>
        <w:jc w:val="both"/>
        <w:rPr>
          <w:rFonts w:ascii="Garamond" w:hAnsi="Garamond" w:cs="NimbusRomNo9L-Regu"/>
          <w:color w:val="000000"/>
          <w:sz w:val="22"/>
          <w:szCs w:val="22"/>
          <w:lang w:val="en-GB" w:eastAsia="nl-NL"/>
        </w:rPr>
      </w:pPr>
      <w:r w:rsidRPr="00802C03">
        <w:rPr>
          <w:rFonts w:ascii="Garamond" w:hAnsi="Garamond" w:cs="NimbusRomNo9L-Regu"/>
          <w:color w:val="000000"/>
          <w:sz w:val="22"/>
          <w:szCs w:val="22"/>
          <w:lang w:val="en-GB" w:eastAsia="nl-NL"/>
        </w:rPr>
        <w:t>The counterargument here is that for such reasoning to be entirely valid, one must assume that an incremental risk model perfectly assesses the 99.9% one-year VaR. In reality, this is obviously far from the truth. For a perfect assessment of the loss distribution, the behavio</w:t>
      </w:r>
      <w:r>
        <w:rPr>
          <w:rFonts w:ascii="Garamond" w:hAnsi="Garamond" w:cs="NimbusRomNo9L-Regu"/>
          <w:color w:val="000000"/>
          <w:sz w:val="22"/>
          <w:szCs w:val="22"/>
          <w:lang w:val="en-GB" w:eastAsia="nl-NL"/>
        </w:rPr>
        <w:t>u</w:t>
      </w:r>
      <w:r w:rsidRPr="00802C03">
        <w:rPr>
          <w:rFonts w:ascii="Garamond" w:hAnsi="Garamond" w:cs="NimbusRomNo9L-Regu"/>
          <w:color w:val="000000"/>
          <w:sz w:val="22"/>
          <w:szCs w:val="22"/>
          <w:lang w:val="en-GB" w:eastAsia="nl-NL"/>
        </w:rPr>
        <w:t>r of most relevant variables is much too unstable. In statistical terms, a model assumes that whatever is model</w:t>
      </w:r>
      <w:r>
        <w:rPr>
          <w:rFonts w:ascii="Garamond" w:hAnsi="Garamond" w:cs="NimbusRomNo9L-Regu"/>
          <w:color w:val="000000"/>
          <w:sz w:val="22"/>
          <w:szCs w:val="22"/>
          <w:lang w:val="en-GB" w:eastAsia="nl-NL"/>
        </w:rPr>
        <w:t>l</w:t>
      </w:r>
      <w:r w:rsidRPr="00802C03">
        <w:rPr>
          <w:rFonts w:ascii="Garamond" w:hAnsi="Garamond" w:cs="NimbusRomNo9L-Regu"/>
          <w:color w:val="000000"/>
          <w:sz w:val="22"/>
          <w:szCs w:val="22"/>
          <w:lang w:val="en-GB" w:eastAsia="nl-NL"/>
        </w:rPr>
        <w:t>ed is a repetition of the same experiment to which the underlying data is subject to. Nevertheless, its critical components lack the stationarity that is required to make such an assumption. Consequently, a perfect or nearly perfect assessment the loss distribution is impossible, especially that far in the left tail of the portfolio value distribution.</w:t>
      </w:r>
      <w:r w:rsidRPr="00802C03">
        <w:rPr>
          <w:rStyle w:val="FootnoteReference"/>
          <w:rFonts w:ascii="Garamond" w:hAnsi="Garamond" w:cs="NimbusRomNo9L-Regu"/>
          <w:color w:val="000000"/>
          <w:szCs w:val="14"/>
          <w:lang w:val="en-GB" w:eastAsia="nl-NL"/>
        </w:rPr>
        <w:footnoteReference w:id="72"/>
      </w:r>
      <w:r w:rsidRPr="00802C03">
        <w:rPr>
          <w:rFonts w:ascii="Garamond" w:hAnsi="Garamond" w:cs="NimbusRomNo9L-Regu"/>
          <w:color w:val="000000"/>
          <w:sz w:val="22"/>
          <w:szCs w:val="22"/>
          <w:lang w:val="en-GB" w:eastAsia="nl-NL"/>
        </w:rPr>
        <w:t xml:space="preserve"> The point-in-time specification may consequently be the better specification in practice, since it provides higher model implied risk measures in times of economic turbulence. Such a specification is highly risk sensitive, as the model’s risk measures increase during economics turmoil, since its inputs are conditional to that economic turmoil. These higher value-at-risk measures provide an extra safety buffer in times when the 99.9% one-year VaR from a model, that is built on a through-the-cycle specification, is more likely to be breached.</w:t>
      </w:r>
    </w:p>
    <w:p w:rsidR="001C7C52" w:rsidRPr="00802C03" w:rsidRDefault="001C7C52" w:rsidP="001F0514">
      <w:pPr>
        <w:pStyle w:val="FootnoteText"/>
        <w:tabs>
          <w:tab w:val="left" w:pos="0"/>
        </w:tabs>
        <w:spacing w:line="280" w:lineRule="exact"/>
        <w:ind w:left="0" w:firstLine="0"/>
        <w:jc w:val="both"/>
        <w:rPr>
          <w:rFonts w:ascii="Garamond" w:hAnsi="Garamond" w:cs="NimbusRomNo9L-Regu"/>
          <w:color w:val="000000"/>
          <w:sz w:val="22"/>
          <w:szCs w:val="22"/>
          <w:lang w:val="en-GB" w:eastAsia="nl-NL"/>
        </w:rPr>
      </w:pPr>
      <w:r w:rsidRPr="00802C03">
        <w:rPr>
          <w:rFonts w:ascii="Garamond" w:hAnsi="Garamond" w:cs="NimbusRomNo9L-Regu"/>
          <w:color w:val="000000"/>
          <w:sz w:val="22"/>
          <w:szCs w:val="22"/>
          <w:lang w:val="en-GB" w:eastAsia="nl-NL"/>
        </w:rPr>
        <w:t xml:space="preserve">A disadvantage is that </w:t>
      </w:r>
      <w:r w:rsidRPr="00802C03">
        <w:rPr>
          <w:rFonts w:ascii="Garamond" w:hAnsi="Garamond"/>
          <w:sz w:val="22"/>
          <w:szCs w:val="22"/>
          <w:lang w:val="en-GB"/>
        </w:rPr>
        <w:t>the extra safety buffer only appears a substantial period after an economic downturn is initiated, since the economic turbulence must have entered the applied dataset. Thus, the level of regulatory capital requirements is always lagged to the business cycle, which will result in too low capital requirements at the start of an economic downturn. More important, however, is that the point-in-time specification amplifies the pro-cyclicality in the Basel II capital regime. A pro-cyclical capital regime promotes business responses that exacerbate the strength of the economic cycle.</w:t>
      </w:r>
      <w:r w:rsidRPr="00802C03">
        <w:rPr>
          <w:rStyle w:val="FootnoteReference"/>
          <w:rFonts w:ascii="Garamond" w:hAnsi="Garamond" w:cs="NimbusRomNo9L-Regu"/>
          <w:color w:val="000000"/>
          <w:szCs w:val="14"/>
          <w:lang w:val="en-GB" w:eastAsia="nl-NL"/>
        </w:rPr>
        <w:footnoteReference w:id="73"/>
      </w:r>
      <w:r w:rsidRPr="00802C03">
        <w:rPr>
          <w:rFonts w:ascii="Garamond" w:hAnsi="Garamond"/>
          <w:sz w:val="22"/>
          <w:szCs w:val="22"/>
          <w:lang w:val="en-GB"/>
        </w:rPr>
        <w:t xml:space="preserve"> Thus, when capital requirements fall in benign periods, this can accentuate the boom with well-capitalized banks able to expand lending aggressively. On the other hand, if capital requirements increase in recessions, banks facing capital constraints may reduce lending which will worsen and may even extend the recession (</w:t>
      </w:r>
      <w:hyperlink w:anchor="FSA_2009" w:history="1">
        <w:r w:rsidRPr="00802C03">
          <w:rPr>
            <w:rStyle w:val="Hyperlink"/>
            <w:rFonts w:ascii="Garamond" w:hAnsi="Garamond"/>
            <w:color w:val="000066"/>
            <w:sz w:val="22"/>
            <w:szCs w:val="22"/>
            <w:u w:val="none"/>
            <w:lang w:val="en-GB"/>
          </w:rPr>
          <w:t>FSA, 2009</w:t>
        </w:r>
      </w:hyperlink>
      <w:r w:rsidRPr="00802C03">
        <w:rPr>
          <w:rFonts w:ascii="Garamond" w:hAnsi="Garamond"/>
          <w:sz w:val="22"/>
          <w:szCs w:val="22"/>
          <w:lang w:val="en-GB"/>
        </w:rPr>
        <w:t xml:space="preserve">). The pro-cyclical nature of the current Basel II capital regime </w:t>
      </w:r>
      <w:r w:rsidRPr="00802C03">
        <w:rPr>
          <w:rFonts w:ascii="Garamond" w:hAnsi="Garamond" w:cs="NimbusRomNo9L-Regu"/>
          <w:color w:val="000000"/>
          <w:sz w:val="22"/>
          <w:szCs w:val="22"/>
          <w:lang w:val="en-GB" w:eastAsia="nl-NL"/>
        </w:rPr>
        <w:t>is exactly what has previously been addressed as one of the major issues surrounding the Basel II Framework. Hence, increasing its magnitude would be a significant step backwards.</w:t>
      </w:r>
      <w:r w:rsidRPr="00802C03">
        <w:rPr>
          <w:rFonts w:ascii="Garamond" w:hAnsi="Garamond" w:cs="NimbusRomNo9L-Regu"/>
          <w:color w:val="000000"/>
          <w:lang w:val="en-GB" w:eastAsia="nl-NL"/>
        </w:rPr>
        <w:t xml:space="preserve"> </w:t>
      </w:r>
    </w:p>
    <w:p w:rsidR="001C7C52" w:rsidRPr="00802C03" w:rsidRDefault="001C7C52" w:rsidP="001F0514">
      <w:pPr>
        <w:pStyle w:val="FootnoteText"/>
        <w:tabs>
          <w:tab w:val="left" w:pos="0"/>
        </w:tabs>
        <w:spacing w:line="280" w:lineRule="exact"/>
        <w:ind w:left="0" w:firstLine="0"/>
        <w:jc w:val="both"/>
        <w:rPr>
          <w:rFonts w:ascii="Garamond" w:hAnsi="Garamond" w:cs="NimbusRomNo9L-Regu"/>
          <w:color w:val="000000"/>
          <w:sz w:val="22"/>
          <w:szCs w:val="22"/>
          <w:lang w:val="en-GB" w:eastAsia="nl-NL"/>
        </w:rPr>
      </w:pPr>
      <w:r w:rsidRPr="00802C03">
        <w:rPr>
          <w:rFonts w:ascii="Garamond" w:hAnsi="Garamond" w:cs="NimbusRomNo9L-Regu"/>
          <w:color w:val="000000"/>
          <w:sz w:val="22"/>
          <w:szCs w:val="22"/>
          <w:lang w:val="en-GB" w:eastAsia="nl-NL"/>
        </w:rPr>
        <w:t xml:space="preserve">To address the issue of pro-cyclicality, the more stable through-the-cycle specification would be the obvious choice, as recommended in </w:t>
      </w:r>
      <w:hyperlink w:anchor="FSA_2009" w:history="1">
        <w:r w:rsidRPr="00802C03">
          <w:rPr>
            <w:rStyle w:val="Hyperlink"/>
            <w:rFonts w:ascii="Garamond" w:hAnsi="Garamond" w:cs="NimbusRomNo9L-Regu"/>
            <w:color w:val="000066"/>
            <w:sz w:val="22"/>
            <w:szCs w:val="22"/>
            <w:u w:val="none"/>
            <w:lang w:val="en-GB" w:eastAsia="nl-NL"/>
          </w:rPr>
          <w:t>FSA (2009)</w:t>
        </w:r>
      </w:hyperlink>
      <w:r w:rsidRPr="00802C03">
        <w:rPr>
          <w:rFonts w:ascii="Garamond" w:hAnsi="Garamond" w:cs="NimbusRomNo9L-Regu"/>
          <w:color w:val="000000"/>
          <w:sz w:val="22"/>
          <w:szCs w:val="22"/>
          <w:lang w:val="en-GB" w:eastAsia="nl-NL"/>
        </w:rPr>
        <w:t>.</w:t>
      </w:r>
      <w:r w:rsidRPr="00802C03">
        <w:rPr>
          <w:rStyle w:val="FootnoteReference"/>
          <w:rFonts w:ascii="Garamond" w:hAnsi="Garamond" w:cs="NimbusRomNo9L-Regu"/>
          <w:color w:val="000000"/>
          <w:szCs w:val="22"/>
          <w:lang w:val="en-GB" w:eastAsia="nl-NL"/>
        </w:rPr>
        <w:footnoteReference w:id="74"/>
      </w:r>
      <w:r w:rsidRPr="00802C03">
        <w:rPr>
          <w:rFonts w:ascii="Garamond" w:hAnsi="Garamond" w:cs="NimbusRomNo9L-Regu"/>
          <w:color w:val="000000"/>
          <w:sz w:val="22"/>
          <w:szCs w:val="22"/>
          <w:lang w:val="en-GB" w:eastAsia="nl-NL"/>
        </w:rPr>
        <w:t xml:space="preserve"> The more long-term through-to-cycle specification should be more or less unaffected by the economic circumstances and is therefore non-cyclical. A higher Incremental Risk Capital Charge is then only initiated by more risky investments, which is still in line with the original Basel Framework risk sensitivity intuition. </w:t>
      </w:r>
      <w:r w:rsidRPr="00802C03">
        <w:rPr>
          <w:rFonts w:ascii="Garamond" w:hAnsi="Garamond" w:cs="NimbusRomNo9L-Regu"/>
          <w:sz w:val="22"/>
          <w:szCs w:val="22"/>
          <w:lang w:val="en-GB" w:eastAsia="nl-NL"/>
        </w:rPr>
        <w:t>The through-the-cycle specification, however, is subject to other conceptual mode</w:t>
      </w:r>
      <w:r>
        <w:rPr>
          <w:rFonts w:ascii="Garamond" w:hAnsi="Garamond" w:cs="NimbusRomNo9L-Regu"/>
          <w:sz w:val="22"/>
          <w:szCs w:val="22"/>
          <w:lang w:val="en-GB" w:eastAsia="nl-NL"/>
        </w:rPr>
        <w:t>l</w:t>
      </w:r>
      <w:r w:rsidRPr="00802C03">
        <w:rPr>
          <w:rFonts w:ascii="Garamond" w:hAnsi="Garamond" w:cs="NimbusRomNo9L-Regu"/>
          <w:sz w:val="22"/>
          <w:szCs w:val="22"/>
          <w:lang w:val="en-GB" w:eastAsia="nl-NL"/>
        </w:rPr>
        <w:t>ling and validation issues. For example, the magnitude or effects of assessed risk factors can vary across different economic cycles, as downgrade and default rates were much higher in the credit crisis cycle than in the IT-bubble cycle. Hence, data from multiple cycles is required and, as a cycle is believed to cover a horizon of roughly ten years, an exceptionally long sample period is needed. Then if data of this nature are in fact available, one could still question the relevance of data of such a long period ago in today’s mode</w:t>
      </w:r>
      <w:r>
        <w:rPr>
          <w:rFonts w:ascii="Garamond" w:hAnsi="Garamond" w:cs="NimbusRomNo9L-Regu"/>
          <w:sz w:val="22"/>
          <w:szCs w:val="22"/>
          <w:lang w:val="en-GB" w:eastAsia="nl-NL"/>
        </w:rPr>
        <w:t>l</w:t>
      </w:r>
      <w:r w:rsidRPr="00802C03">
        <w:rPr>
          <w:rFonts w:ascii="Garamond" w:hAnsi="Garamond" w:cs="NimbusRomNo9L-Regu"/>
          <w:sz w:val="22"/>
          <w:szCs w:val="22"/>
          <w:lang w:val="en-GB" w:eastAsia="nl-NL"/>
        </w:rPr>
        <w:t xml:space="preserve">ling of the future. More issues of the through-the-cycle specification are addressed in </w:t>
      </w:r>
      <w:hyperlink w:anchor="Rowe_2003" w:history="1">
        <w:r w:rsidRPr="00802C03">
          <w:rPr>
            <w:rStyle w:val="Hyperlink"/>
            <w:rFonts w:ascii="Garamond" w:hAnsi="Garamond" w:cs="NimbusRomNo9L-Regu"/>
            <w:color w:val="000066"/>
            <w:sz w:val="22"/>
            <w:szCs w:val="22"/>
            <w:u w:val="none"/>
            <w:lang w:val="en-GB" w:eastAsia="nl-NL"/>
          </w:rPr>
          <w:t>Rowe (2003)</w:t>
        </w:r>
      </w:hyperlink>
      <w:r w:rsidRPr="00802C03">
        <w:rPr>
          <w:rFonts w:ascii="Garamond" w:hAnsi="Garamond" w:cs="NimbusRomNo9L-Regu"/>
          <w:sz w:val="22"/>
          <w:szCs w:val="22"/>
          <w:lang w:val="en-GB" w:eastAsia="nl-NL"/>
        </w:rPr>
        <w:t>.</w:t>
      </w:r>
      <w:r w:rsidRPr="00802C03">
        <w:rPr>
          <w:rStyle w:val="FootnoteReference"/>
          <w:rFonts w:ascii="Garamond" w:hAnsi="Garamond" w:cs="NimbusRomNo9L-Regu"/>
          <w:szCs w:val="22"/>
          <w:lang w:val="en-GB" w:eastAsia="nl-NL"/>
        </w:rPr>
        <w:footnoteReference w:id="75"/>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In summary, there is no obvious correct answer in the conditionality choice combined with the capital arbitrage issue. This is also the main reason why there is not yet any consensus on the subject at this point in time and why currently there is an IRC/IRB debate between the banking industry, regulators and validators on the required consistency between the charges provided by both models. The only real contribution of this study to that debate is that the model estimations in </w:t>
      </w:r>
      <w:hyperlink w:anchor="S310" w:history="1">
        <w:r w:rsidRPr="00802C03">
          <w:rPr>
            <w:rStyle w:val="Hyperlink"/>
            <w:rFonts w:ascii="Garamond" w:hAnsi="Garamond" w:cs="NimbusRomNo9L-Regu"/>
            <w:color w:val="000066"/>
            <w:u w:val="none"/>
            <w:lang w:val="en-GB" w:eastAsia="nl-NL"/>
          </w:rPr>
          <w:t>section 3.1</w:t>
        </w:r>
      </w:hyperlink>
      <w:r w:rsidRPr="00802C03">
        <w:rPr>
          <w:rFonts w:ascii="Garamond" w:hAnsi="Garamond" w:cs="NimbusRomNo9L-Regu"/>
          <w:color w:val="000000"/>
          <w:lang w:val="en-GB" w:eastAsia="nl-NL"/>
        </w:rPr>
        <w:t xml:space="preserve"> show that through-the-cycle and point-in-time specifications of the credit migration matrix can generate very substantial differences. The unconditional credit migration matrices can be seen as through-the-cycle specifications, since they all address roughly two business cycles within the 20 year sample period, whereas the conditional credit migration matrix can be seen as a point-in-time specification, as it only considers the current environment. The differences generated between both types of specifications for all three estimated value-at-risk measures are very large and robust to the entire variety of additional model specifications applied in the model estimations. </w:t>
      </w:r>
    </w:p>
    <w:p w:rsidR="001C7C52" w:rsidRPr="00802C03" w:rsidRDefault="001C7C52" w:rsidP="001F0514">
      <w:pPr>
        <w:spacing w:line="160" w:lineRule="exact"/>
        <w:jc w:val="both"/>
        <w:rPr>
          <w:rFonts w:ascii="Garamond" w:hAnsi="Garamond"/>
          <w:lang w:val="en-GB"/>
        </w:rPr>
      </w:pPr>
    </w:p>
    <w:p w:rsidR="001C7C52" w:rsidRPr="00802C03" w:rsidRDefault="001C7C52" w:rsidP="001F0514">
      <w:pPr>
        <w:spacing w:line="280" w:lineRule="exact"/>
        <w:jc w:val="both"/>
        <w:rPr>
          <w:rFonts w:ascii="Garamond" w:hAnsi="Garamond"/>
          <w:lang w:val="en-GB"/>
        </w:rPr>
      </w:pPr>
      <w:r w:rsidRPr="00802C03">
        <w:rPr>
          <w:rFonts w:ascii="Garamond" w:hAnsi="Garamond"/>
          <w:lang w:val="en-GB"/>
        </w:rPr>
        <w:t>Apart from the credit migration matrix, the recovery rate can be defined as part of the stand-alone risk specification as well. This subject has received relatively little attention in the model derivation and estimation assessment. Yet it has been identified as an input that will generate large impact on the 99.9% VaR-estimates if it were to be changed. In the construction of proposed model, the only real step that has been taken to create realistic recovery values in the model is that the recovery rate has been made stochastic. In addition, the standard default value was modified to deal with the much too high historical average S&amp;P recovery rate for current market conditions. Nonetheless, as previously stated, this modification should not be enforced when reliable expected recovery rate estimates are available.</w:t>
      </w:r>
    </w:p>
    <w:p w:rsidR="001C7C52" w:rsidRPr="00802C03" w:rsidRDefault="001C7C52" w:rsidP="001F0514">
      <w:pPr>
        <w:spacing w:line="280" w:lineRule="exact"/>
        <w:jc w:val="both"/>
        <w:rPr>
          <w:rFonts w:ascii="Garamond" w:hAnsi="Garamond"/>
          <w:lang w:val="en-GB"/>
        </w:rPr>
      </w:pPr>
      <w:r>
        <w:rPr>
          <w:rFonts w:ascii="Garamond" w:hAnsi="Garamond"/>
          <w:lang w:val="en-GB"/>
        </w:rPr>
        <w:t xml:space="preserve">Furthermore, even </w:t>
      </w:r>
      <w:r w:rsidRPr="00802C03">
        <w:rPr>
          <w:rFonts w:ascii="Garamond" w:hAnsi="Garamond"/>
          <w:lang w:val="en-GB"/>
        </w:rPr>
        <w:t xml:space="preserve">though the stochastic nature of recovery in the model substantially enhances the validity of the model, further improvements are possible and may even be required since the recovery rate has a great effect on the required VaR-measure. A detailed recovery rate specification in an actual incremental risk model will definitely increase its quality. As set forth in </w:t>
      </w:r>
      <w:hyperlink w:anchor="S133" w:history="1">
        <w:r w:rsidRPr="00802C03">
          <w:rPr>
            <w:rStyle w:val="Hyperlink"/>
            <w:rFonts w:ascii="Garamond" w:hAnsi="Garamond"/>
            <w:color w:val="000066"/>
            <w:u w:val="none"/>
            <w:lang w:val="en-GB"/>
          </w:rPr>
          <w:t>Part I section 1.3.3</w:t>
        </w:r>
      </w:hyperlink>
      <w:r w:rsidRPr="00802C03">
        <w:rPr>
          <w:rFonts w:ascii="Garamond" w:hAnsi="Garamond"/>
          <w:lang w:val="en-GB"/>
        </w:rPr>
        <w:t>, the model estimations utilize a single recovery rate distribution for all positions. Nonetheless, S</w:t>
      </w:r>
      <w:r w:rsidRPr="00802C03">
        <w:rPr>
          <w:rFonts w:ascii="Garamond" w:hAnsi="Garamond" w:cs="NimbusRomNo9L-Regu"/>
          <w:lang w:val="en-GB" w:eastAsia="nl-NL"/>
        </w:rPr>
        <w:t xml:space="preserve">tandard &amp; Poor’s </w:t>
      </w:r>
      <w:r w:rsidRPr="00802C03">
        <w:rPr>
          <w:rFonts w:ascii="Garamond" w:hAnsi="Garamond" w:cs="NimbusRomNo9L-Regu"/>
          <w:i/>
          <w:lang w:val="en-GB" w:eastAsia="nl-NL"/>
        </w:rPr>
        <w:t>Default, Transition, and Recovery: 2007 Annual Global Corporate Default Study and Rating Transitions (Premium)</w:t>
      </w:r>
      <w:r w:rsidRPr="00802C03">
        <w:rPr>
          <w:rFonts w:ascii="Garamond" w:hAnsi="Garamond" w:cs="NimbusRomNo9L-Regu"/>
          <w:lang w:val="en-GB" w:eastAsia="nl-NL"/>
        </w:rPr>
        <w:t xml:space="preserve"> contains more specific recovery rates and corresponding standard deviations.</w:t>
      </w:r>
      <w:r w:rsidRPr="00802C03">
        <w:rPr>
          <w:rFonts w:ascii="Garamond" w:hAnsi="Garamond"/>
          <w:lang w:val="en-GB"/>
        </w:rPr>
        <w:t xml:space="preserve"> They are given for each seniority level, multiple product types and for each industry. Hence, a simple model improvement would be to apply a recovery rate for each position that corresponds to the industry and the product type of that position, given that these recovery rates can be expected to be reliable in relevant market environment.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lang w:val="en-GB"/>
        </w:rPr>
        <w:t xml:space="preserve">Note that the conditionality issue discussed above becomes relevant in this context as well, since the recovery rate may be conditioned to stages of the business cycle as well. In fact, as mentioned in the model construction, </w:t>
      </w:r>
      <w:hyperlink w:anchor="Vazza_et_al_2008" w:history="1">
        <w:r w:rsidRPr="00802C03">
          <w:rPr>
            <w:rStyle w:val="Hyperlink"/>
            <w:rFonts w:ascii="Garamond" w:hAnsi="Garamond"/>
            <w:color w:val="000066"/>
            <w:u w:val="none"/>
            <w:lang w:val="en-GB"/>
          </w:rPr>
          <w:t>Vazza et al. (2008)</w:t>
        </w:r>
      </w:hyperlink>
      <w:r w:rsidRPr="00802C03">
        <w:rPr>
          <w:rFonts w:ascii="Garamond" w:hAnsi="Garamond"/>
          <w:lang w:val="en-GB"/>
        </w:rPr>
        <w:t xml:space="preserve"> as well as </w:t>
      </w:r>
      <w:hyperlink w:anchor="Emery_et_al_2009" w:history="1">
        <w:r w:rsidRPr="00802C03">
          <w:rPr>
            <w:rStyle w:val="Hyperlink"/>
            <w:rFonts w:ascii="Garamond" w:hAnsi="Garamond"/>
            <w:color w:val="000066"/>
            <w:u w:val="none"/>
            <w:lang w:val="en-GB"/>
          </w:rPr>
          <w:t>Emery et al. (2009)</w:t>
        </w:r>
      </w:hyperlink>
      <w:r w:rsidRPr="00802C03">
        <w:rPr>
          <w:rFonts w:ascii="Garamond" w:hAnsi="Garamond"/>
          <w:lang w:val="en-GB"/>
        </w:rPr>
        <w:t xml:space="preserve"> argue that there is a (inverse) relation between average default rates and recovery rates. Basically, in every Moody’s or S&amp;P recovery rate publication since </w:t>
      </w:r>
      <w:hyperlink w:anchor="Hamilton_et_al_2001" w:history="1">
        <w:r w:rsidRPr="00802C03">
          <w:rPr>
            <w:rStyle w:val="Hyperlink"/>
            <w:rFonts w:ascii="Garamond" w:hAnsi="Garamond"/>
            <w:color w:val="000066"/>
            <w:u w:val="none"/>
            <w:lang w:val="en-GB"/>
          </w:rPr>
          <w:t>Hamilton et al. (2001)</w:t>
        </w:r>
      </w:hyperlink>
      <w:r w:rsidRPr="00802C03">
        <w:rPr>
          <w:rFonts w:ascii="Garamond" w:hAnsi="Garamond"/>
          <w:lang w:val="en-GB"/>
        </w:rPr>
        <w:t xml:space="preserve"> this relation has been addressed. Obvious, it has been documented in the literature as well (e.g. </w:t>
      </w:r>
      <w:hyperlink w:anchor="Schleifer_Vishny_1992" w:history="1">
        <w:r w:rsidRPr="00802C03">
          <w:rPr>
            <w:rStyle w:val="Hyperlink"/>
            <w:rFonts w:ascii="Garamond" w:hAnsi="Garamond"/>
            <w:color w:val="000066"/>
            <w:u w:val="none"/>
            <w:lang w:val="en-GB"/>
          </w:rPr>
          <w:t>Schleifer &amp; Vishny, 1992</w:t>
        </w:r>
      </w:hyperlink>
      <w:r w:rsidRPr="00802C03">
        <w:rPr>
          <w:rFonts w:ascii="Garamond" w:hAnsi="Garamond"/>
          <w:lang w:val="en-GB"/>
        </w:rPr>
        <w:t xml:space="preserve">; </w:t>
      </w:r>
      <w:hyperlink w:anchor="Frye_2000b" w:history="1">
        <w:r w:rsidRPr="00802C03">
          <w:rPr>
            <w:rStyle w:val="Hyperlink"/>
            <w:rFonts w:ascii="Garamond" w:hAnsi="Garamond"/>
            <w:color w:val="000066"/>
            <w:u w:val="none"/>
            <w:lang w:val="en-GB"/>
          </w:rPr>
          <w:t>Freye, 2000b</w:t>
        </w:r>
      </w:hyperlink>
      <w:r>
        <w:rPr>
          <w:rFonts w:ascii="Garamond" w:hAnsi="Garamond"/>
          <w:lang w:val="en-GB"/>
        </w:rPr>
        <w:t>,</w:t>
      </w:r>
      <w:r w:rsidRPr="00802C03">
        <w:rPr>
          <w:rFonts w:ascii="Garamond" w:hAnsi="Garamond"/>
          <w:lang w:val="en-GB"/>
        </w:rPr>
        <w:t xml:space="preserve"> </w:t>
      </w:r>
      <w:hyperlink w:anchor="Frye_2000c" w:history="1">
        <w:r w:rsidRPr="00802C03">
          <w:rPr>
            <w:rStyle w:val="Hyperlink"/>
            <w:rFonts w:ascii="Garamond" w:hAnsi="Garamond"/>
            <w:color w:val="000066"/>
            <w:u w:val="none"/>
            <w:lang w:val="en-GB"/>
          </w:rPr>
          <w:t>2000c</w:t>
        </w:r>
      </w:hyperlink>
      <w:r w:rsidRPr="00802C03">
        <w:rPr>
          <w:rFonts w:ascii="Garamond" w:hAnsi="Garamond"/>
          <w:lang w:val="en-GB"/>
        </w:rPr>
        <w:t xml:space="preserve">; </w:t>
      </w:r>
      <w:hyperlink w:anchor="Altman_2001" w:history="1">
        <w:r w:rsidRPr="00802C03">
          <w:rPr>
            <w:rStyle w:val="Hyperlink"/>
            <w:rFonts w:ascii="Garamond" w:hAnsi="Garamond"/>
            <w:color w:val="000066"/>
            <w:u w:val="none"/>
            <w:lang w:val="en-GB"/>
          </w:rPr>
          <w:t>Altman, 2001</w:t>
        </w:r>
      </w:hyperlink>
      <w:r w:rsidRPr="00802C03">
        <w:rPr>
          <w:rFonts w:ascii="Garamond" w:hAnsi="Garamond"/>
          <w:lang w:val="en-GB"/>
        </w:rPr>
        <w:t>). The basic theory is that economic conditions that cause the number of defaults to rise also negatively affect recovery values (</w:t>
      </w:r>
      <w:hyperlink w:anchor="Altman_et_al_2003" w:history="1">
        <w:r w:rsidRPr="00802C03">
          <w:rPr>
            <w:rStyle w:val="Hyperlink"/>
            <w:rFonts w:ascii="Garamond" w:hAnsi="Garamond"/>
            <w:color w:val="000066"/>
            <w:u w:val="none"/>
            <w:lang w:val="en-GB"/>
          </w:rPr>
          <w:t>Altman et al., 2003</w:t>
        </w:r>
      </w:hyperlink>
      <w:r w:rsidRPr="00802C03">
        <w:rPr>
          <w:rFonts w:ascii="Garamond" w:hAnsi="Garamond"/>
          <w:lang w:val="en-GB"/>
        </w:rPr>
        <w:t>).</w:t>
      </w:r>
      <w:r w:rsidRPr="00802C03">
        <w:rPr>
          <w:rStyle w:val="FootnoteReference"/>
          <w:rFonts w:ascii="Garamond" w:hAnsi="Garamond" w:cs="NimbusRomNo9L-Regu"/>
          <w:szCs w:val="22"/>
          <w:lang w:val="en-GB" w:eastAsia="nl-NL"/>
        </w:rPr>
        <w:footnoteReference w:id="76"/>
      </w:r>
      <w:r w:rsidRPr="00802C03">
        <w:rPr>
          <w:rFonts w:ascii="Garamond" w:hAnsi="Garamond"/>
          <w:lang w:val="en-GB"/>
        </w:rPr>
        <w:t xml:space="preserve"> Theories or empirical relations of this kind can be implemented in the proposed simulation framework.</w:t>
      </w:r>
      <w:r w:rsidRPr="00802C03">
        <w:rPr>
          <w:rStyle w:val="FootnoteReference"/>
          <w:rFonts w:ascii="Garamond" w:hAnsi="Garamond" w:cs="NimbusRomNo9L-Regu"/>
          <w:szCs w:val="22"/>
          <w:lang w:val="en-GB" w:eastAsia="nl-NL"/>
        </w:rPr>
        <w:footnoteReference w:id="77"/>
      </w:r>
      <w:r w:rsidRPr="00802C03">
        <w:rPr>
          <w:rFonts w:ascii="Garamond" w:hAnsi="Garamond"/>
          <w:lang w:val="en-GB"/>
        </w:rPr>
        <w:t xml:space="preserve"> </w:t>
      </w:r>
      <w:hyperlink w:anchor="Jarrow_2001" w:history="1">
        <w:r w:rsidRPr="00802C03">
          <w:rPr>
            <w:rStyle w:val="Hyperlink"/>
            <w:rFonts w:ascii="Garamond" w:hAnsi="Garamond"/>
            <w:color w:val="000066"/>
            <w:u w:val="none"/>
            <w:lang w:val="en-GB"/>
          </w:rPr>
          <w:t>Jarrow (2001)</w:t>
        </w:r>
      </w:hyperlink>
      <w:r w:rsidRPr="00802C03">
        <w:rPr>
          <w:rFonts w:ascii="Garamond" w:hAnsi="Garamond"/>
          <w:lang w:val="en-GB"/>
        </w:rPr>
        <w:t xml:space="preserve"> and </w:t>
      </w:r>
      <w:hyperlink w:anchor="Frye_2000a" w:history="1">
        <w:r w:rsidRPr="00802C03">
          <w:rPr>
            <w:rStyle w:val="Hyperlink"/>
            <w:rFonts w:ascii="Garamond" w:hAnsi="Garamond"/>
            <w:color w:val="000066"/>
            <w:u w:val="none"/>
            <w:lang w:val="en-GB"/>
          </w:rPr>
          <w:t>Frye (2000a</w:t>
        </w:r>
      </w:hyperlink>
      <w:r w:rsidRPr="00802C03">
        <w:rPr>
          <w:rFonts w:ascii="Garamond" w:hAnsi="Garamond"/>
          <w:color w:val="000000"/>
          <w:lang w:val="en-GB"/>
        </w:rPr>
        <w:t>,</w:t>
      </w:r>
      <w:r w:rsidRPr="00802C03">
        <w:rPr>
          <w:rFonts w:ascii="Garamond" w:hAnsi="Garamond"/>
          <w:lang w:val="en-GB"/>
        </w:rPr>
        <w:t xml:space="preserve"> </w:t>
      </w:r>
      <w:hyperlink w:anchor="Frye_2000b" w:history="1">
        <w:r w:rsidRPr="00802C03">
          <w:rPr>
            <w:rStyle w:val="Hyperlink"/>
            <w:rFonts w:ascii="Garamond" w:hAnsi="Garamond"/>
            <w:color w:val="000066"/>
            <w:u w:val="none"/>
            <w:lang w:val="en-GB"/>
          </w:rPr>
          <w:t>2000b</w:t>
        </w:r>
      </w:hyperlink>
      <w:r w:rsidRPr="00802C03">
        <w:rPr>
          <w:rFonts w:ascii="Garamond" w:hAnsi="Garamond"/>
          <w:lang w:val="en-GB"/>
        </w:rPr>
        <w:t xml:space="preserve">) may provide useful assessments on this subject. The incorporation of strong empirical relations obviously contributes substantially to the required descriptive qualities of the proposed simulation model. Herein, one must keep in mind, however, that high recovery rate inputs, or the possibility of high recovery rates through the incorporation of such an empirical relation, can result in highly unrealistic expected default value scenarios such as the Cintas Corp bond example that was presented in </w:t>
      </w:r>
      <w:hyperlink w:anchor="S133" w:history="1">
        <w:r w:rsidRPr="00802C03">
          <w:rPr>
            <w:rStyle w:val="Hyperlink"/>
            <w:rFonts w:ascii="Garamond" w:hAnsi="Garamond"/>
            <w:color w:val="000066"/>
            <w:u w:val="none"/>
            <w:lang w:val="en-GB"/>
          </w:rPr>
          <w:t>Part I section 1.3.3</w:t>
        </w:r>
      </w:hyperlink>
      <w:r w:rsidRPr="00802C03">
        <w:rPr>
          <w:rFonts w:ascii="Garamond" w:hAnsi="Garamond"/>
          <w:lang w:val="en-GB"/>
        </w:rPr>
        <w:t>.</w:t>
      </w: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3.2.4</w:t>
      </w:r>
      <w:r w:rsidRPr="00802C03">
        <w:rPr>
          <w:rFonts w:ascii="Garamond" w:hAnsi="Garamond"/>
          <w:b/>
          <w:color w:val="000000"/>
          <w:lang w:val="en-GB"/>
        </w:rPr>
        <w:tab/>
      </w:r>
      <w:bookmarkStart w:id="88" w:name="S324"/>
      <w:bookmarkEnd w:id="88"/>
      <w:r w:rsidRPr="00802C03">
        <w:rPr>
          <w:rFonts w:ascii="Garamond" w:hAnsi="Garamond"/>
          <w:b/>
          <w:color w:val="000000"/>
          <w:lang w:val="en-GB"/>
        </w:rPr>
        <w:t>Correlations</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First of all, it is worth emphasizing again that the nature of the correlations, the copula assumption, in combination with the average level of issuer correlation, is the most important correlation specification in the proposed model and almost certainly in the incremental risk model in general as well. The proposed model can basically handle copula assumptions and corresponding correlation structures of any kind. The only two requirements are that the copula can be applied to simulate correlated drawings from the relevant distribution according to a pre-specified correlation matrix and that this distribution can be used to compute the asset return thresholds (</w:t>
      </w:r>
      <w:r w:rsidRPr="00802C03">
        <w:rPr>
          <w:rFonts w:ascii="Garamond" w:hAnsi="Garamond" w:cs="NimbusRomNo9L-Regu"/>
          <w:i/>
          <w:color w:val="000000"/>
          <w:lang w:val="en-GB" w:eastAsia="nl-NL"/>
        </w:rPr>
        <w:t>Z</w:t>
      </w:r>
      <w:r w:rsidRPr="00802C03">
        <w:rPr>
          <w:rFonts w:ascii="Garamond" w:hAnsi="Garamond" w:cs="NimbusRomNo9L-Regu"/>
          <w:color w:val="000000"/>
          <w:lang w:val="en-GB" w:eastAsia="nl-NL"/>
        </w:rPr>
        <w:t xml:space="preserve">-values) that are required in the simulation model. If these requirements apply, the complete simulation model as proposed in </w:t>
      </w:r>
      <w:hyperlink w:anchor="S130" w:history="1">
        <w:r w:rsidRPr="00802C03">
          <w:rPr>
            <w:rStyle w:val="Hyperlink"/>
            <w:rFonts w:ascii="Garamond" w:hAnsi="Garamond" w:cs="NimbusRomNo9L-Regu"/>
            <w:color w:val="000066"/>
            <w:u w:val="none"/>
            <w:lang w:val="en-GB" w:eastAsia="nl-NL"/>
          </w:rPr>
          <w:t>Part I section 1.3</w:t>
        </w:r>
      </w:hyperlink>
      <w:r w:rsidRPr="00802C03">
        <w:rPr>
          <w:rFonts w:ascii="Garamond" w:hAnsi="Garamond" w:cs="NimbusRomNo9L-Regu"/>
          <w:color w:val="000000"/>
          <w:lang w:val="en-GB" w:eastAsia="nl-NL"/>
        </w:rPr>
        <w:t xml:space="preserve"> can be utilized.</w:t>
      </w:r>
    </w:p>
    <w:p w:rsidR="001C7C52" w:rsidRPr="00802C03" w:rsidRDefault="001C7C52" w:rsidP="00140E8E">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The next relevant subject in the correlation context obviously is the actual correlation matrix. First, however, it is important to note that the estimation period or business cycle conditionality issue, that was discussed in detail in the previous section, also applies in the correlation risk context. The difference is that the risk measures of the incremental risk model in general are likely to be less sensitive to the estimation period conditionality of the issuer correlation estimates. Moreover, the Basel II Framework and even the incremental risk model guidelines define a much clearer preference regarding the period to which the issuer correlations should be conditioned. That is, the current market environment is the generally accepted conditionality specification. One must, however, be cautious in the application of conditionality through issuer correlations, since the model estimations demonstrate that increased (credit crisis) issuer correlations do no fully reconstruct the downgrade and default cluster that was observed during the credit crisis. A linear issuer asset correlation structure almost certainly is too simple to capture actual credit quality relations between issuers, especially during episodes of economic turmoil.</w:t>
      </w:r>
    </w:p>
    <w:p w:rsidR="001C7C52" w:rsidRPr="00802C03" w:rsidRDefault="001C7C52" w:rsidP="00F1511F">
      <w:pPr>
        <w:spacing w:line="160" w:lineRule="exact"/>
        <w:jc w:val="both"/>
        <w:rPr>
          <w:rFonts w:ascii="Garamond" w:hAnsi="Garamond" w:cs="NimbusRomNo9L-Regu"/>
          <w:color w:val="000000"/>
          <w:lang w:val="en-GB" w:eastAsia="nl-NL"/>
        </w:rPr>
      </w:pPr>
    </w:p>
    <w:p w:rsidR="001C7C52" w:rsidRPr="00802C03" w:rsidRDefault="001C7C52" w:rsidP="00556090">
      <w:pPr>
        <w:spacing w:line="280" w:lineRule="exact"/>
        <w:jc w:val="both"/>
        <w:rPr>
          <w:rFonts w:ascii="Garamond" w:hAnsi="Garamond" w:cs="NimbusRomNo9L-Regu"/>
          <w:lang w:val="en-GB" w:eastAsia="nl-NL"/>
        </w:rPr>
      </w:pPr>
      <w:r w:rsidRPr="00802C03">
        <w:rPr>
          <w:rFonts w:ascii="Garamond" w:hAnsi="Garamond" w:cs="NimbusRomNo9L-Regu"/>
          <w:color w:val="000000"/>
          <w:lang w:val="en-GB" w:eastAsia="nl-NL"/>
        </w:rPr>
        <w:t xml:space="preserve">The next correlation topic is the actual issuer correlation coefficients that are required in the model. Based on the model estimations and as mentioned in </w:t>
      </w:r>
      <w:hyperlink w:anchor="S321" w:history="1">
        <w:r w:rsidRPr="00802C03">
          <w:rPr>
            <w:rStyle w:val="Hyperlink"/>
            <w:rFonts w:ascii="Garamond" w:hAnsi="Garamond" w:cs="NimbusRomNo9L-Regu"/>
            <w:color w:val="000066"/>
            <w:u w:val="none"/>
            <w:lang w:val="en-GB" w:eastAsia="nl-NL"/>
          </w:rPr>
          <w:t>section 3.2.1</w:t>
        </w:r>
      </w:hyperlink>
      <w:r w:rsidRPr="00802C03">
        <w:rPr>
          <w:rFonts w:ascii="Garamond" w:hAnsi="Garamond" w:cs="NimbusRomNo9L-Regu"/>
          <w:color w:val="000000"/>
          <w:lang w:val="en-GB" w:eastAsia="nl-NL"/>
        </w:rPr>
        <w:t xml:space="preserve">, the precision of the individual issuer correlation coefficients are likely to be of less importance than initially anticipated. Obviously, this does not imply that the issuer correlations are of no value in the model. It is still of vital importance that the model accurately displays the average correlations level or more specified average issuer correlation levels. As mentioned, the short positions in an actual trading portfolio will in most cases provide a risk reducing effect in a high correlation environment. Yet, the magnitude of this effect is </w:t>
      </w:r>
      <w:r w:rsidRPr="00802C03">
        <w:rPr>
          <w:rFonts w:ascii="Garamond" w:hAnsi="Garamond" w:cs="NimbusRomNo9L-Regu"/>
          <w:lang w:val="en-GB" w:eastAsia="nl-NL"/>
        </w:rPr>
        <w:t>highly dependent on additional model parameters such as the applied recovery rate(s) and the credit yield curves. This aspect ensures that the net effect of a correlation increase cannot be entirely known in advance.</w:t>
      </w:r>
    </w:p>
    <w:p w:rsidR="001C7C52" w:rsidRPr="00802C03" w:rsidRDefault="001C7C52" w:rsidP="00556090">
      <w:pPr>
        <w:spacing w:line="280" w:lineRule="exact"/>
        <w:jc w:val="both"/>
        <w:rPr>
          <w:rFonts w:ascii="Garamond" w:hAnsi="Garamond" w:cs="NimbusRomNo9L-Regu"/>
          <w:color w:val="000000"/>
          <w:lang w:val="en-GB" w:eastAsia="nl-NL"/>
        </w:rPr>
      </w:pPr>
      <w:r w:rsidRPr="00802C03">
        <w:rPr>
          <w:rFonts w:ascii="Garamond" w:hAnsi="Garamond" w:cs="NimbusRomNo9L-Regu"/>
          <w:lang w:val="en-GB" w:eastAsia="nl-NL"/>
        </w:rPr>
        <w:t>In a statistical context, such a correlation increase can be seen as trend break. O</w:t>
      </w:r>
      <w:r w:rsidRPr="00802C03">
        <w:rPr>
          <w:rFonts w:ascii="Garamond" w:hAnsi="Garamond" w:cs="NimbusRomNo9L-Regu"/>
          <w:color w:val="000000"/>
          <w:lang w:val="en-GB" w:eastAsia="nl-NL"/>
        </w:rPr>
        <w:t>nce more, the stationarity assumption underlying most models and also the proposed incremental risk model becomes relevant here. It is assumed that the future, which is being model</w:t>
      </w:r>
      <w:r>
        <w:rPr>
          <w:rFonts w:ascii="Garamond" w:hAnsi="Garamond" w:cs="NimbusRomNo9L-Regu"/>
          <w:color w:val="000000"/>
          <w:lang w:val="en-GB" w:eastAsia="nl-NL"/>
        </w:rPr>
        <w:t>l</w:t>
      </w:r>
      <w:r w:rsidRPr="00802C03">
        <w:rPr>
          <w:rFonts w:ascii="Garamond" w:hAnsi="Garamond" w:cs="NimbusRomNo9L-Regu"/>
          <w:color w:val="000000"/>
          <w:lang w:val="en-GB" w:eastAsia="nl-NL"/>
        </w:rPr>
        <w:t>ed, is a repetition of the same experiment as that to which the underlying data is referring. An unanticipated trend break in issuer correlations severely violates this assumption, since it ensures that the historical data, on which the correlations are based, suddenly is to a large extent not relevant anymore. Hence, when issuer correlations are model</w:t>
      </w:r>
      <w:r>
        <w:rPr>
          <w:rFonts w:ascii="Garamond" w:hAnsi="Garamond" w:cs="NimbusRomNo9L-Regu"/>
          <w:color w:val="000000"/>
          <w:lang w:val="en-GB" w:eastAsia="nl-NL"/>
        </w:rPr>
        <w:t>l</w:t>
      </w:r>
      <w:r w:rsidRPr="00802C03">
        <w:rPr>
          <w:rFonts w:ascii="Garamond" w:hAnsi="Garamond" w:cs="NimbusRomNo9L-Regu"/>
          <w:color w:val="000000"/>
          <w:lang w:val="en-GB" w:eastAsia="nl-NL"/>
        </w:rPr>
        <w:t>ed in a point-in-time spirit, which is essentially required by the incremental risk model guidelines, then an unanticipated trend break in actual issuer correlations will impose a large problem in the model. This possibility of a misspecification of issuer correlations, in case of a trend break in actual issuer correlations, produces yet another case for the use of equity based correlations in favo</w:t>
      </w:r>
      <w:r>
        <w:rPr>
          <w:rFonts w:ascii="Garamond" w:hAnsi="Garamond" w:cs="NimbusRomNo9L-Regu"/>
          <w:color w:val="000000"/>
          <w:lang w:val="en-GB" w:eastAsia="nl-NL"/>
        </w:rPr>
        <w:t>u</w:t>
      </w:r>
      <w:r w:rsidRPr="00802C03">
        <w:rPr>
          <w:rFonts w:ascii="Garamond" w:hAnsi="Garamond" w:cs="NimbusRomNo9L-Regu"/>
          <w:color w:val="000000"/>
          <w:lang w:val="en-GB" w:eastAsia="nl-NL"/>
        </w:rPr>
        <w:t xml:space="preserve">r of asset correlations based on default rates. Equity based correlations are generally higher than asset correlations based on default rates, and will therefore be more conservative, which ensures that a potential trend break may generate less severe effects in the model when equity based correlations are utilized. Moreover, as explained in the description of the methodology in </w:t>
      </w:r>
      <w:hyperlink w:anchor="S222" w:history="1">
        <w:r w:rsidRPr="00802C03">
          <w:rPr>
            <w:rStyle w:val="Hyperlink"/>
            <w:rFonts w:ascii="Garamond" w:hAnsi="Garamond" w:cs="NimbusRomNo9L-Regu"/>
            <w:color w:val="000066"/>
            <w:u w:val="none"/>
            <w:lang w:val="en-GB" w:eastAsia="nl-NL"/>
          </w:rPr>
          <w:t>Part II section 2.2.2</w:t>
        </w:r>
      </w:hyperlink>
      <w:r w:rsidRPr="00802C03">
        <w:rPr>
          <w:rFonts w:ascii="Garamond" w:hAnsi="Garamond" w:cs="NimbusRomNo9L-Regu"/>
          <w:color w:val="000000"/>
          <w:lang w:val="en-GB" w:eastAsia="nl-NL"/>
        </w:rPr>
        <w:t xml:space="preserve">, the too general nature of default rate based asset correlation estimates produces in a downward bias in the average issuer correlation level. Basically, default data is too scarce to apply the methodology to issuer groups that are homogeneous enough to generate reliable implied asset correlation estimates or a reliable average issuer correlation level. Thus, the practical usefulness of the correlations based on default rates seems rather limited in the incremental risk model context. In theory, the methodology may be especially appealing, yet the default data issues are much too severe to generate correlation coefficient estimates on a detailed level. </w:t>
      </w:r>
    </w:p>
    <w:p w:rsidR="001C7C52" w:rsidRPr="00802C03" w:rsidRDefault="001C7C52" w:rsidP="00556090">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Equity based issuer correlations appear to be the best alternative in the calibration of credit quality correlations in the proposed incremental risk model. And since the precision of the individual issuer correlation estimates is not likely to be of vital importance for the accuracy of the model, the difficulties in the estimation of the correlation coefficients, as addressed in </w:t>
      </w:r>
      <w:hyperlink w:anchor="S221" w:history="1">
        <w:r w:rsidRPr="00802C03">
          <w:rPr>
            <w:rStyle w:val="Hyperlink"/>
            <w:rFonts w:ascii="Garamond" w:hAnsi="Garamond" w:cs="NimbusRomNo9L-Regu"/>
            <w:color w:val="000066"/>
            <w:u w:val="none"/>
            <w:lang w:val="en-GB" w:eastAsia="nl-NL"/>
          </w:rPr>
          <w:t>Part II section 2.2.1</w:t>
        </w:r>
      </w:hyperlink>
      <w:r w:rsidRPr="00802C03">
        <w:rPr>
          <w:rFonts w:ascii="Garamond" w:hAnsi="Garamond" w:cs="NimbusRomNo9L-Regu"/>
          <w:color w:val="000000"/>
          <w:lang w:val="en-GB" w:eastAsia="nl-NL"/>
        </w:rPr>
        <w:t>, suddenly are much less severe than previously anticipated. In the estimation of equity correlations, the frequency problem has lost much of its relevance, as the average correlation level is very similar for different frequencies. For instance, the mean of the average equity correlation level in the stable period is 0.21 with a maximum of 0.23 and a minimum of 0.19 over the different frequencies.</w:t>
      </w:r>
      <w:r w:rsidRPr="00802C03">
        <w:rPr>
          <w:rStyle w:val="FootnoteReference"/>
          <w:rFonts w:ascii="Garamond" w:hAnsi="Garamond" w:cs="NimbusRomNo9L-Regu"/>
          <w:color w:val="000000"/>
          <w:lang w:val="en-GB" w:eastAsia="nl-NL"/>
        </w:rPr>
        <w:footnoteReference w:id="78"/>
      </w:r>
      <w:r w:rsidRPr="00802C03">
        <w:rPr>
          <w:rFonts w:ascii="Garamond" w:hAnsi="Garamond" w:cs="NimbusRomNo9L-Regu"/>
          <w:color w:val="000000"/>
          <w:lang w:val="en-GB" w:eastAsia="nl-NL"/>
        </w:rPr>
        <w:t xml:space="preserve"> In addition, for the credit crisis period, the mean of the average correlation level over the different frequencies is 0.45, with a maximum of 0.49 and a minimum of 0.44. Consequently, any of the assessed frequencies will yield approximately equal VaR-estimates in the model. The frequency selection should therefore mainly be driven by the number of observations that it will generate. The utilization of weekly or even daily returns seems to be the best choice, since both frequencies still allow for a relatively short sample period that displays the current economic environment to a reasonable extent.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Subsequently, one may use a multiple factor model in the actual correlation estimation process, like those evaluated in </w:t>
      </w:r>
      <w:hyperlink w:anchor="Zeng_Zhang_2001" w:history="1">
        <w:r w:rsidRPr="00802C03">
          <w:rPr>
            <w:rStyle w:val="Hyperlink"/>
            <w:rFonts w:ascii="Garamond" w:hAnsi="Garamond" w:cs="NimbusRomNo9L-Regu"/>
            <w:color w:val="000066"/>
            <w:u w:val="none"/>
            <w:lang w:val="en-GB" w:eastAsia="nl-NL"/>
          </w:rPr>
          <w:t>Zeng &amp; Zhang (2001)</w:t>
        </w:r>
      </w:hyperlink>
      <w:r w:rsidRPr="00802C03">
        <w:rPr>
          <w:rFonts w:ascii="Garamond" w:hAnsi="Garamond" w:cs="NimbusRomNo9L-Regu"/>
          <w:color w:val="000000"/>
          <w:lang w:val="en-GB" w:eastAsia="nl-NL"/>
        </w:rPr>
        <w:t>, since these models provide an easier estimation procedure when the number of issuers is large. Moreover, the issuer correlation estimates resulting from an advanced multiple factor models are also likely to be more accurate, relative to regular historical correlations. Conversely, when enough equity data is available, simple regular historical correlations may provide correlation estimates with enough precision as well (</w:t>
      </w:r>
      <w:hyperlink w:anchor="Zeng_Zhang_2001" w:history="1">
        <w:r w:rsidRPr="00802C03">
          <w:rPr>
            <w:rStyle w:val="Hyperlink"/>
            <w:rFonts w:ascii="Garamond" w:hAnsi="Garamond" w:cs="NimbusRomNo9L-Regu"/>
            <w:color w:val="000066"/>
            <w:u w:val="none"/>
            <w:lang w:val="en-GB" w:eastAsia="nl-NL"/>
          </w:rPr>
          <w:t>Zeng &amp; Zhang, 2001</w:t>
        </w:r>
      </w:hyperlink>
      <w:r w:rsidRPr="00802C03">
        <w:rPr>
          <w:rFonts w:ascii="Garamond" w:hAnsi="Garamond" w:cs="NimbusRomNo9L-Regu"/>
          <w:color w:val="000000"/>
          <w:lang w:val="en-GB" w:eastAsia="nl-NL"/>
        </w:rPr>
        <w:t xml:space="preserve">). Herein, the use KMV model based asset returns (as described in </w:t>
      </w:r>
      <w:hyperlink w:anchor="Bohn_Crosbie_2003" w:history="1">
        <w:r w:rsidRPr="00802C03">
          <w:rPr>
            <w:rStyle w:val="Hyperlink"/>
            <w:rFonts w:ascii="Garamond" w:hAnsi="Garamond" w:cs="NimbusRomNo9L-Regu"/>
            <w:color w:val="000066"/>
            <w:u w:val="none"/>
            <w:lang w:val="en-GB" w:eastAsia="nl-NL"/>
          </w:rPr>
          <w:t>Bohn &amp; Crosbie, 2003</w:t>
        </w:r>
      </w:hyperlink>
      <w:r w:rsidRPr="00802C03">
        <w:rPr>
          <w:rFonts w:ascii="Garamond" w:hAnsi="Garamond" w:cs="NimbusRomNo9L-Regu"/>
          <w:color w:val="000000"/>
          <w:lang w:val="en-GB" w:eastAsia="nl-NL"/>
        </w:rPr>
        <w:t>) instead of ‘plain’ equity returns will enhance the accuracy of the credit quality correlations in both types of correlation estimation procedures (</w:t>
      </w:r>
      <w:hyperlink w:anchor="Zeng_Zhang_2002" w:history="1">
        <w:r w:rsidRPr="00802C03">
          <w:rPr>
            <w:rStyle w:val="Hyperlink"/>
            <w:rFonts w:ascii="Garamond" w:hAnsi="Garamond" w:cs="NimbusRomNo9L-Regu"/>
            <w:color w:val="000066"/>
            <w:u w:val="none"/>
            <w:lang w:val="en-GB" w:eastAsia="nl-NL"/>
          </w:rPr>
          <w:t>Zeng &amp; Zhang, 2002</w:t>
        </w:r>
      </w:hyperlink>
      <w:r w:rsidRPr="00802C03">
        <w:rPr>
          <w:rFonts w:ascii="Garamond" w:hAnsi="Garamond" w:cs="NimbusRomNo9L-Regu"/>
          <w:color w:val="000000"/>
          <w:lang w:val="en-GB" w:eastAsia="nl-NL"/>
        </w:rPr>
        <w:t xml:space="preserve">).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Lastly, as mentioned before, additional attention would be prudent for concentrated positions and market concentrations in the estimation of issuer correlations. The effect of the existence of these concentrations can be substantial, as demonstrated in </w:t>
      </w:r>
      <w:hyperlink w:anchor="S314" w:history="1">
        <w:r w:rsidRPr="00802C03">
          <w:rPr>
            <w:rStyle w:val="Hyperlink"/>
            <w:rFonts w:ascii="Garamond" w:hAnsi="Garamond" w:cs="NimbusRomNo9L-Regu"/>
            <w:color w:val="000066"/>
            <w:u w:val="none"/>
            <w:lang w:val="en-GB" w:eastAsia="nl-NL"/>
          </w:rPr>
          <w:t>section 3.1.4</w:t>
        </w:r>
      </w:hyperlink>
      <w:r w:rsidRPr="00802C03">
        <w:rPr>
          <w:rFonts w:ascii="Garamond" w:hAnsi="Garamond" w:cs="NimbusRomNo9L-Regu"/>
          <w:color w:val="000000"/>
          <w:lang w:val="en-GB" w:eastAsia="nl-NL"/>
        </w:rPr>
        <w:t xml:space="preserve">. Consequently, in particular the correlations underlying market concentrations must be approached accurately in the estimation process, since the recognition of market concentrations primarily depends on the correlations between their underlying issuers. Inaccurately calibrated correlations between these underlying issuers may bias the model’s VaR-estimates, especially when the concentrations are relatively large and are comprised of only long or only short positions. </w:t>
      </w:r>
    </w:p>
    <w:p w:rsidR="001C7C52" w:rsidRPr="00802C03" w:rsidRDefault="001C7C52" w:rsidP="001F0514">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In the estimation of the issuer autocorrelations, basically the same arguments apply as in the issuer correlation case. The calibration of autocorrelations may be best approached by equity autocorrelations with a similar lag as the length of one period in the model. The effect of autocorrelation is almost certainly quite small, as long as the average input autocorrelations are also small on average, which is a very likely possibility in reality.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An alternative view on the incorporation of autocorrelation in a multi-period model is offered by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color w:val="000000"/>
          <w:lang w:val="en-GB" w:eastAsia="nl-NL"/>
        </w:rPr>
        <w:t>, who models autocorrelation into his incremental default risk model with the use of an autoregressive risk factor. Such a structure is likely to raise the model’s risk measures, since all issuers in the model will be subject to positive autocorrelation.</w:t>
      </w:r>
      <w:r w:rsidRPr="00802C03">
        <w:rPr>
          <w:rStyle w:val="FootnoteReference"/>
          <w:rFonts w:ascii="Garamond" w:hAnsi="Garamond" w:cs="NimbusRomNo9L-Regu"/>
          <w:color w:val="000000"/>
          <w:lang w:val="en-GB" w:eastAsia="nl-NL"/>
        </w:rPr>
        <w:footnoteReference w:id="79"/>
      </w:r>
      <w:r w:rsidRPr="00802C03">
        <w:rPr>
          <w:rFonts w:ascii="Garamond" w:hAnsi="Garamond" w:cs="NimbusRomNo9L-Regu"/>
          <w:color w:val="000000"/>
          <w:lang w:val="en-GB" w:eastAsia="nl-NL"/>
        </w:rPr>
        <w:t xml:space="preserve"> Recall that positive autocorrelation in the model increases the implied risk, since it enlarges the chance for a low simulated issuer asset return and therefore possible downgrade or default in a period, when the simulated issuer asset returns in the previous period was low already. In summary, it makes poor scenarios worse, which increases any VaR-estimate. Hence, it might be conservative to implement such a structure. Nevertheless, no positive equity or asset autocorrelation is observed for many issuers, making such a correlation structure at least partially unrealistic.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color w:val="000000"/>
          <w:lang w:val="en-GB" w:eastAsia="nl-NL"/>
        </w:rPr>
        <w:t xml:space="preserve"> does, however, point out that more complicated factor model based autocorrelation structures are possible that display autoregressive as well as mean reversion characteristics. Assuming that such structures can be model</w:t>
      </w:r>
      <w:r>
        <w:rPr>
          <w:rFonts w:ascii="Garamond" w:hAnsi="Garamond" w:cs="NimbusRomNo9L-Regu"/>
          <w:color w:val="000000"/>
          <w:lang w:val="en-GB" w:eastAsia="nl-NL"/>
        </w:rPr>
        <w:t>l</w:t>
      </w:r>
      <w:r w:rsidRPr="00802C03">
        <w:rPr>
          <w:rFonts w:ascii="Garamond" w:hAnsi="Garamond" w:cs="NimbusRomNo9L-Regu"/>
          <w:color w:val="000000"/>
          <w:lang w:val="en-GB" w:eastAsia="nl-NL"/>
        </w:rPr>
        <w:t xml:space="preserve">ed to display observed effects with a very reasonable accuracy, they may provide an excellent alternative option in the correlation structure of an actual incremental risk model.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Another difference between the autocorrelation application in this study and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color w:val="000000"/>
          <w:lang w:val="en-GB" w:eastAsia="nl-NL"/>
        </w:rPr>
        <w:t xml:space="preserve"> is autocorrelation at rebalancing moments. A small increase in the model implied risk, relative to the results presented in this study, can be expected when autocorrelation is introduced at rebalancing moments, as applied by </w:t>
      </w:r>
      <w:hyperlink w:anchor="Dunn_2008" w:history="1">
        <w:r w:rsidRPr="00802C03">
          <w:rPr>
            <w:rStyle w:val="Hyperlink"/>
            <w:rFonts w:ascii="Garamond" w:hAnsi="Garamond" w:cs="NimbusRomNo9L-Regu"/>
            <w:color w:val="000066"/>
            <w:u w:val="none"/>
            <w:lang w:val="en-GB" w:eastAsia="nl-NL"/>
          </w:rPr>
          <w:t>Dunn (2008)</w:t>
        </w:r>
      </w:hyperlink>
      <w:r w:rsidRPr="00802C03">
        <w:rPr>
          <w:rFonts w:ascii="Garamond" w:hAnsi="Garamond" w:cs="NimbusRomNo9L-Regu"/>
          <w:color w:val="000000"/>
          <w:lang w:val="en-GB" w:eastAsia="nl-NL"/>
        </w:rPr>
        <w:t xml:space="preserve">. This is, however, in contrast with the model specification proposed in this study, as discussed in </w:t>
      </w:r>
      <w:hyperlink w:anchor="S146" w:history="1">
        <w:r w:rsidRPr="00802C03">
          <w:rPr>
            <w:rStyle w:val="Hyperlink"/>
            <w:rFonts w:ascii="Garamond" w:hAnsi="Garamond" w:cs="NimbusRomNo9L-Regu"/>
            <w:color w:val="000066"/>
            <w:u w:val="none"/>
            <w:lang w:val="en-GB" w:eastAsia="nl-NL"/>
          </w:rPr>
          <w:t>Part I section 1.4.6</w:t>
        </w:r>
      </w:hyperlink>
      <w:r w:rsidRPr="00802C03">
        <w:rPr>
          <w:rFonts w:ascii="Garamond" w:hAnsi="Garamond" w:cs="NimbusRomNo9L-Regu"/>
          <w:color w:val="000000"/>
          <w:lang w:val="en-GB" w:eastAsia="nl-NL"/>
        </w:rPr>
        <w:t>, since it is to a certain extent not in line with the constant risk assumption. Nonetheless, such a model specification can be implemented in the proposed incremental risk model or an actual incremental risk model.</w:t>
      </w:r>
    </w:p>
    <w:p w:rsidR="001C7C52" w:rsidRPr="00802C03" w:rsidRDefault="001C7C52" w:rsidP="001F0514">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Lastly, it is extremely important to note that when rating drift is incorporated in the stand-alone risk specification, autocorrelation in the correlation structure of an incremental risk model basically addresses the same effect for the second time. The essence of incorporating autocorrelation is to take into account the observed market inefficiency in the time-series dimension. Nevertheless, this effect is addressed </w:t>
      </w:r>
      <w:r>
        <w:rPr>
          <w:rFonts w:ascii="Garamond" w:hAnsi="Garamond" w:cs="NimbusRomNo9L-Regu"/>
          <w:color w:val="000000"/>
          <w:lang w:val="en-GB" w:eastAsia="nl-NL"/>
        </w:rPr>
        <w:t xml:space="preserve">much </w:t>
      </w:r>
      <w:r w:rsidRPr="00802C03">
        <w:rPr>
          <w:rFonts w:ascii="Garamond" w:hAnsi="Garamond" w:cs="NimbusRomNo9L-Regu"/>
          <w:color w:val="000000"/>
          <w:lang w:val="en-GB" w:eastAsia="nl-NL"/>
        </w:rPr>
        <w:t xml:space="preserve">more accurately in the stand-alone risk specification, </w:t>
      </w:r>
      <w:r>
        <w:rPr>
          <w:rFonts w:ascii="Garamond" w:hAnsi="Garamond" w:cs="NimbusRomNo9L-Regu"/>
          <w:color w:val="000000"/>
          <w:lang w:val="en-GB" w:eastAsia="nl-NL"/>
        </w:rPr>
        <w:t>since</w:t>
      </w:r>
      <w:r w:rsidRPr="00802C03">
        <w:rPr>
          <w:rFonts w:ascii="Garamond" w:hAnsi="Garamond" w:cs="NimbusRomNo9L-Regu"/>
          <w:color w:val="000000"/>
          <w:lang w:val="en-GB" w:eastAsia="nl-NL"/>
        </w:rPr>
        <w:t xml:space="preserve"> it is directly estimated and model</w:t>
      </w:r>
      <w:r>
        <w:rPr>
          <w:rFonts w:ascii="Garamond" w:hAnsi="Garamond" w:cs="NimbusRomNo9L-Regu"/>
          <w:color w:val="000000"/>
          <w:lang w:val="en-GB" w:eastAsia="nl-NL"/>
        </w:rPr>
        <w:t>l</w:t>
      </w:r>
      <w:r w:rsidRPr="00802C03">
        <w:rPr>
          <w:rFonts w:ascii="Garamond" w:hAnsi="Garamond" w:cs="NimbusRomNo9L-Regu"/>
          <w:color w:val="000000"/>
          <w:lang w:val="en-GB" w:eastAsia="nl-NL"/>
        </w:rPr>
        <w:t xml:space="preserve">ed to resemble observed credit migration dynamics. In principle, those dynamics are the risk source that the incremental risk model is required to capture. When the effects are addressed in the correlation structure, by introducing equity autocorrelations for example, then </w:t>
      </w:r>
      <w:r>
        <w:rPr>
          <w:rFonts w:ascii="Garamond" w:hAnsi="Garamond" w:cs="NimbusRomNo9L-Regu"/>
          <w:color w:val="000000"/>
          <w:lang w:val="en-GB" w:eastAsia="nl-NL"/>
        </w:rPr>
        <w:t>r</w:t>
      </w:r>
      <w:r w:rsidRPr="00802C03">
        <w:rPr>
          <w:rFonts w:ascii="Garamond" w:hAnsi="Garamond" w:cs="NimbusRomNo9L-Regu"/>
          <w:color w:val="000000"/>
          <w:lang w:val="en-GB" w:eastAsia="nl-NL"/>
        </w:rPr>
        <w:t>ating drift is model</w:t>
      </w:r>
      <w:r>
        <w:rPr>
          <w:rFonts w:ascii="Garamond" w:hAnsi="Garamond" w:cs="NimbusRomNo9L-Regu"/>
          <w:color w:val="000000"/>
          <w:lang w:val="en-GB" w:eastAsia="nl-NL"/>
        </w:rPr>
        <w:t>l</w:t>
      </w:r>
      <w:r w:rsidRPr="00802C03">
        <w:rPr>
          <w:rFonts w:ascii="Garamond" w:hAnsi="Garamond" w:cs="NimbusRomNo9L-Regu"/>
          <w:color w:val="000000"/>
          <w:lang w:val="en-GB" w:eastAsia="nl-NL"/>
        </w:rPr>
        <w:t xml:space="preserve">ed in a more indirect and probably inaccurate way. Hence, the </w:t>
      </w:r>
      <w:r>
        <w:rPr>
          <w:rFonts w:ascii="Garamond" w:hAnsi="Garamond" w:cs="NimbusRomNo9L-Regu"/>
          <w:color w:val="000000"/>
          <w:lang w:val="en-GB" w:eastAsia="nl-NL"/>
        </w:rPr>
        <w:t>most efficient approach</w:t>
      </w:r>
      <w:r w:rsidRPr="00802C03">
        <w:rPr>
          <w:rFonts w:ascii="Garamond" w:hAnsi="Garamond" w:cs="NimbusRomNo9L-Regu"/>
          <w:color w:val="000000"/>
          <w:lang w:val="en-GB" w:eastAsia="nl-NL"/>
        </w:rPr>
        <w:t xml:space="preserve"> </w:t>
      </w:r>
      <w:r>
        <w:rPr>
          <w:rFonts w:ascii="Garamond" w:hAnsi="Garamond" w:cs="NimbusRomNo9L-Regu"/>
          <w:color w:val="000000"/>
          <w:lang w:val="en-GB" w:eastAsia="nl-NL"/>
        </w:rPr>
        <w:t>in capturing</w:t>
      </w:r>
      <w:r w:rsidRPr="00802C03">
        <w:rPr>
          <w:rFonts w:ascii="Garamond" w:hAnsi="Garamond" w:cs="NimbusRomNo9L-Regu"/>
          <w:color w:val="000000"/>
          <w:lang w:val="en-GB" w:eastAsia="nl-NL"/>
        </w:rPr>
        <w:t xml:space="preserve"> rating drift </w:t>
      </w:r>
      <w:r>
        <w:rPr>
          <w:rFonts w:ascii="Garamond" w:hAnsi="Garamond" w:cs="NimbusRomNo9L-Regu"/>
          <w:color w:val="000000"/>
          <w:lang w:val="en-GB" w:eastAsia="nl-NL"/>
        </w:rPr>
        <w:t xml:space="preserve">is </w:t>
      </w:r>
      <w:r w:rsidRPr="00802C03">
        <w:rPr>
          <w:rFonts w:ascii="Garamond" w:hAnsi="Garamond" w:cs="NimbusRomNo9L-Regu"/>
          <w:color w:val="000000"/>
          <w:lang w:val="en-GB" w:eastAsia="nl-NL"/>
        </w:rPr>
        <w:t xml:space="preserve">through the stand-alone risk component in the model, the credit migration matrix, applying techniques as proposed in </w:t>
      </w:r>
      <w:hyperlink w:anchor="Christensen_et_al_2004" w:history="1">
        <w:r w:rsidRPr="00802C03">
          <w:rPr>
            <w:rStyle w:val="Hyperlink"/>
            <w:rFonts w:ascii="Garamond" w:hAnsi="Garamond" w:cs="NimbusRomNo9L-Regu"/>
            <w:color w:val="000066"/>
            <w:u w:val="none"/>
            <w:lang w:val="en-GB" w:eastAsia="nl-NL"/>
          </w:rPr>
          <w:t>Christensen et al. (2004)</w:t>
        </w:r>
      </w:hyperlink>
      <w:r w:rsidRPr="00802C03">
        <w:rPr>
          <w:rFonts w:ascii="Garamond" w:hAnsi="Garamond" w:cs="NimbusRomNo9L-Regu"/>
          <w:color w:val="000000"/>
          <w:lang w:val="en-GB" w:eastAsia="nl-NL"/>
        </w:rPr>
        <w:t xml:space="preserve"> or </w:t>
      </w:r>
      <w:hyperlink w:anchor="Frydman_Schuermann_2008" w:history="1">
        <w:r w:rsidRPr="00802C03">
          <w:rPr>
            <w:rStyle w:val="Hyperlink"/>
            <w:rFonts w:ascii="Garamond" w:hAnsi="Garamond" w:cs="NimbusRomNo9L-Regu"/>
            <w:color w:val="000066"/>
            <w:u w:val="none"/>
            <w:lang w:val="en-GB" w:eastAsia="nl-NL"/>
          </w:rPr>
          <w:t>Frydman &amp; Schuermann (2008)</w:t>
        </w:r>
      </w:hyperlink>
      <w:r w:rsidRPr="00802C03">
        <w:rPr>
          <w:rFonts w:ascii="Garamond" w:hAnsi="Garamond" w:cs="NimbusRomNo9L-Regu"/>
          <w:color w:val="000000"/>
          <w:lang w:val="en-GB" w:eastAsia="nl-NL"/>
        </w:rPr>
        <w:t xml:space="preserve"> for example. In that case, autocorrelation must not be incorporated in the correlation structure, which in its turn drastically simplifies the derivation of this structure. Moreover, all </w:t>
      </w:r>
      <w:r>
        <w:rPr>
          <w:rFonts w:ascii="Garamond" w:hAnsi="Garamond" w:cs="NimbusRomNo9L-Regu"/>
          <w:color w:val="000000"/>
          <w:lang w:val="en-GB" w:eastAsia="nl-NL"/>
        </w:rPr>
        <w:t>afore</w:t>
      </w:r>
      <w:r w:rsidRPr="00802C03">
        <w:rPr>
          <w:rFonts w:ascii="Garamond" w:hAnsi="Garamond" w:cs="NimbusRomNo9L-Regu"/>
          <w:color w:val="000000"/>
          <w:lang w:val="en-GB" w:eastAsia="nl-NL"/>
        </w:rPr>
        <w:t>mentioned issues related the estimation of autocorrelation coefficients become irrelevant in such a setting.</w:t>
      </w:r>
    </w:p>
    <w:p w:rsidR="001C7C52" w:rsidRPr="00802C03" w:rsidRDefault="001C7C52" w:rsidP="001F0514">
      <w:pPr>
        <w:spacing w:line="280" w:lineRule="exact"/>
        <w:jc w:val="both"/>
        <w:rPr>
          <w:rFonts w:ascii="Garamond" w:hAnsi="Garamond" w:cs="NimbusRomNo9L-Regu"/>
          <w:color w:val="000000"/>
          <w:lang w:val="en-GB" w:eastAsia="nl-NL"/>
        </w:rPr>
      </w:pP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3.2.5</w:t>
      </w:r>
      <w:r w:rsidRPr="00802C03">
        <w:rPr>
          <w:rFonts w:ascii="Garamond" w:hAnsi="Garamond"/>
          <w:b/>
          <w:color w:val="000000"/>
          <w:lang w:val="en-GB"/>
        </w:rPr>
        <w:tab/>
      </w:r>
      <w:bookmarkStart w:id="89" w:name="S325"/>
      <w:bookmarkEnd w:id="89"/>
      <w:r w:rsidRPr="00802C03">
        <w:rPr>
          <w:rFonts w:ascii="Garamond" w:hAnsi="Garamond"/>
          <w:b/>
          <w:color w:val="000000"/>
          <w:lang w:val="en-GB"/>
        </w:rPr>
        <w:t>Constant Level of Risk Assumption</w:t>
      </w:r>
    </w:p>
    <w:p w:rsidR="001C7C52" w:rsidRPr="00802C03" w:rsidRDefault="001C7C52" w:rsidP="001F0514">
      <w:pPr>
        <w:spacing w:line="280" w:lineRule="exact"/>
        <w:jc w:val="both"/>
        <w:rPr>
          <w:rFonts w:ascii="Garamond" w:hAnsi="Garamond" w:cs="NimbusRomNo9L-Regu"/>
          <w:lang w:val="en-GB"/>
        </w:rPr>
      </w:pPr>
      <w:r w:rsidRPr="00802C03">
        <w:rPr>
          <w:rFonts w:ascii="Garamond" w:hAnsi="Garamond" w:cs="NimbusRomNo9L-Regu"/>
          <w:szCs w:val="22"/>
          <w:lang w:val="en-GB"/>
        </w:rPr>
        <w:t xml:space="preserve">The constant level of risk assumption </w:t>
      </w:r>
      <w:r w:rsidRPr="00802C03">
        <w:rPr>
          <w:rFonts w:ascii="Garamond" w:hAnsi="Garamond" w:cs="NimbusRomNo9L-Regu"/>
          <w:lang w:val="en-GB"/>
        </w:rPr>
        <w:t xml:space="preserve">in combination with </w:t>
      </w:r>
      <w:r w:rsidRPr="00802C03">
        <w:rPr>
          <w:rFonts w:ascii="Garamond" w:hAnsi="Garamond" w:cs="NimbusRomNo9L-Regu"/>
          <w:szCs w:val="22"/>
          <w:lang w:val="en-GB"/>
        </w:rPr>
        <w:t>the liquidity horizons have been the most challenging elements in the construction of the proposed incremental</w:t>
      </w:r>
      <w:r w:rsidRPr="00802C03">
        <w:rPr>
          <w:rFonts w:ascii="Garamond" w:hAnsi="Garamond" w:cs="NimbusRomNo9L-Regu"/>
          <w:lang w:val="en-GB"/>
        </w:rPr>
        <w:t xml:space="preserve"> risk model. The constant level of risk assumption is not so much an input or assumption that has to be estimated or calibrated, such as the credit migration matrix or the copula assumption, yet it is a crucial component in the estimation of the ultimate risk measures of the incremental risk model in general. In addition, the constant risk assumption and the liquidity horizon are among the few mandatory elements in the model. </w:t>
      </w:r>
      <w:hyperlink w:anchor="Finger_2009" w:history="1">
        <w:r w:rsidRPr="00802C03">
          <w:rPr>
            <w:rStyle w:val="Hyperlink"/>
            <w:rFonts w:ascii="Garamond" w:hAnsi="Garamond" w:cs="NimbusRomNo9L-Regu"/>
            <w:color w:val="000066"/>
            <w:u w:val="none"/>
            <w:lang w:val="en-GB"/>
          </w:rPr>
          <w:t>Finger (2009)</w:t>
        </w:r>
      </w:hyperlink>
      <w:r w:rsidRPr="00802C03">
        <w:rPr>
          <w:rFonts w:ascii="Garamond" w:hAnsi="Garamond" w:cs="NimbusRomNo9L-Regu"/>
          <w:lang w:val="en-GB"/>
        </w:rPr>
        <w:t xml:space="preserve"> acknowledges that the constant level of risk assumption unquestionably is the most controversial element of the Basel Committee’s incremental risk model proposals. Apart from the fact that the emphasis the Basel Committee has placed on the subject of liquidity is a remarkably valuable objective on itself, its implementation in the form of the constant risk assumption is surrounded by practical as well as theoretical ambiguity. Moreover, in practice the assumption may be unrealistic for most trading portfolios.</w:t>
      </w:r>
    </w:p>
    <w:p w:rsidR="001C7C52" w:rsidRPr="00802C03" w:rsidRDefault="001C7C52" w:rsidP="001F0514">
      <w:pPr>
        <w:spacing w:line="280" w:lineRule="exact"/>
        <w:jc w:val="both"/>
        <w:rPr>
          <w:rFonts w:ascii="Garamond" w:hAnsi="Garamond" w:cs="NimbusRomNo9L-Regu"/>
          <w:lang w:val="en-GB"/>
        </w:rPr>
      </w:pPr>
      <w:hyperlink w:anchor="Finger_2009" w:history="1">
        <w:r w:rsidRPr="00802C03">
          <w:rPr>
            <w:rStyle w:val="Hyperlink"/>
            <w:rFonts w:ascii="Garamond" w:hAnsi="Garamond" w:cs="NimbusRomNo9L-Regu"/>
            <w:color w:val="000066"/>
            <w:u w:val="none"/>
            <w:lang w:val="en-GB"/>
          </w:rPr>
          <w:t>Finger (2009)</w:t>
        </w:r>
      </w:hyperlink>
      <w:r w:rsidRPr="00802C03">
        <w:rPr>
          <w:rFonts w:ascii="Garamond" w:hAnsi="Garamond" w:cs="NimbusRomNo9L-Regu"/>
          <w:lang w:val="en-GB"/>
        </w:rPr>
        <w:t xml:space="preserve"> argues that the constant level of risk model</w:t>
      </w:r>
      <w:r>
        <w:rPr>
          <w:rFonts w:ascii="Garamond" w:hAnsi="Garamond" w:cs="NimbusRomNo9L-Regu"/>
          <w:lang w:val="en-GB"/>
        </w:rPr>
        <w:t>l</w:t>
      </w:r>
      <w:r w:rsidRPr="00802C03">
        <w:rPr>
          <w:rFonts w:ascii="Garamond" w:hAnsi="Garamond" w:cs="NimbusRomNo9L-Regu"/>
          <w:lang w:val="en-GB"/>
        </w:rPr>
        <w:t>ing requirements are an invitation to arbitrary recipes, and may lead to the manipulation of the minimum required capital through superfluous complexity. This notion is at least partially confirmed by the required complexity and theoretical inconsistency encountered in the derivation of the double copula based correlation structure of the proposed model (</w:t>
      </w:r>
      <w:hyperlink w:anchor="S140" w:history="1">
        <w:r w:rsidRPr="00802C03">
          <w:rPr>
            <w:rStyle w:val="Hyperlink"/>
            <w:rFonts w:ascii="Garamond" w:hAnsi="Garamond" w:cs="NimbusRomNo9L-Regu"/>
            <w:color w:val="000066"/>
            <w:u w:val="none"/>
            <w:lang w:val="en-GB"/>
          </w:rPr>
          <w:t>Part I section 1.4</w:t>
        </w:r>
      </w:hyperlink>
      <w:r w:rsidRPr="00802C03">
        <w:rPr>
          <w:rFonts w:ascii="Garamond" w:hAnsi="Garamond" w:cs="NimbusRomNo9L-Regu"/>
          <w:lang w:val="en-GB"/>
        </w:rPr>
        <w:t>). Basically, the implied issuer correlation must be calibrated to equal the observed issuer asset correlations. However, in the presence of autocorrelation, the implied correlations between the underlying issuers cannot be equal to the issuer correlations in the single-periods of the multi-period model.</w:t>
      </w:r>
      <w:r w:rsidRPr="00802C03">
        <w:rPr>
          <w:rStyle w:val="FootnoteReference"/>
          <w:rFonts w:ascii="Garamond" w:hAnsi="Garamond" w:cs="NimbusRomNo9L-Regu"/>
          <w:lang w:val="en-GB"/>
        </w:rPr>
        <w:footnoteReference w:id="80"/>
      </w:r>
      <w:r w:rsidRPr="00802C03">
        <w:rPr>
          <w:rFonts w:ascii="Garamond" w:hAnsi="Garamond" w:cs="NimbusRomNo9L-Regu"/>
          <w:lang w:val="en-GB"/>
        </w:rPr>
        <w:t xml:space="preserve"> Hence, the single-period issuer correlations in the cross-sectional dimension of the correlation structure may be not in line with observed correlations. Moreover, multiple (hypothetical) issuers may contribute to an implied correlation of a single position, which does not make much sense theoretically.</w:t>
      </w:r>
    </w:p>
    <w:p w:rsidR="001C7C52" w:rsidRPr="00802C03" w:rsidRDefault="001C7C52" w:rsidP="001F0514">
      <w:pPr>
        <w:pStyle w:val="Default"/>
        <w:spacing w:line="280" w:lineRule="exact"/>
        <w:jc w:val="both"/>
        <w:rPr>
          <w:rFonts w:ascii="Garamond" w:hAnsi="Garamond"/>
          <w:sz w:val="22"/>
          <w:szCs w:val="22"/>
          <w:lang w:val="en-GB"/>
        </w:rPr>
      </w:pPr>
      <w:r w:rsidRPr="00802C03">
        <w:rPr>
          <w:rFonts w:ascii="Garamond" w:hAnsi="Garamond" w:cs="NimbusRomNo9L-Regu"/>
          <w:sz w:val="22"/>
          <w:szCs w:val="22"/>
          <w:lang w:val="en-GB"/>
        </w:rPr>
        <w:t xml:space="preserve">In addition, a number of logical contradictions that may result from the constant level of risk assumption are highlighted by </w:t>
      </w:r>
      <w:hyperlink w:anchor="Zerbes_DePrisco_2009" w:history="1">
        <w:r w:rsidRPr="00802C03">
          <w:rPr>
            <w:rStyle w:val="Hyperlink"/>
            <w:rFonts w:ascii="Garamond" w:hAnsi="Garamond" w:cs="NimbusRomNo9L-Regu"/>
            <w:color w:val="000066"/>
            <w:sz w:val="22"/>
            <w:szCs w:val="22"/>
            <w:u w:val="none"/>
            <w:lang w:val="en-GB"/>
          </w:rPr>
          <w:t>Zerbes &amp; De Prisco (2009)</w:t>
        </w:r>
      </w:hyperlink>
      <w:r w:rsidRPr="00802C03">
        <w:rPr>
          <w:rFonts w:ascii="Garamond" w:hAnsi="Garamond" w:cs="NimbusRomNo9L-Regu"/>
          <w:sz w:val="22"/>
          <w:szCs w:val="22"/>
          <w:lang w:val="en-GB"/>
        </w:rPr>
        <w:t xml:space="preserve"> in Algorithmics’ comments on the Basel Committee’s most recent proposal. An awkward </w:t>
      </w:r>
      <w:r w:rsidRPr="00802C03">
        <w:rPr>
          <w:rFonts w:ascii="Garamond" w:hAnsi="Garamond"/>
          <w:sz w:val="22"/>
          <w:szCs w:val="22"/>
          <w:lang w:val="en-GB"/>
        </w:rPr>
        <w:t>contradiction arises from the principles of utility theory. Herein, the assumption of a constant level of risk implies that when a bank experiences losses, it will fund the losses from capital, essentially reinvesting an amount equal to the initial value of the respective position into a very similar or identical investment. At the same time, this new investment accounts for a larger share of the banks wealth, since the banks has incurred losses. Consequently, such a bank is willing to take relatively more risk for the same reward. In essence, this means that the assumption of a constant level of risk implies a decreasing marginal utility of wealth (at least to some extent). This implication naturally contradicts the most common axioms underlying utility theory.</w:t>
      </w:r>
    </w:p>
    <w:p w:rsidR="001C7C52" w:rsidRPr="00802C03" w:rsidRDefault="001C7C52" w:rsidP="001F0514">
      <w:pPr>
        <w:pStyle w:val="Default"/>
        <w:spacing w:line="280" w:lineRule="exact"/>
        <w:jc w:val="both"/>
        <w:rPr>
          <w:rFonts w:ascii="Garamond" w:hAnsi="Garamond"/>
          <w:sz w:val="22"/>
          <w:szCs w:val="22"/>
          <w:lang w:val="en-GB"/>
        </w:rPr>
      </w:pPr>
      <w:hyperlink w:anchor="Zerbes_DePrisco_2009" w:history="1">
        <w:r w:rsidRPr="00802C03">
          <w:rPr>
            <w:rStyle w:val="Hyperlink"/>
            <w:rFonts w:ascii="Garamond" w:hAnsi="Garamond"/>
            <w:color w:val="000066"/>
            <w:sz w:val="22"/>
            <w:szCs w:val="22"/>
            <w:u w:val="none"/>
            <w:lang w:val="en-GB"/>
          </w:rPr>
          <w:t>Zerbes &amp; De Prisco (2009)</w:t>
        </w:r>
      </w:hyperlink>
      <w:r w:rsidRPr="00802C03">
        <w:rPr>
          <w:rFonts w:ascii="Garamond" w:hAnsi="Garamond"/>
          <w:sz w:val="22"/>
          <w:szCs w:val="22"/>
          <w:lang w:val="en-GB"/>
        </w:rPr>
        <w:t xml:space="preserve"> also state that during the crisis banks have not shown a tendency to reinvest at previous risk levels. In contrast, capital preservation and de-leveraging have been at the very top of the agenda at most banks. Areas that suffered significant losses have been only subject to reinvestment at a level constituting only a fraction of the initial investment. The observed behavio</w:t>
      </w:r>
      <w:r>
        <w:rPr>
          <w:rFonts w:ascii="Garamond" w:hAnsi="Garamond"/>
          <w:sz w:val="22"/>
          <w:szCs w:val="22"/>
          <w:lang w:val="en-GB"/>
        </w:rPr>
        <w:t>u</w:t>
      </w:r>
      <w:r w:rsidRPr="00802C03">
        <w:rPr>
          <w:rFonts w:ascii="Garamond" w:hAnsi="Garamond"/>
          <w:sz w:val="22"/>
          <w:szCs w:val="22"/>
          <w:lang w:val="en-GB"/>
        </w:rPr>
        <w:t xml:space="preserve">r of banks implies that the constant risk assumption is only realistic under normal market conditions and that it fails in the context of extreme markets. Nevertheless, the capital charge is measured in extreme market conditions (the 99.9% worst loss). In essence, in the context of the proposed incremental risk model, the left tail from which the required VaR-measure is taken, is the part of the loss distribution in which the constant risk assumption is not likely to be valid. Furthermore, in accordance with </w:t>
      </w:r>
      <w:hyperlink w:anchor="Finger_2009" w:history="1">
        <w:r w:rsidRPr="00802C03">
          <w:rPr>
            <w:rStyle w:val="Hyperlink"/>
            <w:rFonts w:ascii="Garamond" w:hAnsi="Garamond"/>
            <w:color w:val="000066"/>
            <w:sz w:val="22"/>
            <w:szCs w:val="22"/>
            <w:u w:val="none"/>
            <w:lang w:val="en-GB"/>
          </w:rPr>
          <w:t>Finger (2009)</w:t>
        </w:r>
      </w:hyperlink>
      <w:r w:rsidRPr="00802C03">
        <w:rPr>
          <w:rFonts w:ascii="Garamond" w:hAnsi="Garamond"/>
          <w:sz w:val="22"/>
          <w:szCs w:val="22"/>
          <w:lang w:val="en-GB"/>
        </w:rPr>
        <w:t xml:space="preserve">, </w:t>
      </w:r>
      <w:hyperlink w:anchor="Zerbes_DePrisco_2009" w:history="1">
        <w:r w:rsidRPr="00802C03">
          <w:rPr>
            <w:rStyle w:val="Hyperlink"/>
            <w:rFonts w:ascii="Garamond" w:hAnsi="Garamond"/>
            <w:color w:val="000066"/>
            <w:sz w:val="22"/>
            <w:szCs w:val="22"/>
            <w:u w:val="none"/>
            <w:lang w:val="en-GB"/>
          </w:rPr>
          <w:t>Zerbes &amp; De Prisco (2009)</w:t>
        </w:r>
      </w:hyperlink>
      <w:r w:rsidRPr="00802C03">
        <w:rPr>
          <w:rFonts w:ascii="Garamond" w:hAnsi="Garamond"/>
          <w:sz w:val="22"/>
          <w:szCs w:val="22"/>
          <w:lang w:val="en-GB"/>
        </w:rPr>
        <w:t xml:space="preserve"> also argue that the constant risk structure may be a source of unneeded complexity. </w:t>
      </w:r>
    </w:p>
    <w:p w:rsidR="001C7C52" w:rsidRPr="00802C03" w:rsidRDefault="001C7C52" w:rsidP="001F0514">
      <w:pPr>
        <w:pStyle w:val="Default"/>
        <w:spacing w:line="280" w:lineRule="exact"/>
        <w:jc w:val="both"/>
        <w:rPr>
          <w:rFonts w:ascii="Garamond" w:hAnsi="Garamond"/>
          <w:sz w:val="22"/>
          <w:szCs w:val="22"/>
          <w:lang w:val="en-GB"/>
        </w:rPr>
      </w:pPr>
      <w:r w:rsidRPr="00802C03">
        <w:rPr>
          <w:rFonts w:ascii="Garamond" w:hAnsi="Garamond"/>
          <w:sz w:val="22"/>
          <w:szCs w:val="22"/>
          <w:lang w:val="en-GB"/>
        </w:rPr>
        <w:t xml:space="preserve">Another point of critique on the assumption is again provided by </w:t>
      </w:r>
      <w:hyperlink w:anchor="Finger_2009" w:history="1">
        <w:r w:rsidRPr="00802C03">
          <w:rPr>
            <w:rStyle w:val="Hyperlink"/>
            <w:rFonts w:ascii="Garamond" w:hAnsi="Garamond"/>
            <w:color w:val="000066"/>
            <w:sz w:val="22"/>
            <w:szCs w:val="22"/>
            <w:u w:val="none"/>
            <w:lang w:val="en-GB"/>
          </w:rPr>
          <w:t>Finger (2009)</w:t>
        </w:r>
      </w:hyperlink>
      <w:r w:rsidRPr="00802C03">
        <w:rPr>
          <w:rFonts w:ascii="Garamond" w:hAnsi="Garamond"/>
          <w:sz w:val="22"/>
          <w:szCs w:val="22"/>
          <w:lang w:val="en-GB"/>
        </w:rPr>
        <w:t>. He argues that the constant level of risk assumption in fact does not imply ‘constant risk’, in an extreme market environment. The point is that when a position is rebalanced in a rising credit spread environment, the new position does not hold the same amount of risk as the initial exposure, since the increased spread of relevant credit rating implies that the risk of credit migration or non</w:t>
      </w:r>
      <w:r>
        <w:rPr>
          <w:rFonts w:ascii="Garamond" w:hAnsi="Garamond"/>
          <w:sz w:val="22"/>
          <w:szCs w:val="22"/>
          <w:lang w:val="en-GB"/>
        </w:rPr>
        <w:t>-</w:t>
      </w:r>
      <w:r w:rsidRPr="00802C03">
        <w:rPr>
          <w:rFonts w:ascii="Garamond" w:hAnsi="Garamond"/>
          <w:sz w:val="22"/>
          <w:szCs w:val="22"/>
          <w:lang w:val="en-GB"/>
        </w:rPr>
        <w:t>payment has in fact increased. This point is confirmed by the enlarged downward potential in the credit crisis migration matrix relative to the one based on 20 years of migration data. Hence, when economic circumstances deteriorate, a position with similar correlation properties and an equal credit rating cannot be seen as a position with a risk profile equal to the initial exposure. The time-varying nature of migration and default risk renders the claim on constant risk improbable. This argument goes hand in hand with the previous argument, as both cast doubts on the validity of the constant level of risk assumption in the an extreme market environment. Again, the importance of both arguments is seriously amplified by the fact that the required one-year 99.9% VaR measure is generated by a scenario of such an extreme nature.</w:t>
      </w:r>
    </w:p>
    <w:p w:rsidR="001C7C52" w:rsidRPr="00802C03" w:rsidRDefault="001C7C52" w:rsidP="001F0514">
      <w:pPr>
        <w:pStyle w:val="Default"/>
        <w:spacing w:line="160" w:lineRule="exact"/>
        <w:jc w:val="both"/>
        <w:rPr>
          <w:rFonts w:ascii="Garamond" w:hAnsi="Garamond"/>
          <w:sz w:val="22"/>
          <w:szCs w:val="22"/>
          <w:lang w:val="en-GB"/>
        </w:rPr>
      </w:pPr>
    </w:p>
    <w:p w:rsidR="001C7C52" w:rsidRPr="00802C03" w:rsidRDefault="001C7C52" w:rsidP="00AC20A0">
      <w:pPr>
        <w:pStyle w:val="Default"/>
        <w:spacing w:line="280" w:lineRule="exact"/>
        <w:jc w:val="both"/>
        <w:rPr>
          <w:rFonts w:ascii="Garamond" w:hAnsi="Garamond" w:cs="NimbusRomNo9L-Regu"/>
          <w:lang w:val="en-GB"/>
        </w:rPr>
      </w:pPr>
      <w:r w:rsidRPr="00802C03">
        <w:rPr>
          <w:rFonts w:ascii="Garamond" w:hAnsi="Garamond"/>
          <w:sz w:val="22"/>
          <w:szCs w:val="22"/>
          <w:lang w:val="en-GB"/>
        </w:rPr>
        <w:t>In comments on the incremental risk model guidelines, many other banks state that the constant level of risk assumption is not in line with actual banking and risk management practices. Nonetheless, the constant level of risk structure may be the only viable way to incorporate multiple liquidity horizons in one general uniform capital horizon. The uniform capital horizon is a (statistical) requirement when the ultimate capital charge must be based on a value-at-risk measure. Consequently, the abovementioned complications may be inherent to the structure and soundness standard that are favo</w:t>
      </w:r>
      <w:r>
        <w:rPr>
          <w:rFonts w:ascii="Garamond" w:hAnsi="Garamond"/>
          <w:sz w:val="22"/>
          <w:szCs w:val="22"/>
          <w:lang w:val="en-GB"/>
        </w:rPr>
        <w:t>u</w:t>
      </w:r>
      <w:r w:rsidRPr="00802C03">
        <w:rPr>
          <w:rFonts w:ascii="Garamond" w:hAnsi="Garamond"/>
          <w:sz w:val="22"/>
          <w:szCs w:val="22"/>
          <w:lang w:val="en-GB"/>
        </w:rPr>
        <w:t>red by the Basel Committee. Any implementation of different liquidity horizons for different positions within one uniform capital horizon will experience difficulties of this kind. In summary, the theoretical as well as practical ambiguity of the constant level of risk assumption may be a sacrifice the Basel Committee is willing to make in order to amplify the effects of liquidity in a value-at-risk based capital charge. In fact, it is highly unlikely that the constant level of risk structure, as set forth in the current proposal of incremental risk model guidelines, will be changed before the finalization of these guidelines.</w:t>
      </w: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3.2.6</w:t>
      </w:r>
      <w:r w:rsidRPr="00802C03">
        <w:rPr>
          <w:rFonts w:ascii="Garamond" w:hAnsi="Garamond"/>
          <w:b/>
          <w:color w:val="000000"/>
          <w:lang w:val="en-GB"/>
        </w:rPr>
        <w:tab/>
      </w:r>
      <w:bookmarkStart w:id="90" w:name="S326"/>
      <w:bookmarkEnd w:id="90"/>
      <w:r w:rsidRPr="00802C03">
        <w:rPr>
          <w:rFonts w:ascii="Garamond" w:hAnsi="Garamond"/>
          <w:b/>
          <w:color w:val="000000"/>
          <w:lang w:val="en-GB"/>
        </w:rPr>
        <w:t>Additional Valuation Assumptions</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valuation procedure in the simulation model dependents on a number of assumptions as well. The most imperative of these assumptions obviously is the forward valuation assumption. The forward valuation procedure, as proposed in the CreditMetrics model, relies on the predictive power of the forward rates. However, the forward interest rate in general only has to be in accordance with a no arbitrage condition, to connect interest rates of different maturities. In addition, theory implies that it should, at least to some extent, display the market expectation of the interest rate in between those maturities as well. Although it has often been demonstrated that the forward rate contains information about that upcoming interest rate, it is by no means believed to be a perfect predictor. Term premia and liquidity premia, which are part of the forward rate as well, are the main reasons for the limited forecasting power.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case of the forward credit yield curve, generally the same applies. Although the no arbitrage condition does not actually apply anymore, as yields are artificial constructs (i.e. one does not directly receive the yield in bond investment), term premium effects and especially liquidity effects are extremely likely to be present in credit markets and corresponding credit yield curves. Consequently, forward credit yields may not perform well as predictors of the credit yields of the subsequent period or later periods. Especially in periods of financial turmoil, liquidity and term effects can become substantial. The recent credit crisis is an excellent example of a demonstration of the large liquidity effects in credit markets. Hence, the forecasting power of the forward credit curves during times of financial turbulence, and to some extent in general as well, is one of the major weaknesses in the CreditMetrics model and consequently also in the proposed incremental risk model.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Another troubling aspect that emerges here is that liquidity is accounted for twice in the model. It is handled explicitly through the constant risk assumption and the incorporated liquidity horizons, but is it also implicitly handled in the utilization of the credit yield curves. One might argue that a solution to this complication is to attempt to circumvent the use of credit yield curves. Nevertheless, credit curves form an integral part of the valuation process in the model, but also in general in the pricing of credit products. Circumventing their use may not be impossible, but it certainly will result in numerous additional issues. It may be easier and more valid to attempt to correct for the liquidity effect in the credit yield curves.</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Frutiger 47LightCn"/>
          <w:color w:val="000000"/>
          <w:lang w:val="en-GB"/>
        </w:rPr>
      </w:pPr>
      <w:r w:rsidRPr="00802C03">
        <w:rPr>
          <w:rFonts w:ascii="Garamond" w:hAnsi="Garamond" w:cs="Frutiger 47LightCn"/>
          <w:color w:val="000000"/>
          <w:lang w:val="en-GB"/>
        </w:rPr>
        <w:t xml:space="preserve">A second point of attention in the credit yield forward valuation process is the type of credit yield curves that are applied. In the model estimations, one credit yield curve is employed for each credit rating for all positions (see </w:t>
      </w:r>
      <w:hyperlink w:anchor="SA4" w:history="1">
        <w:r w:rsidRPr="00802C03">
          <w:rPr>
            <w:rStyle w:val="Hyperlink"/>
            <w:rFonts w:ascii="Garamond" w:hAnsi="Garamond" w:cs="Frutiger 47LightCn"/>
            <w:color w:val="000066"/>
            <w:u w:val="none"/>
            <w:lang w:val="en-GB"/>
          </w:rPr>
          <w:t>appendix A.4</w:t>
        </w:r>
      </w:hyperlink>
      <w:r w:rsidRPr="00802C03">
        <w:rPr>
          <w:rFonts w:ascii="Garamond" w:hAnsi="Garamond" w:cs="Frutiger 47LightCn"/>
          <w:color w:val="000000"/>
          <w:lang w:val="en-GB"/>
        </w:rPr>
        <w:t>). The unrealistic assumption that all positions can be valued with equivalent credit yield curves is implicitly made here. An obvious improvement to this procedure is to employ different curves per credit rating for each industry to generate a more specified valuation of the different positions in the portfolio. Nevertheless, difficulties emerge in this approach since many industries have a limited number of curves available on Bloomberg Professional or Thomson Datastream. In essence, for each industry, the curves corresponding to all seven credit ratings are required, which makes this more detailed approach probably not feasible for research of this kind. Banks, however, do have much more specific and detailed information privately available. Therefore, most banks will almost certainly use a more detailed credit yield curves/spreads specification in their incremental risk model, which will deliver a substantial model improvement.</w:t>
      </w:r>
    </w:p>
    <w:p w:rsidR="001C7C52" w:rsidRPr="00802C03" w:rsidRDefault="001C7C52" w:rsidP="001F0514">
      <w:pPr>
        <w:spacing w:line="160" w:lineRule="exact"/>
        <w:jc w:val="both"/>
        <w:rPr>
          <w:rFonts w:ascii="Garamond" w:hAnsi="Garamond" w:cs="Frutiger 47LightCn"/>
          <w:color w:val="000000"/>
          <w:lang w:val="en-GB"/>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 third point of attention in the valuation model is the forward rate accrual assumption. In summary, this assumption specifies the accrual rate at which losses or gains that occur before the end of the capital horizon should be pushed into the future to the end of the capital horizon. As already stated in the valuation description in </w:t>
      </w:r>
      <w:hyperlink w:anchor="S132" w:history="1">
        <w:r w:rsidRPr="00802C03">
          <w:rPr>
            <w:rStyle w:val="Hyperlink"/>
            <w:rFonts w:ascii="Garamond" w:hAnsi="Garamond" w:cs="NimbusRomNo9L-Regu"/>
            <w:color w:val="000066"/>
            <w:u w:val="none"/>
            <w:lang w:val="en-GB" w:eastAsia="nl-NL"/>
          </w:rPr>
          <w:t>Part I section 1.3.2</w:t>
        </w:r>
      </w:hyperlink>
      <w:r w:rsidRPr="00802C03">
        <w:rPr>
          <w:rFonts w:ascii="Garamond" w:hAnsi="Garamond" w:cs="NimbusRomNo9L-Regu"/>
          <w:lang w:val="en-GB" w:eastAsia="nl-NL"/>
        </w:rPr>
        <w:t xml:space="preserve">, there are three potential candidates: (1) the relevant forward credit yield of the initial credit rating of the position, (2) the relevant forward risk free rate (see </w:t>
      </w:r>
      <w:hyperlink w:anchor="Footnote15" w:history="1">
        <w:r w:rsidRPr="00802C03">
          <w:rPr>
            <w:rStyle w:val="Hyperlink"/>
            <w:rFonts w:ascii="Garamond" w:hAnsi="Garamond" w:cs="NimbusRomNo9L-Regu"/>
            <w:color w:val="000066"/>
            <w:u w:val="none"/>
            <w:lang w:val="en-GB" w:eastAsia="nl-NL"/>
          </w:rPr>
          <w:t>Part I section 1.3.2, footnote 15</w:t>
        </w:r>
      </w:hyperlink>
      <w:r w:rsidRPr="00802C03">
        <w:rPr>
          <w:rFonts w:ascii="Garamond" w:hAnsi="Garamond" w:cs="NimbusRomNo9L-Regu"/>
          <w:lang w:val="en-GB" w:eastAsia="nl-NL"/>
        </w:rPr>
        <w:t>) and (3) a value-weighted average of the relevant forward credit yields.</w:t>
      </w:r>
      <w:r w:rsidRPr="00802C03">
        <w:rPr>
          <w:rStyle w:val="FootnoteReference"/>
          <w:rFonts w:ascii="Garamond" w:hAnsi="Garamond" w:cs="NimbusRomNo9L-Regu"/>
          <w:lang w:val="en-GB" w:eastAsia="nl-NL"/>
        </w:rPr>
        <w:footnoteReference w:id="81"/>
      </w:r>
      <w:r w:rsidRPr="00802C03">
        <w:rPr>
          <w:rFonts w:ascii="Garamond" w:hAnsi="Garamond" w:cs="NimbusRomNo9L-Regu"/>
          <w:lang w:val="en-GB" w:eastAsia="nl-NL"/>
        </w:rPr>
        <w:t xml:space="preserve"> The first of the three is applied in the model estimations (the motivation underlying this decision is given in the valuation description).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One must realize, however, that when this assumption is changed the model estimation results change as well. The application of the (value-weighted) average forward credit yield, for example, implies that for each gain or loss an equal accrual rate is applied, independent of the credit rating of the position. Such a valuation assumption may be appealing a portfolio context, but its use will result in less conservative model implied risk estimates. Basically, the application of the forward yield of the initial credit rating of the position indicates that higher accrual rates are employed for the lower rated positions, which are most likely to default or to generate losses (these positions are subject to higher downgrade probabilities in the credit migration matrix). In this setting, the losses of lower rated positions before the end of the capital horizon are enlarged with a relatively high rate in the portfolio valuation at the end of the capital horizon, as a result of to their low initial credit rating. Consequently, the positions that are most likely to generate losses receive the most conservative forward accrual valuation treatment.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the comparison of the average forward credit yield accrual assumption relative to the use of the forward credit yields of initial credit rating, it is evident that the use of the average forward credit yield will result in lower simulated losses at the end of the capital horizon, since it implies that </w:t>
      </w:r>
      <w:r>
        <w:rPr>
          <w:rFonts w:ascii="Garamond" w:hAnsi="Garamond" w:cs="NimbusRomNo9L-Regu"/>
          <w:lang w:val="en-GB" w:eastAsia="nl-NL"/>
        </w:rPr>
        <w:t>an identical</w:t>
      </w:r>
      <w:r w:rsidRPr="00802C03">
        <w:rPr>
          <w:rFonts w:ascii="Garamond" w:hAnsi="Garamond" w:cs="NimbusRomNo9L-Regu"/>
          <w:lang w:val="en-GB" w:eastAsia="nl-NL"/>
        </w:rPr>
        <w:t xml:space="preserve"> forward accrual treatment is used for each position, even though lower rated positions may generate more losses. This applies even more to the possible application of the forward risk free rate, as in such a setting possible losses that occur before the end of the capital horizon all accrue at the lowest possible rate, yielding the least conservative risk estimates of the three accrual rate assumptions. Notice that the effect of changing this assumption in the model estimations is likely to result in a relatively smaller decrease in the model’s risk measures in the long-short portfolio, since again the effects are partially cancelled out by the short positions in the portfolio.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Furthermore, the issue discussed here applies in general in the development of an incremental risk model. Rebalancing will occur in an actual incremental risk model therefore a forward accrual rate must be specified. As pointed out, the selection of this forward accrual rate is less straightforward is it looks at first sight. Also note that changing the forward accrual rate assumption is not likely to distort any of the interpretations and conclusions drawn in </w:t>
      </w:r>
      <w:hyperlink w:anchor="C4_Part3" w:history="1">
        <w:r w:rsidRPr="00802C03">
          <w:rPr>
            <w:rStyle w:val="Hyperlink"/>
            <w:rFonts w:ascii="Garamond" w:hAnsi="Garamond" w:cs="NimbusRomNo9L-Regu"/>
            <w:color w:val="000066"/>
            <w:u w:val="none"/>
            <w:lang w:val="en-GB" w:eastAsia="nl-NL"/>
          </w:rPr>
          <w:t>Part III</w:t>
        </w:r>
      </w:hyperlink>
      <w:r w:rsidRPr="00802C03">
        <w:rPr>
          <w:rFonts w:ascii="Garamond" w:hAnsi="Garamond" w:cs="NimbusRomNo9L-Regu"/>
          <w:lang w:val="en-GB" w:eastAsia="nl-NL"/>
        </w:rPr>
        <w:t>, since all model estimations will be affected in very similar ways. Hence, the relative differences between the presented VaR-estimates will remain approximately equal, while it are these relative differences that constitute the basis underlying the interpretations and conclusions.</w:t>
      </w:r>
      <w:r w:rsidRPr="00802C03">
        <w:rPr>
          <w:rStyle w:val="FootnoteReference"/>
          <w:rFonts w:ascii="Garamond" w:hAnsi="Garamond" w:cs="NimbusRomNo9L-Regu"/>
          <w:lang w:val="en-GB" w:eastAsia="nl-NL"/>
        </w:rPr>
        <w:footnoteReference w:id="82"/>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One final valuation assumption or complication in the proposed model deserves some attention in this assessment. This complication concerns the possibility of default and rebalancing before the end of a single-period. Notice that in a four-period model a single position can default four times, while in a twelve-period model, for example, a single position can default twelve times. This apparent inconsistency is largely cancelled out by the obvious fact that the default probability of a given rating class for a single-period in twelve-period model is much lower than the default probability of the same rating class in a single-period in a four-period model. The real complication generated by these two aspects is that a default probability in the multi-period model also captures the possibility of default before the end of a single-period. Nevertheless, in the simulation model the loss always materializes at the end of the single-period, since rebalancing is initiated that point in time. Consequently, when the default hypothetically occurs before the end of the single-period, that particular loss is to some extent underestimated, as a slightly too low forward accrual rate is used to carry the loss to the end of the capital horizon. The loss is essentially taken at a later point in time, resulting in a too short accrual period. From another perspective, since the position is effectively left in the default state in the period of time before rebalancing, it carries no risk in that period, resulting in a slight underestimation of the model implied risk. The effects of these two complications are highly likely to be only marginal. Nevertheless, valuation inconsistencies of this kind must be recognized in the assessment of the proposed incremental risk model. A correction for the effects should be derivable, but that is beyond the scope of this study. Even though the effect is likely to be very small, a correction is an obvious suggestion for improvement.</w:t>
      </w:r>
    </w:p>
    <w:p w:rsidR="001C7C52" w:rsidRPr="00802C03" w:rsidRDefault="001C7C52" w:rsidP="001F0514">
      <w:pPr>
        <w:tabs>
          <w:tab w:val="left" w:pos="0"/>
        </w:tabs>
        <w:spacing w:after="120" w:line="280" w:lineRule="exact"/>
        <w:ind w:hanging="567"/>
        <w:jc w:val="both"/>
        <w:rPr>
          <w:rFonts w:ascii="Garamond" w:hAnsi="Garamond"/>
          <w:b/>
          <w:color w:val="000000"/>
          <w:lang w:val="en-GB"/>
        </w:rPr>
      </w:pPr>
      <w:r w:rsidRPr="00802C03">
        <w:rPr>
          <w:rFonts w:ascii="Garamond" w:hAnsi="Garamond"/>
          <w:b/>
          <w:color w:val="000000"/>
          <w:lang w:val="en-GB"/>
        </w:rPr>
        <w:t>3.2.7</w:t>
      </w:r>
      <w:r w:rsidRPr="00802C03">
        <w:rPr>
          <w:rFonts w:ascii="Garamond" w:hAnsi="Garamond"/>
          <w:b/>
          <w:color w:val="000000"/>
          <w:lang w:val="en-GB"/>
        </w:rPr>
        <w:tab/>
      </w:r>
      <w:bookmarkStart w:id="91" w:name="S327"/>
      <w:bookmarkEnd w:id="91"/>
      <w:r w:rsidRPr="00802C03">
        <w:rPr>
          <w:rFonts w:ascii="Garamond" w:hAnsi="Garamond"/>
          <w:b/>
          <w:color w:val="000000"/>
          <w:lang w:val="en-GB"/>
        </w:rPr>
        <w:t>The Position of the Incremental Risk Model within the Basel II Framework</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Apart of the model specific assessment of the effect of inputs, assumption and other model specifications, there is one last much more general aspect of the incremental risk model that is worth discussing. This aspect concerns the position of the incremental risk model or its resulting Incremental Risk Capital Charge within the Basel II Market Risk Framework. In this study, a statistically defined default and migration risk model was developed to produce a stylized example of an incremental risk model. In that sense, the resulting credit VaR-based Incremental Risk Capital Charge on itself is a statistically defined concept. Nonetheless, it is only a single part of the eventual market risk capital charge that is based on the Basel II Market Risk Framework. To assess what the eventual position of the incremental risk model is within the Market Risk Framework, and more importantly what the overall intuition of the complete Market Risk Framework is, a decomposition is required of the definition of market risk capital into its separate components.</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The incremental risk model and its resulting Incremental Risk Capital Charge are part of the specific risk charge of the Basel II Market Risk Framework. The proposed revisions to the Market Risk Framework set forth a framework that is based on four different components (</w:t>
      </w:r>
      <w:hyperlink w:anchor="BCBS_2009b" w:history="1">
        <w:r w:rsidRPr="00802C03">
          <w:rPr>
            <w:rStyle w:val="Hyperlink"/>
            <w:rFonts w:ascii="Garamond" w:hAnsi="Garamond" w:cs="NimbusRomNo9L-Regu"/>
            <w:color w:val="000066"/>
            <w:u w:val="none"/>
            <w:lang w:val="en-GB" w:eastAsia="nl-NL"/>
          </w:rPr>
          <w:t>BCBS, 2009b</w:t>
        </w:r>
      </w:hyperlink>
      <w:r w:rsidRPr="00802C03">
        <w:rPr>
          <w:rFonts w:ascii="Garamond" w:hAnsi="Garamond" w:cs="NimbusRomNo9L-Regu"/>
          <w:color w:val="000000"/>
          <w:lang w:val="en-GB" w:eastAsia="nl-NL"/>
        </w:rPr>
        <w:t>). The first is the traditional ten-day 99% VaR based on the bank’s market risk VaR model. The second component is the newly proposed stressed ten-day 99% VaR, which is roughly equivalent to the traditional ten-day 99% VaR conditioned to a year of economic turmoil. The sum of these two ten-day 99% VaR measures, although both subject to different multipliers, constitute the general risk charge.</w:t>
      </w:r>
      <w:r w:rsidRPr="00802C03">
        <w:rPr>
          <w:rStyle w:val="FootnoteReference"/>
          <w:rFonts w:ascii="Garamond" w:hAnsi="Garamond" w:cs="NimbusRomNo9L-Regu"/>
          <w:color w:val="000000"/>
          <w:lang w:val="en-GB" w:eastAsia="nl-NL"/>
        </w:rPr>
        <w:footnoteReference w:id="83"/>
      </w:r>
      <w:r w:rsidRPr="00802C03">
        <w:rPr>
          <w:rFonts w:ascii="Garamond" w:hAnsi="Garamond" w:cs="NimbusRomNo9L-Regu"/>
          <w:color w:val="000000"/>
          <w:lang w:val="en-GB" w:eastAsia="nl-NL"/>
        </w:rPr>
        <w:t xml:space="preserve"> The specific risk charge is comprised of the third component, the Incremental Risk Capital Charge based on the one-year 99.9% incremental risk model VaR, and the last component, which contains the remainder of the specific risk charge. The remainder of the specific risk charge predominantly comprises the standardized specific risk charges for securitization and re-securitization exposures and capital charges for equity issuer risk.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Apart from some standardized specific risk charges, all components of the Basel II Market Risk Framework are statistical definitions. Nevertheless, the definition of market risk capital is simply the sum of the four different components. This simple definition is exactly where the largest problem of the entire framework lies. </w:t>
      </w:r>
      <w:hyperlink w:anchor="Finger_2009" w:history="1">
        <w:r w:rsidRPr="00802C03">
          <w:rPr>
            <w:rStyle w:val="Hyperlink"/>
            <w:rFonts w:ascii="Garamond" w:hAnsi="Garamond" w:cs="NimbusRomNo9L-Regu"/>
            <w:color w:val="000066"/>
            <w:u w:val="none"/>
            <w:lang w:val="en-GB" w:eastAsia="nl-NL"/>
          </w:rPr>
          <w:t>Finger (2009)</w:t>
        </w:r>
      </w:hyperlink>
      <w:r w:rsidRPr="00802C03">
        <w:rPr>
          <w:rFonts w:ascii="Garamond" w:hAnsi="Garamond" w:cs="NimbusRomNo9L-Regu"/>
          <w:lang w:val="en-GB" w:eastAsia="nl-NL"/>
        </w:rPr>
        <w:t>,</w:t>
      </w:r>
      <w:r w:rsidRPr="00802C03">
        <w:rPr>
          <w:rFonts w:ascii="Garamond" w:hAnsi="Garamond" w:cs="NimbusRomNo9L-Regu"/>
          <w:color w:val="000000"/>
          <w:lang w:val="en-GB" w:eastAsia="nl-NL"/>
        </w:rPr>
        <w:t xml:space="preserve"> in his assessment of the incremental risk model, addresses this critical aspect as a recipe for trouble. His criticizes the new capital rules since the individual components tease with the illusion of precision, and yet the final aggregated number, the market risk capital definition, is nothing more than recipe. This lack of meaning in the overarching market risk capital concept has also been a constant complaint in the industry comments to the previous incremental risk model proposals (</w:t>
      </w:r>
      <w:hyperlink w:anchor="BCBS_2007" w:history="1">
        <w:r w:rsidRPr="00802C03">
          <w:rPr>
            <w:rStyle w:val="Hyperlink"/>
            <w:rFonts w:ascii="Garamond" w:hAnsi="Garamond" w:cs="NimbusRomNo9L-Regu"/>
            <w:color w:val="000066"/>
            <w:u w:val="none"/>
            <w:lang w:val="en-GB" w:eastAsia="nl-NL"/>
          </w:rPr>
          <w:t>BCBS, 2007</w:t>
        </w:r>
      </w:hyperlink>
      <w:r>
        <w:rPr>
          <w:rFonts w:ascii="Garamond" w:hAnsi="Garamond" w:cs="NimbusRomNo9L-Regu"/>
          <w:color w:val="000000"/>
          <w:lang w:val="en-GB" w:eastAsia="nl-NL"/>
        </w:rPr>
        <w:t>,</w:t>
      </w:r>
      <w:r w:rsidRPr="00802C03">
        <w:rPr>
          <w:rFonts w:ascii="Garamond" w:hAnsi="Garamond" w:cs="NimbusRomNo9L-Regu"/>
          <w:color w:val="000000"/>
          <w:lang w:val="en-GB" w:eastAsia="nl-NL"/>
        </w:rPr>
        <w:t xml:space="preserve"> </w:t>
      </w:r>
      <w:hyperlink w:anchor="BCBS_2008a" w:history="1">
        <w:r w:rsidRPr="00802C03">
          <w:rPr>
            <w:rStyle w:val="Hyperlink"/>
            <w:rFonts w:ascii="Garamond" w:hAnsi="Garamond" w:cs="NimbusRomNo9L-Regu"/>
            <w:color w:val="000066"/>
            <w:u w:val="none"/>
            <w:lang w:val="en-GB" w:eastAsia="nl-NL"/>
          </w:rPr>
          <w:t>2008a</w:t>
        </w:r>
      </w:hyperlink>
      <w:r w:rsidRPr="00802C03">
        <w:rPr>
          <w:rFonts w:ascii="Garamond" w:hAnsi="Garamond" w:cs="NimbusRomNo9L-Regu"/>
          <w:color w:val="000000"/>
          <w:lang w:val="en-GB" w:eastAsia="nl-NL"/>
        </w:rPr>
        <w:t xml:space="preserve">). Basically, all the individual models are devised to address specific risks in statistically meaningful ways, but the eventual market risk capital charge has no real statistical relevance. The sum of two ten-day 99% market risk VaR measures, which are both subject to multiplication factors, and a one-year 99.9% credit VaR has no statistical meaning and then the remaining specific risk charges are even ignored.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Some statistical consistency can be obtained from the fact that under the Gaussian assumption and the standard square root time scaling rule, a ten-day 99% VaR multiplied by three (the multiplication factor) is roughly equivalent to a sixty-day 99.9% VaR. Sixty days is a very reasonable risk horizon in a trading environment according to </w:t>
      </w:r>
      <w:hyperlink w:anchor="Finger_2009" w:history="1">
        <w:r w:rsidRPr="00802C03">
          <w:rPr>
            <w:rStyle w:val="Hyperlink"/>
            <w:rFonts w:ascii="Garamond" w:hAnsi="Garamond" w:cs="NimbusRomNo9L-Regu"/>
            <w:color w:val="000066"/>
            <w:u w:val="none"/>
            <w:lang w:val="en-GB" w:eastAsia="nl-NL"/>
          </w:rPr>
          <w:t>Finger (2009)</w:t>
        </w:r>
      </w:hyperlink>
      <w:r w:rsidRPr="00802C03">
        <w:rPr>
          <w:rFonts w:ascii="Garamond" w:hAnsi="Garamond" w:cs="NimbusRomNo9L-Regu"/>
          <w:color w:val="000000"/>
          <w:lang w:val="en-GB" w:eastAsia="nl-NL"/>
        </w:rPr>
        <w:t xml:space="preserve">. Consequently, the market risk capital definition simplifies to the sum of three different 99.9% VaR measures. Then following the Basel intuition, the most conservative measure here should be the sum of the three measures. Nevertheless, as explained in </w:t>
      </w:r>
      <w:hyperlink w:anchor="Breuer_et_al_2008" w:history="1">
        <w:r w:rsidRPr="00802C03">
          <w:rPr>
            <w:rStyle w:val="Hyperlink"/>
            <w:rFonts w:ascii="Garamond" w:hAnsi="Garamond" w:cs="NimbusRomNo9L-Regu"/>
            <w:color w:val="000066"/>
            <w:u w:val="none"/>
            <w:lang w:val="en-GB" w:eastAsia="nl-NL"/>
          </w:rPr>
          <w:t>Breuer et al. (2008)</w:t>
        </w:r>
      </w:hyperlink>
      <w:r w:rsidRPr="00802C03">
        <w:rPr>
          <w:rFonts w:ascii="Garamond" w:hAnsi="Garamond" w:cs="NimbusRomNo9L-Regu"/>
          <w:color w:val="000000"/>
          <w:lang w:val="en-GB" w:eastAsia="nl-NL"/>
        </w:rPr>
        <w:t>, just adding up the risk measures arising from different sorts of risks does not necessarily generate the most conservative answer. In essence, risk measures resulting from the behavio</w:t>
      </w:r>
      <w:r>
        <w:rPr>
          <w:rFonts w:ascii="Garamond" w:hAnsi="Garamond" w:cs="NimbusRomNo9L-Regu"/>
          <w:color w:val="000000"/>
          <w:lang w:val="en-GB" w:eastAsia="nl-NL"/>
        </w:rPr>
        <w:t>u</w:t>
      </w:r>
      <w:r w:rsidRPr="00802C03">
        <w:rPr>
          <w:rFonts w:ascii="Garamond" w:hAnsi="Garamond" w:cs="NimbusRomNo9L-Regu"/>
          <w:color w:val="000000"/>
          <w:lang w:val="en-GB" w:eastAsia="nl-NL"/>
        </w:rPr>
        <w:t>r of simple models may add in simple ways and therefore the proposed recipe will behave as desired, yet the danger is that it is unclear what will happen under more complex realistic models. The behavio</w:t>
      </w:r>
      <w:r>
        <w:rPr>
          <w:rFonts w:ascii="Garamond" w:hAnsi="Garamond" w:cs="NimbusRomNo9L-Regu"/>
          <w:color w:val="000000"/>
          <w:lang w:val="en-GB" w:eastAsia="nl-NL"/>
        </w:rPr>
        <w:t>u</w:t>
      </w:r>
      <w:r w:rsidRPr="00802C03">
        <w:rPr>
          <w:rFonts w:ascii="Garamond" w:hAnsi="Garamond" w:cs="NimbusRomNo9L-Regu"/>
          <w:color w:val="000000"/>
          <w:lang w:val="en-GB" w:eastAsia="nl-NL"/>
        </w:rPr>
        <w:t>r of simple recipes, like the multiplication of a 99% VaR measure by three, the multiplication factor, is easy to approach in new circumstances. Conversely, the behavio</w:t>
      </w:r>
      <w:r>
        <w:rPr>
          <w:rFonts w:ascii="Garamond" w:hAnsi="Garamond" w:cs="NimbusRomNo9L-Regu"/>
          <w:color w:val="000000"/>
          <w:lang w:val="en-GB" w:eastAsia="nl-NL"/>
        </w:rPr>
        <w:t>u</w:t>
      </w:r>
      <w:r w:rsidRPr="00802C03">
        <w:rPr>
          <w:rFonts w:ascii="Garamond" w:hAnsi="Garamond" w:cs="NimbusRomNo9L-Regu"/>
          <w:color w:val="000000"/>
          <w:lang w:val="en-GB" w:eastAsia="nl-NL"/>
        </w:rPr>
        <w:t>r of a complicated recipe, like the sum of multiple to a large extend inconsistently defined VaR measures, in a new environment is impossible to approach (</w:t>
      </w:r>
      <w:hyperlink w:anchor="Finger_2009" w:history="1">
        <w:r w:rsidRPr="00802C03">
          <w:rPr>
            <w:rStyle w:val="Hyperlink"/>
            <w:rFonts w:ascii="Garamond" w:hAnsi="Garamond" w:cs="NimbusRomNo9L-Regu"/>
            <w:color w:val="000066"/>
            <w:u w:val="none"/>
            <w:lang w:val="en-GB" w:eastAsia="nl-NL"/>
          </w:rPr>
          <w:t>Finger, 2009</w:t>
        </w:r>
      </w:hyperlink>
      <w:r w:rsidRPr="00802C03">
        <w:rPr>
          <w:rFonts w:ascii="Garamond" w:hAnsi="Garamond" w:cs="NimbusRomNo9L-Regu"/>
          <w:color w:val="000000"/>
          <w:lang w:val="en-GB" w:eastAsia="nl-NL"/>
        </w:rPr>
        <w:t>).</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Finger’s critique may not directly be relevant to the market risk capital context surrounding the stylized incremental risk model that is produced in this study, but it unquestionably applies in general. The main message is: Why bother to derive complex models to approach precise statistical definitions when the eventual overarching concept has no statistical relevance and cannot even be justified under the argument of conservatism? Moreover, why does a framework which is initially based on risk management purposes does not produce an ultimate concept that is truly meaningful in actual risk management? Note that this critique is not just relevant under the unrealistic assumption that a 99.9% VaR measure can be estimated accurately, but its true relevance lies in to the violation of the Basel Committee’s concept of conservatism. In this context, it is perhaps more constructive to strive for a larger coherent overarching model, as proposed by JPMorgan Chase &amp; Co. (</w:t>
      </w:r>
      <w:hyperlink w:anchor="Gilbert_2009" w:history="1">
        <w:r w:rsidRPr="00802C03">
          <w:rPr>
            <w:rStyle w:val="Hyperlink"/>
            <w:rFonts w:ascii="Garamond" w:hAnsi="Garamond" w:cs="NimbusRomNo9L-Regu"/>
            <w:color w:val="000066"/>
            <w:u w:val="none"/>
            <w:lang w:val="en-GB" w:eastAsia="nl-NL"/>
          </w:rPr>
          <w:t>Gilbert, 2009</w:t>
        </w:r>
      </w:hyperlink>
      <w:r w:rsidRPr="00802C03">
        <w:rPr>
          <w:rFonts w:ascii="Garamond" w:hAnsi="Garamond" w:cs="NimbusRomNo9L-Regu"/>
          <w:color w:val="000000"/>
          <w:lang w:val="en-GB" w:eastAsia="nl-NL"/>
        </w:rPr>
        <w:t>) and Goldman Sachs (</w:t>
      </w:r>
      <w:hyperlink w:anchor="Charnley_2009" w:history="1">
        <w:r w:rsidRPr="00802C03">
          <w:rPr>
            <w:rStyle w:val="Hyperlink"/>
            <w:rFonts w:ascii="Garamond" w:hAnsi="Garamond" w:cs="NimbusRomNo9L-Regu"/>
            <w:color w:val="000066"/>
            <w:u w:val="none"/>
            <w:lang w:val="en-GB" w:eastAsia="nl-NL"/>
          </w:rPr>
          <w:t>Charnley, 2009</w:t>
        </w:r>
      </w:hyperlink>
      <w:r w:rsidRPr="00802C03">
        <w:rPr>
          <w:rFonts w:ascii="Garamond" w:hAnsi="Garamond" w:cs="NimbusRomNo9L-Regu"/>
          <w:color w:val="000000"/>
          <w:lang w:val="en-GB" w:eastAsia="nl-NL"/>
        </w:rPr>
        <w:t>), than maintaining a slowly growing bundle of independent models that assess interacting risks. Herein, one cannot expect that such a larger model would yield the correct risk measure estimates with the required precision at once, but it is the general objective that is important here. The implementation of newly proposed revisions to the Basel II Market Risk Framework to some extent translates more into the old Market Risk Framework plus an additional credit crisis add-on, than that it pursuits to a better understanding of the management of the risks in the trading book. Nevertheless, even such a credit crisis add-on is justified in the light of the burden the financial sector has placed on the global economy and the violation of the social responsibility it is alleged to have.</w:t>
      </w:r>
    </w:p>
    <w:p w:rsidR="001C7C52" w:rsidRPr="00802C03" w:rsidRDefault="001C7C52" w:rsidP="001F0514">
      <w:pPr>
        <w:spacing w:line="280" w:lineRule="exact"/>
        <w:jc w:val="both"/>
        <w:rPr>
          <w:rFonts w:ascii="Garamond" w:hAnsi="Garamond" w:cs="NimbusRomNo9L-Regu"/>
          <w:color w:val="000000"/>
          <w:lang w:val="en-GB" w:eastAsia="nl-NL"/>
        </w:rPr>
      </w:pPr>
    </w:p>
    <w:p w:rsidR="001C7C52" w:rsidRPr="00802C03" w:rsidRDefault="001C7C52">
      <w:pPr>
        <w:overflowPunct/>
        <w:autoSpaceDE/>
        <w:autoSpaceDN/>
        <w:adjustRightInd/>
        <w:spacing w:line="240" w:lineRule="auto"/>
        <w:textAlignment w:val="auto"/>
        <w:rPr>
          <w:rFonts w:ascii="Garamond" w:hAnsi="Garamond" w:cs="NimbusRomNo9L-Regu"/>
          <w:color w:val="000000"/>
          <w:lang w:val="en-GB" w:eastAsia="nl-NL"/>
        </w:rPr>
      </w:pPr>
      <w:r w:rsidRPr="00802C03">
        <w:rPr>
          <w:rFonts w:ascii="Garamond" w:hAnsi="Garamond" w:cs="NimbusRomNo9L-Regu"/>
          <w:color w:val="000000"/>
          <w:lang w:val="en-GB" w:eastAsia="nl-NL"/>
        </w:rPr>
        <w:br w:type="page"/>
      </w:r>
    </w:p>
    <w:p w:rsidR="001C7C52" w:rsidRPr="00802C03" w:rsidRDefault="001C7C52" w:rsidP="001F0514">
      <w:pPr>
        <w:spacing w:line="280" w:lineRule="exact"/>
        <w:jc w:val="both"/>
        <w:rPr>
          <w:rFonts w:ascii="Garamond" w:hAnsi="Garamond" w:cs="NimbusRomNo9L-Regu"/>
          <w:color w:val="000000"/>
          <w:lang w:val="en-GB" w:eastAsia="nl-NL"/>
        </w:rPr>
        <w:sectPr w:rsidR="001C7C52" w:rsidRPr="00802C03" w:rsidSect="00FC23CC">
          <w:headerReference w:type="even" r:id="rId1428"/>
          <w:type w:val="continuous"/>
          <w:pgSz w:w="11906" w:h="16838"/>
          <w:pgMar w:top="1247" w:right="1247" w:bottom="1247" w:left="1247" w:header="907" w:footer="907" w:gutter="0"/>
          <w:cols w:space="708"/>
          <w:titlePg/>
          <w:docGrid w:linePitch="360"/>
        </w:sectPr>
      </w:pPr>
    </w:p>
    <w:tbl>
      <w:tblPr>
        <w:tblW w:w="10708" w:type="dxa"/>
        <w:tblInd w:w="-1276" w:type="dxa"/>
        <w:tblCellMar>
          <w:left w:w="0" w:type="dxa"/>
          <w:right w:w="0" w:type="dxa"/>
        </w:tblCellMar>
        <w:tblLook w:val="00A0"/>
      </w:tblPr>
      <w:tblGrid>
        <w:gridCol w:w="1276"/>
        <w:gridCol w:w="20"/>
        <w:gridCol w:w="9392"/>
        <w:gridCol w:w="20"/>
      </w:tblGrid>
      <w:tr w:rsidR="001C7C52" w:rsidRPr="00802C03" w:rsidTr="002E2E49">
        <w:trPr>
          <w:gridAfter w:val="1"/>
          <w:wAfter w:w="20" w:type="dxa"/>
        </w:trPr>
        <w:tc>
          <w:tcPr>
            <w:tcW w:w="1276" w:type="dxa"/>
          </w:tcPr>
          <w:p w:rsidR="001C7C52" w:rsidRPr="002E2E49" w:rsidRDefault="001C7C52" w:rsidP="002E2E49">
            <w:pPr>
              <w:spacing w:line="280" w:lineRule="exact"/>
              <w:rPr>
                <w:rFonts w:ascii="Garamond" w:hAnsi="Garamond"/>
                <w:lang w:val="en-GB"/>
              </w:rPr>
            </w:pPr>
          </w:p>
        </w:tc>
        <w:tc>
          <w:tcPr>
            <w:tcW w:w="9412" w:type="dxa"/>
            <w:gridSpan w:val="2"/>
            <w:tcBorders>
              <w:bottom w:val="single" w:sz="4" w:space="0" w:color="auto"/>
            </w:tcBorders>
          </w:tcPr>
          <w:p w:rsidR="001C7C52" w:rsidRPr="002E2E49" w:rsidRDefault="001C7C52" w:rsidP="002E2E49">
            <w:pPr>
              <w:spacing w:line="280" w:lineRule="exact"/>
              <w:jc w:val="center"/>
              <w:rPr>
                <w:rFonts w:ascii="Garamond" w:hAnsi="Garamond"/>
                <w:lang w:val="en-GB"/>
              </w:rPr>
            </w:pPr>
            <w:bookmarkStart w:id="92" w:name="C5_Conclusions"/>
            <w:bookmarkEnd w:id="92"/>
            <w:r w:rsidRPr="002E2E49">
              <w:rPr>
                <w:rFonts w:ascii="Garamond" w:hAnsi="Garamond" w:cs="NimbusRomNo9L-Regu"/>
                <w:b/>
                <w:sz w:val="30"/>
                <w:szCs w:val="30"/>
                <w:lang w:val="en-GB" w:eastAsia="nl-NL"/>
              </w:rPr>
              <w:t>C</w:t>
            </w:r>
            <w:r w:rsidRPr="002E2E49">
              <w:rPr>
                <w:rFonts w:ascii="Garamond" w:hAnsi="Garamond" w:cs="NimbusRomNo9L-Regu"/>
                <w:b/>
                <w:sz w:val="24"/>
                <w:szCs w:val="24"/>
                <w:lang w:val="en-GB" w:eastAsia="nl-NL"/>
              </w:rPr>
              <w:t>ONCLUSIONS</w:t>
            </w:r>
          </w:p>
        </w:tc>
      </w:tr>
      <w:tr w:rsidR="001C7C52" w:rsidRPr="00802C03" w:rsidTr="002E2E49">
        <w:tc>
          <w:tcPr>
            <w:tcW w:w="1276" w:type="dxa"/>
          </w:tcPr>
          <w:p w:rsidR="001C7C52" w:rsidRPr="002E2E49" w:rsidRDefault="001C7C52" w:rsidP="002E2E49">
            <w:pPr>
              <w:spacing w:line="40" w:lineRule="exact"/>
              <w:rPr>
                <w:rFonts w:ascii="Garamond" w:hAnsi="Garamond"/>
                <w:lang w:val="en-GB"/>
              </w:rPr>
            </w:pPr>
          </w:p>
        </w:tc>
        <w:tc>
          <w:tcPr>
            <w:tcW w:w="20" w:type="dxa"/>
          </w:tcPr>
          <w:p w:rsidR="001C7C52" w:rsidRPr="002E2E49" w:rsidRDefault="001C7C52" w:rsidP="002E2E49">
            <w:pPr>
              <w:spacing w:line="40" w:lineRule="exact"/>
              <w:rPr>
                <w:rFonts w:ascii="Garamond" w:hAnsi="Garamond"/>
                <w:lang w:val="en-GB"/>
              </w:rPr>
            </w:pPr>
            <w:r>
              <w:rPr>
                <w:noProof/>
                <w:lang w:val="en-US"/>
              </w:rPr>
              <w:pict>
                <v:rect id="_x0000_s1123" style="position:absolute;margin-left:0;margin-top:-.3pt;width:470.65pt;height:1.15pt;z-index:-251650560;mso-position-horizontal-relative:text;mso-position-vertical-relative:text" fillcolor="black" stroked="f">
                  <v:fill rotate="t" angle="-90" focus="50%" type="gradient"/>
                </v:rect>
              </w:pict>
            </w:r>
          </w:p>
        </w:tc>
        <w:tc>
          <w:tcPr>
            <w:tcW w:w="9412" w:type="dxa"/>
            <w:gridSpan w:val="2"/>
          </w:tcPr>
          <w:p w:rsidR="001C7C52" w:rsidRPr="002E2E49" w:rsidRDefault="001C7C52" w:rsidP="002E2E49">
            <w:pPr>
              <w:spacing w:line="40" w:lineRule="exact"/>
              <w:rPr>
                <w:rFonts w:ascii="Garamond" w:hAnsi="Garamond"/>
                <w:lang w:val="en-GB"/>
              </w:rPr>
            </w:pPr>
          </w:p>
        </w:tc>
      </w:tr>
    </w:tbl>
    <w:p w:rsidR="001C7C52" w:rsidRPr="00802C03" w:rsidRDefault="001C7C52" w:rsidP="00D8319E">
      <w:pPr>
        <w:spacing w:line="280" w:lineRule="exact"/>
        <w:jc w:val="both"/>
        <w:rPr>
          <w:rFonts w:ascii="Garamond" w:hAnsi="Garamond" w:cs="NimbusRomNo9L-Regu"/>
          <w:color w:val="000000"/>
          <w:lang w:val="en-GB" w:eastAsia="nl-NL"/>
        </w:rPr>
      </w:pPr>
    </w:p>
    <w:p w:rsidR="001C7C52" w:rsidRPr="00D06E3E" w:rsidRDefault="001C7C52" w:rsidP="000B4128">
      <w:pPr>
        <w:keepNext/>
        <w:framePr w:dropCap="drop" w:lines="2" w:wrap="around" w:vAnchor="text" w:hAnchor="text"/>
        <w:spacing w:line="560" w:lineRule="exact"/>
        <w:jc w:val="both"/>
        <w:rPr>
          <w:rFonts w:ascii="Times New Roman" w:hAnsi="Times New Roman"/>
          <w:color w:val="000000"/>
          <w:position w:val="-6"/>
          <w:sz w:val="66"/>
          <w:szCs w:val="66"/>
          <w:lang w:val="en-GB" w:eastAsia="nl-NL"/>
        </w:rPr>
      </w:pPr>
      <w:r w:rsidRPr="00D06E3E">
        <w:rPr>
          <w:rFonts w:ascii="Times New Roman" w:hAnsi="Times New Roman"/>
          <w:color w:val="000000"/>
          <w:position w:val="-6"/>
          <w:sz w:val="66"/>
          <w:szCs w:val="66"/>
          <w:lang w:val="en-GB" w:eastAsia="nl-NL"/>
        </w:rPr>
        <w:t>T</w:t>
      </w:r>
    </w:p>
    <w:p w:rsidR="001C7C52" w:rsidRPr="00802C03" w:rsidRDefault="001C7C52" w:rsidP="00D8319E">
      <w:pPr>
        <w:spacing w:line="280" w:lineRule="exact"/>
        <w:jc w:val="both"/>
        <w:rPr>
          <w:rFonts w:ascii="Garamond" w:hAnsi="Garamond" w:cs="NimbusRomNo9L-Regu"/>
          <w:color w:val="000000"/>
          <w:lang w:val="en-GB" w:eastAsia="nl-NL"/>
        </w:rPr>
      </w:pPr>
      <w:r>
        <w:rPr>
          <w:rFonts w:ascii="Garamond" w:hAnsi="Garamond" w:cs="NimbusRomNo9L-Regu"/>
          <w:color w:val="000000"/>
          <w:lang w:val="en-GB" w:eastAsia="nl-NL"/>
        </w:rPr>
        <w:t xml:space="preserve">he main objectives of this study were to construct and evaluate an incremental risk model and its resulting Incremental Risk Capital Charge, as this newly introduced regulatory capital charge will become part of the Basel II Market Risk Framework in the near future. Hence, banks will be required to develop and utilize such a model in the computation of the minimum level of regulatory capital required for their trading book positions. Consistent with the context in which this new capital charge and its underlying model currently reside, </w:t>
      </w:r>
      <w:r w:rsidRPr="00802C03">
        <w:rPr>
          <w:rFonts w:ascii="Garamond" w:hAnsi="Garamond" w:cs="NimbusRomNo9L-Regu"/>
          <w:color w:val="000000"/>
          <w:lang w:val="en-GB" w:eastAsia="nl-NL"/>
        </w:rPr>
        <w:t>multiple potential implications of this study were identified</w:t>
      </w:r>
      <w:r>
        <w:rPr>
          <w:rFonts w:ascii="Garamond" w:hAnsi="Garamond" w:cs="NimbusRomNo9L-Regu"/>
          <w:color w:val="000000"/>
          <w:lang w:val="en-GB" w:eastAsia="nl-NL"/>
        </w:rPr>
        <w:t xml:space="preserve"> i</w:t>
      </w:r>
      <w:r w:rsidRPr="00802C03">
        <w:rPr>
          <w:rFonts w:ascii="Garamond" w:hAnsi="Garamond" w:cs="NimbusRomNo9L-Regu"/>
          <w:color w:val="000000"/>
          <w:lang w:val="en-GB" w:eastAsia="nl-NL"/>
        </w:rPr>
        <w:t xml:space="preserve">n the </w:t>
      </w:r>
      <w:hyperlink w:anchor="C1_Introduction" w:history="1">
        <w:r w:rsidRPr="00802C03">
          <w:rPr>
            <w:rStyle w:val="Hyperlink"/>
            <w:rFonts w:ascii="Garamond" w:hAnsi="Garamond" w:cs="NimbusRomNo9L-Regu"/>
            <w:color w:val="000066"/>
            <w:u w:val="none"/>
            <w:lang w:val="en-GB" w:eastAsia="nl-NL"/>
          </w:rPr>
          <w:t>introduction</w:t>
        </w:r>
      </w:hyperlink>
      <w:r w:rsidRPr="00802C03">
        <w:rPr>
          <w:rFonts w:ascii="Garamond" w:hAnsi="Garamond" w:cs="NimbusRomNo9L-Regu"/>
          <w:color w:val="000000"/>
          <w:lang w:val="en-GB" w:eastAsia="nl-NL"/>
        </w:rPr>
        <w:t xml:space="preserve">. A distinction between three related perspectives was made in this context as well: (1) regulation, (2) model development and (3) model validation. Herein, the most obvious perspective is model development. The entire study, comprising all aspects of the </w:t>
      </w:r>
      <w:r>
        <w:rPr>
          <w:rFonts w:ascii="Garamond" w:hAnsi="Garamond" w:cs="NimbusRomNo9L-Regu"/>
          <w:color w:val="000000"/>
          <w:lang w:val="en-GB" w:eastAsia="nl-NL"/>
        </w:rPr>
        <w:t>constructed</w:t>
      </w:r>
      <w:r w:rsidRPr="00802C03">
        <w:rPr>
          <w:rFonts w:ascii="Garamond" w:hAnsi="Garamond" w:cs="NimbusRomNo9L-Regu"/>
          <w:color w:val="000000"/>
          <w:lang w:val="en-GB" w:eastAsia="nl-NL"/>
        </w:rPr>
        <w:t xml:space="preserve"> incremental risk model as well as the numerous alternative approaches in </w:t>
      </w:r>
      <w:r>
        <w:rPr>
          <w:rFonts w:ascii="Garamond" w:hAnsi="Garamond" w:cs="NimbusRomNo9L-Regu"/>
          <w:color w:val="000000"/>
          <w:lang w:val="en-GB" w:eastAsia="nl-NL"/>
        </w:rPr>
        <w:t xml:space="preserve">the </w:t>
      </w:r>
      <w:r w:rsidRPr="00802C03">
        <w:rPr>
          <w:rFonts w:ascii="Garamond" w:hAnsi="Garamond" w:cs="NimbusRomNo9L-Regu"/>
          <w:color w:val="000000"/>
          <w:lang w:val="en-GB" w:eastAsia="nl-NL"/>
        </w:rPr>
        <w:t>estimation of its inputs, is relevant for model</w:t>
      </w:r>
      <w:r>
        <w:rPr>
          <w:rFonts w:ascii="Garamond" w:hAnsi="Garamond" w:cs="NimbusRomNo9L-Regu"/>
          <w:color w:val="000000"/>
          <w:lang w:val="en-GB" w:eastAsia="nl-NL"/>
        </w:rPr>
        <w:t>l</w:t>
      </w:r>
      <w:r w:rsidRPr="00802C03">
        <w:rPr>
          <w:rFonts w:ascii="Garamond" w:hAnsi="Garamond" w:cs="NimbusRomNo9L-Regu"/>
          <w:color w:val="000000"/>
          <w:lang w:val="en-GB" w:eastAsia="nl-NL"/>
        </w:rPr>
        <w:t>ing purposes, especially the set-up of the simulation model and the extensive amount of evaluated possible model improvements.</w:t>
      </w:r>
    </w:p>
    <w:p w:rsidR="001C7C52" w:rsidRPr="00802C03" w:rsidRDefault="001C7C52" w:rsidP="00D856C2">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In </w:t>
      </w:r>
      <w:hyperlink w:anchor="C2_Part1" w:history="1">
        <w:r w:rsidRPr="00802C03">
          <w:rPr>
            <w:rStyle w:val="Hyperlink"/>
            <w:rFonts w:ascii="Garamond" w:hAnsi="Garamond" w:cs="NimbusRomNo9L-Regu"/>
            <w:color w:val="000066"/>
            <w:u w:val="none"/>
            <w:lang w:val="en-GB" w:eastAsia="nl-NL"/>
          </w:rPr>
          <w:t>Part I</w:t>
        </w:r>
      </w:hyperlink>
      <w:r w:rsidRPr="00802C03">
        <w:rPr>
          <w:rFonts w:ascii="Garamond" w:hAnsi="Garamond" w:cs="NimbusRomNo9L-Regu"/>
          <w:color w:val="000000"/>
          <w:lang w:val="en-GB" w:eastAsia="nl-NL"/>
        </w:rPr>
        <w:t>, a complete multi-period simulation model was derived. In this main component of the proposed incremental risk model, all relevant requirements, as prescribed by the Basel Committee, were incorporated. The resulting simulation model is roughly equivalent to a sequence of (dependent) CreditMetrics models in the time-series dimension, that accounts for potential rebalancing results at the end of the pre-specified liquidity horizon of each position and in case of a simulated default. The relations between the stand-alone migration and default risk, embedded in the positions that are evaluated in the model, are model</w:t>
      </w:r>
      <w:r>
        <w:rPr>
          <w:rFonts w:ascii="Garamond" w:hAnsi="Garamond" w:cs="NimbusRomNo9L-Regu"/>
          <w:color w:val="000000"/>
          <w:lang w:val="en-GB" w:eastAsia="nl-NL"/>
        </w:rPr>
        <w:t>l</w:t>
      </w:r>
      <w:r w:rsidRPr="00802C03">
        <w:rPr>
          <w:rFonts w:ascii="Garamond" w:hAnsi="Garamond" w:cs="NimbusRomNo9L-Regu"/>
          <w:color w:val="000000"/>
          <w:lang w:val="en-GB" w:eastAsia="nl-NL"/>
        </w:rPr>
        <w:t>ed with an issuer correlation structure that is complementary to the simulation model. This correlation structure contains both issuer asset correlation and issuer asset autocorrelation, and has been model</w:t>
      </w:r>
      <w:r>
        <w:rPr>
          <w:rFonts w:ascii="Garamond" w:hAnsi="Garamond" w:cs="NimbusRomNo9L-Regu"/>
          <w:color w:val="000000"/>
          <w:lang w:val="en-GB" w:eastAsia="nl-NL"/>
        </w:rPr>
        <w:t>l</w:t>
      </w:r>
      <w:r w:rsidRPr="00802C03">
        <w:rPr>
          <w:rFonts w:ascii="Garamond" w:hAnsi="Garamond" w:cs="NimbusRomNo9L-Regu"/>
          <w:color w:val="000000"/>
          <w:lang w:val="en-GB" w:eastAsia="nl-NL"/>
        </w:rPr>
        <w:t xml:space="preserve">ed and estimated under both the Gaussian copula assumption </w:t>
      </w:r>
      <w:r>
        <w:rPr>
          <w:rFonts w:ascii="Garamond" w:hAnsi="Garamond" w:cs="NimbusRomNo9L-Regu"/>
          <w:color w:val="000000"/>
          <w:lang w:val="en-GB" w:eastAsia="nl-NL"/>
        </w:rPr>
        <w:t>as well as</w:t>
      </w:r>
      <w:r w:rsidRPr="00802C03">
        <w:rPr>
          <w:rFonts w:ascii="Garamond" w:hAnsi="Garamond" w:cs="NimbusRomNo9L-Regu"/>
          <w:color w:val="000000"/>
          <w:lang w:val="en-GB" w:eastAsia="nl-NL"/>
        </w:rPr>
        <w:t xml:space="preserve"> the much more realistic </w:t>
      </w:r>
      <w:r w:rsidRPr="00802C03">
        <w:rPr>
          <w:rFonts w:ascii="Garamond" w:hAnsi="Garamond" w:cs="NimbusRomNo9L-Regu"/>
          <w:i/>
          <w:color w:val="000000"/>
          <w:lang w:val="en-GB" w:eastAsia="nl-NL"/>
        </w:rPr>
        <w:t>t</w:t>
      </w:r>
      <w:r w:rsidRPr="00802C03">
        <w:rPr>
          <w:rFonts w:ascii="Garamond" w:hAnsi="Garamond" w:cs="NimbusRomNo9L-Regu"/>
          <w:color w:val="000000"/>
          <w:lang w:val="en-GB" w:eastAsia="nl-NL"/>
        </w:rPr>
        <w:t xml:space="preserve">-Student copula assumption. </w:t>
      </w:r>
      <w:r>
        <w:rPr>
          <w:rFonts w:ascii="Garamond" w:hAnsi="Garamond" w:cs="NimbusRomNo9L-Regu"/>
          <w:color w:val="000000"/>
          <w:lang w:val="en-GB" w:eastAsia="nl-NL"/>
        </w:rPr>
        <w:t>The autocorrelation component in the correlation structure naturally generates the dependencies in the sequence of CreditMetrics models. Moreover, t</w:t>
      </w:r>
      <w:r w:rsidRPr="00802C03">
        <w:rPr>
          <w:rFonts w:ascii="Garamond" w:hAnsi="Garamond" w:cs="NimbusRomNo9L-Regu"/>
          <w:color w:val="000000"/>
          <w:lang w:val="en-GB" w:eastAsia="nl-NL"/>
        </w:rPr>
        <w:t xml:space="preserve">he entire correlation structure is completely interchangeable, since nearly every </w:t>
      </w:r>
      <w:r>
        <w:rPr>
          <w:rFonts w:ascii="Garamond" w:hAnsi="Garamond" w:cs="NimbusRomNo9L-Regu"/>
          <w:color w:val="000000"/>
          <w:lang w:val="en-GB" w:eastAsia="nl-NL"/>
        </w:rPr>
        <w:t>alternative</w:t>
      </w:r>
      <w:r w:rsidRPr="00802C03">
        <w:rPr>
          <w:rFonts w:ascii="Garamond" w:hAnsi="Garamond" w:cs="NimbusRomNo9L-Regu"/>
          <w:color w:val="000000"/>
          <w:lang w:val="en-GB" w:eastAsia="nl-NL"/>
        </w:rPr>
        <w:t xml:space="preserve"> correlation structure can be merged with the constructed multi-period simulation model. The required (re)valuation</w:t>
      </w:r>
      <w:r>
        <w:rPr>
          <w:rFonts w:ascii="Garamond" w:hAnsi="Garamond" w:cs="NimbusRomNo9L-Regu"/>
          <w:color w:val="000000"/>
          <w:lang w:val="en-GB" w:eastAsia="nl-NL"/>
        </w:rPr>
        <w:t xml:space="preserve"> of the evaluated positions within the model relies on</w:t>
      </w:r>
      <w:r w:rsidRPr="00802C03">
        <w:rPr>
          <w:rFonts w:ascii="Garamond" w:hAnsi="Garamond" w:cs="NimbusRomNo9L-Regu"/>
          <w:color w:val="000000"/>
          <w:lang w:val="en-GB" w:eastAsia="nl-NL"/>
        </w:rPr>
        <w:t xml:space="preserve"> the CreditMetrics forward valuation approach. Consequently, and similar to the CreditMetrics model, any credit product of which the expected future values can be computed </w:t>
      </w:r>
      <w:r>
        <w:rPr>
          <w:rFonts w:ascii="Garamond" w:hAnsi="Garamond" w:cs="NimbusRomNo9L-Regu"/>
          <w:color w:val="000000"/>
          <w:lang w:val="en-GB" w:eastAsia="nl-NL"/>
        </w:rPr>
        <w:t>under</w:t>
      </w:r>
      <w:r w:rsidRPr="00802C03">
        <w:rPr>
          <w:rFonts w:ascii="Garamond" w:hAnsi="Garamond" w:cs="NimbusRomNo9L-Regu"/>
          <w:color w:val="000000"/>
          <w:lang w:val="en-GB" w:eastAsia="nl-NL"/>
        </w:rPr>
        <w:t xml:space="preserve"> each possible credit rating at specific moments in the future can be assessed with the model. </w:t>
      </w:r>
    </w:p>
    <w:p w:rsidR="001C7C52" w:rsidRPr="00802C03" w:rsidRDefault="001C7C52" w:rsidP="00D856C2">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As stated, the proposed model set-up and the multitude of highlighted model improvements may provide model developers with ideas and backgrounds for the development of an actual incremental risk model. Moreover, regulators as well as model validators are provided with a somewhat stylized example of an incremental risk model that may show them what type of model the proposed guidelines and principles are likely to give rise to in practice.</w:t>
      </w:r>
    </w:p>
    <w:p w:rsidR="001C7C52" w:rsidRPr="00802C03" w:rsidRDefault="001C7C52" w:rsidP="001F0514">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In the model</w:t>
      </w:r>
      <w:r>
        <w:rPr>
          <w:rFonts w:ascii="Garamond" w:hAnsi="Garamond" w:cs="NimbusRomNo9L-Regu"/>
          <w:color w:val="000000"/>
          <w:lang w:val="en-GB" w:eastAsia="nl-NL"/>
        </w:rPr>
        <w:t>l</w:t>
      </w:r>
      <w:r w:rsidRPr="00802C03">
        <w:rPr>
          <w:rFonts w:ascii="Garamond" w:hAnsi="Garamond" w:cs="NimbusRomNo9L-Regu"/>
          <w:color w:val="000000"/>
          <w:lang w:val="en-GB" w:eastAsia="nl-NL"/>
        </w:rPr>
        <w:t>ing of the stand-alone risk, the model estimations have demonstrated that is it highly likely that the utilization of different credit migration matrix estimation methodologies will not yield economic differences in the eventual risk measures of the model. Nevertheless, the duration methodology is the only estimation approach that allows for a highly detailed specification of credit migration dynamics, which is potentially required in an actual incremental risk model. Herein, rating drift is addressed in the literature as the most important additional risk factor in credit migration dynamics. Only the duration methodology allows for an effective estimation of this effect, and thus provides the possibility of incorporating it in the simulation model. Obviously, the existence of additional important stand-alone risk factors, such as rating drift, is highly relevant as well in the model validation context.</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The most imperative factor in the estimation of the credit migration matrix, however, is the sample period or economic environment to which its estimates are conditional to. On this subject, the overarching Basel II Framework offers two specification options: a through-to-cycle specification or a point-in-time specification. The difference in the model’s risk measures that can be produced by both specifications can be extremely sizeable, as demonstrated by the model estimations. As a consequence, the approach that is taken regarding this specification, in the development or calibration of an actual incremental risk model, is of significant importance in the model validation process. The dilemma is, however, that both specifications have their own advantages and disadvantages. Essentially, there is no obvious right or wrong in this subject. In addition, the prevention of regulatory capital arbitrage plays a central role here as well. To prevent this type of capital arbitrage, regulators may prefer one of the two specifications to generate a consistency between the internal ratings-based model and the incremental risk model of a bank, such that both models generate similar capital charges for similar positions. Nevertheless, the Basel Committee has not provided guidance on this subject. Hence, a regulatory implication offered by the results of this study, is that additional regulatory guidance on this subject is likely to be warranted, since the effects of the type conditionality that is applied in the stand-alone risk specification are likely to be quite severe in any incremental risk model. </w:t>
      </w:r>
    </w:p>
    <w:p w:rsidR="001C7C52" w:rsidRPr="00802C03" w:rsidRDefault="001C7C52" w:rsidP="001F0514">
      <w:pPr>
        <w:spacing w:line="160" w:lineRule="exact"/>
        <w:jc w:val="both"/>
        <w:rPr>
          <w:rFonts w:ascii="Garamond" w:hAnsi="Garamond" w:cs="NimbusRomNo9L-Regu"/>
          <w:color w:val="000000"/>
          <w:lang w:val="en-GB" w:eastAsia="nl-NL"/>
        </w:rPr>
      </w:pPr>
    </w:p>
    <w:p w:rsidR="001C7C52"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In the assessment of the issuer correlations within the model, the model estimations display indisputably that the nature of the issuer correlations is the most important aspect in the correlation calibration in the model. In essence, the copula assumption should be an accurate display of the actual nature of the asset correlations between issuers, or more generally the nature of the credit quality correlations between issuers. Herein, an accurate degree of the tail dependence is the most crucial aspect that the copula has to take into account, since the effects of the copula assumption, as presented in this study, were mainly rooted in the differences in tail dependence between the three copula specifications.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Furthermore, </w:t>
      </w:r>
      <w:r>
        <w:rPr>
          <w:rFonts w:ascii="Garamond" w:hAnsi="Garamond" w:cs="NimbusRomNo9L-Regu"/>
          <w:color w:val="000000"/>
          <w:lang w:val="en-GB" w:eastAsia="nl-NL"/>
        </w:rPr>
        <w:t xml:space="preserve">on the subject of the actual issuer asset correlation inputs that are inserted into the model, the model estimations have demonstrated that </w:t>
      </w:r>
      <w:r w:rsidRPr="00802C03">
        <w:rPr>
          <w:rFonts w:ascii="Garamond" w:hAnsi="Garamond" w:cs="NimbusRomNo9L-Regu"/>
          <w:color w:val="000000"/>
          <w:lang w:val="en-GB" w:eastAsia="nl-NL"/>
        </w:rPr>
        <w:t>the precision of the estimated issuer asset correlation coefficients does not have to be exceedingly high in large long-short portfolios</w:t>
      </w:r>
      <w:r>
        <w:rPr>
          <w:rFonts w:ascii="Garamond" w:hAnsi="Garamond" w:cs="NimbusRomNo9L-Regu"/>
          <w:color w:val="000000"/>
          <w:lang w:val="en-GB" w:eastAsia="nl-NL"/>
        </w:rPr>
        <w:t>. One must ensure, however, that the</w:t>
      </w:r>
      <w:r w:rsidRPr="00802C03">
        <w:rPr>
          <w:rFonts w:ascii="Garamond" w:hAnsi="Garamond" w:cs="NimbusRomNo9L-Regu"/>
          <w:color w:val="000000"/>
          <w:lang w:val="en-GB" w:eastAsia="nl-NL"/>
        </w:rPr>
        <w:t xml:space="preserve"> average level of asset correlation</w:t>
      </w:r>
      <w:r>
        <w:rPr>
          <w:rFonts w:ascii="Garamond" w:hAnsi="Garamond" w:cs="NimbusRomNo9L-Regu"/>
          <w:color w:val="000000"/>
          <w:lang w:val="en-GB" w:eastAsia="nl-NL"/>
        </w:rPr>
        <w:t>s</w:t>
      </w:r>
      <w:r w:rsidRPr="00802C03">
        <w:rPr>
          <w:rFonts w:ascii="Garamond" w:hAnsi="Garamond" w:cs="NimbusRomNo9L-Regu"/>
          <w:color w:val="000000"/>
          <w:lang w:val="en-GB" w:eastAsia="nl-NL"/>
        </w:rPr>
        <w:t xml:space="preserve"> within the correlation structure of the model is accurately displayed. Hence, in addition to the copula assumption, the calibration of the average level of issuer asset correlation is critical to the validity of the model as well.</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Conclusions of this kind are clearly even more important in the validation context than they are for model developers. Essentially, the copula assumption is the most important input or assumption in the proposed incremental risk model. This statement almost certainly applies in general, since the copula is very common approach in the mode</w:t>
      </w:r>
      <w:r>
        <w:rPr>
          <w:rFonts w:ascii="Garamond" w:hAnsi="Garamond" w:cs="NimbusRomNo9L-Regu"/>
          <w:color w:val="000000"/>
          <w:lang w:val="en-GB" w:eastAsia="nl-NL"/>
        </w:rPr>
        <w:t>l</w:t>
      </w:r>
      <w:r w:rsidRPr="00802C03">
        <w:rPr>
          <w:rFonts w:ascii="Garamond" w:hAnsi="Garamond" w:cs="NimbusRomNo9L-Regu"/>
          <w:color w:val="000000"/>
          <w:lang w:val="en-GB" w:eastAsia="nl-NL"/>
        </w:rPr>
        <w:t xml:space="preserve">ling of credit quality correlations between issuers. It is unquestionably one of the model components on which emphasis must be placed in the validation process of any incremental risk model. In the regulatory context, however, the Basel Committee has not touched the copula assumption or correlation risk distribution assumption in the model guidelines. Hence, a major weakness of the current proposal is that nothing, not even an ambiguous guideline, is specified here. It is understandable that banks are granted a considerable degree of freedom in the development of this new model, yet the copula assumption or tail dependence assumption is likely to be too important to be left unaddressed by regulators. The lack of regulatory guidance here may give rise to the development of Gaussian models, while these models will certainly underestimate the true migration and default risk underlying an actual trading portfolio, as such models do not incorporate </w:t>
      </w:r>
      <w:r>
        <w:rPr>
          <w:rFonts w:ascii="Garamond" w:hAnsi="Garamond" w:cs="NimbusRomNo9L-Regu"/>
          <w:color w:val="000000"/>
          <w:lang w:val="en-GB" w:eastAsia="nl-NL"/>
        </w:rPr>
        <w:t>the tail dependence that</w:t>
      </w:r>
      <w:r w:rsidRPr="00802C03">
        <w:rPr>
          <w:rFonts w:ascii="Garamond" w:hAnsi="Garamond" w:cs="NimbusRomNo9L-Regu"/>
          <w:color w:val="000000"/>
          <w:lang w:val="en-GB" w:eastAsia="nl-NL"/>
        </w:rPr>
        <w:t xml:space="preserve"> certainly exist</w:t>
      </w:r>
      <w:r>
        <w:rPr>
          <w:rFonts w:ascii="Garamond" w:hAnsi="Garamond" w:cs="NimbusRomNo9L-Regu"/>
          <w:color w:val="000000"/>
          <w:lang w:val="en-GB" w:eastAsia="nl-NL"/>
        </w:rPr>
        <w:t>s</w:t>
      </w:r>
      <w:r w:rsidRPr="00802C03">
        <w:rPr>
          <w:rFonts w:ascii="Garamond" w:hAnsi="Garamond" w:cs="NimbusRomNo9L-Regu"/>
          <w:color w:val="000000"/>
          <w:lang w:val="en-GB" w:eastAsia="nl-NL"/>
        </w:rPr>
        <w:t xml:space="preserve"> in reality.</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 xml:space="preserve">As mentioned, the precision of the correlation estimates that are inserted into the model, via the correlation structure, </w:t>
      </w:r>
      <w:r>
        <w:rPr>
          <w:rFonts w:ascii="Garamond" w:hAnsi="Garamond" w:cs="NimbusRomNo9L-Regu"/>
          <w:color w:val="000000"/>
          <w:lang w:val="en-GB" w:eastAsia="nl-NL"/>
        </w:rPr>
        <w:t>is</w:t>
      </w:r>
      <w:r w:rsidRPr="00802C03">
        <w:rPr>
          <w:rFonts w:ascii="Garamond" w:hAnsi="Garamond" w:cs="NimbusRomNo9L-Regu"/>
          <w:color w:val="000000"/>
          <w:lang w:val="en-GB" w:eastAsia="nl-NL"/>
        </w:rPr>
        <w:t xml:space="preserve"> not of </w:t>
      </w:r>
      <w:r>
        <w:rPr>
          <w:rFonts w:ascii="Garamond" w:hAnsi="Garamond" w:cs="NimbusRomNo9L-Regu"/>
          <w:color w:val="000000"/>
          <w:lang w:val="en-GB" w:eastAsia="nl-NL"/>
        </w:rPr>
        <w:t>vital</w:t>
      </w:r>
      <w:r w:rsidRPr="00802C03">
        <w:rPr>
          <w:rFonts w:ascii="Garamond" w:hAnsi="Garamond" w:cs="NimbusRomNo9L-Regu"/>
          <w:color w:val="000000"/>
          <w:lang w:val="en-GB" w:eastAsia="nl-NL"/>
        </w:rPr>
        <w:t xml:space="preserve"> importance in the estimation of the required risk measure. An accurate calibration of the average level of issuer </w:t>
      </w:r>
      <w:r>
        <w:rPr>
          <w:rFonts w:ascii="Garamond" w:hAnsi="Garamond" w:cs="NimbusRomNo9L-Regu"/>
          <w:color w:val="000000"/>
          <w:lang w:val="en-GB" w:eastAsia="nl-NL"/>
        </w:rPr>
        <w:t xml:space="preserve">asset </w:t>
      </w:r>
      <w:r w:rsidRPr="00802C03">
        <w:rPr>
          <w:rFonts w:ascii="Garamond" w:hAnsi="Garamond" w:cs="NimbusRomNo9L-Regu"/>
          <w:color w:val="000000"/>
          <w:lang w:val="en-GB" w:eastAsia="nl-NL"/>
        </w:rPr>
        <w:t xml:space="preserve">correlations, however, is crucial. Basically, in long-short portfolio a risk reducing effect may be provided by the short positions, but this is by no means guaranteed. In addition, the magnitude of this effect will change substantially when inputs such as the recovery rate(s) and credit yield curves are adjusted. Perhaps, the most valid approach is to assess the average level of issuer </w:t>
      </w:r>
      <w:r>
        <w:rPr>
          <w:rFonts w:ascii="Garamond" w:hAnsi="Garamond" w:cs="NimbusRomNo9L-Regu"/>
          <w:color w:val="000000"/>
          <w:lang w:val="en-GB" w:eastAsia="nl-NL"/>
        </w:rPr>
        <w:t xml:space="preserve">asset </w:t>
      </w:r>
      <w:r w:rsidRPr="00802C03">
        <w:rPr>
          <w:rFonts w:ascii="Garamond" w:hAnsi="Garamond" w:cs="NimbusRomNo9L-Regu"/>
          <w:color w:val="000000"/>
          <w:lang w:val="en-GB" w:eastAsia="nl-NL"/>
        </w:rPr>
        <w:t xml:space="preserve">correlations per credit product </w:t>
      </w:r>
      <w:r>
        <w:rPr>
          <w:rFonts w:ascii="Garamond" w:hAnsi="Garamond" w:cs="NimbusRomNo9L-Regu"/>
          <w:color w:val="000000"/>
          <w:lang w:val="en-GB" w:eastAsia="nl-NL"/>
        </w:rPr>
        <w:t>class</w:t>
      </w:r>
      <w:r w:rsidRPr="00802C03">
        <w:rPr>
          <w:rFonts w:ascii="Garamond" w:hAnsi="Garamond" w:cs="NimbusRomNo9L-Regu"/>
          <w:color w:val="000000"/>
          <w:lang w:val="en-GB" w:eastAsia="nl-NL"/>
        </w:rPr>
        <w:t xml:space="preserve"> and</w:t>
      </w:r>
      <w:r>
        <w:rPr>
          <w:rFonts w:ascii="Garamond" w:hAnsi="Garamond" w:cs="NimbusRomNo9L-Regu"/>
          <w:color w:val="000000"/>
          <w:lang w:val="en-GB" w:eastAsia="nl-NL"/>
        </w:rPr>
        <w:t>/or</w:t>
      </w:r>
      <w:r w:rsidRPr="00802C03">
        <w:rPr>
          <w:rFonts w:ascii="Garamond" w:hAnsi="Garamond" w:cs="NimbusRomNo9L-Regu"/>
          <w:color w:val="000000"/>
          <w:lang w:val="en-GB" w:eastAsia="nl-NL"/>
        </w:rPr>
        <w:t xml:space="preserve"> segment of issuers. In that sense, the use of equity correlation</w:t>
      </w:r>
      <w:r>
        <w:rPr>
          <w:rFonts w:ascii="Garamond" w:hAnsi="Garamond" w:cs="NimbusRomNo9L-Regu"/>
          <w:color w:val="000000"/>
          <w:lang w:val="en-GB" w:eastAsia="nl-NL"/>
        </w:rPr>
        <w:t>s</w:t>
      </w:r>
      <w:r w:rsidRPr="00802C03">
        <w:rPr>
          <w:rFonts w:ascii="Garamond" w:hAnsi="Garamond" w:cs="NimbusRomNo9L-Regu"/>
          <w:color w:val="000000"/>
          <w:lang w:val="en-GB" w:eastAsia="nl-NL"/>
        </w:rPr>
        <w:t xml:space="preserve"> is likely to be accurate enough to capture the effects of the correlation risk within</w:t>
      </w:r>
      <w:r>
        <w:rPr>
          <w:rFonts w:ascii="Garamond" w:hAnsi="Garamond" w:cs="NimbusRomNo9L-Regu"/>
          <w:color w:val="000000"/>
          <w:lang w:val="en-GB" w:eastAsia="nl-NL"/>
        </w:rPr>
        <w:t xml:space="preserve"> the portfolio that is evaluated with</w:t>
      </w:r>
      <w:r w:rsidRPr="00802C03">
        <w:rPr>
          <w:rFonts w:ascii="Garamond" w:hAnsi="Garamond" w:cs="NimbusRomNo9L-Regu"/>
          <w:color w:val="000000"/>
          <w:lang w:val="en-GB" w:eastAsia="nl-NL"/>
        </w:rPr>
        <w:t xml:space="preserve"> the incremental risk model. Regular historical equity correlations may be applied, </w:t>
      </w:r>
      <w:r>
        <w:rPr>
          <w:rFonts w:ascii="Garamond" w:hAnsi="Garamond" w:cs="NimbusRomNo9L-Regu"/>
          <w:color w:val="000000"/>
          <w:lang w:val="en-GB" w:eastAsia="nl-NL"/>
        </w:rPr>
        <w:t>but</w:t>
      </w:r>
      <w:r w:rsidRPr="00802C03">
        <w:rPr>
          <w:rFonts w:ascii="Garamond" w:hAnsi="Garamond" w:cs="NimbusRomNo9L-Regu"/>
          <w:color w:val="000000"/>
          <w:lang w:val="en-GB" w:eastAsia="nl-NL"/>
        </w:rPr>
        <w:t xml:space="preserve"> equity correlation estimates based on multiple factor models may provide a more accurate and more practical solution. Moreover, factor models may allow for a more realistic and more complicated issuer correlation assessment as well. A conversion of the issuer equity returns, that are utilized in the correlation estimation, into </w:t>
      </w:r>
      <w:r>
        <w:rPr>
          <w:rFonts w:ascii="Garamond" w:hAnsi="Garamond" w:cs="NimbusRomNo9L-Regu"/>
          <w:color w:val="000000"/>
          <w:lang w:val="en-GB" w:eastAsia="nl-NL"/>
        </w:rPr>
        <w:t xml:space="preserve">actual </w:t>
      </w:r>
      <w:r w:rsidRPr="00802C03">
        <w:rPr>
          <w:rFonts w:ascii="Garamond" w:hAnsi="Garamond" w:cs="NimbusRomNo9L-Regu"/>
          <w:color w:val="000000"/>
          <w:lang w:val="en-GB" w:eastAsia="nl-NL"/>
        </w:rPr>
        <w:t>issuer asset returns by applying the KMV asset value model, will further enhance the accuracy of the issuer correlation estimates, resulting from both estimation approaches.</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color w:val="000000"/>
          <w:lang w:val="en-GB" w:eastAsia="nl-NL"/>
        </w:rPr>
        <w:t xml:space="preserve">In addition to the equity correlation proxy, the estimation of issuer asset correlations with the use of observed default rates was also assessed in the study. This approach, however, will almost certainly produce too low issuer correlation coefficients and therefore a too low average level of issuer asset correlation. The source of this effect lies in the scarcity of default data and the loss of detail generated by this issue. Consequently, </w:t>
      </w:r>
      <w:r>
        <w:rPr>
          <w:rFonts w:ascii="Garamond" w:hAnsi="Garamond" w:cs="NimbusRomNo9L-Regu"/>
          <w:color w:val="000000"/>
          <w:lang w:val="en-GB" w:eastAsia="nl-NL"/>
        </w:rPr>
        <w:t xml:space="preserve">the </w:t>
      </w:r>
      <w:r w:rsidRPr="00802C03">
        <w:rPr>
          <w:rFonts w:ascii="Garamond" w:hAnsi="Garamond" w:cs="NimbusRomNo9L-Regu"/>
          <w:color w:val="000000"/>
          <w:lang w:val="en-GB" w:eastAsia="nl-NL"/>
        </w:rPr>
        <w:t>correlation risk</w:t>
      </w:r>
      <w:r>
        <w:rPr>
          <w:rFonts w:ascii="Garamond" w:hAnsi="Garamond" w:cs="NimbusRomNo9L-Regu"/>
          <w:color w:val="000000"/>
          <w:lang w:val="en-GB" w:eastAsia="nl-NL"/>
        </w:rPr>
        <w:t xml:space="preserve"> within a trading portfolio</w:t>
      </w:r>
      <w:r w:rsidRPr="00802C03">
        <w:rPr>
          <w:rFonts w:ascii="Garamond" w:hAnsi="Garamond" w:cs="NimbusRomNo9L-Regu"/>
          <w:color w:val="000000"/>
          <w:lang w:val="en-GB" w:eastAsia="nl-NL"/>
        </w:rPr>
        <w:t xml:space="preserve"> is almost certainly not appreciated to its full extent when this methodology is applied. </w:t>
      </w:r>
      <w:r>
        <w:rPr>
          <w:rFonts w:ascii="Garamond" w:hAnsi="Garamond" w:cs="NimbusRomNo9L-Regu"/>
          <w:color w:val="000000"/>
          <w:lang w:val="en-GB" w:eastAsia="nl-NL"/>
        </w:rPr>
        <w:t>One might argue that t</w:t>
      </w:r>
      <w:r w:rsidRPr="00802C03">
        <w:rPr>
          <w:rFonts w:ascii="Garamond" w:hAnsi="Garamond" w:cs="NimbusRomNo9L-Regu"/>
          <w:color w:val="000000"/>
          <w:lang w:val="en-GB" w:eastAsia="nl-NL"/>
        </w:rPr>
        <w:t>his asset correlation estima</w:t>
      </w:r>
      <w:r>
        <w:rPr>
          <w:rFonts w:ascii="Garamond" w:hAnsi="Garamond" w:cs="NimbusRomNo9L-Regu"/>
          <w:color w:val="000000"/>
          <w:lang w:val="en-GB" w:eastAsia="nl-NL"/>
        </w:rPr>
        <w:t>tion methodology, therefore, is not to be considered a</w:t>
      </w:r>
      <w:r w:rsidRPr="00802C03">
        <w:rPr>
          <w:rFonts w:ascii="Garamond" w:hAnsi="Garamond" w:cs="NimbusRomNo9L-Regu"/>
          <w:color w:val="000000"/>
          <w:lang w:val="en-GB" w:eastAsia="nl-NL"/>
        </w:rPr>
        <w:t xml:space="preserve"> viable application option for a </w:t>
      </w:r>
      <w:r>
        <w:rPr>
          <w:rFonts w:ascii="Garamond" w:hAnsi="Garamond" w:cs="NimbusRomNo9L-Regu"/>
          <w:color w:val="000000"/>
          <w:lang w:val="en-GB" w:eastAsia="nl-NL"/>
        </w:rPr>
        <w:t xml:space="preserve">credit risk </w:t>
      </w:r>
      <w:r w:rsidRPr="00802C03">
        <w:rPr>
          <w:rFonts w:ascii="Garamond" w:hAnsi="Garamond" w:cs="NimbusRomNo9L-Regu"/>
          <w:color w:val="000000"/>
          <w:lang w:val="en-GB" w:eastAsia="nl-NL"/>
        </w:rPr>
        <w:t xml:space="preserve">model such as the incremental risk model. Obviously, </w:t>
      </w:r>
      <w:r w:rsidRPr="00802C03">
        <w:rPr>
          <w:rFonts w:ascii="Garamond" w:hAnsi="Garamond" w:cs="NimbusRomNo9L-Regu"/>
          <w:lang w:val="en-GB" w:eastAsia="nl-NL"/>
        </w:rPr>
        <w:t>this is valuable information for model validators as well.</w:t>
      </w:r>
    </w:p>
    <w:p w:rsidR="001C7C52" w:rsidRPr="00802C03" w:rsidRDefault="001C7C52" w:rsidP="008C2928">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Furthermore, similar to the credit migration matrix specification, conditionality may also be applied in the issuer correlations in the model. One must, however, be cautious in the application of conditionality through issuer correlations, since the model estimations have revealed that increased (credit crisis) issuer correlations are not capable of fully reconstructing the actual downgrade and default cluster that was observed during the credit crisis. Hence, a linear issuer asset correlation structure will be too simple to completely capture actual credit quality relations between issuers, especially during episodes of economic turmoil.</w:t>
      </w:r>
    </w:p>
    <w:p w:rsidR="001C7C52" w:rsidRPr="00802C03" w:rsidRDefault="001C7C52" w:rsidP="008C2928">
      <w:pPr>
        <w:spacing w:line="160" w:lineRule="exact"/>
        <w:jc w:val="both"/>
        <w:rPr>
          <w:rFonts w:ascii="Garamond" w:hAnsi="Garamond" w:cs="NimbusRomNo9L-Regu"/>
          <w:color w:val="000000"/>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The last element of the correlation structure of a multi-period incremental risk model is autocorrelation. The model estimations have demonstrated that the incorporation of autocorrelation in the proposed model induces a small but robust increase in the model</w:t>
      </w:r>
      <w:r>
        <w:rPr>
          <w:rFonts w:ascii="Garamond" w:hAnsi="Garamond" w:cs="NimbusRomNo9L-Regu"/>
          <w:lang w:val="en-GB" w:eastAsia="nl-NL"/>
        </w:rPr>
        <w:t>’s</w:t>
      </w:r>
      <w:r w:rsidRPr="00802C03">
        <w:rPr>
          <w:rFonts w:ascii="Garamond" w:hAnsi="Garamond" w:cs="NimbusRomNo9L-Regu"/>
          <w:lang w:val="en-GB" w:eastAsia="nl-NL"/>
        </w:rPr>
        <w:t xml:space="preserve"> risk</w:t>
      </w:r>
      <w:r>
        <w:rPr>
          <w:rFonts w:ascii="Garamond" w:hAnsi="Garamond" w:cs="NimbusRomNo9L-Regu"/>
          <w:lang w:val="en-GB" w:eastAsia="nl-NL"/>
        </w:rPr>
        <w:t xml:space="preserve"> measure</w:t>
      </w:r>
      <w:r w:rsidRPr="00802C03">
        <w:rPr>
          <w:rFonts w:ascii="Garamond" w:hAnsi="Garamond" w:cs="NimbusRomNo9L-Regu"/>
          <w:lang w:val="en-GB" w:eastAsia="nl-NL"/>
        </w:rPr>
        <w:t xml:space="preserve">. In essence, small to moderate effects as a result of autocorrelation can be expected in general, since observed issuer autocorrelations </w:t>
      </w:r>
      <w:r>
        <w:rPr>
          <w:rFonts w:ascii="Garamond" w:hAnsi="Garamond" w:cs="NimbusRomNo9L-Regu"/>
          <w:lang w:val="en-GB" w:eastAsia="nl-NL"/>
        </w:rPr>
        <w:t xml:space="preserve">tend to be quite low. Even </w:t>
      </w:r>
      <w:r w:rsidRPr="00802C03">
        <w:rPr>
          <w:rFonts w:ascii="Garamond" w:hAnsi="Garamond" w:cs="NimbusRomNo9L-Regu"/>
          <w:lang w:val="en-GB" w:eastAsia="nl-NL"/>
        </w:rPr>
        <w:t xml:space="preserve">though it is not the most important risk source to account for in </w:t>
      </w:r>
      <w:r>
        <w:rPr>
          <w:rFonts w:ascii="Garamond" w:hAnsi="Garamond" w:cs="NimbusRomNo9L-Regu"/>
          <w:lang w:val="en-GB" w:eastAsia="nl-NL"/>
        </w:rPr>
        <w:t>an</w:t>
      </w:r>
      <w:r w:rsidRPr="00802C03">
        <w:rPr>
          <w:rFonts w:ascii="Garamond" w:hAnsi="Garamond" w:cs="NimbusRomNo9L-Regu"/>
          <w:lang w:val="en-GB" w:eastAsia="nl-NL"/>
        </w:rPr>
        <w:t xml:space="preserve"> incremental risk model, autocorrelation should be present in a multi-period model, since it is one of the most commonly observed phenomena in financial markets and it does effectively increase migration and default risk. Two mode</w:t>
      </w:r>
      <w:r>
        <w:rPr>
          <w:rFonts w:ascii="Garamond" w:hAnsi="Garamond" w:cs="NimbusRomNo9L-Regu"/>
          <w:lang w:val="en-GB" w:eastAsia="nl-NL"/>
        </w:rPr>
        <w:t>l</w:t>
      </w:r>
      <w:r w:rsidRPr="00802C03">
        <w:rPr>
          <w:rFonts w:ascii="Garamond" w:hAnsi="Garamond" w:cs="NimbusRomNo9L-Regu"/>
          <w:lang w:val="en-GB" w:eastAsia="nl-NL"/>
        </w:rPr>
        <w:t xml:space="preserve">ling approaches can be applied here. The first approach is a more general factor model based approach which may become increasingly complicated as autoregressive and mean reversion elements are required. The second approach is an issuer-specific historical autocorrelation approach, which may not be implementable when a factor model is utilized in the correlation structure of the model.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The last and most important remark on the subject of autocorrelation is that when rating drift is incorporated in the stand-alone risk specification model, then autocorrelation is not required in the correlation structure, since both effectively address the same market inefficiency effect. In essence, a model set-up in which rating drift is incorporated through the stand-alone risk specification is the most optimal solution, since rating drift is addressed directly and probably more accurately in the form in which it is observed. In addition, the derivation of the model’s correlation structure is simplified substantially when no autocorrelation is incorporated.</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lang w:val="en-GB" w:eastAsia="nl-NL"/>
        </w:rPr>
        <w:t>The last crucial aspect is the length of the liquidity horizons of the positions in the model. The applied approach</w:t>
      </w:r>
      <w:r w:rsidRPr="00802C03">
        <w:rPr>
          <w:rFonts w:ascii="Garamond" w:hAnsi="Garamond" w:cs="NimbusRomNo9L-Regu"/>
          <w:color w:val="000000"/>
          <w:lang w:val="en-GB" w:eastAsia="nl-NL"/>
        </w:rPr>
        <w:t xml:space="preserve"> in the incorporation of the liquidity horizons in the simulation model is relevant in the mode</w:t>
      </w:r>
      <w:r>
        <w:rPr>
          <w:rFonts w:ascii="Garamond" w:hAnsi="Garamond" w:cs="NimbusRomNo9L-Regu"/>
          <w:color w:val="000000"/>
          <w:lang w:val="en-GB" w:eastAsia="nl-NL"/>
        </w:rPr>
        <w:t>l</w:t>
      </w:r>
      <w:r w:rsidRPr="00802C03">
        <w:rPr>
          <w:rFonts w:ascii="Garamond" w:hAnsi="Garamond" w:cs="NimbusRomNo9L-Regu"/>
          <w:color w:val="000000"/>
          <w:lang w:val="en-GB" w:eastAsia="nl-NL"/>
        </w:rPr>
        <w:t xml:space="preserve">ling context. More important is, however, that the Basel Committee intended to make the liquidity of trading positions in stressed conditions an important factor in the incremental risk model. The model estimations have demonstrated that this regulatory objective will almost certainly be reached, since the model’s risk measures are rather sensitive to the length of the liquidity horizons of the positions in the model. Moreover, this conclusion is likely to apply to the incremental risk model in general, as a similar incorporation of liquidity horizon specification can be expected in an actual incremental risk model.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One additional comment here is that incorporation of liquidity effects through liquidity horizons does produce a double assessment of liquidity, since the required credit yields also contain a liquidity component. In fact, multiple theoretical as well as practical issues can be found in the constant level of risk and liquidity horizon structure that is proposed by the Basel Committee. Essentially, actual trading and risk management practices are likely to deviate from the behavio</w:t>
      </w:r>
      <w:r>
        <w:rPr>
          <w:rFonts w:ascii="Garamond" w:hAnsi="Garamond" w:cs="NimbusRomNo9L-Regu"/>
          <w:color w:val="000000"/>
          <w:lang w:val="en-GB" w:eastAsia="nl-NL"/>
        </w:rPr>
        <w:t>u</w:t>
      </w:r>
      <w:r w:rsidRPr="00802C03">
        <w:rPr>
          <w:rFonts w:ascii="Garamond" w:hAnsi="Garamond" w:cs="NimbusRomNo9L-Regu"/>
          <w:color w:val="000000"/>
          <w:lang w:val="en-GB" w:eastAsia="nl-NL"/>
        </w:rPr>
        <w:t xml:space="preserve">r implied by the constant level of risk assumption, especially in an extreme market environment. </w:t>
      </w:r>
    </w:p>
    <w:p w:rsidR="001C7C52" w:rsidRPr="00802C03" w:rsidRDefault="001C7C52" w:rsidP="001F0514">
      <w:pPr>
        <w:spacing w:line="280" w:lineRule="exact"/>
        <w:jc w:val="both"/>
        <w:rPr>
          <w:rFonts w:ascii="Garamond" w:hAnsi="Garamond" w:cs="NimbusRomNo9L-Regu"/>
          <w:color w:val="000000"/>
          <w:lang w:val="en-GB" w:eastAsia="nl-NL"/>
        </w:rPr>
      </w:pPr>
      <w:r w:rsidRPr="00802C03">
        <w:rPr>
          <w:rFonts w:ascii="Garamond" w:hAnsi="Garamond" w:cs="NimbusRomNo9L-Regu"/>
          <w:color w:val="000000"/>
          <w:lang w:val="en-GB" w:eastAsia="nl-NL"/>
        </w:rPr>
        <w:t>Nevertheless, banks are once again forced to assess the liquidity of trading positions in an empirical form. Regardless of the theoretical and the practical ambiguity accompanying the constant level of risk assumption and its companion notion, the liquidity horizon, these model components will lead to discussion of the liquidity topic and therefore promote transparency of liquidity risk (</w:t>
      </w:r>
      <w:hyperlink w:anchor="Finger_2009" w:history="1">
        <w:r w:rsidRPr="00802C03">
          <w:rPr>
            <w:rStyle w:val="Hyperlink"/>
            <w:rFonts w:ascii="Garamond" w:hAnsi="Garamond" w:cs="NimbusRomNo9L-Regu"/>
            <w:color w:val="000066"/>
            <w:u w:val="none"/>
            <w:lang w:val="en-GB" w:eastAsia="nl-NL"/>
          </w:rPr>
          <w:t>Finger, 2009</w:t>
        </w:r>
      </w:hyperlink>
      <w:r w:rsidRPr="00802C03">
        <w:rPr>
          <w:rFonts w:ascii="Garamond" w:hAnsi="Garamond" w:cs="NimbusRomNo9L-Regu"/>
          <w:color w:val="000000"/>
          <w:lang w:val="en-GB" w:eastAsia="nl-NL"/>
        </w:rPr>
        <w:t xml:space="preserve">). The introduction of the concept of the liquidity horizon will open the door for the assessment of a relatively new concept in the credit risk related literature. The development of such a research area is in fact warranted, since the model validation standard will have to be based on some sort of theory, and more importantly it requires empirical results. Since the liquidity horizons are certainly crucial inputs of the incremental risk model, the creation of liquidity horizon benchmarks may be vital for model validation processes. The emphasis on the subject of liquidity may in the end be the greatest contribution of the incremental risk model in all three perspectives.  </w:t>
      </w:r>
    </w:p>
    <w:p w:rsidR="001C7C52" w:rsidRPr="00802C03" w:rsidRDefault="001C7C52" w:rsidP="001F0514">
      <w:pPr>
        <w:spacing w:line="280" w:lineRule="exact"/>
        <w:jc w:val="both"/>
        <w:rPr>
          <w:rFonts w:ascii="Garamond" w:hAnsi="Garamond" w:cs="NimbusRomNo9L-Regu"/>
          <w:color w:val="000000"/>
          <w:lang w:val="en-GB" w:eastAsia="nl-NL"/>
        </w:rPr>
        <w:sectPr w:rsidR="001C7C52" w:rsidRPr="00802C03" w:rsidSect="00FC23CC">
          <w:headerReference w:type="even" r:id="rId1429"/>
          <w:headerReference w:type="default" r:id="rId1430"/>
          <w:footerReference w:type="even" r:id="rId1431"/>
          <w:footerReference w:type="default" r:id="rId1432"/>
          <w:headerReference w:type="first" r:id="rId1433"/>
          <w:footerReference w:type="first" r:id="rId1434"/>
          <w:footnotePr>
            <w:numRestart w:val="eachSect"/>
          </w:footnotePr>
          <w:pgSz w:w="11906" w:h="16838"/>
          <w:pgMar w:top="1247" w:right="1247" w:bottom="1247" w:left="1247" w:header="907" w:footer="907" w:gutter="0"/>
          <w:cols w:space="708"/>
          <w:titlePg/>
          <w:docGrid w:linePitch="360"/>
        </w:sectPr>
      </w:pPr>
    </w:p>
    <w:tbl>
      <w:tblPr>
        <w:tblW w:w="10708" w:type="dxa"/>
        <w:tblInd w:w="-1276" w:type="dxa"/>
        <w:tblCellMar>
          <w:left w:w="0" w:type="dxa"/>
          <w:right w:w="0" w:type="dxa"/>
        </w:tblCellMar>
        <w:tblLook w:val="00A0"/>
      </w:tblPr>
      <w:tblGrid>
        <w:gridCol w:w="1276"/>
        <w:gridCol w:w="20"/>
        <w:gridCol w:w="9392"/>
        <w:gridCol w:w="20"/>
      </w:tblGrid>
      <w:tr w:rsidR="001C7C52" w:rsidRPr="00802C03" w:rsidTr="002E2E49">
        <w:trPr>
          <w:gridAfter w:val="1"/>
          <w:wAfter w:w="20" w:type="dxa"/>
        </w:trPr>
        <w:tc>
          <w:tcPr>
            <w:tcW w:w="1276" w:type="dxa"/>
          </w:tcPr>
          <w:p w:rsidR="001C7C52" w:rsidRPr="002E2E49" w:rsidRDefault="001C7C52" w:rsidP="002E2E49">
            <w:pPr>
              <w:spacing w:line="280" w:lineRule="exact"/>
              <w:rPr>
                <w:rFonts w:ascii="Garamond" w:hAnsi="Garamond"/>
                <w:lang w:val="en-GB"/>
              </w:rPr>
            </w:pPr>
          </w:p>
        </w:tc>
        <w:tc>
          <w:tcPr>
            <w:tcW w:w="9412" w:type="dxa"/>
            <w:gridSpan w:val="2"/>
            <w:tcBorders>
              <w:bottom w:val="single" w:sz="4" w:space="0" w:color="auto"/>
            </w:tcBorders>
          </w:tcPr>
          <w:p w:rsidR="001C7C52" w:rsidRPr="002E2E49" w:rsidRDefault="001C7C52" w:rsidP="002E2E49">
            <w:pPr>
              <w:spacing w:line="280" w:lineRule="exact"/>
              <w:jc w:val="center"/>
              <w:rPr>
                <w:rFonts w:ascii="Garamond" w:hAnsi="Garamond"/>
                <w:lang w:val="en-GB"/>
              </w:rPr>
            </w:pPr>
            <w:bookmarkStart w:id="93" w:name="C6_Appendices"/>
            <w:bookmarkEnd w:id="93"/>
            <w:r w:rsidRPr="002E2E49">
              <w:rPr>
                <w:rFonts w:ascii="Garamond" w:hAnsi="Garamond" w:cs="NimbusRomNo9L-Regu"/>
                <w:b/>
                <w:sz w:val="30"/>
                <w:szCs w:val="30"/>
                <w:lang w:val="en-GB" w:eastAsia="nl-NL"/>
              </w:rPr>
              <w:t>A</w:t>
            </w:r>
            <w:r w:rsidRPr="002E2E49">
              <w:rPr>
                <w:rFonts w:ascii="Garamond" w:hAnsi="Garamond" w:cs="NimbusRomNo9L-Regu"/>
                <w:b/>
                <w:sz w:val="24"/>
                <w:szCs w:val="24"/>
                <w:lang w:val="en-GB" w:eastAsia="nl-NL"/>
              </w:rPr>
              <w:t>PPENDICES</w:t>
            </w:r>
          </w:p>
        </w:tc>
      </w:tr>
      <w:tr w:rsidR="001C7C52" w:rsidRPr="00802C03" w:rsidTr="002E2E49">
        <w:tc>
          <w:tcPr>
            <w:tcW w:w="1276" w:type="dxa"/>
          </w:tcPr>
          <w:p w:rsidR="001C7C52" w:rsidRPr="002E2E49" w:rsidRDefault="001C7C52" w:rsidP="002E2E49">
            <w:pPr>
              <w:spacing w:line="40" w:lineRule="exact"/>
              <w:rPr>
                <w:rFonts w:ascii="Garamond" w:hAnsi="Garamond"/>
                <w:lang w:val="en-GB"/>
              </w:rPr>
            </w:pPr>
          </w:p>
        </w:tc>
        <w:tc>
          <w:tcPr>
            <w:tcW w:w="20" w:type="dxa"/>
          </w:tcPr>
          <w:p w:rsidR="001C7C52" w:rsidRPr="002E2E49" w:rsidRDefault="001C7C52" w:rsidP="002E2E49">
            <w:pPr>
              <w:spacing w:line="40" w:lineRule="exact"/>
              <w:rPr>
                <w:rFonts w:ascii="Garamond" w:hAnsi="Garamond"/>
                <w:lang w:val="en-GB"/>
              </w:rPr>
            </w:pPr>
            <w:r>
              <w:rPr>
                <w:noProof/>
                <w:lang w:val="en-US"/>
              </w:rPr>
              <w:pict>
                <v:rect id="_x0000_s1124" style="position:absolute;margin-left:0;margin-top:-.3pt;width:470.65pt;height:1.15pt;z-index:-251649536;mso-position-horizontal-relative:text;mso-position-vertical-relative:text" fillcolor="black" stroked="f">
                  <v:fill rotate="t" angle="-90" focus="50%" type="gradient"/>
                </v:rect>
              </w:pict>
            </w:r>
          </w:p>
        </w:tc>
        <w:tc>
          <w:tcPr>
            <w:tcW w:w="9412" w:type="dxa"/>
            <w:gridSpan w:val="2"/>
          </w:tcPr>
          <w:p w:rsidR="001C7C52" w:rsidRPr="002E2E49" w:rsidRDefault="001C7C52" w:rsidP="002E2E49">
            <w:pPr>
              <w:spacing w:line="40" w:lineRule="exact"/>
              <w:rPr>
                <w:rFonts w:ascii="Garamond" w:hAnsi="Garamond"/>
                <w:lang w:val="en-GB"/>
              </w:rPr>
            </w:pPr>
          </w:p>
        </w:tc>
      </w:tr>
    </w:tbl>
    <w:p w:rsidR="001C7C52" w:rsidRPr="00802C03" w:rsidRDefault="001C7C52" w:rsidP="001F0514">
      <w:pPr>
        <w:spacing w:line="280" w:lineRule="exact"/>
        <w:jc w:val="both"/>
        <w:rPr>
          <w:rFonts w:ascii="Garamond" w:hAnsi="Garamond"/>
          <w:lang w:val="en-GB"/>
        </w:rPr>
      </w:pPr>
    </w:p>
    <w:p w:rsidR="001C7C52" w:rsidRPr="00802C03" w:rsidRDefault="001C7C52" w:rsidP="001F0514">
      <w:pPr>
        <w:spacing w:line="280" w:lineRule="exact"/>
        <w:jc w:val="both"/>
        <w:rPr>
          <w:rFonts w:ascii="Garamond" w:hAnsi="Garamond" w:cs="NimbusRomNo9L-Regu"/>
          <w:lang w:val="en-GB" w:eastAsia="nl-NL"/>
        </w:rPr>
      </w:pPr>
    </w:p>
    <w:tbl>
      <w:tblPr>
        <w:tblW w:w="7070" w:type="dxa"/>
        <w:tblInd w:w="-1276" w:type="dxa"/>
        <w:tblLayout w:type="fixed"/>
        <w:tblCellMar>
          <w:left w:w="0" w:type="dxa"/>
          <w:right w:w="0" w:type="dxa"/>
        </w:tblCellMar>
        <w:tblLook w:val="00A0"/>
      </w:tblPr>
      <w:tblGrid>
        <w:gridCol w:w="709"/>
        <w:gridCol w:w="567"/>
        <w:gridCol w:w="5794"/>
      </w:tblGrid>
      <w:tr w:rsidR="001C7C52" w:rsidRPr="000B0ADE"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bookmarkStart w:id="94" w:name="SA1"/>
            <w:bookmarkEnd w:id="94"/>
            <w:r w:rsidRPr="002E2E49">
              <w:rPr>
                <w:rFonts w:ascii="Garamond" w:hAnsi="Garamond" w:cs="NimbusRomNo9L-Regu"/>
                <w:b/>
                <w:lang w:val="en-GB" w:eastAsia="nl-NL"/>
              </w:rPr>
              <w:t>A.1</w:t>
            </w:r>
          </w:p>
        </w:tc>
        <w:tc>
          <w:tcPr>
            <w:tcW w:w="5794"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T</w:t>
            </w:r>
            <w:r w:rsidRPr="002E2E49">
              <w:rPr>
                <w:rFonts w:ascii="Garamond" w:hAnsi="Garamond" w:cs="NimbusRomNo9L-Regu"/>
                <w:b/>
                <w:sz w:val="18"/>
                <w:szCs w:val="18"/>
                <w:lang w:val="en-GB" w:eastAsia="nl-NL"/>
              </w:rPr>
              <w:t>HE</w:t>
            </w:r>
            <w:r w:rsidRPr="002E2E49">
              <w:rPr>
                <w:rFonts w:ascii="Garamond" w:hAnsi="Garamond" w:cs="NimbusRomNo9L-Regu"/>
                <w:b/>
                <w:lang w:val="en-GB" w:eastAsia="nl-NL"/>
              </w:rPr>
              <w:t xml:space="preserve"> T</w:t>
            </w:r>
            <w:r w:rsidRPr="002E2E49">
              <w:rPr>
                <w:rFonts w:ascii="Garamond" w:hAnsi="Garamond" w:cs="NimbusRomNo9L-Regu"/>
                <w:b/>
                <w:sz w:val="18"/>
                <w:szCs w:val="18"/>
                <w:lang w:val="en-GB" w:eastAsia="nl-NL"/>
              </w:rPr>
              <w:t>WO</w:t>
            </w:r>
            <w:r w:rsidRPr="002E2E49">
              <w:rPr>
                <w:rFonts w:ascii="Garamond" w:hAnsi="Garamond" w:cs="NimbusRomNo9L-Regu"/>
                <w:b/>
                <w:lang w:val="en-GB" w:eastAsia="nl-NL"/>
              </w:rPr>
              <w:t>-P</w:t>
            </w:r>
            <w:r w:rsidRPr="002E2E49">
              <w:rPr>
                <w:rFonts w:ascii="Garamond" w:hAnsi="Garamond" w:cs="NimbusRomNo9L-Regu"/>
                <w:b/>
                <w:sz w:val="18"/>
                <w:szCs w:val="18"/>
                <w:lang w:val="en-GB" w:eastAsia="nl-NL"/>
              </w:rPr>
              <w:t>ERIOD</w:t>
            </w:r>
            <w:r w:rsidRPr="002E2E49">
              <w:rPr>
                <w:rFonts w:ascii="Garamond" w:hAnsi="Garamond" w:cs="NimbusRomNo9L-Regu"/>
                <w:b/>
                <w:lang w:val="en-GB" w:eastAsia="nl-NL"/>
              </w:rPr>
              <w:t xml:space="preserve"> T</w:t>
            </w:r>
            <w:r w:rsidRPr="002E2E49">
              <w:rPr>
                <w:rFonts w:ascii="Garamond" w:hAnsi="Garamond" w:cs="NimbusRomNo9L-Regu"/>
                <w:b/>
                <w:sz w:val="18"/>
                <w:szCs w:val="18"/>
                <w:lang w:val="en-GB" w:eastAsia="nl-NL"/>
              </w:rPr>
              <w:t>WO</w:t>
            </w:r>
            <w:r w:rsidRPr="002E2E49">
              <w:rPr>
                <w:rFonts w:ascii="Garamond" w:hAnsi="Garamond" w:cs="NimbusRomNo9L-Regu"/>
                <w:b/>
                <w:lang w:val="en-GB" w:eastAsia="nl-NL"/>
              </w:rPr>
              <w:t>-I</w:t>
            </w:r>
            <w:r w:rsidRPr="002E2E49">
              <w:rPr>
                <w:rFonts w:ascii="Garamond" w:hAnsi="Garamond" w:cs="NimbusRomNo9L-Regu"/>
                <w:b/>
                <w:sz w:val="18"/>
                <w:szCs w:val="18"/>
                <w:lang w:val="en-GB" w:eastAsia="nl-NL"/>
              </w:rPr>
              <w:t>SSUER</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ORRELATION</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ORRECTION</w:t>
            </w:r>
          </w:p>
        </w:tc>
      </w:tr>
    </w:tbl>
    <w:p w:rsidR="001C7C52" w:rsidRPr="00802C03" w:rsidRDefault="001C7C52" w:rsidP="001F0514">
      <w:pPr>
        <w:spacing w:before="160" w:line="280" w:lineRule="exact"/>
        <w:jc w:val="both"/>
        <w:rPr>
          <w:rFonts w:ascii="Garamond" w:hAnsi="Garamond" w:cs="NimbusRomNo9L-Regu"/>
          <w:lang w:val="en-GB" w:eastAsia="nl-NL"/>
        </w:rPr>
      </w:pPr>
      <w:r w:rsidRPr="00802C03">
        <w:rPr>
          <w:rFonts w:ascii="Garamond" w:hAnsi="Garamond" w:cs="NimbusRomNo9L-Regu"/>
          <w:lang w:val="en-GB" w:eastAsia="nl-NL"/>
        </w:rPr>
        <w:t>In the two period two issuer setting, two Gaussian copulas must be applied to construct standard normal simulated issuer asset returns that are correlated in two dimensions. The single-period returns of these issuers are defined as:</w:t>
      </w:r>
    </w:p>
    <w:p w:rsidR="001C7C52" w:rsidRPr="00802C03" w:rsidRDefault="001C7C52" w:rsidP="001F0514">
      <w:pPr>
        <w:spacing w:before="80" w:after="12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00" w:dyaOrig="300">
          <v:shape id="_x0000_i1813" type="#_x0000_t75" style="width:15pt;height:15pt" o:ole="">
            <v:imagedata r:id="rId1435" o:title=""/>
          </v:shape>
          <o:OLEObject Type="Embed" ProgID="Equation.DSMT4" ShapeID="_x0000_i1813" DrawAspect="Content" ObjectID="_1324894264" r:id="rId143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14" type="#_x0000_t75" style="width:16.5pt;height:15.75pt" o:ole="">
            <v:imagedata r:id="rId1437" o:title=""/>
          </v:shape>
          <o:OLEObject Type="Embed" ProgID="Equation.DSMT4" ShapeID="_x0000_i1814" DrawAspect="Content" ObjectID="_1324894265" r:id="rId1438"/>
        </w:object>
      </w:r>
      <w:r w:rsidRPr="00802C03">
        <w:rPr>
          <w:rFonts w:ascii="Garamond" w:hAnsi="Garamond" w:cs="NimbusRomNo9L-Regu"/>
          <w:lang w:val="en-GB" w:eastAsia="nl-NL"/>
        </w:rPr>
        <w:t xml:space="preserve"> for position A and </w:t>
      </w:r>
      <w:r w:rsidRPr="00100BDF">
        <w:rPr>
          <w:rFonts w:ascii="Garamond" w:hAnsi="Garamond" w:cs="NimbusRomNo9L-Regu"/>
          <w:position w:val="-10"/>
          <w:lang w:val="en-GB" w:eastAsia="nl-NL"/>
        </w:rPr>
        <w:object w:dxaOrig="300" w:dyaOrig="300">
          <v:shape id="_x0000_i1815" type="#_x0000_t75" style="width:15pt;height:15pt" o:ole="">
            <v:imagedata r:id="rId1439" o:title=""/>
          </v:shape>
          <o:OLEObject Type="Embed" ProgID="Equation.DSMT4" ShapeID="_x0000_i1815" DrawAspect="Content" ObjectID="_1324894266" r:id="rId144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16" type="#_x0000_t75" style="width:16.5pt;height:15.75pt" o:ole="">
            <v:imagedata r:id="rId1441" o:title=""/>
          </v:shape>
          <o:OLEObject Type="Embed" ProgID="Equation.DSMT4" ShapeID="_x0000_i1816" DrawAspect="Content" ObjectID="_1324894267" r:id="rId1442"/>
        </w:object>
      </w:r>
      <w:r w:rsidRPr="00802C03">
        <w:rPr>
          <w:rFonts w:ascii="Garamond" w:hAnsi="Garamond" w:cs="NimbusRomNo9L-Regu"/>
          <w:lang w:val="en-GB" w:eastAsia="nl-NL"/>
        </w:rPr>
        <w:t xml:space="preserve"> for position B.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objective here is as follows: </w:t>
      </w:r>
      <w:r w:rsidRPr="00100BDF">
        <w:rPr>
          <w:rFonts w:ascii="Garamond" w:hAnsi="Garamond" w:cs="NimbusRomNo9L-Regu"/>
          <w:position w:val="-10"/>
          <w:lang w:val="en-GB" w:eastAsia="nl-NL"/>
        </w:rPr>
        <w:object w:dxaOrig="340" w:dyaOrig="320">
          <v:shape id="_x0000_i1817" type="#_x0000_t75" style="width:16.5pt;height:15.75pt" o:ole="">
            <v:imagedata r:id="rId1443" o:title=""/>
          </v:shape>
          <o:OLEObject Type="Embed" ProgID="Equation.DSMT4" ShapeID="_x0000_i1817" DrawAspect="Content" ObjectID="_1324894268" r:id="rId1444"/>
        </w:object>
      </w:r>
      <w:r w:rsidRPr="00802C03">
        <w:rPr>
          <w:rFonts w:ascii="Garamond" w:hAnsi="Garamond" w:cs="NimbusRomNo9L-Regu"/>
          <w:lang w:val="en-GB" w:eastAsia="nl-NL"/>
        </w:rPr>
        <w:t xml:space="preserve"> should be auto-correlated to </w:t>
      </w:r>
      <w:r w:rsidRPr="00100BDF">
        <w:rPr>
          <w:rFonts w:ascii="Garamond" w:hAnsi="Garamond" w:cs="NimbusRomNo9L-Regu"/>
          <w:position w:val="-10"/>
          <w:lang w:val="en-GB" w:eastAsia="nl-NL"/>
        </w:rPr>
        <w:object w:dxaOrig="300" w:dyaOrig="300">
          <v:shape id="_x0000_i1818" type="#_x0000_t75" style="width:15pt;height:15pt" o:ole="">
            <v:imagedata r:id="rId1445" o:title=""/>
          </v:shape>
          <o:OLEObject Type="Embed" ProgID="Equation.DSMT4" ShapeID="_x0000_i1818" DrawAspect="Content" ObjectID="_1324894269" r:id="rId1446"/>
        </w:object>
      </w:r>
      <w:r w:rsidRPr="00802C03">
        <w:rPr>
          <w:rFonts w:ascii="Garamond" w:hAnsi="Garamond" w:cs="NimbusRomNo9L-Regu"/>
          <w:lang w:val="en-GB" w:eastAsia="nl-NL"/>
        </w:rPr>
        <w:t xml:space="preserve"> with autocorrelation coefficient </w:t>
      </w:r>
      <w:r w:rsidRPr="00100BDF">
        <w:rPr>
          <w:rFonts w:ascii="Garamond" w:hAnsi="Garamond" w:cs="NimbusRomNo9L-Regu"/>
          <w:position w:val="-10"/>
          <w:lang w:val="en-GB" w:eastAsia="nl-NL"/>
        </w:rPr>
        <w:object w:dxaOrig="440" w:dyaOrig="300">
          <v:shape id="_x0000_i1819" type="#_x0000_t75" style="width:21.75pt;height:15pt" o:ole="">
            <v:imagedata r:id="rId1447" o:title=""/>
          </v:shape>
          <o:OLEObject Type="Embed" ProgID="Equation.DSMT4" ShapeID="_x0000_i1819" DrawAspect="Content" ObjectID="_1324894270" r:id="rId144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20" type="#_x0000_t75" style="width:16.5pt;height:15.75pt" o:ole="">
            <v:imagedata r:id="rId1449" o:title=""/>
          </v:shape>
          <o:OLEObject Type="Embed" ProgID="Equation.DSMT4" ShapeID="_x0000_i1820" DrawAspect="Content" ObjectID="_1324894271" r:id="rId1450"/>
        </w:object>
      </w:r>
      <w:r w:rsidRPr="00802C03">
        <w:rPr>
          <w:rFonts w:ascii="Garamond" w:hAnsi="Garamond" w:cs="NimbusRomNo9L-Regu"/>
          <w:lang w:val="en-GB" w:eastAsia="nl-NL"/>
        </w:rPr>
        <w:t xml:space="preserve"> should be auto-correlated to </w:t>
      </w:r>
      <w:r w:rsidRPr="00100BDF">
        <w:rPr>
          <w:rFonts w:ascii="Garamond" w:hAnsi="Garamond" w:cs="NimbusRomNo9L-Regu"/>
          <w:position w:val="-10"/>
          <w:lang w:val="en-GB" w:eastAsia="nl-NL"/>
        </w:rPr>
        <w:object w:dxaOrig="300" w:dyaOrig="300">
          <v:shape id="_x0000_i1821" type="#_x0000_t75" style="width:15pt;height:15pt" o:ole="">
            <v:imagedata r:id="rId1451" o:title=""/>
          </v:shape>
          <o:OLEObject Type="Embed" ProgID="Equation.DSMT4" ShapeID="_x0000_i1821" DrawAspect="Content" ObjectID="_1324894272" r:id="rId1452"/>
        </w:object>
      </w:r>
      <w:r w:rsidRPr="00802C03">
        <w:rPr>
          <w:rFonts w:ascii="Garamond" w:hAnsi="Garamond" w:cs="NimbusRomNo9L-Regu"/>
          <w:lang w:val="en-GB" w:eastAsia="nl-NL"/>
        </w:rPr>
        <w:t xml:space="preserve"> with autocorrelation coefficient </w:t>
      </w:r>
      <w:r w:rsidRPr="00100BDF">
        <w:rPr>
          <w:rFonts w:ascii="Garamond" w:hAnsi="Garamond" w:cs="NimbusRomNo9L-Regu"/>
          <w:position w:val="-10"/>
          <w:lang w:val="en-GB" w:eastAsia="nl-NL"/>
        </w:rPr>
        <w:object w:dxaOrig="440" w:dyaOrig="300">
          <v:shape id="_x0000_i1822" type="#_x0000_t75" style="width:21.75pt;height:15pt" o:ole="">
            <v:imagedata r:id="rId1453" o:title=""/>
          </v:shape>
          <o:OLEObject Type="Embed" ProgID="Equation.DSMT4" ShapeID="_x0000_i1822" DrawAspect="Content" ObjectID="_1324894273" r:id="rId1454"/>
        </w:object>
      </w:r>
      <w:r w:rsidRPr="00802C03">
        <w:rPr>
          <w:rFonts w:ascii="Garamond" w:hAnsi="Garamond" w:cs="NimbusRomNo9L-Regu"/>
          <w:lang w:val="en-GB" w:eastAsia="nl-NL"/>
        </w:rPr>
        <w:t xml:space="preserve">. The implied issuer correlation should be equal to </w:t>
      </w:r>
      <w:r w:rsidRPr="00100BDF">
        <w:rPr>
          <w:rFonts w:ascii="Garamond" w:hAnsi="Garamond" w:cs="NimbusRomNo9L-Regu"/>
          <w:position w:val="-10"/>
          <w:lang w:val="en-GB" w:eastAsia="nl-NL"/>
        </w:rPr>
        <w:object w:dxaOrig="340" w:dyaOrig="300">
          <v:shape id="_x0000_i1823" type="#_x0000_t75" style="width:16.5pt;height:15pt" o:ole="">
            <v:imagedata r:id="rId1455" o:title=""/>
          </v:shape>
          <o:OLEObject Type="Embed" ProgID="Equation.DSMT4" ShapeID="_x0000_i1823" DrawAspect="Content" ObjectID="_1324894274" r:id="rId1456"/>
        </w:object>
      </w:r>
      <w:r w:rsidRPr="00802C03">
        <w:rPr>
          <w:rFonts w:ascii="Garamond" w:hAnsi="Garamond" w:cs="NimbusRomNo9L-Regu"/>
          <w:lang w:val="en-GB" w:eastAsia="nl-NL"/>
        </w:rPr>
        <w:t xml:space="preserve">. Hence, </w:t>
      </w:r>
      <w:r w:rsidRPr="00100BDF">
        <w:rPr>
          <w:rFonts w:ascii="Garamond" w:hAnsi="Garamond" w:cs="NimbusRomNo9L-Regu"/>
          <w:position w:val="-10"/>
          <w:lang w:val="en-GB" w:eastAsia="nl-NL"/>
        </w:rPr>
        <w:object w:dxaOrig="2040" w:dyaOrig="320">
          <v:shape id="_x0000_i1824" type="#_x0000_t75" style="width:102pt;height:15.75pt" o:ole="">
            <v:imagedata r:id="rId1457" o:title=""/>
          </v:shape>
          <o:OLEObject Type="Embed" ProgID="Equation.DSMT4" ShapeID="_x0000_i1824" DrawAspect="Content" ObjectID="_1324894275" r:id="rId1458"/>
        </w:object>
      </w:r>
      <w:r w:rsidRPr="00802C03">
        <w:rPr>
          <w:rFonts w:ascii="Garamond" w:hAnsi="Garamond" w:cs="NimbusRomNo9L-Regu"/>
          <w:lang w:val="en-GB" w:eastAsia="nl-NL"/>
        </w:rPr>
        <w:t xml:space="preserve"> should take on the value of </w:t>
      </w:r>
      <w:r w:rsidRPr="00100BDF">
        <w:rPr>
          <w:rFonts w:ascii="Garamond" w:hAnsi="Garamond" w:cs="NimbusRomNo9L-Regu"/>
          <w:position w:val="-10"/>
          <w:lang w:val="en-GB" w:eastAsia="nl-NL"/>
        </w:rPr>
        <w:object w:dxaOrig="340" w:dyaOrig="300">
          <v:shape id="_x0000_i1825" type="#_x0000_t75" style="width:16.5pt;height:15pt" o:ole="">
            <v:imagedata r:id="rId1459" o:title=""/>
          </v:shape>
          <o:OLEObject Type="Embed" ProgID="Equation.DSMT4" ShapeID="_x0000_i1825" DrawAspect="Content" ObjectID="_1324894276" r:id="rId1460"/>
        </w:object>
      </w:r>
      <w:r w:rsidRPr="00802C03">
        <w:rPr>
          <w:rFonts w:ascii="Garamond" w:hAnsi="Garamond" w:cs="NimbusRomNo9L-Regu"/>
          <w:lang w:val="en-GB" w:eastAsia="nl-NL"/>
        </w:rPr>
        <w:t xml:space="preserve">. </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First, the issuer asset correlation is introduced in both periods:</w:t>
      </w:r>
    </w:p>
    <w:p w:rsidR="001C7C52" w:rsidRPr="00802C03" w:rsidRDefault="001C7C52" w:rsidP="001F0514">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95" w:name="EAN1"/>
      <w:bookmarkEnd w:id="95"/>
      <w:r w:rsidRPr="00100BDF">
        <w:rPr>
          <w:rFonts w:ascii="Garamond" w:hAnsi="Garamond" w:cs="NimbusRomNo9L-Regu"/>
          <w:position w:val="-12"/>
          <w:lang w:val="en-GB" w:eastAsia="nl-NL"/>
        </w:rPr>
        <w:object w:dxaOrig="2040" w:dyaOrig="380">
          <v:shape id="_x0000_i1826" type="#_x0000_t75" style="width:102pt;height:18.75pt" o:ole="">
            <v:imagedata r:id="rId1461" o:title=""/>
          </v:shape>
          <o:OLEObject Type="Embed" ProgID="Equation.DSMT4" ShapeID="_x0000_i1826" DrawAspect="Content" ObjectID="_1324894277" r:id="rId1462"/>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r>
      <w:r w:rsidRPr="00802C03">
        <w:rPr>
          <w:rFonts w:ascii="Garamond" w:hAnsi="Garamond" w:cs="NimbusRomNo9L-Regu"/>
          <w:lang w:val="en-GB" w:eastAsia="nl-NL"/>
        </w:rPr>
        <w:tab/>
        <w:t>(A.1)</w:t>
      </w:r>
    </w:p>
    <w:p w:rsidR="001C7C52" w:rsidRPr="00802C03" w:rsidRDefault="001C7C52" w:rsidP="001F0514">
      <w:pPr>
        <w:tabs>
          <w:tab w:val="left" w:pos="567"/>
          <w:tab w:val="left" w:pos="8505"/>
        </w:tabs>
        <w:spacing w:before="12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and </w:t>
      </w:r>
      <w:bookmarkStart w:id="96" w:name="EAN2"/>
      <w:bookmarkEnd w:id="96"/>
      <w:r w:rsidRPr="00100BDF">
        <w:rPr>
          <w:rFonts w:ascii="Garamond" w:hAnsi="Garamond" w:cs="NimbusRomNo9L-Regu"/>
          <w:position w:val="-12"/>
          <w:lang w:val="en-GB" w:eastAsia="nl-NL"/>
        </w:rPr>
        <w:object w:dxaOrig="2100" w:dyaOrig="380">
          <v:shape id="_x0000_i1827" type="#_x0000_t75" style="width:105pt;height:18.75pt" o:ole="">
            <v:imagedata r:id="rId1463" o:title=""/>
          </v:shape>
          <o:OLEObject Type="Embed" ProgID="Equation.DSMT4" ShapeID="_x0000_i1827" DrawAspect="Content" ObjectID="_1324894278" r:id="rId1464"/>
        </w:object>
      </w:r>
      <w:r w:rsidRPr="00802C03">
        <w:rPr>
          <w:rFonts w:ascii="Garamond" w:hAnsi="Garamond" w:cs="NimbusRomNo9L-Regu"/>
          <w:lang w:val="en-GB" w:eastAsia="nl-NL"/>
        </w:rPr>
        <w:t>,</w:t>
      </w:r>
      <w:r w:rsidRPr="00802C03">
        <w:rPr>
          <w:rFonts w:ascii="Garamond" w:hAnsi="Garamond" w:cs="NimbusRomNo9L-Regu"/>
          <w:lang w:val="en-GB" w:eastAsia="nl-NL"/>
        </w:rPr>
        <w:tab/>
        <w:t>(A.2)</w:t>
      </w:r>
    </w:p>
    <w:p w:rsidR="001C7C52" w:rsidRPr="00802C03" w:rsidRDefault="001C7C52" w:rsidP="001F0514">
      <w:pPr>
        <w:spacing w:before="16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300" w:dyaOrig="300">
          <v:shape id="_x0000_i1828" type="#_x0000_t75" style="width:15pt;height:15pt" o:ole="">
            <v:imagedata r:id="rId1465" o:title=""/>
          </v:shape>
          <o:OLEObject Type="Embed" ProgID="Equation.DSMT4" ShapeID="_x0000_i1828" DrawAspect="Content" ObjectID="_1324894279" r:id="rId1466"/>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20" w:dyaOrig="300">
          <v:shape id="_x0000_i1829" type="#_x0000_t75" style="width:15.75pt;height:15pt" o:ole="">
            <v:imagedata r:id="rId1467" o:title=""/>
          </v:shape>
          <o:OLEObject Type="Embed" ProgID="Equation.DSMT4" ShapeID="_x0000_i1829" DrawAspect="Content" ObjectID="_1324894280" r:id="rId1468"/>
        </w:object>
      </w:r>
      <w:r w:rsidRPr="00802C03">
        <w:rPr>
          <w:rFonts w:ascii="Garamond" w:hAnsi="Garamond" w:cs="NimbusRomNo9L-Regu"/>
          <w:lang w:val="en-GB" w:eastAsia="nl-NL"/>
        </w:rPr>
        <w:t xml:space="preserve">, </w:t>
      </w:r>
      <w:r w:rsidRPr="00100BDF">
        <w:rPr>
          <w:rFonts w:ascii="Garamond" w:hAnsi="Garamond" w:cs="NimbusRomNo9L-Regu"/>
          <w:position w:val="-8"/>
          <w:lang w:val="en-GB" w:eastAsia="nl-NL"/>
        </w:rPr>
        <w:object w:dxaOrig="200" w:dyaOrig="279">
          <v:shape id="_x0000_i1830" type="#_x0000_t75" style="width:9.75pt;height:13.5pt" o:ole="">
            <v:imagedata r:id="rId1469" o:title=""/>
          </v:shape>
          <o:OLEObject Type="Embed" ProgID="Equation.DSMT4" ShapeID="_x0000_i1830" DrawAspect="Content" ObjectID="_1324894281" r:id="rId1470"/>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220" w:dyaOrig="279">
          <v:shape id="_x0000_i1831" type="#_x0000_t75" style="width:11.25pt;height:13.5pt" o:ole="">
            <v:imagedata r:id="rId1471" o:title=""/>
          </v:shape>
          <o:OLEObject Type="Embed" ProgID="Equation.DSMT4" ShapeID="_x0000_i1831" DrawAspect="Content" ObjectID="_1324894282" r:id="rId1472"/>
        </w:object>
      </w:r>
      <w:r w:rsidRPr="00802C03">
        <w:rPr>
          <w:rFonts w:ascii="Garamond" w:hAnsi="Garamond" w:cs="NimbusRomNo9L-Regu"/>
          <w:lang w:val="en-GB" w:eastAsia="nl-NL"/>
        </w:rPr>
        <w:t xml:space="preserve"> are independent standard normally distribution random variables, implying that </w:t>
      </w:r>
      <w:r w:rsidRPr="00100BDF">
        <w:rPr>
          <w:rFonts w:ascii="Garamond" w:hAnsi="Garamond" w:cs="NimbusRomNo9L-Regu"/>
          <w:position w:val="-10"/>
          <w:lang w:val="en-GB" w:eastAsia="nl-NL"/>
        </w:rPr>
        <w:object w:dxaOrig="300" w:dyaOrig="300">
          <v:shape id="_x0000_i1832" type="#_x0000_t75" style="width:15pt;height:15pt" o:ole="">
            <v:imagedata r:id="rId1473" o:title=""/>
          </v:shape>
          <o:OLEObject Type="Embed" ProgID="Equation.DSMT4" ShapeID="_x0000_i1832" DrawAspect="Content" ObjectID="_1324894283" r:id="rId147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20" w:dyaOrig="300">
          <v:shape id="_x0000_i1833" type="#_x0000_t75" style="width:15.75pt;height:15pt" o:ole="">
            <v:imagedata r:id="rId1475" o:title=""/>
          </v:shape>
          <o:OLEObject Type="Embed" ProgID="Equation.DSMT4" ShapeID="_x0000_i1833" DrawAspect="Content" ObjectID="_1324894284" r:id="rId1476"/>
        </w:object>
      </w:r>
      <w:r w:rsidRPr="00802C03">
        <w:rPr>
          <w:rFonts w:ascii="Garamond" w:hAnsi="Garamond" w:cs="NimbusRomNo9L-Regu"/>
          <w:lang w:val="en-GB" w:eastAsia="nl-NL"/>
        </w:rPr>
        <w:t xml:space="preserve"> are also standard normally distributed random variables that are correlated to </w:t>
      </w:r>
      <w:r w:rsidRPr="00100BDF">
        <w:rPr>
          <w:rFonts w:ascii="Garamond" w:hAnsi="Garamond" w:cs="NimbusRomNo9L-Regu"/>
          <w:position w:val="-10"/>
          <w:lang w:val="en-GB" w:eastAsia="nl-NL"/>
        </w:rPr>
        <w:object w:dxaOrig="300" w:dyaOrig="300">
          <v:shape id="_x0000_i1834" type="#_x0000_t75" style="width:15pt;height:15pt" o:ole="">
            <v:imagedata r:id="rId1477" o:title=""/>
          </v:shape>
          <o:OLEObject Type="Embed" ProgID="Equation.DSMT4" ShapeID="_x0000_i1834" DrawAspect="Content" ObjectID="_1324894285" r:id="rId147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20" w:dyaOrig="300">
          <v:shape id="_x0000_i1835" type="#_x0000_t75" style="width:15.75pt;height:15pt" o:ole="">
            <v:imagedata r:id="rId1479" o:title=""/>
          </v:shape>
          <o:OLEObject Type="Embed" ProgID="Equation.DSMT4" ShapeID="_x0000_i1835" DrawAspect="Content" ObjectID="_1324894286" r:id="rId1480"/>
        </w:object>
      </w:r>
      <w:r w:rsidRPr="00802C03">
        <w:rPr>
          <w:rFonts w:ascii="Garamond" w:hAnsi="Garamond" w:cs="NimbusRomNo9L-Regu"/>
          <w:lang w:val="en-GB" w:eastAsia="nl-NL"/>
        </w:rPr>
        <w:t xml:space="preserve">, respectively, with magnitude </w:t>
      </w:r>
      <w:r w:rsidRPr="00100BDF">
        <w:rPr>
          <w:rFonts w:ascii="Garamond" w:hAnsi="Garamond" w:cs="NimbusRomNo9L-Regu"/>
          <w:position w:val="-10"/>
          <w:lang w:val="en-GB" w:eastAsia="nl-NL"/>
        </w:rPr>
        <w:object w:dxaOrig="340" w:dyaOrig="300">
          <v:shape id="_x0000_i1836" type="#_x0000_t75" style="width:16.5pt;height:15pt" o:ole="">
            <v:imagedata r:id="rId1481" o:title=""/>
          </v:shape>
          <o:OLEObject Type="Embed" ProgID="Equation.DSMT4" ShapeID="_x0000_i1836" DrawAspect="Content" ObjectID="_1324894287" r:id="rId1482"/>
        </w:object>
      </w:r>
      <w:r w:rsidRPr="00802C03">
        <w:rPr>
          <w:rFonts w:ascii="Garamond" w:hAnsi="Garamond" w:cs="NimbusRomNo9L-Regu"/>
          <w:lang w:val="en-GB" w:eastAsia="nl-NL"/>
        </w:rPr>
        <w:t>.</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Subsequently, autocorrelation is introduced by applying the second Gaussian copula for both positions by creating variables </w:t>
      </w:r>
      <w:r w:rsidRPr="00100BDF">
        <w:rPr>
          <w:rFonts w:ascii="Garamond" w:hAnsi="Garamond" w:cs="NimbusRomNo9L-Regu"/>
          <w:position w:val="-10"/>
          <w:lang w:val="en-GB" w:eastAsia="nl-NL"/>
        </w:rPr>
        <w:object w:dxaOrig="340" w:dyaOrig="320">
          <v:shape id="_x0000_i1837" type="#_x0000_t75" style="width:16.5pt;height:15.75pt" o:ole="">
            <v:imagedata r:id="rId1483" o:title=""/>
          </v:shape>
          <o:OLEObject Type="Embed" ProgID="Equation.DSMT4" ShapeID="_x0000_i1837" DrawAspect="Content" ObjectID="_1324894288" r:id="rId148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38" type="#_x0000_t75" style="width:16.5pt;height:15.75pt" o:ole="">
            <v:imagedata r:id="rId1485" o:title=""/>
          </v:shape>
          <o:OLEObject Type="Embed" ProgID="Equation.DSMT4" ShapeID="_x0000_i1838" DrawAspect="Content" ObjectID="_1324894289" r:id="rId1486"/>
        </w:object>
      </w:r>
      <w:r w:rsidRPr="00802C03">
        <w:rPr>
          <w:rFonts w:ascii="Garamond" w:hAnsi="Garamond" w:cs="NimbusRomNo9L-Regu"/>
          <w:lang w:val="en-GB" w:eastAsia="nl-NL"/>
        </w:rPr>
        <w:t xml:space="preserve">, using </w:t>
      </w:r>
      <w:r w:rsidRPr="00100BDF">
        <w:rPr>
          <w:rFonts w:ascii="Garamond" w:hAnsi="Garamond" w:cs="NimbusRomNo9L-Regu"/>
          <w:position w:val="-10"/>
          <w:lang w:val="en-GB" w:eastAsia="nl-NL"/>
        </w:rPr>
        <w:object w:dxaOrig="300" w:dyaOrig="300">
          <v:shape id="_x0000_i1839" type="#_x0000_t75" style="width:15pt;height:15pt" o:ole="">
            <v:imagedata r:id="rId1487" o:title=""/>
          </v:shape>
          <o:OLEObject Type="Embed" ProgID="Equation.DSMT4" ShapeID="_x0000_i1839" DrawAspect="Content" ObjectID="_1324894290" r:id="rId148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20" w:dyaOrig="300">
          <v:shape id="_x0000_i1840" type="#_x0000_t75" style="width:15.75pt;height:15pt" o:ole="">
            <v:imagedata r:id="rId1489" o:title=""/>
          </v:shape>
          <o:OLEObject Type="Embed" ProgID="Equation.DSMT4" ShapeID="_x0000_i1840" DrawAspect="Content" ObjectID="_1324894291" r:id="rId1490"/>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00" w:dyaOrig="300">
          <v:shape id="_x0000_i1841" type="#_x0000_t75" style="width:15pt;height:15pt" o:ole="">
            <v:imagedata r:id="rId1491" o:title=""/>
          </v:shape>
          <o:OLEObject Type="Embed" ProgID="Equation.DSMT4" ShapeID="_x0000_i1841" DrawAspect="Content" ObjectID="_1324894292" r:id="rId1492"/>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20" w:dyaOrig="300">
          <v:shape id="_x0000_i1842" type="#_x0000_t75" style="width:15.75pt;height:15pt" o:ole="">
            <v:imagedata r:id="rId1493" o:title=""/>
          </v:shape>
          <o:OLEObject Type="Embed" ProgID="Equation.DSMT4" ShapeID="_x0000_i1842" DrawAspect="Content" ObjectID="_1324894293" r:id="rId1494"/>
        </w:object>
      </w:r>
      <w:r w:rsidRPr="00802C03">
        <w:rPr>
          <w:rFonts w:ascii="Garamond" w:hAnsi="Garamond" w:cs="NimbusRomNo9L-Regu"/>
          <w:lang w:val="en-GB" w:eastAsia="nl-NL"/>
        </w:rPr>
        <w:t>:</w:t>
      </w:r>
    </w:p>
    <w:p w:rsidR="001C7C52" w:rsidRPr="00802C03" w:rsidRDefault="001C7C52" w:rsidP="001F0514">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97" w:name="EAN3"/>
      <w:bookmarkEnd w:id="97"/>
      <w:r w:rsidRPr="00100BDF">
        <w:rPr>
          <w:rFonts w:ascii="Garamond" w:hAnsi="Garamond" w:cs="NimbusRomNo9L-Regu"/>
          <w:position w:val="-12"/>
          <w:lang w:val="en-GB" w:eastAsia="nl-NL"/>
        </w:rPr>
        <w:object w:dxaOrig="2400" w:dyaOrig="380">
          <v:shape id="_x0000_i1843" type="#_x0000_t75" style="width:120pt;height:18.75pt" o:ole="">
            <v:imagedata r:id="rId1495" o:title=""/>
          </v:shape>
          <o:OLEObject Type="Embed" ProgID="Equation.DSMT4" ShapeID="_x0000_i1843" DrawAspect="Content" ObjectID="_1324894294" r:id="rId1496"/>
        </w:object>
      </w:r>
      <w:r w:rsidRPr="00802C03">
        <w:rPr>
          <w:rFonts w:ascii="Garamond" w:hAnsi="Garamond" w:cs="NimbusRomNo9L-Regu"/>
          <w:lang w:val="en-GB" w:eastAsia="nl-NL"/>
        </w:rPr>
        <w:t xml:space="preserve"> </w:t>
      </w:r>
      <w:r w:rsidRPr="00802C03">
        <w:rPr>
          <w:rFonts w:ascii="Garamond" w:hAnsi="Garamond" w:cs="NimbusRomNo9L-Regu"/>
          <w:lang w:val="en-GB" w:eastAsia="nl-NL"/>
        </w:rPr>
        <w:tab/>
      </w:r>
      <w:r w:rsidRPr="00802C03">
        <w:rPr>
          <w:rFonts w:ascii="Garamond" w:hAnsi="Garamond" w:cs="NimbusRomNo9L-Regu"/>
          <w:lang w:val="en-GB" w:eastAsia="nl-NL"/>
        </w:rPr>
        <w:tab/>
        <w:t>(A.3)</w:t>
      </w:r>
    </w:p>
    <w:p w:rsidR="001C7C52" w:rsidRPr="00802C03" w:rsidRDefault="001C7C52" w:rsidP="001F0514">
      <w:pPr>
        <w:tabs>
          <w:tab w:val="left" w:pos="567"/>
          <w:tab w:val="left" w:pos="8505"/>
        </w:tabs>
        <w:spacing w:before="120" w:line="320" w:lineRule="exact"/>
        <w:ind w:firstLine="567"/>
        <w:jc w:val="both"/>
        <w:rPr>
          <w:rFonts w:ascii="Garamond" w:hAnsi="Garamond" w:cs="NimbusRomNo9L-Regu"/>
          <w:lang w:val="en-GB" w:eastAsia="nl-NL"/>
        </w:rPr>
      </w:pPr>
      <w:r w:rsidRPr="00802C03">
        <w:rPr>
          <w:rFonts w:ascii="Garamond" w:hAnsi="Garamond" w:cs="NimbusRomNo9L-Regu"/>
          <w:lang w:val="en-GB" w:eastAsia="nl-NL"/>
        </w:rPr>
        <w:t xml:space="preserve">and </w:t>
      </w:r>
      <w:bookmarkStart w:id="98" w:name="EAN4"/>
      <w:bookmarkEnd w:id="98"/>
      <w:r w:rsidRPr="00100BDF">
        <w:rPr>
          <w:rFonts w:ascii="Garamond" w:hAnsi="Garamond" w:cs="NimbusRomNo9L-Regu"/>
          <w:position w:val="-12"/>
          <w:lang w:val="en-GB" w:eastAsia="nl-NL"/>
        </w:rPr>
        <w:object w:dxaOrig="2400" w:dyaOrig="380">
          <v:shape id="_x0000_i1844" type="#_x0000_t75" style="width:120pt;height:18.75pt" o:ole="">
            <v:imagedata r:id="rId1497" o:title=""/>
          </v:shape>
          <o:OLEObject Type="Embed" ProgID="Equation.DSMT4" ShapeID="_x0000_i1844" DrawAspect="Content" ObjectID="_1324894295" r:id="rId1498"/>
        </w:object>
      </w:r>
      <w:r w:rsidRPr="00802C03">
        <w:rPr>
          <w:rFonts w:ascii="Garamond" w:hAnsi="Garamond" w:cs="NimbusRomNo9L-Regu"/>
          <w:lang w:val="en-GB" w:eastAsia="nl-NL"/>
        </w:rPr>
        <w:t>,</w:t>
      </w:r>
      <w:r w:rsidRPr="00802C03">
        <w:rPr>
          <w:rFonts w:ascii="Garamond" w:hAnsi="Garamond" w:cs="NimbusRomNo9L-Regu"/>
          <w:lang w:val="en-GB" w:eastAsia="nl-NL"/>
        </w:rPr>
        <w:tab/>
        <w:t>(A.4)</w:t>
      </w:r>
    </w:p>
    <w:p w:rsidR="001C7C52" w:rsidRPr="00802C03" w:rsidRDefault="001C7C52" w:rsidP="001F0514">
      <w:pPr>
        <w:spacing w:before="16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where </w:t>
      </w:r>
      <w:r w:rsidRPr="00100BDF">
        <w:rPr>
          <w:rFonts w:ascii="Garamond" w:hAnsi="Garamond" w:cs="NimbusRomNo9L-Regu"/>
          <w:position w:val="-10"/>
          <w:lang w:val="en-GB" w:eastAsia="nl-NL"/>
        </w:rPr>
        <w:object w:dxaOrig="340" w:dyaOrig="320">
          <v:shape id="_x0000_i1845" type="#_x0000_t75" style="width:16.5pt;height:15.75pt" o:ole="">
            <v:imagedata r:id="rId1499" o:title=""/>
          </v:shape>
          <o:OLEObject Type="Embed" ProgID="Equation.DSMT4" ShapeID="_x0000_i1845" DrawAspect="Content" ObjectID="_1324894296" r:id="rId150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46" type="#_x0000_t75" style="width:16.5pt;height:15.75pt" o:ole="">
            <v:imagedata r:id="rId1501" o:title=""/>
          </v:shape>
          <o:OLEObject Type="Embed" ProgID="Equation.DSMT4" ShapeID="_x0000_i1846" DrawAspect="Content" ObjectID="_1324894297" r:id="rId1502"/>
        </w:object>
      </w:r>
      <w:r w:rsidRPr="00802C03">
        <w:rPr>
          <w:rFonts w:ascii="Garamond" w:hAnsi="Garamond" w:cs="NimbusRomNo9L-Regu"/>
          <w:lang w:val="en-GB" w:eastAsia="nl-NL"/>
        </w:rPr>
        <w:t xml:space="preserve"> are standard normally distributed and correlated to </w:t>
      </w:r>
      <w:r w:rsidRPr="00100BDF">
        <w:rPr>
          <w:rFonts w:ascii="Garamond" w:hAnsi="Garamond" w:cs="NimbusRomNo9L-Regu"/>
          <w:position w:val="-10"/>
          <w:lang w:val="en-GB" w:eastAsia="nl-NL"/>
        </w:rPr>
        <w:object w:dxaOrig="300" w:dyaOrig="300">
          <v:shape id="_x0000_i1847" type="#_x0000_t75" style="width:15pt;height:15pt" o:ole="">
            <v:imagedata r:id="rId1503" o:title=""/>
          </v:shape>
          <o:OLEObject Type="Embed" ProgID="Equation.DSMT4" ShapeID="_x0000_i1847" DrawAspect="Content" ObjectID="_1324894298" r:id="rId150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00" w:dyaOrig="300">
          <v:shape id="_x0000_i1848" type="#_x0000_t75" style="width:15pt;height:15pt" o:ole="">
            <v:imagedata r:id="rId1505" o:title=""/>
          </v:shape>
          <o:OLEObject Type="Embed" ProgID="Equation.DSMT4" ShapeID="_x0000_i1848" DrawAspect="Content" ObjectID="_1324894299" r:id="rId1506"/>
        </w:object>
      </w:r>
      <w:r w:rsidRPr="00802C03">
        <w:rPr>
          <w:rFonts w:ascii="Garamond" w:hAnsi="Garamond" w:cs="NimbusRomNo9L-Regu"/>
          <w:lang w:val="en-GB" w:eastAsia="nl-NL"/>
        </w:rPr>
        <w:t xml:space="preserve"> with magnitudes </w:t>
      </w:r>
      <w:r w:rsidRPr="00100BDF">
        <w:rPr>
          <w:rFonts w:ascii="Garamond" w:hAnsi="Garamond" w:cs="NimbusRomNo9L-Regu"/>
          <w:position w:val="-10"/>
          <w:lang w:val="en-GB" w:eastAsia="nl-NL"/>
        </w:rPr>
        <w:object w:dxaOrig="440" w:dyaOrig="300">
          <v:shape id="_x0000_i1849" type="#_x0000_t75" style="width:21.75pt;height:15pt" o:ole="">
            <v:imagedata r:id="rId1507" o:title=""/>
          </v:shape>
          <o:OLEObject Type="Embed" ProgID="Equation.DSMT4" ShapeID="_x0000_i1849" DrawAspect="Content" ObjectID="_1324894300" r:id="rId150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40" w:dyaOrig="300">
          <v:shape id="_x0000_i1850" type="#_x0000_t75" style="width:21.75pt;height:15pt" o:ole="">
            <v:imagedata r:id="rId1509" o:title=""/>
          </v:shape>
          <o:OLEObject Type="Embed" ProgID="Equation.DSMT4" ShapeID="_x0000_i1850" DrawAspect="Content" ObjectID="_1324894301" r:id="rId1510"/>
        </w:object>
      </w:r>
      <w:r w:rsidRPr="00802C03">
        <w:rPr>
          <w:rFonts w:ascii="Garamond" w:hAnsi="Garamond" w:cs="NimbusRomNo9L-Regu"/>
          <w:lang w:val="en-GB" w:eastAsia="nl-NL"/>
        </w:rPr>
        <w:t>, respectively, as a result of the second Gaussian copula.</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Using </w:t>
      </w:r>
      <w:hyperlink w:anchor="EAN1" w:history="1">
        <w:r w:rsidRPr="00802C03">
          <w:rPr>
            <w:rStyle w:val="Hyperlink"/>
            <w:rFonts w:ascii="Garamond" w:hAnsi="Garamond" w:cs="NimbusRomNo9L-Regu"/>
            <w:color w:val="000066"/>
            <w:u w:val="none"/>
            <w:lang w:val="en-GB" w:eastAsia="nl-NL"/>
          </w:rPr>
          <w:t>equations A.1</w:t>
        </w:r>
      </w:hyperlink>
      <w:r w:rsidRPr="00802C03">
        <w:rPr>
          <w:rFonts w:ascii="Garamond" w:hAnsi="Garamond" w:cs="NimbusRomNo9L-Regu"/>
          <w:lang w:val="en-GB" w:eastAsia="nl-NL"/>
        </w:rPr>
        <w:t xml:space="preserve">, </w:t>
      </w:r>
      <w:hyperlink w:anchor="EAN2" w:history="1">
        <w:r w:rsidRPr="00802C03">
          <w:rPr>
            <w:rStyle w:val="Hyperlink"/>
            <w:rFonts w:ascii="Garamond" w:hAnsi="Garamond" w:cs="NimbusRomNo9L-Regu"/>
            <w:color w:val="000066"/>
            <w:u w:val="none"/>
            <w:lang w:val="en-GB" w:eastAsia="nl-NL"/>
          </w:rPr>
          <w:t>A.2</w:t>
        </w:r>
      </w:hyperlink>
      <w:r w:rsidRPr="00802C03">
        <w:rPr>
          <w:rFonts w:ascii="Garamond" w:hAnsi="Garamond" w:cs="NimbusRomNo9L-Regu"/>
          <w:lang w:val="en-GB" w:eastAsia="nl-NL"/>
        </w:rPr>
        <w:t xml:space="preserve">, </w:t>
      </w:r>
      <w:hyperlink w:anchor="EAN3" w:history="1">
        <w:r w:rsidRPr="00802C03">
          <w:rPr>
            <w:rStyle w:val="Hyperlink"/>
            <w:rFonts w:ascii="Garamond" w:hAnsi="Garamond" w:cs="NimbusRomNo9L-Regu"/>
            <w:color w:val="000066"/>
            <w:u w:val="none"/>
            <w:lang w:val="en-GB" w:eastAsia="nl-NL"/>
          </w:rPr>
          <w:t>A.3</w:t>
        </w:r>
      </w:hyperlink>
      <w:r w:rsidRPr="00802C03">
        <w:rPr>
          <w:rFonts w:ascii="Garamond" w:hAnsi="Garamond" w:cs="NimbusRomNo9L-Regu"/>
          <w:lang w:val="en-GB" w:eastAsia="nl-NL"/>
        </w:rPr>
        <w:t xml:space="preserve"> and </w:t>
      </w:r>
      <w:hyperlink w:anchor="EAN4" w:history="1">
        <w:r w:rsidRPr="00802C03">
          <w:rPr>
            <w:rStyle w:val="Hyperlink"/>
            <w:rFonts w:ascii="Garamond" w:hAnsi="Garamond" w:cs="NimbusRomNo9L-Regu"/>
            <w:color w:val="000066"/>
            <w:u w:val="none"/>
            <w:lang w:val="en-GB" w:eastAsia="nl-NL"/>
          </w:rPr>
          <w:t>A.4</w:t>
        </w:r>
      </w:hyperlink>
      <w:r w:rsidRPr="00802C03">
        <w:rPr>
          <w:rFonts w:ascii="Garamond" w:hAnsi="Garamond" w:cs="NimbusRomNo9L-Regu"/>
          <w:lang w:val="en-GB" w:eastAsia="nl-NL"/>
        </w:rPr>
        <w:t>, it can be demonstrated that:</w:t>
      </w:r>
    </w:p>
    <w:p w:rsidR="001C7C52" w:rsidRPr="00802C03" w:rsidRDefault="001C7C52" w:rsidP="001F0514">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780" w:dyaOrig="320">
          <v:shape id="_x0000_i1851" type="#_x0000_t75" style="width:38.25pt;height:15.75pt" o:ole="">
            <v:imagedata r:id="rId1511" o:title=""/>
          </v:shape>
          <o:OLEObject Type="Embed" ProgID="Equation.DSMT4" ShapeID="_x0000_i1851" DrawAspect="Content" ObjectID="_1324894302" r:id="rId1512"/>
        </w:object>
      </w:r>
      <w:r w:rsidRPr="00802C03">
        <w:rPr>
          <w:rFonts w:ascii="Garamond" w:hAnsi="Garamond" w:cs="NimbusRomNo9L-Regu"/>
          <w:lang w:val="en-GB" w:eastAsia="nl-NL"/>
        </w:rPr>
        <w:t>,</w:t>
      </w:r>
      <w:r w:rsidRPr="00802C03">
        <w:rPr>
          <w:rFonts w:ascii="Garamond" w:hAnsi="Garamond" w:cs="NimbusRomNo9L-Regu"/>
          <w:lang w:val="en-GB" w:eastAsia="nl-NL"/>
        </w:rPr>
        <w:tab/>
        <w:t>(A.5)</w:t>
      </w:r>
    </w:p>
    <w:p w:rsidR="001C7C52" w:rsidRPr="00802C03" w:rsidRDefault="001C7C52" w:rsidP="001F0514">
      <w:pPr>
        <w:tabs>
          <w:tab w:val="left" w:pos="567"/>
          <w:tab w:val="left" w:pos="8505"/>
        </w:tabs>
        <w:spacing w:before="12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99" w:name="EAN6"/>
      <w:bookmarkEnd w:id="99"/>
      <w:r w:rsidRPr="00100BDF">
        <w:rPr>
          <w:rFonts w:ascii="Garamond" w:hAnsi="Garamond" w:cs="NimbusRomNo9L-Regu"/>
          <w:position w:val="-12"/>
          <w:lang w:val="en-GB" w:eastAsia="nl-NL"/>
        </w:rPr>
        <w:object w:dxaOrig="2079" w:dyaOrig="380">
          <v:shape id="_x0000_i1852" type="#_x0000_t75" style="width:104.25pt;height:18.75pt" o:ole="">
            <v:imagedata r:id="rId1513" o:title=""/>
          </v:shape>
          <o:OLEObject Type="Embed" ProgID="Equation.DSMT4" ShapeID="_x0000_i1852" DrawAspect="Content" ObjectID="_1324894303" r:id="rId1514"/>
        </w:object>
      </w:r>
      <w:r w:rsidRPr="00802C03">
        <w:rPr>
          <w:rFonts w:ascii="Garamond" w:hAnsi="Garamond" w:cs="NimbusRomNo9L-Regu"/>
          <w:lang w:val="en-GB" w:eastAsia="nl-NL"/>
        </w:rPr>
        <w:t>,</w:t>
      </w:r>
      <w:r w:rsidRPr="00802C03">
        <w:rPr>
          <w:rFonts w:ascii="Garamond" w:hAnsi="Garamond" w:cs="NimbusRomNo9L-Regu"/>
          <w:lang w:val="en-GB" w:eastAsia="nl-NL"/>
        </w:rPr>
        <w:tab/>
        <w:t>(A.6)</w:t>
      </w:r>
    </w:p>
    <w:p w:rsidR="001C7C52" w:rsidRPr="00802C03" w:rsidRDefault="001C7C52" w:rsidP="001F0514">
      <w:pPr>
        <w:tabs>
          <w:tab w:val="left" w:pos="567"/>
          <w:tab w:val="left" w:pos="8505"/>
        </w:tabs>
        <w:spacing w:before="120" w:line="320" w:lineRule="exact"/>
        <w:jc w:val="both"/>
        <w:rPr>
          <w:rFonts w:ascii="Garamond" w:hAnsi="Garamond" w:cs="NimbusRomNo9L-Regu"/>
          <w:lang w:val="en-GB" w:eastAsia="nl-NL"/>
        </w:rPr>
      </w:pPr>
      <w:r w:rsidRPr="00802C03">
        <w:rPr>
          <w:rFonts w:ascii="Garamond" w:hAnsi="Garamond" w:cs="NimbusRomNo9L-Regu"/>
          <w:position w:val="-12"/>
          <w:lang w:val="en-GB" w:eastAsia="nl-NL"/>
        </w:rPr>
        <w:tab/>
      </w:r>
      <w:bookmarkStart w:id="100" w:name="EAN7"/>
      <w:bookmarkEnd w:id="100"/>
      <w:r w:rsidRPr="005E2D6F">
        <w:rPr>
          <w:rFonts w:ascii="Garamond" w:hAnsi="Garamond" w:cs="NimbusRomNo9L-Regu"/>
          <w:position w:val="-12"/>
          <w:lang w:val="en-GB" w:eastAsia="nl-NL"/>
        </w:rPr>
        <w:object w:dxaOrig="2439" w:dyaOrig="380">
          <v:shape id="_x0000_i1853" type="#_x0000_t75" style="width:122.25pt;height:18.75pt" o:ole="">
            <v:imagedata r:id="rId1515" o:title=""/>
          </v:shape>
          <o:OLEObject Type="Embed" ProgID="Equation.DSMT4" ShapeID="_x0000_i1853" DrawAspect="Content" ObjectID="_1324894304" r:id="rId1516"/>
        </w:object>
      </w:r>
      <w:r w:rsidRPr="00802C03">
        <w:rPr>
          <w:rFonts w:ascii="Garamond" w:hAnsi="Garamond" w:cs="NimbusRomNo9L-Regu"/>
          <w:lang w:val="en-GB" w:eastAsia="nl-NL"/>
        </w:rPr>
        <w:t>,</w:t>
      </w:r>
      <w:r w:rsidRPr="00802C03">
        <w:rPr>
          <w:rFonts w:ascii="Garamond" w:hAnsi="Garamond" w:cs="NimbusRomNo9L-Regu"/>
          <w:lang w:val="en-GB" w:eastAsia="nl-NL"/>
        </w:rPr>
        <w:tab/>
        <w:t>(A.7)</w:t>
      </w:r>
    </w:p>
    <w:p w:rsidR="001C7C52" w:rsidRPr="00802C03" w:rsidRDefault="001C7C52" w:rsidP="001F0514">
      <w:pPr>
        <w:tabs>
          <w:tab w:val="left" w:pos="567"/>
          <w:tab w:val="left" w:pos="8505"/>
        </w:tabs>
        <w:spacing w:before="120" w:after="16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2"/>
          <w:lang w:val="en-GB" w:eastAsia="nl-NL"/>
        </w:rPr>
        <w:object w:dxaOrig="6200" w:dyaOrig="380">
          <v:shape id="_x0000_i1854" type="#_x0000_t75" style="width:309.75pt;height:18.75pt" o:ole="">
            <v:imagedata r:id="rId1517" o:title=""/>
          </v:shape>
          <o:OLEObject Type="Embed" ProgID="Equation.DSMT4" ShapeID="_x0000_i1854" DrawAspect="Content" ObjectID="_1324894305" r:id="rId1518"/>
        </w:object>
      </w:r>
      <w:r w:rsidRPr="00802C03">
        <w:rPr>
          <w:rFonts w:ascii="Garamond" w:hAnsi="Garamond" w:cs="NimbusRomNo9L-Regu"/>
          <w:lang w:val="en-GB" w:eastAsia="nl-NL"/>
        </w:rPr>
        <w:t>.</w:t>
      </w:r>
      <w:r w:rsidRPr="00802C03">
        <w:rPr>
          <w:rFonts w:ascii="Garamond" w:hAnsi="Garamond" w:cs="NimbusRomNo9L-Regu"/>
          <w:lang w:val="en-GB" w:eastAsia="nl-NL"/>
        </w:rPr>
        <w:tab/>
        <w:t>(A.8)</w:t>
      </w:r>
    </w:p>
    <w:p w:rsidR="001C7C52" w:rsidRPr="00802C03" w:rsidRDefault="001C7C52" w:rsidP="001F0514">
      <w:pPr>
        <w:spacing w:before="160" w:after="160" w:line="280" w:lineRule="exact"/>
        <w:ind w:left="567"/>
        <w:jc w:val="both"/>
        <w:rPr>
          <w:rFonts w:ascii="Garamond" w:hAnsi="Garamond" w:cs="NimbusRomNo9L-Regu"/>
          <w:lang w:val="en-GB" w:eastAsia="nl-NL"/>
        </w:rPr>
      </w:pPr>
      <w:r w:rsidRPr="00802C03">
        <w:rPr>
          <w:rFonts w:ascii="Garamond" w:hAnsi="Garamond" w:cs="NimbusRomNo9L-Regu"/>
          <w:lang w:val="en-GB" w:eastAsia="nl-NL"/>
        </w:rPr>
        <w:t xml:space="preserve">In the above equations, </w:t>
      </w:r>
      <w:r w:rsidRPr="00100BDF">
        <w:rPr>
          <w:rFonts w:ascii="Garamond" w:hAnsi="Garamond" w:cs="NimbusRomNo9L-Regu"/>
          <w:position w:val="-10"/>
          <w:lang w:val="en-GB" w:eastAsia="nl-NL"/>
        </w:rPr>
        <w:object w:dxaOrig="300" w:dyaOrig="300">
          <v:shape id="_x0000_i1855" type="#_x0000_t75" style="width:15pt;height:15pt" o:ole="">
            <v:imagedata r:id="rId1519" o:title=""/>
          </v:shape>
          <o:OLEObject Type="Embed" ProgID="Equation.DSMT4" ShapeID="_x0000_i1855" DrawAspect="Content" ObjectID="_1324894306" r:id="rId1520"/>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00" w:dyaOrig="300">
          <v:shape id="_x0000_i1856" type="#_x0000_t75" style="width:15pt;height:15pt" o:ole="">
            <v:imagedata r:id="rId1521" o:title=""/>
          </v:shape>
          <o:OLEObject Type="Embed" ProgID="Equation.DSMT4" ShapeID="_x0000_i1856" DrawAspect="Content" ObjectID="_1324894307" r:id="rId1522"/>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40" w:dyaOrig="320">
          <v:shape id="_x0000_i1857" type="#_x0000_t75" style="width:16.5pt;height:15.75pt" o:ole="">
            <v:imagedata r:id="rId1523" o:title=""/>
          </v:shape>
          <o:OLEObject Type="Embed" ProgID="Equation.DSMT4" ShapeID="_x0000_i1857" DrawAspect="Content" ObjectID="_1324894308" r:id="rId152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58" type="#_x0000_t75" style="width:16.5pt;height:15.75pt" o:ole="">
            <v:imagedata r:id="rId1525" o:title=""/>
          </v:shape>
          <o:OLEObject Type="Embed" ProgID="Equation.DSMT4" ShapeID="_x0000_i1858" DrawAspect="Content" ObjectID="_1324894309" r:id="rId1526"/>
        </w:object>
      </w:r>
      <w:r w:rsidRPr="00802C03">
        <w:rPr>
          <w:rFonts w:ascii="Garamond" w:hAnsi="Garamond" w:cs="NimbusRomNo9L-Regu"/>
          <w:lang w:val="en-GB" w:eastAsia="nl-NL"/>
        </w:rPr>
        <w:t xml:space="preserve"> are expressed in terms of </w:t>
      </w:r>
      <w:r w:rsidRPr="00100BDF">
        <w:rPr>
          <w:rFonts w:ascii="Garamond" w:hAnsi="Garamond" w:cs="NimbusRomNo9L-Regu"/>
          <w:position w:val="-10"/>
          <w:lang w:val="en-GB" w:eastAsia="nl-NL"/>
        </w:rPr>
        <w:object w:dxaOrig="300" w:dyaOrig="300">
          <v:shape id="_x0000_i1859" type="#_x0000_t75" style="width:15pt;height:15pt" o:ole="">
            <v:imagedata r:id="rId1527" o:title=""/>
          </v:shape>
          <o:OLEObject Type="Embed" ProgID="Equation.DSMT4" ShapeID="_x0000_i1859" DrawAspect="Content" ObjectID="_1324894310" r:id="rId152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20" w:dyaOrig="300">
          <v:shape id="_x0000_i1860" type="#_x0000_t75" style="width:15.75pt;height:15pt" o:ole="">
            <v:imagedata r:id="rId1529" o:title=""/>
          </v:shape>
          <o:OLEObject Type="Embed" ProgID="Equation.DSMT4" ShapeID="_x0000_i1860" DrawAspect="Content" ObjectID="_1324894311" r:id="rId1530"/>
        </w:object>
      </w:r>
      <w:r w:rsidRPr="00802C03">
        <w:rPr>
          <w:rFonts w:ascii="Garamond" w:hAnsi="Garamond" w:cs="NimbusRomNo9L-Regu"/>
          <w:lang w:val="en-GB" w:eastAsia="nl-NL"/>
        </w:rPr>
        <w:t xml:space="preserve">, </w:t>
      </w:r>
      <w:r w:rsidRPr="00100BDF">
        <w:rPr>
          <w:rFonts w:ascii="Garamond" w:hAnsi="Garamond" w:cs="NimbusRomNo9L-Regu"/>
          <w:position w:val="-8"/>
          <w:lang w:val="en-GB" w:eastAsia="nl-NL"/>
        </w:rPr>
        <w:object w:dxaOrig="200" w:dyaOrig="279">
          <v:shape id="_x0000_i1861" type="#_x0000_t75" style="width:9.75pt;height:13.5pt" o:ole="">
            <v:imagedata r:id="rId1531" o:title=""/>
          </v:shape>
          <o:OLEObject Type="Embed" ProgID="Equation.DSMT4" ShapeID="_x0000_i1861" DrawAspect="Content" ObjectID="_1324894312" r:id="rId1532"/>
        </w:object>
      </w:r>
      <w:r w:rsidRPr="00802C03">
        <w:rPr>
          <w:rFonts w:ascii="Garamond" w:hAnsi="Garamond" w:cs="NimbusRomNo9L-Regu"/>
          <w:lang w:val="en-GB" w:eastAsia="nl-NL"/>
        </w:rPr>
        <w:t xml:space="preserve"> and </w:t>
      </w:r>
      <w:r w:rsidRPr="00100BDF">
        <w:rPr>
          <w:rFonts w:ascii="Garamond" w:hAnsi="Garamond" w:cs="NimbusRomNo9L-Regu"/>
          <w:position w:val="-8"/>
          <w:lang w:val="en-GB" w:eastAsia="nl-NL"/>
        </w:rPr>
        <w:object w:dxaOrig="220" w:dyaOrig="279">
          <v:shape id="_x0000_i1862" type="#_x0000_t75" style="width:11.25pt;height:13.5pt" o:ole="">
            <v:imagedata r:id="rId1533" o:title=""/>
          </v:shape>
          <o:OLEObject Type="Embed" ProgID="Equation.DSMT4" ShapeID="_x0000_i1862" DrawAspect="Content" ObjectID="_1324894313" r:id="rId1534"/>
        </w:object>
      </w:r>
      <w:r w:rsidRPr="00802C03">
        <w:rPr>
          <w:rFonts w:ascii="Garamond" w:hAnsi="Garamond" w:cs="NimbusRomNo9L-Regu"/>
          <w:lang w:val="en-GB" w:eastAsia="nl-NL"/>
        </w:rPr>
        <w:t xml:space="preserve">, which are all independent standard normally distribution random variables.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Here, the following statistical rule holds: when </w:t>
      </w:r>
      <w:r w:rsidRPr="00100BDF">
        <w:rPr>
          <w:rFonts w:ascii="Garamond" w:hAnsi="Garamond" w:cs="NimbusRomNo9L-Regu"/>
          <w:position w:val="-10"/>
          <w:lang w:val="en-GB" w:eastAsia="nl-NL"/>
        </w:rPr>
        <w:object w:dxaOrig="920" w:dyaOrig="300">
          <v:shape id="_x0000_i1863" type="#_x0000_t75" style="width:45.75pt;height:15pt" o:ole="">
            <v:imagedata r:id="rId1535" o:title=""/>
          </v:shape>
          <o:OLEObject Type="Embed" ProgID="Equation.DSMT4" ShapeID="_x0000_i1863" DrawAspect="Content" ObjectID="_1324894314" r:id="rId1536"/>
        </w:object>
      </w:r>
      <w:r w:rsidRPr="00802C03">
        <w:rPr>
          <w:rFonts w:ascii="Garamond" w:hAnsi="Garamond" w:cs="NimbusRomNo9L-Regu"/>
          <w:lang w:val="en-GB" w:eastAsia="nl-NL"/>
        </w:rPr>
        <w:t xml:space="preserve"> is correlated to </w:t>
      </w:r>
      <w:r w:rsidRPr="00100BDF">
        <w:rPr>
          <w:rFonts w:ascii="Garamond" w:hAnsi="Garamond" w:cs="NimbusRomNo9L-Regu"/>
          <w:position w:val="-10"/>
          <w:lang w:val="en-GB" w:eastAsia="nl-NL"/>
        </w:rPr>
        <w:object w:dxaOrig="920" w:dyaOrig="300">
          <v:shape id="_x0000_i1864" type="#_x0000_t75" style="width:45.75pt;height:15pt" o:ole="">
            <v:imagedata r:id="rId1537" o:title=""/>
          </v:shape>
          <o:OLEObject Type="Embed" ProgID="Equation.DSMT4" ShapeID="_x0000_i1864" DrawAspect="Content" ObjectID="_1324894315" r:id="rId1538"/>
        </w:object>
      </w:r>
      <w:r w:rsidRPr="00802C03">
        <w:rPr>
          <w:rFonts w:ascii="Garamond" w:hAnsi="Garamond" w:cs="NimbusRomNo9L-Regu"/>
          <w:lang w:val="en-GB" w:eastAsia="nl-NL"/>
        </w:rPr>
        <w:t xml:space="preserve"> and </w:t>
      </w:r>
      <w:r w:rsidRPr="00100BDF">
        <w:rPr>
          <w:rFonts w:ascii="Garamond" w:hAnsi="Garamond" w:cs="NimbusRomNo9L-Regu"/>
          <w:position w:val="-6"/>
          <w:lang w:val="en-GB" w:eastAsia="nl-NL"/>
        </w:rPr>
        <w:object w:dxaOrig="180" w:dyaOrig="260">
          <v:shape id="_x0000_i1865" type="#_x0000_t75" style="width:9pt;height:13.5pt" o:ole="">
            <v:imagedata r:id="rId1539" o:title=""/>
          </v:shape>
          <o:OLEObject Type="Embed" ProgID="Equation.DSMT4" ShapeID="_x0000_i1865" DrawAspect="Content" ObjectID="_1324894316" r:id="rId1540"/>
        </w:object>
      </w:r>
      <w:r w:rsidRPr="00802C03">
        <w:rPr>
          <w:rFonts w:ascii="Garamond" w:hAnsi="Garamond" w:cs="NimbusRomNo9L-Regu"/>
          <w:lang w:val="en-GB" w:eastAsia="nl-NL"/>
        </w:rPr>
        <w:t xml:space="preserve"> is correlated to </w:t>
      </w:r>
      <w:r w:rsidRPr="00100BDF">
        <w:rPr>
          <w:rFonts w:ascii="Garamond" w:hAnsi="Garamond" w:cs="NimbusRomNo9L-Regu"/>
          <w:position w:val="-10"/>
          <w:lang w:val="en-GB" w:eastAsia="nl-NL"/>
        </w:rPr>
        <w:object w:dxaOrig="900" w:dyaOrig="300">
          <v:shape id="_x0000_i1866" type="#_x0000_t75" style="width:45pt;height:15pt" o:ole="">
            <v:imagedata r:id="rId1541" o:title=""/>
          </v:shape>
          <o:OLEObject Type="Embed" ProgID="Equation.DSMT4" ShapeID="_x0000_i1866" DrawAspect="Content" ObjectID="_1324894317" r:id="rId1542"/>
        </w:object>
      </w:r>
      <w:r w:rsidRPr="00802C03">
        <w:rPr>
          <w:rFonts w:ascii="Garamond" w:hAnsi="Garamond" w:cs="NimbusRomNo9L-Regu"/>
          <w:lang w:val="en-GB" w:eastAsia="nl-NL"/>
        </w:rPr>
        <w:t xml:space="preserve">, then the correlation between </w:t>
      </w:r>
      <w:r w:rsidRPr="00100BDF">
        <w:rPr>
          <w:rFonts w:ascii="Garamond" w:hAnsi="Garamond" w:cs="NimbusRomNo9L-Regu"/>
          <w:position w:val="-6"/>
          <w:lang w:val="en-GB" w:eastAsia="nl-NL"/>
        </w:rPr>
        <w:object w:dxaOrig="180" w:dyaOrig="200">
          <v:shape id="_x0000_i1867" type="#_x0000_t75" style="width:9pt;height:9.75pt" o:ole="">
            <v:imagedata r:id="rId1543" o:title=""/>
          </v:shape>
          <o:OLEObject Type="Embed" ProgID="Equation.DSMT4" ShapeID="_x0000_i1867" DrawAspect="Content" ObjectID="_1324894318" r:id="rId1544"/>
        </w:object>
      </w:r>
      <w:r w:rsidRPr="00802C03">
        <w:rPr>
          <w:rFonts w:ascii="Garamond" w:hAnsi="Garamond" w:cs="NimbusRomNo9L-Regu"/>
          <w:lang w:val="en-GB" w:eastAsia="nl-NL"/>
        </w:rPr>
        <w:t xml:space="preserve"> and </w:t>
      </w:r>
      <w:r w:rsidRPr="00100BDF">
        <w:rPr>
          <w:rFonts w:ascii="Garamond" w:hAnsi="Garamond" w:cs="NimbusRomNo9L-Regu"/>
          <w:position w:val="-6"/>
          <w:lang w:val="en-GB" w:eastAsia="nl-NL"/>
        </w:rPr>
        <w:object w:dxaOrig="160" w:dyaOrig="200">
          <v:shape id="_x0000_i1868" type="#_x0000_t75" style="width:8.25pt;height:9.75pt" o:ole="">
            <v:imagedata r:id="rId1545" o:title=""/>
          </v:shape>
          <o:OLEObject Type="Embed" ProgID="Equation.DSMT4" ShapeID="_x0000_i1868" DrawAspect="Content" ObjectID="_1324894319" r:id="rId1546"/>
        </w:object>
      </w:r>
      <w:r w:rsidRPr="00802C03">
        <w:rPr>
          <w:rFonts w:ascii="Garamond" w:hAnsi="Garamond" w:cs="NimbusRomNo9L-Regu"/>
          <w:lang w:val="en-GB" w:eastAsia="nl-NL"/>
        </w:rPr>
        <w:t xml:space="preserve"> is equal to </w:t>
      </w:r>
      <w:r w:rsidRPr="00100BDF">
        <w:rPr>
          <w:rFonts w:ascii="Garamond" w:hAnsi="Garamond" w:cs="NimbusRomNo9L-Regu"/>
          <w:position w:val="-10"/>
          <w:lang w:val="en-GB" w:eastAsia="nl-NL"/>
        </w:rPr>
        <w:object w:dxaOrig="820" w:dyaOrig="300">
          <v:shape id="_x0000_i1869" type="#_x0000_t75" style="width:40.5pt;height:15pt" o:ole="">
            <v:imagedata r:id="rId1547" o:title=""/>
          </v:shape>
          <o:OLEObject Type="Embed" ProgID="Equation.DSMT4" ShapeID="_x0000_i1869" DrawAspect="Content" ObjectID="_1324894320" r:id="rId1548"/>
        </w:object>
      </w:r>
      <w:r w:rsidRPr="00802C03">
        <w:rPr>
          <w:rFonts w:ascii="Garamond" w:hAnsi="Garamond" w:cs="NimbusRomNo9L-Regu"/>
          <w:lang w:val="en-GB" w:eastAsia="nl-NL"/>
        </w:rPr>
        <w:t xml:space="preserve"> times </w:t>
      </w:r>
      <w:r w:rsidRPr="00100BDF">
        <w:rPr>
          <w:rFonts w:ascii="Garamond" w:hAnsi="Garamond" w:cs="NimbusRomNo9L-Regu"/>
          <w:position w:val="-10"/>
          <w:lang w:val="en-GB" w:eastAsia="nl-NL"/>
        </w:rPr>
        <w:object w:dxaOrig="800" w:dyaOrig="300">
          <v:shape id="_x0000_i1870" type="#_x0000_t75" style="width:39.75pt;height:15pt" o:ole="">
            <v:imagedata r:id="rId1549" o:title=""/>
          </v:shape>
          <o:OLEObject Type="Embed" ProgID="Equation.DSMT4" ShapeID="_x0000_i1870" DrawAspect="Content" ObjectID="_1324894321" r:id="rId1550"/>
        </w:object>
      </w:r>
      <w:r w:rsidRPr="00802C03">
        <w:rPr>
          <w:rFonts w:ascii="Garamond" w:hAnsi="Garamond" w:cs="NimbusRomNo9L-Regu"/>
          <w:lang w:val="en-GB" w:eastAsia="nl-NL"/>
        </w:rPr>
        <w:t xml:space="preserve">, or in more statistical definitions: </w:t>
      </w:r>
      <w:r w:rsidRPr="00100BDF">
        <w:rPr>
          <w:rFonts w:ascii="Garamond" w:hAnsi="Garamond" w:cs="NimbusRomNo9L-Regu"/>
          <w:position w:val="-10"/>
          <w:lang w:val="en-GB" w:eastAsia="nl-NL"/>
        </w:rPr>
        <w:object w:dxaOrig="999" w:dyaOrig="300">
          <v:shape id="_x0000_i1871" type="#_x0000_t75" style="width:50.25pt;height:15pt" o:ole="">
            <v:imagedata r:id="rId1551" o:title=""/>
          </v:shape>
          <o:OLEObject Type="Embed" ProgID="Equation.DSMT4" ShapeID="_x0000_i1871" DrawAspect="Content" ObjectID="_1324894322" r:id="rId1552"/>
        </w:object>
      </w:r>
      <w:r w:rsidRPr="00802C03">
        <w:rPr>
          <w:rFonts w:ascii="Garamond" w:hAnsi="Garamond" w:cs="NimbusRomNo9L-Regu"/>
          <w:lang w:val="en-GB" w:eastAsia="nl-NL"/>
        </w:rPr>
        <w:t xml:space="preserve">. The rule is employed to derive all correlations between </w:t>
      </w:r>
      <w:r w:rsidRPr="00100BDF">
        <w:rPr>
          <w:rFonts w:ascii="Garamond" w:hAnsi="Garamond" w:cs="NimbusRomNo9L-Regu"/>
          <w:position w:val="-10"/>
          <w:lang w:val="en-GB" w:eastAsia="nl-NL"/>
        </w:rPr>
        <w:object w:dxaOrig="300" w:dyaOrig="300">
          <v:shape id="_x0000_i1872" type="#_x0000_t75" style="width:15pt;height:15pt" o:ole="">
            <v:imagedata r:id="rId1553" o:title=""/>
          </v:shape>
          <o:OLEObject Type="Embed" ProgID="Equation.DSMT4" ShapeID="_x0000_i1872" DrawAspect="Content" ObjectID="_1324894323" r:id="rId1554"/>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00" w:dyaOrig="300">
          <v:shape id="_x0000_i1873" type="#_x0000_t75" style="width:15pt;height:15pt" o:ole="">
            <v:imagedata r:id="rId1555" o:title=""/>
          </v:shape>
          <o:OLEObject Type="Embed" ProgID="Equation.DSMT4" ShapeID="_x0000_i1873" DrawAspect="Content" ObjectID="_1324894324" r:id="rId1556"/>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40" w:dyaOrig="320">
          <v:shape id="_x0000_i1874" type="#_x0000_t75" style="width:16.5pt;height:15.75pt" o:ole="">
            <v:imagedata r:id="rId1557" o:title=""/>
          </v:shape>
          <o:OLEObject Type="Embed" ProgID="Equation.DSMT4" ShapeID="_x0000_i1874" DrawAspect="Content" ObjectID="_1324894325" r:id="rId1558"/>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75" type="#_x0000_t75" style="width:16.5pt;height:15.75pt" o:ole="">
            <v:imagedata r:id="rId1559" o:title=""/>
          </v:shape>
          <o:OLEObject Type="Embed" ProgID="Equation.DSMT4" ShapeID="_x0000_i1875" DrawAspect="Content" ObjectID="_1324894326" r:id="rId1560"/>
        </w:object>
      </w:r>
      <w:r w:rsidRPr="00802C03">
        <w:rPr>
          <w:rFonts w:ascii="Garamond" w:hAnsi="Garamond" w:cs="NimbusRomNo9L-Regu"/>
          <w:lang w:val="en-GB" w:eastAsia="nl-NL"/>
        </w:rPr>
        <w:t xml:space="preserve"> in terms of issuer correlation coefficient </w:t>
      </w:r>
      <w:r w:rsidRPr="00100BDF">
        <w:rPr>
          <w:rFonts w:ascii="Garamond" w:hAnsi="Garamond" w:cs="NimbusRomNo9L-Regu"/>
          <w:position w:val="-10"/>
          <w:lang w:val="en-GB" w:eastAsia="nl-NL"/>
        </w:rPr>
        <w:object w:dxaOrig="340" w:dyaOrig="300">
          <v:shape id="_x0000_i1876" type="#_x0000_t75" style="width:16.5pt;height:15pt" o:ole="">
            <v:imagedata r:id="rId1561" o:title=""/>
          </v:shape>
          <o:OLEObject Type="Embed" ProgID="Equation.DSMT4" ShapeID="_x0000_i1876" DrawAspect="Content" ObjectID="_1324894327" r:id="rId1562"/>
        </w:object>
      </w:r>
      <w:r w:rsidRPr="00802C03">
        <w:rPr>
          <w:rFonts w:ascii="Garamond" w:hAnsi="Garamond" w:cs="NimbusRomNo9L-Regu"/>
          <w:lang w:val="en-GB" w:eastAsia="nl-NL"/>
        </w:rPr>
        <w:t xml:space="preserve">  and autocorrelation coefficients </w:t>
      </w:r>
      <w:r w:rsidRPr="00100BDF">
        <w:rPr>
          <w:rFonts w:ascii="Garamond" w:hAnsi="Garamond" w:cs="NimbusRomNo9L-Regu"/>
          <w:position w:val="-10"/>
          <w:lang w:val="en-GB" w:eastAsia="nl-NL"/>
        </w:rPr>
        <w:object w:dxaOrig="440" w:dyaOrig="300">
          <v:shape id="_x0000_i1877" type="#_x0000_t75" style="width:21.75pt;height:15pt" o:ole="">
            <v:imagedata r:id="rId1563" o:title=""/>
          </v:shape>
          <o:OLEObject Type="Embed" ProgID="Equation.DSMT4" ShapeID="_x0000_i1877" DrawAspect="Content" ObjectID="_1324894328" r:id="rId1564"/>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440" w:dyaOrig="300">
          <v:shape id="_x0000_i1878" type="#_x0000_t75" style="width:21.75pt;height:15pt" o:ole="">
            <v:imagedata r:id="rId1565" o:title=""/>
          </v:shape>
          <o:OLEObject Type="Embed" ProgID="Equation.DSMT4" ShapeID="_x0000_i1878" DrawAspect="Content" ObjectID="_1324894329" r:id="rId1566"/>
        </w:object>
      </w:r>
      <w:r w:rsidRPr="00802C03">
        <w:rPr>
          <w:rFonts w:ascii="Garamond" w:hAnsi="Garamond" w:cs="NimbusRomNo9L-Regu"/>
          <w:lang w:val="en-GB" w:eastAsia="nl-NL"/>
        </w:rPr>
        <w:t xml:space="preserve">.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For example, the expression of </w:t>
      </w:r>
      <w:r w:rsidRPr="00100BDF">
        <w:rPr>
          <w:rFonts w:ascii="Garamond" w:hAnsi="Garamond" w:cs="NimbusRomNo9L-Regu"/>
          <w:position w:val="-10"/>
          <w:lang w:val="en-GB" w:eastAsia="nl-NL"/>
        </w:rPr>
        <w:object w:dxaOrig="1140" w:dyaOrig="320">
          <v:shape id="_x0000_i1879" type="#_x0000_t75" style="width:56.25pt;height:15.75pt" o:ole="">
            <v:imagedata r:id="rId1567" o:title=""/>
          </v:shape>
          <o:OLEObject Type="Embed" ProgID="Equation.DSMT4" ShapeID="_x0000_i1879" DrawAspect="Content" ObjectID="_1324894330" r:id="rId1568"/>
        </w:object>
      </w:r>
      <w:r w:rsidRPr="00802C03">
        <w:rPr>
          <w:rFonts w:ascii="Garamond" w:hAnsi="Garamond" w:cs="NimbusRomNo9L-Regu"/>
          <w:lang w:val="en-GB" w:eastAsia="nl-NL"/>
        </w:rPr>
        <w:t xml:space="preserve">can be determined as follows. The expressions of </w:t>
      </w:r>
      <w:r w:rsidRPr="00100BDF">
        <w:rPr>
          <w:rFonts w:ascii="Garamond" w:hAnsi="Garamond" w:cs="NimbusRomNo9L-Regu"/>
          <w:position w:val="-10"/>
          <w:lang w:val="en-GB" w:eastAsia="nl-NL"/>
        </w:rPr>
        <w:object w:dxaOrig="300" w:dyaOrig="300">
          <v:shape id="_x0000_i1880" type="#_x0000_t75" style="width:15pt;height:15pt" o:ole="">
            <v:imagedata r:id="rId1569" o:title=""/>
          </v:shape>
          <o:OLEObject Type="Embed" ProgID="Equation.DSMT4" ShapeID="_x0000_i1880" DrawAspect="Content" ObjectID="_1324894331" r:id="rId1570"/>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81" type="#_x0000_t75" style="width:16.5pt;height:15.75pt" o:ole="">
            <v:imagedata r:id="rId1571" o:title=""/>
          </v:shape>
          <o:OLEObject Type="Embed" ProgID="Equation.DSMT4" ShapeID="_x0000_i1881" DrawAspect="Content" ObjectID="_1324894332" r:id="rId1572"/>
        </w:object>
      </w:r>
      <w:r w:rsidRPr="00802C03">
        <w:rPr>
          <w:rFonts w:ascii="Garamond" w:hAnsi="Garamond" w:cs="NimbusRomNo9L-Regu"/>
          <w:lang w:val="en-GB" w:eastAsia="nl-NL"/>
        </w:rPr>
        <w:t xml:space="preserve"> are given above in </w:t>
      </w:r>
      <w:hyperlink w:anchor="EAN6" w:history="1">
        <w:r w:rsidRPr="00802C03">
          <w:rPr>
            <w:rStyle w:val="Hyperlink"/>
            <w:rFonts w:ascii="Garamond" w:hAnsi="Garamond" w:cs="NimbusRomNo9L-Regu"/>
            <w:color w:val="000066"/>
            <w:u w:val="none"/>
            <w:lang w:val="en-GB" w:eastAsia="nl-NL"/>
          </w:rPr>
          <w:t>equation A.6</w:t>
        </w:r>
      </w:hyperlink>
      <w:r w:rsidRPr="00802C03">
        <w:rPr>
          <w:rFonts w:ascii="Garamond" w:hAnsi="Garamond" w:cs="NimbusRomNo9L-Regu"/>
          <w:lang w:val="en-GB" w:eastAsia="nl-NL"/>
        </w:rPr>
        <w:t xml:space="preserve"> and </w:t>
      </w:r>
      <w:hyperlink w:anchor="EAN7" w:history="1">
        <w:r w:rsidRPr="00802C03">
          <w:rPr>
            <w:rStyle w:val="Hyperlink"/>
            <w:rFonts w:ascii="Garamond" w:hAnsi="Garamond" w:cs="NimbusRomNo9L-Regu"/>
            <w:color w:val="000066"/>
            <w:u w:val="none"/>
            <w:lang w:val="en-GB" w:eastAsia="nl-NL"/>
          </w:rPr>
          <w:t>A.7</w:t>
        </w:r>
      </w:hyperlink>
      <w:r w:rsidRPr="00802C03">
        <w:rPr>
          <w:rFonts w:ascii="Garamond" w:hAnsi="Garamond" w:cs="NimbusRomNo9L-Regu"/>
          <w:lang w:val="en-GB" w:eastAsia="nl-NL"/>
        </w:rPr>
        <w:t xml:space="preserve">. Both simulated issuer asset returns are created with the use of </w:t>
      </w:r>
      <w:r w:rsidRPr="00100BDF">
        <w:rPr>
          <w:rFonts w:ascii="Garamond" w:hAnsi="Garamond" w:cs="NimbusRomNo9L-Regu"/>
          <w:position w:val="-10"/>
          <w:lang w:val="en-GB" w:eastAsia="nl-NL"/>
        </w:rPr>
        <w:object w:dxaOrig="300" w:dyaOrig="300">
          <v:shape id="_x0000_i1882" type="#_x0000_t75" style="width:15pt;height:15pt" o:ole="">
            <v:imagedata r:id="rId1573" o:title=""/>
          </v:shape>
          <o:OLEObject Type="Embed" ProgID="Equation.DSMT4" ShapeID="_x0000_i1882" DrawAspect="Content" ObjectID="_1324894333" r:id="rId1574"/>
        </w:object>
      </w:r>
      <w:r w:rsidRPr="00802C03">
        <w:rPr>
          <w:rFonts w:ascii="Garamond" w:hAnsi="Garamond" w:cs="NimbusRomNo9L-Regu"/>
          <w:lang w:val="en-GB" w:eastAsia="nl-NL"/>
        </w:rPr>
        <w:t xml:space="preserve">. The remainder of their formulations only contain uncorrelated independent terms. Hence, </w:t>
      </w:r>
      <w:r w:rsidRPr="00100BDF">
        <w:rPr>
          <w:rFonts w:ascii="Garamond" w:hAnsi="Garamond" w:cs="NimbusRomNo9L-Regu"/>
          <w:position w:val="-10"/>
          <w:lang w:val="en-GB" w:eastAsia="nl-NL"/>
        </w:rPr>
        <w:object w:dxaOrig="300" w:dyaOrig="300">
          <v:shape id="_x0000_i1883" type="#_x0000_t75" style="width:15pt;height:15pt" o:ole="">
            <v:imagedata r:id="rId1575" o:title=""/>
          </v:shape>
          <o:OLEObject Type="Embed" ProgID="Equation.DSMT4" ShapeID="_x0000_i1883" DrawAspect="Content" ObjectID="_1324894334" r:id="rId157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84" type="#_x0000_t75" style="width:16.5pt;height:15.75pt" o:ole="">
            <v:imagedata r:id="rId1577" o:title=""/>
          </v:shape>
          <o:OLEObject Type="Embed" ProgID="Equation.DSMT4" ShapeID="_x0000_i1884" DrawAspect="Content" ObjectID="_1324894335" r:id="rId1578"/>
        </w:object>
      </w:r>
      <w:r w:rsidRPr="00802C03">
        <w:rPr>
          <w:rFonts w:ascii="Garamond" w:hAnsi="Garamond" w:cs="NimbusRomNo9L-Regu"/>
          <w:lang w:val="en-GB" w:eastAsia="nl-NL"/>
        </w:rPr>
        <w:t xml:space="preserve"> are correlated through </w:t>
      </w:r>
      <w:r w:rsidRPr="00100BDF">
        <w:rPr>
          <w:rFonts w:ascii="Garamond" w:hAnsi="Garamond" w:cs="NimbusRomNo9L-Regu"/>
          <w:position w:val="-10"/>
          <w:lang w:val="en-GB" w:eastAsia="nl-NL"/>
        </w:rPr>
        <w:object w:dxaOrig="300" w:dyaOrig="300">
          <v:shape id="_x0000_i1885" type="#_x0000_t75" style="width:15pt;height:15pt" o:ole="">
            <v:imagedata r:id="rId1579" o:title=""/>
          </v:shape>
          <o:OLEObject Type="Embed" ProgID="Equation.DSMT4" ShapeID="_x0000_i1885" DrawAspect="Content" ObjectID="_1324894336" r:id="rId1580"/>
        </w:object>
      </w:r>
      <w:r w:rsidRPr="00802C03">
        <w:rPr>
          <w:rFonts w:ascii="Garamond" w:hAnsi="Garamond" w:cs="NimbusRomNo9L-Regu"/>
          <w:lang w:val="en-GB" w:eastAsia="nl-NL"/>
        </w:rPr>
        <w:t xml:space="preserve"> only. Then, since </w:t>
      </w:r>
      <w:r w:rsidRPr="00100BDF">
        <w:rPr>
          <w:rFonts w:ascii="Garamond" w:hAnsi="Garamond" w:cs="NimbusRomNo9L-Regu"/>
          <w:position w:val="-10"/>
          <w:lang w:val="en-GB" w:eastAsia="nl-NL"/>
        </w:rPr>
        <w:object w:dxaOrig="1040" w:dyaOrig="300">
          <v:shape id="_x0000_i1886" type="#_x0000_t75" style="width:51.75pt;height:15pt" o:ole="">
            <v:imagedata r:id="rId1581" o:title=""/>
          </v:shape>
          <o:OLEObject Type="Embed" ProgID="Equation.DSMT4" ShapeID="_x0000_i1886" DrawAspect="Content" ObjectID="_1324894337" r:id="rId1582"/>
        </w:object>
      </w:r>
      <w:r w:rsidRPr="00802C03">
        <w:rPr>
          <w:rFonts w:ascii="Garamond" w:hAnsi="Garamond" w:cs="NimbusRomNo9L-Regu"/>
          <w:position w:val="-12"/>
          <w:lang w:val="en-GB" w:eastAsia="nl-NL"/>
        </w:rPr>
        <w:t xml:space="preserve"> </w:t>
      </w:r>
      <w:r w:rsidRPr="00802C03">
        <w:rPr>
          <w:rFonts w:ascii="Garamond" w:hAnsi="Garamond" w:cs="NimbusRomNo9L-Regu"/>
          <w:lang w:val="en-GB" w:eastAsia="nl-NL"/>
        </w:rPr>
        <w:t xml:space="preserve">and </w:t>
      </w:r>
      <w:r w:rsidRPr="00100BDF">
        <w:rPr>
          <w:rFonts w:ascii="Garamond" w:hAnsi="Garamond" w:cs="NimbusRomNo9L-Regu"/>
          <w:position w:val="-10"/>
          <w:lang w:val="en-GB" w:eastAsia="nl-NL"/>
        </w:rPr>
        <w:object w:dxaOrig="1180" w:dyaOrig="320">
          <v:shape id="_x0000_i1887" type="#_x0000_t75" style="width:58.5pt;height:15.75pt" o:ole="">
            <v:imagedata r:id="rId1583" o:title=""/>
          </v:shape>
          <o:OLEObject Type="Embed" ProgID="Equation.DSMT4" ShapeID="_x0000_i1887" DrawAspect="Content" ObjectID="_1324894338" r:id="rId1584"/>
        </w:object>
      </w:r>
      <w:r w:rsidRPr="00802C03">
        <w:rPr>
          <w:rFonts w:ascii="Garamond" w:hAnsi="Garamond" w:cs="NimbusRomNo9L-Regu"/>
          <w:lang w:val="en-GB" w:eastAsia="nl-NL"/>
        </w:rPr>
        <w:t xml:space="preserve"> (ignoring the uncorrelated components) the above statistical rule can be applied, resulting in </w:t>
      </w:r>
      <w:r w:rsidRPr="00100BDF">
        <w:rPr>
          <w:rFonts w:ascii="Garamond" w:hAnsi="Garamond" w:cs="NimbusRomNo9L-Regu"/>
          <w:position w:val="-10"/>
          <w:lang w:val="en-GB" w:eastAsia="nl-NL"/>
        </w:rPr>
        <w:object w:dxaOrig="2000" w:dyaOrig="320">
          <v:shape id="_x0000_i1888" type="#_x0000_t75" style="width:99.75pt;height:15.75pt" o:ole="">
            <v:imagedata r:id="rId1585" o:title=""/>
          </v:shape>
          <o:OLEObject Type="Embed" ProgID="Equation.DSMT4" ShapeID="_x0000_i1888" DrawAspect="Content" ObjectID="_1324894339" r:id="rId1586"/>
        </w:object>
      </w:r>
      <w:r w:rsidRPr="00802C03">
        <w:rPr>
          <w:rFonts w:ascii="Garamond" w:hAnsi="Garamond" w:cs="NimbusRomNo9L-Regu"/>
          <w:lang w:val="en-GB" w:eastAsia="nl-NL"/>
        </w:rPr>
        <w:t xml:space="preserve">. </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Appling this procedure, all correlations between </w:t>
      </w:r>
      <w:r w:rsidRPr="00100BDF">
        <w:rPr>
          <w:rFonts w:ascii="Garamond" w:hAnsi="Garamond" w:cs="NimbusRomNo9L-Regu"/>
          <w:position w:val="-10"/>
          <w:lang w:val="en-GB" w:eastAsia="nl-NL"/>
        </w:rPr>
        <w:object w:dxaOrig="300" w:dyaOrig="300">
          <v:shape id="_x0000_i1889" type="#_x0000_t75" style="width:15pt;height:15pt" o:ole="">
            <v:imagedata r:id="rId1587" o:title=""/>
          </v:shape>
          <o:OLEObject Type="Embed" ProgID="Equation.DSMT4" ShapeID="_x0000_i1889" DrawAspect="Content" ObjectID="_1324894340" r:id="rId1588"/>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00" w:dyaOrig="300">
          <v:shape id="_x0000_i1890" type="#_x0000_t75" style="width:15pt;height:15pt" o:ole="">
            <v:imagedata r:id="rId1589" o:title=""/>
          </v:shape>
          <o:OLEObject Type="Embed" ProgID="Equation.DSMT4" ShapeID="_x0000_i1890" DrawAspect="Content" ObjectID="_1324894341" r:id="rId1590"/>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340" w:dyaOrig="320">
          <v:shape id="_x0000_i1891" type="#_x0000_t75" style="width:16.5pt;height:15.75pt" o:ole="">
            <v:imagedata r:id="rId1591" o:title=""/>
          </v:shape>
          <o:OLEObject Type="Embed" ProgID="Equation.DSMT4" ShapeID="_x0000_i1891" DrawAspect="Content" ObjectID="_1324894342" r:id="rId1592"/>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340" w:dyaOrig="320">
          <v:shape id="_x0000_i1892" type="#_x0000_t75" style="width:16.5pt;height:15.75pt" o:ole="">
            <v:imagedata r:id="rId1593" o:title=""/>
          </v:shape>
          <o:OLEObject Type="Embed" ProgID="Equation.DSMT4" ShapeID="_x0000_i1892" DrawAspect="Content" ObjectID="_1324894343" r:id="rId1594"/>
        </w:object>
      </w:r>
      <w:r w:rsidRPr="00802C03">
        <w:rPr>
          <w:rFonts w:ascii="Garamond" w:hAnsi="Garamond" w:cs="NimbusRomNo9L-Regu"/>
          <w:lang w:val="en-GB" w:eastAsia="nl-NL"/>
        </w:rPr>
        <w:t xml:space="preserve"> can be derived:</w:t>
      </w:r>
    </w:p>
    <w:p w:rsidR="001C7C52" w:rsidRPr="00802C03" w:rsidRDefault="001C7C52" w:rsidP="001F0514">
      <w:pPr>
        <w:tabs>
          <w:tab w:val="left" w:pos="567"/>
          <w:tab w:val="left" w:pos="8505"/>
        </w:tabs>
        <w:spacing w:before="8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101" w:name="EAN9"/>
      <w:bookmarkEnd w:id="101"/>
      <w:r w:rsidRPr="00100BDF">
        <w:rPr>
          <w:rFonts w:ascii="Garamond" w:hAnsi="Garamond" w:cs="NimbusRomNo9L-Regu"/>
          <w:position w:val="-10"/>
          <w:lang w:val="en-GB" w:eastAsia="nl-NL"/>
        </w:rPr>
        <w:object w:dxaOrig="1600" w:dyaOrig="320">
          <v:shape id="_x0000_i1893" type="#_x0000_t75" style="width:80.25pt;height:15.75pt" o:ole="">
            <v:imagedata r:id="rId1595" o:title=""/>
          </v:shape>
          <o:OLEObject Type="Embed" ProgID="Equation.DSMT4" ShapeID="_x0000_i1893" DrawAspect="Content" ObjectID="_1324894344" r:id="rId1596"/>
        </w:object>
      </w:r>
      <w:r w:rsidRPr="00802C03">
        <w:rPr>
          <w:rFonts w:ascii="Garamond" w:hAnsi="Garamond" w:cs="NimbusRomNo9L-Regu"/>
          <w:lang w:val="en-GB" w:eastAsia="nl-NL"/>
        </w:rPr>
        <w:t>,</w:t>
      </w:r>
      <w:r w:rsidRPr="00802C03">
        <w:rPr>
          <w:rFonts w:ascii="Garamond" w:hAnsi="Garamond" w:cs="NimbusRomNo9L-Regu"/>
          <w:lang w:val="en-GB" w:eastAsia="nl-NL"/>
        </w:rPr>
        <w:tab/>
        <w:t>(A.9)</w:t>
      </w:r>
    </w:p>
    <w:p w:rsidR="001C7C52" w:rsidRPr="00802C03" w:rsidRDefault="001C7C52" w:rsidP="001F0514">
      <w:pPr>
        <w:tabs>
          <w:tab w:val="left" w:pos="567"/>
          <w:tab w:val="left" w:pos="8505"/>
        </w:tabs>
        <w:spacing w:before="12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102" w:name="EAN10"/>
      <w:bookmarkEnd w:id="102"/>
      <w:r w:rsidRPr="00100BDF">
        <w:rPr>
          <w:rFonts w:ascii="Garamond" w:hAnsi="Garamond" w:cs="NimbusRomNo9L-Regu"/>
          <w:position w:val="-10"/>
          <w:lang w:val="en-GB" w:eastAsia="nl-NL"/>
        </w:rPr>
        <w:object w:dxaOrig="2000" w:dyaOrig="320">
          <v:shape id="_x0000_i1894" type="#_x0000_t75" style="width:99.75pt;height:15.75pt" o:ole="">
            <v:imagedata r:id="rId1597" o:title=""/>
          </v:shape>
          <o:OLEObject Type="Embed" ProgID="Equation.DSMT4" ShapeID="_x0000_i1894" DrawAspect="Content" ObjectID="_1324894345" r:id="rId1598"/>
        </w:object>
      </w:r>
      <w:r w:rsidRPr="00802C03">
        <w:rPr>
          <w:rFonts w:ascii="Garamond" w:hAnsi="Garamond" w:cs="NimbusRomNo9L-Regu"/>
          <w:lang w:val="en-GB" w:eastAsia="nl-NL"/>
        </w:rPr>
        <w:t>,</w:t>
      </w:r>
      <w:r w:rsidRPr="00802C03">
        <w:rPr>
          <w:rFonts w:ascii="Garamond" w:hAnsi="Garamond" w:cs="NimbusRomNo9L-Regu"/>
          <w:lang w:val="en-GB" w:eastAsia="nl-NL"/>
        </w:rPr>
        <w:tab/>
        <w:t>(A.10)</w:t>
      </w:r>
    </w:p>
    <w:p w:rsidR="001C7C52" w:rsidRPr="00802C03" w:rsidRDefault="001C7C52" w:rsidP="001F0514">
      <w:pPr>
        <w:tabs>
          <w:tab w:val="left" w:pos="567"/>
          <w:tab w:val="left" w:pos="8505"/>
        </w:tabs>
        <w:spacing w:before="12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103" w:name="EAN11"/>
      <w:bookmarkEnd w:id="103"/>
      <w:r w:rsidRPr="00100BDF">
        <w:rPr>
          <w:rFonts w:ascii="Garamond" w:hAnsi="Garamond" w:cs="NimbusRomNo9L-Regu"/>
          <w:position w:val="-10"/>
          <w:lang w:val="en-GB" w:eastAsia="nl-NL"/>
        </w:rPr>
        <w:object w:dxaOrig="2000" w:dyaOrig="320">
          <v:shape id="_x0000_i1895" type="#_x0000_t75" style="width:99.75pt;height:15.75pt" o:ole="">
            <v:imagedata r:id="rId1599" o:title=""/>
          </v:shape>
          <o:OLEObject Type="Embed" ProgID="Equation.DSMT4" ShapeID="_x0000_i1895" DrawAspect="Content" ObjectID="_1324894346" r:id="rId1600"/>
        </w:object>
      </w:r>
      <w:r w:rsidRPr="00802C03">
        <w:rPr>
          <w:rFonts w:ascii="Garamond" w:hAnsi="Garamond" w:cs="NimbusRomNo9L-Regu"/>
          <w:lang w:val="en-GB" w:eastAsia="nl-NL"/>
        </w:rPr>
        <w:t>,</w:t>
      </w:r>
      <w:r w:rsidRPr="00802C03">
        <w:rPr>
          <w:rFonts w:ascii="Garamond" w:hAnsi="Garamond" w:cs="NimbusRomNo9L-Regu"/>
          <w:lang w:val="en-GB" w:eastAsia="nl-NL"/>
        </w:rPr>
        <w:tab/>
        <w:t>(A.11)</w:t>
      </w:r>
    </w:p>
    <w:p w:rsidR="001C7C52" w:rsidRPr="00802C03" w:rsidRDefault="001C7C52" w:rsidP="001F0514">
      <w:pPr>
        <w:tabs>
          <w:tab w:val="left" w:pos="567"/>
          <w:tab w:val="left" w:pos="8505"/>
        </w:tabs>
        <w:spacing w:before="12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104" w:name="EAN12"/>
      <w:bookmarkEnd w:id="104"/>
      <w:r w:rsidRPr="00100BDF">
        <w:rPr>
          <w:rFonts w:ascii="Garamond" w:hAnsi="Garamond" w:cs="NimbusRomNo9L-Regu"/>
          <w:position w:val="-12"/>
          <w:lang w:val="en-GB" w:eastAsia="nl-NL"/>
        </w:rPr>
        <w:object w:dxaOrig="4320" w:dyaOrig="380">
          <v:shape id="_x0000_i1896" type="#_x0000_t75" style="width:3in;height:18.75pt" o:ole="">
            <v:imagedata r:id="rId1601" o:title=""/>
          </v:shape>
          <o:OLEObject Type="Embed" ProgID="Equation.DSMT4" ShapeID="_x0000_i1896" DrawAspect="Content" ObjectID="_1324894347" r:id="rId1602"/>
        </w:object>
      </w:r>
      <w:r w:rsidRPr="00802C03">
        <w:rPr>
          <w:rFonts w:ascii="Garamond" w:hAnsi="Garamond" w:cs="NimbusRomNo9L-Regu"/>
          <w:lang w:val="en-GB" w:eastAsia="nl-NL"/>
        </w:rPr>
        <w:t>,</w:t>
      </w:r>
      <w:r w:rsidRPr="00802C03">
        <w:rPr>
          <w:rFonts w:ascii="Garamond" w:hAnsi="Garamond" w:cs="NimbusRomNo9L-Regu"/>
          <w:lang w:val="en-GB" w:eastAsia="nl-NL"/>
        </w:rPr>
        <w:tab/>
        <w:t>(A.12)</w:t>
      </w:r>
    </w:p>
    <w:p w:rsidR="001C7C52" w:rsidRPr="00802C03" w:rsidRDefault="001C7C52" w:rsidP="001F0514">
      <w:pPr>
        <w:tabs>
          <w:tab w:val="left" w:pos="567"/>
          <w:tab w:val="left" w:pos="8505"/>
        </w:tabs>
        <w:spacing w:before="12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105" w:name="EAN13"/>
      <w:bookmarkEnd w:id="105"/>
      <w:r w:rsidRPr="00100BDF">
        <w:rPr>
          <w:rFonts w:ascii="Garamond" w:hAnsi="Garamond" w:cs="NimbusRomNo9L-Regu"/>
          <w:position w:val="-10"/>
          <w:lang w:val="en-GB" w:eastAsia="nl-NL"/>
        </w:rPr>
        <w:object w:dxaOrig="1719" w:dyaOrig="320">
          <v:shape id="_x0000_i1897" type="#_x0000_t75" style="width:84.75pt;height:15.75pt" o:ole="">
            <v:imagedata r:id="rId1603" o:title=""/>
          </v:shape>
          <o:OLEObject Type="Embed" ProgID="Equation.DSMT4" ShapeID="_x0000_i1897" DrawAspect="Content" ObjectID="_1324894348" r:id="rId1604"/>
        </w:object>
      </w:r>
      <w:r w:rsidRPr="00802C03">
        <w:rPr>
          <w:rFonts w:ascii="Garamond" w:hAnsi="Garamond" w:cs="NimbusRomNo9L-Regu"/>
          <w:lang w:val="en-GB" w:eastAsia="nl-NL"/>
        </w:rPr>
        <w:t>,</w:t>
      </w:r>
      <w:r w:rsidRPr="00802C03">
        <w:rPr>
          <w:rFonts w:ascii="Garamond" w:hAnsi="Garamond" w:cs="NimbusRomNo9L-Regu"/>
          <w:lang w:val="en-GB" w:eastAsia="nl-NL"/>
        </w:rPr>
        <w:tab/>
        <w:t>(A.13)</w:t>
      </w:r>
    </w:p>
    <w:p w:rsidR="001C7C52" w:rsidRPr="00802C03" w:rsidRDefault="001C7C52" w:rsidP="001F0514">
      <w:pPr>
        <w:tabs>
          <w:tab w:val="left" w:pos="567"/>
          <w:tab w:val="left" w:pos="8505"/>
        </w:tabs>
        <w:spacing w:before="120" w:after="160" w:line="320" w:lineRule="exact"/>
        <w:jc w:val="both"/>
        <w:rPr>
          <w:rFonts w:ascii="Garamond" w:hAnsi="Garamond" w:cs="NimbusRomNo9L-Regu"/>
          <w:lang w:val="en-GB" w:eastAsia="nl-NL"/>
        </w:rPr>
      </w:pPr>
      <w:r w:rsidRPr="00802C03">
        <w:rPr>
          <w:rFonts w:ascii="Garamond" w:hAnsi="Garamond" w:cs="NimbusRomNo9L-Regu"/>
          <w:lang w:val="en-GB" w:eastAsia="nl-NL"/>
        </w:rPr>
        <w:tab/>
      </w:r>
      <w:bookmarkStart w:id="106" w:name="EAN14"/>
      <w:bookmarkEnd w:id="106"/>
      <w:r w:rsidRPr="00100BDF">
        <w:rPr>
          <w:rFonts w:ascii="Garamond" w:hAnsi="Garamond" w:cs="NimbusRomNo9L-Regu"/>
          <w:position w:val="-10"/>
          <w:lang w:val="en-GB" w:eastAsia="nl-NL"/>
        </w:rPr>
        <w:object w:dxaOrig="1719" w:dyaOrig="320">
          <v:shape id="_x0000_i1898" type="#_x0000_t75" style="width:84.75pt;height:15.75pt" o:ole="">
            <v:imagedata r:id="rId1605" o:title=""/>
          </v:shape>
          <o:OLEObject Type="Embed" ProgID="Equation.DSMT4" ShapeID="_x0000_i1898" DrawAspect="Content" ObjectID="_1324894349" r:id="rId1606"/>
        </w:object>
      </w:r>
      <w:r w:rsidRPr="00802C03">
        <w:rPr>
          <w:rFonts w:ascii="Garamond" w:hAnsi="Garamond" w:cs="NimbusRomNo9L-Regu"/>
          <w:lang w:val="en-GB" w:eastAsia="nl-NL"/>
        </w:rPr>
        <w:t>.</w:t>
      </w:r>
      <w:r w:rsidRPr="00802C03">
        <w:rPr>
          <w:rFonts w:ascii="Garamond" w:hAnsi="Garamond" w:cs="NimbusRomNo9L-Regu"/>
          <w:lang w:val="en-GB" w:eastAsia="nl-NL"/>
        </w:rPr>
        <w:tab/>
        <w:t>(A.14)</w:t>
      </w:r>
    </w:p>
    <w:p w:rsidR="001C7C52" w:rsidRPr="00802C03" w:rsidRDefault="001C7C52" w:rsidP="001F0514">
      <w:pPr>
        <w:tabs>
          <w:tab w:val="left" w:pos="567"/>
          <w:tab w:val="left" w:pos="8505"/>
        </w:tabs>
        <w:spacing w:before="60" w:after="60" w:line="160" w:lineRule="exact"/>
        <w:jc w:val="both"/>
        <w:rPr>
          <w:rFonts w:ascii="Garamond" w:hAnsi="Garamond" w:cs="NimbusRomNo9L-Regu"/>
          <w:lang w:val="en-GB" w:eastAsia="nl-NL"/>
        </w:rPr>
      </w:pPr>
    </w:p>
    <w:p w:rsidR="001C7C52" w:rsidRPr="00802C03" w:rsidRDefault="001C7C52" w:rsidP="001F0514">
      <w:pPr>
        <w:tabs>
          <w:tab w:val="left" w:pos="567"/>
          <w:tab w:val="left" w:pos="8505"/>
        </w:tabs>
        <w:spacing w:before="60" w:after="60"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next step is to express </w:t>
      </w:r>
      <w:r w:rsidRPr="00100BDF">
        <w:rPr>
          <w:rFonts w:ascii="Garamond" w:hAnsi="Garamond" w:cs="NimbusRomNo9L-Regu"/>
          <w:position w:val="-10"/>
          <w:lang w:val="en-GB" w:eastAsia="nl-NL"/>
        </w:rPr>
        <w:object w:dxaOrig="2040" w:dyaOrig="320">
          <v:shape id="_x0000_i1899" type="#_x0000_t75" style="width:102pt;height:15.75pt" o:ole="">
            <v:imagedata r:id="rId1607" o:title=""/>
          </v:shape>
          <o:OLEObject Type="Embed" ProgID="Equation.DSMT4" ShapeID="_x0000_i1899" DrawAspect="Content" ObjectID="_1324894350" r:id="rId1608"/>
        </w:object>
      </w:r>
      <w:r w:rsidRPr="00802C03">
        <w:rPr>
          <w:rFonts w:ascii="Garamond" w:hAnsi="Garamond" w:cs="NimbusRomNo9L-Regu"/>
          <w:lang w:val="en-GB" w:eastAsia="nl-NL"/>
        </w:rPr>
        <w:t xml:space="preserve"> in terms of the derived correlations above. To accomplish this, </w:t>
      </w:r>
      <w:r w:rsidRPr="00100BDF">
        <w:rPr>
          <w:rFonts w:ascii="Garamond" w:hAnsi="Garamond" w:cs="NimbusRomNo9L-Regu"/>
          <w:position w:val="-10"/>
          <w:lang w:val="en-GB" w:eastAsia="nl-NL"/>
        </w:rPr>
        <w:object w:dxaOrig="2040" w:dyaOrig="320">
          <v:shape id="_x0000_i1900" type="#_x0000_t75" style="width:102pt;height:15.75pt" o:ole="">
            <v:imagedata r:id="rId1609" o:title=""/>
          </v:shape>
          <o:OLEObject Type="Embed" ProgID="Equation.DSMT4" ShapeID="_x0000_i1900" DrawAspect="Content" ObjectID="_1324894351" r:id="rId1610"/>
        </w:object>
      </w:r>
      <w:r w:rsidRPr="00802C03">
        <w:rPr>
          <w:rFonts w:ascii="Garamond" w:hAnsi="Garamond" w:cs="NimbusRomNo9L-Regu"/>
          <w:lang w:val="en-GB" w:eastAsia="nl-NL"/>
        </w:rPr>
        <w:t xml:space="preserve"> must be defined. The standard correlation formula applies here:</w:t>
      </w:r>
    </w:p>
    <w:p w:rsidR="001C7C52" w:rsidRPr="00802C03" w:rsidRDefault="001C7C52" w:rsidP="00D451B1">
      <w:pPr>
        <w:tabs>
          <w:tab w:val="left" w:pos="567"/>
          <w:tab w:val="left" w:pos="8505"/>
        </w:tabs>
        <w:spacing w:before="100" w:after="120" w:line="320" w:lineRule="atLeast"/>
        <w:ind w:firstLine="567"/>
        <w:jc w:val="both"/>
        <w:rPr>
          <w:rFonts w:ascii="Garamond" w:hAnsi="Garamond" w:cs="NimbusRomNo9L-Regu"/>
          <w:lang w:val="en-GB" w:eastAsia="nl-NL"/>
        </w:rPr>
      </w:pPr>
      <w:r w:rsidRPr="005E2D6F">
        <w:rPr>
          <w:rFonts w:ascii="Garamond" w:hAnsi="Garamond" w:cs="NimbusRomNo9L-Regu"/>
          <w:position w:val="-30"/>
          <w:lang w:val="en-GB" w:eastAsia="nl-NL"/>
        </w:rPr>
        <w:object w:dxaOrig="4819" w:dyaOrig="639">
          <v:shape id="_x0000_i1901" type="#_x0000_t75" style="width:240.75pt;height:32.25pt" o:ole="">
            <v:imagedata r:id="rId1611" o:title=""/>
          </v:shape>
          <o:OLEObject Type="Embed" ProgID="Equation.DSMT4" ShapeID="_x0000_i1901" DrawAspect="Content" ObjectID="_1324894352" r:id="rId1612"/>
        </w:object>
      </w:r>
      <w:r w:rsidRPr="00802C03">
        <w:rPr>
          <w:rFonts w:ascii="Garamond" w:hAnsi="Garamond" w:cs="NimbusRomNo9L-Regu"/>
          <w:lang w:val="en-GB" w:eastAsia="nl-NL"/>
        </w:rPr>
        <w:t>.</w:t>
      </w:r>
      <w:bookmarkStart w:id="107" w:name="EAN15"/>
      <w:bookmarkEnd w:id="107"/>
      <w:r w:rsidRPr="00802C03">
        <w:rPr>
          <w:rFonts w:ascii="Garamond" w:hAnsi="Garamond" w:cs="NimbusRomNo9L-Regu"/>
          <w:lang w:val="en-GB" w:eastAsia="nl-NL"/>
        </w:rPr>
        <w:tab/>
        <w:t>(A.15)</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covariance term in </w:t>
      </w:r>
      <w:hyperlink w:anchor="EAN15" w:history="1">
        <w:r w:rsidRPr="00802C03">
          <w:rPr>
            <w:rStyle w:val="Hyperlink"/>
            <w:rFonts w:ascii="Garamond" w:hAnsi="Garamond" w:cs="NimbusRomNo9L-Regu"/>
            <w:color w:val="000066"/>
            <w:u w:val="none"/>
            <w:lang w:val="en-GB" w:eastAsia="nl-NL"/>
          </w:rPr>
          <w:t>equation A.15</w:t>
        </w:r>
      </w:hyperlink>
      <w:r w:rsidRPr="00802C03">
        <w:rPr>
          <w:rFonts w:ascii="Garamond" w:hAnsi="Garamond" w:cs="NimbusRomNo9L-Regu"/>
          <w:lang w:val="en-GB" w:eastAsia="nl-NL"/>
        </w:rPr>
        <w:t xml:space="preserve"> is generally expressed as:</w:t>
      </w:r>
    </w:p>
    <w:p w:rsidR="001C7C52" w:rsidRPr="00802C03" w:rsidRDefault="001C7C52" w:rsidP="001F0514">
      <w:pPr>
        <w:tabs>
          <w:tab w:val="left" w:pos="567"/>
          <w:tab w:val="left" w:pos="8505"/>
        </w:tabs>
        <w:spacing w:before="80" w:after="12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6759" w:dyaOrig="320">
          <v:shape id="_x0000_i1902" type="#_x0000_t75" style="width:338.25pt;height:15.75pt" o:ole="">
            <v:imagedata r:id="rId1613" o:title=""/>
          </v:shape>
          <o:OLEObject Type="Embed" ProgID="Equation.DSMT4" ShapeID="_x0000_i1902" DrawAspect="Content" ObjectID="_1324894353" r:id="rId1614"/>
        </w:object>
      </w:r>
      <w:r w:rsidRPr="00802C03">
        <w:rPr>
          <w:rFonts w:ascii="Garamond" w:hAnsi="Garamond" w:cs="NimbusRomNo9L-Regu"/>
          <w:lang w:val="en-GB" w:eastAsia="nl-NL"/>
        </w:rPr>
        <w:t>.</w:t>
      </w:r>
      <w:r w:rsidRPr="00802C03">
        <w:rPr>
          <w:rFonts w:ascii="Garamond" w:hAnsi="Garamond" w:cs="NimbusRomNo9L-Regu"/>
          <w:lang w:val="en-GB" w:eastAsia="nl-NL"/>
        </w:rPr>
        <w:tab/>
        <w:t>(A.16)</w:t>
      </w:r>
    </w:p>
    <w:p w:rsidR="001C7C52" w:rsidRPr="00802C03" w:rsidRDefault="001C7C52" w:rsidP="001F0514">
      <w:pPr>
        <w:spacing w:line="280" w:lineRule="exact"/>
        <w:ind w:firstLine="284"/>
        <w:jc w:val="both"/>
        <w:rPr>
          <w:rFonts w:ascii="Garamond" w:hAnsi="Garamond" w:cs="NimbusRomNo9L-Regu"/>
          <w:lang w:val="en-GB" w:eastAsia="nl-NL"/>
        </w:rPr>
      </w:pPr>
      <w:r w:rsidRPr="00802C03">
        <w:rPr>
          <w:rFonts w:ascii="Garamond" w:hAnsi="Garamond" w:cs="NimbusRomNo9L-Regu"/>
          <w:lang w:val="en-GB" w:eastAsia="nl-NL"/>
        </w:rPr>
        <w:t xml:space="preserve">Since </w:t>
      </w:r>
      <w:r w:rsidRPr="00100BDF">
        <w:rPr>
          <w:rFonts w:ascii="Garamond" w:hAnsi="Garamond" w:cs="NimbusRomNo9L-Regu"/>
          <w:position w:val="-10"/>
          <w:lang w:val="en-GB" w:eastAsia="nl-NL"/>
        </w:rPr>
        <w:object w:dxaOrig="3200" w:dyaOrig="320">
          <v:shape id="_x0000_i1903" type="#_x0000_t75" style="width:159.75pt;height:15.75pt" o:ole="">
            <v:imagedata r:id="rId1615" o:title=""/>
          </v:shape>
          <o:OLEObject Type="Embed" ProgID="Equation.DSMT4" ShapeID="_x0000_i1903" DrawAspect="Content" ObjectID="_1324894354" r:id="rId1616"/>
        </w:object>
      </w:r>
      <w:r w:rsidRPr="00802C03">
        <w:rPr>
          <w:rFonts w:ascii="Garamond" w:hAnsi="Garamond" w:cs="NimbusRomNo9L-Regu"/>
          <w:lang w:val="en-GB" w:eastAsia="nl-NL"/>
        </w:rPr>
        <w:t>, this can be rewritten as:</w:t>
      </w:r>
    </w:p>
    <w:p w:rsidR="001C7C52" w:rsidRPr="00802C03" w:rsidRDefault="001C7C52" w:rsidP="001F0514">
      <w:pPr>
        <w:tabs>
          <w:tab w:val="left" w:pos="567"/>
          <w:tab w:val="left" w:pos="8505"/>
        </w:tabs>
        <w:spacing w:before="80" w:after="12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5940" w:dyaOrig="320">
          <v:shape id="_x0000_i1904" type="#_x0000_t75" style="width:294pt;height:15.75pt" o:ole="">
            <v:imagedata r:id="rId1617" o:title=""/>
          </v:shape>
          <o:OLEObject Type="Embed" ProgID="Equation.DSMT4" ShapeID="_x0000_i1904" DrawAspect="Content" ObjectID="_1324894355" r:id="rId1618"/>
        </w:object>
      </w:r>
      <w:r w:rsidRPr="00802C03">
        <w:rPr>
          <w:rFonts w:ascii="Garamond" w:hAnsi="Garamond" w:cs="NimbusRomNo9L-Regu"/>
          <w:lang w:val="en-GB" w:eastAsia="nl-NL"/>
        </w:rPr>
        <w:t>.</w:t>
      </w:r>
      <w:r w:rsidRPr="00802C03">
        <w:rPr>
          <w:rFonts w:ascii="Garamond" w:hAnsi="Garamond" w:cs="NimbusRomNo9L-Regu"/>
          <w:lang w:val="en-GB" w:eastAsia="nl-NL"/>
        </w:rPr>
        <w:tab/>
        <w:t>(A.17)</w:t>
      </w:r>
    </w:p>
    <w:p w:rsidR="001C7C52" w:rsidRPr="00802C03" w:rsidRDefault="001C7C52" w:rsidP="001F0514">
      <w:pPr>
        <w:spacing w:line="280" w:lineRule="exact"/>
        <w:ind w:firstLine="284"/>
        <w:jc w:val="both"/>
        <w:rPr>
          <w:rFonts w:ascii="Garamond" w:hAnsi="Garamond" w:cs="NimbusRomNo9L-Regu"/>
          <w:lang w:val="en-GB" w:eastAsia="nl-NL"/>
        </w:rPr>
      </w:pPr>
      <w:r w:rsidRPr="00802C03">
        <w:rPr>
          <w:rFonts w:ascii="Garamond" w:hAnsi="Garamond" w:cs="NimbusRomNo9L-Regu"/>
          <w:lang w:val="en-GB" w:eastAsia="nl-NL"/>
        </w:rPr>
        <w:t>All individual terms in this expression are standard normally distributed. Hence, it can be rewritten as:</w:t>
      </w:r>
    </w:p>
    <w:p w:rsidR="001C7C52" w:rsidRPr="00802C03" w:rsidRDefault="001C7C52" w:rsidP="001F0514">
      <w:pPr>
        <w:tabs>
          <w:tab w:val="left" w:pos="567"/>
          <w:tab w:val="left" w:pos="8505"/>
        </w:tabs>
        <w:spacing w:before="80" w:after="16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7020" w:dyaOrig="320">
          <v:shape id="_x0000_i1905" type="#_x0000_t75" style="width:351pt;height:15.75pt" o:ole="">
            <v:imagedata r:id="rId1619" o:title=""/>
          </v:shape>
          <o:OLEObject Type="Embed" ProgID="Equation.DSMT4" ShapeID="_x0000_i1905" DrawAspect="Content" ObjectID="_1324894356" r:id="rId1620"/>
        </w:object>
      </w:r>
      <w:r w:rsidRPr="00802C03">
        <w:rPr>
          <w:rFonts w:ascii="Garamond" w:hAnsi="Garamond" w:cs="NimbusRomNo9L-Regu"/>
          <w:lang w:val="en-GB" w:eastAsia="nl-NL"/>
        </w:rPr>
        <w:t>.</w:t>
      </w:r>
      <w:r w:rsidRPr="00802C03">
        <w:rPr>
          <w:rFonts w:ascii="Garamond" w:hAnsi="Garamond" w:cs="NimbusRomNo9L-Regu"/>
          <w:lang w:val="en-GB" w:eastAsia="nl-NL"/>
        </w:rPr>
        <w:tab/>
        <w:t>(A.18)</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 variance term in </w:t>
      </w:r>
      <w:hyperlink w:anchor="EAN15" w:history="1">
        <w:r w:rsidRPr="00802C03">
          <w:rPr>
            <w:rStyle w:val="Hyperlink"/>
            <w:rFonts w:ascii="Garamond" w:hAnsi="Garamond" w:cs="NimbusRomNo9L-Regu"/>
            <w:color w:val="000066"/>
            <w:u w:val="none"/>
            <w:lang w:val="en-GB" w:eastAsia="nl-NL"/>
          </w:rPr>
          <w:t>equation A.15</w:t>
        </w:r>
      </w:hyperlink>
      <w:r w:rsidRPr="00802C03">
        <w:rPr>
          <w:rFonts w:ascii="Garamond" w:hAnsi="Garamond" w:cs="NimbusRomNo9L-Regu"/>
          <w:lang w:val="en-GB" w:eastAsia="nl-NL"/>
        </w:rPr>
        <w:t xml:space="preserve"> is a sum of to correlated variable, which is generally approached as:</w:t>
      </w:r>
    </w:p>
    <w:p w:rsidR="001C7C52" w:rsidRPr="00802C03" w:rsidRDefault="001C7C52" w:rsidP="001F0514">
      <w:pPr>
        <w:tabs>
          <w:tab w:val="left" w:pos="8505"/>
        </w:tabs>
        <w:spacing w:before="80" w:after="120" w:line="320" w:lineRule="exact"/>
        <w:ind w:firstLine="567"/>
        <w:jc w:val="both"/>
        <w:rPr>
          <w:rFonts w:ascii="Garamond" w:hAnsi="Garamond" w:cs="NimbusRomNo9L-Regu"/>
          <w:lang w:val="en-GB" w:eastAsia="nl-NL"/>
        </w:rPr>
      </w:pPr>
      <w:r w:rsidRPr="005E2D6F">
        <w:rPr>
          <w:rFonts w:ascii="Garamond" w:hAnsi="Garamond" w:cs="NimbusRomNo9L-Regu"/>
          <w:position w:val="-10"/>
          <w:lang w:val="en-GB" w:eastAsia="nl-NL"/>
        </w:rPr>
        <w:object w:dxaOrig="4200" w:dyaOrig="320">
          <v:shape id="_x0000_i1906" type="#_x0000_t75" style="width:207.75pt;height:15.75pt" o:ole="">
            <v:imagedata r:id="rId1621" o:title=""/>
          </v:shape>
          <o:OLEObject Type="Embed" ProgID="Equation.DSMT4" ShapeID="_x0000_i1906" DrawAspect="Content" ObjectID="_1324894357" r:id="rId1622"/>
        </w:object>
      </w:r>
      <w:r w:rsidRPr="00802C03">
        <w:rPr>
          <w:rFonts w:ascii="Garamond" w:hAnsi="Garamond" w:cs="NimbusRomNo9L-Regu"/>
          <w:lang w:val="en-GB" w:eastAsia="nl-NL"/>
        </w:rPr>
        <w:t>.</w:t>
      </w:r>
      <w:r w:rsidRPr="00802C03">
        <w:rPr>
          <w:rFonts w:ascii="Garamond" w:hAnsi="Garamond" w:cs="NimbusRomNo9L-Regu"/>
          <w:lang w:val="en-GB" w:eastAsia="nl-NL"/>
        </w:rPr>
        <w:tab/>
        <w:t>(A.19)</w:t>
      </w:r>
    </w:p>
    <w:p w:rsidR="001C7C52" w:rsidRPr="00802C03" w:rsidRDefault="001C7C52" w:rsidP="001F0514">
      <w:pPr>
        <w:spacing w:line="280" w:lineRule="exact"/>
        <w:ind w:left="568" w:hanging="284"/>
        <w:jc w:val="both"/>
        <w:rPr>
          <w:rFonts w:ascii="Garamond" w:hAnsi="Garamond" w:cs="NimbusRomNo9L-Regu"/>
          <w:lang w:val="en-GB" w:eastAsia="nl-NL"/>
        </w:rPr>
      </w:pPr>
      <w:r w:rsidRPr="00802C03">
        <w:rPr>
          <w:rFonts w:ascii="Garamond" w:hAnsi="Garamond" w:cs="NimbusRomNo9L-Regu"/>
          <w:lang w:val="en-GB" w:eastAsia="nl-NL"/>
        </w:rPr>
        <w:t xml:space="preserve">In this expression, </w:t>
      </w:r>
      <w:r w:rsidRPr="00100BDF">
        <w:rPr>
          <w:rFonts w:ascii="Garamond" w:hAnsi="Garamond" w:cs="NimbusRomNo9L-Regu"/>
          <w:position w:val="-10"/>
          <w:lang w:val="en-GB" w:eastAsia="nl-NL"/>
        </w:rPr>
        <w:object w:dxaOrig="1880" w:dyaOrig="320">
          <v:shape id="_x0000_i1907" type="#_x0000_t75" style="width:93pt;height:15.75pt" o:ole="">
            <v:imagedata r:id="rId1623" o:title=""/>
          </v:shape>
          <o:OLEObject Type="Embed" ProgID="Equation.DSMT4" ShapeID="_x0000_i1907" DrawAspect="Content" ObjectID="_1324894358" r:id="rId1624"/>
        </w:object>
      </w:r>
      <w:r w:rsidRPr="00802C03">
        <w:rPr>
          <w:rFonts w:ascii="Garamond" w:hAnsi="Garamond" w:cs="NimbusRomNo9L-Regu"/>
          <w:lang w:val="en-GB" w:eastAsia="nl-NL"/>
        </w:rPr>
        <w:t xml:space="preserve"> and thus, </w:t>
      </w:r>
      <w:r w:rsidRPr="00100BDF">
        <w:rPr>
          <w:rFonts w:ascii="Garamond" w:hAnsi="Garamond" w:cs="NimbusRomNo9L-Regu"/>
          <w:position w:val="-10"/>
          <w:lang w:val="en-GB" w:eastAsia="nl-NL"/>
        </w:rPr>
        <w:object w:dxaOrig="2380" w:dyaOrig="320">
          <v:shape id="_x0000_i1908" type="#_x0000_t75" style="width:119.25pt;height:15.75pt" o:ole="">
            <v:imagedata r:id="rId1625" o:title=""/>
          </v:shape>
          <o:OLEObject Type="Embed" ProgID="Equation.DSMT4" ShapeID="_x0000_i1908" DrawAspect="Content" ObjectID="_1324894359" r:id="rId1626"/>
        </w:object>
      </w:r>
      <w:r w:rsidRPr="00802C03">
        <w:rPr>
          <w:rFonts w:ascii="Garamond" w:hAnsi="Garamond" w:cs="NimbusRomNo9L-Regu"/>
          <w:lang w:val="en-GB" w:eastAsia="nl-NL"/>
        </w:rPr>
        <w:t xml:space="preserve">. </w:t>
      </w:r>
    </w:p>
    <w:p w:rsidR="001C7C52" w:rsidRPr="00802C03" w:rsidRDefault="001C7C52" w:rsidP="001F0514">
      <w:pPr>
        <w:spacing w:line="280" w:lineRule="exact"/>
        <w:ind w:left="568" w:hanging="284"/>
        <w:jc w:val="both"/>
        <w:rPr>
          <w:rFonts w:ascii="Garamond" w:hAnsi="Garamond" w:cs="NimbusRomNo9L-Regu"/>
          <w:lang w:val="en-GB" w:eastAsia="nl-NL"/>
        </w:rPr>
      </w:pPr>
      <w:r w:rsidRPr="00802C03">
        <w:rPr>
          <w:rFonts w:ascii="Garamond" w:hAnsi="Garamond" w:cs="NimbusRomNo9L-Regu"/>
          <w:lang w:val="en-GB" w:eastAsia="nl-NL"/>
        </w:rPr>
        <w:t>Consequently, the variance term can be rewritten as:</w:t>
      </w:r>
    </w:p>
    <w:p w:rsidR="001C7C52" w:rsidRPr="00802C03" w:rsidRDefault="001C7C52" w:rsidP="001F0514">
      <w:pPr>
        <w:tabs>
          <w:tab w:val="left" w:pos="567"/>
          <w:tab w:val="left" w:pos="8505"/>
        </w:tabs>
        <w:spacing w:before="80" w:after="12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2840" w:dyaOrig="320">
          <v:shape id="_x0000_i1909" type="#_x0000_t75" style="width:141.75pt;height:15.75pt" o:ole="">
            <v:imagedata r:id="rId1627" o:title=""/>
          </v:shape>
          <o:OLEObject Type="Embed" ProgID="Equation.DSMT4" ShapeID="_x0000_i1909" DrawAspect="Content" ObjectID="_1324894360" r:id="rId1628"/>
        </w:object>
      </w:r>
      <w:r w:rsidRPr="00802C03">
        <w:rPr>
          <w:rFonts w:ascii="Garamond" w:hAnsi="Garamond" w:cs="NimbusRomNo9L-Regu"/>
          <w:lang w:val="en-GB" w:eastAsia="nl-NL"/>
        </w:rPr>
        <w:t>.</w:t>
      </w:r>
      <w:r w:rsidRPr="00802C03">
        <w:rPr>
          <w:rFonts w:ascii="Garamond" w:hAnsi="Garamond" w:cs="NimbusRomNo9L-Regu"/>
          <w:lang w:val="en-GB" w:eastAsia="nl-NL"/>
        </w:rPr>
        <w:tab/>
        <w:t>(A.20)</w:t>
      </w:r>
    </w:p>
    <w:p w:rsidR="001C7C52" w:rsidRPr="00802C03" w:rsidRDefault="001C7C52" w:rsidP="001F0514">
      <w:pPr>
        <w:spacing w:line="280" w:lineRule="exact"/>
        <w:ind w:firstLine="284"/>
        <w:jc w:val="both"/>
        <w:rPr>
          <w:rFonts w:ascii="Garamond" w:hAnsi="Garamond" w:cs="NimbusRomNo9L-Regu"/>
          <w:lang w:val="en-GB" w:eastAsia="nl-NL"/>
        </w:rPr>
      </w:pPr>
      <w:r w:rsidRPr="00802C03">
        <w:rPr>
          <w:rFonts w:ascii="Garamond" w:hAnsi="Garamond" w:cs="NimbusRomNo9L-Regu"/>
          <w:lang w:val="en-GB" w:eastAsia="nl-NL"/>
        </w:rPr>
        <w:t xml:space="preserve">The same applies to </w:t>
      </w:r>
      <w:r w:rsidRPr="00100BDF">
        <w:rPr>
          <w:rFonts w:ascii="Garamond" w:hAnsi="Garamond" w:cs="NimbusRomNo9L-Regu"/>
          <w:position w:val="-10"/>
          <w:lang w:val="en-GB" w:eastAsia="nl-NL"/>
        </w:rPr>
        <w:object w:dxaOrig="1180" w:dyaOrig="320">
          <v:shape id="_x0000_i1910" type="#_x0000_t75" style="width:58.5pt;height:15.75pt" o:ole="">
            <v:imagedata r:id="rId1629" o:title=""/>
          </v:shape>
          <o:OLEObject Type="Embed" ProgID="Equation.DSMT4" ShapeID="_x0000_i1910" DrawAspect="Content" ObjectID="_1324894361" r:id="rId1630"/>
        </w:object>
      </w:r>
      <w:r w:rsidRPr="00802C03">
        <w:rPr>
          <w:rFonts w:ascii="Garamond" w:hAnsi="Garamond" w:cs="NimbusRomNo9L-Regu"/>
          <w:lang w:val="en-GB" w:eastAsia="nl-NL"/>
        </w:rPr>
        <w:t>:</w:t>
      </w:r>
    </w:p>
    <w:p w:rsidR="001C7C52" w:rsidRPr="00802C03" w:rsidRDefault="001C7C52" w:rsidP="001F0514">
      <w:pPr>
        <w:tabs>
          <w:tab w:val="left" w:pos="567"/>
          <w:tab w:val="left" w:pos="8505"/>
        </w:tabs>
        <w:spacing w:before="80" w:after="160" w:line="320" w:lineRule="exac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10"/>
          <w:lang w:val="en-GB" w:eastAsia="nl-NL"/>
        </w:rPr>
        <w:object w:dxaOrig="2840" w:dyaOrig="320">
          <v:shape id="_x0000_i1911" type="#_x0000_t75" style="width:141.75pt;height:15.75pt" o:ole="">
            <v:imagedata r:id="rId1631" o:title=""/>
          </v:shape>
          <o:OLEObject Type="Embed" ProgID="Equation.DSMT4" ShapeID="_x0000_i1911" DrawAspect="Content" ObjectID="_1324894362" r:id="rId1632"/>
        </w:object>
      </w:r>
      <w:r w:rsidRPr="00802C03">
        <w:rPr>
          <w:rFonts w:ascii="Garamond" w:hAnsi="Garamond" w:cs="NimbusRomNo9L-Regu"/>
          <w:lang w:val="en-GB" w:eastAsia="nl-NL"/>
        </w:rPr>
        <w:t>.</w:t>
      </w:r>
      <w:r w:rsidRPr="00802C03">
        <w:rPr>
          <w:rFonts w:ascii="Garamond" w:hAnsi="Garamond" w:cs="NimbusRomNo9L-Regu"/>
          <w:lang w:val="en-GB" w:eastAsia="nl-NL"/>
        </w:rPr>
        <w:tab/>
        <w:t>(A.21)</w:t>
      </w:r>
    </w:p>
    <w:p w:rsidR="001C7C52" w:rsidRPr="00802C03" w:rsidRDefault="001C7C52" w:rsidP="001F0514">
      <w:pPr>
        <w:spacing w:line="16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By substituting the derived definitions of </w:t>
      </w:r>
      <w:r w:rsidRPr="00100BDF">
        <w:rPr>
          <w:rFonts w:ascii="Garamond" w:hAnsi="Garamond" w:cs="NimbusRomNo9L-Regu"/>
          <w:position w:val="-10"/>
          <w:lang w:val="en-GB" w:eastAsia="nl-NL"/>
        </w:rPr>
        <w:object w:dxaOrig="2000" w:dyaOrig="320">
          <v:shape id="_x0000_i1912" type="#_x0000_t75" style="width:99.75pt;height:15.75pt" o:ole="">
            <v:imagedata r:id="rId1633" o:title=""/>
          </v:shape>
          <o:OLEObject Type="Embed" ProgID="Equation.DSMT4" ShapeID="_x0000_i1912" DrawAspect="Content" ObjectID="_1324894363" r:id="rId1634"/>
        </w:object>
      </w:r>
      <w:r w:rsidRPr="00802C03">
        <w:rPr>
          <w:rFonts w:ascii="Garamond" w:hAnsi="Garamond" w:cs="NimbusRomNo9L-Regu"/>
          <w:lang w:val="en-GB" w:eastAsia="nl-NL"/>
        </w:rPr>
        <w:t xml:space="preserve">, </w:t>
      </w:r>
      <w:r w:rsidRPr="00100BDF">
        <w:rPr>
          <w:rFonts w:ascii="Garamond" w:hAnsi="Garamond" w:cs="NimbusRomNo9L-Regu"/>
          <w:position w:val="-10"/>
          <w:lang w:val="en-GB" w:eastAsia="nl-NL"/>
        </w:rPr>
        <w:object w:dxaOrig="1180" w:dyaOrig="320">
          <v:shape id="_x0000_i1913" type="#_x0000_t75" style="width:58.5pt;height:15.75pt" o:ole="">
            <v:imagedata r:id="rId1635" o:title=""/>
          </v:shape>
          <o:OLEObject Type="Embed" ProgID="Equation.DSMT4" ShapeID="_x0000_i1913" DrawAspect="Content" ObjectID="_1324894364" r:id="rId1636"/>
        </w:object>
      </w:r>
      <w:r w:rsidRPr="00802C03">
        <w:rPr>
          <w:rFonts w:ascii="Garamond" w:hAnsi="Garamond" w:cs="NimbusRomNo9L-Regu"/>
          <w:lang w:val="en-GB" w:eastAsia="nl-NL"/>
        </w:rPr>
        <w:t xml:space="preserve"> and </w:t>
      </w:r>
      <w:r w:rsidRPr="00100BDF">
        <w:rPr>
          <w:rFonts w:ascii="Garamond" w:hAnsi="Garamond" w:cs="NimbusRomNo9L-Regu"/>
          <w:position w:val="-10"/>
          <w:lang w:val="en-GB" w:eastAsia="nl-NL"/>
        </w:rPr>
        <w:object w:dxaOrig="1180" w:dyaOrig="320">
          <v:shape id="_x0000_i1914" type="#_x0000_t75" style="width:58.5pt;height:15.75pt" o:ole="">
            <v:imagedata r:id="rId1637" o:title=""/>
          </v:shape>
          <o:OLEObject Type="Embed" ProgID="Equation.DSMT4" ShapeID="_x0000_i1914" DrawAspect="Content" ObjectID="_1324894365" r:id="rId1638"/>
        </w:object>
      </w:r>
      <w:r w:rsidRPr="00802C03">
        <w:rPr>
          <w:rFonts w:ascii="Garamond" w:hAnsi="Garamond" w:cs="NimbusRomNo9L-Regu"/>
          <w:lang w:val="en-GB" w:eastAsia="nl-NL"/>
        </w:rPr>
        <w:t xml:space="preserve"> into the correlation equation (</w:t>
      </w:r>
      <w:hyperlink w:anchor="EAN15" w:history="1">
        <w:r w:rsidRPr="00802C03">
          <w:rPr>
            <w:rStyle w:val="Hyperlink"/>
            <w:rFonts w:ascii="Garamond" w:hAnsi="Garamond" w:cs="NimbusRomNo9L-Regu"/>
            <w:color w:val="000066"/>
            <w:u w:val="none"/>
            <w:lang w:val="en-GB" w:eastAsia="nl-NL"/>
          </w:rPr>
          <w:t>equation A.15</w:t>
        </w:r>
      </w:hyperlink>
      <w:r w:rsidRPr="00802C03">
        <w:rPr>
          <w:rFonts w:ascii="Garamond" w:hAnsi="Garamond" w:cs="NimbusRomNo9L-Regu"/>
          <w:lang w:val="en-GB" w:eastAsia="nl-NL"/>
        </w:rPr>
        <w:t>), the implied correlation can be expressed as:</w:t>
      </w:r>
    </w:p>
    <w:p w:rsidR="001C7C52" w:rsidRPr="00802C03" w:rsidRDefault="001C7C52" w:rsidP="001F0514">
      <w:pPr>
        <w:tabs>
          <w:tab w:val="left" w:pos="567"/>
          <w:tab w:val="left" w:pos="8505"/>
        </w:tabs>
        <w:spacing w:before="100" w:after="12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30"/>
          <w:lang w:val="en-GB" w:eastAsia="nl-NL"/>
        </w:rPr>
        <w:object w:dxaOrig="7100" w:dyaOrig="639">
          <v:shape id="_x0000_i1915" type="#_x0000_t75" style="width:354.75pt;height:32.25pt" o:ole="">
            <v:imagedata r:id="rId1639" o:title=""/>
          </v:shape>
          <o:OLEObject Type="Embed" ProgID="Equation.DSMT4" ShapeID="_x0000_i1915" DrawAspect="Content" ObjectID="_1324894366" r:id="rId1640"/>
        </w:object>
      </w:r>
      <w:r w:rsidRPr="00802C03">
        <w:rPr>
          <w:rFonts w:ascii="Garamond" w:hAnsi="Garamond" w:cs="NimbusRomNo9L-Regu"/>
          <w:lang w:val="en-GB" w:eastAsia="nl-NL"/>
        </w:rPr>
        <w:t>.</w:t>
      </w:r>
      <w:r w:rsidRPr="00802C03">
        <w:rPr>
          <w:rFonts w:ascii="Garamond" w:hAnsi="Garamond" w:cs="NimbusRomNo9L-Regu"/>
          <w:lang w:val="en-GB" w:eastAsia="nl-NL"/>
        </w:rPr>
        <w:tab/>
        <w:t>(A.22)</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Then, by substituting derivations of each correlation, as expressed in </w:t>
      </w:r>
      <w:hyperlink w:anchor="EAN9" w:history="1">
        <w:r w:rsidRPr="00802C03">
          <w:rPr>
            <w:rStyle w:val="Hyperlink"/>
            <w:rFonts w:ascii="Garamond" w:hAnsi="Garamond" w:cs="NimbusRomNo9L-Regu"/>
            <w:color w:val="000066"/>
            <w:u w:val="none"/>
            <w:lang w:val="en-GB" w:eastAsia="nl-NL"/>
          </w:rPr>
          <w:t>equation A.9</w:t>
        </w:r>
      </w:hyperlink>
      <w:r w:rsidRPr="00802C03">
        <w:rPr>
          <w:rFonts w:ascii="Garamond" w:hAnsi="Garamond" w:cs="NimbusRomNo9L-Regu"/>
          <w:lang w:val="en-GB" w:eastAsia="nl-NL"/>
        </w:rPr>
        <w:t xml:space="preserve">, </w:t>
      </w:r>
      <w:hyperlink w:anchor="EAN10" w:history="1">
        <w:r w:rsidRPr="00802C03">
          <w:rPr>
            <w:rStyle w:val="Hyperlink"/>
            <w:rFonts w:ascii="Garamond" w:hAnsi="Garamond" w:cs="NimbusRomNo9L-Regu"/>
            <w:color w:val="000066"/>
            <w:u w:val="none"/>
            <w:lang w:val="en-GB" w:eastAsia="nl-NL"/>
          </w:rPr>
          <w:t>A.10</w:t>
        </w:r>
      </w:hyperlink>
      <w:r w:rsidRPr="00802C03">
        <w:rPr>
          <w:rFonts w:ascii="Garamond" w:hAnsi="Garamond" w:cs="NimbusRomNo9L-Regu"/>
          <w:lang w:val="en-GB" w:eastAsia="nl-NL"/>
        </w:rPr>
        <w:t xml:space="preserve">, </w:t>
      </w:r>
      <w:hyperlink w:anchor="EAN11" w:history="1">
        <w:r w:rsidRPr="00802C03">
          <w:rPr>
            <w:rStyle w:val="Hyperlink"/>
            <w:rFonts w:ascii="Garamond" w:hAnsi="Garamond" w:cs="NimbusRomNo9L-Regu"/>
            <w:color w:val="000066"/>
            <w:u w:val="none"/>
            <w:lang w:val="en-GB" w:eastAsia="nl-NL"/>
          </w:rPr>
          <w:t>A.11</w:t>
        </w:r>
      </w:hyperlink>
      <w:r w:rsidRPr="00802C03">
        <w:rPr>
          <w:rFonts w:ascii="Garamond" w:hAnsi="Garamond" w:cs="NimbusRomNo9L-Regu"/>
          <w:lang w:val="en-GB" w:eastAsia="nl-NL"/>
        </w:rPr>
        <w:t xml:space="preserve">, </w:t>
      </w:r>
      <w:hyperlink w:anchor="EAN12" w:history="1">
        <w:r w:rsidRPr="00802C03">
          <w:rPr>
            <w:rStyle w:val="Hyperlink"/>
            <w:rFonts w:ascii="Garamond" w:hAnsi="Garamond" w:cs="NimbusRomNo9L-Regu"/>
            <w:color w:val="000066"/>
            <w:u w:val="none"/>
            <w:lang w:val="en-GB" w:eastAsia="nl-NL"/>
          </w:rPr>
          <w:t>A.12</w:t>
        </w:r>
      </w:hyperlink>
      <w:r w:rsidRPr="00802C03">
        <w:rPr>
          <w:rFonts w:ascii="Garamond" w:hAnsi="Garamond" w:cs="NimbusRomNo9L-Regu"/>
          <w:lang w:val="en-GB" w:eastAsia="nl-NL"/>
        </w:rPr>
        <w:t xml:space="preserve">, </w:t>
      </w:r>
      <w:hyperlink w:anchor="EAN13" w:history="1">
        <w:r w:rsidRPr="00802C03">
          <w:rPr>
            <w:rStyle w:val="Hyperlink"/>
            <w:rFonts w:ascii="Garamond" w:hAnsi="Garamond" w:cs="NimbusRomNo9L-Regu"/>
            <w:color w:val="000066"/>
            <w:u w:val="none"/>
            <w:lang w:val="en-GB" w:eastAsia="nl-NL"/>
          </w:rPr>
          <w:t>A.13</w:t>
        </w:r>
      </w:hyperlink>
      <w:r w:rsidRPr="00802C03">
        <w:rPr>
          <w:rFonts w:ascii="Garamond" w:hAnsi="Garamond" w:cs="NimbusRomNo9L-Regu"/>
          <w:lang w:val="en-GB" w:eastAsia="nl-NL"/>
        </w:rPr>
        <w:t xml:space="preserve"> and </w:t>
      </w:r>
      <w:hyperlink w:anchor="EAN14" w:history="1">
        <w:r w:rsidRPr="00802C03">
          <w:rPr>
            <w:rStyle w:val="Hyperlink"/>
            <w:rFonts w:ascii="Garamond" w:hAnsi="Garamond" w:cs="NimbusRomNo9L-Regu"/>
            <w:color w:val="000066"/>
            <w:u w:val="none"/>
            <w:lang w:val="en-GB" w:eastAsia="nl-NL"/>
          </w:rPr>
          <w:t>A.14</w:t>
        </w:r>
      </w:hyperlink>
      <w:r w:rsidRPr="00802C03">
        <w:rPr>
          <w:rFonts w:ascii="Garamond" w:hAnsi="Garamond" w:cs="NimbusRomNo9L-Regu"/>
          <w:lang w:val="en-GB" w:eastAsia="nl-NL"/>
        </w:rPr>
        <w:t>, the implied correlation can be expressed in terms of issuer correlation and autocorrelations:</w:t>
      </w:r>
    </w:p>
    <w:p w:rsidR="001C7C52" w:rsidRPr="00802C03" w:rsidRDefault="001C7C52" w:rsidP="001F0514">
      <w:pPr>
        <w:tabs>
          <w:tab w:val="left" w:pos="567"/>
          <w:tab w:val="left" w:pos="8505"/>
        </w:tabs>
        <w:spacing w:before="100" w:after="120" w:line="320" w:lineRule="atLeast"/>
        <w:ind w:firstLine="567"/>
        <w:jc w:val="both"/>
        <w:rPr>
          <w:rFonts w:ascii="Garamond" w:hAnsi="Garamond" w:cs="NimbusRomNo9L-Regu"/>
          <w:lang w:val="en-GB" w:eastAsia="nl-NL"/>
        </w:rPr>
      </w:pPr>
      <w:r w:rsidRPr="005E2D6F">
        <w:rPr>
          <w:rFonts w:ascii="Garamond" w:hAnsi="Garamond" w:cs="NimbusRomNo9L-Regu"/>
          <w:position w:val="-30"/>
          <w:lang w:val="en-GB" w:eastAsia="nl-NL"/>
        </w:rPr>
        <w:object w:dxaOrig="6520" w:dyaOrig="700">
          <v:shape id="_x0000_i1916" type="#_x0000_t75" style="width:326.25pt;height:35.25pt" o:ole="">
            <v:imagedata r:id="rId1641" o:title=""/>
          </v:shape>
          <o:OLEObject Type="Embed" ProgID="Equation.DSMT4" ShapeID="_x0000_i1916" DrawAspect="Content" ObjectID="_1324894367" r:id="rId1642"/>
        </w:object>
      </w:r>
      <w:r w:rsidRPr="00802C03">
        <w:rPr>
          <w:rFonts w:ascii="Garamond" w:hAnsi="Garamond" w:cs="NimbusRomNo9L-Regu"/>
          <w:lang w:val="en-GB" w:eastAsia="nl-NL"/>
        </w:rPr>
        <w:t>.</w:t>
      </w:r>
      <w:bookmarkStart w:id="108" w:name="EAN23"/>
      <w:bookmarkEnd w:id="108"/>
      <w:r w:rsidRPr="00802C03">
        <w:rPr>
          <w:rFonts w:ascii="Garamond" w:hAnsi="Garamond" w:cs="NimbusRomNo9L-Regu"/>
          <w:lang w:val="en-GB" w:eastAsia="nl-NL"/>
        </w:rPr>
        <w:tab/>
        <w:t>(A.23)</w:t>
      </w:r>
    </w:p>
    <w:p w:rsidR="001C7C52" w:rsidRPr="00802C03" w:rsidRDefault="001C7C52" w:rsidP="001F0514">
      <w:pPr>
        <w:spacing w:line="280" w:lineRule="exact"/>
        <w:jc w:val="both"/>
        <w:rPr>
          <w:rFonts w:ascii="Garamond" w:hAnsi="Garamond" w:cs="NimbusRomNo9L-Regu"/>
          <w:lang w:val="en-GB" w:eastAsia="nl-NL"/>
        </w:rPr>
      </w:pPr>
      <w:r w:rsidRPr="00802C03">
        <w:rPr>
          <w:rFonts w:ascii="Garamond" w:hAnsi="Garamond" w:cs="NimbusRomNo9L-Regu"/>
          <w:lang w:val="en-GB" w:eastAsia="nl-NL"/>
        </w:rPr>
        <w:t xml:space="preserve">This expression of the implied issuer correlation is based on only the correlation inputs in the correlation structure. By rearranging </w:t>
      </w:r>
      <w:hyperlink w:anchor="EAN23" w:history="1">
        <w:r w:rsidRPr="00802C03">
          <w:rPr>
            <w:rStyle w:val="Hyperlink"/>
            <w:rFonts w:ascii="Garamond" w:hAnsi="Garamond" w:cs="NimbusRomNo9L-Regu"/>
            <w:color w:val="000066"/>
            <w:u w:val="none"/>
            <w:lang w:val="en-GB" w:eastAsia="nl-NL"/>
          </w:rPr>
          <w:t>equation A.23</w:t>
        </w:r>
      </w:hyperlink>
      <w:r w:rsidRPr="00802C03">
        <w:rPr>
          <w:rFonts w:ascii="Garamond" w:hAnsi="Garamond" w:cs="NimbusRomNo9L-Regu"/>
          <w:lang w:val="en-GB" w:eastAsia="nl-NL"/>
        </w:rPr>
        <w:t>, a correction can be devised in which a corrected correlation value      (</w:t>
      </w:r>
      <w:r w:rsidRPr="00100BDF">
        <w:rPr>
          <w:rFonts w:ascii="Garamond" w:hAnsi="Garamond" w:cs="NimbusRomNo9L-Regu"/>
          <w:position w:val="-10"/>
          <w:lang w:val="en-GB" w:eastAsia="nl-NL"/>
        </w:rPr>
        <w:object w:dxaOrig="340" w:dyaOrig="320">
          <v:shape id="_x0000_i1917" type="#_x0000_t75" style="width:16.5pt;height:15.75pt" o:ole="">
            <v:imagedata r:id="rId1643" o:title=""/>
          </v:shape>
          <o:OLEObject Type="Embed" ProgID="Equation.DSMT4" ShapeID="_x0000_i1917" DrawAspect="Content" ObjectID="_1324894368" r:id="rId1644"/>
        </w:object>
      </w:r>
      <w:r w:rsidRPr="00802C03">
        <w:rPr>
          <w:rFonts w:ascii="Garamond" w:hAnsi="Garamond" w:cs="NimbusRomNo9L-Regu"/>
          <w:lang w:val="en-GB" w:eastAsia="nl-NL"/>
        </w:rPr>
        <w:t xml:space="preserve">) is created. This corrected correlation value should be inserted as the input in the correlation structure instead of input correlation </w:t>
      </w:r>
      <w:r w:rsidRPr="00100BDF">
        <w:rPr>
          <w:rFonts w:ascii="Garamond" w:hAnsi="Garamond" w:cs="NimbusRomNo9L-Regu"/>
          <w:position w:val="-10"/>
          <w:lang w:val="en-GB" w:eastAsia="nl-NL"/>
        </w:rPr>
        <w:object w:dxaOrig="340" w:dyaOrig="300">
          <v:shape id="_x0000_i1918" type="#_x0000_t75" style="width:16.5pt;height:15pt" o:ole="">
            <v:imagedata r:id="rId1645" o:title=""/>
          </v:shape>
          <o:OLEObject Type="Embed" ProgID="Equation.DSMT4" ShapeID="_x0000_i1918" DrawAspect="Content" ObjectID="_1324894369" r:id="rId1646"/>
        </w:object>
      </w:r>
      <w:r w:rsidRPr="00802C03">
        <w:rPr>
          <w:rFonts w:ascii="Garamond" w:hAnsi="Garamond" w:cs="NimbusRomNo9L-Regu"/>
          <w:lang w:val="en-GB" w:eastAsia="nl-NL"/>
        </w:rPr>
        <w:t xml:space="preserve"> to ensure </w:t>
      </w:r>
      <w:r w:rsidRPr="00100BDF">
        <w:rPr>
          <w:rFonts w:ascii="Garamond" w:hAnsi="Garamond" w:cs="NimbusRomNo9L-Regu"/>
          <w:position w:val="-10"/>
          <w:lang w:val="en-GB" w:eastAsia="nl-NL"/>
        </w:rPr>
        <w:object w:dxaOrig="2040" w:dyaOrig="320">
          <v:shape id="_x0000_i1919" type="#_x0000_t75" style="width:102pt;height:15.75pt" o:ole="">
            <v:imagedata r:id="rId1647" o:title=""/>
          </v:shape>
          <o:OLEObject Type="Embed" ProgID="Equation.DSMT4" ShapeID="_x0000_i1919" DrawAspect="Content" ObjectID="_1324894370" r:id="rId1648"/>
        </w:object>
      </w:r>
      <w:r w:rsidRPr="00802C03">
        <w:rPr>
          <w:rFonts w:ascii="Garamond" w:hAnsi="Garamond" w:cs="NimbusRomNo9L-Regu"/>
          <w:lang w:val="en-GB" w:eastAsia="nl-NL"/>
        </w:rPr>
        <w:t xml:space="preserve"> is equal to estimated original input correlation </w:t>
      </w:r>
      <w:r w:rsidRPr="00100BDF">
        <w:rPr>
          <w:rFonts w:ascii="Garamond" w:hAnsi="Garamond" w:cs="NimbusRomNo9L-Regu"/>
          <w:position w:val="-10"/>
          <w:lang w:val="en-GB" w:eastAsia="nl-NL"/>
        </w:rPr>
        <w:object w:dxaOrig="340" w:dyaOrig="300">
          <v:shape id="_x0000_i1920" type="#_x0000_t75" style="width:16.5pt;height:15pt" o:ole="">
            <v:imagedata r:id="rId1649" o:title=""/>
          </v:shape>
          <o:OLEObject Type="Embed" ProgID="Equation.DSMT4" ShapeID="_x0000_i1920" DrawAspect="Content" ObjectID="_1324894371" r:id="rId1650"/>
        </w:object>
      </w:r>
      <w:r w:rsidRPr="00802C03">
        <w:rPr>
          <w:rFonts w:ascii="Garamond" w:hAnsi="Garamond" w:cs="NimbusRomNo9L-Regu"/>
          <w:lang w:val="en-GB" w:eastAsia="nl-NL"/>
        </w:rPr>
        <w:t>. The corrected correlation coefficient is derived as follows:</w:t>
      </w:r>
    </w:p>
    <w:p w:rsidR="001C7C52" w:rsidRPr="00802C03" w:rsidRDefault="001C7C52" w:rsidP="001F0514">
      <w:pPr>
        <w:tabs>
          <w:tab w:val="left" w:pos="567"/>
          <w:tab w:val="left" w:pos="8505"/>
        </w:tabs>
        <w:spacing w:before="100" w:after="120" w:line="320" w:lineRule="atLeast"/>
        <w:jc w:val="both"/>
        <w:rPr>
          <w:rFonts w:ascii="Garamond" w:hAnsi="Garamond" w:cs="NimbusRomNo9L-Regu"/>
          <w:lang w:val="en-GB" w:eastAsia="nl-NL"/>
        </w:rPr>
      </w:pPr>
      <w:r w:rsidRPr="00802C03">
        <w:rPr>
          <w:rFonts w:ascii="Garamond" w:hAnsi="Garamond" w:cs="NimbusRomNo9L-Regu"/>
          <w:lang w:val="en-GB" w:eastAsia="nl-NL"/>
        </w:rPr>
        <w:tab/>
      </w:r>
      <w:r w:rsidRPr="00100BDF">
        <w:rPr>
          <w:rFonts w:ascii="Garamond" w:hAnsi="Garamond" w:cs="NimbusRomNo9L-Regu"/>
          <w:position w:val="-30"/>
          <w:lang w:val="en-GB" w:eastAsia="nl-NL"/>
        </w:rPr>
        <w:object w:dxaOrig="4940" w:dyaOrig="700">
          <v:shape id="_x0000_i1921" type="#_x0000_t75" style="width:246.75pt;height:35.25pt" o:ole="">
            <v:imagedata r:id="rId1651" o:title=""/>
          </v:shape>
          <o:OLEObject Type="Embed" ProgID="Equation.DSMT4" ShapeID="_x0000_i1921" DrawAspect="Content" ObjectID="_1324894372" r:id="rId1652"/>
        </w:object>
      </w:r>
      <w:r w:rsidRPr="00802C03">
        <w:rPr>
          <w:rFonts w:ascii="Garamond" w:hAnsi="Garamond" w:cs="NimbusRomNo9L-Regu"/>
          <w:lang w:val="en-GB" w:eastAsia="nl-NL"/>
        </w:rPr>
        <w:t>.</w:t>
      </w:r>
      <w:r w:rsidRPr="00802C03">
        <w:rPr>
          <w:rFonts w:ascii="Garamond" w:hAnsi="Garamond" w:cs="NimbusRomNo9L-Regu"/>
          <w:lang w:val="en-GB" w:eastAsia="nl-NL"/>
        </w:rPr>
        <w:tab/>
        <w:t>(A.24)</w:t>
      </w:r>
    </w:p>
    <w:p w:rsidR="001C7C52" w:rsidRPr="00802C03" w:rsidRDefault="001C7C52" w:rsidP="001F0514">
      <w:pPr>
        <w:spacing w:before="60" w:after="60" w:line="280" w:lineRule="exact"/>
        <w:jc w:val="both"/>
        <w:rPr>
          <w:rFonts w:ascii="Garamond" w:hAnsi="Garamond" w:cs="NimbusRomNo9L-Regu"/>
          <w:lang w:val="en-GB" w:eastAsia="nl-NL"/>
        </w:rPr>
      </w:pPr>
      <w:r w:rsidRPr="00802C03">
        <w:rPr>
          <w:rFonts w:ascii="Garamond" w:hAnsi="Garamond" w:cs="NimbusRomNo9L-Regu"/>
          <w:lang w:val="en-GB" w:eastAsia="nl-NL"/>
        </w:rPr>
        <w:t>The input issuer correlation (</w:t>
      </w:r>
      <w:r w:rsidRPr="00100BDF">
        <w:rPr>
          <w:rFonts w:ascii="Garamond" w:hAnsi="Garamond" w:cs="NimbusRomNo9L-Regu"/>
          <w:position w:val="-10"/>
          <w:lang w:val="en-GB" w:eastAsia="nl-NL"/>
        </w:rPr>
        <w:object w:dxaOrig="340" w:dyaOrig="300">
          <v:shape id="_x0000_i1922" type="#_x0000_t75" style="width:16.5pt;height:15pt" o:ole="">
            <v:imagedata r:id="rId1653" o:title=""/>
          </v:shape>
          <o:OLEObject Type="Embed" ProgID="Equation.DSMT4" ShapeID="_x0000_i1922" DrawAspect="Content" ObjectID="_1324894373" r:id="rId1654"/>
        </w:object>
      </w:r>
      <w:r w:rsidRPr="00802C03">
        <w:rPr>
          <w:rFonts w:ascii="Garamond" w:hAnsi="Garamond" w:cs="NimbusRomNo9L-Regu"/>
          <w:lang w:val="en-GB" w:eastAsia="nl-NL"/>
        </w:rPr>
        <w:t>) must be replaced in the model by the corrected input issuer correlation         (</w:t>
      </w:r>
      <w:r w:rsidRPr="00100BDF">
        <w:rPr>
          <w:rFonts w:ascii="Garamond" w:hAnsi="Garamond" w:cs="NimbusRomNo9L-Regu"/>
          <w:position w:val="-10"/>
          <w:lang w:val="en-GB" w:eastAsia="nl-NL"/>
        </w:rPr>
        <w:object w:dxaOrig="340" w:dyaOrig="320">
          <v:shape id="_x0000_i1923" type="#_x0000_t75" style="width:16.5pt;height:15.75pt" o:ole="">
            <v:imagedata r:id="rId1655" o:title=""/>
          </v:shape>
          <o:OLEObject Type="Embed" ProgID="Equation.DSMT4" ShapeID="_x0000_i1923" DrawAspect="Content" ObjectID="_1324894374" r:id="rId1656"/>
        </w:object>
      </w:r>
      <w:r w:rsidRPr="00802C03">
        <w:rPr>
          <w:rFonts w:ascii="Garamond" w:hAnsi="Garamond" w:cs="NimbusRomNo9L-Regu"/>
          <w:lang w:val="en-GB" w:eastAsia="nl-NL"/>
        </w:rPr>
        <w:t xml:space="preserve">). More specifically, </w:t>
      </w:r>
      <w:r w:rsidRPr="00100BDF">
        <w:rPr>
          <w:rFonts w:ascii="Garamond" w:hAnsi="Garamond" w:cs="NimbusRomNo9L-Regu"/>
          <w:position w:val="-10"/>
          <w:lang w:val="en-GB" w:eastAsia="nl-NL"/>
        </w:rPr>
        <w:object w:dxaOrig="340" w:dyaOrig="320">
          <v:shape id="_x0000_i1924" type="#_x0000_t75" style="width:16.5pt;height:15.75pt" o:ole="">
            <v:imagedata r:id="rId1657" o:title=""/>
          </v:shape>
          <o:OLEObject Type="Embed" ProgID="Equation.DSMT4" ShapeID="_x0000_i1924" DrawAspect="Content" ObjectID="_1324894375" r:id="rId1658"/>
        </w:object>
      </w:r>
      <w:r w:rsidRPr="00802C03">
        <w:rPr>
          <w:rFonts w:ascii="Garamond" w:hAnsi="Garamond" w:cs="NimbusRomNo9L-Regu"/>
          <w:lang w:val="en-GB" w:eastAsia="nl-NL"/>
        </w:rPr>
        <w:t xml:space="preserve"> should be used in the application of the first copula for the single-period issuer asset returns. This will ensure the implied issuer correlation in the model, </w:t>
      </w:r>
      <w:r w:rsidRPr="00100BDF">
        <w:rPr>
          <w:rFonts w:ascii="Garamond" w:hAnsi="Garamond" w:cs="NimbusRomNo9L-Regu"/>
          <w:position w:val="-10"/>
          <w:lang w:val="en-GB" w:eastAsia="nl-NL"/>
        </w:rPr>
        <w:object w:dxaOrig="2040" w:dyaOrig="320">
          <v:shape id="_x0000_i1925" type="#_x0000_t75" style="width:102pt;height:15.75pt" o:ole="">
            <v:imagedata r:id="rId1659" o:title=""/>
          </v:shape>
          <o:OLEObject Type="Embed" ProgID="Equation.DSMT4" ShapeID="_x0000_i1925" DrawAspect="Content" ObjectID="_1324894376" r:id="rId1660"/>
        </w:object>
      </w:r>
      <w:r w:rsidRPr="00802C03">
        <w:rPr>
          <w:rFonts w:ascii="Garamond" w:hAnsi="Garamond" w:cs="NimbusRomNo9L-Regu"/>
          <w:lang w:val="en-GB" w:eastAsia="nl-NL"/>
        </w:rPr>
        <w:t xml:space="preserve">, is equal to the original input issuer correlation </w:t>
      </w:r>
      <w:r w:rsidRPr="00100BDF">
        <w:rPr>
          <w:rFonts w:ascii="Garamond" w:hAnsi="Garamond" w:cs="NimbusRomNo9L-Regu"/>
          <w:position w:val="-10"/>
          <w:lang w:val="en-GB" w:eastAsia="nl-NL"/>
        </w:rPr>
        <w:object w:dxaOrig="340" w:dyaOrig="300">
          <v:shape id="_x0000_i1926" type="#_x0000_t75" style="width:16.5pt;height:15pt" o:ole="">
            <v:imagedata r:id="rId1661" o:title=""/>
          </v:shape>
          <o:OLEObject Type="Embed" ProgID="Equation.DSMT4" ShapeID="_x0000_i1926" DrawAspect="Content" ObjectID="_1324894377" r:id="rId1662"/>
        </w:object>
      </w:r>
      <w:r w:rsidRPr="00802C03">
        <w:rPr>
          <w:rFonts w:ascii="Garamond" w:hAnsi="Garamond" w:cs="NimbusRomNo9L-Regu"/>
          <w:lang w:val="en-GB" w:eastAsia="nl-NL"/>
        </w:rPr>
        <w:t>, in a two-period, two-issuer correlation structure.</w:t>
      </w:r>
    </w:p>
    <w:p w:rsidR="001C7C52" w:rsidRPr="00802C03" w:rsidRDefault="001C7C52" w:rsidP="001F0514">
      <w:pPr>
        <w:spacing w:line="280" w:lineRule="exact"/>
        <w:jc w:val="both"/>
        <w:rPr>
          <w:rFonts w:ascii="Garamond" w:hAnsi="Garamond" w:cs="NimbusRomNo9L-Regu"/>
          <w:lang w:val="en-GB" w:eastAsia="nl-NL"/>
        </w:rPr>
      </w:pPr>
    </w:p>
    <w:p w:rsidR="001C7C52" w:rsidRPr="00802C03" w:rsidRDefault="001C7C52" w:rsidP="001F0514">
      <w:pPr>
        <w:spacing w:line="280" w:lineRule="exact"/>
        <w:jc w:val="both"/>
        <w:rPr>
          <w:rFonts w:ascii="Garamond" w:hAnsi="Garamond" w:cs="NimbusRomNo9L-Regu"/>
          <w:lang w:val="en-GB" w:eastAsia="nl-NL"/>
        </w:rPr>
      </w:pPr>
    </w:p>
    <w:tbl>
      <w:tblPr>
        <w:tblW w:w="4751" w:type="dxa"/>
        <w:tblInd w:w="-1276" w:type="dxa"/>
        <w:tblLayout w:type="fixed"/>
        <w:tblCellMar>
          <w:left w:w="0" w:type="dxa"/>
          <w:right w:w="0" w:type="dxa"/>
        </w:tblCellMar>
        <w:tblLook w:val="00A0"/>
      </w:tblPr>
      <w:tblGrid>
        <w:gridCol w:w="709"/>
        <w:gridCol w:w="567"/>
        <w:gridCol w:w="3475"/>
      </w:tblGrid>
      <w:tr w:rsidR="001C7C52" w:rsidRPr="00802C03"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bookmarkStart w:id="109" w:name="SA2"/>
            <w:bookmarkEnd w:id="109"/>
            <w:r w:rsidRPr="002E2E49">
              <w:rPr>
                <w:rFonts w:ascii="Garamond" w:hAnsi="Garamond" w:cs="NimbusRomNo9L-Regu"/>
                <w:b/>
                <w:lang w:val="en-GB" w:eastAsia="nl-NL"/>
              </w:rPr>
              <w:t>A.2</w:t>
            </w:r>
          </w:p>
        </w:tc>
        <w:tc>
          <w:tcPr>
            <w:tcW w:w="3475"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D</w:t>
            </w:r>
            <w:r w:rsidRPr="002E2E49">
              <w:rPr>
                <w:rFonts w:ascii="Garamond" w:hAnsi="Garamond" w:cs="NimbusRomNo9L-Regu"/>
                <w:b/>
                <w:sz w:val="18"/>
                <w:szCs w:val="18"/>
                <w:lang w:val="en-GB" w:eastAsia="nl-NL"/>
              </w:rPr>
              <w:t>EFAULT</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ORRELATION</w:t>
            </w:r>
            <w:r w:rsidRPr="002E2E49">
              <w:rPr>
                <w:rFonts w:ascii="Garamond" w:hAnsi="Garamond" w:cs="NimbusRomNo9L-Regu"/>
                <w:b/>
                <w:lang w:val="en-GB" w:eastAsia="nl-NL"/>
              </w:rPr>
              <w:t xml:space="preserve"> E</w:t>
            </w:r>
            <w:r w:rsidRPr="002E2E49">
              <w:rPr>
                <w:rFonts w:ascii="Garamond" w:hAnsi="Garamond" w:cs="NimbusRomNo9L-Regu"/>
                <w:b/>
                <w:sz w:val="18"/>
                <w:szCs w:val="18"/>
                <w:lang w:val="en-GB" w:eastAsia="nl-NL"/>
              </w:rPr>
              <w:t>STIMATES</w:t>
            </w:r>
          </w:p>
        </w:tc>
      </w:tr>
    </w:tbl>
    <w:p w:rsidR="001C7C52" w:rsidRPr="00802C03" w:rsidRDefault="001C7C52" w:rsidP="007F7BAA">
      <w:pPr>
        <w:tabs>
          <w:tab w:val="left" w:pos="851"/>
        </w:tabs>
        <w:spacing w:line="280" w:lineRule="exact"/>
        <w:ind w:firstLine="284"/>
        <w:jc w:val="both"/>
        <w:rPr>
          <w:rFonts w:ascii="Garamond" w:hAnsi="Garamond"/>
          <w:lang w:val="en-GB"/>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870"/>
        <w:gridCol w:w="759"/>
        <w:gridCol w:w="759"/>
        <w:gridCol w:w="759"/>
        <w:gridCol w:w="759"/>
        <w:gridCol w:w="759"/>
        <w:gridCol w:w="759"/>
        <w:gridCol w:w="759"/>
        <w:gridCol w:w="759"/>
        <w:gridCol w:w="759"/>
        <w:gridCol w:w="759"/>
      </w:tblGrid>
      <w:tr w:rsidR="001C7C52" w:rsidRPr="00802C03" w:rsidTr="001F0514">
        <w:tc>
          <w:tcPr>
            <w:tcW w:w="9460" w:type="dxa"/>
            <w:gridSpan w:val="11"/>
            <w:tcBorders>
              <w:top w:val="nil"/>
              <w:left w:val="nil"/>
              <w:bottom w:val="single" w:sz="4" w:space="0" w:color="auto"/>
              <w:right w:val="nil"/>
            </w:tcBorders>
            <w:vAlign w:val="center"/>
          </w:tcPr>
          <w:p w:rsidR="001C7C52" w:rsidRPr="00802C03" w:rsidRDefault="001C7C52" w:rsidP="001F0514">
            <w:pPr>
              <w:spacing w:line="240" w:lineRule="auto"/>
              <w:rPr>
                <w:rFonts w:ascii="Garamond" w:hAnsi="Garamond"/>
                <w:sz w:val="20"/>
                <w:lang w:val="en-GB"/>
              </w:rPr>
            </w:pPr>
            <w:bookmarkStart w:id="110" w:name="T12"/>
            <w:bookmarkEnd w:id="110"/>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w:t>
            </w:r>
            <w:r w:rsidRPr="00802C03">
              <w:rPr>
                <w:rFonts w:ascii="Garamond" w:hAnsi="Garamond"/>
                <w:b/>
                <w:color w:val="000000"/>
                <w:lang w:val="en-GB"/>
              </w:rPr>
              <w:t xml:space="preserve">XII </w:t>
            </w:r>
            <w:r w:rsidRPr="00802C03">
              <w:rPr>
                <w:rFonts w:ascii="Garamond" w:hAnsi="Garamond"/>
                <w:color w:val="000000"/>
                <w:lang w:val="en-GB"/>
              </w:rPr>
              <w:t xml:space="preserve">- </w:t>
            </w:r>
            <w:r w:rsidRPr="00802C03">
              <w:rPr>
                <w:rFonts w:ascii="Garamond" w:hAnsi="Garamond"/>
                <w:sz w:val="20"/>
                <w:lang w:val="en-GB"/>
              </w:rPr>
              <w:t>Default Correlations</w:t>
            </w:r>
          </w:p>
        </w:tc>
      </w:tr>
      <w:tr w:rsidR="001C7C52" w:rsidRPr="00802C03" w:rsidTr="001F0514">
        <w:tc>
          <w:tcPr>
            <w:tcW w:w="1870" w:type="dxa"/>
            <w:tcBorders>
              <w:top w:val="single" w:sz="4" w:space="0" w:color="auto"/>
              <w:left w:val="nil"/>
              <w:bottom w:val="nil"/>
              <w:right w:val="nil"/>
            </w:tcBorders>
            <w:vAlign w:val="center"/>
          </w:tcPr>
          <w:p w:rsidR="001C7C52" w:rsidRPr="00802C03" w:rsidRDefault="001C7C52" w:rsidP="001F0514">
            <w:pPr>
              <w:rPr>
                <w:rFonts w:ascii="Garamond" w:hAnsi="Garamond"/>
                <w:b/>
                <w:sz w:val="20"/>
                <w:lang w:val="en-GB"/>
              </w:rPr>
            </w:pPr>
          </w:p>
        </w:tc>
        <w:tc>
          <w:tcPr>
            <w:tcW w:w="7590" w:type="dxa"/>
            <w:gridSpan w:val="10"/>
            <w:tcBorders>
              <w:top w:val="single" w:sz="4" w:space="0" w:color="auto"/>
              <w:left w:val="nil"/>
              <w:bottom w:val="single" w:sz="4" w:space="0" w:color="auto"/>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Estimation period: 28/04/1999 – 28/04/2009</w:t>
            </w:r>
          </w:p>
        </w:tc>
      </w:tr>
      <w:tr w:rsidR="001C7C52" w:rsidRPr="00802C03" w:rsidTr="001F0514">
        <w:tc>
          <w:tcPr>
            <w:tcW w:w="1870" w:type="dxa"/>
            <w:tcBorders>
              <w:top w:val="nil"/>
              <w:left w:val="nil"/>
              <w:bottom w:val="single" w:sz="4" w:space="0" w:color="auto"/>
              <w:right w:val="nil"/>
            </w:tcBorders>
            <w:vAlign w:val="center"/>
          </w:tcPr>
          <w:p w:rsidR="001C7C52" w:rsidRPr="00802C03" w:rsidRDefault="001C7C52" w:rsidP="001F0514">
            <w:pPr>
              <w:rPr>
                <w:rFonts w:ascii="Garamond" w:hAnsi="Garamond"/>
                <w:sz w:val="20"/>
                <w:lang w:val="en-GB"/>
              </w:rPr>
            </w:pP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1.</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2.</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3.</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4.</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5.</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6.</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7.</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8.</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9.</w:t>
            </w:r>
          </w:p>
        </w:tc>
        <w:tc>
          <w:tcPr>
            <w:tcW w:w="759" w:type="dxa"/>
            <w:tcBorders>
              <w:top w:val="single" w:sz="4" w:space="0" w:color="auto"/>
              <w:left w:val="nil"/>
              <w:bottom w:val="single" w:sz="4" w:space="0" w:color="auto"/>
              <w:right w:val="nil"/>
            </w:tcBorders>
            <w:vAlign w:val="center"/>
          </w:tcPr>
          <w:p w:rsidR="001C7C52" w:rsidRPr="00802C03" w:rsidRDefault="001C7C52" w:rsidP="001F0514">
            <w:pPr>
              <w:jc w:val="center"/>
              <w:rPr>
                <w:rFonts w:ascii="Garamond" w:hAnsi="Garamond"/>
                <w:sz w:val="20"/>
                <w:lang w:val="en-GB"/>
              </w:rPr>
            </w:pPr>
            <w:r w:rsidRPr="00802C03">
              <w:rPr>
                <w:rFonts w:ascii="Garamond" w:hAnsi="Garamond"/>
                <w:sz w:val="20"/>
                <w:lang w:val="en-GB"/>
              </w:rPr>
              <w:t>10.</w:t>
            </w:r>
          </w:p>
        </w:tc>
      </w:tr>
      <w:tr w:rsidR="001C7C52" w:rsidRPr="00802C03" w:rsidTr="001F0514">
        <w:tc>
          <w:tcPr>
            <w:tcW w:w="1870" w:type="dxa"/>
            <w:tcBorders>
              <w:top w:val="single" w:sz="4" w:space="0" w:color="auto"/>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1. Basic Materials</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0.0224</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0.0230</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0.0139</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0.0121</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0.0045</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0.0051</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0.0028</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0.0173</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0.0148</w:t>
            </w:r>
          </w:p>
        </w:tc>
        <w:tc>
          <w:tcPr>
            <w:tcW w:w="759" w:type="dxa"/>
            <w:tcBorders>
              <w:top w:val="single" w:sz="4" w:space="0" w:color="auto"/>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-0.0015</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2. Communications</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0.0230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0.0407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0.0165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0.0133</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0.0143</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0.0084</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0.0275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0.0139</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0.0017</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3. Consumer C.</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0.0139</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0.0165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0.0118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0.0120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-0.0006</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0.0070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0.0047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0.0145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-0.0019</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4. Consumer NC.</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0.0121</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0.0133</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0.0120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0.0157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0.0077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0.0051</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0.0118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0.0164</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-0.0010</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5. Diversified</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0.0045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-0.0006</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0.0427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-0.0014</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-0.0068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-0.0069</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0.0112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-0.0056</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6. Energy</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0.0051</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0.0143</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0.0070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0.0077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-0.0014</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0.0131</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0.0042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0.0100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0.0097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0.0002</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7. Financial</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0.0028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0.0084</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0.0047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0.0051</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-0.0068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0.0042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0.0076</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0.0035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0.0022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-0.0021</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8. Industrial</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0.0173</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0.0275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0.0118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-0.0069</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0.0100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0.0035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0.0220</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0.0158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0.0016</w:t>
            </w:r>
          </w:p>
        </w:tc>
      </w:tr>
      <w:tr w:rsidR="001C7C52" w:rsidRPr="00802C03" w:rsidTr="001F0514">
        <w:tc>
          <w:tcPr>
            <w:tcW w:w="1870" w:type="dxa"/>
            <w:tcBorders>
              <w:top w:val="nil"/>
              <w:left w:val="nil"/>
              <w:bottom w:val="nil"/>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9. Technology</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0.0148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0.0139</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0.0145</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0.0164</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0.0112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0.0097</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0.0022</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0.0158</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0.0243</w:t>
            </w:r>
          </w:p>
        </w:tc>
        <w:tc>
          <w:tcPr>
            <w:tcW w:w="759" w:type="dxa"/>
            <w:tcBorders>
              <w:top w:val="nil"/>
              <w:left w:val="nil"/>
              <w:bottom w:val="nil"/>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-0.0039</w:t>
            </w:r>
          </w:p>
        </w:tc>
      </w:tr>
      <w:tr w:rsidR="001C7C52" w:rsidRPr="00802C03" w:rsidTr="001F0514">
        <w:tc>
          <w:tcPr>
            <w:tcW w:w="1870" w:type="dxa"/>
            <w:tcBorders>
              <w:top w:val="nil"/>
              <w:left w:val="nil"/>
              <w:bottom w:val="single" w:sz="4" w:space="0" w:color="auto"/>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10. Utilities</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-0.0015</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0.0017</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-0.0019</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-0.0010</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-0.0056</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0.0002</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-0.0021</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0.0016</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-0.0039</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b/>
                <w:sz w:val="18"/>
                <w:szCs w:val="18"/>
                <w:lang w:val="en-GB"/>
              </w:rPr>
            </w:pPr>
            <w:r w:rsidRPr="00802C03">
              <w:rPr>
                <w:rFonts w:ascii="Garamond" w:hAnsi="Garamond"/>
                <w:b/>
                <w:sz w:val="18"/>
                <w:szCs w:val="18"/>
                <w:lang w:val="en-GB"/>
              </w:rPr>
              <w:t>0.0085</w:t>
            </w:r>
          </w:p>
        </w:tc>
      </w:tr>
      <w:tr w:rsidR="001C7C52" w:rsidRPr="00802C03" w:rsidTr="001F0514">
        <w:tc>
          <w:tcPr>
            <w:tcW w:w="1870" w:type="dxa"/>
            <w:tcBorders>
              <w:top w:val="nil"/>
              <w:left w:val="nil"/>
              <w:bottom w:val="single" w:sz="4" w:space="0" w:color="auto"/>
              <w:right w:val="nil"/>
            </w:tcBorders>
            <w:vAlign w:val="center"/>
          </w:tcPr>
          <w:p w:rsidR="001C7C52" w:rsidRPr="00802C03" w:rsidRDefault="001C7C52" w:rsidP="001F0514">
            <w:pPr>
              <w:rPr>
                <w:rFonts w:ascii="Garamond" w:hAnsi="Garamond"/>
                <w:sz w:val="20"/>
                <w:lang w:val="en-GB"/>
              </w:rPr>
            </w:pPr>
            <w:r w:rsidRPr="00802C03">
              <w:rPr>
                <w:rFonts w:ascii="Garamond" w:hAnsi="Garamond"/>
                <w:sz w:val="20"/>
                <w:lang w:val="en-GB"/>
              </w:rPr>
              <w:t>Autocorrelation</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0.0051</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0.0114</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0.0017</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0.0028</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-0.0074</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0.0031</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0.0012</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0.0035</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0.0057</w:t>
            </w:r>
          </w:p>
        </w:tc>
        <w:tc>
          <w:tcPr>
            <w:tcW w:w="759" w:type="dxa"/>
            <w:tcBorders>
              <w:top w:val="nil"/>
              <w:left w:val="nil"/>
              <w:bottom w:val="single" w:sz="4" w:space="0" w:color="auto"/>
              <w:right w:val="nil"/>
            </w:tcBorders>
            <w:vAlign w:val="center"/>
          </w:tcPr>
          <w:p w:rsidR="001C7C52" w:rsidRPr="00802C03" w:rsidRDefault="001C7C52" w:rsidP="001F0514">
            <w:pPr>
              <w:jc w:val="center"/>
              <w:rPr>
                <w:rFonts w:ascii="Garamond" w:hAnsi="Garamond"/>
                <w:sz w:val="18"/>
                <w:szCs w:val="18"/>
                <w:lang w:val="en-GB"/>
              </w:rPr>
            </w:pPr>
            <w:r w:rsidRPr="00802C03">
              <w:rPr>
                <w:rFonts w:ascii="Garamond" w:hAnsi="Garamond"/>
                <w:sz w:val="18"/>
                <w:szCs w:val="18"/>
                <w:lang w:val="en-GB"/>
              </w:rPr>
              <w:t>0.0006</w:t>
            </w:r>
          </w:p>
        </w:tc>
      </w:tr>
      <w:tr w:rsidR="001C7C52" w:rsidRPr="000B0ADE" w:rsidTr="001F0514">
        <w:tc>
          <w:tcPr>
            <w:tcW w:w="9460" w:type="dxa"/>
            <w:gridSpan w:val="11"/>
            <w:tcBorders>
              <w:top w:val="single" w:sz="4" w:space="0" w:color="auto"/>
              <w:left w:val="nil"/>
              <w:bottom w:val="nil"/>
              <w:right w:val="nil"/>
            </w:tcBorders>
            <w:vAlign w:val="center"/>
          </w:tcPr>
          <w:p w:rsidR="001C7C52" w:rsidRPr="00802C03" w:rsidRDefault="001C7C52" w:rsidP="00333ECB">
            <w:pPr>
              <w:spacing w:after="40" w:line="180" w:lineRule="exact"/>
              <w:jc w:val="both"/>
              <w:rPr>
                <w:rFonts w:ascii="Garamond" w:hAnsi="Garamond"/>
                <w:sz w:val="16"/>
                <w:szCs w:val="16"/>
                <w:lang w:val="en-GB"/>
              </w:rPr>
            </w:pPr>
            <w:r w:rsidRPr="00802C03">
              <w:rPr>
                <w:rFonts w:ascii="Garamond" w:hAnsi="Garamond"/>
                <w:sz w:val="16"/>
                <w:szCs w:val="16"/>
                <w:lang w:val="en-GB"/>
              </w:rPr>
              <w:t>The upper matrix displays the default correlation between industries and within industries (the diagonal). The row under the matrix shows the industry default autocorrelations. Consumer C. = Consumer Cyclical and Consumer NC. = Consumer Non-Cyclical. Both the underlying one-year industry default probabilities and one-year joint default probabilities are created, using an issuer-weighted average of the relevant 10 one-year (joint) default probabilities (one for each year in the estimation period). Both the underlying three-month industry default probabilities and three-month joint default probabilities are created, using an issuer-weighted average of the relevant 40 and 39 three-month (joint) default probabilities (one for each year in the estimation period), respectively.</w:t>
            </w:r>
          </w:p>
        </w:tc>
      </w:tr>
    </w:tbl>
    <w:p w:rsidR="001C7C52" w:rsidRPr="00802C03" w:rsidRDefault="001C7C52" w:rsidP="001F0514">
      <w:pPr>
        <w:spacing w:line="280" w:lineRule="exact"/>
        <w:rPr>
          <w:rFonts w:ascii="Garamond" w:hAnsi="Garamond"/>
          <w:lang w:val="en-GB"/>
        </w:rPr>
      </w:pPr>
    </w:p>
    <w:p w:rsidR="001C7C52" w:rsidRPr="00802C03" w:rsidRDefault="001C7C52" w:rsidP="001F0514">
      <w:pPr>
        <w:spacing w:line="280" w:lineRule="exact"/>
        <w:jc w:val="both"/>
        <w:rPr>
          <w:rFonts w:ascii="Garamond" w:hAnsi="Garamond" w:cs="NimbusRomNo9L-Regu"/>
          <w:lang w:val="en-GB" w:eastAsia="nl-NL"/>
        </w:rPr>
      </w:pPr>
    </w:p>
    <w:tbl>
      <w:tblPr>
        <w:tblW w:w="7132" w:type="dxa"/>
        <w:tblInd w:w="-1276" w:type="dxa"/>
        <w:tblLayout w:type="fixed"/>
        <w:tblCellMar>
          <w:left w:w="0" w:type="dxa"/>
          <w:right w:w="0" w:type="dxa"/>
        </w:tblCellMar>
        <w:tblLook w:val="00A0"/>
      </w:tblPr>
      <w:tblGrid>
        <w:gridCol w:w="709"/>
        <w:gridCol w:w="567"/>
        <w:gridCol w:w="5856"/>
      </w:tblGrid>
      <w:tr w:rsidR="001C7C52" w:rsidRPr="000B0ADE"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A.3</w:t>
            </w:r>
          </w:p>
        </w:tc>
        <w:tc>
          <w:tcPr>
            <w:tcW w:w="5856" w:type="dxa"/>
          </w:tcPr>
          <w:p w:rsidR="001C7C52" w:rsidRPr="002E2E49" w:rsidRDefault="001C7C52" w:rsidP="002E2E49">
            <w:pPr>
              <w:spacing w:line="280" w:lineRule="exact"/>
              <w:jc w:val="both"/>
              <w:rPr>
                <w:rFonts w:ascii="Garamond" w:hAnsi="Garamond" w:cs="NimbusRomNo9L-Regu"/>
                <w:lang w:val="en-GB" w:eastAsia="nl-NL"/>
              </w:rPr>
            </w:pPr>
            <w:bookmarkStart w:id="111" w:name="SA3"/>
            <w:bookmarkEnd w:id="111"/>
            <w:r w:rsidRPr="002E2E49">
              <w:rPr>
                <w:rFonts w:ascii="Garamond" w:hAnsi="Garamond" w:cs="NimbusRomNo9L-Regu"/>
                <w:b/>
                <w:lang w:val="en-GB" w:eastAsia="nl-NL"/>
              </w:rPr>
              <w:t>C</w:t>
            </w:r>
            <w:r w:rsidRPr="002E2E49">
              <w:rPr>
                <w:rFonts w:ascii="Garamond" w:hAnsi="Garamond" w:cs="NimbusRomNo9L-Regu"/>
                <w:b/>
                <w:sz w:val="18"/>
                <w:szCs w:val="18"/>
                <w:lang w:val="en-GB" w:eastAsia="nl-NL"/>
              </w:rPr>
              <w:t>ONSTITUENT</w:t>
            </w:r>
            <w:r w:rsidRPr="002E2E49">
              <w:rPr>
                <w:rFonts w:ascii="Garamond" w:hAnsi="Garamond" w:cs="NimbusRomNo9L-Regu"/>
                <w:b/>
                <w:lang w:val="en-GB" w:eastAsia="nl-NL"/>
              </w:rPr>
              <w:t xml:space="preserve"> L</w:t>
            </w:r>
            <w:r w:rsidRPr="002E2E49">
              <w:rPr>
                <w:rFonts w:ascii="Garamond" w:hAnsi="Garamond" w:cs="NimbusRomNo9L-Regu"/>
                <w:b/>
                <w:sz w:val="18"/>
                <w:szCs w:val="18"/>
                <w:lang w:val="en-GB" w:eastAsia="nl-NL"/>
              </w:rPr>
              <w:t>ISTS</w:t>
            </w:r>
            <w:r w:rsidRPr="002E2E49">
              <w:rPr>
                <w:rFonts w:ascii="Garamond" w:hAnsi="Garamond" w:cs="NimbusRomNo9L-Regu"/>
                <w:b/>
                <w:lang w:val="en-GB" w:eastAsia="nl-NL"/>
              </w:rPr>
              <w:t xml:space="preserve"> </w:t>
            </w:r>
            <w:r w:rsidRPr="002E2E49">
              <w:rPr>
                <w:rFonts w:ascii="Garamond" w:hAnsi="Garamond" w:cs="NimbusRomNo9L-Regu"/>
                <w:b/>
                <w:sz w:val="18"/>
                <w:szCs w:val="18"/>
                <w:lang w:val="en-GB" w:eastAsia="nl-NL"/>
              </w:rPr>
              <w:t>OF</w:t>
            </w:r>
            <w:r w:rsidRPr="002E2E49">
              <w:rPr>
                <w:rFonts w:ascii="Garamond" w:hAnsi="Garamond" w:cs="NimbusRomNo9L-Regu"/>
                <w:b/>
                <w:lang w:val="en-GB" w:eastAsia="nl-NL"/>
              </w:rPr>
              <w:t xml:space="preserve"> </w:t>
            </w:r>
            <w:r w:rsidRPr="002E2E49">
              <w:rPr>
                <w:rFonts w:ascii="Garamond" w:hAnsi="Garamond" w:cs="NimbusRomNo9L-Regu"/>
                <w:b/>
                <w:sz w:val="18"/>
                <w:szCs w:val="18"/>
                <w:lang w:val="en-GB" w:eastAsia="nl-NL"/>
              </w:rPr>
              <w:t>THE</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ORPORATE</w:t>
            </w:r>
            <w:r w:rsidRPr="002E2E49">
              <w:rPr>
                <w:rFonts w:ascii="Garamond" w:hAnsi="Garamond" w:cs="NimbusRomNo9L-Regu"/>
                <w:b/>
                <w:lang w:val="en-GB" w:eastAsia="nl-NL"/>
              </w:rPr>
              <w:t xml:space="preserve"> B</w:t>
            </w:r>
            <w:r w:rsidRPr="002E2E49">
              <w:rPr>
                <w:rFonts w:ascii="Garamond" w:hAnsi="Garamond" w:cs="NimbusRomNo9L-Regu"/>
                <w:b/>
                <w:sz w:val="18"/>
                <w:szCs w:val="18"/>
                <w:lang w:val="en-GB" w:eastAsia="nl-NL"/>
              </w:rPr>
              <w:t>OND</w:t>
            </w:r>
            <w:r w:rsidRPr="002E2E49">
              <w:rPr>
                <w:rFonts w:ascii="Garamond" w:hAnsi="Garamond" w:cs="NimbusRomNo9L-Regu"/>
                <w:b/>
                <w:lang w:val="en-GB" w:eastAsia="nl-NL"/>
              </w:rPr>
              <w:t xml:space="preserve"> P</w:t>
            </w:r>
            <w:r w:rsidRPr="002E2E49">
              <w:rPr>
                <w:rFonts w:ascii="Garamond" w:hAnsi="Garamond" w:cs="NimbusRomNo9L-Regu"/>
                <w:b/>
                <w:sz w:val="18"/>
                <w:szCs w:val="18"/>
                <w:lang w:val="en-GB" w:eastAsia="nl-NL"/>
              </w:rPr>
              <w:t>ORTFOLIOS</w:t>
            </w:r>
          </w:p>
        </w:tc>
      </w:tr>
    </w:tbl>
    <w:p w:rsidR="001C7C52" w:rsidRPr="00802C03" w:rsidRDefault="001C7C52" w:rsidP="007F7BAA">
      <w:pPr>
        <w:tabs>
          <w:tab w:val="left" w:pos="851"/>
        </w:tabs>
        <w:spacing w:line="280" w:lineRule="exact"/>
        <w:ind w:firstLine="284"/>
        <w:jc w:val="both"/>
        <w:rPr>
          <w:rFonts w:ascii="Garamond" w:hAnsi="Garamond"/>
          <w:lang w:val="en-GB"/>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80"/>
        <w:gridCol w:w="1324"/>
        <w:gridCol w:w="3780"/>
        <w:gridCol w:w="1158"/>
        <w:gridCol w:w="1159"/>
        <w:gridCol w:w="1159"/>
      </w:tblGrid>
      <w:tr w:rsidR="001C7C52" w:rsidRPr="000B0ADE" w:rsidTr="001F0514">
        <w:tc>
          <w:tcPr>
            <w:tcW w:w="9460" w:type="dxa"/>
            <w:gridSpan w:val="6"/>
            <w:tcBorders>
              <w:top w:val="nil"/>
              <w:left w:val="nil"/>
              <w:bottom w:val="single" w:sz="4" w:space="0" w:color="auto"/>
              <w:right w:val="nil"/>
            </w:tcBorders>
            <w:vAlign w:val="center"/>
          </w:tcPr>
          <w:p w:rsidR="001C7C52" w:rsidRPr="00802C03" w:rsidRDefault="001C7C52" w:rsidP="00054331">
            <w:pPr>
              <w:spacing w:line="240" w:lineRule="auto"/>
              <w:rPr>
                <w:rFonts w:ascii="Garamond" w:hAnsi="Garamond"/>
                <w:sz w:val="20"/>
                <w:lang w:val="en-GB"/>
              </w:rPr>
            </w:pPr>
            <w:bookmarkStart w:id="112" w:name="T13"/>
            <w:bookmarkEnd w:id="112"/>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w:t>
            </w:r>
            <w:r w:rsidRPr="00802C03">
              <w:rPr>
                <w:rFonts w:ascii="Garamond" w:hAnsi="Garamond"/>
                <w:b/>
                <w:color w:val="000000"/>
                <w:lang w:val="en-GB"/>
              </w:rPr>
              <w:t xml:space="preserve">XIII </w:t>
            </w:r>
            <w:r w:rsidRPr="00802C03">
              <w:rPr>
                <w:rFonts w:ascii="Garamond" w:hAnsi="Garamond"/>
                <w:color w:val="000000"/>
                <w:lang w:val="en-GB"/>
              </w:rPr>
              <w:t>-</w:t>
            </w:r>
            <w:r w:rsidRPr="00802C03">
              <w:rPr>
                <w:rFonts w:ascii="Garamond" w:hAnsi="Garamond"/>
                <w:b/>
                <w:color w:val="000000"/>
                <w:lang w:val="en-GB"/>
              </w:rPr>
              <w:t xml:space="preserve"> </w:t>
            </w:r>
            <w:r w:rsidRPr="00802C03">
              <w:rPr>
                <w:rFonts w:ascii="Garamond" w:hAnsi="Garamond"/>
                <w:sz w:val="20"/>
                <w:lang w:val="en-GB"/>
              </w:rPr>
              <w:t>Constituent Lists of the Corporate Bond Portfolios</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8580" w:type="dxa"/>
            <w:gridSpan w:val="5"/>
            <w:tcBorders>
              <w:top w:val="single" w:sz="4" w:space="0" w:color="auto"/>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i/>
                <w:sz w:val="18"/>
                <w:szCs w:val="18"/>
                <w:lang w:val="en-GB"/>
              </w:rPr>
              <w:t>A. Long positions</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Rating</w:t>
            </w:r>
          </w:p>
        </w:tc>
        <w:tc>
          <w:tcPr>
            <w:tcW w:w="1324" w:type="dxa"/>
            <w:tcBorders>
              <w:top w:val="single" w:sz="4" w:space="0" w:color="auto"/>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Value Position</w:t>
            </w:r>
          </w:p>
        </w:tc>
        <w:tc>
          <w:tcPr>
            <w:tcW w:w="3780" w:type="dxa"/>
            <w:tcBorders>
              <w:top w:val="single" w:sz="4" w:space="0" w:color="auto"/>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Issuer</w:t>
            </w:r>
          </w:p>
        </w:tc>
        <w:tc>
          <w:tcPr>
            <w:tcW w:w="1158" w:type="dxa"/>
            <w:tcBorders>
              <w:top w:val="single" w:sz="4" w:space="0" w:color="auto"/>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Maturity</w:t>
            </w:r>
          </w:p>
        </w:tc>
        <w:tc>
          <w:tcPr>
            <w:tcW w:w="1159" w:type="dxa"/>
            <w:tcBorders>
              <w:top w:val="single" w:sz="4" w:space="0" w:color="auto"/>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Coupon</w:t>
            </w:r>
          </w:p>
        </w:tc>
        <w:tc>
          <w:tcPr>
            <w:tcW w:w="1159" w:type="dxa"/>
            <w:tcBorders>
              <w:top w:val="single" w:sz="4" w:space="0" w:color="auto"/>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Duration</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AAA</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$225,000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Automatic Data Processing Inc*</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1.97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Pfizer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4.55</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Assured Guaranty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9.98</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Microsoft Corp</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8.30</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AA</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$200,000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PACCAR Inc</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2.83</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Procter &amp; Gamble Co/The</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12</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8.98</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Sysco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4.52</w:t>
            </w:r>
          </w:p>
        </w:tc>
      </w:tr>
      <w:tr w:rsidR="001C7C52" w:rsidRPr="00802C03" w:rsidTr="002625E8">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CME Group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3.71</w:t>
            </w:r>
          </w:p>
        </w:tc>
      </w:tr>
      <w:tr w:rsidR="001C7C52" w:rsidRPr="00802C03" w:rsidTr="007F7BAA">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United Parcel Services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3.76</w:t>
            </w:r>
          </w:p>
        </w:tc>
      </w:tr>
      <w:tr w:rsidR="001C7C52" w:rsidRPr="00802C03" w:rsidTr="007F7BAA">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C36D9F">
            <w:pPr>
              <w:spacing w:line="260" w:lineRule="exact"/>
              <w:rPr>
                <w:rFonts w:ascii="Garamond" w:hAnsi="Garamond"/>
                <w:sz w:val="18"/>
                <w:szCs w:val="18"/>
                <w:lang w:val="en-GB"/>
              </w:rPr>
            </w:pPr>
            <w:r w:rsidRPr="00802C03">
              <w:rPr>
                <w:rFonts w:ascii="Garamond" w:hAnsi="Garamond"/>
                <w:sz w:val="18"/>
                <w:szCs w:val="18"/>
                <w:lang w:val="en-GB"/>
              </w:rPr>
              <w:t>Madison Gas &amp; Electric Co</w:t>
            </w:r>
          </w:p>
        </w:tc>
        <w:tc>
          <w:tcPr>
            <w:tcW w:w="1158" w:type="dxa"/>
            <w:tcBorders>
              <w:top w:val="nil"/>
              <w:left w:val="nil"/>
              <w:bottom w:val="nil"/>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15</w:t>
            </w:r>
          </w:p>
        </w:tc>
        <w:tc>
          <w:tcPr>
            <w:tcW w:w="1159" w:type="dxa"/>
            <w:tcBorders>
              <w:top w:val="nil"/>
              <w:left w:val="nil"/>
              <w:bottom w:val="nil"/>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9.94</w:t>
            </w:r>
          </w:p>
        </w:tc>
      </w:tr>
      <w:tr w:rsidR="001C7C52" w:rsidRPr="00802C03" w:rsidTr="007F7BAA">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C36D9F">
            <w:pPr>
              <w:spacing w:line="260" w:lineRule="exact"/>
              <w:rPr>
                <w:rFonts w:ascii="Garamond" w:hAnsi="Garamond"/>
                <w:sz w:val="18"/>
                <w:szCs w:val="18"/>
                <w:lang w:val="en-GB"/>
              </w:rPr>
            </w:pPr>
            <w:r w:rsidRPr="00802C03">
              <w:rPr>
                <w:rFonts w:ascii="Garamond" w:hAnsi="Garamond"/>
                <w:sz w:val="18"/>
                <w:szCs w:val="18"/>
                <w:lang w:val="en-GB"/>
              </w:rPr>
              <w:t>Northwest Natural Gas Co</w:t>
            </w:r>
          </w:p>
        </w:tc>
        <w:tc>
          <w:tcPr>
            <w:tcW w:w="1158" w:type="dxa"/>
            <w:tcBorders>
              <w:top w:val="nil"/>
              <w:left w:val="nil"/>
              <w:bottom w:val="single" w:sz="4" w:space="0" w:color="auto"/>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9</w:t>
            </w:r>
          </w:p>
        </w:tc>
        <w:tc>
          <w:tcPr>
            <w:tcW w:w="1159" w:type="dxa"/>
            <w:tcBorders>
              <w:top w:val="nil"/>
              <w:left w:val="nil"/>
              <w:bottom w:val="single" w:sz="4" w:space="0" w:color="auto"/>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6.93</w:t>
            </w:r>
          </w:p>
        </w:tc>
      </w:tr>
      <w:tr w:rsidR="001C7C52" w:rsidRPr="00802C03" w:rsidTr="00916594">
        <w:tc>
          <w:tcPr>
            <w:tcW w:w="9460" w:type="dxa"/>
            <w:gridSpan w:val="6"/>
            <w:tcBorders>
              <w:top w:val="nil"/>
              <w:left w:val="nil"/>
              <w:bottom w:val="single" w:sz="4" w:space="0" w:color="auto"/>
              <w:right w:val="nil"/>
            </w:tcBorders>
            <w:vAlign w:val="center"/>
          </w:tcPr>
          <w:p w:rsidR="001C7C52" w:rsidRPr="00802C03" w:rsidRDefault="001C7C52" w:rsidP="002625E8">
            <w:pPr>
              <w:spacing w:line="240" w:lineRule="auto"/>
              <w:rPr>
                <w:rFonts w:ascii="Garamond" w:hAnsi="Garamond"/>
                <w:b/>
                <w:lang w:val="en-GB"/>
              </w:rPr>
            </w:pPr>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w:t>
            </w:r>
            <w:r w:rsidRPr="00802C03">
              <w:rPr>
                <w:rFonts w:ascii="Garamond" w:hAnsi="Garamond"/>
                <w:b/>
                <w:color w:val="000000"/>
                <w:lang w:val="en-GB"/>
              </w:rPr>
              <w:t xml:space="preserve">XIII </w:t>
            </w:r>
            <w:r w:rsidRPr="00802C03">
              <w:rPr>
                <w:rFonts w:ascii="Garamond" w:hAnsi="Garamond"/>
                <w:color w:val="000000"/>
                <w:lang w:val="en-GB"/>
              </w:rPr>
              <w:t>(</w:t>
            </w:r>
            <w:r w:rsidRPr="00802C03">
              <w:rPr>
                <w:rFonts w:ascii="Garamond" w:hAnsi="Garamond"/>
                <w:i/>
                <w:color w:val="000000"/>
                <w:sz w:val="20"/>
                <w:lang w:val="en-GB"/>
              </w:rPr>
              <w:t>continued</w:t>
            </w:r>
            <w:r w:rsidRPr="00802C03">
              <w:rPr>
                <w:rFonts w:ascii="Garamond" w:hAnsi="Garamond"/>
                <w:color w:val="000000"/>
                <w:lang w:val="en-GB"/>
              </w:rPr>
              <w:t>)</w:t>
            </w:r>
          </w:p>
        </w:tc>
      </w:tr>
      <w:tr w:rsidR="001C7C52" w:rsidRPr="00802C03" w:rsidTr="002625E8">
        <w:tc>
          <w:tcPr>
            <w:tcW w:w="880" w:type="dxa"/>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p>
        </w:tc>
        <w:tc>
          <w:tcPr>
            <w:tcW w:w="8580" w:type="dxa"/>
            <w:gridSpan w:val="5"/>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r w:rsidRPr="00802C03">
              <w:rPr>
                <w:rFonts w:ascii="Garamond" w:hAnsi="Garamond"/>
                <w:i/>
                <w:sz w:val="18"/>
                <w:szCs w:val="18"/>
                <w:lang w:val="en-GB"/>
              </w:rPr>
              <w:t>A. Long positions</w:t>
            </w:r>
          </w:p>
        </w:tc>
      </w:tr>
      <w:tr w:rsidR="001C7C52" w:rsidRPr="00802C03" w:rsidTr="002625E8">
        <w:tc>
          <w:tcPr>
            <w:tcW w:w="880" w:type="dxa"/>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r w:rsidRPr="00802C03">
              <w:rPr>
                <w:rFonts w:ascii="Garamond" w:hAnsi="Garamond"/>
                <w:sz w:val="18"/>
                <w:szCs w:val="18"/>
                <w:lang w:val="en-GB"/>
              </w:rPr>
              <w:t>Rating</w:t>
            </w:r>
          </w:p>
        </w:tc>
        <w:tc>
          <w:tcPr>
            <w:tcW w:w="1324"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Value Position</w:t>
            </w:r>
          </w:p>
        </w:tc>
        <w:tc>
          <w:tcPr>
            <w:tcW w:w="3780" w:type="dxa"/>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r w:rsidRPr="00802C03">
              <w:rPr>
                <w:rFonts w:ascii="Garamond" w:hAnsi="Garamond"/>
                <w:sz w:val="18"/>
                <w:szCs w:val="18"/>
                <w:lang w:val="en-GB"/>
              </w:rPr>
              <w:t>Issuer</w:t>
            </w:r>
          </w:p>
        </w:tc>
        <w:tc>
          <w:tcPr>
            <w:tcW w:w="1158"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Maturity</w:t>
            </w:r>
          </w:p>
        </w:tc>
        <w:tc>
          <w:tcPr>
            <w:tcW w:w="1159"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Coupon</w:t>
            </w:r>
          </w:p>
        </w:tc>
        <w:tc>
          <w:tcPr>
            <w:tcW w:w="1159"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Duration</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$200,000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Nucor Corp</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6.47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Walt Disney Co/The</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7.85</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AT&amp;T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3.61</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Cintas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9.75</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Halliburton Co</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1.00</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Goldman Sachs Group Inc/The**</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3.87</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California Water Service Group</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7.61</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BBB</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Cabot Corp</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4.28</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Amazon.com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2.77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Newell Rubbermaid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11%</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6.60</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Harley-Davidson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3.91</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Apollo Investment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12</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7.82</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Astoria Financial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3.65</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Xerox Corp</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12</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0%</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12.00</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BB</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Glatfelter</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6.07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Constellation Brands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6.07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DaVita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4.96</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Leucadia National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6.07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Peabody Energy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5.54</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El Paso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4.38</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Jabil Circuit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6.38</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Century Aluminum Co</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5.32</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 xml:space="preserve">Ciena Corp* </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7.45</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Isle of Capri Casinos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4.27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Interface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11%</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2.68</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Alliance One International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5.21</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Headwaters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5.93</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CCC/C</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RH Donnelley Inc</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3.51</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Standard Pacific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4.76</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Wolverine Tube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2.57</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Quantum Corp*</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5.78</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8580" w:type="dxa"/>
            <w:gridSpan w:val="5"/>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i/>
                <w:sz w:val="18"/>
                <w:szCs w:val="18"/>
                <w:lang w:val="en-GB"/>
              </w:rPr>
              <w:t>B. Short positions</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Rating</w:t>
            </w: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Value Position</w:t>
            </w: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Issuer</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Maturity</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Coupon</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Duration</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AAA</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-$225,000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Johnson &amp; Johnson</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8.04</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Exxon Mobil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2.88</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Berkshire Hathaway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7.41</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AA</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-$200,000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WW Grainger Inc*</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2.83</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Wal-Mart Stores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7.11</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General Electric Co</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7.90</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Nicor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5.74</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-$200,000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NIKE Inc</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2.83</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Amgen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6.47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Public Storage</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4.37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Hubbell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11</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8.11</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Caterpillar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5.83</w:t>
            </w:r>
          </w:p>
        </w:tc>
      </w:tr>
      <w:tr w:rsidR="001C7C52" w:rsidRPr="00802C03" w:rsidTr="002625E8">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BBB</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Southwest Airlines Co</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7.82</w:t>
            </w:r>
          </w:p>
        </w:tc>
      </w:tr>
      <w:tr w:rsidR="001C7C52" w:rsidRPr="00802C03" w:rsidTr="007F7BAA">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Mattel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1.94</w:t>
            </w:r>
          </w:p>
        </w:tc>
      </w:tr>
      <w:tr w:rsidR="001C7C52" w:rsidRPr="00802C03" w:rsidTr="007F7BAA">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C36D9F">
            <w:pPr>
              <w:spacing w:line="260" w:lineRule="exact"/>
              <w:rPr>
                <w:rFonts w:ascii="Garamond" w:hAnsi="Garamond"/>
                <w:sz w:val="18"/>
                <w:szCs w:val="18"/>
                <w:lang w:val="en-GB"/>
              </w:rPr>
            </w:pPr>
            <w:r w:rsidRPr="00802C03">
              <w:rPr>
                <w:rFonts w:ascii="Garamond" w:hAnsi="Garamond"/>
                <w:sz w:val="18"/>
                <w:szCs w:val="18"/>
                <w:lang w:val="en-GB"/>
              </w:rPr>
              <w:t>Regency Centers LP</w:t>
            </w:r>
          </w:p>
        </w:tc>
        <w:tc>
          <w:tcPr>
            <w:tcW w:w="1158" w:type="dxa"/>
            <w:tcBorders>
              <w:top w:val="nil"/>
              <w:left w:val="nil"/>
              <w:bottom w:val="nil"/>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3.70</w:t>
            </w:r>
          </w:p>
        </w:tc>
      </w:tr>
      <w:tr w:rsidR="001C7C52" w:rsidRPr="00802C03" w:rsidTr="007F7BAA">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C36D9F">
            <w:pPr>
              <w:spacing w:line="260" w:lineRule="exact"/>
              <w:rPr>
                <w:rFonts w:ascii="Garamond" w:hAnsi="Garamond"/>
                <w:sz w:val="18"/>
                <w:szCs w:val="18"/>
                <w:lang w:val="en-GB"/>
              </w:rPr>
            </w:pPr>
            <w:r w:rsidRPr="00802C03">
              <w:rPr>
                <w:rFonts w:ascii="Garamond" w:hAnsi="Garamond"/>
                <w:sz w:val="18"/>
                <w:szCs w:val="18"/>
                <w:lang w:val="en-GB"/>
              </w:rPr>
              <w:t>Waste Connections Inc</w:t>
            </w:r>
          </w:p>
        </w:tc>
        <w:tc>
          <w:tcPr>
            <w:tcW w:w="1158" w:type="dxa"/>
            <w:tcBorders>
              <w:top w:val="nil"/>
              <w:left w:val="nil"/>
              <w:bottom w:val="single" w:sz="4" w:space="0" w:color="auto"/>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14</w:t>
            </w:r>
          </w:p>
        </w:tc>
        <w:tc>
          <w:tcPr>
            <w:tcW w:w="1159" w:type="dxa"/>
            <w:tcBorders>
              <w:top w:val="nil"/>
              <w:left w:val="nil"/>
              <w:bottom w:val="single" w:sz="4" w:space="0" w:color="auto"/>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nil"/>
              <w:left w:val="nil"/>
              <w:bottom w:val="single" w:sz="4" w:space="0" w:color="auto"/>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10.39</w:t>
            </w:r>
          </w:p>
        </w:tc>
      </w:tr>
      <w:tr w:rsidR="001C7C52" w:rsidRPr="00802C03" w:rsidTr="007F7BAA">
        <w:tc>
          <w:tcPr>
            <w:tcW w:w="9460" w:type="dxa"/>
            <w:gridSpan w:val="6"/>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r w:rsidRPr="00802C03">
              <w:rPr>
                <w:rFonts w:ascii="Garamond" w:hAnsi="Garamond"/>
                <w:b/>
                <w:lang w:val="en-GB"/>
              </w:rPr>
              <w:t>T</w:t>
            </w:r>
            <w:r w:rsidRPr="00802C03">
              <w:rPr>
                <w:rFonts w:ascii="Garamond" w:hAnsi="Garamond"/>
                <w:b/>
                <w:sz w:val="18"/>
                <w:szCs w:val="18"/>
                <w:lang w:val="en-GB"/>
              </w:rPr>
              <w:t>ABLE</w:t>
            </w:r>
            <w:r w:rsidRPr="00802C03">
              <w:rPr>
                <w:rFonts w:ascii="Garamond" w:hAnsi="Garamond"/>
                <w:b/>
                <w:lang w:val="en-GB"/>
              </w:rPr>
              <w:t xml:space="preserve"> </w:t>
            </w:r>
            <w:r w:rsidRPr="00802C03">
              <w:rPr>
                <w:rFonts w:ascii="Garamond" w:hAnsi="Garamond"/>
                <w:b/>
                <w:color w:val="000000"/>
                <w:lang w:val="en-GB"/>
              </w:rPr>
              <w:t xml:space="preserve">XIII </w:t>
            </w:r>
            <w:r w:rsidRPr="00802C03">
              <w:rPr>
                <w:rFonts w:ascii="Garamond" w:hAnsi="Garamond"/>
                <w:color w:val="000000"/>
                <w:lang w:val="en-GB"/>
              </w:rPr>
              <w:t>(</w:t>
            </w:r>
            <w:r w:rsidRPr="00802C03">
              <w:rPr>
                <w:rFonts w:ascii="Garamond" w:hAnsi="Garamond"/>
                <w:i/>
                <w:color w:val="000000"/>
                <w:sz w:val="20"/>
                <w:lang w:val="en-GB"/>
              </w:rPr>
              <w:t>continued</w:t>
            </w:r>
            <w:r w:rsidRPr="00802C03">
              <w:rPr>
                <w:rFonts w:ascii="Garamond" w:hAnsi="Garamond"/>
                <w:color w:val="000000"/>
                <w:lang w:val="en-GB"/>
              </w:rPr>
              <w:t>)</w:t>
            </w:r>
          </w:p>
        </w:tc>
      </w:tr>
      <w:tr w:rsidR="001C7C52" w:rsidRPr="00802C03" w:rsidTr="002625E8">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8580" w:type="dxa"/>
            <w:gridSpan w:val="5"/>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r w:rsidRPr="00802C03">
              <w:rPr>
                <w:rFonts w:ascii="Garamond" w:hAnsi="Garamond"/>
                <w:i/>
                <w:sz w:val="18"/>
                <w:szCs w:val="18"/>
                <w:lang w:val="en-GB"/>
              </w:rPr>
              <w:t>B. Short positions</w:t>
            </w:r>
          </w:p>
        </w:tc>
      </w:tr>
      <w:tr w:rsidR="001C7C52" w:rsidRPr="00802C03" w:rsidTr="002625E8">
        <w:tc>
          <w:tcPr>
            <w:tcW w:w="880" w:type="dxa"/>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r w:rsidRPr="00802C03">
              <w:rPr>
                <w:rFonts w:ascii="Garamond" w:hAnsi="Garamond"/>
                <w:sz w:val="18"/>
                <w:szCs w:val="18"/>
                <w:lang w:val="en-GB"/>
              </w:rPr>
              <w:t>Rating</w:t>
            </w:r>
          </w:p>
        </w:tc>
        <w:tc>
          <w:tcPr>
            <w:tcW w:w="1324"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Value Position</w:t>
            </w:r>
          </w:p>
        </w:tc>
        <w:tc>
          <w:tcPr>
            <w:tcW w:w="3780" w:type="dxa"/>
            <w:tcBorders>
              <w:top w:val="nil"/>
              <w:left w:val="nil"/>
              <w:bottom w:val="single" w:sz="4" w:space="0" w:color="auto"/>
              <w:right w:val="nil"/>
            </w:tcBorders>
            <w:vAlign w:val="center"/>
          </w:tcPr>
          <w:p w:rsidR="001C7C52" w:rsidRPr="00802C03" w:rsidRDefault="001C7C52" w:rsidP="002625E8">
            <w:pPr>
              <w:spacing w:line="260" w:lineRule="exact"/>
              <w:rPr>
                <w:rFonts w:ascii="Garamond" w:hAnsi="Garamond"/>
                <w:sz w:val="18"/>
                <w:szCs w:val="18"/>
                <w:lang w:val="en-GB"/>
              </w:rPr>
            </w:pPr>
            <w:r w:rsidRPr="00802C03">
              <w:rPr>
                <w:rFonts w:ascii="Garamond" w:hAnsi="Garamond"/>
                <w:sz w:val="18"/>
                <w:szCs w:val="18"/>
                <w:lang w:val="en-GB"/>
              </w:rPr>
              <w:t>Issuer</w:t>
            </w:r>
          </w:p>
        </w:tc>
        <w:tc>
          <w:tcPr>
            <w:tcW w:w="1158"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Maturity</w:t>
            </w:r>
          </w:p>
        </w:tc>
        <w:tc>
          <w:tcPr>
            <w:tcW w:w="1159"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Coupon</w:t>
            </w:r>
          </w:p>
        </w:tc>
        <w:tc>
          <w:tcPr>
            <w:tcW w:w="1159" w:type="dxa"/>
            <w:tcBorders>
              <w:top w:val="nil"/>
              <w:left w:val="nil"/>
              <w:bottom w:val="single" w:sz="4" w:space="0" w:color="auto"/>
              <w:right w:val="nil"/>
            </w:tcBorders>
            <w:vAlign w:val="center"/>
          </w:tcPr>
          <w:p w:rsidR="001C7C52" w:rsidRPr="00802C03" w:rsidRDefault="001C7C52" w:rsidP="002625E8">
            <w:pPr>
              <w:spacing w:line="260" w:lineRule="exact"/>
              <w:jc w:val="center"/>
              <w:rPr>
                <w:rFonts w:ascii="Garamond" w:hAnsi="Garamond"/>
                <w:sz w:val="18"/>
                <w:szCs w:val="18"/>
                <w:lang w:val="en-GB"/>
              </w:rPr>
            </w:pPr>
            <w:r w:rsidRPr="00802C03">
              <w:rPr>
                <w:rFonts w:ascii="Garamond" w:hAnsi="Garamond"/>
                <w:sz w:val="18"/>
                <w:szCs w:val="18"/>
                <w:lang w:val="en-GB"/>
              </w:rPr>
              <w:t>Duration</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C36D9F">
            <w:pPr>
              <w:spacing w:line="260" w:lineRule="exact"/>
              <w:rPr>
                <w:rFonts w:ascii="Garamond" w:hAnsi="Garamond"/>
                <w:sz w:val="18"/>
                <w:szCs w:val="18"/>
                <w:lang w:val="en-GB"/>
              </w:rPr>
            </w:pPr>
            <w:r w:rsidRPr="00802C03">
              <w:rPr>
                <w:rFonts w:ascii="Garamond" w:hAnsi="Garamond"/>
                <w:sz w:val="18"/>
                <w:szCs w:val="18"/>
                <w:lang w:val="en-GB"/>
              </w:rPr>
              <w:t>BBB</w:t>
            </w:r>
          </w:p>
        </w:tc>
        <w:tc>
          <w:tcPr>
            <w:tcW w:w="1324" w:type="dxa"/>
            <w:tcBorders>
              <w:top w:val="nil"/>
              <w:left w:val="nil"/>
              <w:bottom w:val="single" w:sz="4" w:space="0" w:color="auto"/>
              <w:right w:val="nil"/>
            </w:tcBorders>
            <w:vAlign w:val="center"/>
          </w:tcPr>
          <w:p w:rsidR="001C7C52" w:rsidRPr="00802C03" w:rsidRDefault="001C7C52" w:rsidP="00C36D9F">
            <w:pPr>
              <w:spacing w:line="260" w:lineRule="exact"/>
              <w:jc w:val="center"/>
              <w:rPr>
                <w:rFonts w:ascii="Garamond" w:hAnsi="Garamond"/>
                <w:sz w:val="18"/>
                <w:szCs w:val="18"/>
                <w:lang w:val="en-GB"/>
              </w:rPr>
            </w:pPr>
            <w:r w:rsidRPr="00802C03">
              <w:rPr>
                <w:rFonts w:ascii="Garamond" w:hAnsi="Garamond"/>
                <w:sz w:val="18"/>
                <w:szCs w:val="18"/>
                <w:lang w:val="en-GB"/>
              </w:rPr>
              <w:t>-$150,000</w:t>
            </w: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Black &amp; Decker Corp</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5.92</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BB</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Goodyear Tire &amp; Rubber Co/The</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8.37</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Harman International Industries Inc*</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2.76</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URS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4.38</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Greif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6.24</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B</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-$100,000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Las Vegas Sands LLC</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4.90</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Jarden 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5.93</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GSI Group Inc/United States</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12%</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3.95</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Greenbrier Cos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8%</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5.32</w:t>
            </w:r>
          </w:p>
        </w:tc>
      </w:tr>
      <w:tr w:rsidR="001C7C52" w:rsidRPr="00802C03" w:rsidTr="001F0514">
        <w:tc>
          <w:tcPr>
            <w:tcW w:w="8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CCC/C</w:t>
            </w:r>
          </w:p>
        </w:tc>
        <w:tc>
          <w:tcPr>
            <w:tcW w:w="1324"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-$50,000</w:t>
            </w:r>
          </w:p>
        </w:tc>
        <w:tc>
          <w:tcPr>
            <w:tcW w:w="3780" w:type="dxa"/>
            <w:tcBorders>
              <w:top w:val="single" w:sz="4" w:space="0" w:color="auto"/>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Colonial BancGroup Inc/The</w:t>
            </w:r>
          </w:p>
        </w:tc>
        <w:tc>
          <w:tcPr>
            <w:tcW w:w="1158"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15</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w:t>
            </w:r>
          </w:p>
        </w:tc>
        <w:tc>
          <w:tcPr>
            <w:tcW w:w="1159" w:type="dxa"/>
            <w:tcBorders>
              <w:top w:val="single" w:sz="4" w:space="0" w:color="auto"/>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6.44</w:t>
            </w:r>
          </w:p>
        </w:tc>
      </w:tr>
      <w:tr w:rsidR="001C7C52" w:rsidRPr="00802C03" w:rsidTr="001F0514">
        <w:tc>
          <w:tcPr>
            <w:tcW w:w="8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nil"/>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GenCorp</w:t>
            </w:r>
          </w:p>
        </w:tc>
        <w:tc>
          <w:tcPr>
            <w:tcW w:w="1158"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4</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9%</w:t>
            </w:r>
          </w:p>
        </w:tc>
        <w:tc>
          <w:tcPr>
            <w:tcW w:w="1159" w:type="dxa"/>
            <w:tcBorders>
              <w:top w:val="nil"/>
              <w:left w:val="nil"/>
              <w:bottom w:val="nil"/>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3.41</w:t>
            </w:r>
          </w:p>
        </w:tc>
      </w:tr>
      <w:tr w:rsidR="001C7C52" w:rsidRPr="00802C03" w:rsidTr="001F0514">
        <w:tc>
          <w:tcPr>
            <w:tcW w:w="8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p>
        </w:tc>
        <w:tc>
          <w:tcPr>
            <w:tcW w:w="1324"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p>
        </w:tc>
        <w:tc>
          <w:tcPr>
            <w:tcW w:w="3780" w:type="dxa"/>
            <w:tcBorders>
              <w:top w:val="nil"/>
              <w:left w:val="nil"/>
              <w:bottom w:val="single" w:sz="4" w:space="0" w:color="auto"/>
              <w:right w:val="nil"/>
            </w:tcBorders>
            <w:vAlign w:val="center"/>
          </w:tcPr>
          <w:p w:rsidR="001C7C52" w:rsidRPr="00802C03" w:rsidRDefault="001C7C52" w:rsidP="001F0514">
            <w:pPr>
              <w:spacing w:line="260" w:lineRule="exact"/>
              <w:rPr>
                <w:rFonts w:ascii="Garamond" w:hAnsi="Garamond"/>
                <w:sz w:val="18"/>
                <w:szCs w:val="18"/>
                <w:lang w:val="en-GB"/>
              </w:rPr>
            </w:pPr>
            <w:r w:rsidRPr="00802C03">
              <w:rPr>
                <w:rFonts w:ascii="Garamond" w:hAnsi="Garamond"/>
                <w:sz w:val="18"/>
                <w:szCs w:val="18"/>
                <w:lang w:val="en-GB"/>
              </w:rPr>
              <w:t>Advanced Micro Devices Inc</w:t>
            </w:r>
          </w:p>
        </w:tc>
        <w:tc>
          <w:tcPr>
            <w:tcW w:w="1158"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3</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7%</w:t>
            </w:r>
          </w:p>
        </w:tc>
        <w:tc>
          <w:tcPr>
            <w:tcW w:w="1159" w:type="dxa"/>
            <w:tcBorders>
              <w:top w:val="nil"/>
              <w:left w:val="nil"/>
              <w:bottom w:val="single" w:sz="4" w:space="0" w:color="auto"/>
              <w:right w:val="nil"/>
            </w:tcBorders>
            <w:vAlign w:val="center"/>
          </w:tcPr>
          <w:p w:rsidR="001C7C52" w:rsidRPr="00802C03" w:rsidRDefault="001C7C52" w:rsidP="001F0514">
            <w:pPr>
              <w:spacing w:line="260" w:lineRule="exact"/>
              <w:jc w:val="center"/>
              <w:rPr>
                <w:rFonts w:ascii="Garamond" w:hAnsi="Garamond"/>
                <w:sz w:val="18"/>
                <w:szCs w:val="18"/>
                <w:lang w:val="en-GB"/>
              </w:rPr>
            </w:pPr>
            <w:r w:rsidRPr="00802C03">
              <w:rPr>
                <w:rFonts w:ascii="Garamond" w:hAnsi="Garamond"/>
                <w:sz w:val="18"/>
                <w:szCs w:val="18"/>
                <w:lang w:val="en-GB"/>
              </w:rPr>
              <w:t>2.76</w:t>
            </w:r>
          </w:p>
        </w:tc>
      </w:tr>
      <w:tr w:rsidR="001C7C52" w:rsidRPr="000B0ADE" w:rsidTr="001F0514">
        <w:tc>
          <w:tcPr>
            <w:tcW w:w="9460" w:type="dxa"/>
            <w:gridSpan w:val="6"/>
            <w:tcBorders>
              <w:top w:val="single" w:sz="4" w:space="0" w:color="auto"/>
              <w:left w:val="nil"/>
              <w:bottom w:val="nil"/>
              <w:right w:val="nil"/>
            </w:tcBorders>
            <w:vAlign w:val="center"/>
          </w:tcPr>
          <w:p w:rsidR="001C7C52" w:rsidRPr="00802C03" w:rsidRDefault="001C7C52" w:rsidP="00F22DBF">
            <w:pPr>
              <w:spacing w:after="40" w:line="180" w:lineRule="exact"/>
              <w:jc w:val="both"/>
              <w:rPr>
                <w:rFonts w:ascii="Garamond" w:hAnsi="Garamond"/>
                <w:sz w:val="16"/>
                <w:szCs w:val="16"/>
                <w:lang w:val="en-GB"/>
              </w:rPr>
            </w:pPr>
            <w:r w:rsidRPr="00802C03">
              <w:rPr>
                <w:rFonts w:ascii="Garamond" w:hAnsi="Garamond"/>
                <w:sz w:val="16"/>
                <w:szCs w:val="16"/>
                <w:lang w:val="en-GB"/>
              </w:rPr>
              <w:t>* No existing bonds were found for this company. ** The exposure is enlarged to $800,000 in the concentrated long-short portfolio. *** The exposure is enlarged to $500,000 in the concentrated long-short portfolio. The exposure of the (remaining) A-rated long positions is reduced to $100,000 in the concentrated portfolio, while the position value of the (remaining) B-rated long positions is reduced to $20,000 in the concentrated portfolio. All issuer ratings underlying the table are from 01/05/2009, as that is the model estimation date. Maturity and duration are both presented in years. The applied credit yield curves in the valuation of the positions are those of 01/05/2009.</w:t>
            </w:r>
          </w:p>
        </w:tc>
      </w:tr>
    </w:tbl>
    <w:p w:rsidR="001C7C52" w:rsidRPr="00802C03" w:rsidRDefault="001C7C52" w:rsidP="001F0514">
      <w:pPr>
        <w:spacing w:line="280" w:lineRule="exact"/>
        <w:jc w:val="both"/>
        <w:rPr>
          <w:rFonts w:ascii="Garamond" w:hAnsi="Garamond" w:cs="Frutiger 47LightCn"/>
          <w:b/>
          <w:color w:val="000000"/>
          <w:lang w:val="en-GB"/>
        </w:rPr>
      </w:pPr>
    </w:p>
    <w:p w:rsidR="001C7C52" w:rsidRPr="00802C03" w:rsidRDefault="001C7C52" w:rsidP="001F0514">
      <w:pPr>
        <w:spacing w:line="280" w:lineRule="exact"/>
        <w:jc w:val="both"/>
        <w:rPr>
          <w:rFonts w:ascii="Garamond" w:hAnsi="Garamond" w:cs="NimbusRomNo9L-Regu"/>
          <w:lang w:val="en-GB" w:eastAsia="nl-NL"/>
        </w:rPr>
      </w:pPr>
    </w:p>
    <w:tbl>
      <w:tblPr>
        <w:tblW w:w="2824" w:type="dxa"/>
        <w:tblInd w:w="-1276" w:type="dxa"/>
        <w:tblLayout w:type="fixed"/>
        <w:tblCellMar>
          <w:left w:w="0" w:type="dxa"/>
          <w:right w:w="0" w:type="dxa"/>
        </w:tblCellMar>
        <w:tblLook w:val="00A0"/>
      </w:tblPr>
      <w:tblGrid>
        <w:gridCol w:w="709"/>
        <w:gridCol w:w="567"/>
        <w:gridCol w:w="1548"/>
      </w:tblGrid>
      <w:tr w:rsidR="001C7C52" w:rsidRPr="00802C03" w:rsidTr="002E2E49">
        <w:tc>
          <w:tcPr>
            <w:tcW w:w="709" w:type="dxa"/>
          </w:tcPr>
          <w:p w:rsidR="001C7C52" w:rsidRPr="002E2E49" w:rsidRDefault="001C7C52" w:rsidP="002E2E49">
            <w:pPr>
              <w:spacing w:line="280" w:lineRule="exact"/>
              <w:jc w:val="both"/>
              <w:rPr>
                <w:rFonts w:ascii="Garamond" w:hAnsi="Garamond" w:cs="NimbusRomNo9L-Regu"/>
                <w:lang w:val="en-GB" w:eastAsia="nl-NL"/>
              </w:rPr>
            </w:pPr>
          </w:p>
        </w:tc>
        <w:tc>
          <w:tcPr>
            <w:tcW w:w="567" w:type="dxa"/>
          </w:tcPr>
          <w:p w:rsidR="001C7C52" w:rsidRPr="002E2E49" w:rsidRDefault="001C7C52" w:rsidP="002E2E49">
            <w:pPr>
              <w:spacing w:line="280" w:lineRule="exact"/>
              <w:jc w:val="both"/>
              <w:rPr>
                <w:rFonts w:ascii="Garamond" w:hAnsi="Garamond" w:cs="NimbusRomNo9L-Regu"/>
                <w:lang w:val="en-GB" w:eastAsia="nl-NL"/>
              </w:rPr>
            </w:pPr>
            <w:bookmarkStart w:id="113" w:name="SA4"/>
            <w:bookmarkEnd w:id="113"/>
            <w:r w:rsidRPr="002E2E49">
              <w:rPr>
                <w:rFonts w:ascii="Garamond" w:hAnsi="Garamond" w:cs="NimbusRomNo9L-Regu"/>
                <w:b/>
                <w:lang w:val="en-GB" w:eastAsia="nl-NL"/>
              </w:rPr>
              <w:t>A.4</w:t>
            </w:r>
          </w:p>
        </w:tc>
        <w:tc>
          <w:tcPr>
            <w:tcW w:w="1548" w:type="dxa"/>
          </w:tcPr>
          <w:p w:rsidR="001C7C52" w:rsidRPr="002E2E49" w:rsidRDefault="001C7C52" w:rsidP="002E2E49">
            <w:pPr>
              <w:spacing w:line="280" w:lineRule="exact"/>
              <w:jc w:val="both"/>
              <w:rPr>
                <w:rFonts w:ascii="Garamond" w:hAnsi="Garamond" w:cs="NimbusRomNo9L-Regu"/>
                <w:lang w:val="en-GB" w:eastAsia="nl-NL"/>
              </w:rPr>
            </w:pPr>
            <w:r w:rsidRPr="002E2E49">
              <w:rPr>
                <w:rFonts w:ascii="Garamond" w:hAnsi="Garamond" w:cs="NimbusRomNo9L-Regu"/>
                <w:b/>
                <w:lang w:val="en-GB" w:eastAsia="nl-NL"/>
              </w:rPr>
              <w:t>C</w:t>
            </w:r>
            <w:r w:rsidRPr="002E2E49">
              <w:rPr>
                <w:rFonts w:ascii="Garamond" w:hAnsi="Garamond" w:cs="NimbusRomNo9L-Regu"/>
                <w:b/>
                <w:sz w:val="18"/>
                <w:szCs w:val="18"/>
                <w:lang w:val="en-GB" w:eastAsia="nl-NL"/>
              </w:rPr>
              <w:t>REDIT</w:t>
            </w:r>
            <w:r w:rsidRPr="002E2E49">
              <w:rPr>
                <w:rFonts w:ascii="Garamond" w:hAnsi="Garamond" w:cs="NimbusRomNo9L-Regu"/>
                <w:b/>
                <w:lang w:val="en-GB" w:eastAsia="nl-NL"/>
              </w:rPr>
              <w:t xml:space="preserve"> C</w:t>
            </w:r>
            <w:r w:rsidRPr="002E2E49">
              <w:rPr>
                <w:rFonts w:ascii="Garamond" w:hAnsi="Garamond" w:cs="NimbusRomNo9L-Regu"/>
                <w:b/>
                <w:sz w:val="18"/>
                <w:szCs w:val="18"/>
                <w:lang w:val="en-GB" w:eastAsia="nl-NL"/>
              </w:rPr>
              <w:t>URVES</w:t>
            </w:r>
          </w:p>
        </w:tc>
      </w:tr>
    </w:tbl>
    <w:p w:rsidR="001C7C52" w:rsidRPr="00802C03" w:rsidRDefault="001C7C52" w:rsidP="001F0514">
      <w:pPr>
        <w:spacing w:before="160" w:line="280" w:lineRule="exact"/>
        <w:jc w:val="both"/>
        <w:rPr>
          <w:rFonts w:ascii="Garamond" w:hAnsi="Garamond" w:cs="NimbusRomNo9L-Regu"/>
          <w:lang w:val="en-GB" w:eastAsia="nl-NL"/>
        </w:rPr>
      </w:pPr>
      <w:r w:rsidRPr="00802C03">
        <w:rPr>
          <w:rFonts w:ascii="Garamond" w:hAnsi="Garamond" w:cs="NimbusRomNo9L-Regu"/>
          <w:lang w:val="en-GB" w:eastAsia="nl-NL"/>
        </w:rPr>
        <w:t xml:space="preserve">In the valuation and forward valuation of the corporate bonds in the portfolios, forwards zero credit curves are required. Accordingly, credit yield curves are obtained and/or constructed and subsequently converted to forward credit yield curves applying the traditional discrete-time forward rate formula. The credit curves that are applied in this study are obtained from Bloomberg Professional. More specifically, USD Composite Bloomberg Fair Value (BFV) Curves from 01/05/2009 are employed. These curves are available for the AA, A, BBB, BB and B credit classes. </w:t>
      </w:r>
    </w:p>
    <w:p w:rsidR="001C7C52" w:rsidRPr="00802C03" w:rsidRDefault="001C7C52" w:rsidP="001F0514">
      <w:pPr>
        <w:spacing w:line="280" w:lineRule="exact"/>
        <w:jc w:val="both"/>
        <w:rPr>
          <w:rFonts w:ascii="Garamond" w:hAnsi="Garamond" w:cs="Frutiger 47LightCn"/>
          <w:color w:val="000000"/>
          <w:lang w:val="en-GB"/>
        </w:rPr>
      </w:pPr>
      <w:r w:rsidRPr="00802C03">
        <w:rPr>
          <w:rFonts w:ascii="Garamond" w:hAnsi="Garamond" w:cs="NimbusRomNo9L-Regu"/>
          <w:lang w:val="en-GB" w:eastAsia="nl-NL"/>
        </w:rPr>
        <w:t xml:space="preserve">The CCC/C-curve, which is applied in the valuation of the CCC/C-issuers, is based on a combination of C-yields from the </w:t>
      </w:r>
      <w:r w:rsidRPr="00802C03">
        <w:rPr>
          <w:rFonts w:ascii="Garamond" w:hAnsi="Garamond" w:cs="Frutiger 47LightCn"/>
          <w:color w:val="000000"/>
          <w:lang w:val="en-GB"/>
        </w:rPr>
        <w:t xml:space="preserve">Merrill Lynch U.S. High Yield Cash Pay C-Rated Index and the Composite BFV B-Curve. The Merrill Lynch index measures the performance of C-grade U.S. dollar denominated corporate bonds publicly issued in the U.S. domestic market. Its yields are obtained from Thomson Datastream. Due to the very limited CCC/C-category yield curve information available, the C-yields and B-yields are combined into a CCC/C yield curve </w:t>
      </w:r>
    </w:p>
    <w:p w:rsidR="001C7C52" w:rsidRPr="00802C03" w:rsidRDefault="001C7C52" w:rsidP="001F0514">
      <w:pPr>
        <w:spacing w:line="280" w:lineRule="exact"/>
        <w:jc w:val="both"/>
        <w:rPr>
          <w:rFonts w:ascii="Garamond" w:hAnsi="Garamond" w:cs="Frutiger 47LightCn"/>
          <w:color w:val="000000"/>
          <w:lang w:val="en-GB"/>
        </w:rPr>
      </w:pPr>
      <w:r w:rsidRPr="00802C03">
        <w:rPr>
          <w:rFonts w:ascii="Garamond" w:hAnsi="Garamond" w:cs="Frutiger 47LightCn"/>
          <w:color w:val="000000"/>
          <w:lang w:val="en-GB"/>
        </w:rPr>
        <w:t>For the AAA category, no BFV Composite Curve was available. The Composite BFV AAA-Curve was originally available, but it was discontinued at March 31, 2009 due to the discontinuance of the BFV AAA Financials Curve on which the Composite Curve was partially built. The other underlying and the only remaining BFV AAA-Curve is the BFV AAA Industrials Curve. Hence, the BFV AAA Industrials Curve is utilized to value the AAA-issuers, which will produce in quite realistic valuation estimates, since AAA-yields do not tend to differ much across industries.</w:t>
      </w:r>
    </w:p>
    <w:p w:rsidR="001C7C52" w:rsidRPr="00802C03" w:rsidRDefault="001C7C52" w:rsidP="001F0514">
      <w:pPr>
        <w:spacing w:line="280" w:lineRule="exact"/>
        <w:jc w:val="both"/>
        <w:rPr>
          <w:rFonts w:ascii="Garamond" w:hAnsi="Garamond" w:cs="Frutiger 47LightCn"/>
          <w:color w:val="000000"/>
          <w:lang w:val="en-GB"/>
        </w:rPr>
        <w:sectPr w:rsidR="001C7C52" w:rsidRPr="00802C03" w:rsidSect="00FC23CC">
          <w:headerReference w:type="even" r:id="rId1663"/>
          <w:headerReference w:type="default" r:id="rId1664"/>
          <w:footerReference w:type="even" r:id="rId1665"/>
          <w:footerReference w:type="default" r:id="rId1666"/>
          <w:headerReference w:type="first" r:id="rId1667"/>
          <w:footerReference w:type="first" r:id="rId1668"/>
          <w:footnotePr>
            <w:numRestart w:val="eachSect"/>
          </w:footnotePr>
          <w:pgSz w:w="11906" w:h="16838"/>
          <w:pgMar w:top="1247" w:right="1247" w:bottom="1247" w:left="1247" w:header="907" w:footer="907" w:gutter="0"/>
          <w:cols w:space="708"/>
          <w:titlePg/>
          <w:docGrid w:linePitch="360"/>
        </w:sectPr>
      </w:pPr>
      <w:r w:rsidRPr="00802C03">
        <w:rPr>
          <w:rFonts w:ascii="Garamond" w:hAnsi="Garamond" w:cs="Frutiger 47LightCn"/>
          <w:color w:val="000000"/>
          <w:lang w:val="en-GB"/>
        </w:rPr>
        <w:t xml:space="preserve"> </w:t>
      </w:r>
    </w:p>
    <w:tbl>
      <w:tblPr>
        <w:tblW w:w="10708" w:type="dxa"/>
        <w:tblInd w:w="-1276" w:type="dxa"/>
        <w:tblCellMar>
          <w:left w:w="0" w:type="dxa"/>
          <w:right w:w="0" w:type="dxa"/>
        </w:tblCellMar>
        <w:tblLook w:val="00A0"/>
      </w:tblPr>
      <w:tblGrid>
        <w:gridCol w:w="1276"/>
        <w:gridCol w:w="20"/>
        <w:gridCol w:w="9392"/>
        <w:gridCol w:w="20"/>
      </w:tblGrid>
      <w:tr w:rsidR="001C7C52" w:rsidRPr="00802C03" w:rsidTr="002E2E49">
        <w:trPr>
          <w:gridAfter w:val="1"/>
          <w:wAfter w:w="20" w:type="dxa"/>
        </w:trPr>
        <w:tc>
          <w:tcPr>
            <w:tcW w:w="1276" w:type="dxa"/>
          </w:tcPr>
          <w:p w:rsidR="001C7C52" w:rsidRPr="002E2E49" w:rsidRDefault="001C7C52" w:rsidP="002E2E49">
            <w:pPr>
              <w:spacing w:line="280" w:lineRule="exact"/>
              <w:rPr>
                <w:rFonts w:ascii="Garamond" w:hAnsi="Garamond"/>
                <w:lang w:val="en-GB"/>
              </w:rPr>
            </w:pPr>
          </w:p>
        </w:tc>
        <w:tc>
          <w:tcPr>
            <w:tcW w:w="9412" w:type="dxa"/>
            <w:gridSpan w:val="2"/>
            <w:tcBorders>
              <w:bottom w:val="single" w:sz="4" w:space="0" w:color="auto"/>
            </w:tcBorders>
          </w:tcPr>
          <w:p w:rsidR="001C7C52" w:rsidRPr="002E2E49" w:rsidRDefault="001C7C52" w:rsidP="002E2E49">
            <w:pPr>
              <w:spacing w:line="280" w:lineRule="exact"/>
              <w:jc w:val="center"/>
              <w:rPr>
                <w:rFonts w:ascii="Garamond" w:hAnsi="Garamond"/>
                <w:lang w:val="en-GB"/>
              </w:rPr>
            </w:pPr>
            <w:bookmarkStart w:id="114" w:name="C7_References"/>
            <w:bookmarkEnd w:id="114"/>
            <w:r w:rsidRPr="002E2E49">
              <w:rPr>
                <w:rFonts w:ascii="Garamond" w:hAnsi="Garamond" w:cs="NimbusRomNo9L-Regu"/>
                <w:b/>
                <w:sz w:val="30"/>
                <w:szCs w:val="30"/>
                <w:lang w:val="en-GB" w:eastAsia="nl-NL"/>
              </w:rPr>
              <w:t>R</w:t>
            </w:r>
            <w:r w:rsidRPr="002E2E49">
              <w:rPr>
                <w:rFonts w:ascii="Garamond" w:hAnsi="Garamond" w:cs="NimbusRomNo9L-Regu"/>
                <w:b/>
                <w:sz w:val="24"/>
                <w:szCs w:val="24"/>
                <w:lang w:val="en-GB" w:eastAsia="nl-NL"/>
              </w:rPr>
              <w:t>EFERENCES</w:t>
            </w:r>
          </w:p>
        </w:tc>
      </w:tr>
      <w:tr w:rsidR="001C7C52" w:rsidRPr="00802C03" w:rsidTr="002E2E49">
        <w:tc>
          <w:tcPr>
            <w:tcW w:w="1276" w:type="dxa"/>
          </w:tcPr>
          <w:p w:rsidR="001C7C52" w:rsidRPr="002E2E49" w:rsidRDefault="001C7C52" w:rsidP="002E2E49">
            <w:pPr>
              <w:spacing w:line="40" w:lineRule="exact"/>
              <w:rPr>
                <w:rFonts w:ascii="Garamond" w:hAnsi="Garamond"/>
                <w:lang w:val="en-GB"/>
              </w:rPr>
            </w:pPr>
          </w:p>
        </w:tc>
        <w:tc>
          <w:tcPr>
            <w:tcW w:w="20" w:type="dxa"/>
          </w:tcPr>
          <w:p w:rsidR="001C7C52" w:rsidRPr="002E2E49" w:rsidRDefault="001C7C52" w:rsidP="002E2E49">
            <w:pPr>
              <w:spacing w:line="40" w:lineRule="exact"/>
              <w:rPr>
                <w:rFonts w:ascii="Garamond" w:hAnsi="Garamond"/>
                <w:lang w:val="en-GB"/>
              </w:rPr>
            </w:pPr>
            <w:r>
              <w:rPr>
                <w:noProof/>
                <w:lang w:val="en-US"/>
              </w:rPr>
              <w:pict>
                <v:rect id="_x0000_s1125" style="position:absolute;margin-left:0;margin-top:-.3pt;width:470.65pt;height:1.15pt;z-index:-251648512;mso-position-horizontal-relative:text;mso-position-vertical-relative:text" fillcolor="black" stroked="f">
                  <v:fill rotate="t" angle="-90" focus="50%" type="gradient"/>
                </v:rect>
              </w:pict>
            </w:r>
          </w:p>
        </w:tc>
        <w:tc>
          <w:tcPr>
            <w:tcW w:w="9412" w:type="dxa"/>
            <w:gridSpan w:val="2"/>
          </w:tcPr>
          <w:p w:rsidR="001C7C52" w:rsidRPr="002E2E49" w:rsidRDefault="001C7C52" w:rsidP="002E2E49">
            <w:pPr>
              <w:spacing w:line="40" w:lineRule="exact"/>
              <w:rPr>
                <w:rFonts w:ascii="Garamond" w:hAnsi="Garamond"/>
                <w:lang w:val="en-GB"/>
              </w:rPr>
            </w:pPr>
          </w:p>
        </w:tc>
      </w:tr>
    </w:tbl>
    <w:p w:rsidR="001C7C52" w:rsidRPr="00802C03" w:rsidRDefault="001C7C52" w:rsidP="00D8319E">
      <w:pPr>
        <w:spacing w:line="280" w:lineRule="exact"/>
        <w:ind w:left="539" w:hanging="539"/>
        <w:jc w:val="both"/>
        <w:rPr>
          <w:rFonts w:ascii="Garamond" w:hAnsi="Garamond"/>
          <w:lang w:val="en-GB"/>
        </w:rPr>
      </w:pPr>
      <w:bookmarkStart w:id="115" w:name="Aalen_Johansen_1978"/>
      <w:bookmarkEnd w:id="115"/>
    </w:p>
    <w:p w:rsidR="001C7C52" w:rsidRPr="00802C03" w:rsidRDefault="001C7C52" w:rsidP="00D8319E">
      <w:pPr>
        <w:spacing w:after="60" w:line="280" w:lineRule="exact"/>
        <w:ind w:left="539" w:hanging="539"/>
        <w:jc w:val="both"/>
        <w:rPr>
          <w:rFonts w:ascii="Garamond" w:hAnsi="Garamond"/>
          <w:lang w:val="en-GB"/>
        </w:rPr>
      </w:pPr>
      <w:r w:rsidRPr="00BE49BF">
        <w:rPr>
          <w:rFonts w:ascii="Garamond" w:hAnsi="Garamond"/>
        </w:rPr>
        <w:t xml:space="preserve">Aalen, O. O. &amp; Johansen, S. (1978). </w:t>
      </w:r>
      <w:r w:rsidRPr="00802C03">
        <w:rPr>
          <w:rFonts w:ascii="Garamond" w:hAnsi="Garamond"/>
          <w:lang w:val="en-GB"/>
        </w:rPr>
        <w:t xml:space="preserve">An Empirical Transition Matrix for Nonhomogeneous Markov Chains based on Censored Observations. </w:t>
      </w:r>
      <w:r w:rsidRPr="00802C03">
        <w:rPr>
          <w:rFonts w:ascii="Garamond" w:hAnsi="Garamond"/>
          <w:i/>
          <w:lang w:val="en-GB"/>
        </w:rPr>
        <w:t>Scandinavian Journal of Statistics</w:t>
      </w:r>
      <w:r w:rsidRPr="00802C03">
        <w:rPr>
          <w:rFonts w:ascii="Garamond" w:hAnsi="Garamond"/>
          <w:lang w:val="en-GB"/>
        </w:rPr>
        <w:t xml:space="preserve">, </w:t>
      </w:r>
      <w:r w:rsidRPr="00802C03">
        <w:rPr>
          <w:rFonts w:ascii="Garamond" w:hAnsi="Garamond"/>
          <w:i/>
          <w:lang w:val="en-GB"/>
        </w:rPr>
        <w:t>5</w:t>
      </w:r>
      <w:r w:rsidRPr="00802C03">
        <w:rPr>
          <w:rFonts w:ascii="Garamond" w:hAnsi="Garamond"/>
          <w:lang w:val="en-GB"/>
        </w:rPr>
        <w:t>, 141-150.</w:t>
      </w:r>
    </w:p>
    <w:p w:rsidR="001C7C52" w:rsidRPr="00802C03" w:rsidRDefault="001C7C52" w:rsidP="00D8319E">
      <w:pPr>
        <w:spacing w:after="60" w:line="280" w:lineRule="exact"/>
        <w:ind w:left="539" w:hanging="539"/>
        <w:jc w:val="both"/>
        <w:rPr>
          <w:rFonts w:ascii="Garamond" w:hAnsi="Garamond"/>
          <w:lang w:val="en-GB"/>
        </w:rPr>
      </w:pPr>
      <w:bookmarkStart w:id="116" w:name="Abid_Naifar_2007"/>
      <w:bookmarkEnd w:id="116"/>
      <w:r w:rsidRPr="00802C03">
        <w:rPr>
          <w:rFonts w:ascii="Garamond" w:hAnsi="Garamond" w:cs="AdvTT5235d5a9"/>
          <w:color w:val="231F20"/>
          <w:lang w:val="en-GB" w:eastAsia="nl-NL"/>
        </w:rPr>
        <w:t>Abid, F. &amp; Naifar, N. (2007). Copula based Simulation Procedures for Pricing Basket Credit Derivatives. MPRA Paper, No. 6014.</w:t>
      </w:r>
    </w:p>
    <w:p w:rsidR="001C7C52" w:rsidRPr="00802C03" w:rsidRDefault="001C7C52" w:rsidP="001F0514">
      <w:pPr>
        <w:spacing w:after="60" w:line="280" w:lineRule="exact"/>
        <w:ind w:left="540" w:hanging="540"/>
        <w:jc w:val="both"/>
        <w:rPr>
          <w:rFonts w:ascii="Garamond" w:hAnsi="Garamond"/>
          <w:lang w:val="en-GB"/>
        </w:rPr>
      </w:pPr>
      <w:bookmarkStart w:id="117" w:name="Akhavein_et_al_2005"/>
      <w:bookmarkEnd w:id="117"/>
      <w:r w:rsidRPr="00802C03">
        <w:rPr>
          <w:rFonts w:ascii="Garamond" w:hAnsi="Garamond" w:cs="NimbusRomNo9L-Regu"/>
          <w:lang w:val="en-GB" w:eastAsia="nl-NL"/>
        </w:rPr>
        <w:t>Akhavein, J. D., Kocagil, A. E. &amp; Neugebauer, M. (2005). A Comparative Empirical Study of Asset Correlations. Structured Finance: Quantitative Financial Research Special Report. Fitch Ratings, New York.</w:t>
      </w:r>
    </w:p>
    <w:p w:rsidR="001C7C52" w:rsidRPr="00802C03" w:rsidRDefault="001C7C52" w:rsidP="001F0514">
      <w:pPr>
        <w:spacing w:after="60" w:line="280" w:lineRule="exact"/>
        <w:ind w:left="540" w:hanging="540"/>
        <w:jc w:val="both"/>
        <w:rPr>
          <w:rFonts w:ascii="Garamond" w:hAnsi="Garamond"/>
          <w:lang w:val="en-GB"/>
        </w:rPr>
      </w:pPr>
      <w:bookmarkStart w:id="118" w:name="Altman_2001"/>
      <w:bookmarkEnd w:id="118"/>
      <w:r w:rsidRPr="00802C03">
        <w:rPr>
          <w:rFonts w:ascii="Garamond" w:hAnsi="Garamond"/>
          <w:lang w:val="en-GB"/>
        </w:rPr>
        <w:t>Altman, E. I. (2001). Altman High Yield Bond and Default Study. Salomon Smith Barney, U.S. Fixed Income High Yield Report, July.</w:t>
      </w:r>
    </w:p>
    <w:p w:rsidR="001C7C52" w:rsidRPr="00802C03" w:rsidRDefault="001C7C52" w:rsidP="001F0514">
      <w:pPr>
        <w:spacing w:after="60" w:line="280" w:lineRule="exact"/>
        <w:ind w:left="540" w:hanging="540"/>
        <w:jc w:val="both"/>
        <w:rPr>
          <w:rFonts w:ascii="Garamond" w:hAnsi="Garamond"/>
          <w:lang w:val="en-GB"/>
        </w:rPr>
      </w:pPr>
      <w:bookmarkStart w:id="119" w:name="Altman_Kao_1992a"/>
      <w:bookmarkEnd w:id="119"/>
      <w:r w:rsidRPr="00802C03">
        <w:rPr>
          <w:rFonts w:ascii="Garamond" w:hAnsi="Garamond"/>
          <w:lang w:val="en-GB"/>
        </w:rPr>
        <w:t xml:space="preserve">Altman, E. I. &amp; Kao, D. (1992a). The Implications of Corporate Bond Rating Drift. </w:t>
      </w:r>
      <w:r w:rsidRPr="00802C03">
        <w:rPr>
          <w:rFonts w:ascii="Garamond" w:hAnsi="Garamond"/>
          <w:i/>
          <w:lang w:val="en-GB"/>
        </w:rPr>
        <w:t>Financial Analysts Journal</w:t>
      </w:r>
      <w:r w:rsidRPr="00802C03">
        <w:rPr>
          <w:rFonts w:ascii="Garamond" w:hAnsi="Garamond"/>
          <w:lang w:val="en-GB"/>
        </w:rPr>
        <w:t xml:space="preserve">, 64-75. </w:t>
      </w:r>
    </w:p>
    <w:p w:rsidR="001C7C52" w:rsidRPr="00802C03" w:rsidRDefault="001C7C52" w:rsidP="001F0514">
      <w:pPr>
        <w:spacing w:after="60" w:line="280" w:lineRule="exact"/>
        <w:jc w:val="both"/>
        <w:rPr>
          <w:rFonts w:ascii="Garamond" w:hAnsi="Garamond"/>
          <w:lang w:val="en-GB"/>
        </w:rPr>
      </w:pPr>
      <w:bookmarkStart w:id="120" w:name="Altman_Kao_1992b"/>
      <w:bookmarkEnd w:id="120"/>
      <w:r w:rsidRPr="00802C03">
        <w:rPr>
          <w:rFonts w:ascii="Garamond" w:hAnsi="Garamond"/>
          <w:lang w:val="en-GB"/>
        </w:rPr>
        <w:t xml:space="preserve">Altman, E. I. &amp; Kao, D. (1992b). Rating Drift in High Yield Bonds. </w:t>
      </w:r>
      <w:r w:rsidRPr="00802C03">
        <w:rPr>
          <w:rFonts w:ascii="Garamond" w:hAnsi="Garamond"/>
          <w:i/>
          <w:lang w:val="en-GB"/>
        </w:rPr>
        <w:t>Journal of Fixed Income</w:t>
      </w:r>
      <w:r w:rsidRPr="00802C03">
        <w:rPr>
          <w:rFonts w:ascii="Garamond" w:hAnsi="Garamond"/>
          <w:lang w:val="en-GB"/>
        </w:rPr>
        <w:t>, 15-20.</w:t>
      </w:r>
    </w:p>
    <w:p w:rsidR="001C7C52" w:rsidRPr="00802C03" w:rsidRDefault="001C7C52" w:rsidP="001F0514">
      <w:pPr>
        <w:spacing w:after="60" w:line="280" w:lineRule="exact"/>
        <w:ind w:left="539" w:hanging="539"/>
        <w:jc w:val="both"/>
        <w:rPr>
          <w:rFonts w:ascii="Garamond" w:hAnsi="Garamond"/>
          <w:lang w:val="en-GB"/>
        </w:rPr>
      </w:pPr>
      <w:bookmarkStart w:id="121" w:name="Altman_et_al_2003"/>
      <w:bookmarkEnd w:id="121"/>
      <w:r w:rsidRPr="00802C03">
        <w:rPr>
          <w:rFonts w:ascii="Garamond" w:hAnsi="Garamond"/>
          <w:lang w:val="en-GB"/>
        </w:rPr>
        <w:t>Altman, E. I., Brady, B., Resti, A. &amp; Sironi, A. (200</w:t>
      </w:r>
      <w:r w:rsidRPr="00802C03">
        <w:rPr>
          <w:rFonts w:ascii="Garamond" w:hAnsi="Garamond"/>
          <w:bCs/>
          <w:lang w:val="en-GB"/>
        </w:rPr>
        <w:t xml:space="preserve">3). </w:t>
      </w:r>
      <w:r w:rsidRPr="00802C03">
        <w:rPr>
          <w:rFonts w:ascii="Garamond" w:hAnsi="Garamond"/>
          <w:lang w:val="en-GB"/>
        </w:rPr>
        <w:t>The Link between Default and Recovery Rates: Theory, Empirical Evidence and Implications. NYU Salomon Center Working Paper Series, No. S-03-4.</w:t>
      </w:r>
      <w:r w:rsidRPr="00802C03">
        <w:rPr>
          <w:rFonts w:ascii="Garamond" w:hAnsi="Garamond"/>
          <w:i/>
          <w:lang w:val="en-GB"/>
        </w:rPr>
        <w:t xml:space="preserve"> </w:t>
      </w:r>
      <w:r w:rsidRPr="00802C03">
        <w:rPr>
          <w:rFonts w:ascii="Garamond" w:hAnsi="Garamond"/>
          <w:i/>
          <w:iCs/>
          <w:lang w:val="en-GB"/>
        </w:rPr>
        <w:t>Journal of Business</w:t>
      </w:r>
      <w:r w:rsidRPr="00802C03">
        <w:rPr>
          <w:rFonts w:ascii="Garamond" w:hAnsi="Garamond"/>
          <w:lang w:val="en-GB"/>
        </w:rPr>
        <w:t xml:space="preserve">, November 2005, </w:t>
      </w:r>
      <w:r w:rsidRPr="00802C03">
        <w:rPr>
          <w:rFonts w:ascii="Garamond" w:hAnsi="Garamond"/>
          <w:i/>
          <w:lang w:val="en-GB"/>
        </w:rPr>
        <w:t>78</w:t>
      </w:r>
      <w:r w:rsidRPr="00802C03">
        <w:rPr>
          <w:rFonts w:ascii="Garamond" w:hAnsi="Garamond"/>
          <w:lang w:val="en-GB"/>
        </w:rPr>
        <w:t xml:space="preserve">, 2203-2227. </w:t>
      </w:r>
    </w:p>
    <w:p w:rsidR="001C7C52" w:rsidRPr="00802C03" w:rsidRDefault="001C7C52" w:rsidP="001F0514">
      <w:pPr>
        <w:spacing w:after="60" w:line="280" w:lineRule="exact"/>
        <w:ind w:left="540" w:hanging="540"/>
        <w:jc w:val="both"/>
        <w:rPr>
          <w:rFonts w:ascii="Garamond" w:hAnsi="Garamond"/>
          <w:lang w:val="en-GB"/>
        </w:rPr>
      </w:pPr>
      <w:bookmarkStart w:id="122" w:name="Ane_Kharoubi_2003"/>
      <w:bookmarkEnd w:id="122"/>
      <w:r w:rsidRPr="00802C03">
        <w:rPr>
          <w:rFonts w:ascii="Garamond" w:hAnsi="Garamond"/>
          <w:lang w:val="en-GB"/>
        </w:rPr>
        <w:t xml:space="preserve">Ané, T. &amp; Kharoubi, C. (2003). Dependence Structure and Risk Measure. </w:t>
      </w:r>
      <w:r w:rsidRPr="00802C03">
        <w:rPr>
          <w:rFonts w:ascii="Garamond" w:hAnsi="Garamond"/>
          <w:i/>
          <w:lang w:val="en-GB"/>
        </w:rPr>
        <w:t>Journal of Business</w:t>
      </w:r>
      <w:r w:rsidRPr="00802C03">
        <w:rPr>
          <w:rFonts w:ascii="Garamond" w:hAnsi="Garamond"/>
          <w:lang w:val="en-GB"/>
        </w:rPr>
        <w:t xml:space="preserve">, </w:t>
      </w:r>
      <w:r w:rsidRPr="00802C03">
        <w:rPr>
          <w:rFonts w:ascii="Garamond" w:hAnsi="Garamond"/>
          <w:i/>
          <w:lang w:val="en-GB"/>
        </w:rPr>
        <w:t>76</w:t>
      </w:r>
      <w:r w:rsidRPr="00802C03">
        <w:rPr>
          <w:rFonts w:ascii="Garamond" w:hAnsi="Garamond"/>
          <w:lang w:val="en-GB"/>
        </w:rPr>
        <w:t>, 411-438.</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23" w:name="Bangia_et_al_2002"/>
      <w:bookmarkEnd w:id="123"/>
      <w:r w:rsidRPr="00802C03">
        <w:rPr>
          <w:rFonts w:ascii="Garamond" w:hAnsi="Garamond"/>
          <w:lang w:val="en-GB"/>
        </w:rPr>
        <w:t xml:space="preserve">Bangia, A., Diebold, F., Kronimus, A., Schagen, A. &amp; Schuermann, T. (2002). Rating Migration and the Business Cycle, with Application to Credit Portfolio Stress Testing. </w:t>
      </w:r>
      <w:r w:rsidRPr="00802C03">
        <w:rPr>
          <w:rFonts w:ascii="Garamond" w:hAnsi="Garamond"/>
          <w:i/>
          <w:lang w:val="en-GB"/>
        </w:rPr>
        <w:t>Journal of Banking and Finance</w:t>
      </w:r>
      <w:r w:rsidRPr="00802C03">
        <w:rPr>
          <w:rFonts w:ascii="Garamond" w:hAnsi="Garamond"/>
          <w:lang w:val="en-GB"/>
        </w:rPr>
        <w:t xml:space="preserve">, </w:t>
      </w:r>
      <w:r w:rsidRPr="00802C03">
        <w:rPr>
          <w:rFonts w:ascii="Garamond" w:hAnsi="Garamond"/>
          <w:i/>
          <w:lang w:val="en-GB"/>
        </w:rPr>
        <w:t>26</w:t>
      </w:r>
      <w:r w:rsidRPr="00802C03">
        <w:rPr>
          <w:rFonts w:ascii="Garamond" w:hAnsi="Garamond"/>
          <w:lang w:val="en-GB"/>
        </w:rPr>
        <w:t>, 445-474.</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24" w:name="BCBS_2003"/>
      <w:bookmarkEnd w:id="124"/>
      <w:r w:rsidRPr="00802C03">
        <w:rPr>
          <w:rFonts w:ascii="Garamond" w:hAnsi="Garamond" w:cs="NimbusRomNo9L-Regu"/>
          <w:lang w:val="en-GB" w:eastAsia="nl-NL"/>
        </w:rPr>
        <w:t>Basel Committee on Banking Supervision (2003). Quantitative Impact Study 3 - Overview of Global Results. Bank for International Settlements, May.</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25" w:name="BCBS_2006"/>
      <w:bookmarkEnd w:id="125"/>
      <w:r w:rsidRPr="00802C03">
        <w:rPr>
          <w:rFonts w:ascii="Garamond" w:hAnsi="Garamond" w:cs="NimbusRomNo9L-Regu"/>
          <w:lang w:val="en-GB" w:eastAsia="nl-NL"/>
        </w:rPr>
        <w:t>Basel Committee on Banking Supervision (2006). International Convergence of Capital Measurement and Capital Standards: A Revised Framework, Comprehensive Version. Bank for International Settlements, June.</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26" w:name="BCBS_2007"/>
      <w:bookmarkEnd w:id="126"/>
      <w:r w:rsidRPr="00802C03">
        <w:rPr>
          <w:rFonts w:ascii="Garamond" w:hAnsi="Garamond" w:cs="NimbusRomNo9L-Regu"/>
          <w:lang w:val="en-GB" w:eastAsia="nl-NL"/>
        </w:rPr>
        <w:t>Basel Committee on Banking Supervision (2007). Guidelines for Computing Capital for Incremental Default Risk in the Trading Book: Consultative Document. Bank for International Settlements, October</w:t>
      </w:r>
      <w:r w:rsidRPr="00802C03">
        <w:rPr>
          <w:rFonts w:ascii="Garamond" w:hAnsi="Garamond" w:cs="NimbusRomNo9L-Regu"/>
          <w:i/>
          <w:lang w:val="en-GB" w:eastAsia="nl-NL"/>
        </w:rPr>
        <w:t>.</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27" w:name="BCBS_2008a"/>
      <w:bookmarkEnd w:id="127"/>
      <w:r w:rsidRPr="00802C03">
        <w:rPr>
          <w:rFonts w:ascii="Garamond" w:hAnsi="Garamond" w:cs="NimbusRomNo9L-Regu"/>
          <w:lang w:val="en-GB" w:eastAsia="nl-NL"/>
        </w:rPr>
        <w:t>Basel Committee on Banking Supervision (2008a). Guidelines for Computing Capital for Incremental Risk in the Trading Book: Consultative Document. Bank for International Settlements, July.</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28" w:name="BCBS_2008b"/>
      <w:bookmarkEnd w:id="128"/>
      <w:r w:rsidRPr="00802C03">
        <w:rPr>
          <w:rFonts w:ascii="Garamond" w:hAnsi="Garamond" w:cs="NimbusRomNo9L-Regu"/>
          <w:lang w:val="en-GB" w:eastAsia="nl-NL"/>
        </w:rPr>
        <w:t>Basel Committee on Banking Supervision (2008b). Principles for Sound Liquidity Risk Management and Supervision. Bank for International Settlements, September.</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29" w:name="BCBS_2009a"/>
      <w:bookmarkEnd w:id="129"/>
      <w:r w:rsidRPr="00802C03">
        <w:rPr>
          <w:rFonts w:ascii="Garamond" w:hAnsi="Garamond" w:cs="NimbusRomNo9L-Regu"/>
          <w:lang w:val="en-GB" w:eastAsia="nl-NL"/>
        </w:rPr>
        <w:t>Basel Committee on Banking Supervision (2009a). Guidelines for Computing Capital for Incremental Risk in the Trading Book: Consultative Document. Bank for International Settlements, January.</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30" w:name="BCBS_2009b"/>
      <w:bookmarkEnd w:id="130"/>
      <w:r w:rsidRPr="00802C03">
        <w:rPr>
          <w:rFonts w:ascii="Garamond" w:hAnsi="Garamond" w:cs="NimbusRomNo9L-Regu"/>
          <w:lang w:val="en-GB" w:eastAsia="nl-NL"/>
        </w:rPr>
        <w:t>Basel Committee on Banking Supervision (2009b). Revisions to the Basel II Market Risk Framework: Consultative Document. Bank for International Settlements, January.</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31" w:name="BCBS_2009c"/>
      <w:bookmarkEnd w:id="131"/>
      <w:r w:rsidRPr="00802C03">
        <w:rPr>
          <w:rFonts w:ascii="Garamond" w:hAnsi="Garamond" w:cs="NimbusRomNo9L-Regu"/>
          <w:lang w:val="en-GB" w:eastAsia="nl-NL"/>
        </w:rPr>
        <w:t>Basel Committee on Banking Supervision (2009c). Proposed Enhancements to the Basel II Framework: Consultative Document. Bank for International Settlements, January.</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32" w:name="BCBS_2009d"/>
      <w:bookmarkEnd w:id="132"/>
      <w:r w:rsidRPr="00802C03">
        <w:rPr>
          <w:rFonts w:ascii="Garamond" w:hAnsi="Garamond" w:cs="NimbusRomNo9L-Regu"/>
          <w:lang w:val="en-GB" w:eastAsia="nl-NL"/>
        </w:rPr>
        <w:t>Basel Committee on Banking Supervision (2009d). Guidelines for Computing Capital for Incremental Risk in the Trading Book. Bank for International Settlements, July.</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33" w:name="Blattberg_Gonedes_1974"/>
      <w:bookmarkEnd w:id="133"/>
      <w:r w:rsidRPr="00802C03">
        <w:rPr>
          <w:rFonts w:ascii="Garamond" w:hAnsi="Garamond" w:cs="NimbusRomNo9L-Regu"/>
          <w:lang w:val="en-GB" w:eastAsia="nl-NL"/>
        </w:rPr>
        <w:t xml:space="preserve">Blattberg, R. &amp; Gonedes, N. (1974). A Comparison of Stable and Student Distributions as Statistical Models for Stock Prices. </w:t>
      </w:r>
      <w:r w:rsidRPr="00802C03">
        <w:rPr>
          <w:rFonts w:ascii="Garamond" w:hAnsi="Garamond" w:cs="NimbusRomNo9L-Regu"/>
          <w:i/>
          <w:lang w:val="en-GB" w:eastAsia="nl-NL"/>
        </w:rPr>
        <w:t>Journal of Business</w:t>
      </w:r>
      <w:r w:rsidRPr="00802C03">
        <w:rPr>
          <w:rFonts w:ascii="Garamond" w:hAnsi="Garamond" w:cs="NimbusRomNo9L-Regu"/>
          <w:lang w:val="en-GB" w:eastAsia="nl-NL"/>
        </w:rPr>
        <w:t xml:space="preserve">, </w:t>
      </w:r>
      <w:r w:rsidRPr="00802C03">
        <w:rPr>
          <w:rFonts w:ascii="Garamond" w:hAnsi="Garamond" w:cs="NimbusRomNo9L-Regu"/>
          <w:i/>
          <w:lang w:val="en-GB" w:eastAsia="nl-NL"/>
        </w:rPr>
        <w:t>47</w:t>
      </w:r>
      <w:r w:rsidRPr="00802C03">
        <w:rPr>
          <w:rFonts w:ascii="Garamond" w:hAnsi="Garamond" w:cs="NimbusRomNo9L-Regu"/>
          <w:lang w:val="en-GB" w:eastAsia="nl-NL"/>
        </w:rPr>
        <w:t>, 244-280.</w:t>
      </w:r>
    </w:p>
    <w:p w:rsidR="001C7C52" w:rsidRPr="00802C03" w:rsidRDefault="001C7C52" w:rsidP="001F0514">
      <w:pPr>
        <w:spacing w:after="60" w:line="280" w:lineRule="exact"/>
        <w:ind w:left="540" w:hanging="540"/>
        <w:jc w:val="both"/>
        <w:rPr>
          <w:rFonts w:ascii="Garamond" w:hAnsi="Garamond" w:cs="BBDPFK+TimesNewRoman"/>
          <w:lang w:val="en-GB"/>
        </w:rPr>
      </w:pPr>
      <w:bookmarkStart w:id="134" w:name="Blume_et_al_1998"/>
      <w:bookmarkEnd w:id="134"/>
      <w:r w:rsidRPr="00802C03">
        <w:rPr>
          <w:rFonts w:ascii="Garamond" w:hAnsi="Garamond" w:cs="NimbusRomNo9L-Regu"/>
          <w:lang w:val="en-GB" w:eastAsia="nl-NL"/>
        </w:rPr>
        <w:t xml:space="preserve">Blume, M., Lim, F. &amp; MacKinley, A. (1998). The Declining Credit Quality of US Corporate Debt: Myth or Reality? </w:t>
      </w:r>
      <w:r w:rsidRPr="00802C03">
        <w:rPr>
          <w:rFonts w:ascii="Garamond" w:hAnsi="Garamond" w:cs="NimbusRomNo9L-Regu"/>
          <w:i/>
          <w:lang w:val="en-GB" w:eastAsia="nl-NL"/>
        </w:rPr>
        <w:t>Journal of Finance</w:t>
      </w:r>
      <w:r w:rsidRPr="00802C03">
        <w:rPr>
          <w:rFonts w:ascii="Garamond" w:hAnsi="Garamond" w:cs="NimbusRomNo9L-Regu"/>
          <w:lang w:val="en-GB" w:eastAsia="nl-NL"/>
        </w:rPr>
        <w:t xml:space="preserve">, </w:t>
      </w:r>
      <w:r w:rsidRPr="00802C03">
        <w:rPr>
          <w:rFonts w:ascii="Garamond" w:hAnsi="Garamond" w:cs="NimbusRomNo9L-Regu"/>
          <w:i/>
          <w:lang w:val="en-GB" w:eastAsia="nl-NL"/>
        </w:rPr>
        <w:t>53</w:t>
      </w:r>
      <w:r w:rsidRPr="00802C03">
        <w:rPr>
          <w:rFonts w:ascii="Garamond" w:hAnsi="Garamond" w:cs="NimbusRomNo9L-Regu"/>
          <w:lang w:val="en-GB" w:eastAsia="nl-NL"/>
        </w:rPr>
        <w:t>, 1389-1413.</w:t>
      </w:r>
    </w:p>
    <w:p w:rsidR="001C7C52" w:rsidRPr="00802C03" w:rsidRDefault="001C7C52" w:rsidP="001F0514">
      <w:pPr>
        <w:spacing w:after="60" w:line="280" w:lineRule="exact"/>
        <w:ind w:left="540" w:hanging="540"/>
        <w:jc w:val="both"/>
        <w:rPr>
          <w:rFonts w:ascii="Garamond" w:hAnsi="Garamond"/>
          <w:lang w:val="en-GB"/>
        </w:rPr>
      </w:pPr>
      <w:bookmarkStart w:id="135" w:name="Bohn_Crosbie_2003"/>
      <w:bookmarkEnd w:id="135"/>
      <w:r w:rsidRPr="00802C03">
        <w:rPr>
          <w:rFonts w:ascii="Garamond" w:hAnsi="Garamond" w:cs="BBDPFK+TimesNewRoman"/>
          <w:lang w:val="en-GB"/>
        </w:rPr>
        <w:t>Bohn, J. R. &amp; Crosbie, P. (2003). Modeling Default Risk. KMV Corporation, San Francisco.</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36" w:name="Breuer_et_al_2008"/>
      <w:bookmarkEnd w:id="136"/>
      <w:r w:rsidRPr="00802C03">
        <w:rPr>
          <w:rFonts w:ascii="Garamond" w:hAnsi="Garamond" w:cs="NimbusRomNo9L-Regu"/>
          <w:lang w:val="en-GB" w:eastAsia="nl-NL"/>
        </w:rPr>
        <w:t>Breuer, T., Jandačka, M., Rheinberger, K. &amp; Summer, M. (2008). Regulatory Capital for Market and Credit Risk Interaction: Is the Current Regulation Always Conservative? Deutsche Bundesbank Discussion Paper Series 2, No. 14.</w:t>
      </w:r>
    </w:p>
    <w:p w:rsidR="001C7C52" w:rsidRPr="00802C03" w:rsidRDefault="001C7C52" w:rsidP="001F0514">
      <w:pPr>
        <w:spacing w:after="60" w:line="280" w:lineRule="exact"/>
        <w:ind w:left="540" w:hanging="540"/>
        <w:jc w:val="both"/>
        <w:rPr>
          <w:rFonts w:ascii="Garamond" w:hAnsi="Garamond"/>
          <w:lang w:val="en-GB"/>
        </w:rPr>
      </w:pPr>
      <w:bookmarkStart w:id="137" w:name="Carty_1997"/>
      <w:bookmarkEnd w:id="137"/>
      <w:r w:rsidRPr="00802C03">
        <w:rPr>
          <w:rFonts w:ascii="Garamond" w:hAnsi="Garamond"/>
          <w:lang w:val="en-GB"/>
        </w:rPr>
        <w:t>Carty, L. (1997). Moody’s Rating Migration and Credit Quality Correlation, 1920-1996 (Special Comment). Moody’s Investors Service, New York.</w:t>
      </w:r>
    </w:p>
    <w:p w:rsidR="001C7C52" w:rsidRPr="00802C03" w:rsidRDefault="001C7C52" w:rsidP="001F0514">
      <w:pPr>
        <w:spacing w:after="60" w:line="280" w:lineRule="exact"/>
        <w:ind w:left="540" w:hanging="540"/>
        <w:jc w:val="both"/>
        <w:rPr>
          <w:rFonts w:ascii="Garamond" w:hAnsi="Garamond" w:cs="AdvTT5235d5a9"/>
          <w:lang w:val="en-GB" w:eastAsia="nl-NL"/>
        </w:rPr>
      </w:pPr>
      <w:bookmarkStart w:id="138" w:name="Cappiello_et_al_2006"/>
      <w:bookmarkEnd w:id="138"/>
      <w:r w:rsidRPr="00802C03">
        <w:rPr>
          <w:rFonts w:ascii="Garamond" w:hAnsi="Garamond" w:cs="AdvTT5235d5a9"/>
          <w:color w:val="231F20"/>
          <w:lang w:val="en-GB" w:eastAsia="nl-NL"/>
        </w:rPr>
        <w:t xml:space="preserve">Cappiello, L., Engle, R. F. &amp; Sheppard, K. (2006). </w:t>
      </w:r>
      <w:r w:rsidRPr="00802C03">
        <w:rPr>
          <w:rFonts w:ascii="Garamond" w:hAnsi="Garamond" w:cs="Tahoma"/>
          <w:bCs/>
          <w:lang w:val="en-GB"/>
        </w:rPr>
        <w:t xml:space="preserve">Asymmetric Dynamics in the Correlations of Global Equity and Bond Returns. </w:t>
      </w:r>
      <w:r w:rsidRPr="00802C03">
        <w:rPr>
          <w:rFonts w:ascii="Garamond" w:hAnsi="Garamond" w:cs="Tahoma"/>
          <w:bCs/>
          <w:i/>
          <w:lang w:val="en-GB"/>
        </w:rPr>
        <w:t>Journal of Financial Econometrics</w:t>
      </w:r>
      <w:r w:rsidRPr="00802C03">
        <w:rPr>
          <w:rFonts w:ascii="Garamond" w:hAnsi="Garamond" w:cs="Tahoma"/>
          <w:bCs/>
          <w:lang w:val="en-GB"/>
        </w:rPr>
        <w:t xml:space="preserve">, </w:t>
      </w:r>
      <w:r w:rsidRPr="00802C03">
        <w:rPr>
          <w:rFonts w:ascii="Garamond" w:hAnsi="Garamond" w:cs="Tahoma"/>
          <w:bCs/>
          <w:i/>
          <w:lang w:val="en-GB"/>
        </w:rPr>
        <w:t>4</w:t>
      </w:r>
      <w:r w:rsidRPr="00802C03">
        <w:rPr>
          <w:rFonts w:ascii="Garamond" w:hAnsi="Garamond" w:cs="Tahoma"/>
          <w:bCs/>
          <w:lang w:val="en-GB"/>
        </w:rPr>
        <w:t>, 537-572.</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39" w:name="Charnley_2009"/>
      <w:bookmarkEnd w:id="139"/>
      <w:r w:rsidRPr="00802C03">
        <w:rPr>
          <w:rFonts w:ascii="Garamond" w:hAnsi="Garamond" w:cs="AdvTT5235d5a9"/>
          <w:color w:val="231F20"/>
          <w:lang w:val="en-GB" w:eastAsia="nl-NL"/>
        </w:rPr>
        <w:t>Charnley, R. (2009). Comments to ‘Revisions to the Market Risk Framework’ and ‘Guidelines for Computing Capital for Incremental Risk in the Trading Book’ - Goldman Sachs Group, Inc. www.BIS.org, March.</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40" w:name="Chava_Jarrow_2004"/>
      <w:bookmarkEnd w:id="140"/>
      <w:r w:rsidRPr="00802C03">
        <w:rPr>
          <w:rFonts w:ascii="Garamond" w:hAnsi="Garamond" w:cs="AdvTT5235d5a9"/>
          <w:color w:val="231F20"/>
          <w:lang w:val="en-GB" w:eastAsia="nl-NL"/>
        </w:rPr>
        <w:t xml:space="preserve">Chava, S. &amp; Jarrow, R. A. (2004). Bankruptcy Prediction with Industry Effect. </w:t>
      </w:r>
      <w:r w:rsidRPr="00802C03">
        <w:rPr>
          <w:rFonts w:ascii="Garamond" w:hAnsi="Garamond" w:cs="AdvTT5235d5a9"/>
          <w:i/>
          <w:color w:val="231F20"/>
          <w:lang w:val="en-GB" w:eastAsia="nl-NL"/>
        </w:rPr>
        <w:t>Review of Finance</w:t>
      </w:r>
      <w:r w:rsidRPr="00802C03">
        <w:rPr>
          <w:rFonts w:ascii="Garamond" w:hAnsi="Garamond" w:cs="AdvTT5235d5a9"/>
          <w:color w:val="231F20"/>
          <w:lang w:val="en-GB" w:eastAsia="nl-NL"/>
        </w:rPr>
        <w:t xml:space="preserve">, </w:t>
      </w:r>
      <w:r w:rsidRPr="00802C03">
        <w:rPr>
          <w:rFonts w:ascii="Garamond" w:hAnsi="Garamond" w:cs="AdvTT5235d5a9"/>
          <w:i/>
          <w:color w:val="231F20"/>
          <w:lang w:val="en-GB" w:eastAsia="nl-NL"/>
        </w:rPr>
        <w:t>8</w:t>
      </w:r>
      <w:r w:rsidRPr="00802C03">
        <w:rPr>
          <w:rFonts w:ascii="Garamond" w:hAnsi="Garamond" w:cs="AdvTT5235d5a9"/>
          <w:color w:val="231F20"/>
          <w:lang w:val="en-GB" w:eastAsia="nl-NL"/>
        </w:rPr>
        <w:t>, 537-569.</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41" w:name="Chen_et_al_2007"/>
      <w:bookmarkEnd w:id="141"/>
      <w:r w:rsidRPr="00802C03">
        <w:rPr>
          <w:rFonts w:ascii="Garamond" w:hAnsi="Garamond" w:cs="AdvTT5235d5a9"/>
          <w:color w:val="231F20"/>
          <w:lang w:val="en-GB" w:eastAsia="nl-NL"/>
        </w:rPr>
        <w:t xml:space="preserve">Chen, L., Lesmond, D. A. &amp; Wei, J. (2007). Corporate Yield Spreads and Bond Liquidity. </w:t>
      </w:r>
      <w:r w:rsidRPr="00802C03">
        <w:rPr>
          <w:rFonts w:ascii="Garamond" w:hAnsi="Garamond" w:cs="AdvTT5235d5a9"/>
          <w:i/>
          <w:color w:val="231F20"/>
          <w:lang w:val="en-GB" w:eastAsia="nl-NL"/>
        </w:rPr>
        <w:t>Journal of Finance</w:t>
      </w:r>
      <w:r w:rsidRPr="00802C03">
        <w:rPr>
          <w:rFonts w:ascii="Garamond" w:hAnsi="Garamond" w:cs="AdvTT5235d5a9"/>
          <w:color w:val="231F20"/>
          <w:lang w:val="en-GB" w:eastAsia="nl-NL"/>
        </w:rPr>
        <w:t xml:space="preserve">, </w:t>
      </w:r>
      <w:r w:rsidRPr="00802C03">
        <w:rPr>
          <w:rFonts w:ascii="Garamond" w:hAnsi="Garamond" w:cs="AdvTT5235d5a9"/>
          <w:i/>
          <w:color w:val="231F20"/>
          <w:lang w:val="en-GB" w:eastAsia="nl-NL"/>
        </w:rPr>
        <w:t>62</w:t>
      </w:r>
      <w:r w:rsidRPr="00802C03">
        <w:rPr>
          <w:rFonts w:ascii="Garamond" w:hAnsi="Garamond" w:cs="AdvTT5235d5a9"/>
          <w:color w:val="231F20"/>
          <w:lang w:val="en-GB" w:eastAsia="nl-NL"/>
        </w:rPr>
        <w:t>, 119-149.</w:t>
      </w:r>
    </w:p>
    <w:p w:rsidR="001C7C52" w:rsidRPr="00802C03" w:rsidRDefault="001C7C52" w:rsidP="001F0514">
      <w:pPr>
        <w:spacing w:after="60" w:line="280" w:lineRule="exact"/>
        <w:ind w:left="540" w:hanging="540"/>
        <w:jc w:val="both"/>
        <w:rPr>
          <w:rFonts w:ascii="Garamond" w:hAnsi="Garamond"/>
          <w:lang w:val="en-GB"/>
        </w:rPr>
      </w:pPr>
      <w:bookmarkStart w:id="142" w:name="Christensen_et_al_2004"/>
      <w:bookmarkEnd w:id="142"/>
      <w:r w:rsidRPr="00802C03">
        <w:rPr>
          <w:rFonts w:ascii="Garamond" w:hAnsi="Garamond" w:cs="AdvTT5235d5a9"/>
          <w:color w:val="231F20"/>
          <w:lang w:val="en-GB" w:eastAsia="nl-NL"/>
        </w:rPr>
        <w:t>Christensen, J. H. E., Hansen, E. &amp; Lando, D. (2004). Con</w:t>
      </w:r>
      <w:r w:rsidRPr="00802C03">
        <w:rPr>
          <w:rFonts w:ascii="Garamond" w:hAnsi="Garamond" w:cs="AdvTT5235d5a9+fb"/>
          <w:color w:val="231F20"/>
          <w:lang w:val="en-GB" w:eastAsia="nl-NL"/>
        </w:rPr>
        <w:t>fi</w:t>
      </w:r>
      <w:r w:rsidRPr="00802C03">
        <w:rPr>
          <w:rFonts w:ascii="Garamond" w:hAnsi="Garamond" w:cs="AdvTT5235d5a9"/>
          <w:color w:val="231F20"/>
          <w:lang w:val="en-GB" w:eastAsia="nl-NL"/>
        </w:rPr>
        <w:t xml:space="preserve">dence Sets for Continuous Time Rating Transition Probabilities. </w:t>
      </w:r>
      <w:r w:rsidRPr="00802C03">
        <w:rPr>
          <w:rFonts w:ascii="Garamond" w:hAnsi="Garamond" w:cs="AdvTT5235d5a9"/>
          <w:i/>
          <w:color w:val="231F20"/>
          <w:lang w:val="en-GB" w:eastAsia="nl-NL"/>
        </w:rPr>
        <w:t>Journal of Banking and Finance</w:t>
      </w:r>
      <w:r w:rsidRPr="00802C03">
        <w:rPr>
          <w:rFonts w:ascii="Garamond" w:hAnsi="Garamond" w:cs="AdvTT5235d5a9"/>
          <w:color w:val="231F20"/>
          <w:lang w:val="en-GB" w:eastAsia="nl-NL"/>
        </w:rPr>
        <w:t>,</w:t>
      </w:r>
      <w:r w:rsidRPr="00802C03">
        <w:rPr>
          <w:rFonts w:ascii="Garamond" w:hAnsi="Garamond" w:cs="AdvTT5235d5a9"/>
          <w:i/>
          <w:color w:val="231F20"/>
          <w:lang w:val="en-GB" w:eastAsia="nl-NL"/>
        </w:rPr>
        <w:t xml:space="preserve"> 28</w:t>
      </w:r>
      <w:r w:rsidRPr="00802C03">
        <w:rPr>
          <w:rFonts w:ascii="Garamond" w:hAnsi="Garamond" w:cs="AdvTT5235d5a9"/>
          <w:color w:val="231F20"/>
          <w:lang w:val="en-GB" w:eastAsia="nl-NL"/>
        </w:rPr>
        <w:t>, 2575</w:t>
      </w:r>
      <w:r w:rsidRPr="00802C03">
        <w:rPr>
          <w:rFonts w:ascii="Garamond" w:hAnsi="Garamond" w:cs="AdvTT5235d5a9+20"/>
          <w:color w:val="231F20"/>
          <w:lang w:val="en-GB" w:eastAsia="nl-NL"/>
        </w:rPr>
        <w:t>-</w:t>
      </w:r>
      <w:r w:rsidRPr="00802C03">
        <w:rPr>
          <w:rFonts w:ascii="Garamond" w:hAnsi="Garamond" w:cs="AdvTT5235d5a9"/>
          <w:color w:val="231F20"/>
          <w:lang w:val="en-GB" w:eastAsia="nl-NL"/>
        </w:rPr>
        <w:t>2602.</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43" w:name="Cont_2001"/>
      <w:bookmarkEnd w:id="143"/>
      <w:r w:rsidRPr="00802C03">
        <w:rPr>
          <w:rFonts w:ascii="Garamond" w:hAnsi="Garamond" w:cs="NimbusRomNo9L-Regu"/>
          <w:lang w:val="en-GB" w:eastAsia="nl-NL"/>
        </w:rPr>
        <w:t xml:space="preserve">Cont, R. (2001). Empirical Properties of Asset Returns: Stylized Facts and Statistical Issues. </w:t>
      </w:r>
      <w:r w:rsidRPr="00802C03">
        <w:rPr>
          <w:rFonts w:ascii="Garamond" w:hAnsi="Garamond" w:cs="NimbusRomNo9L-Regu"/>
          <w:i/>
          <w:lang w:val="en-GB" w:eastAsia="nl-NL"/>
        </w:rPr>
        <w:t>Quantitative Finance</w:t>
      </w:r>
      <w:r w:rsidRPr="00802C03">
        <w:rPr>
          <w:rFonts w:ascii="Garamond" w:hAnsi="Garamond" w:cs="NimbusRomNo9L-Regu"/>
          <w:lang w:val="en-GB" w:eastAsia="nl-NL"/>
        </w:rPr>
        <w:t xml:space="preserve">, </w:t>
      </w:r>
      <w:r w:rsidRPr="00802C03">
        <w:rPr>
          <w:rFonts w:ascii="Garamond" w:hAnsi="Garamond" w:cs="NimbusRomNo9L-Regu"/>
          <w:i/>
          <w:lang w:val="en-GB" w:eastAsia="nl-NL"/>
        </w:rPr>
        <w:t>1</w:t>
      </w:r>
      <w:r w:rsidRPr="00802C03">
        <w:rPr>
          <w:rFonts w:ascii="Garamond" w:hAnsi="Garamond" w:cs="NimbusRomNo9L-Regu"/>
          <w:lang w:val="en-GB" w:eastAsia="nl-NL"/>
        </w:rPr>
        <w:t>, 223-236.</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44" w:name="Crouhy_et_al_2000"/>
      <w:bookmarkEnd w:id="144"/>
      <w:r w:rsidRPr="00802C03">
        <w:rPr>
          <w:rFonts w:ascii="Garamond" w:hAnsi="Garamond" w:cs="NimbusRomNo9L-Regu"/>
          <w:lang w:val="en-GB" w:eastAsia="nl-NL"/>
        </w:rPr>
        <w:t xml:space="preserve">Crouhy, M., Galai, D. &amp; Mark, R. (2000). A Comparative Analysis of Current Credit Risk Models. </w:t>
      </w:r>
      <w:r w:rsidRPr="00802C03">
        <w:rPr>
          <w:rFonts w:ascii="Garamond" w:hAnsi="Garamond" w:cs="NimbusRomNo9L-Regu"/>
          <w:i/>
          <w:lang w:val="en-GB" w:eastAsia="nl-NL"/>
        </w:rPr>
        <w:t>Journal of Banking and Finance</w:t>
      </w:r>
      <w:r w:rsidRPr="00802C03">
        <w:rPr>
          <w:rFonts w:ascii="Garamond" w:hAnsi="Garamond" w:cs="NimbusRomNo9L-Regu"/>
          <w:lang w:val="en-GB" w:eastAsia="nl-NL"/>
        </w:rPr>
        <w:t xml:space="preserve">, </w:t>
      </w:r>
      <w:r w:rsidRPr="00802C03">
        <w:rPr>
          <w:rFonts w:ascii="Garamond" w:hAnsi="Garamond" w:cs="NimbusRomNo9L-Regu"/>
          <w:i/>
          <w:lang w:val="en-GB" w:eastAsia="nl-NL"/>
        </w:rPr>
        <w:t>24</w:t>
      </w:r>
      <w:r w:rsidRPr="00802C03">
        <w:rPr>
          <w:rFonts w:ascii="Garamond" w:hAnsi="Garamond" w:cs="NimbusRomNo9L-Regu"/>
          <w:lang w:val="en-GB" w:eastAsia="nl-NL"/>
        </w:rPr>
        <w:t>, 59-117.</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45" w:name="Duffie_Ziegler_2003"/>
      <w:bookmarkEnd w:id="145"/>
      <w:r w:rsidRPr="00802C03">
        <w:rPr>
          <w:rFonts w:ascii="Garamond" w:hAnsi="Garamond" w:cs="NimbusRomNo9L-Regu"/>
          <w:lang w:val="en-GB" w:eastAsia="nl-NL"/>
        </w:rPr>
        <w:t xml:space="preserve">Duffie, D. &amp; Ziegler, A. (2003). Liquidation Risk. </w:t>
      </w:r>
      <w:r w:rsidRPr="00802C03">
        <w:rPr>
          <w:rFonts w:ascii="Garamond" w:hAnsi="Garamond" w:cs="NimbusRomNo9L-Regu"/>
          <w:i/>
          <w:lang w:val="en-GB" w:eastAsia="nl-NL"/>
        </w:rPr>
        <w:t>Financial Analysts Journal</w:t>
      </w:r>
      <w:r w:rsidRPr="00802C03">
        <w:rPr>
          <w:rFonts w:ascii="Garamond" w:hAnsi="Garamond" w:cs="NimbusRomNo9L-Regu"/>
          <w:lang w:val="en-GB" w:eastAsia="nl-NL"/>
        </w:rPr>
        <w:t xml:space="preserve">, </w:t>
      </w:r>
      <w:r w:rsidRPr="00802C03">
        <w:rPr>
          <w:rFonts w:ascii="Garamond" w:hAnsi="Garamond" w:cs="NimbusRomNo9L-Regu"/>
          <w:i/>
          <w:lang w:val="en-GB" w:eastAsia="nl-NL"/>
        </w:rPr>
        <w:t>59</w:t>
      </w:r>
      <w:r w:rsidRPr="00802C03">
        <w:rPr>
          <w:rFonts w:ascii="Garamond" w:hAnsi="Garamond" w:cs="NimbusRomNo9L-Regu"/>
          <w:lang w:val="en-GB" w:eastAsia="nl-NL"/>
        </w:rPr>
        <w:t>, 42-51.</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46" w:name="Dullmann_et_al_2008"/>
      <w:bookmarkEnd w:id="146"/>
      <w:r w:rsidRPr="00802C03">
        <w:rPr>
          <w:rFonts w:ascii="Garamond" w:hAnsi="Garamond" w:cs="NimbusRomNo9L-Regu"/>
          <w:lang w:val="en-GB" w:eastAsia="nl-NL"/>
        </w:rPr>
        <w:t>Düllmann, K., Küll, J. &amp; Kunisch, M. (2008). Estimating Asset Correlations from Stock Prices or Default Rates - Which Method is Superior? Deutsche Bundesbank Discussion Paper Series 2, No. 04.</w:t>
      </w:r>
    </w:p>
    <w:p w:rsidR="001C7C52" w:rsidRPr="00802C03" w:rsidRDefault="001C7C52" w:rsidP="001F0514">
      <w:pPr>
        <w:spacing w:after="60" w:line="280" w:lineRule="exact"/>
        <w:ind w:left="540" w:hanging="540"/>
        <w:jc w:val="both"/>
        <w:rPr>
          <w:rFonts w:ascii="Garamond" w:hAnsi="Garamond"/>
          <w:lang w:val="en-GB"/>
        </w:rPr>
      </w:pPr>
      <w:bookmarkStart w:id="147" w:name="Dullmann_et_al_2007"/>
      <w:bookmarkEnd w:id="147"/>
      <w:r w:rsidRPr="00802C03">
        <w:rPr>
          <w:rFonts w:ascii="Garamond" w:hAnsi="Garamond" w:cs="NimbusRomNo9L-Regu"/>
          <w:lang w:val="en-GB" w:eastAsia="nl-NL"/>
        </w:rPr>
        <w:t xml:space="preserve">Düllmann, K., Scheicher, M. &amp; Schmieder, C. (2007). Asset Correlation and Credit Portfolio Risk - An Empirical Analysis. Deutsche Bundesbank Discussion Paper Series 2, No. 13. </w:t>
      </w:r>
    </w:p>
    <w:p w:rsidR="001C7C52" w:rsidRPr="00802C03" w:rsidRDefault="001C7C52" w:rsidP="001F0514">
      <w:pPr>
        <w:spacing w:after="60" w:line="280" w:lineRule="exact"/>
        <w:ind w:left="540" w:hanging="540"/>
        <w:jc w:val="both"/>
        <w:rPr>
          <w:rFonts w:ascii="Garamond" w:hAnsi="Garamond"/>
          <w:lang w:val="en-GB"/>
        </w:rPr>
      </w:pPr>
      <w:bookmarkStart w:id="148" w:name="Dunn_2008"/>
      <w:bookmarkEnd w:id="148"/>
      <w:r w:rsidRPr="00802C03">
        <w:rPr>
          <w:rFonts w:ascii="Garamond" w:hAnsi="Garamond"/>
          <w:lang w:val="en-GB"/>
        </w:rPr>
        <w:t>Dunn, G. (2008). A Multiple Period Gaussian Jump to Default Risk Model. FSA Occasional Paper in Financial Regulation, No. 28.</w:t>
      </w:r>
    </w:p>
    <w:p w:rsidR="001C7C52" w:rsidRPr="00802C03" w:rsidRDefault="001C7C52" w:rsidP="001F0514">
      <w:pPr>
        <w:spacing w:after="60" w:line="280" w:lineRule="exact"/>
        <w:ind w:left="540" w:hanging="540"/>
        <w:jc w:val="both"/>
        <w:rPr>
          <w:rFonts w:ascii="Garamond" w:hAnsi="Garamond"/>
          <w:lang w:val="en-GB"/>
        </w:rPr>
      </w:pPr>
      <w:bookmarkStart w:id="149" w:name="Dunn_et_al_2006"/>
      <w:bookmarkEnd w:id="149"/>
      <w:r w:rsidRPr="00802C03">
        <w:rPr>
          <w:rFonts w:ascii="Garamond" w:hAnsi="Garamond"/>
          <w:lang w:val="en-GB"/>
        </w:rPr>
        <w:t>Dunn, G., Gibson, M., Ikosi, G., Jones, J., Monet, C. &amp; Sullivan, M. (2006). Assessing Alternative Assumptions on Default Risk Capital in the Trading Book. AIGTB Working Paper, published on ISDA/PRMIA websites.</w:t>
      </w:r>
    </w:p>
    <w:p w:rsidR="001C7C52" w:rsidRPr="00802C03" w:rsidRDefault="001C7C52" w:rsidP="001F0514">
      <w:pPr>
        <w:spacing w:after="60" w:line="280" w:lineRule="exact"/>
        <w:ind w:left="540" w:hanging="540"/>
        <w:jc w:val="both"/>
        <w:rPr>
          <w:rFonts w:ascii="Garamond" w:hAnsi="Garamond"/>
          <w:lang w:val="en-GB"/>
        </w:rPr>
      </w:pPr>
      <w:bookmarkStart w:id="150" w:name="Elton_Gruber_1973"/>
      <w:bookmarkEnd w:id="150"/>
      <w:r w:rsidRPr="00802C03">
        <w:rPr>
          <w:rFonts w:ascii="Garamond" w:hAnsi="Garamond"/>
          <w:lang w:val="en-GB"/>
        </w:rPr>
        <w:t xml:space="preserve">Elton, E. J. &amp; Gruber, M. J. (1973). Estimating the Dependence Structure of Share Prices - Implications for Portfolio Selections. </w:t>
      </w:r>
      <w:r w:rsidRPr="00802C03">
        <w:rPr>
          <w:rFonts w:ascii="Garamond" w:hAnsi="Garamond"/>
          <w:i/>
          <w:lang w:val="en-GB"/>
        </w:rPr>
        <w:t>Journal of Finance</w:t>
      </w:r>
      <w:r w:rsidRPr="00802C03">
        <w:rPr>
          <w:rFonts w:ascii="Garamond" w:hAnsi="Garamond"/>
          <w:lang w:val="en-GB"/>
        </w:rPr>
        <w:t xml:space="preserve">, </w:t>
      </w:r>
      <w:r w:rsidRPr="00802C03">
        <w:rPr>
          <w:rFonts w:ascii="Garamond" w:hAnsi="Garamond"/>
          <w:i/>
          <w:lang w:val="en-GB"/>
        </w:rPr>
        <w:t>23</w:t>
      </w:r>
      <w:r w:rsidRPr="00802C03">
        <w:rPr>
          <w:rFonts w:ascii="Garamond" w:hAnsi="Garamond"/>
          <w:lang w:val="en-GB"/>
        </w:rPr>
        <w:t>, 1203-1232.</w:t>
      </w:r>
    </w:p>
    <w:p w:rsidR="001C7C52" w:rsidRPr="00802C03" w:rsidRDefault="001C7C52" w:rsidP="001F0514">
      <w:pPr>
        <w:spacing w:after="60" w:line="280" w:lineRule="exact"/>
        <w:ind w:left="540" w:hanging="540"/>
        <w:jc w:val="both"/>
        <w:rPr>
          <w:rFonts w:ascii="Garamond" w:hAnsi="Garamond"/>
          <w:lang w:val="en-GB"/>
        </w:rPr>
      </w:pPr>
      <w:bookmarkStart w:id="151" w:name="Elton_et_al_1978"/>
      <w:bookmarkEnd w:id="151"/>
      <w:r w:rsidRPr="00802C03">
        <w:rPr>
          <w:rFonts w:ascii="Garamond" w:hAnsi="Garamond"/>
          <w:lang w:val="en-GB"/>
        </w:rPr>
        <w:t xml:space="preserve">Elton, E. J., Gruber, M. J. &amp; Ulrich, T. (1978). Are Betas Best? </w:t>
      </w:r>
      <w:r w:rsidRPr="00802C03">
        <w:rPr>
          <w:rFonts w:ascii="Garamond" w:hAnsi="Garamond"/>
          <w:i/>
          <w:lang w:val="en-GB"/>
        </w:rPr>
        <w:t>Journal of Finance</w:t>
      </w:r>
      <w:r w:rsidRPr="00802C03">
        <w:rPr>
          <w:rFonts w:ascii="Garamond" w:hAnsi="Garamond"/>
          <w:lang w:val="en-GB"/>
        </w:rPr>
        <w:t xml:space="preserve">, </w:t>
      </w:r>
      <w:r w:rsidRPr="00802C03">
        <w:rPr>
          <w:rFonts w:ascii="Garamond" w:hAnsi="Garamond"/>
          <w:i/>
          <w:lang w:val="en-GB"/>
        </w:rPr>
        <w:t>28</w:t>
      </w:r>
      <w:r w:rsidRPr="00802C03">
        <w:rPr>
          <w:rFonts w:ascii="Garamond" w:hAnsi="Garamond"/>
          <w:lang w:val="en-GB"/>
        </w:rPr>
        <w:t>, 1375-1384.</w:t>
      </w:r>
    </w:p>
    <w:p w:rsidR="001C7C52" w:rsidRPr="00802C03" w:rsidRDefault="001C7C52" w:rsidP="001F0514">
      <w:pPr>
        <w:spacing w:after="60" w:line="280" w:lineRule="exact"/>
        <w:ind w:left="540" w:hanging="540"/>
        <w:jc w:val="both"/>
        <w:rPr>
          <w:rFonts w:ascii="Garamond" w:hAnsi="Garamond"/>
          <w:lang w:val="en-GB"/>
        </w:rPr>
      </w:pPr>
      <w:bookmarkStart w:id="152" w:name="Emery_et_al_2009"/>
      <w:bookmarkEnd w:id="152"/>
      <w:r w:rsidRPr="00802C03">
        <w:rPr>
          <w:rFonts w:ascii="Garamond" w:hAnsi="Garamond"/>
          <w:lang w:val="en-GB"/>
        </w:rPr>
        <w:t xml:space="preserve">Emery, K., Ou, S., Tennant, J., Matos, A. &amp; Cantor, R. (2009). </w:t>
      </w:r>
      <w:r w:rsidRPr="00802C03">
        <w:rPr>
          <w:rFonts w:ascii="Garamond" w:hAnsi="Garamond" w:cs="AdvTT5235d5a9"/>
          <w:color w:val="231F20"/>
          <w:lang w:val="en-GB" w:eastAsia="nl-NL"/>
        </w:rPr>
        <w:t>Corporate Default and Recovery Rates, 1920</w:t>
      </w:r>
      <w:r w:rsidRPr="00802C03">
        <w:rPr>
          <w:rFonts w:ascii="Garamond" w:hAnsi="Garamond" w:cs="AdvTT5235d5a9+20"/>
          <w:color w:val="231F20"/>
          <w:lang w:val="en-GB" w:eastAsia="nl-NL"/>
        </w:rPr>
        <w:t>–</w:t>
      </w:r>
      <w:r w:rsidRPr="00802C03">
        <w:rPr>
          <w:rFonts w:ascii="Garamond" w:hAnsi="Garamond" w:cs="AdvTT5235d5a9"/>
          <w:color w:val="231F20"/>
          <w:lang w:val="en-GB" w:eastAsia="nl-NL"/>
        </w:rPr>
        <w:t>2009 (Special Comment). Moody’s Investor Service, New York.</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53" w:name="Ericsson_Renault_2006"/>
      <w:bookmarkEnd w:id="153"/>
      <w:r w:rsidRPr="00802C03">
        <w:rPr>
          <w:rFonts w:ascii="Garamond" w:hAnsi="Garamond" w:cs="AdvTT5235d5a9"/>
          <w:color w:val="231F20"/>
          <w:lang w:val="en-GB" w:eastAsia="nl-NL"/>
        </w:rPr>
        <w:t xml:space="preserve">Ericsson, J. &amp; Renault, O. (2006). Liquidity and Credit Risk. </w:t>
      </w:r>
      <w:r w:rsidRPr="00802C03">
        <w:rPr>
          <w:rFonts w:ascii="Garamond" w:hAnsi="Garamond" w:cs="AdvTT5235d5a9"/>
          <w:i/>
          <w:color w:val="231F20"/>
          <w:lang w:val="en-GB" w:eastAsia="nl-NL"/>
        </w:rPr>
        <w:t>Journal of Finance</w:t>
      </w:r>
      <w:r w:rsidRPr="00802C03">
        <w:rPr>
          <w:rFonts w:ascii="Garamond" w:hAnsi="Garamond" w:cs="AdvTT5235d5a9"/>
          <w:color w:val="231F20"/>
          <w:lang w:val="en-GB" w:eastAsia="nl-NL"/>
        </w:rPr>
        <w:t xml:space="preserve">, </w:t>
      </w:r>
      <w:r w:rsidRPr="00802C03">
        <w:rPr>
          <w:rFonts w:ascii="Garamond" w:hAnsi="Garamond" w:cs="AdvTT5235d5a9"/>
          <w:i/>
          <w:color w:val="231F20"/>
          <w:lang w:val="en-GB" w:eastAsia="nl-NL"/>
        </w:rPr>
        <w:t>61</w:t>
      </w:r>
      <w:r w:rsidRPr="00802C03">
        <w:rPr>
          <w:rFonts w:ascii="Garamond" w:hAnsi="Garamond" w:cs="AdvTT5235d5a9"/>
          <w:color w:val="231F20"/>
          <w:lang w:val="en-GB" w:eastAsia="nl-NL"/>
        </w:rPr>
        <w:t>, 2219-2250.</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54" w:name="Feller_1971"/>
      <w:bookmarkEnd w:id="154"/>
      <w:r w:rsidRPr="00802C03">
        <w:rPr>
          <w:rFonts w:ascii="Garamond" w:hAnsi="Garamond" w:cs="AdvTT5235d5a9"/>
          <w:color w:val="231F20"/>
          <w:lang w:val="en-GB" w:eastAsia="nl-NL"/>
        </w:rPr>
        <w:t>Feller, W. (1971). An Introduction to Probability Theory and Its Applications, Vol. 2, 2nd Edition. New York: John Wiley &amp; Sons, Inc.</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55" w:name="Figlewski_et_al_2008"/>
      <w:bookmarkEnd w:id="155"/>
      <w:r w:rsidRPr="00802C03">
        <w:rPr>
          <w:rFonts w:ascii="Garamond" w:hAnsi="Garamond" w:cs="AdvTT5235d5a9"/>
          <w:color w:val="231F20"/>
          <w:lang w:val="en-GB" w:eastAsia="nl-NL"/>
        </w:rPr>
        <w:t>Figlewski, S., Frydman, H. &amp; Liang, W. (2008). Modeling the Effect of Macroeconomic Factors on Corporate Default and Credit Rating Transitions. NYU Stern Business School Working Paper.</w:t>
      </w:r>
    </w:p>
    <w:p w:rsidR="001C7C52" w:rsidRPr="00802C03" w:rsidRDefault="001C7C52" w:rsidP="001F0514">
      <w:pPr>
        <w:spacing w:after="60" w:line="280" w:lineRule="exact"/>
        <w:ind w:left="540" w:hanging="540"/>
        <w:jc w:val="both"/>
        <w:rPr>
          <w:rFonts w:ascii="Garamond" w:hAnsi="Garamond"/>
          <w:lang w:val="en-GB"/>
        </w:rPr>
      </w:pPr>
      <w:bookmarkStart w:id="156" w:name="FSA_2009"/>
      <w:bookmarkEnd w:id="156"/>
      <w:r w:rsidRPr="00802C03">
        <w:rPr>
          <w:rFonts w:ascii="Garamond" w:hAnsi="Garamond"/>
          <w:lang w:val="en-GB"/>
        </w:rPr>
        <w:t>Financial Services Authority (2009). The Turner Review: A Regulatory Response to the Global Banking Crisis. Financial Services Authority, London.</w:t>
      </w:r>
    </w:p>
    <w:p w:rsidR="001C7C52" w:rsidRPr="00802C03" w:rsidRDefault="001C7C52" w:rsidP="001F0514">
      <w:pPr>
        <w:spacing w:after="60" w:line="280" w:lineRule="exact"/>
        <w:ind w:left="540" w:hanging="540"/>
        <w:jc w:val="both"/>
        <w:rPr>
          <w:rFonts w:ascii="Garamond" w:hAnsi="Garamond"/>
          <w:lang w:val="en-GB"/>
        </w:rPr>
      </w:pPr>
      <w:bookmarkStart w:id="157" w:name="Finger_2009"/>
      <w:bookmarkEnd w:id="157"/>
      <w:r w:rsidRPr="00802C03">
        <w:rPr>
          <w:rFonts w:ascii="Garamond" w:hAnsi="Garamond"/>
          <w:lang w:val="en-GB"/>
        </w:rPr>
        <w:t>Finger, C. (2009). IRC Comments. Research Monthly - RiskMetrics Group, January.</w:t>
      </w:r>
    </w:p>
    <w:p w:rsidR="001C7C52" w:rsidRPr="00802C03" w:rsidRDefault="001C7C52" w:rsidP="001F0514">
      <w:pPr>
        <w:spacing w:after="60" w:line="280" w:lineRule="exact"/>
        <w:ind w:left="540" w:hanging="540"/>
        <w:jc w:val="both"/>
        <w:rPr>
          <w:rFonts w:ascii="Garamond" w:hAnsi="Garamond"/>
          <w:lang w:val="en-GB"/>
        </w:rPr>
      </w:pPr>
      <w:bookmarkStart w:id="158" w:name="Forbes_Rigobon_2002"/>
      <w:bookmarkEnd w:id="158"/>
      <w:r w:rsidRPr="00802C03">
        <w:rPr>
          <w:rFonts w:ascii="Garamond" w:hAnsi="Garamond"/>
          <w:lang w:val="en-GB"/>
        </w:rPr>
        <w:t xml:space="preserve">Forbes, K. J. &amp; Rigobon, R. (2002). </w:t>
      </w:r>
      <w:r w:rsidRPr="00802C03">
        <w:rPr>
          <w:rFonts w:ascii="Garamond" w:hAnsi="Garamond"/>
          <w:bCs/>
          <w:lang w:val="en-GB"/>
        </w:rPr>
        <w:t xml:space="preserve">No Contagion, Only Interdependence: Measuring Stock Market Co-Movements. </w:t>
      </w:r>
      <w:r w:rsidRPr="00802C03">
        <w:rPr>
          <w:rFonts w:ascii="Garamond" w:hAnsi="Garamond"/>
          <w:bCs/>
          <w:i/>
          <w:lang w:val="en-GB"/>
        </w:rPr>
        <w:t>Journal of Finance</w:t>
      </w:r>
      <w:r w:rsidRPr="00802C03">
        <w:rPr>
          <w:rFonts w:ascii="Garamond" w:hAnsi="Garamond"/>
          <w:bCs/>
          <w:lang w:val="en-GB"/>
        </w:rPr>
        <w:t xml:space="preserve">, </w:t>
      </w:r>
      <w:r w:rsidRPr="00802C03">
        <w:rPr>
          <w:rFonts w:ascii="Garamond" w:hAnsi="Garamond"/>
          <w:bCs/>
          <w:i/>
          <w:lang w:val="en-GB"/>
        </w:rPr>
        <w:t>57</w:t>
      </w:r>
      <w:r w:rsidRPr="00802C03">
        <w:rPr>
          <w:rFonts w:ascii="Garamond" w:hAnsi="Garamond"/>
          <w:bCs/>
          <w:lang w:val="en-GB"/>
        </w:rPr>
        <w:t>, 2226-2261.</w:t>
      </w:r>
    </w:p>
    <w:p w:rsidR="001C7C52" w:rsidRPr="00802C03" w:rsidRDefault="001C7C52" w:rsidP="001F0514">
      <w:pPr>
        <w:spacing w:after="60" w:line="280" w:lineRule="exact"/>
        <w:ind w:left="540" w:hanging="540"/>
        <w:jc w:val="both"/>
        <w:rPr>
          <w:rFonts w:ascii="Garamond" w:hAnsi="Garamond"/>
          <w:lang w:val="en-GB" w:eastAsia="nl-NL"/>
        </w:rPr>
      </w:pPr>
      <w:bookmarkStart w:id="159" w:name="Frey_McNeil_2003"/>
      <w:bookmarkEnd w:id="159"/>
      <w:r w:rsidRPr="00802C03">
        <w:rPr>
          <w:rFonts w:ascii="Garamond" w:hAnsi="Garamond"/>
          <w:lang w:val="en-GB" w:eastAsia="nl-NL"/>
        </w:rPr>
        <w:t xml:space="preserve">Frey, R. &amp; McNeil, A. (2003). Dependent Defaults in Models of Portfolio Credit Risk. </w:t>
      </w:r>
      <w:r w:rsidRPr="00802C03">
        <w:rPr>
          <w:rFonts w:ascii="Garamond" w:hAnsi="Garamond"/>
          <w:i/>
          <w:lang w:val="en-GB" w:eastAsia="nl-NL"/>
        </w:rPr>
        <w:t>Journal of Risk</w:t>
      </w:r>
      <w:r w:rsidRPr="00802C03">
        <w:rPr>
          <w:rFonts w:ascii="Garamond" w:hAnsi="Garamond"/>
          <w:lang w:val="en-GB" w:eastAsia="nl-NL"/>
        </w:rPr>
        <w:t xml:space="preserve">, </w:t>
      </w:r>
      <w:r w:rsidRPr="00802C03">
        <w:rPr>
          <w:rFonts w:ascii="Garamond" w:hAnsi="Garamond"/>
          <w:i/>
          <w:lang w:val="en-GB" w:eastAsia="nl-NL"/>
        </w:rPr>
        <w:t>6</w:t>
      </w:r>
      <w:r w:rsidRPr="00802C03">
        <w:rPr>
          <w:rFonts w:ascii="Garamond" w:hAnsi="Garamond"/>
          <w:lang w:val="en-GB" w:eastAsia="nl-NL"/>
        </w:rPr>
        <w:t>, 59-92.</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60" w:name="Frydman_2005"/>
      <w:bookmarkEnd w:id="160"/>
      <w:r w:rsidRPr="00802C03">
        <w:rPr>
          <w:rFonts w:ascii="Garamond" w:hAnsi="Garamond" w:cs="AdvTT5235d5a9"/>
          <w:color w:val="231F20"/>
          <w:lang w:val="en-GB" w:eastAsia="nl-NL"/>
        </w:rPr>
        <w:t xml:space="preserve">Frydman, H. (2005). Estimation in the Mixture of Markov Chains Moving with Different Speeds, </w:t>
      </w:r>
      <w:r w:rsidRPr="00802C03">
        <w:rPr>
          <w:rFonts w:ascii="Garamond" w:hAnsi="Garamond" w:cs="AdvTT5235d5a9"/>
          <w:i/>
          <w:color w:val="231F20"/>
          <w:lang w:val="en-GB" w:eastAsia="nl-NL"/>
        </w:rPr>
        <w:t>Journal of the American Statistical Association</w:t>
      </w:r>
      <w:r w:rsidRPr="00802C03">
        <w:rPr>
          <w:rFonts w:ascii="Garamond" w:hAnsi="Garamond" w:cs="AdvTT5235d5a9"/>
          <w:color w:val="231F20"/>
          <w:lang w:val="en-GB" w:eastAsia="nl-NL"/>
        </w:rPr>
        <w:t xml:space="preserve">, </w:t>
      </w:r>
      <w:r w:rsidRPr="00802C03">
        <w:rPr>
          <w:rFonts w:ascii="Garamond" w:hAnsi="Garamond" w:cs="AdvTT5235d5a9"/>
          <w:i/>
          <w:color w:val="231F20"/>
          <w:lang w:val="en-GB" w:eastAsia="nl-NL"/>
        </w:rPr>
        <w:t>100</w:t>
      </w:r>
      <w:r w:rsidRPr="00802C03">
        <w:rPr>
          <w:rFonts w:ascii="Garamond" w:hAnsi="Garamond" w:cs="AdvTT5235d5a9"/>
          <w:color w:val="231F20"/>
          <w:lang w:val="en-GB" w:eastAsia="nl-NL"/>
        </w:rPr>
        <w:t>, 1046-1053.</w:t>
      </w:r>
    </w:p>
    <w:p w:rsidR="001C7C52" w:rsidRPr="00802C03" w:rsidRDefault="001C7C52" w:rsidP="001F0514">
      <w:pPr>
        <w:spacing w:after="60" w:line="280" w:lineRule="exact"/>
        <w:ind w:left="540" w:hanging="540"/>
        <w:jc w:val="both"/>
        <w:rPr>
          <w:rFonts w:ascii="Garamond" w:hAnsi="Garamond"/>
          <w:lang w:val="en-GB"/>
        </w:rPr>
      </w:pPr>
      <w:bookmarkStart w:id="161" w:name="Frydman_Schuermann_2008"/>
      <w:bookmarkEnd w:id="161"/>
      <w:r w:rsidRPr="00802C03">
        <w:rPr>
          <w:rFonts w:ascii="Garamond" w:hAnsi="Garamond" w:cs="AdvTT5235d5a9"/>
          <w:color w:val="231F20"/>
          <w:lang w:val="en-GB" w:eastAsia="nl-NL"/>
        </w:rPr>
        <w:t xml:space="preserve">Frydman, H. &amp; Schuermann, T. (2008). Credit Rating Dynamics and Markov Mixture Models. </w:t>
      </w:r>
      <w:r w:rsidRPr="00802C03">
        <w:rPr>
          <w:rFonts w:ascii="Garamond" w:hAnsi="Garamond" w:cs="AdvTT5235d5a9"/>
          <w:i/>
          <w:color w:val="231F20"/>
          <w:lang w:val="en-GB" w:eastAsia="nl-NL"/>
        </w:rPr>
        <w:t>Journal of Banking and Finance</w:t>
      </w:r>
      <w:r w:rsidRPr="00802C03">
        <w:rPr>
          <w:rFonts w:ascii="Garamond" w:hAnsi="Garamond" w:cs="AdvTT5235d5a9"/>
          <w:color w:val="231F20"/>
          <w:lang w:val="en-GB" w:eastAsia="nl-NL"/>
        </w:rPr>
        <w:t>,</w:t>
      </w:r>
      <w:r w:rsidRPr="00802C03">
        <w:rPr>
          <w:rFonts w:ascii="Garamond" w:hAnsi="Garamond" w:cs="AdvTT5235d5a9"/>
          <w:i/>
          <w:color w:val="231F20"/>
          <w:lang w:val="en-GB" w:eastAsia="nl-NL"/>
        </w:rPr>
        <w:t xml:space="preserve"> 32</w:t>
      </w:r>
      <w:r w:rsidRPr="00802C03">
        <w:rPr>
          <w:rFonts w:ascii="Garamond" w:hAnsi="Garamond" w:cs="AdvTT5235d5a9"/>
          <w:color w:val="231F20"/>
          <w:lang w:val="en-GB" w:eastAsia="nl-NL"/>
        </w:rPr>
        <w:t>, 1062</w:t>
      </w:r>
      <w:r w:rsidRPr="00802C03">
        <w:rPr>
          <w:rFonts w:ascii="Garamond" w:hAnsi="Garamond" w:cs="AdvTT5235d5a9+20"/>
          <w:color w:val="231F20"/>
          <w:lang w:val="en-GB" w:eastAsia="nl-NL"/>
        </w:rPr>
        <w:t>-</w:t>
      </w:r>
      <w:r w:rsidRPr="00802C03">
        <w:rPr>
          <w:rFonts w:ascii="Garamond" w:hAnsi="Garamond" w:cs="AdvTT5235d5a9"/>
          <w:color w:val="231F20"/>
          <w:lang w:val="en-GB" w:eastAsia="nl-NL"/>
        </w:rPr>
        <w:t>1075.</w:t>
      </w:r>
    </w:p>
    <w:p w:rsidR="001C7C52" w:rsidRPr="00802C03" w:rsidRDefault="001C7C52" w:rsidP="001F0514">
      <w:pPr>
        <w:spacing w:after="60" w:line="280" w:lineRule="exact"/>
        <w:ind w:left="540" w:hanging="540"/>
        <w:jc w:val="both"/>
        <w:rPr>
          <w:rFonts w:ascii="Garamond" w:hAnsi="Garamond"/>
          <w:lang w:val="en-GB"/>
        </w:rPr>
      </w:pPr>
      <w:bookmarkStart w:id="162" w:name="Frye_2000a"/>
      <w:bookmarkEnd w:id="162"/>
      <w:r w:rsidRPr="00802C03">
        <w:rPr>
          <w:rFonts w:ascii="Garamond" w:hAnsi="Garamond"/>
          <w:lang w:val="en-GB"/>
        </w:rPr>
        <w:t xml:space="preserve">Frye, J. (2000a). Collateral Damage. </w:t>
      </w:r>
      <w:r w:rsidRPr="00802C03">
        <w:rPr>
          <w:rFonts w:ascii="Garamond" w:hAnsi="Garamond"/>
          <w:i/>
          <w:lang w:val="en-GB"/>
        </w:rPr>
        <w:t>Risk</w:t>
      </w:r>
      <w:r w:rsidRPr="00802C03">
        <w:rPr>
          <w:rFonts w:ascii="Garamond" w:hAnsi="Garamond"/>
          <w:lang w:val="en-GB"/>
        </w:rPr>
        <w:t>, 91-94.</w:t>
      </w:r>
    </w:p>
    <w:p w:rsidR="001C7C52" w:rsidRPr="00802C03" w:rsidRDefault="001C7C52" w:rsidP="001F0514">
      <w:pPr>
        <w:spacing w:after="60" w:line="280" w:lineRule="exact"/>
        <w:ind w:left="540" w:hanging="540"/>
        <w:jc w:val="both"/>
        <w:rPr>
          <w:rFonts w:ascii="Garamond" w:hAnsi="Garamond"/>
          <w:lang w:val="en-GB"/>
        </w:rPr>
      </w:pPr>
      <w:bookmarkStart w:id="163" w:name="Frye_2000b"/>
      <w:bookmarkEnd w:id="163"/>
      <w:r w:rsidRPr="00802C03">
        <w:rPr>
          <w:rFonts w:ascii="Garamond" w:hAnsi="Garamond"/>
          <w:lang w:val="en-GB"/>
        </w:rPr>
        <w:t xml:space="preserve">Frye, J. (2000b). Collateral Damage Detected. Federal Reserve Bank of Chicago Working Paper, </w:t>
      </w:r>
      <w:r w:rsidRPr="00802C03">
        <w:rPr>
          <w:rFonts w:ascii="Garamond" w:hAnsi="Garamond"/>
          <w:i/>
          <w:lang w:val="en-GB"/>
        </w:rPr>
        <w:t>Emerging Issuers Series</w:t>
      </w:r>
      <w:r w:rsidRPr="00802C03">
        <w:rPr>
          <w:rFonts w:ascii="Garamond" w:hAnsi="Garamond"/>
          <w:lang w:val="en-GB"/>
        </w:rPr>
        <w:t>, October, 1-14.</w:t>
      </w:r>
    </w:p>
    <w:p w:rsidR="001C7C52" w:rsidRPr="00802C03" w:rsidRDefault="001C7C52" w:rsidP="001F0514">
      <w:pPr>
        <w:spacing w:after="60" w:line="280" w:lineRule="exact"/>
        <w:ind w:left="540" w:hanging="540"/>
        <w:jc w:val="both"/>
        <w:rPr>
          <w:rFonts w:ascii="Garamond" w:hAnsi="Garamond"/>
          <w:lang w:val="en-GB"/>
        </w:rPr>
      </w:pPr>
      <w:bookmarkStart w:id="164" w:name="Frye_2000c"/>
      <w:bookmarkEnd w:id="164"/>
      <w:r w:rsidRPr="00802C03">
        <w:rPr>
          <w:rFonts w:ascii="Garamond" w:hAnsi="Garamond"/>
          <w:lang w:val="en-GB"/>
        </w:rPr>
        <w:t xml:space="preserve">Frye, J. (2000c). Depressing Recoveries, </w:t>
      </w:r>
      <w:r w:rsidRPr="00802C03">
        <w:rPr>
          <w:rFonts w:ascii="Garamond" w:hAnsi="Garamond"/>
          <w:i/>
          <w:lang w:val="en-GB"/>
        </w:rPr>
        <w:t>Risk</w:t>
      </w:r>
      <w:r w:rsidRPr="00802C03">
        <w:rPr>
          <w:rFonts w:ascii="Garamond" w:hAnsi="Garamond"/>
          <w:lang w:val="en-GB"/>
        </w:rPr>
        <w:t>, 106-111.</w:t>
      </w:r>
    </w:p>
    <w:p w:rsidR="001C7C52" w:rsidRPr="00802C03" w:rsidRDefault="001C7C52" w:rsidP="001F0514">
      <w:pPr>
        <w:spacing w:after="60" w:line="280" w:lineRule="exact"/>
        <w:ind w:left="540" w:hanging="540"/>
        <w:jc w:val="both"/>
        <w:rPr>
          <w:rFonts w:ascii="Garamond" w:hAnsi="Garamond"/>
          <w:lang w:val="en-GB"/>
        </w:rPr>
      </w:pPr>
      <w:bookmarkStart w:id="165" w:name="Genest_et_al_2009"/>
      <w:bookmarkEnd w:id="165"/>
      <w:r w:rsidRPr="00802C03">
        <w:rPr>
          <w:rFonts w:ascii="Garamond" w:hAnsi="Garamond"/>
          <w:lang w:val="en-GB"/>
        </w:rPr>
        <w:t xml:space="preserve">Genest, C., Rémillard, B. &amp; Beaudoin, D. (2009) Goodness-of-Fit Tests for Copulas: A Review and a Power Study, </w:t>
      </w:r>
      <w:r w:rsidRPr="00802C03">
        <w:rPr>
          <w:rFonts w:ascii="Garamond" w:hAnsi="Garamond"/>
          <w:i/>
          <w:lang w:val="en-GB"/>
        </w:rPr>
        <w:t>Insurance: Mathematics and Economics</w:t>
      </w:r>
      <w:r w:rsidRPr="00802C03">
        <w:rPr>
          <w:rFonts w:ascii="Garamond" w:hAnsi="Garamond"/>
          <w:lang w:val="en-GB"/>
        </w:rPr>
        <w:t xml:space="preserve">, </w:t>
      </w:r>
      <w:r w:rsidRPr="00802C03">
        <w:rPr>
          <w:rFonts w:ascii="Garamond" w:hAnsi="Garamond"/>
          <w:i/>
          <w:lang w:val="en-GB"/>
        </w:rPr>
        <w:t>44</w:t>
      </w:r>
      <w:r w:rsidRPr="00802C03">
        <w:rPr>
          <w:rFonts w:ascii="Garamond" w:hAnsi="Garamond"/>
          <w:lang w:val="en-GB"/>
        </w:rPr>
        <w:t xml:space="preserve">, 199-213. </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66" w:name="Gilbert_2009"/>
      <w:bookmarkEnd w:id="166"/>
      <w:r w:rsidRPr="00802C03">
        <w:rPr>
          <w:rFonts w:ascii="Garamond" w:hAnsi="Garamond" w:cs="AdvTT5235d5a9"/>
          <w:color w:val="231F20"/>
          <w:lang w:val="en-GB" w:eastAsia="nl-NL"/>
        </w:rPr>
        <w:t>Gilbert, A. M. (2009). Comments to ‘Revisions to the Market Risk Framework’ and ‘Guidelines for Computing Capital for Incremental Risk in the Trading Book’ - JPMorgan Chase &amp; Co. www.BIS.org, March.</w:t>
      </w:r>
    </w:p>
    <w:p w:rsidR="001C7C52" w:rsidRPr="00802C03" w:rsidRDefault="001C7C52" w:rsidP="001F0514">
      <w:pPr>
        <w:spacing w:after="60" w:line="280" w:lineRule="exact"/>
        <w:ind w:left="540" w:hanging="540"/>
        <w:jc w:val="both"/>
        <w:rPr>
          <w:rFonts w:ascii="Garamond" w:hAnsi="Garamond" w:cs="AdvTT5235d5a9"/>
          <w:color w:val="231F20"/>
          <w:lang w:val="en-GB" w:eastAsia="nl-NL"/>
        </w:rPr>
      </w:pPr>
      <w:bookmarkStart w:id="167" w:name="Gordy_2000"/>
      <w:bookmarkEnd w:id="167"/>
      <w:r w:rsidRPr="00802C03">
        <w:rPr>
          <w:rFonts w:ascii="Garamond" w:hAnsi="Garamond" w:cs="AdvTT5235d5a9"/>
          <w:color w:val="231F20"/>
          <w:lang w:val="en-GB" w:eastAsia="nl-NL"/>
        </w:rPr>
        <w:t xml:space="preserve">Gordy, M. (2000). A Comparative Anatomy of Credit Risk Models. </w:t>
      </w:r>
      <w:r w:rsidRPr="00802C03">
        <w:rPr>
          <w:rFonts w:ascii="Garamond" w:hAnsi="Garamond" w:cs="AdvTT5235d5a9"/>
          <w:i/>
          <w:color w:val="231F20"/>
          <w:lang w:val="en-GB" w:eastAsia="nl-NL"/>
        </w:rPr>
        <w:t>Journal of Banking and Finance</w:t>
      </w:r>
      <w:r w:rsidRPr="00802C03">
        <w:rPr>
          <w:rFonts w:ascii="Garamond" w:hAnsi="Garamond" w:cs="AdvTT5235d5a9"/>
          <w:color w:val="231F20"/>
          <w:lang w:val="en-GB" w:eastAsia="nl-NL"/>
        </w:rPr>
        <w:t xml:space="preserve">, </w:t>
      </w:r>
      <w:r w:rsidRPr="00802C03">
        <w:rPr>
          <w:rFonts w:ascii="Garamond" w:hAnsi="Garamond" w:cs="AdvTT5235d5a9"/>
          <w:i/>
          <w:color w:val="231F20"/>
          <w:lang w:val="en-GB" w:eastAsia="nl-NL"/>
        </w:rPr>
        <w:t>24</w:t>
      </w:r>
      <w:r w:rsidRPr="00802C03">
        <w:rPr>
          <w:rFonts w:ascii="Garamond" w:hAnsi="Garamond" w:cs="AdvTT5235d5a9"/>
          <w:color w:val="231F20"/>
          <w:lang w:val="en-GB" w:eastAsia="nl-NL"/>
        </w:rPr>
        <w:t xml:space="preserve">, 119-149. </w:t>
      </w:r>
    </w:p>
    <w:p w:rsidR="001C7C52" w:rsidRPr="00802C03" w:rsidRDefault="001C7C52" w:rsidP="001F0514">
      <w:pPr>
        <w:spacing w:after="60" w:line="280" w:lineRule="exact"/>
        <w:ind w:left="540" w:hanging="540"/>
        <w:jc w:val="both"/>
        <w:rPr>
          <w:rFonts w:ascii="Garamond" w:hAnsi="Garamond"/>
          <w:lang w:val="en-GB"/>
        </w:rPr>
      </w:pPr>
      <w:bookmarkStart w:id="168" w:name="Gordy_Heitfield_2000"/>
      <w:bookmarkEnd w:id="168"/>
      <w:r w:rsidRPr="00802C03">
        <w:rPr>
          <w:rFonts w:ascii="Garamond" w:hAnsi="Garamond"/>
          <w:lang w:val="en-GB"/>
        </w:rPr>
        <w:t>Gordy, M. &amp; Heitfield, E. (2000). Estimating Factor Loadings when Rating Performance Data are Scarce. Memorandum, Board of Governors of the Federal Reserve.</w:t>
      </w:r>
    </w:p>
    <w:p w:rsidR="001C7C52" w:rsidRPr="00802C03" w:rsidRDefault="001C7C52" w:rsidP="001F0514">
      <w:pPr>
        <w:spacing w:after="60" w:line="280" w:lineRule="exact"/>
        <w:ind w:left="540" w:hanging="540"/>
        <w:jc w:val="both"/>
        <w:rPr>
          <w:rFonts w:ascii="Garamond" w:hAnsi="Garamond"/>
          <w:lang w:val="en-GB"/>
        </w:rPr>
      </w:pPr>
      <w:bookmarkStart w:id="169" w:name="Gupton_et_al_1997"/>
      <w:bookmarkEnd w:id="169"/>
      <w:r w:rsidRPr="00802C03">
        <w:rPr>
          <w:rFonts w:ascii="Garamond" w:hAnsi="Garamond"/>
          <w:lang w:val="en-GB"/>
        </w:rPr>
        <w:t>Gupton, G. M., Finger, C. &amp; Bhatia, M. (1997). CreditMetrics</w:t>
      </w:r>
      <w:r w:rsidRPr="00802C03">
        <w:rPr>
          <w:rFonts w:ascii="Garamond" w:hAnsi="Garamond"/>
          <w:vertAlign w:val="superscript"/>
          <w:lang w:val="en-GB"/>
        </w:rPr>
        <w:t>TM</w:t>
      </w:r>
      <w:r w:rsidRPr="00802C03">
        <w:rPr>
          <w:rFonts w:ascii="Garamond" w:hAnsi="Garamond"/>
          <w:lang w:val="en-GB"/>
        </w:rPr>
        <w:t xml:space="preserve"> – Technical Document. J.P. Morgan, New York.</w:t>
      </w:r>
    </w:p>
    <w:p w:rsidR="001C7C52" w:rsidRPr="00802C03" w:rsidRDefault="001C7C52" w:rsidP="001F0514">
      <w:pPr>
        <w:spacing w:after="60" w:line="280" w:lineRule="exact"/>
        <w:ind w:left="540" w:hanging="540"/>
        <w:jc w:val="both"/>
        <w:rPr>
          <w:rFonts w:ascii="Garamond" w:hAnsi="Garamond"/>
          <w:lang w:val="en-GB"/>
        </w:rPr>
      </w:pPr>
      <w:bookmarkStart w:id="170" w:name="Gupton_Stein_2005"/>
      <w:bookmarkEnd w:id="170"/>
      <w:r w:rsidRPr="00BE49BF">
        <w:rPr>
          <w:rFonts w:ascii="Garamond" w:hAnsi="Garamond"/>
        </w:rPr>
        <w:t xml:space="preserve">Gupton, G. M. &amp; Stein, R. (2005). </w:t>
      </w:r>
      <w:r w:rsidRPr="00802C03">
        <w:rPr>
          <w:rFonts w:ascii="Garamond" w:hAnsi="Garamond"/>
          <w:lang w:val="en-GB"/>
        </w:rPr>
        <w:t>LossCalc V2: Dynamic Prediction of LGD. Moody’s KMV, San Francisco.</w:t>
      </w:r>
    </w:p>
    <w:p w:rsidR="001C7C52" w:rsidRPr="00802C03" w:rsidRDefault="001C7C52" w:rsidP="001F0514">
      <w:pPr>
        <w:spacing w:after="60" w:line="280" w:lineRule="exact"/>
        <w:ind w:left="540" w:hanging="540"/>
        <w:jc w:val="both"/>
        <w:rPr>
          <w:rFonts w:ascii="Garamond" w:hAnsi="Garamond"/>
          <w:lang w:val="en-GB"/>
        </w:rPr>
      </w:pPr>
      <w:bookmarkStart w:id="171" w:name="Guttler_2006"/>
      <w:bookmarkEnd w:id="171"/>
      <w:r w:rsidRPr="00802C03">
        <w:rPr>
          <w:rFonts w:ascii="Garamond" w:hAnsi="Garamond"/>
          <w:lang w:val="en-GB"/>
        </w:rPr>
        <w:t>Güttler, A. (2006). Conditional Rating Transitions: The Case of S&amp;P and Moody’s. European Business School Working Paper.</w:t>
      </w:r>
    </w:p>
    <w:p w:rsidR="001C7C52" w:rsidRPr="00802C03" w:rsidRDefault="001C7C52" w:rsidP="001F0514">
      <w:pPr>
        <w:spacing w:after="60" w:line="280" w:lineRule="exact"/>
        <w:ind w:left="540" w:hanging="540"/>
        <w:jc w:val="both"/>
        <w:rPr>
          <w:rFonts w:ascii="Garamond" w:hAnsi="Garamond"/>
          <w:lang w:val="en-GB"/>
        </w:rPr>
      </w:pPr>
      <w:bookmarkStart w:id="172" w:name="Hamilton_et_al_2001"/>
      <w:bookmarkEnd w:id="172"/>
      <w:r w:rsidRPr="00802C03">
        <w:rPr>
          <w:rFonts w:ascii="Garamond" w:hAnsi="Garamond" w:cs="AdvTT5235d5a9"/>
          <w:color w:val="231F20"/>
          <w:lang w:val="en-GB" w:eastAsia="nl-NL"/>
        </w:rPr>
        <w:t>Hamilton, D. T., Gupton, G. M. &amp; Berthault, A. (2001). Default and Recovery Rates of Corporate Bond Issuers: 2000. Moody’s Investor Service, New York.</w:t>
      </w:r>
    </w:p>
    <w:p w:rsidR="001C7C52" w:rsidRPr="00802C03" w:rsidRDefault="001C7C52" w:rsidP="001F0514">
      <w:pPr>
        <w:spacing w:after="60" w:line="280" w:lineRule="exact"/>
        <w:ind w:left="540" w:hanging="540"/>
        <w:jc w:val="both"/>
        <w:rPr>
          <w:rFonts w:ascii="Garamond" w:hAnsi="Garamond"/>
          <w:lang w:val="en-GB"/>
        </w:rPr>
      </w:pPr>
      <w:bookmarkStart w:id="173" w:name="Hansen_et_al_2008"/>
      <w:bookmarkEnd w:id="173"/>
      <w:r w:rsidRPr="00802C03">
        <w:rPr>
          <w:rFonts w:ascii="Garamond" w:hAnsi="Garamond"/>
          <w:lang w:val="en-GB"/>
        </w:rPr>
        <w:t xml:space="preserve">Hansen, M., van Vuren, G. &amp; Ramadurai, K. (2008). Basel II Correlation Values: An Empirical Analysis of EL, UL and the IRB Model. Credit Market Research: Financial Institutions Special Report. </w:t>
      </w:r>
      <w:r w:rsidRPr="00802C03">
        <w:rPr>
          <w:rFonts w:ascii="Garamond" w:hAnsi="Garamond" w:cs="NimbusRomNo9L-Regu"/>
          <w:lang w:val="en-GB" w:eastAsia="nl-NL"/>
        </w:rPr>
        <w:t>Fitch Ratings, New York.</w:t>
      </w:r>
    </w:p>
    <w:p w:rsidR="001C7C52" w:rsidRPr="00802C03" w:rsidRDefault="001C7C52" w:rsidP="001F0514">
      <w:pPr>
        <w:spacing w:after="60" w:line="280" w:lineRule="exact"/>
        <w:ind w:left="540" w:hanging="540"/>
        <w:jc w:val="both"/>
        <w:rPr>
          <w:rFonts w:ascii="Garamond" w:hAnsi="Garamond"/>
          <w:lang w:val="en-GB"/>
        </w:rPr>
      </w:pPr>
      <w:bookmarkStart w:id="174" w:name="Haugh_2004"/>
      <w:bookmarkEnd w:id="174"/>
      <w:r w:rsidRPr="00802C03">
        <w:rPr>
          <w:rFonts w:ascii="Garamond" w:hAnsi="Garamond"/>
          <w:lang w:val="en-GB"/>
        </w:rPr>
        <w:t>Haugh, M. (2004). The Monte Carlo Framework, Examples from Finance and Generating Correlated Random Variables. Monte Carlo Simulation: IEOR E4703.</w:t>
      </w:r>
    </w:p>
    <w:p w:rsidR="001C7C52" w:rsidRPr="00802C03" w:rsidRDefault="001C7C52" w:rsidP="001F0514">
      <w:pPr>
        <w:spacing w:after="60" w:line="280" w:lineRule="exact"/>
        <w:ind w:left="540" w:hanging="540"/>
        <w:jc w:val="both"/>
        <w:rPr>
          <w:rFonts w:ascii="Garamond" w:hAnsi="Garamond"/>
          <w:lang w:val="en-GB"/>
        </w:rPr>
      </w:pPr>
      <w:bookmarkStart w:id="175" w:name="Hill_1975"/>
      <w:bookmarkEnd w:id="175"/>
      <w:r w:rsidRPr="00802C03">
        <w:rPr>
          <w:rFonts w:ascii="Garamond" w:hAnsi="Garamond"/>
          <w:lang w:val="en-GB"/>
        </w:rPr>
        <w:t xml:space="preserve">Hill, B. (1975). A Simple Approach to Inference about the Tail of a Distribution. </w:t>
      </w:r>
      <w:r w:rsidRPr="00802C03">
        <w:rPr>
          <w:rFonts w:ascii="Garamond" w:hAnsi="Garamond"/>
          <w:i/>
          <w:lang w:val="en-GB"/>
        </w:rPr>
        <w:t>The Annals of Mathematical Statistics</w:t>
      </w:r>
      <w:r w:rsidRPr="00802C03">
        <w:rPr>
          <w:rFonts w:ascii="Garamond" w:hAnsi="Garamond"/>
          <w:lang w:val="en-GB"/>
        </w:rPr>
        <w:t xml:space="preserve">, </w:t>
      </w:r>
      <w:r w:rsidRPr="00802C03">
        <w:rPr>
          <w:rFonts w:ascii="Garamond" w:hAnsi="Garamond"/>
          <w:i/>
          <w:lang w:val="en-GB"/>
        </w:rPr>
        <w:t>3</w:t>
      </w:r>
      <w:r w:rsidRPr="00802C03">
        <w:rPr>
          <w:rFonts w:ascii="Garamond" w:hAnsi="Garamond"/>
          <w:lang w:val="en-GB"/>
        </w:rPr>
        <w:t>, 1163-1174.</w:t>
      </w:r>
    </w:p>
    <w:p w:rsidR="001C7C52" w:rsidRPr="00802C03" w:rsidRDefault="001C7C52" w:rsidP="001F0514">
      <w:pPr>
        <w:spacing w:after="60" w:line="280" w:lineRule="exact"/>
        <w:ind w:left="540" w:hanging="540"/>
        <w:jc w:val="both"/>
        <w:rPr>
          <w:rFonts w:ascii="Garamond" w:hAnsi="Garamond"/>
          <w:lang w:val="en-GB"/>
        </w:rPr>
      </w:pPr>
      <w:bookmarkStart w:id="176" w:name="Houweling_et_al_2005"/>
      <w:bookmarkEnd w:id="176"/>
      <w:r w:rsidRPr="00802C03">
        <w:rPr>
          <w:rFonts w:ascii="Garamond" w:hAnsi="Garamond"/>
          <w:lang w:val="en-GB"/>
        </w:rPr>
        <w:t xml:space="preserve">Houweling, P., Mentink, A. &amp; Vorst, T. (2005). Comparing Possible Proxies of Corporate Bond Liquidity. </w:t>
      </w:r>
      <w:r w:rsidRPr="00802C03">
        <w:rPr>
          <w:rFonts w:ascii="Garamond" w:hAnsi="Garamond"/>
          <w:i/>
          <w:lang w:val="en-GB"/>
        </w:rPr>
        <w:t>Journal of Banking and Finance</w:t>
      </w:r>
      <w:r w:rsidRPr="00802C03">
        <w:rPr>
          <w:rFonts w:ascii="Garamond" w:hAnsi="Garamond"/>
          <w:lang w:val="en-GB"/>
        </w:rPr>
        <w:t xml:space="preserve">, </w:t>
      </w:r>
      <w:r w:rsidRPr="00802C03">
        <w:rPr>
          <w:rFonts w:ascii="Garamond" w:hAnsi="Garamond"/>
          <w:i/>
          <w:lang w:val="en-GB"/>
        </w:rPr>
        <w:t>29</w:t>
      </w:r>
      <w:r w:rsidRPr="00802C03">
        <w:rPr>
          <w:rFonts w:ascii="Garamond" w:hAnsi="Garamond"/>
          <w:lang w:val="en-GB"/>
        </w:rPr>
        <w:t>, 1331-1359.</w:t>
      </w:r>
    </w:p>
    <w:p w:rsidR="001C7C52" w:rsidRPr="00802C03" w:rsidRDefault="001C7C52" w:rsidP="001F0514">
      <w:pPr>
        <w:spacing w:after="60" w:line="280" w:lineRule="exact"/>
        <w:ind w:left="540" w:hanging="540"/>
        <w:jc w:val="both"/>
        <w:rPr>
          <w:rFonts w:ascii="Garamond" w:hAnsi="Garamond"/>
          <w:lang w:val="en-GB"/>
        </w:rPr>
      </w:pPr>
      <w:bookmarkStart w:id="177" w:name="Huisman_et_al_2001"/>
      <w:bookmarkEnd w:id="177"/>
      <w:r w:rsidRPr="00802C03">
        <w:rPr>
          <w:rFonts w:ascii="Garamond" w:hAnsi="Garamond"/>
          <w:lang w:val="en-GB"/>
        </w:rPr>
        <w:t xml:space="preserve">Huisman, R., Koedijk, K. G., Kool, C. J. M. &amp; Palm, F. (2001). Tail-Index Estimates in Small Samples. </w:t>
      </w:r>
      <w:r w:rsidRPr="00802C03">
        <w:rPr>
          <w:rFonts w:ascii="Garamond" w:hAnsi="Garamond"/>
          <w:i/>
          <w:lang w:val="en-GB"/>
        </w:rPr>
        <w:t>Journal of Business and Economic Statistics</w:t>
      </w:r>
      <w:r w:rsidRPr="00802C03">
        <w:rPr>
          <w:rFonts w:ascii="Garamond" w:hAnsi="Garamond"/>
          <w:lang w:val="en-GB"/>
        </w:rPr>
        <w:t xml:space="preserve">, </w:t>
      </w:r>
      <w:r w:rsidRPr="00802C03">
        <w:rPr>
          <w:rFonts w:ascii="Garamond" w:hAnsi="Garamond"/>
          <w:i/>
          <w:lang w:val="en-GB"/>
        </w:rPr>
        <w:t>19</w:t>
      </w:r>
      <w:r w:rsidRPr="00802C03">
        <w:rPr>
          <w:rFonts w:ascii="Garamond" w:hAnsi="Garamond"/>
          <w:lang w:val="en-GB"/>
        </w:rPr>
        <w:t>, 208-216.</w:t>
      </w:r>
    </w:p>
    <w:p w:rsidR="001C7C52" w:rsidRPr="00802C03" w:rsidRDefault="001C7C52" w:rsidP="001F0514">
      <w:pPr>
        <w:spacing w:after="60" w:line="280" w:lineRule="exact"/>
        <w:ind w:left="540" w:hanging="540"/>
        <w:jc w:val="both"/>
        <w:rPr>
          <w:rFonts w:ascii="Garamond" w:hAnsi="Garamond"/>
          <w:lang w:val="en-GB"/>
        </w:rPr>
      </w:pPr>
      <w:bookmarkStart w:id="178" w:name="Jafry_Schuermann_2004"/>
      <w:bookmarkEnd w:id="178"/>
      <w:r w:rsidRPr="00802C03">
        <w:rPr>
          <w:rFonts w:ascii="Garamond" w:hAnsi="Garamond"/>
          <w:lang w:val="en-GB"/>
        </w:rPr>
        <w:t xml:space="preserve">Jafry, Y. &amp; Schuermann, T. (2004). Measurement, Estimation and Comparison of Credit Migration Matrices. </w:t>
      </w:r>
      <w:r w:rsidRPr="00802C03">
        <w:rPr>
          <w:rFonts w:ascii="Garamond" w:hAnsi="Garamond"/>
          <w:i/>
          <w:lang w:val="en-GB"/>
        </w:rPr>
        <w:t>Journal of Banking and Finance</w:t>
      </w:r>
      <w:r w:rsidRPr="00802C03">
        <w:rPr>
          <w:rFonts w:ascii="Garamond" w:hAnsi="Garamond"/>
          <w:lang w:val="en-GB"/>
        </w:rPr>
        <w:t xml:space="preserve">, </w:t>
      </w:r>
      <w:r w:rsidRPr="00802C03">
        <w:rPr>
          <w:rFonts w:ascii="Garamond" w:hAnsi="Garamond"/>
          <w:i/>
          <w:lang w:val="en-GB"/>
        </w:rPr>
        <w:t>28</w:t>
      </w:r>
      <w:r w:rsidRPr="00802C03">
        <w:rPr>
          <w:rFonts w:ascii="Garamond" w:hAnsi="Garamond"/>
          <w:lang w:val="en-GB"/>
        </w:rPr>
        <w:t>, 2603-2639.</w:t>
      </w:r>
    </w:p>
    <w:p w:rsidR="001C7C52" w:rsidRPr="00802C03" w:rsidRDefault="001C7C52" w:rsidP="001F0514">
      <w:pPr>
        <w:spacing w:after="60" w:line="280" w:lineRule="exact"/>
        <w:ind w:left="540" w:hanging="540"/>
        <w:jc w:val="both"/>
        <w:rPr>
          <w:rFonts w:ascii="Garamond" w:hAnsi="Garamond"/>
          <w:lang w:val="en-GB"/>
        </w:rPr>
      </w:pPr>
      <w:bookmarkStart w:id="179" w:name="Jarrow_2001"/>
      <w:bookmarkEnd w:id="179"/>
      <w:r w:rsidRPr="00802C03">
        <w:rPr>
          <w:rFonts w:ascii="Garamond" w:hAnsi="Garamond"/>
          <w:lang w:val="en-GB"/>
        </w:rPr>
        <w:t xml:space="preserve">Jarrow, R. A. (2001). Default Parameter Estimation Using Market Prices, </w:t>
      </w:r>
      <w:r w:rsidRPr="00802C03">
        <w:rPr>
          <w:rFonts w:ascii="Garamond" w:hAnsi="Garamond"/>
          <w:i/>
          <w:lang w:val="en-GB"/>
        </w:rPr>
        <w:t>Financial Analysts Journal</w:t>
      </w:r>
      <w:r w:rsidRPr="00802C03">
        <w:rPr>
          <w:rFonts w:ascii="Garamond" w:hAnsi="Garamond"/>
          <w:lang w:val="en-GB"/>
        </w:rPr>
        <w:t xml:space="preserve">, </w:t>
      </w:r>
      <w:r w:rsidRPr="00802C03">
        <w:rPr>
          <w:rFonts w:ascii="Garamond" w:hAnsi="Garamond"/>
          <w:i/>
          <w:lang w:val="en-GB"/>
        </w:rPr>
        <w:t>57</w:t>
      </w:r>
      <w:r w:rsidRPr="00802C03">
        <w:rPr>
          <w:rFonts w:ascii="Garamond" w:hAnsi="Garamond"/>
          <w:lang w:val="en-GB"/>
        </w:rPr>
        <w:t>, 75-92.</w:t>
      </w:r>
    </w:p>
    <w:p w:rsidR="001C7C52" w:rsidRPr="00802C03" w:rsidRDefault="001C7C52" w:rsidP="001F0514">
      <w:pPr>
        <w:spacing w:after="60" w:line="280" w:lineRule="exact"/>
        <w:ind w:left="540" w:hanging="540"/>
        <w:jc w:val="both"/>
        <w:rPr>
          <w:rFonts w:ascii="Garamond" w:hAnsi="Garamond"/>
          <w:lang w:val="en-GB"/>
        </w:rPr>
      </w:pPr>
      <w:bookmarkStart w:id="180" w:name="Jarrow_et_al_1997"/>
      <w:bookmarkEnd w:id="180"/>
      <w:r w:rsidRPr="00802C03">
        <w:rPr>
          <w:rFonts w:ascii="Garamond" w:hAnsi="Garamond"/>
          <w:lang w:val="en-GB"/>
        </w:rPr>
        <w:t xml:space="preserve">Jarrow, R. A., Lando, D. &amp; Turnbull, S. (1997). A Markov Model for the Term Structure of Credit Risk Spreads. </w:t>
      </w:r>
      <w:r w:rsidRPr="00802C03">
        <w:rPr>
          <w:rFonts w:ascii="Garamond" w:hAnsi="Garamond"/>
          <w:i/>
          <w:lang w:val="en-GB"/>
        </w:rPr>
        <w:t>Review of Financial Studies</w:t>
      </w:r>
      <w:r w:rsidRPr="00802C03">
        <w:rPr>
          <w:rFonts w:ascii="Garamond" w:hAnsi="Garamond"/>
          <w:lang w:val="en-GB"/>
        </w:rPr>
        <w:t>, 481-523.</w:t>
      </w:r>
    </w:p>
    <w:p w:rsidR="001C7C52" w:rsidRPr="00802C03" w:rsidRDefault="001C7C52" w:rsidP="001F0514">
      <w:pPr>
        <w:spacing w:after="60" w:line="280" w:lineRule="exact"/>
        <w:ind w:left="540" w:hanging="540"/>
        <w:jc w:val="both"/>
        <w:rPr>
          <w:rFonts w:ascii="Garamond" w:hAnsi="Garamond"/>
          <w:lang w:val="en-GB"/>
        </w:rPr>
      </w:pPr>
      <w:bookmarkStart w:id="181" w:name="Jorion_2001"/>
      <w:bookmarkEnd w:id="181"/>
      <w:r w:rsidRPr="00802C03">
        <w:rPr>
          <w:rFonts w:ascii="Garamond" w:hAnsi="Garamond"/>
          <w:lang w:val="en-GB"/>
        </w:rPr>
        <w:t>Jorion, P. H. (2001). Value-at-Risk: The New Benchmark for Managing Financial Risk: 2nd Edition. New York: McGraw-Hill.</w:t>
      </w:r>
    </w:p>
    <w:p w:rsidR="001C7C52" w:rsidRPr="00802C03" w:rsidRDefault="001C7C52" w:rsidP="001F0514">
      <w:pPr>
        <w:spacing w:after="60" w:line="280" w:lineRule="exact"/>
        <w:ind w:left="540" w:hanging="540"/>
        <w:jc w:val="both"/>
        <w:rPr>
          <w:rFonts w:ascii="Garamond" w:hAnsi="Garamond"/>
          <w:lang w:val="en-GB"/>
        </w:rPr>
      </w:pPr>
      <w:bookmarkStart w:id="182" w:name="Jorion_2002"/>
      <w:bookmarkEnd w:id="182"/>
      <w:r w:rsidRPr="00802C03">
        <w:rPr>
          <w:rFonts w:ascii="Garamond" w:hAnsi="Garamond"/>
          <w:lang w:val="en-GB"/>
        </w:rPr>
        <w:t xml:space="preserve">Jorion, P. H. (2002). How Informative Are Value-at-Risk Disclosures? </w:t>
      </w:r>
      <w:r w:rsidRPr="00802C03">
        <w:rPr>
          <w:rFonts w:ascii="Garamond" w:hAnsi="Garamond"/>
          <w:i/>
          <w:lang w:val="en-GB"/>
        </w:rPr>
        <w:t>The Accounting Review</w:t>
      </w:r>
      <w:r w:rsidRPr="00802C03">
        <w:rPr>
          <w:rFonts w:ascii="Garamond" w:hAnsi="Garamond"/>
          <w:lang w:val="en-GB"/>
        </w:rPr>
        <w:t xml:space="preserve">, </w:t>
      </w:r>
      <w:r w:rsidRPr="00802C03">
        <w:rPr>
          <w:rFonts w:ascii="Garamond" w:hAnsi="Garamond"/>
          <w:i/>
          <w:lang w:val="en-GB"/>
        </w:rPr>
        <w:t>77</w:t>
      </w:r>
      <w:r w:rsidRPr="00802C03">
        <w:rPr>
          <w:rFonts w:ascii="Garamond" w:hAnsi="Garamond"/>
          <w:lang w:val="en-GB"/>
        </w:rPr>
        <w:t>, 911-931.</w:t>
      </w:r>
    </w:p>
    <w:p w:rsidR="001C7C52" w:rsidRPr="00802C03" w:rsidRDefault="001C7C52" w:rsidP="001F0514">
      <w:pPr>
        <w:spacing w:after="60" w:line="280" w:lineRule="exact"/>
        <w:ind w:left="540" w:hanging="540"/>
        <w:jc w:val="both"/>
        <w:rPr>
          <w:rFonts w:ascii="Garamond" w:hAnsi="Garamond"/>
          <w:lang w:val="en-GB"/>
        </w:rPr>
      </w:pPr>
      <w:bookmarkStart w:id="183" w:name="Kavvathas_2001"/>
      <w:bookmarkEnd w:id="183"/>
      <w:r w:rsidRPr="00802C03">
        <w:rPr>
          <w:rFonts w:ascii="Garamond" w:hAnsi="Garamond"/>
          <w:lang w:val="en-GB"/>
        </w:rPr>
        <w:t>Kavvathas, D. (2001). Estimating Credit Transition Probabilities for Corporate Bonds. University of Chicago Working Paper.</w:t>
      </w:r>
    </w:p>
    <w:p w:rsidR="001C7C52" w:rsidRPr="00802C03" w:rsidRDefault="001C7C52" w:rsidP="001F0514">
      <w:pPr>
        <w:spacing w:after="60" w:line="280" w:lineRule="exact"/>
        <w:ind w:left="540" w:hanging="540"/>
        <w:jc w:val="both"/>
        <w:rPr>
          <w:rFonts w:ascii="Garamond" w:hAnsi="Garamond"/>
          <w:lang w:val="en-GB"/>
        </w:rPr>
      </w:pPr>
      <w:bookmarkStart w:id="184" w:name="Kealhofer_Bohn_2001"/>
      <w:bookmarkEnd w:id="184"/>
      <w:r w:rsidRPr="00802C03">
        <w:rPr>
          <w:rFonts w:ascii="Garamond" w:hAnsi="Garamond"/>
          <w:lang w:val="en-GB"/>
        </w:rPr>
        <w:t>Kealhofer, S. &amp; Bohn, J. R. (2001). Portfolio Management of Default Risk. KMV Corporation, San Francisco.</w:t>
      </w:r>
    </w:p>
    <w:p w:rsidR="001C7C52" w:rsidRPr="00802C03" w:rsidRDefault="001C7C52" w:rsidP="001F0514">
      <w:pPr>
        <w:spacing w:after="60" w:line="280" w:lineRule="exact"/>
        <w:ind w:left="540" w:hanging="540"/>
        <w:jc w:val="both"/>
        <w:rPr>
          <w:rFonts w:ascii="Garamond" w:hAnsi="Garamond"/>
          <w:lang w:val="en-GB"/>
        </w:rPr>
      </w:pPr>
      <w:bookmarkStart w:id="185" w:name="Kleindiek_2005"/>
      <w:bookmarkEnd w:id="185"/>
      <w:r w:rsidRPr="00802C03">
        <w:rPr>
          <w:rFonts w:ascii="Garamond" w:hAnsi="Garamond"/>
          <w:lang w:val="en-GB"/>
        </w:rPr>
        <w:t>Kleindiek, M. (2005). Rating Migrations. Der Humboldt-Universität zu Berlin/Center for Applied Statistics and Economics.</w:t>
      </w:r>
    </w:p>
    <w:p w:rsidR="001C7C52" w:rsidRPr="00802C03" w:rsidRDefault="001C7C52" w:rsidP="001F0514">
      <w:pPr>
        <w:spacing w:after="60" w:line="280" w:lineRule="exact"/>
        <w:jc w:val="both"/>
        <w:rPr>
          <w:rFonts w:ascii="Garamond" w:hAnsi="Garamond"/>
          <w:lang w:val="en-GB"/>
        </w:rPr>
      </w:pPr>
      <w:bookmarkStart w:id="186" w:name="Knight_1921"/>
      <w:bookmarkEnd w:id="186"/>
      <w:r w:rsidRPr="00802C03">
        <w:rPr>
          <w:rFonts w:ascii="Garamond" w:hAnsi="Garamond"/>
          <w:lang w:val="en-GB"/>
        </w:rPr>
        <w:t>Knight, D. (1921). Risk, Uncertainty and Profit. New York: Harper.</w:t>
      </w:r>
    </w:p>
    <w:p w:rsidR="001C7C52" w:rsidRPr="00802C03" w:rsidRDefault="001C7C52" w:rsidP="001F0514">
      <w:pPr>
        <w:spacing w:after="60" w:line="280" w:lineRule="exact"/>
        <w:jc w:val="both"/>
        <w:rPr>
          <w:rFonts w:ascii="Garamond" w:hAnsi="Garamond"/>
          <w:lang w:val="en-GB"/>
        </w:rPr>
      </w:pPr>
      <w:bookmarkStart w:id="187" w:name="Kuchler_Sorensen_1997"/>
      <w:bookmarkEnd w:id="187"/>
      <w:r w:rsidRPr="00802C03">
        <w:rPr>
          <w:rFonts w:ascii="Garamond" w:hAnsi="Garamond"/>
          <w:lang w:val="en-GB"/>
        </w:rPr>
        <w:t>Küchler, U. &amp; Sørensen, M. (1997). Exponential Families of Stochastic Processes. New York: Springer.</w:t>
      </w:r>
    </w:p>
    <w:p w:rsidR="001C7C52" w:rsidRPr="00802C03" w:rsidRDefault="001C7C52" w:rsidP="001F0514">
      <w:pPr>
        <w:spacing w:after="60" w:line="280" w:lineRule="exact"/>
        <w:ind w:left="540" w:hanging="540"/>
        <w:jc w:val="both"/>
        <w:rPr>
          <w:rFonts w:ascii="Garamond" w:hAnsi="Garamond"/>
          <w:lang w:val="en-GB"/>
        </w:rPr>
      </w:pPr>
      <w:bookmarkStart w:id="188" w:name="Lando_Skodeberg_2002"/>
      <w:bookmarkEnd w:id="188"/>
      <w:r w:rsidRPr="00802C03">
        <w:rPr>
          <w:rFonts w:ascii="Garamond" w:hAnsi="Garamond"/>
          <w:lang w:val="en-GB"/>
        </w:rPr>
        <w:t xml:space="preserve">Lando, D. &amp; Skødeberg, T. (2002). Analyzing Rating Transitions and Rating Drift with Continuous Observations. </w:t>
      </w:r>
      <w:r w:rsidRPr="00802C03">
        <w:rPr>
          <w:rFonts w:ascii="Garamond" w:hAnsi="Garamond"/>
          <w:i/>
          <w:lang w:val="en-GB"/>
        </w:rPr>
        <w:t>Journal of Banking and Finance</w:t>
      </w:r>
      <w:r w:rsidRPr="00802C03">
        <w:rPr>
          <w:rFonts w:ascii="Garamond" w:hAnsi="Garamond"/>
          <w:lang w:val="en-GB"/>
        </w:rPr>
        <w:t xml:space="preserve">, </w:t>
      </w:r>
      <w:r w:rsidRPr="00802C03">
        <w:rPr>
          <w:rFonts w:ascii="Garamond" w:hAnsi="Garamond"/>
          <w:i/>
          <w:lang w:val="en-GB"/>
        </w:rPr>
        <w:t>26</w:t>
      </w:r>
      <w:r w:rsidRPr="00802C03">
        <w:rPr>
          <w:rFonts w:ascii="Garamond" w:hAnsi="Garamond"/>
          <w:lang w:val="en-GB"/>
        </w:rPr>
        <w:t>, 423-444.</w:t>
      </w:r>
    </w:p>
    <w:p w:rsidR="001C7C52" w:rsidRPr="00802C03" w:rsidRDefault="001C7C52" w:rsidP="001F0514">
      <w:pPr>
        <w:spacing w:after="60" w:line="280" w:lineRule="exact"/>
        <w:ind w:left="540" w:hanging="540"/>
        <w:jc w:val="both"/>
        <w:rPr>
          <w:rFonts w:ascii="Garamond" w:hAnsi="Garamond" w:cs="NewCenturySchlbk-Roman"/>
          <w:lang w:val="en-GB" w:eastAsia="nl-NL"/>
        </w:rPr>
      </w:pPr>
      <w:bookmarkStart w:id="189" w:name="LeBaron_2009"/>
      <w:bookmarkEnd w:id="189"/>
      <w:r w:rsidRPr="00802C03">
        <w:rPr>
          <w:rFonts w:ascii="Garamond" w:hAnsi="Garamond" w:cs="NewCenturySchlbk-Roman"/>
          <w:lang w:val="en-GB" w:eastAsia="nl-NL"/>
        </w:rPr>
        <w:t>LeBaron, B. (2009). Robust Properties of Stock Return Tails. International Business School/Brandeis University Working Paper.</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90" w:name="Lee_Kim_1993"/>
      <w:bookmarkEnd w:id="190"/>
      <w:r w:rsidRPr="00BE49BF">
        <w:rPr>
          <w:rFonts w:ascii="Garamond" w:hAnsi="Garamond" w:cs="NewCenturySchlbk-Roman"/>
          <w:lang w:eastAsia="nl-NL"/>
        </w:rPr>
        <w:t xml:space="preserve">Lee, S. B. &amp; Kim, K. J. (1993). </w:t>
      </w:r>
      <w:r w:rsidRPr="00802C03">
        <w:rPr>
          <w:rFonts w:ascii="Garamond" w:hAnsi="Garamond" w:cs="NewCenturySchlbk-Roman"/>
          <w:lang w:val="en-GB" w:eastAsia="nl-NL"/>
        </w:rPr>
        <w:t xml:space="preserve">Does the October 1987 Crash Strengthen the Comovements among National Stock Markets? </w:t>
      </w:r>
      <w:r w:rsidRPr="00802C03">
        <w:rPr>
          <w:rFonts w:ascii="Garamond" w:hAnsi="Garamond" w:cs="NewCenturySchlbk-Italic"/>
          <w:i/>
          <w:iCs/>
          <w:lang w:val="en-GB" w:eastAsia="nl-NL"/>
        </w:rPr>
        <w:t>Review of Financial Economics</w:t>
      </w:r>
      <w:r w:rsidRPr="00802C03">
        <w:rPr>
          <w:rFonts w:ascii="Garamond" w:hAnsi="Garamond" w:cs="NewCenturySchlbk-Italic"/>
          <w:iCs/>
          <w:lang w:val="en-GB" w:eastAsia="nl-NL"/>
        </w:rPr>
        <w:t>,</w:t>
      </w:r>
      <w:r w:rsidRPr="00802C03">
        <w:rPr>
          <w:rFonts w:ascii="Garamond" w:hAnsi="Garamond" w:cs="NewCenturySchlbk-Italic"/>
          <w:i/>
          <w:iCs/>
          <w:lang w:val="en-GB" w:eastAsia="nl-NL"/>
        </w:rPr>
        <w:t xml:space="preserve"> </w:t>
      </w:r>
      <w:r w:rsidRPr="00802C03">
        <w:rPr>
          <w:rFonts w:ascii="Garamond" w:hAnsi="Garamond" w:cs="NewCenturySchlbk-Roman"/>
          <w:i/>
          <w:lang w:val="en-GB" w:eastAsia="nl-NL"/>
        </w:rPr>
        <w:t>3</w:t>
      </w:r>
      <w:r w:rsidRPr="00802C03">
        <w:rPr>
          <w:rFonts w:ascii="Garamond" w:hAnsi="Garamond" w:cs="NewCenturySchlbk-Roman"/>
          <w:lang w:val="en-GB" w:eastAsia="nl-NL"/>
        </w:rPr>
        <w:t>, 89-102.</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91" w:name="Lim_Tan_2007"/>
      <w:bookmarkEnd w:id="191"/>
      <w:r w:rsidRPr="00802C03">
        <w:rPr>
          <w:rFonts w:ascii="Garamond" w:hAnsi="Garamond" w:cs="NimbusRomNo9L-Regu"/>
          <w:lang w:val="en-GB" w:eastAsia="nl-NL"/>
        </w:rPr>
        <w:t xml:space="preserve">Lim, C. Y. &amp; Tan, P. M. S. (2007). Value Relevance of Value-at-Risk Disclosure. </w:t>
      </w:r>
      <w:r w:rsidRPr="00802C03">
        <w:rPr>
          <w:rFonts w:ascii="Garamond" w:hAnsi="Garamond" w:cs="NimbusRomNo9L-Regu"/>
          <w:i/>
          <w:lang w:val="en-GB" w:eastAsia="nl-NL"/>
        </w:rPr>
        <w:t>Review of Quantitative Finance and Accounting</w:t>
      </w:r>
      <w:r w:rsidRPr="00802C03">
        <w:rPr>
          <w:rFonts w:ascii="Garamond" w:hAnsi="Garamond" w:cs="NimbusRomNo9L-Regu"/>
          <w:lang w:val="en-GB" w:eastAsia="nl-NL"/>
        </w:rPr>
        <w:t xml:space="preserve">, </w:t>
      </w:r>
      <w:r w:rsidRPr="00802C03">
        <w:rPr>
          <w:rFonts w:ascii="Garamond" w:hAnsi="Garamond" w:cs="NimbusRomNo9L-Regu"/>
          <w:i/>
          <w:lang w:val="en-GB" w:eastAsia="nl-NL"/>
        </w:rPr>
        <w:t>29</w:t>
      </w:r>
      <w:r w:rsidRPr="00802C03">
        <w:rPr>
          <w:rFonts w:ascii="Garamond" w:hAnsi="Garamond" w:cs="NimbusRomNo9L-Regu"/>
          <w:lang w:val="en-GB" w:eastAsia="nl-NL"/>
        </w:rPr>
        <w:t>, 353-370.</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92" w:name="Liu_et_al_2004"/>
      <w:bookmarkEnd w:id="192"/>
      <w:r w:rsidRPr="00802C03">
        <w:rPr>
          <w:rFonts w:ascii="Garamond" w:hAnsi="Garamond" w:cs="NimbusRomNo9L-Regu"/>
          <w:lang w:val="en-GB" w:eastAsia="nl-NL"/>
        </w:rPr>
        <w:t xml:space="preserve">Liu, C., Ryan, S. G. &amp; Tan, H. (2004). How Bank’s Value-at-Risk Disclosures Predict their Total and Priced Risk: Effects of Bank Technical Sophistication and Learning over Time. </w:t>
      </w:r>
      <w:r w:rsidRPr="00802C03">
        <w:rPr>
          <w:rFonts w:ascii="Garamond" w:hAnsi="Garamond" w:cs="NimbusRomNo9L-Regu"/>
          <w:i/>
          <w:lang w:val="en-GB" w:eastAsia="nl-NL"/>
        </w:rPr>
        <w:t>Review of Accounting Studies</w:t>
      </w:r>
      <w:r w:rsidRPr="00802C03">
        <w:rPr>
          <w:rFonts w:ascii="Garamond" w:hAnsi="Garamond" w:cs="NimbusRomNo9L-Regu"/>
          <w:lang w:val="en-GB" w:eastAsia="nl-NL"/>
        </w:rPr>
        <w:t xml:space="preserve">, </w:t>
      </w:r>
      <w:r w:rsidRPr="00802C03">
        <w:rPr>
          <w:rFonts w:ascii="Garamond" w:hAnsi="Garamond" w:cs="NimbusRomNo9L-Regu"/>
          <w:i/>
          <w:lang w:val="en-GB" w:eastAsia="nl-NL"/>
        </w:rPr>
        <w:t>9</w:t>
      </w:r>
      <w:r w:rsidRPr="00802C03">
        <w:rPr>
          <w:rFonts w:ascii="Garamond" w:hAnsi="Garamond" w:cs="NimbusRomNo9L-Regu"/>
          <w:lang w:val="en-GB" w:eastAsia="nl-NL"/>
        </w:rPr>
        <w:t>, 265-294.</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93" w:name="Lucas_1995"/>
      <w:bookmarkEnd w:id="193"/>
      <w:r w:rsidRPr="00802C03">
        <w:rPr>
          <w:rFonts w:ascii="Garamond" w:hAnsi="Garamond" w:cs="NimbusRomNo9L-Regu"/>
          <w:lang w:val="en-GB" w:eastAsia="nl-NL"/>
        </w:rPr>
        <w:t xml:space="preserve">Lucas, D. J. (1995). Default Correlation and Credit Analysis. </w:t>
      </w:r>
      <w:r w:rsidRPr="00802C03">
        <w:rPr>
          <w:rFonts w:ascii="Garamond" w:hAnsi="Garamond" w:cs="NimbusRomNo9L-Regu"/>
          <w:i/>
          <w:lang w:val="en-GB" w:eastAsia="nl-NL"/>
        </w:rPr>
        <w:t>Journal of Fixed Income</w:t>
      </w:r>
      <w:r w:rsidRPr="00802C03">
        <w:rPr>
          <w:rFonts w:ascii="Garamond" w:hAnsi="Garamond" w:cs="NimbusRomNo9L-Regu"/>
          <w:lang w:val="en-GB" w:eastAsia="nl-NL"/>
        </w:rPr>
        <w:t xml:space="preserve">, </w:t>
      </w:r>
      <w:r w:rsidRPr="00802C03">
        <w:rPr>
          <w:rFonts w:ascii="Garamond" w:hAnsi="Garamond" w:cs="NimbusRomNo9L-Regu"/>
          <w:i/>
          <w:lang w:val="en-GB" w:eastAsia="nl-NL"/>
        </w:rPr>
        <w:t>4</w:t>
      </w:r>
      <w:r w:rsidRPr="00802C03">
        <w:rPr>
          <w:rFonts w:ascii="Garamond" w:hAnsi="Garamond" w:cs="NimbusRomNo9L-Regu"/>
          <w:lang w:val="en-GB" w:eastAsia="nl-NL"/>
        </w:rPr>
        <w:t>, 76-87.</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194" w:name="Mashal_Zeevi_2002"/>
      <w:bookmarkEnd w:id="194"/>
      <w:r w:rsidRPr="00802C03">
        <w:rPr>
          <w:rFonts w:ascii="Garamond" w:hAnsi="Garamond" w:cs="NimbusRomNo9L-Regu"/>
          <w:lang w:val="en-GB" w:eastAsia="nl-NL"/>
        </w:rPr>
        <w:t>Mashal, R. &amp; Zeevi, A. (2002). Beyond Correlation: Extreme Co-Movements between Financial Assets. Columbia Graduate School of Business Working Paper.</w:t>
      </w:r>
    </w:p>
    <w:p w:rsidR="001C7C52" w:rsidRPr="00802C03" w:rsidRDefault="001C7C52" w:rsidP="001F0514">
      <w:pPr>
        <w:spacing w:after="60" w:line="280" w:lineRule="exact"/>
        <w:ind w:left="540" w:hanging="540"/>
        <w:jc w:val="both"/>
        <w:rPr>
          <w:rFonts w:ascii="Garamond" w:hAnsi="Garamond"/>
          <w:lang w:val="en-GB"/>
        </w:rPr>
      </w:pPr>
      <w:bookmarkStart w:id="195" w:name="Merton_1974"/>
      <w:bookmarkEnd w:id="195"/>
      <w:r w:rsidRPr="00802C03">
        <w:rPr>
          <w:rFonts w:ascii="Garamond" w:hAnsi="Garamond" w:cs="NimbusRomNo9L-Regu"/>
          <w:lang w:val="en-GB" w:eastAsia="nl-NL"/>
        </w:rPr>
        <w:t xml:space="preserve">Merton, R. (1974). On the Pricing of Corporate Debt: The Risk Structure of Interest Rates. </w:t>
      </w:r>
      <w:r w:rsidRPr="00802C03">
        <w:rPr>
          <w:rFonts w:ascii="Garamond" w:hAnsi="Garamond" w:cs="NimbusRomNo9L-Regu"/>
          <w:i/>
          <w:lang w:val="en-GB" w:eastAsia="nl-NL"/>
        </w:rPr>
        <w:t>Journal of Finance</w:t>
      </w:r>
      <w:r w:rsidRPr="00802C03">
        <w:rPr>
          <w:rFonts w:ascii="Garamond" w:hAnsi="Garamond" w:cs="NimbusRomNo9L-Regu"/>
          <w:lang w:val="en-GB" w:eastAsia="nl-NL"/>
        </w:rPr>
        <w:t xml:space="preserve">, </w:t>
      </w:r>
      <w:r w:rsidRPr="00802C03">
        <w:rPr>
          <w:rFonts w:ascii="Garamond" w:hAnsi="Garamond" w:cs="NimbusRomNo9L-Regu"/>
          <w:i/>
          <w:lang w:val="en-GB" w:eastAsia="nl-NL"/>
        </w:rPr>
        <w:t>34</w:t>
      </w:r>
      <w:r w:rsidRPr="00802C03">
        <w:rPr>
          <w:rFonts w:ascii="Garamond" w:hAnsi="Garamond" w:cs="NimbusRomNo9L-Regu"/>
          <w:lang w:val="en-GB" w:eastAsia="nl-NL"/>
        </w:rPr>
        <w:t>, 449-470.</w:t>
      </w:r>
    </w:p>
    <w:p w:rsidR="001C7C52" w:rsidRPr="00802C03" w:rsidRDefault="001C7C52" w:rsidP="001F0514">
      <w:pPr>
        <w:spacing w:after="60" w:line="280" w:lineRule="exact"/>
        <w:ind w:left="540" w:hanging="540"/>
        <w:jc w:val="both"/>
        <w:rPr>
          <w:rFonts w:ascii="Garamond" w:hAnsi="Garamond"/>
          <w:lang w:val="en-GB"/>
        </w:rPr>
      </w:pPr>
      <w:bookmarkStart w:id="196" w:name="Nagpal_Bahar_2001"/>
      <w:bookmarkEnd w:id="196"/>
      <w:r w:rsidRPr="00802C03">
        <w:rPr>
          <w:rFonts w:ascii="Garamond" w:hAnsi="Garamond" w:cs="NimbusRomNo9L-Regu"/>
          <w:lang w:val="en-GB" w:eastAsia="nl-NL"/>
        </w:rPr>
        <w:t xml:space="preserve">Nagpal, K. &amp; Bahar, R. (2001). Measuring Default Risk, </w:t>
      </w:r>
      <w:r w:rsidRPr="00802C03">
        <w:rPr>
          <w:rFonts w:ascii="Garamond" w:hAnsi="Garamond" w:cs="NimbusRomNo9L-Regu"/>
          <w:i/>
          <w:lang w:val="en-GB" w:eastAsia="nl-NL"/>
        </w:rPr>
        <w:t>Risk</w:t>
      </w:r>
      <w:r w:rsidRPr="00802C03">
        <w:rPr>
          <w:rFonts w:ascii="Garamond" w:hAnsi="Garamond" w:cs="NimbusRomNo9L-Regu"/>
          <w:lang w:val="en-GB" w:eastAsia="nl-NL"/>
        </w:rPr>
        <w:t xml:space="preserve">, </w:t>
      </w:r>
      <w:r w:rsidRPr="00802C03">
        <w:rPr>
          <w:rFonts w:ascii="Garamond" w:hAnsi="Garamond" w:cs="NimbusRomNo9L-Regu"/>
          <w:i/>
          <w:lang w:val="en-GB" w:eastAsia="nl-NL"/>
        </w:rPr>
        <w:t>14</w:t>
      </w:r>
      <w:r w:rsidRPr="00802C03">
        <w:rPr>
          <w:rFonts w:ascii="Garamond" w:hAnsi="Garamond" w:cs="NimbusRomNo9L-Regu"/>
          <w:lang w:val="en-GB" w:eastAsia="nl-NL"/>
        </w:rPr>
        <w:t>, 129-132.</w:t>
      </w:r>
    </w:p>
    <w:p w:rsidR="001C7C52" w:rsidRPr="00802C03" w:rsidRDefault="001C7C52" w:rsidP="001F0514">
      <w:pPr>
        <w:spacing w:after="60" w:line="280" w:lineRule="exact"/>
        <w:ind w:left="540" w:hanging="540"/>
        <w:jc w:val="both"/>
        <w:rPr>
          <w:rFonts w:ascii="Garamond" w:hAnsi="Garamond"/>
          <w:lang w:val="en-GB"/>
        </w:rPr>
      </w:pPr>
      <w:bookmarkStart w:id="197" w:name="Nashikkar_et_al_2009"/>
      <w:bookmarkEnd w:id="197"/>
      <w:r w:rsidRPr="00802C03">
        <w:rPr>
          <w:rFonts w:ascii="Garamond" w:hAnsi="Garamond"/>
          <w:lang w:val="en-GB"/>
        </w:rPr>
        <w:t>Nashikkar, A., Subrahmanyam, M. &amp; Mahanti, S. (2009). Limited Arbitrage and Liquidity in the Market for Credit Risk. NYU Working Paper, No. FIN-08-011.</w:t>
      </w:r>
    </w:p>
    <w:p w:rsidR="001C7C52" w:rsidRPr="00802C03" w:rsidRDefault="001C7C52" w:rsidP="001F0514">
      <w:pPr>
        <w:spacing w:after="60" w:line="280" w:lineRule="exact"/>
        <w:ind w:left="540" w:hanging="540"/>
        <w:jc w:val="both"/>
        <w:rPr>
          <w:rFonts w:ascii="Garamond" w:hAnsi="Garamond"/>
          <w:lang w:val="en-GB"/>
        </w:rPr>
      </w:pPr>
      <w:bookmarkStart w:id="198" w:name="Nelson_2006"/>
      <w:bookmarkEnd w:id="198"/>
      <w:r w:rsidRPr="00802C03">
        <w:rPr>
          <w:rFonts w:ascii="Garamond" w:hAnsi="Garamond"/>
          <w:lang w:val="en-GB"/>
        </w:rPr>
        <w:t xml:space="preserve">Nelson, R. B. (2006). An Introduction to Copulas, 2nd Edition. New York: Springer. </w:t>
      </w:r>
    </w:p>
    <w:p w:rsidR="001C7C52" w:rsidRPr="00802C03" w:rsidRDefault="001C7C52" w:rsidP="001F0514">
      <w:pPr>
        <w:spacing w:after="60" w:line="280" w:lineRule="exact"/>
        <w:ind w:left="540" w:hanging="540"/>
        <w:jc w:val="both"/>
        <w:rPr>
          <w:rFonts w:ascii="Garamond" w:hAnsi="Garamond"/>
          <w:lang w:val="en-GB"/>
        </w:rPr>
      </w:pPr>
      <w:bookmarkStart w:id="199" w:name="Nickell_et_al_2000"/>
      <w:bookmarkEnd w:id="199"/>
      <w:r w:rsidRPr="00802C03">
        <w:rPr>
          <w:rFonts w:ascii="Garamond" w:hAnsi="Garamond"/>
          <w:lang w:val="en-GB"/>
        </w:rPr>
        <w:t xml:space="preserve">Nickell, P., Perraudin, W. &amp; Varotto, S. (2000). Stability of Rating Transitions. </w:t>
      </w:r>
      <w:r w:rsidRPr="00802C03">
        <w:rPr>
          <w:rFonts w:ascii="Garamond" w:hAnsi="Garamond"/>
          <w:i/>
          <w:lang w:val="en-GB"/>
        </w:rPr>
        <w:t>Journal of Banking and Finance</w:t>
      </w:r>
      <w:r w:rsidRPr="00802C03">
        <w:rPr>
          <w:rFonts w:ascii="Garamond" w:hAnsi="Garamond"/>
          <w:lang w:val="en-GB"/>
        </w:rPr>
        <w:t xml:space="preserve">, </w:t>
      </w:r>
      <w:r w:rsidRPr="00802C03">
        <w:rPr>
          <w:rFonts w:ascii="Garamond" w:hAnsi="Garamond"/>
          <w:i/>
          <w:lang w:val="en-GB"/>
        </w:rPr>
        <w:t>24</w:t>
      </w:r>
      <w:r w:rsidRPr="00802C03">
        <w:rPr>
          <w:rFonts w:ascii="Garamond" w:hAnsi="Garamond"/>
          <w:lang w:val="en-GB"/>
        </w:rPr>
        <w:t>, 203-227.</w:t>
      </w:r>
    </w:p>
    <w:p w:rsidR="001C7C52" w:rsidRPr="00802C03" w:rsidRDefault="001C7C52" w:rsidP="001F0514">
      <w:pPr>
        <w:spacing w:after="60" w:line="280" w:lineRule="exact"/>
        <w:ind w:left="540" w:hanging="540"/>
        <w:jc w:val="both"/>
        <w:rPr>
          <w:rFonts w:ascii="Garamond" w:hAnsi="Garamond"/>
          <w:lang w:val="en-GB"/>
        </w:rPr>
      </w:pPr>
      <w:bookmarkStart w:id="200" w:name="Nyfeler_2000"/>
      <w:bookmarkEnd w:id="200"/>
      <w:r w:rsidRPr="00802C03">
        <w:rPr>
          <w:rFonts w:ascii="Garamond" w:hAnsi="Garamond"/>
          <w:lang w:val="en-GB"/>
        </w:rPr>
        <w:t>Nyfeler, M. A. (2000). Modelling Dependencies in Credit Risk Management. Swiss Federal Institute of Technology, Zurich.</w:t>
      </w:r>
    </w:p>
    <w:p w:rsidR="001C7C52" w:rsidRPr="00802C03" w:rsidRDefault="001C7C52" w:rsidP="001F0514">
      <w:pPr>
        <w:spacing w:after="60" w:line="280" w:lineRule="exact"/>
        <w:ind w:left="539" w:hanging="539"/>
        <w:jc w:val="both"/>
        <w:rPr>
          <w:rFonts w:ascii="Garamond" w:hAnsi="Garamond" w:cs="NimbusRomNo9L-Regu"/>
          <w:lang w:val="en-GB" w:eastAsia="nl-NL"/>
        </w:rPr>
      </w:pPr>
      <w:bookmarkStart w:id="201" w:name="Parsons_2009"/>
      <w:bookmarkEnd w:id="201"/>
      <w:r w:rsidRPr="00802C03">
        <w:rPr>
          <w:rFonts w:ascii="Garamond" w:hAnsi="Garamond" w:cs="NimbusRomNo9L-Regu"/>
          <w:lang w:val="en-GB" w:eastAsia="nl-NL"/>
        </w:rPr>
        <w:t>Parsons, J. (2009). The Regulatory Response Bank Capital Adequacy as a Result of the Financial Crisis. LTP Trade Research, London.</w:t>
      </w:r>
    </w:p>
    <w:p w:rsidR="001C7C52" w:rsidRPr="00802C03" w:rsidRDefault="001C7C52" w:rsidP="001F0514">
      <w:pPr>
        <w:spacing w:after="60" w:line="280" w:lineRule="exact"/>
        <w:ind w:left="539" w:hanging="539"/>
        <w:jc w:val="both"/>
        <w:rPr>
          <w:rFonts w:ascii="Garamond" w:hAnsi="Garamond" w:cs="NimbusRomNo9L-Regu"/>
          <w:lang w:val="en-GB" w:eastAsia="nl-NL"/>
        </w:rPr>
      </w:pPr>
      <w:bookmarkStart w:id="202" w:name="Rigobon_2003"/>
      <w:bookmarkEnd w:id="202"/>
      <w:r w:rsidRPr="00802C03">
        <w:rPr>
          <w:rFonts w:ascii="Garamond" w:hAnsi="Garamond" w:cs="NimbusRomNo9L-Regu"/>
          <w:lang w:val="en-GB" w:eastAsia="nl-NL"/>
        </w:rPr>
        <w:t xml:space="preserve">Rigobon, R. (2003). </w:t>
      </w:r>
      <w:r w:rsidRPr="00802C03">
        <w:rPr>
          <w:rFonts w:ascii="Garamond" w:hAnsi="Garamond" w:cs="Arial"/>
          <w:bCs/>
          <w:lang w:val="en-GB"/>
        </w:rPr>
        <w:t xml:space="preserve">On the Measurement of the International Propagation of Shocks: Is the Transmission Stable? </w:t>
      </w:r>
      <w:r w:rsidRPr="00802C03">
        <w:rPr>
          <w:rFonts w:ascii="Garamond" w:hAnsi="Garamond" w:cs="Arial"/>
          <w:bCs/>
          <w:i/>
          <w:lang w:val="en-GB"/>
        </w:rPr>
        <w:t>Journal of International Economics</w:t>
      </w:r>
      <w:r w:rsidRPr="00802C03">
        <w:rPr>
          <w:rFonts w:ascii="Garamond" w:hAnsi="Garamond" w:cs="Arial"/>
          <w:bCs/>
          <w:lang w:val="en-GB"/>
        </w:rPr>
        <w:t xml:space="preserve">, </w:t>
      </w:r>
      <w:r w:rsidRPr="00802C03">
        <w:rPr>
          <w:rFonts w:ascii="Garamond" w:hAnsi="Garamond" w:cs="Arial"/>
          <w:bCs/>
          <w:i/>
          <w:lang w:val="en-GB"/>
        </w:rPr>
        <w:t>61</w:t>
      </w:r>
      <w:r w:rsidRPr="00802C03">
        <w:rPr>
          <w:rFonts w:ascii="Garamond" w:hAnsi="Garamond" w:cs="Arial"/>
          <w:bCs/>
          <w:lang w:val="en-GB"/>
        </w:rPr>
        <w:t>, 261-283.</w:t>
      </w:r>
    </w:p>
    <w:p w:rsidR="001C7C52" w:rsidRPr="00802C03" w:rsidRDefault="001C7C52" w:rsidP="001F0514">
      <w:pPr>
        <w:spacing w:after="60" w:line="280" w:lineRule="exact"/>
        <w:ind w:left="539" w:hanging="539"/>
        <w:jc w:val="both"/>
        <w:rPr>
          <w:rFonts w:ascii="Garamond" w:hAnsi="Garamond" w:cs="NimbusRomNo9L-Regu"/>
          <w:lang w:val="en-GB" w:eastAsia="nl-NL"/>
        </w:rPr>
      </w:pPr>
      <w:bookmarkStart w:id="203" w:name="Rowe_2003"/>
      <w:bookmarkEnd w:id="203"/>
      <w:r w:rsidRPr="00802C03">
        <w:rPr>
          <w:rFonts w:ascii="Garamond" w:hAnsi="Garamond" w:cs="NimbusRomNo9L-Regu"/>
          <w:lang w:val="en-GB" w:eastAsia="nl-NL"/>
        </w:rPr>
        <w:t xml:space="preserve">Rowe, D. (2003). Risk Analysis: No Cure through the Cycle. </w:t>
      </w:r>
      <w:r w:rsidRPr="00802C03">
        <w:rPr>
          <w:rFonts w:ascii="Garamond" w:hAnsi="Garamond" w:cs="NimbusRomNo9L-Regu"/>
          <w:i/>
          <w:lang w:val="en-GB" w:eastAsia="nl-NL"/>
        </w:rPr>
        <w:t>Risk</w:t>
      </w:r>
      <w:r w:rsidRPr="00802C03">
        <w:rPr>
          <w:rFonts w:ascii="Garamond" w:hAnsi="Garamond" w:cs="NimbusRomNo9L-Regu"/>
          <w:lang w:val="en-GB" w:eastAsia="nl-NL"/>
        </w:rPr>
        <w:t>, 50.</w:t>
      </w:r>
    </w:p>
    <w:p w:rsidR="001C7C52" w:rsidRPr="00802C03" w:rsidRDefault="001C7C52" w:rsidP="001F0514">
      <w:pPr>
        <w:spacing w:after="60" w:line="280" w:lineRule="exact"/>
        <w:ind w:left="539" w:hanging="539"/>
        <w:jc w:val="both"/>
        <w:rPr>
          <w:rFonts w:ascii="Garamond" w:hAnsi="Garamond" w:cs="NimbusRomNo9L-Regu"/>
          <w:lang w:val="en-GB" w:eastAsia="nl-NL"/>
        </w:rPr>
      </w:pPr>
      <w:bookmarkStart w:id="204" w:name="Saunders_Allen_2002"/>
      <w:bookmarkEnd w:id="204"/>
      <w:r w:rsidRPr="00802C03">
        <w:rPr>
          <w:rFonts w:ascii="Garamond" w:hAnsi="Garamond" w:cs="NimbusRomNo9L-Regu"/>
          <w:lang w:val="en-GB" w:eastAsia="nl-NL"/>
        </w:rPr>
        <w:t>Saunders, A. &amp; Allen, L. (2002). Credit Risk Measurement: New Approaches to Value-at-Risk and Other Paradigms, 2nd Edition. New York: John Wiley &amp; Sons, Inc.</w:t>
      </w:r>
    </w:p>
    <w:p w:rsidR="001C7C52" w:rsidRPr="00802C03" w:rsidRDefault="001C7C52" w:rsidP="001F0514">
      <w:pPr>
        <w:spacing w:after="60" w:line="280" w:lineRule="exact"/>
        <w:ind w:left="539" w:hanging="539"/>
        <w:jc w:val="both"/>
        <w:rPr>
          <w:rFonts w:ascii="Garamond" w:hAnsi="Garamond" w:cs="NimbusRomNo9L-Regu"/>
          <w:lang w:val="en-GB" w:eastAsia="nl-NL"/>
        </w:rPr>
      </w:pPr>
      <w:bookmarkStart w:id="205" w:name="Schleifer_Vishny_1992"/>
      <w:bookmarkEnd w:id="205"/>
      <w:r w:rsidRPr="00802C03">
        <w:rPr>
          <w:rFonts w:ascii="Garamond" w:hAnsi="Garamond" w:cs="NimbusRomNo9L-Regu"/>
          <w:lang w:val="en-GB" w:eastAsia="nl-NL"/>
        </w:rPr>
        <w:t xml:space="preserve">Schleifer, A. &amp; Vishny, R. (1992). Liquidation Values and Debt Capacity: A Market Equilibrium Approach. </w:t>
      </w:r>
      <w:r w:rsidRPr="00802C03">
        <w:rPr>
          <w:rFonts w:ascii="Garamond" w:hAnsi="Garamond" w:cs="NimbusRomNo9L-Regu"/>
          <w:i/>
          <w:lang w:val="en-GB" w:eastAsia="nl-NL"/>
        </w:rPr>
        <w:t>Journal of Finance</w:t>
      </w:r>
      <w:r w:rsidRPr="00802C03">
        <w:rPr>
          <w:rFonts w:ascii="Garamond" w:hAnsi="Garamond" w:cs="NimbusRomNo9L-Regu"/>
          <w:lang w:val="en-GB" w:eastAsia="nl-NL"/>
        </w:rPr>
        <w:t xml:space="preserve">, </w:t>
      </w:r>
      <w:r w:rsidRPr="00802C03">
        <w:rPr>
          <w:rFonts w:ascii="Garamond" w:hAnsi="Garamond" w:cs="NimbusRomNo9L-Regu"/>
          <w:i/>
          <w:lang w:val="en-GB" w:eastAsia="nl-NL"/>
        </w:rPr>
        <w:t>47</w:t>
      </w:r>
      <w:r w:rsidRPr="00802C03">
        <w:rPr>
          <w:rFonts w:ascii="Garamond" w:hAnsi="Garamond" w:cs="NimbusRomNo9L-Regu"/>
          <w:lang w:val="en-GB" w:eastAsia="nl-NL"/>
        </w:rPr>
        <w:t>, 1343-1366.</w:t>
      </w:r>
    </w:p>
    <w:p w:rsidR="001C7C52" w:rsidRPr="00802C03" w:rsidRDefault="001C7C52" w:rsidP="001F0514">
      <w:pPr>
        <w:spacing w:after="60" w:line="280" w:lineRule="exact"/>
        <w:ind w:left="539" w:hanging="539"/>
        <w:jc w:val="both"/>
        <w:rPr>
          <w:rFonts w:ascii="Garamond" w:hAnsi="Garamond"/>
          <w:lang w:val="en-GB"/>
        </w:rPr>
      </w:pPr>
      <w:bookmarkStart w:id="206" w:name="DeServigny_Renault_2003"/>
      <w:bookmarkEnd w:id="206"/>
      <w:r w:rsidRPr="00802C03">
        <w:rPr>
          <w:rFonts w:ascii="Garamond" w:hAnsi="Garamond" w:cs="NimbusRomNo9L-Regu"/>
          <w:lang w:val="en-GB" w:eastAsia="nl-NL"/>
        </w:rPr>
        <w:t xml:space="preserve">De Servigny, A. &amp; Renault, O. (2003). Correlation Evidence. </w:t>
      </w:r>
      <w:r w:rsidRPr="00802C03">
        <w:rPr>
          <w:rFonts w:ascii="Garamond" w:hAnsi="Garamond" w:cs="NimbusRomNo9L-Regu"/>
          <w:i/>
          <w:lang w:val="en-GB" w:eastAsia="nl-NL"/>
        </w:rPr>
        <w:t>Risk</w:t>
      </w:r>
      <w:r w:rsidRPr="00802C03">
        <w:rPr>
          <w:rFonts w:ascii="Garamond" w:hAnsi="Garamond" w:cs="NimbusRomNo9L-Regu"/>
          <w:lang w:val="en-GB" w:eastAsia="nl-NL"/>
        </w:rPr>
        <w:t>, 90-94.</w:t>
      </w:r>
    </w:p>
    <w:p w:rsidR="001C7C52" w:rsidRPr="00802C03" w:rsidRDefault="001C7C52" w:rsidP="001F0514">
      <w:pPr>
        <w:spacing w:after="60" w:line="280" w:lineRule="exact"/>
        <w:ind w:left="540" w:hanging="540"/>
        <w:jc w:val="both"/>
        <w:rPr>
          <w:rFonts w:ascii="Garamond" w:hAnsi="Garamond"/>
          <w:lang w:val="en-GB"/>
        </w:rPr>
      </w:pPr>
      <w:bookmarkStart w:id="207" w:name="Shumway_2001"/>
      <w:bookmarkEnd w:id="207"/>
      <w:r w:rsidRPr="00802C03">
        <w:rPr>
          <w:rFonts w:ascii="Garamond" w:hAnsi="Garamond"/>
          <w:lang w:val="en-GB"/>
        </w:rPr>
        <w:t xml:space="preserve">Shumway, T. (2001). Forecasting Bankruptcy More Accurately: A Simple Hazard Model. </w:t>
      </w:r>
      <w:r w:rsidRPr="00802C03">
        <w:rPr>
          <w:rFonts w:ascii="Garamond" w:hAnsi="Garamond"/>
          <w:i/>
          <w:lang w:val="en-GB"/>
        </w:rPr>
        <w:t>Journal of Business</w:t>
      </w:r>
      <w:r w:rsidRPr="00802C03">
        <w:rPr>
          <w:rFonts w:ascii="Garamond" w:hAnsi="Garamond"/>
          <w:lang w:val="en-GB"/>
        </w:rPr>
        <w:t xml:space="preserve">, </w:t>
      </w:r>
      <w:r w:rsidRPr="00802C03">
        <w:rPr>
          <w:rFonts w:ascii="Garamond" w:hAnsi="Garamond"/>
          <w:i/>
          <w:lang w:val="en-GB"/>
        </w:rPr>
        <w:t>74</w:t>
      </w:r>
      <w:r w:rsidRPr="00802C03">
        <w:rPr>
          <w:rFonts w:ascii="Garamond" w:hAnsi="Garamond"/>
          <w:lang w:val="en-GB"/>
        </w:rPr>
        <w:t>, 101-124.</w:t>
      </w:r>
    </w:p>
    <w:p w:rsidR="001C7C52" w:rsidRPr="00BE49BF" w:rsidRDefault="001C7C52" w:rsidP="001F0514">
      <w:pPr>
        <w:spacing w:after="60" w:line="280" w:lineRule="exact"/>
        <w:ind w:left="540" w:hanging="540"/>
        <w:jc w:val="both"/>
        <w:rPr>
          <w:rFonts w:ascii="Garamond" w:hAnsi="Garamond"/>
        </w:rPr>
      </w:pPr>
      <w:bookmarkStart w:id="208" w:name="Sklar_1959"/>
      <w:bookmarkEnd w:id="208"/>
      <w:r w:rsidRPr="00802C03">
        <w:rPr>
          <w:rFonts w:ascii="Garamond" w:hAnsi="Garamond"/>
          <w:lang w:val="en-GB"/>
        </w:rPr>
        <w:t xml:space="preserve">Sklar, A. (1959). Fonctions de Répartition à n Dimensions et Leurs Marges. </w:t>
      </w:r>
      <w:r w:rsidRPr="00BE49BF">
        <w:rPr>
          <w:rFonts w:ascii="Garamond" w:hAnsi="Garamond"/>
          <w:i/>
        </w:rPr>
        <w:t>Publications de l’Institut de Statistique de l’Universitité de Paris</w:t>
      </w:r>
      <w:r w:rsidRPr="00BE49BF">
        <w:rPr>
          <w:rFonts w:ascii="Garamond" w:hAnsi="Garamond"/>
        </w:rPr>
        <w:t xml:space="preserve">, </w:t>
      </w:r>
      <w:r w:rsidRPr="00BE49BF">
        <w:rPr>
          <w:rFonts w:ascii="Garamond" w:hAnsi="Garamond"/>
          <w:i/>
        </w:rPr>
        <w:t>8</w:t>
      </w:r>
      <w:r w:rsidRPr="00BE49BF">
        <w:rPr>
          <w:rFonts w:ascii="Garamond" w:hAnsi="Garamond"/>
        </w:rPr>
        <w:t>, 229-231.</w:t>
      </w:r>
    </w:p>
    <w:p w:rsidR="001C7C52" w:rsidRPr="00802C03" w:rsidRDefault="001C7C52" w:rsidP="001F0514">
      <w:pPr>
        <w:spacing w:after="60" w:line="280" w:lineRule="exact"/>
        <w:ind w:left="540" w:hanging="540"/>
        <w:jc w:val="both"/>
        <w:rPr>
          <w:rFonts w:ascii="Garamond" w:hAnsi="Garamond"/>
          <w:lang w:val="en-GB"/>
        </w:rPr>
      </w:pPr>
      <w:bookmarkStart w:id="209" w:name="Skodeberg_1998"/>
      <w:bookmarkEnd w:id="209"/>
      <w:r w:rsidRPr="00BE49BF">
        <w:rPr>
          <w:rFonts w:ascii="Garamond" w:hAnsi="Garamond"/>
        </w:rPr>
        <w:t xml:space="preserve">Skødeberg, T. (1998). </w:t>
      </w:r>
      <w:r w:rsidRPr="00802C03">
        <w:rPr>
          <w:rFonts w:ascii="Garamond" w:hAnsi="Garamond"/>
          <w:lang w:val="en-GB"/>
        </w:rPr>
        <w:t>Statistical Analysis of Rating Transitions – A Survival Analytic Approach. Master’s Thesis, University of Copenhagen.</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210" w:name="Tang_Yan_2007"/>
      <w:bookmarkEnd w:id="210"/>
      <w:r w:rsidRPr="00802C03">
        <w:rPr>
          <w:rFonts w:ascii="Garamond" w:hAnsi="Garamond" w:cs="NimbusRomNo9L-Regu"/>
          <w:lang w:val="en-GB" w:eastAsia="nl-NL"/>
        </w:rPr>
        <w:t>Tang, D. Y. &amp; Yan, H. (2007). Liquidity and Credit Default Swaps. AFA 2007 Chicago Meetings Paper; EFA 2008 Athens Meeting Paper.</w:t>
      </w:r>
    </w:p>
    <w:p w:rsidR="001C7C52" w:rsidRPr="00802C03" w:rsidRDefault="001C7C52" w:rsidP="001F0514">
      <w:pPr>
        <w:spacing w:after="60" w:line="280" w:lineRule="exact"/>
        <w:ind w:left="540" w:hanging="540"/>
        <w:jc w:val="both"/>
        <w:rPr>
          <w:rFonts w:ascii="Garamond" w:hAnsi="Garamond" w:cs="NimbusRomNo9L-Regu"/>
          <w:lang w:val="en-GB" w:eastAsia="nl-NL"/>
        </w:rPr>
      </w:pPr>
      <w:bookmarkStart w:id="211" w:name="Toyli_2002"/>
      <w:bookmarkEnd w:id="211"/>
      <w:r w:rsidRPr="00802C03">
        <w:rPr>
          <w:rFonts w:ascii="Garamond" w:hAnsi="Garamond" w:cs="NimbusRomNo9L-Regu"/>
          <w:lang w:val="en-GB" w:eastAsia="nl-NL"/>
        </w:rPr>
        <w:t>Töyli, J. (2002). Essay on Asset Return Distributions. Helsinki University of Technology Laboratory of Computational Engineering Publications, Report B33.</w:t>
      </w:r>
    </w:p>
    <w:p w:rsidR="001C7C52" w:rsidRPr="00802C03" w:rsidRDefault="001C7C52" w:rsidP="009D36AA">
      <w:pPr>
        <w:spacing w:after="60" w:line="280" w:lineRule="exact"/>
        <w:ind w:left="540" w:hanging="540"/>
        <w:jc w:val="both"/>
        <w:rPr>
          <w:rFonts w:ascii="Garamond" w:hAnsi="Garamond" w:cs="NimbusRomNo9L-Regu"/>
          <w:lang w:val="en-GB" w:eastAsia="nl-NL"/>
        </w:rPr>
      </w:pPr>
      <w:bookmarkStart w:id="212" w:name="Trivedi_Zimmer_2005"/>
      <w:bookmarkEnd w:id="212"/>
      <w:r w:rsidRPr="00802C03">
        <w:rPr>
          <w:rFonts w:ascii="Garamond" w:hAnsi="Garamond" w:cs="NimbusRomNo9L-Regu"/>
          <w:lang w:val="en-GB" w:eastAsia="nl-NL"/>
        </w:rPr>
        <w:t xml:space="preserve">Trivedi, P. K. &amp; Zimmer, D. M. (2005). Copula Modeling: An Introduction for Practitioners. </w:t>
      </w:r>
      <w:r w:rsidRPr="00802C03">
        <w:rPr>
          <w:rFonts w:ascii="Garamond" w:hAnsi="Garamond" w:cs="NimbusRomNo9L-Regu"/>
          <w:i/>
          <w:lang w:val="en-GB" w:eastAsia="nl-NL"/>
        </w:rPr>
        <w:t>Foundation and Trends in Econometrics</w:t>
      </w:r>
      <w:r w:rsidRPr="00802C03">
        <w:rPr>
          <w:rFonts w:ascii="Garamond" w:hAnsi="Garamond" w:cs="NimbusRomNo9L-Regu"/>
          <w:lang w:val="en-GB" w:eastAsia="nl-NL"/>
        </w:rPr>
        <w:t xml:space="preserve">, </w:t>
      </w:r>
      <w:r w:rsidRPr="00802C03">
        <w:rPr>
          <w:rFonts w:ascii="Garamond" w:hAnsi="Garamond" w:cs="NimbusRomNo9L-Regu"/>
          <w:i/>
          <w:lang w:val="en-GB" w:eastAsia="nl-NL"/>
        </w:rPr>
        <w:t>1</w:t>
      </w:r>
      <w:r w:rsidRPr="00802C03">
        <w:rPr>
          <w:rFonts w:ascii="Garamond" w:hAnsi="Garamond" w:cs="NimbusRomNo9L-Regu"/>
          <w:lang w:val="en-GB" w:eastAsia="nl-NL"/>
        </w:rPr>
        <w:t>, 1-111.</w:t>
      </w:r>
    </w:p>
    <w:p w:rsidR="001C7C52" w:rsidRPr="00802C03" w:rsidRDefault="001C7C52" w:rsidP="001F0514">
      <w:pPr>
        <w:spacing w:after="60" w:line="280" w:lineRule="exact"/>
        <w:ind w:left="540" w:hanging="540"/>
        <w:jc w:val="both"/>
        <w:rPr>
          <w:rFonts w:ascii="Garamond" w:hAnsi="Garamond"/>
          <w:lang w:val="en-GB"/>
        </w:rPr>
      </w:pPr>
      <w:bookmarkStart w:id="213" w:name="Vazza_et_al_2008"/>
      <w:bookmarkEnd w:id="213"/>
      <w:r w:rsidRPr="00802C03">
        <w:rPr>
          <w:rFonts w:ascii="Garamond" w:hAnsi="Garamond"/>
          <w:lang w:val="en-GB"/>
        </w:rPr>
        <w:t>Vazza, D., Aurora, D. &amp; Kraemer, N. (2008). Default, Transition, and Recovery: 2007 Annual Global Corporate Default Study and Rating Transitions (Premium). RatingsDirect. Standard &amp; Poor’s, New York.</w:t>
      </w:r>
    </w:p>
    <w:p w:rsidR="001C7C52" w:rsidRPr="00802C03" w:rsidRDefault="001C7C52" w:rsidP="001F0514">
      <w:pPr>
        <w:spacing w:after="60" w:line="280" w:lineRule="exact"/>
        <w:ind w:left="540" w:hanging="540"/>
        <w:jc w:val="both"/>
        <w:rPr>
          <w:rFonts w:ascii="Garamond" w:hAnsi="Garamond"/>
          <w:lang w:val="en-GB"/>
        </w:rPr>
      </w:pPr>
      <w:bookmarkStart w:id="214" w:name="Whalen_1991"/>
      <w:bookmarkEnd w:id="214"/>
      <w:r w:rsidRPr="00802C03">
        <w:rPr>
          <w:rFonts w:ascii="Garamond" w:hAnsi="Garamond"/>
          <w:lang w:val="en-GB"/>
        </w:rPr>
        <w:t xml:space="preserve">Whalen, G. (1991). A Proportional Hazards Model of Bank Failure: An Examination of its Usefulness as an Early Warning Tool. </w:t>
      </w:r>
      <w:r w:rsidRPr="00802C03">
        <w:rPr>
          <w:rFonts w:ascii="Garamond" w:hAnsi="Garamond"/>
          <w:i/>
          <w:lang w:val="en-GB"/>
        </w:rPr>
        <w:t>Federal Reserve Bank of Cleveland Economic Review, First Quarter</w:t>
      </w:r>
      <w:r w:rsidRPr="00802C03">
        <w:rPr>
          <w:rFonts w:ascii="Garamond" w:hAnsi="Garamond"/>
          <w:lang w:val="en-GB"/>
        </w:rPr>
        <w:t>.</w:t>
      </w:r>
    </w:p>
    <w:p w:rsidR="001C7C52" w:rsidRPr="00802C03" w:rsidRDefault="001C7C52" w:rsidP="001F0514">
      <w:pPr>
        <w:spacing w:after="60" w:line="280" w:lineRule="exact"/>
        <w:ind w:left="539" w:hanging="539"/>
        <w:jc w:val="both"/>
        <w:rPr>
          <w:rFonts w:ascii="Garamond" w:hAnsi="Garamond"/>
          <w:lang w:val="en-GB"/>
        </w:rPr>
      </w:pPr>
      <w:bookmarkStart w:id="215" w:name="Wilde_1997"/>
      <w:bookmarkEnd w:id="215"/>
      <w:r w:rsidRPr="00802C03">
        <w:rPr>
          <w:rFonts w:ascii="Garamond" w:hAnsi="Garamond"/>
          <w:lang w:val="en-GB"/>
        </w:rPr>
        <w:t>Wilde, T. (1997). CreditRisk+: A CreditRisk Management Framework. Credit Suisse Financial Products, London.</w:t>
      </w:r>
    </w:p>
    <w:p w:rsidR="001C7C52" w:rsidRPr="00802C03" w:rsidRDefault="001C7C52" w:rsidP="001F0514">
      <w:pPr>
        <w:spacing w:after="60" w:line="280" w:lineRule="exact"/>
        <w:ind w:left="539" w:hanging="539"/>
        <w:jc w:val="both"/>
        <w:rPr>
          <w:rFonts w:ascii="Garamond" w:hAnsi="Garamond"/>
          <w:lang w:val="en-GB"/>
        </w:rPr>
      </w:pPr>
      <w:bookmarkStart w:id="216" w:name="Wilson_1997"/>
      <w:bookmarkEnd w:id="216"/>
      <w:r w:rsidRPr="00802C03">
        <w:rPr>
          <w:rFonts w:ascii="Garamond" w:hAnsi="Garamond"/>
          <w:lang w:val="en-GB"/>
        </w:rPr>
        <w:t xml:space="preserve">Wilson, T. C. (1997). Credit Risk Modeling: A New Approach. New York: McKinsey, Inc.; Portfolio Credit Risk (I), </w:t>
      </w:r>
      <w:r w:rsidRPr="00802C03">
        <w:rPr>
          <w:rFonts w:ascii="Garamond" w:hAnsi="Garamond"/>
          <w:i/>
          <w:lang w:val="en-GB"/>
        </w:rPr>
        <w:t xml:space="preserve">Risk </w:t>
      </w:r>
      <w:r w:rsidRPr="00802C03">
        <w:rPr>
          <w:rFonts w:ascii="Garamond" w:hAnsi="Garamond"/>
          <w:lang w:val="en-GB"/>
        </w:rPr>
        <w:t xml:space="preserve">(October 1997); Portfolio Credit Risk (II), </w:t>
      </w:r>
      <w:r w:rsidRPr="00802C03">
        <w:rPr>
          <w:rFonts w:ascii="Garamond" w:hAnsi="Garamond"/>
          <w:i/>
          <w:lang w:val="en-GB"/>
        </w:rPr>
        <w:t>Risk</w:t>
      </w:r>
      <w:r w:rsidRPr="00802C03">
        <w:rPr>
          <w:rFonts w:ascii="Garamond" w:hAnsi="Garamond"/>
          <w:lang w:val="en-GB"/>
        </w:rPr>
        <w:t xml:space="preserve"> (November 1997).</w:t>
      </w:r>
    </w:p>
    <w:p w:rsidR="001C7C52" w:rsidRPr="00802C03" w:rsidRDefault="001C7C52" w:rsidP="001F0514">
      <w:pPr>
        <w:spacing w:after="60" w:line="280" w:lineRule="exact"/>
        <w:ind w:left="539" w:hanging="539"/>
        <w:jc w:val="both"/>
        <w:rPr>
          <w:rFonts w:ascii="Garamond" w:hAnsi="Garamond"/>
          <w:lang w:val="en-GB"/>
        </w:rPr>
      </w:pPr>
      <w:bookmarkStart w:id="217" w:name="Zeng_Zhang_2001"/>
      <w:bookmarkEnd w:id="217"/>
      <w:r w:rsidRPr="00802C03">
        <w:rPr>
          <w:rFonts w:ascii="Garamond" w:hAnsi="Garamond"/>
          <w:lang w:val="en-GB"/>
        </w:rPr>
        <w:t>Zeng, B. &amp; Zhang, J. (2001). An Empirical Assessment of Asset Correlation Models. KMV Corporation, San Francisco.</w:t>
      </w:r>
    </w:p>
    <w:p w:rsidR="001C7C52" w:rsidRPr="00802C03" w:rsidRDefault="001C7C52" w:rsidP="001F0514">
      <w:pPr>
        <w:spacing w:after="60" w:line="280" w:lineRule="exact"/>
        <w:ind w:left="539" w:hanging="539"/>
        <w:jc w:val="both"/>
        <w:rPr>
          <w:rFonts w:ascii="Garamond" w:hAnsi="Garamond"/>
          <w:lang w:val="en-GB"/>
        </w:rPr>
      </w:pPr>
      <w:bookmarkStart w:id="218" w:name="Zeng_Zhang_2002"/>
      <w:bookmarkEnd w:id="218"/>
      <w:r w:rsidRPr="00802C03">
        <w:rPr>
          <w:rFonts w:ascii="Garamond" w:hAnsi="Garamond"/>
          <w:lang w:val="en-GB"/>
        </w:rPr>
        <w:t>Zeng, B. &amp; Zhang, J. (2002). Measuring Credit Correlations: Equity Correlations are Not Enough! KMV Corporation, San Francisco.</w:t>
      </w:r>
    </w:p>
    <w:p w:rsidR="001C7C52" w:rsidRDefault="001C7C52" w:rsidP="001F0514">
      <w:pPr>
        <w:spacing w:after="60" w:line="280" w:lineRule="exact"/>
        <w:ind w:left="539" w:hanging="539"/>
        <w:jc w:val="both"/>
        <w:rPr>
          <w:rFonts w:ascii="Garamond" w:hAnsi="Garamond"/>
          <w:lang w:val="en-GB"/>
        </w:rPr>
      </w:pPr>
      <w:bookmarkStart w:id="219" w:name="Zerbes_DePrisco_2009"/>
      <w:bookmarkEnd w:id="219"/>
      <w:r w:rsidRPr="00802C03">
        <w:rPr>
          <w:rFonts w:ascii="Garamond" w:hAnsi="Garamond"/>
          <w:lang w:val="en-GB"/>
        </w:rPr>
        <w:t>Zerbes, M. &amp; De Prisco, B. (2009). Comments on ‘Guidelines for Computing Capital for Incremental Risk in the Trading Book’ - Algorithmics. www.BIS.org, March.</w:t>
      </w:r>
    </w:p>
    <w:p w:rsidR="001C7C52" w:rsidRDefault="001C7C52" w:rsidP="001F0514">
      <w:pPr>
        <w:spacing w:after="60" w:line="280" w:lineRule="exact"/>
        <w:ind w:left="539" w:hanging="539"/>
        <w:jc w:val="both"/>
        <w:rPr>
          <w:rFonts w:ascii="Garamond" w:hAnsi="Garamond"/>
          <w:lang w:val="en-GB"/>
        </w:rPr>
        <w:sectPr w:rsidR="001C7C52" w:rsidSect="00FC23CC">
          <w:headerReference w:type="even" r:id="rId1669"/>
          <w:headerReference w:type="default" r:id="rId1670"/>
          <w:footerReference w:type="even" r:id="rId1671"/>
          <w:footerReference w:type="default" r:id="rId1672"/>
          <w:headerReference w:type="first" r:id="rId1673"/>
          <w:footerReference w:type="first" r:id="rId1674"/>
          <w:footnotePr>
            <w:numRestart w:val="eachSect"/>
          </w:footnotePr>
          <w:pgSz w:w="11906" w:h="16838"/>
          <w:pgMar w:top="1247" w:right="1247" w:bottom="1247" w:left="1247" w:header="907" w:footer="907" w:gutter="0"/>
          <w:cols w:space="708"/>
          <w:titlePg/>
          <w:docGrid w:linePitch="360"/>
        </w:sect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Default="001C7C52" w:rsidP="001F0514">
      <w:pPr>
        <w:spacing w:after="60" w:line="280" w:lineRule="exact"/>
        <w:ind w:left="539" w:hanging="539"/>
        <w:jc w:val="both"/>
        <w:rPr>
          <w:rFonts w:ascii="Garamond" w:hAnsi="Garamond"/>
          <w:lang w:val="en-GB"/>
        </w:rPr>
      </w:pPr>
    </w:p>
    <w:p w:rsidR="001C7C52" w:rsidRPr="00802C03" w:rsidRDefault="001C7C52" w:rsidP="008664D9">
      <w:pPr>
        <w:spacing w:before="180" w:line="240" w:lineRule="auto"/>
        <w:jc w:val="center"/>
        <w:rPr>
          <w:rFonts w:ascii="Garamond" w:hAnsi="Garamond"/>
          <w:b/>
          <w:sz w:val="20"/>
          <w:lang w:val="en-GB"/>
        </w:rPr>
      </w:pPr>
      <w:r w:rsidRPr="00802C03">
        <w:rPr>
          <w:rFonts w:ascii="Garamond" w:hAnsi="Garamond"/>
          <w:b/>
          <w:sz w:val="20"/>
          <w:lang w:val="en-GB"/>
        </w:rPr>
        <w:t>E</w:t>
      </w:r>
      <w:r w:rsidRPr="00802C03">
        <w:rPr>
          <w:rFonts w:ascii="Garamond" w:hAnsi="Garamond"/>
          <w:b/>
          <w:sz w:val="16"/>
          <w:szCs w:val="16"/>
          <w:lang w:val="en-GB"/>
        </w:rPr>
        <w:t>RNST</w:t>
      </w:r>
      <w:r w:rsidRPr="00802C03">
        <w:rPr>
          <w:rFonts w:ascii="Garamond" w:hAnsi="Garamond"/>
          <w:b/>
          <w:sz w:val="20"/>
          <w:lang w:val="en-GB"/>
        </w:rPr>
        <w:t xml:space="preserve"> &amp; Y</w:t>
      </w:r>
      <w:r w:rsidRPr="00802C03">
        <w:rPr>
          <w:rFonts w:ascii="Garamond" w:hAnsi="Garamond"/>
          <w:b/>
          <w:sz w:val="16"/>
          <w:szCs w:val="16"/>
          <w:lang w:val="en-GB"/>
        </w:rPr>
        <w:t>OUNG</w:t>
      </w:r>
    </w:p>
    <w:p w:rsidR="001C7C52" w:rsidRPr="00802C03" w:rsidRDefault="001C7C52" w:rsidP="008664D9">
      <w:pPr>
        <w:spacing w:line="240" w:lineRule="auto"/>
        <w:jc w:val="center"/>
        <w:rPr>
          <w:rFonts w:ascii="Garamond" w:hAnsi="Garamond"/>
          <w:sz w:val="20"/>
          <w:lang w:val="en-GB"/>
        </w:rPr>
      </w:pPr>
      <w:r w:rsidRPr="00802C03">
        <w:rPr>
          <w:rFonts w:ascii="Garamond" w:hAnsi="Garamond"/>
          <w:sz w:val="20"/>
          <w:lang w:val="en-GB"/>
        </w:rPr>
        <w:t>Financial Services Risk Management</w:t>
      </w:r>
    </w:p>
    <w:p w:rsidR="001C7C52" w:rsidRPr="00802C03" w:rsidRDefault="001C7C52" w:rsidP="008664D9">
      <w:pPr>
        <w:spacing w:before="180" w:line="240" w:lineRule="auto"/>
        <w:jc w:val="center"/>
        <w:rPr>
          <w:rFonts w:ascii="Garamond" w:hAnsi="Garamond"/>
          <w:b/>
          <w:sz w:val="20"/>
          <w:lang w:val="en-GB"/>
        </w:rPr>
      </w:pPr>
      <w:r w:rsidRPr="00802C03">
        <w:rPr>
          <w:rFonts w:ascii="Garamond" w:hAnsi="Garamond"/>
          <w:b/>
          <w:sz w:val="20"/>
          <w:lang w:val="en-GB"/>
        </w:rPr>
        <w:t>E</w:t>
      </w:r>
      <w:r w:rsidRPr="00802C03">
        <w:rPr>
          <w:rFonts w:ascii="Garamond" w:hAnsi="Garamond"/>
          <w:b/>
          <w:sz w:val="16"/>
          <w:szCs w:val="16"/>
          <w:lang w:val="en-GB"/>
        </w:rPr>
        <w:t>RASMUS</w:t>
      </w:r>
      <w:r w:rsidRPr="00802C03">
        <w:rPr>
          <w:rFonts w:ascii="Garamond" w:hAnsi="Garamond"/>
          <w:b/>
          <w:sz w:val="20"/>
          <w:lang w:val="en-GB"/>
        </w:rPr>
        <w:t xml:space="preserve"> U</w:t>
      </w:r>
      <w:r w:rsidRPr="00802C03">
        <w:rPr>
          <w:rFonts w:ascii="Garamond" w:hAnsi="Garamond"/>
          <w:b/>
          <w:sz w:val="16"/>
          <w:szCs w:val="16"/>
          <w:lang w:val="en-GB"/>
        </w:rPr>
        <w:t>NIVERSITEIT</w:t>
      </w:r>
      <w:r w:rsidRPr="00802C03">
        <w:rPr>
          <w:rFonts w:ascii="Garamond" w:hAnsi="Garamond"/>
          <w:b/>
          <w:sz w:val="20"/>
          <w:lang w:val="en-GB"/>
        </w:rPr>
        <w:t xml:space="preserve"> R</w:t>
      </w:r>
      <w:r w:rsidRPr="00802C03">
        <w:rPr>
          <w:rFonts w:ascii="Garamond" w:hAnsi="Garamond"/>
          <w:b/>
          <w:sz w:val="16"/>
          <w:szCs w:val="16"/>
          <w:lang w:val="en-GB"/>
        </w:rPr>
        <w:t>OTTERDAM</w:t>
      </w:r>
    </w:p>
    <w:p w:rsidR="001C7C52" w:rsidRDefault="001C7C52" w:rsidP="008664D9">
      <w:pPr>
        <w:spacing w:line="240" w:lineRule="auto"/>
        <w:jc w:val="center"/>
        <w:rPr>
          <w:rFonts w:ascii="Garamond" w:hAnsi="Garamond"/>
          <w:lang w:val="en-GB"/>
        </w:rPr>
      </w:pPr>
      <w:r w:rsidRPr="00802C03">
        <w:rPr>
          <w:rFonts w:ascii="Garamond" w:hAnsi="Garamond"/>
          <w:sz w:val="20"/>
          <w:lang w:val="en-GB"/>
        </w:rPr>
        <w:t>Erasmus School of Economics</w:t>
      </w:r>
      <w:r>
        <w:rPr>
          <w:rFonts w:ascii="Garamond" w:hAnsi="Garamond"/>
          <w:sz w:val="20"/>
          <w:lang w:val="en-GB"/>
        </w:rPr>
        <w:t xml:space="preserve"> - </w:t>
      </w:r>
      <w:r w:rsidRPr="00802C03">
        <w:rPr>
          <w:rFonts w:ascii="Garamond" w:hAnsi="Garamond"/>
          <w:sz w:val="20"/>
          <w:lang w:val="en-GB"/>
        </w:rPr>
        <w:t>Department of Finance</w:t>
      </w:r>
    </w:p>
    <w:tbl>
      <w:tblPr>
        <w:tblW w:w="0" w:type="auto"/>
        <w:tblCellMar>
          <w:left w:w="170" w:type="dxa"/>
          <w:right w:w="170" w:type="dxa"/>
        </w:tblCellMar>
        <w:tblLook w:val="00A0"/>
      </w:tblPr>
      <w:tblGrid>
        <w:gridCol w:w="3572"/>
        <w:gridCol w:w="5980"/>
      </w:tblGrid>
      <w:tr w:rsidR="001C7C52" w:rsidRPr="000B0ADE" w:rsidTr="002E2E49">
        <w:trPr>
          <w:trHeight w:val="12755"/>
        </w:trPr>
        <w:tc>
          <w:tcPr>
            <w:tcW w:w="3572" w:type="dxa"/>
          </w:tcPr>
          <w:p w:rsidR="001C7C52" w:rsidRPr="002E2E49" w:rsidRDefault="001C7C52" w:rsidP="002E2E49">
            <w:pPr>
              <w:spacing w:line="360" w:lineRule="atLeast"/>
              <w:jc w:val="right"/>
              <w:rPr>
                <w:rFonts w:ascii="Garamond" w:hAnsi="Garamond" w:cs="NimbusRomNo9L-Regu"/>
                <w:b/>
                <w:sz w:val="18"/>
                <w:szCs w:val="18"/>
                <w:lang w:val="en-GB" w:eastAsia="nl-NL"/>
              </w:rPr>
            </w:pPr>
            <w:r>
              <w:rPr>
                <w:noProof/>
                <w:lang w:val="en-US"/>
              </w:rPr>
              <w:pict>
                <v:shape id="_x0000_s1127" type="#_x0000_t32" style="position:absolute;left:0;text-align:left;margin-left:168.75pt;margin-top:-74.3pt;width:0;height:794.6pt;z-index:251676160" o:connectortype="straight" strokeweight=".5pt"/>
              </w:pict>
            </w:r>
            <w:r>
              <w:rPr>
                <w:noProof/>
                <w:lang w:val="en-US"/>
              </w:rPr>
              <w:pict>
                <v:rect id="_x0000_s1128" style="position:absolute;left:0;text-align:left;margin-left:-75.9pt;margin-top:-74.3pt;width:244.65pt;height:866.45pt;z-index:-251641344" stroked="f">
                  <v:fill color2="#f2f2f2" rotate="t" angle="-90" focus="100%" type="gradient"/>
                </v:rect>
              </w:pict>
            </w:r>
          </w:p>
          <w:p w:rsidR="001C7C52" w:rsidRPr="002E2E49" w:rsidRDefault="001C7C52" w:rsidP="002E2E49">
            <w:pPr>
              <w:spacing w:line="360" w:lineRule="atLeast"/>
              <w:jc w:val="center"/>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p w:rsidR="001C7C52" w:rsidRPr="002E2E49" w:rsidRDefault="001C7C52" w:rsidP="002E2E49">
            <w:pPr>
              <w:spacing w:line="280" w:lineRule="exact"/>
              <w:jc w:val="both"/>
              <w:rPr>
                <w:rFonts w:ascii="Garamond" w:hAnsi="Garamond" w:cs="NimbusRomNo9L-Regu"/>
                <w:i/>
                <w:lang w:val="en-GB" w:eastAsia="nl-NL"/>
              </w:rPr>
            </w:pPr>
          </w:p>
        </w:tc>
        <w:tc>
          <w:tcPr>
            <w:tcW w:w="5980" w:type="dxa"/>
          </w:tcPr>
          <w:p w:rsidR="001C7C52" w:rsidRPr="002E2E49" w:rsidRDefault="001C7C52" w:rsidP="002E2E49">
            <w:pPr>
              <w:spacing w:line="240" w:lineRule="exact"/>
              <w:jc w:val="both"/>
              <w:rPr>
                <w:rFonts w:ascii="Garamond" w:hAnsi="Garamond" w:cs="NimbusRomNo9L-Regu"/>
                <w:i/>
                <w:lang w:val="en-GB" w:eastAsia="nl-NL"/>
              </w:rPr>
            </w:pPr>
          </w:p>
          <w:p w:rsidR="001C7C52" w:rsidRPr="002E2E49" w:rsidRDefault="001C7C52" w:rsidP="002E2E49">
            <w:pPr>
              <w:tabs>
                <w:tab w:val="left" w:pos="8789"/>
              </w:tabs>
              <w:spacing w:line="240" w:lineRule="exact"/>
              <w:ind w:left="573" w:right="573"/>
              <w:jc w:val="both"/>
              <w:rPr>
                <w:rFonts w:ascii="Garamond" w:hAnsi="Garamond"/>
                <w:sz w:val="20"/>
                <w:lang w:val="en-GB"/>
              </w:rPr>
            </w:pPr>
          </w:p>
          <w:p w:rsidR="001C7C52" w:rsidRPr="002E2E49" w:rsidRDefault="001C7C52" w:rsidP="002E2E49">
            <w:pPr>
              <w:tabs>
                <w:tab w:val="left" w:pos="8789"/>
              </w:tabs>
              <w:spacing w:line="240" w:lineRule="exact"/>
              <w:ind w:left="573" w:right="573"/>
              <w:jc w:val="both"/>
              <w:rPr>
                <w:rFonts w:ascii="Garamond" w:hAnsi="Garamond"/>
                <w:sz w:val="20"/>
                <w:lang w:val="en-GB"/>
              </w:rPr>
            </w:pPr>
          </w:p>
          <w:p w:rsidR="001C7C52" w:rsidRPr="002E2E49" w:rsidRDefault="001C7C52" w:rsidP="002E2E49">
            <w:pPr>
              <w:spacing w:line="240" w:lineRule="exact"/>
              <w:ind w:left="573"/>
              <w:rPr>
                <w:rFonts w:ascii="Garamond" w:hAnsi="Garamond" w:cs="NimbusRomNo9L-Regu"/>
                <w:b/>
                <w:sz w:val="24"/>
                <w:szCs w:val="24"/>
                <w:lang w:val="en-GB" w:eastAsia="nl-NL"/>
              </w:rPr>
            </w:pPr>
            <w:r w:rsidRPr="002E2E49">
              <w:rPr>
                <w:rFonts w:ascii="Garamond" w:hAnsi="Garamond" w:cs="NimbusRomNo9L-Regu"/>
                <w:b/>
                <w:sz w:val="24"/>
                <w:szCs w:val="24"/>
                <w:lang w:val="en-GB" w:eastAsia="nl-NL"/>
              </w:rPr>
              <w:t>THE INCREMENTAL RISK MODEL</w:t>
            </w:r>
          </w:p>
          <w:p w:rsidR="001C7C52" w:rsidRPr="002E2E49" w:rsidRDefault="001C7C52" w:rsidP="002E2E49">
            <w:pPr>
              <w:tabs>
                <w:tab w:val="left" w:pos="8789"/>
              </w:tabs>
              <w:spacing w:line="240" w:lineRule="exact"/>
              <w:ind w:left="573" w:right="573"/>
              <w:jc w:val="both"/>
              <w:rPr>
                <w:rFonts w:ascii="Garamond" w:hAnsi="Garamond"/>
                <w:sz w:val="20"/>
                <w:lang w:val="en-GB"/>
              </w:rPr>
            </w:pPr>
          </w:p>
          <w:p w:rsidR="001C7C52" w:rsidRPr="002E2E49" w:rsidRDefault="001C7C52" w:rsidP="002E2E49">
            <w:pPr>
              <w:tabs>
                <w:tab w:val="left" w:pos="8789"/>
              </w:tabs>
              <w:spacing w:line="240" w:lineRule="exact"/>
              <w:ind w:left="573" w:right="573"/>
              <w:jc w:val="both"/>
              <w:rPr>
                <w:rFonts w:ascii="Garamond" w:hAnsi="Garamond"/>
                <w:sz w:val="20"/>
                <w:lang w:val="en-GB"/>
              </w:rPr>
            </w:pPr>
          </w:p>
          <w:p w:rsidR="001C7C52" w:rsidRPr="002E2E49" w:rsidRDefault="001C7C52" w:rsidP="002E2E49">
            <w:pPr>
              <w:tabs>
                <w:tab w:val="left" w:pos="8789"/>
              </w:tabs>
              <w:spacing w:after="120" w:line="240" w:lineRule="exact"/>
              <w:ind w:left="573" w:right="573"/>
              <w:jc w:val="both"/>
              <w:rPr>
                <w:rFonts w:ascii="Garamond" w:hAnsi="Garamond"/>
                <w:sz w:val="20"/>
                <w:lang w:val="en-GB"/>
              </w:rPr>
            </w:pPr>
            <w:r w:rsidRPr="002E2E49">
              <w:rPr>
                <w:rFonts w:ascii="Garamond" w:hAnsi="Garamond"/>
                <w:b/>
                <w:sz w:val="20"/>
                <w:lang w:val="en-GB"/>
              </w:rPr>
              <w:t>A</w:t>
            </w:r>
            <w:r w:rsidRPr="002E2E49">
              <w:rPr>
                <w:rFonts w:ascii="Garamond" w:hAnsi="Garamond"/>
                <w:b/>
                <w:sz w:val="16"/>
                <w:szCs w:val="16"/>
                <w:lang w:val="en-GB"/>
              </w:rPr>
              <w:t>BSTRACT</w:t>
            </w:r>
            <w:r w:rsidRPr="002E2E49">
              <w:rPr>
                <w:rFonts w:ascii="Garamond" w:hAnsi="Garamond"/>
                <w:b/>
                <w:sz w:val="20"/>
                <w:lang w:val="en-GB"/>
              </w:rPr>
              <w:t xml:space="preserve"> / E</w:t>
            </w:r>
            <w:r w:rsidRPr="002E2E49">
              <w:rPr>
                <w:rFonts w:ascii="Garamond" w:hAnsi="Garamond"/>
                <w:b/>
                <w:sz w:val="16"/>
                <w:szCs w:val="16"/>
                <w:lang w:val="en-GB"/>
              </w:rPr>
              <w:t>XECUTIVE</w:t>
            </w:r>
            <w:r w:rsidRPr="002E2E49">
              <w:rPr>
                <w:rFonts w:ascii="Garamond" w:hAnsi="Garamond"/>
                <w:b/>
                <w:sz w:val="20"/>
                <w:lang w:val="en-GB"/>
              </w:rPr>
              <w:t xml:space="preserve"> S</w:t>
            </w:r>
            <w:r w:rsidRPr="002E2E49">
              <w:rPr>
                <w:rFonts w:ascii="Garamond" w:hAnsi="Garamond"/>
                <w:b/>
                <w:sz w:val="16"/>
                <w:szCs w:val="16"/>
                <w:lang w:val="en-GB"/>
              </w:rPr>
              <w:t>UMMARY</w:t>
            </w:r>
          </w:p>
          <w:p w:rsidR="001C7C52" w:rsidRPr="002E2E49" w:rsidRDefault="001C7C52" w:rsidP="002E2E49">
            <w:pPr>
              <w:tabs>
                <w:tab w:val="left" w:pos="8789"/>
              </w:tabs>
              <w:spacing w:line="260" w:lineRule="exact"/>
              <w:ind w:left="573" w:right="573"/>
              <w:jc w:val="both"/>
              <w:rPr>
                <w:rFonts w:ascii="Garamond" w:hAnsi="Garamond"/>
                <w:i/>
                <w:sz w:val="20"/>
                <w:lang w:val="en-GB"/>
              </w:rPr>
            </w:pPr>
            <w:r w:rsidRPr="002E2E49">
              <w:rPr>
                <w:rFonts w:ascii="Garamond" w:hAnsi="Garamond"/>
                <w:i/>
                <w:sz w:val="20"/>
                <w:lang w:val="en-GB"/>
              </w:rPr>
              <w:t xml:space="preserve">In the light of the current global financial crisis, the Basel Committee on Banking Supervision has released a third proposal concerning the introduction of the incremental risk model and its resultant regulatory capital charge. The purpose of this model is to capture the migration and default risk embedded in the credit products in the trading book of financial institutions, as the recent episodes of financial turmoil have proven banks to be undercapitalized, especially on those particular risks. Special attention is devoted to the liquidity of the credit products in the model guidelines as well. Hence, the Incremental Risk Capital Charge must provide banks with an additional capital buffer against migration and default risk as well as liquidity risk in the trading book. </w:t>
            </w:r>
          </w:p>
          <w:p w:rsidR="001C7C52" w:rsidRPr="002E2E49" w:rsidRDefault="001C7C52" w:rsidP="002E2E49">
            <w:pPr>
              <w:tabs>
                <w:tab w:val="left" w:pos="8789"/>
              </w:tabs>
              <w:spacing w:line="260" w:lineRule="exact"/>
              <w:ind w:left="573" w:right="573"/>
              <w:jc w:val="both"/>
              <w:rPr>
                <w:rFonts w:ascii="Garamond" w:hAnsi="Garamond"/>
                <w:i/>
                <w:sz w:val="20"/>
                <w:lang w:val="en-GB"/>
              </w:rPr>
            </w:pPr>
            <w:r w:rsidRPr="002E2E49">
              <w:rPr>
                <w:rFonts w:ascii="Garamond" w:hAnsi="Garamond"/>
                <w:i/>
                <w:sz w:val="20"/>
                <w:lang w:val="en-GB"/>
              </w:rPr>
              <w:t xml:space="preserve">In this study, a multi-period incremental risk model is derived in accordance with the Basel Committee’s principles and requirements. The model structure is based on the CreditMetrics model (i.e. </w:t>
            </w:r>
            <w:hyperlink w:anchor="Gupton_et_al_1997" w:history="1">
              <w:r w:rsidRPr="002E2E49">
                <w:rPr>
                  <w:rStyle w:val="Hyperlink"/>
                  <w:rFonts w:ascii="Garamond" w:hAnsi="Garamond"/>
                  <w:i/>
                  <w:color w:val="auto"/>
                  <w:sz w:val="20"/>
                  <w:u w:val="none"/>
                  <w:lang w:val="en-GB"/>
                </w:rPr>
                <w:t>Gupton et al., 1997</w:t>
              </w:r>
            </w:hyperlink>
            <w:r w:rsidRPr="002E2E49">
              <w:rPr>
                <w:rFonts w:ascii="Garamond" w:hAnsi="Garamond"/>
                <w:i/>
                <w:sz w:val="20"/>
                <w:lang w:val="en-GB"/>
              </w:rPr>
              <w:t xml:space="preserve">), which is extended to a sequential multi-period setting. In addition to the construction of the model, the principal inputs of the model, the credit migration matrix and the issuer credit quality correlations, are estimated with the use of various alternative estimation methodologies. The issuer asset correlation structure in the model displays both issuer correlation in the cross-sectional dimension and autocorrelation in the time-series dimension. The issuer asset correlation structure is modelled under the Gaussian copula assumption as well as two different t-Student copula specifications. Subsequently, the eventual model is estimated with the use of three different corporate bond portfolios. </w:t>
            </w:r>
          </w:p>
          <w:p w:rsidR="001C7C52" w:rsidRPr="002E2E49" w:rsidRDefault="001C7C52" w:rsidP="002E2E49">
            <w:pPr>
              <w:tabs>
                <w:tab w:val="left" w:pos="8789"/>
              </w:tabs>
              <w:spacing w:line="260" w:lineRule="exact"/>
              <w:ind w:left="573" w:right="573"/>
              <w:jc w:val="both"/>
              <w:rPr>
                <w:rFonts w:ascii="Garamond" w:hAnsi="Garamond"/>
                <w:i/>
                <w:sz w:val="20"/>
                <w:lang w:val="en-GB"/>
              </w:rPr>
            </w:pPr>
            <w:r w:rsidRPr="002E2E49">
              <w:rPr>
                <w:rFonts w:ascii="Garamond" w:hAnsi="Garamond"/>
                <w:i/>
                <w:sz w:val="20"/>
                <w:lang w:val="en-GB"/>
              </w:rPr>
              <w:t>The resulting model estimations imply that the copula assumption (or tail dependence specification) is the most vital input or assumption in the model, since the required one-year 99.9% VaR-estimates are highly sensitive to this particular specification. This conclusion almost certainly applies to the incremental risk model in general as well. In addition, the assumed lengths of the liquidity horizons of the assessed positions, the applied conditionality in credit migration matrix and the average level of issuer asset correlations in the model are also highly likely to be crucial inputs or assumptions in the estimation of the required risk measure in any incremental risk model. Lastly, the precision of the issuer correlations in the model seems to be much less crucial than anticipated. The same applies to the choice in the methodology utilized in the estimation of the credit migration matrix that is applied in the model.</w:t>
            </w:r>
          </w:p>
          <w:p w:rsidR="001C7C52" w:rsidRPr="002E2E49" w:rsidRDefault="001C7C52" w:rsidP="002E2E49">
            <w:pPr>
              <w:tabs>
                <w:tab w:val="left" w:pos="8789"/>
              </w:tabs>
              <w:spacing w:line="240" w:lineRule="exact"/>
              <w:ind w:left="573" w:right="573"/>
              <w:jc w:val="both"/>
              <w:rPr>
                <w:rFonts w:ascii="Garamond" w:hAnsi="Garamond" w:cs="NimbusRomNo9L-Regu"/>
                <w:i/>
                <w:lang w:val="en-GB" w:eastAsia="nl-NL"/>
              </w:rPr>
            </w:pPr>
          </w:p>
        </w:tc>
      </w:tr>
    </w:tbl>
    <w:p w:rsidR="001C7C52" w:rsidRPr="00802C03" w:rsidRDefault="001C7C52" w:rsidP="00BE49BF">
      <w:pPr>
        <w:spacing w:line="280" w:lineRule="exact"/>
        <w:jc w:val="both"/>
        <w:rPr>
          <w:rFonts w:ascii="Garamond" w:hAnsi="Garamond" w:cs="NimbusRomNo9L-Regu"/>
          <w:lang w:val="en-GB" w:eastAsia="nl-NL"/>
        </w:rPr>
      </w:pPr>
      <w:r>
        <w:rPr>
          <w:noProof/>
          <w:lang w:val="en-US"/>
        </w:rPr>
        <w:pict>
          <v:shape id="_x0000_s1129" type="#_x0000_t32" style="position:absolute;left:0;text-align:left;margin-left:168.75pt;margin-top:82.55pt;width:398.25pt;height:0;z-index:251674112;mso-position-horizontal-relative:text;mso-position-vertical-relative:text" o:connectortype="straight" strokeweight=".5pt"/>
        </w:pict>
      </w:r>
      <w:r>
        <w:rPr>
          <w:noProof/>
          <w:lang w:val="en-US"/>
        </w:rPr>
        <w:pict>
          <v:rect id="_x0000_s1130" style="position:absolute;left:0;text-align:left;margin-left:168.75pt;margin-top:82.55pt;width:388.6pt;height:82.95pt;z-index:-251643392;mso-position-horizontal-relative:text;mso-position-vertical-relative:text" fillcolor="#f2f2f2" stroked="f"/>
        </w:pict>
      </w:r>
    </w:p>
    <w:sectPr w:rsidR="001C7C52" w:rsidRPr="00802C03" w:rsidSect="00FC23CC">
      <w:headerReference w:type="even" r:id="rId1675"/>
      <w:headerReference w:type="default" r:id="rId1676"/>
      <w:footerReference w:type="even" r:id="rId1677"/>
      <w:footerReference w:type="default" r:id="rId1678"/>
      <w:headerReference w:type="first" r:id="rId1679"/>
      <w:footerReference w:type="first" r:id="rId1680"/>
      <w:footnotePr>
        <w:numRestart w:val="eachSect"/>
      </w:footnotePr>
      <w:pgSz w:w="11906" w:h="16838"/>
      <w:pgMar w:top="1247" w:right="1247" w:bottom="1247" w:left="1247" w:header="907" w:footer="90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7C52" w:rsidRDefault="001C7C52" w:rsidP="00452C57">
      <w:pPr>
        <w:spacing w:line="240" w:lineRule="auto"/>
      </w:pPr>
      <w:r>
        <w:separator/>
      </w:r>
    </w:p>
  </w:endnote>
  <w:endnote w:type="continuationSeparator" w:id="1">
    <w:p w:rsidR="001C7C52" w:rsidRDefault="001C7C52" w:rsidP="00452C5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EYInterstate Light">
    <w:altName w:val="Franklin Gothic Medium Cond"/>
    <w:panose1 w:val="00000000000000000000"/>
    <w:charset w:val="00"/>
    <w:family w:val="auto"/>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EYInterstat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NimbusRomNo9L-Regu">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BBDPFK+TimesNewRoman">
    <w:altName w:val="Times New Roman"/>
    <w:panose1 w:val="00000000000000000000"/>
    <w:charset w:val="00"/>
    <w:family w:val="roman"/>
    <w:notTrueType/>
    <w:pitch w:val="default"/>
    <w:sig w:usb0="00000003" w:usb1="00000000" w:usb2="00000000" w:usb3="00000000" w:csb0="00000001" w:csb1="00000000"/>
  </w:font>
  <w:font w:name="FranklinGothicITCbyBT-Book">
    <w:panose1 w:val="00000000000000000000"/>
    <w:charset w:val="00"/>
    <w:family w:val="swiss"/>
    <w:notTrueType/>
    <w:pitch w:val="default"/>
    <w:sig w:usb0="00000003" w:usb1="00000000" w:usb2="00000000" w:usb3="00000000" w:csb0="00000001" w:csb1="00000000"/>
  </w:font>
  <w:font w:name="Frutiger 47LightCn">
    <w:altName w:val="Frutiger 47LightCn"/>
    <w:panose1 w:val="00000000000000000000"/>
    <w:charset w:val="00"/>
    <w:family w:val="swiss"/>
    <w:notTrueType/>
    <w:pitch w:val="default"/>
    <w:sig w:usb0="00000003" w:usb1="00000000" w:usb2="00000000" w:usb3="00000000" w:csb0="00000001" w:csb1="00000000"/>
  </w:font>
  <w:font w:name="AdvTT5235d5a9">
    <w:panose1 w:val="00000000000000000000"/>
    <w:charset w:val="00"/>
    <w:family w:val="roman"/>
    <w:notTrueType/>
    <w:pitch w:val="default"/>
    <w:sig w:usb0="00000003" w:usb1="00000000" w:usb2="00000000" w:usb3="00000000" w:csb0="00000001" w:csb1="00000000"/>
  </w:font>
  <w:font w:name="AdvTT5235d5a9+fb">
    <w:panose1 w:val="00000000000000000000"/>
    <w:charset w:val="00"/>
    <w:family w:val="auto"/>
    <w:notTrueType/>
    <w:pitch w:val="default"/>
    <w:sig w:usb0="00000003" w:usb1="00000000" w:usb2="00000000" w:usb3="00000000" w:csb0="00000001" w:csb1="00000000"/>
  </w:font>
  <w:font w:name="AdvTT5235d5a9+20">
    <w:panose1 w:val="00000000000000000000"/>
    <w:charset w:val="00"/>
    <w:family w:val="auto"/>
    <w:notTrueType/>
    <w:pitch w:val="default"/>
    <w:sig w:usb0="00000003" w:usb1="00000000" w:usb2="00000000" w:usb3="00000000" w:csb0="00000001" w:csb1="00000000"/>
  </w:font>
  <w:font w:name="NewCenturySchlbk-Roman">
    <w:panose1 w:val="00000000000000000000"/>
    <w:charset w:val="00"/>
    <w:family w:val="roman"/>
    <w:notTrueType/>
    <w:pitch w:val="default"/>
    <w:sig w:usb0="00000003" w:usb1="00000000" w:usb2="00000000" w:usb3="00000000" w:csb0="00000001" w:csb1="00000000"/>
  </w:font>
  <w:font w:name="NewCenturySchlbk-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D115B4">
    <w:pPr>
      <w:pStyle w:val="Footer"/>
      <w:jc w:val="center"/>
    </w:pPr>
  </w:p>
  <w:p w:rsidR="001C7C52" w:rsidRDefault="001C7C52" w:rsidP="00D115B4">
    <w:pPr>
      <w:pStyle w:val="Footer"/>
      <w:jc w:val="center"/>
      <w:rPr>
        <w:rFonts w:ascii="Garamond" w:hAnsi="Garamond"/>
      </w:rPr>
    </w:pPr>
    <w:r>
      <w:rPr>
        <w:noProof/>
        <w:lang w:val="en-US"/>
      </w:rPr>
      <w:pict>
        <v:shapetype id="_x0000_t32" coordsize="21600,21600" o:spt="32" o:oned="t" path="m,l21600,21600e" filled="f">
          <v:path arrowok="t" fillok="f" o:connecttype="none"/>
          <o:lock v:ext="edit" shapetype="t"/>
        </v:shapetype>
        <v:shape id="_x0000_s2049" type="#_x0000_t32" style="position:absolute;left:0;text-align:left;margin-left:243.2pt;margin-top:7.95pt;width:228.05pt;height:0;z-index:251659776" o:connectortype="straight" strokeweight=".5pt"/>
      </w:pict>
    </w:r>
    <w:r>
      <w:rPr>
        <w:noProof/>
        <w:lang w:val="en-US"/>
      </w:rPr>
      <w:pict>
        <v:shape id="_x0000_s2050" type="#_x0000_t32" style="position:absolute;left:0;text-align:left;margin-left:-.4pt;margin-top:7.95pt;width:228.05pt;height:0;z-index:251660800" o:connectortype="straight" strokeweight=".5pt"/>
      </w:pict>
    </w:r>
    <w:r w:rsidRPr="00D115B4">
      <w:rPr>
        <w:rFonts w:ascii="Garamond" w:hAnsi="Garamond"/>
      </w:rPr>
      <w:fldChar w:fldCharType="begin"/>
    </w:r>
    <w:r w:rsidRPr="00D115B4">
      <w:rPr>
        <w:rFonts w:ascii="Garamond" w:hAnsi="Garamond"/>
      </w:rPr>
      <w:instrText xml:space="preserve"> PAGE   \* MERGEFORMAT </w:instrText>
    </w:r>
    <w:r w:rsidRPr="00D115B4">
      <w:rPr>
        <w:rFonts w:ascii="Garamond" w:hAnsi="Garamond"/>
      </w:rPr>
      <w:fldChar w:fldCharType="separate"/>
    </w:r>
    <w:r>
      <w:rPr>
        <w:rFonts w:ascii="Garamond" w:hAnsi="Garamond"/>
        <w:noProof/>
      </w:rPr>
      <w:t>ii</w:t>
    </w:r>
    <w:r w:rsidRPr="00D115B4">
      <w:rPr>
        <w:rFonts w:ascii="Garamond" w:hAnsi="Garamond"/>
      </w:rPr>
      <w:fldChar w:fldCharType="end"/>
    </w:r>
  </w:p>
  <w:p w:rsidR="001C7C52" w:rsidRPr="00D47D18" w:rsidRDefault="001C7C52">
    <w:pPr>
      <w:pStyle w:val="Footer"/>
      <w:rPr>
        <w:rFonts w:ascii="Garamond" w:hAnsi="Garamond"/>
        <w:szCs w:val="2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D115B4">
    <w:pPr>
      <w:pStyle w:val="Footer"/>
      <w:jc w:val="center"/>
    </w:pPr>
  </w:p>
  <w:p w:rsidR="001C7C52" w:rsidRPr="00D115B4" w:rsidRDefault="001C7C52" w:rsidP="00D115B4">
    <w:pPr>
      <w:pStyle w:val="Footer"/>
      <w:jc w:val="center"/>
      <w:rPr>
        <w:rFonts w:ascii="Garamond" w:hAnsi="Garamond"/>
      </w:rPr>
    </w:pPr>
    <w:r>
      <w:rPr>
        <w:noProof/>
        <w:lang w:val="en-US"/>
      </w:rPr>
      <w:pict>
        <v:shapetype id="_x0000_t32" coordsize="21600,21600" o:spt="32" o:oned="t" path="m,l21600,21600e" filled="f">
          <v:path arrowok="t" fillok="f" o:connecttype="none"/>
          <o:lock v:ext="edit" shapetype="t"/>
        </v:shapetype>
        <v:shape id="_x0000_s2051" type="#_x0000_t32" style="position:absolute;left:0;text-align:left;margin-left:243.2pt;margin-top:7.95pt;width:228.05pt;height:0;z-index:251657728" o:connectortype="straight" strokeweight=".5pt"/>
      </w:pict>
    </w:r>
    <w:r>
      <w:rPr>
        <w:noProof/>
        <w:lang w:val="en-US"/>
      </w:rPr>
      <w:pict>
        <v:shape id="_x0000_s2052" type="#_x0000_t32" style="position:absolute;left:0;text-align:left;margin-left:-.4pt;margin-top:7.95pt;width:228.05pt;height:0;z-index:251658752" o:connectortype="straight" strokeweight=".5pt"/>
      </w:pict>
    </w:r>
    <w:r w:rsidRPr="00D115B4">
      <w:rPr>
        <w:rFonts w:ascii="Garamond" w:hAnsi="Garamond"/>
      </w:rPr>
      <w:fldChar w:fldCharType="begin"/>
    </w:r>
    <w:r w:rsidRPr="00D115B4">
      <w:rPr>
        <w:rFonts w:ascii="Garamond" w:hAnsi="Garamond"/>
      </w:rPr>
      <w:instrText xml:space="preserve"> PAGE   \* MERGEFORMAT </w:instrText>
    </w:r>
    <w:r w:rsidRPr="00D115B4">
      <w:rPr>
        <w:rFonts w:ascii="Garamond" w:hAnsi="Garamond"/>
      </w:rPr>
      <w:fldChar w:fldCharType="separate"/>
    </w:r>
    <w:r>
      <w:rPr>
        <w:rFonts w:ascii="Garamond" w:hAnsi="Garamond"/>
        <w:noProof/>
      </w:rPr>
      <w:t>xi</w:t>
    </w:r>
    <w:r w:rsidRPr="00D115B4">
      <w:rPr>
        <w:rFonts w:ascii="Garamond" w:hAnsi="Garamond"/>
      </w:rPr>
      <w:fldChar w:fldCharType="end"/>
    </w:r>
  </w:p>
  <w:p w:rsidR="001C7C52" w:rsidRPr="00D47D18" w:rsidRDefault="001C7C52">
    <w:pPr>
      <w:pStyle w:val="Footer"/>
      <w:rPr>
        <w:rFonts w:ascii="Garamond" w:hAnsi="Garamond"/>
        <w:szCs w:val="2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D115B4">
    <w:pPr>
      <w:pStyle w:val="Footer"/>
      <w:jc w:val="center"/>
    </w:pPr>
  </w:p>
  <w:p w:rsidR="001C7C52" w:rsidRPr="00D115B4" w:rsidRDefault="001C7C52" w:rsidP="00D115B4">
    <w:pPr>
      <w:pStyle w:val="Footer"/>
      <w:jc w:val="center"/>
      <w:rPr>
        <w:rFonts w:ascii="Garamond" w:hAnsi="Garamond"/>
      </w:rPr>
    </w:pPr>
    <w:r>
      <w:rPr>
        <w:noProof/>
        <w:lang w:val="en-US"/>
      </w:rPr>
      <w:pict>
        <v:shapetype id="_x0000_t32" coordsize="21600,21600" o:spt="32" o:oned="t" path="m,l21600,21600e" filled="f">
          <v:path arrowok="t" fillok="f" o:connecttype="none"/>
          <o:lock v:ext="edit" shapetype="t"/>
        </v:shapetype>
        <v:shape id="_x0000_s2053" type="#_x0000_t32" style="position:absolute;left:0;text-align:left;margin-left:243.2pt;margin-top:7.95pt;width:228.05pt;height:0;z-index:251655680" o:connectortype="straight" strokeweight=".5pt"/>
      </w:pict>
    </w:r>
    <w:r>
      <w:rPr>
        <w:noProof/>
        <w:lang w:val="en-US"/>
      </w:rPr>
      <w:pict>
        <v:shape id="_x0000_s2054" type="#_x0000_t32" style="position:absolute;left:0;text-align:left;margin-left:-.4pt;margin-top:7.95pt;width:228.05pt;height:0;z-index:251656704" o:connectortype="straight" strokeweight=".5pt"/>
      </w:pict>
    </w:r>
    <w:r w:rsidRPr="00D115B4">
      <w:rPr>
        <w:rFonts w:ascii="Garamond" w:hAnsi="Garamond"/>
      </w:rPr>
      <w:fldChar w:fldCharType="begin"/>
    </w:r>
    <w:r w:rsidRPr="00D115B4">
      <w:rPr>
        <w:rFonts w:ascii="Garamond" w:hAnsi="Garamond"/>
      </w:rPr>
      <w:instrText xml:space="preserve"> PAGE   \* MERGEFORMAT </w:instrText>
    </w:r>
    <w:r w:rsidRPr="00D115B4">
      <w:rPr>
        <w:rFonts w:ascii="Garamond" w:hAnsi="Garamond"/>
      </w:rPr>
      <w:fldChar w:fldCharType="separate"/>
    </w:r>
    <w:r>
      <w:rPr>
        <w:rFonts w:ascii="Garamond" w:hAnsi="Garamond"/>
        <w:noProof/>
      </w:rPr>
      <w:t>x</w:t>
    </w:r>
    <w:r w:rsidRPr="00D115B4">
      <w:rPr>
        <w:rFonts w:ascii="Garamond" w:hAnsi="Garamond"/>
      </w:rPr>
      <w:fldChar w:fldCharType="end"/>
    </w:r>
  </w:p>
  <w:p w:rsidR="001C7C52" w:rsidRPr="00D47D18" w:rsidRDefault="001C7C52">
    <w:pPr>
      <w:pStyle w:val="Footer"/>
      <w:rPr>
        <w:rFonts w:ascii="Garamond" w:hAnsi="Garamond"/>
        <w:szCs w:val="2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pPr>
      <w:pStyle w:val="Footer"/>
      <w:jc w:val="center"/>
    </w:pPr>
  </w:p>
  <w:p w:rsidR="001C7C52" w:rsidRPr="00D115B4" w:rsidRDefault="001C7C52">
    <w:pPr>
      <w:pStyle w:val="Footer"/>
      <w:jc w:val="center"/>
      <w:rPr>
        <w:rFonts w:ascii="Garamond" w:hAnsi="Garamond"/>
      </w:rPr>
    </w:pPr>
    <w:r>
      <w:rPr>
        <w:noProof/>
        <w:lang w:val="en-US"/>
      </w:rPr>
      <w:pict>
        <v:shapetype id="_x0000_t32" coordsize="21600,21600" o:spt="32" o:oned="t" path="m,l21600,21600e" filled="f">
          <v:path arrowok="t" fillok="f" o:connecttype="none"/>
          <o:lock v:ext="edit" shapetype="t"/>
        </v:shapetype>
        <v:shape id="_x0000_s2055" type="#_x0000_t32" style="position:absolute;left:0;text-align:left;margin-left:243.2pt;margin-top:7.95pt;width:228.05pt;height:0;z-index:251653632" o:connectortype="straight" strokeweight=".5pt"/>
      </w:pict>
    </w:r>
    <w:r>
      <w:rPr>
        <w:noProof/>
        <w:lang w:val="en-US"/>
      </w:rPr>
      <w:pict>
        <v:shape id="_x0000_s2056" type="#_x0000_t32" style="position:absolute;left:0;text-align:left;margin-left:-.4pt;margin-top:7.95pt;width:228.05pt;height:0;z-index:251654656" o:connectortype="straight" strokeweight=".5pt"/>
      </w:pict>
    </w:r>
    <w:r w:rsidRPr="00D115B4">
      <w:rPr>
        <w:rFonts w:ascii="Garamond" w:hAnsi="Garamond"/>
      </w:rPr>
      <w:fldChar w:fldCharType="begin"/>
    </w:r>
    <w:r w:rsidRPr="00D115B4">
      <w:rPr>
        <w:rFonts w:ascii="Garamond" w:hAnsi="Garamond"/>
      </w:rPr>
      <w:instrText xml:space="preserve"> PAGE   \* MERGEFORMAT </w:instrText>
    </w:r>
    <w:r w:rsidRPr="00D115B4">
      <w:rPr>
        <w:rFonts w:ascii="Garamond" w:hAnsi="Garamond"/>
      </w:rPr>
      <w:fldChar w:fldCharType="separate"/>
    </w:r>
    <w:r>
      <w:rPr>
        <w:rFonts w:ascii="Garamond" w:hAnsi="Garamond"/>
        <w:noProof/>
      </w:rPr>
      <w:t>iii</w:t>
    </w:r>
    <w:r w:rsidRPr="00D115B4">
      <w:rPr>
        <w:rFonts w:ascii="Garamond" w:hAnsi="Garamond"/>
      </w:rPr>
      <w:fldChar w:fldCharType="end"/>
    </w:r>
  </w:p>
  <w:p w:rsidR="001C7C52" w:rsidRDefault="001C7C52">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C61C70">
    <w:pPr>
      <w:pStyle w:val="Footer"/>
      <w:jc w:val="center"/>
      <w:rPr>
        <w:rFonts w:ascii="Garamond" w:hAnsi="Garamond"/>
        <w:szCs w:val="22"/>
      </w:rPr>
    </w:pPr>
  </w:p>
  <w:p w:rsidR="001C7C52" w:rsidRDefault="001C7C52" w:rsidP="00C71674">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14</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Pr="00D47D18" w:rsidRDefault="001C7C52">
    <w:pPr>
      <w:pStyle w:val="Footer"/>
      <w:rPr>
        <w:rFonts w:ascii="Garamond" w:hAnsi="Garamond"/>
        <w:szCs w:val="2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A73447">
    <w:pPr>
      <w:pStyle w:val="Footer"/>
      <w:tabs>
        <w:tab w:val="clear" w:pos="9377"/>
        <w:tab w:val="right" w:pos="9356"/>
      </w:tabs>
      <w:jc w:val="center"/>
      <w:rPr>
        <w:rFonts w:ascii="Garamond" w:hAnsi="Garamond"/>
        <w:szCs w:val="22"/>
      </w:rPr>
    </w:pPr>
  </w:p>
  <w:p w:rsidR="001C7C52" w:rsidRPr="008A256F" w:rsidRDefault="001C7C52" w:rsidP="002E2E49">
    <w:pPr>
      <w:pStyle w:val="Footer"/>
      <w:tabs>
        <w:tab w:val="clear" w:pos="4677"/>
        <w:tab w:val="clear" w:pos="9377"/>
        <w:tab w:val="right" w:pos="9412"/>
      </w:tabs>
      <w:ind w:firstLine="2127"/>
      <w:rPr>
        <w:rFonts w:ascii="Garamond" w:hAnsi="Garamond"/>
        <w:szCs w:val="22"/>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8A256F">
      <w:rPr>
        <w:rFonts w:ascii="Garamond" w:hAnsi="Garamond"/>
        <w:szCs w:val="22"/>
        <w:lang w:val="en-US"/>
      </w:rPr>
      <w:t xml:space="preserve"> </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13</w:t>
    </w:r>
    <w:r w:rsidRPr="008A256F">
      <w:rPr>
        <w:rFonts w:ascii="Garamond" w:hAnsi="Garamond"/>
        <w:szCs w:val="22"/>
        <w:lang w:val="en-US"/>
      </w:rPr>
      <w:fldChar w:fldCharType="end"/>
    </w:r>
  </w:p>
  <w:p w:rsidR="001C7C52" w:rsidRPr="008A256F" w:rsidRDefault="001C7C52">
    <w:pPr>
      <w:pStyle w:val="Footer"/>
      <w:rPr>
        <w:rFonts w:ascii="Garamond" w:hAnsi="Garamond"/>
        <w:szCs w:val="22"/>
        <w:lang w:val="en-US"/>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71657A">
    <w:pPr>
      <w:pStyle w:val="Footer"/>
      <w:tabs>
        <w:tab w:val="clear" w:pos="9377"/>
        <w:tab w:val="right" w:pos="9356"/>
      </w:tabs>
      <w:jc w:val="center"/>
      <w:rPr>
        <w:rFonts w:ascii="Garamond" w:hAnsi="Garamond"/>
        <w:szCs w:val="22"/>
      </w:rPr>
    </w:pPr>
  </w:p>
  <w:p w:rsidR="001C7C52" w:rsidRPr="008A256F" w:rsidRDefault="001C7C52" w:rsidP="002E2E49">
    <w:pPr>
      <w:pStyle w:val="Footer"/>
      <w:tabs>
        <w:tab w:val="clear" w:pos="4677"/>
        <w:tab w:val="clear" w:pos="9377"/>
        <w:tab w:val="right" w:pos="9412"/>
      </w:tabs>
      <w:ind w:firstLine="2127"/>
      <w:rPr>
        <w:rFonts w:ascii="Garamond" w:hAnsi="Garamond"/>
        <w:szCs w:val="22"/>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11</w:t>
    </w:r>
    <w:r w:rsidRPr="008A256F">
      <w:rPr>
        <w:rFonts w:ascii="Garamond" w:hAnsi="Garamond"/>
        <w:szCs w:val="22"/>
        <w:lang w:val="en-US"/>
      </w:rPr>
      <w:fldChar w:fldCharType="end"/>
    </w:r>
  </w:p>
  <w:p w:rsidR="001C7C52" w:rsidRPr="008A256F" w:rsidRDefault="001C7C52">
    <w:pPr>
      <w:pStyle w:val="Footer"/>
      <w:rPr>
        <w:lang w:val="en-US"/>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jc w:val="center"/>
      <w:rPr>
        <w:rFonts w:ascii="Garamond" w:hAnsi="Garamond"/>
        <w:szCs w:val="22"/>
      </w:rPr>
    </w:pPr>
  </w:p>
  <w:p w:rsidR="001C7C52" w:rsidRDefault="001C7C52" w:rsidP="008117DE">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42</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Pr="00D47D18" w:rsidRDefault="001C7C52">
    <w:pPr>
      <w:pStyle w:val="Footer"/>
      <w:rPr>
        <w:rFonts w:ascii="Garamond" w:hAnsi="Garamond"/>
        <w:szCs w:val="2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tabs>
        <w:tab w:val="clear" w:pos="9377"/>
        <w:tab w:val="right" w:pos="9356"/>
      </w:tabs>
      <w:jc w:val="center"/>
      <w:rPr>
        <w:rFonts w:ascii="Garamond" w:hAnsi="Garamond"/>
        <w:szCs w:val="22"/>
      </w:rPr>
    </w:pPr>
  </w:p>
  <w:p w:rsidR="001C7C52" w:rsidRPr="008A256F" w:rsidRDefault="001C7C52" w:rsidP="002E2E49">
    <w:pPr>
      <w:pStyle w:val="Footer"/>
      <w:tabs>
        <w:tab w:val="clear" w:pos="4677"/>
        <w:tab w:val="clear" w:pos="9377"/>
        <w:tab w:val="right" w:pos="9412"/>
      </w:tabs>
      <w:ind w:firstLine="2127"/>
      <w:rPr>
        <w:rFonts w:ascii="Garamond" w:hAnsi="Garamond"/>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41</w:t>
    </w:r>
    <w:r w:rsidRPr="008A256F">
      <w:rPr>
        <w:rFonts w:ascii="Garamond" w:hAnsi="Garamond"/>
        <w:szCs w:val="22"/>
        <w:lang w:val="en-US"/>
      </w:rPr>
      <w:fldChar w:fldCharType="end"/>
    </w:r>
  </w:p>
  <w:p w:rsidR="001C7C52" w:rsidRPr="008A256F" w:rsidRDefault="001C7C52">
    <w:pPr>
      <w:pStyle w:val="Footer"/>
      <w:rPr>
        <w:rFonts w:ascii="Garamond" w:hAnsi="Garamond"/>
        <w:szCs w:val="22"/>
        <w:lang w:val="en-US"/>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jc w:val="center"/>
      <w:rPr>
        <w:rFonts w:ascii="Garamond" w:hAnsi="Garamond"/>
        <w:szCs w:val="22"/>
      </w:rPr>
    </w:pPr>
  </w:p>
  <w:p w:rsidR="001C7C52" w:rsidRDefault="001C7C52" w:rsidP="008117DE">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98</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Pr="00D47D18" w:rsidRDefault="001C7C52">
    <w:pPr>
      <w:pStyle w:val="Footer"/>
      <w:rPr>
        <w:rFonts w:ascii="Garamond" w:hAnsi="Garamond"/>
        <w:szCs w:val="2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tabs>
        <w:tab w:val="clear" w:pos="9377"/>
        <w:tab w:val="right" w:pos="9356"/>
      </w:tabs>
      <w:jc w:val="center"/>
      <w:rPr>
        <w:rFonts w:ascii="Garamond" w:hAnsi="Garamond"/>
        <w:szCs w:val="22"/>
      </w:rPr>
    </w:pPr>
  </w:p>
  <w:p w:rsidR="001C7C52" w:rsidRPr="008A256F" w:rsidRDefault="001C7C52" w:rsidP="002E2E49">
    <w:pPr>
      <w:pStyle w:val="Footer"/>
      <w:tabs>
        <w:tab w:val="clear" w:pos="4677"/>
        <w:tab w:val="clear" w:pos="9377"/>
        <w:tab w:val="right" w:pos="9412"/>
      </w:tabs>
      <w:ind w:firstLine="2127"/>
      <w:rPr>
        <w:rFonts w:ascii="Garamond" w:hAnsi="Garamond"/>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97</w:t>
    </w:r>
    <w:r w:rsidRPr="008A256F">
      <w:rPr>
        <w:rFonts w:ascii="Garamond" w:hAnsi="Garamond"/>
        <w:szCs w:val="22"/>
        <w:lang w:val="en-US"/>
      </w:rPr>
      <w:fldChar w:fldCharType="end"/>
    </w:r>
  </w:p>
  <w:p w:rsidR="001C7C52" w:rsidRPr="008A256F" w:rsidRDefault="001C7C52">
    <w:pPr>
      <w:pStyle w:val="Footer"/>
      <w:rPr>
        <w:rFonts w:ascii="Garamond" w:hAnsi="Garamond"/>
        <w:szCs w:val="22"/>
        <w:lang w:val="en-US"/>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jc w:val="center"/>
      <w:rPr>
        <w:rFonts w:ascii="Garamond" w:hAnsi="Garamond"/>
        <w:szCs w:val="22"/>
      </w:rPr>
    </w:pPr>
  </w:p>
  <w:p w:rsidR="001C7C52" w:rsidRDefault="001C7C52" w:rsidP="008117DE">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102</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Pr="00D47D18" w:rsidRDefault="001C7C52">
    <w:pPr>
      <w:pStyle w:val="Footer"/>
      <w:rPr>
        <w:rFonts w:ascii="Garamond" w:hAnsi="Garamond"/>
        <w:szCs w:val="2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tabs>
        <w:tab w:val="clear" w:pos="9377"/>
        <w:tab w:val="right" w:pos="9356"/>
      </w:tabs>
      <w:jc w:val="center"/>
      <w:rPr>
        <w:rFonts w:ascii="Garamond" w:hAnsi="Garamond"/>
        <w:szCs w:val="22"/>
      </w:rPr>
    </w:pPr>
  </w:p>
  <w:p w:rsidR="001C7C52" w:rsidRPr="008A256F" w:rsidRDefault="001C7C52" w:rsidP="002E2E49">
    <w:pPr>
      <w:pStyle w:val="Footer"/>
      <w:tabs>
        <w:tab w:val="clear" w:pos="4677"/>
        <w:tab w:val="clear" w:pos="9377"/>
        <w:tab w:val="right" w:pos="9412"/>
      </w:tabs>
      <w:ind w:firstLine="2127"/>
      <w:rPr>
        <w:rFonts w:ascii="Garamond" w:hAnsi="Garamond"/>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101</w:t>
    </w:r>
    <w:r w:rsidRPr="008A256F">
      <w:rPr>
        <w:rFonts w:ascii="Garamond" w:hAnsi="Garamond"/>
        <w:szCs w:val="22"/>
        <w:lang w:val="en-US"/>
      </w:rPr>
      <w:fldChar w:fldCharType="end"/>
    </w:r>
  </w:p>
  <w:p w:rsidR="001C7C52" w:rsidRPr="008A256F" w:rsidRDefault="001C7C52">
    <w:pPr>
      <w:pStyle w:val="Footer"/>
      <w:rPr>
        <w:rFonts w:ascii="Garamond" w:hAnsi="Garamond"/>
        <w:szCs w:val="22"/>
        <w:lang w:val="en-US"/>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231B6E">
    <w:pPr>
      <w:pStyle w:val="Footer"/>
      <w:jc w:val="center"/>
      <w:rPr>
        <w:rFonts w:ascii="Garamond" w:hAnsi="Garamond"/>
        <w:szCs w:val="22"/>
      </w:rPr>
    </w:pPr>
  </w:p>
  <w:p w:rsidR="001C7C52" w:rsidRDefault="001C7C52" w:rsidP="00231B6E">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99</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Default="001C7C52">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jc w:val="center"/>
      <w:rPr>
        <w:rFonts w:ascii="Garamond" w:hAnsi="Garamond"/>
        <w:szCs w:val="22"/>
      </w:rPr>
    </w:pPr>
  </w:p>
  <w:p w:rsidR="001C7C52" w:rsidRDefault="001C7C52" w:rsidP="008117DE">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106</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Pr="00D47D18" w:rsidRDefault="001C7C52">
    <w:pPr>
      <w:pStyle w:val="Footer"/>
      <w:rPr>
        <w:rFonts w:ascii="Garamond" w:hAnsi="Garamond"/>
        <w:szCs w:val="2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tabs>
        <w:tab w:val="clear" w:pos="9377"/>
        <w:tab w:val="right" w:pos="9356"/>
      </w:tabs>
      <w:jc w:val="center"/>
      <w:rPr>
        <w:rFonts w:ascii="Garamond" w:hAnsi="Garamond"/>
        <w:szCs w:val="22"/>
      </w:rPr>
    </w:pPr>
  </w:p>
  <w:p w:rsidR="001C7C52" w:rsidRPr="008A256F" w:rsidRDefault="001C7C52" w:rsidP="002E2E49">
    <w:pPr>
      <w:pStyle w:val="Footer"/>
      <w:tabs>
        <w:tab w:val="clear" w:pos="4677"/>
        <w:tab w:val="clear" w:pos="9377"/>
        <w:tab w:val="right" w:pos="9412"/>
      </w:tabs>
      <w:ind w:firstLine="2127"/>
      <w:rPr>
        <w:rFonts w:ascii="Garamond" w:hAnsi="Garamond"/>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107</w:t>
    </w:r>
    <w:r w:rsidRPr="008A256F">
      <w:rPr>
        <w:rFonts w:ascii="Garamond" w:hAnsi="Garamond"/>
        <w:szCs w:val="22"/>
        <w:lang w:val="en-US"/>
      </w:rPr>
      <w:fldChar w:fldCharType="end"/>
    </w:r>
  </w:p>
  <w:p w:rsidR="001C7C52" w:rsidRPr="008A256F" w:rsidRDefault="001C7C52">
    <w:pPr>
      <w:pStyle w:val="Footer"/>
      <w:rPr>
        <w:rFonts w:ascii="Garamond" w:hAnsi="Garamond"/>
        <w:szCs w:val="22"/>
        <w:lang w:val="en-US"/>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90330C">
    <w:pPr>
      <w:pStyle w:val="Footer"/>
      <w:jc w:val="center"/>
      <w:rPr>
        <w:rFonts w:ascii="Garamond" w:hAnsi="Garamond"/>
        <w:szCs w:val="22"/>
      </w:rPr>
    </w:pPr>
  </w:p>
  <w:p w:rsidR="001C7C52" w:rsidRPr="0090330C" w:rsidRDefault="001C7C52" w:rsidP="0090330C">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103</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Default="001C7C52" w:rsidP="003621BC">
    <w:pPr>
      <w:pStyle w:val="Footer"/>
      <w:jc w:val="cen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jc w:val="center"/>
      <w:rPr>
        <w:rFonts w:ascii="Garamond" w:hAnsi="Garamond"/>
        <w:szCs w:val="22"/>
      </w:rPr>
    </w:pPr>
  </w:p>
  <w:p w:rsidR="001C7C52" w:rsidRDefault="001C7C52" w:rsidP="008117DE">
    <w:pPr>
      <w:pStyle w:val="Footer"/>
      <w:tabs>
        <w:tab w:val="left" w:pos="1560"/>
        <w:tab w:val="left" w:pos="9214"/>
      </w:tabs>
      <w:rPr>
        <w:rFonts w:ascii="Garamond" w:hAnsi="Garamond"/>
      </w:rPr>
    </w:pPr>
    <w:r w:rsidRPr="00122D4A">
      <w:rPr>
        <w:rFonts w:ascii="Garamond" w:hAnsi="Garamond"/>
        <w:szCs w:val="22"/>
      </w:rPr>
      <w:fldChar w:fldCharType="begin"/>
    </w:r>
    <w:r w:rsidRPr="00122D4A">
      <w:rPr>
        <w:rFonts w:ascii="Garamond" w:hAnsi="Garamond"/>
        <w:szCs w:val="22"/>
      </w:rPr>
      <w:instrText xml:space="preserve"> PAGE   \* MERGEFORMAT </w:instrText>
    </w:r>
    <w:r w:rsidRPr="00122D4A">
      <w:rPr>
        <w:rFonts w:ascii="Garamond" w:hAnsi="Garamond"/>
        <w:szCs w:val="22"/>
      </w:rPr>
      <w:fldChar w:fldCharType="separate"/>
    </w:r>
    <w:r>
      <w:rPr>
        <w:rFonts w:ascii="Garamond" w:hAnsi="Garamond"/>
        <w:noProof/>
        <w:szCs w:val="22"/>
      </w:rPr>
      <w:t>112</w:t>
    </w:r>
    <w:r w:rsidRPr="00122D4A">
      <w:rPr>
        <w:rFonts w:ascii="Garamond" w:hAnsi="Garamond"/>
        <w:szCs w:val="22"/>
      </w:rPr>
      <w:fldChar w:fldCharType="end"/>
    </w:r>
    <w:r>
      <w:rPr>
        <w:rFonts w:ascii="Garamond" w:hAnsi="Garamond"/>
        <w:szCs w:val="22"/>
      </w:rPr>
      <w:t xml:space="preserve"> </w:t>
    </w:r>
    <w:r>
      <w:rPr>
        <w:rFonts w:ascii="Garamond" w:hAnsi="Garamond"/>
        <w:szCs w:val="22"/>
      </w:rPr>
      <w:tab/>
      <w:t xml:space="preserve">  </w:t>
    </w:r>
    <w:r>
      <w:rPr>
        <w:rFonts w:ascii="Garamond" w:hAnsi="Garamond"/>
        <w:b/>
        <w:sz w:val="16"/>
        <w:szCs w:val="16"/>
      </w:rPr>
      <w:t>ERASMUS UNIVERSITEIT ROTTERDAM -</w:t>
    </w:r>
    <w:r w:rsidRPr="00C71674">
      <w:rPr>
        <w:rFonts w:ascii="Garamond" w:hAnsi="Garamond"/>
        <w:b/>
        <w:sz w:val="16"/>
        <w:szCs w:val="16"/>
      </w:rPr>
      <w:t xml:space="preserve"> ERASMUS SCHOOL</w:t>
    </w:r>
    <w:r>
      <w:rPr>
        <w:rFonts w:ascii="Garamond" w:hAnsi="Garamond"/>
        <w:b/>
        <w:sz w:val="16"/>
        <w:szCs w:val="16"/>
      </w:rPr>
      <w:t xml:space="preserve"> OF ECONOMICS</w:t>
    </w:r>
  </w:p>
  <w:p w:rsidR="001C7C52" w:rsidRPr="00D47D18" w:rsidRDefault="001C7C52">
    <w:pPr>
      <w:pStyle w:val="Footer"/>
      <w:rPr>
        <w:rFonts w:ascii="Garamond" w:hAnsi="Garamond"/>
        <w:szCs w:val="2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8117DE">
    <w:pPr>
      <w:pStyle w:val="Footer"/>
      <w:tabs>
        <w:tab w:val="clear" w:pos="9377"/>
        <w:tab w:val="right" w:pos="9356"/>
      </w:tabs>
      <w:jc w:val="center"/>
      <w:rPr>
        <w:rFonts w:ascii="Garamond" w:hAnsi="Garamond"/>
        <w:szCs w:val="22"/>
      </w:rPr>
    </w:pPr>
  </w:p>
  <w:p w:rsidR="001C7C52" w:rsidRPr="008A256F" w:rsidRDefault="001C7C52" w:rsidP="002E2E49">
    <w:pPr>
      <w:pStyle w:val="Footer"/>
      <w:tabs>
        <w:tab w:val="clear" w:pos="4677"/>
        <w:tab w:val="clear" w:pos="9377"/>
        <w:tab w:val="right" w:pos="9412"/>
      </w:tabs>
      <w:ind w:firstLine="2127"/>
      <w:rPr>
        <w:rFonts w:ascii="Garamond" w:hAnsi="Garamond"/>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111</w:t>
    </w:r>
    <w:r w:rsidRPr="008A256F">
      <w:rPr>
        <w:rFonts w:ascii="Garamond" w:hAnsi="Garamond"/>
        <w:szCs w:val="22"/>
        <w:lang w:val="en-US"/>
      </w:rPr>
      <w:fldChar w:fldCharType="end"/>
    </w:r>
  </w:p>
  <w:p w:rsidR="001C7C52" w:rsidRPr="008A256F" w:rsidRDefault="001C7C52">
    <w:pPr>
      <w:pStyle w:val="Footer"/>
      <w:rPr>
        <w:rFonts w:ascii="Garamond" w:hAnsi="Garamond"/>
        <w:szCs w:val="22"/>
        <w:lang w:val="en-US"/>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90330C">
    <w:pPr>
      <w:pStyle w:val="Footer"/>
      <w:tabs>
        <w:tab w:val="clear" w:pos="9377"/>
        <w:tab w:val="right" w:pos="9356"/>
      </w:tabs>
      <w:jc w:val="center"/>
      <w:rPr>
        <w:rFonts w:ascii="Garamond" w:hAnsi="Garamond"/>
        <w:szCs w:val="22"/>
      </w:rPr>
    </w:pPr>
  </w:p>
  <w:p w:rsidR="001C7C52" w:rsidRPr="0090330C" w:rsidRDefault="001C7C52" w:rsidP="002E2E49">
    <w:pPr>
      <w:pStyle w:val="Footer"/>
      <w:tabs>
        <w:tab w:val="clear" w:pos="4677"/>
        <w:tab w:val="clear" w:pos="9377"/>
        <w:tab w:val="right" w:pos="9412"/>
      </w:tabs>
      <w:ind w:firstLine="2127"/>
      <w:rPr>
        <w:rFonts w:ascii="Garamond" w:hAnsi="Garamond"/>
        <w:lang w:val="en-US"/>
      </w:rPr>
    </w:pPr>
    <w:r w:rsidRPr="008A256F">
      <w:rPr>
        <w:rFonts w:ascii="Garamond" w:hAnsi="Garamond"/>
        <w:szCs w:val="22"/>
        <w:lang w:val="en-US"/>
      </w:rPr>
      <w:t xml:space="preserve"> </w:t>
    </w:r>
    <w:r w:rsidRPr="008A256F">
      <w:rPr>
        <w:rFonts w:ascii="Garamond" w:hAnsi="Garamond"/>
        <w:b/>
        <w:sz w:val="16"/>
        <w:szCs w:val="16"/>
        <w:lang w:val="en-US"/>
      </w:rPr>
      <w:t>ERNST &amp; YOUNG - FINANCIAL SERVICES RISK MANAGEMENT</w:t>
    </w:r>
    <w:r w:rsidRPr="0092424C">
      <w:rPr>
        <w:rFonts w:ascii="Garamond" w:hAnsi="Garamond"/>
        <w:szCs w:val="22"/>
      </w:rPr>
      <w:tab/>
    </w:r>
    <w:r w:rsidRPr="008A256F">
      <w:rPr>
        <w:rFonts w:ascii="Garamond" w:hAnsi="Garamond"/>
        <w:szCs w:val="22"/>
        <w:lang w:val="en-US"/>
      </w:rPr>
      <w:fldChar w:fldCharType="begin"/>
    </w:r>
    <w:r w:rsidRPr="008A256F">
      <w:rPr>
        <w:rFonts w:ascii="Garamond" w:hAnsi="Garamond"/>
        <w:szCs w:val="22"/>
        <w:lang w:val="en-US"/>
      </w:rPr>
      <w:instrText xml:space="preserve"> PAGE   \* MERGEFORMAT </w:instrText>
    </w:r>
    <w:r w:rsidRPr="008A256F">
      <w:rPr>
        <w:rFonts w:ascii="Garamond" w:hAnsi="Garamond"/>
        <w:szCs w:val="22"/>
        <w:lang w:val="en-US"/>
      </w:rPr>
      <w:fldChar w:fldCharType="separate"/>
    </w:r>
    <w:r>
      <w:rPr>
        <w:rFonts w:ascii="Garamond" w:hAnsi="Garamond"/>
        <w:noProof/>
        <w:szCs w:val="22"/>
        <w:lang w:val="en-US"/>
      </w:rPr>
      <w:t>108</w:t>
    </w:r>
    <w:r w:rsidRPr="008A256F">
      <w:rPr>
        <w:rFonts w:ascii="Garamond" w:hAnsi="Garamond"/>
        <w:szCs w:val="22"/>
        <w:lang w:val="en-US"/>
      </w:rPr>
      <w:fldChar w:fldCharType="end"/>
    </w:r>
  </w:p>
  <w:p w:rsidR="001C7C52" w:rsidRPr="00774CB1" w:rsidRDefault="001C7C52" w:rsidP="003621BC">
    <w:pPr>
      <w:pStyle w:val="Footer"/>
      <w:jc w:val="center"/>
      <w:rPr>
        <w:lang w:val="en-US"/>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992C92">
    <w:pPr>
      <w:pStyle w:val="Footer"/>
      <w:jc w:val="center"/>
      <w:rPr>
        <w:rFonts w:ascii="Garamond" w:hAnsi="Garamond"/>
      </w:rPr>
    </w:pPr>
  </w:p>
  <w:p w:rsidR="001C7C52" w:rsidRPr="00D47D18" w:rsidRDefault="001C7C52">
    <w:pPr>
      <w:pStyle w:val="Footer"/>
      <w:rPr>
        <w:rFonts w:ascii="Garamond" w:hAnsi="Garamond"/>
        <w:szCs w:val="2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A256F" w:rsidRDefault="001C7C52" w:rsidP="00992C92">
    <w:pPr>
      <w:pStyle w:val="Footer"/>
      <w:jc w:val="center"/>
      <w:rPr>
        <w:rFonts w:ascii="Garamond" w:hAnsi="Garamond"/>
        <w:lang w:val="en-US"/>
      </w:rPr>
    </w:pPr>
  </w:p>
  <w:p w:rsidR="001C7C52" w:rsidRPr="008A256F" w:rsidRDefault="001C7C52">
    <w:pPr>
      <w:pStyle w:val="Footer"/>
      <w:rPr>
        <w:rFonts w:ascii="Garamond" w:hAnsi="Garamond"/>
        <w:szCs w:val="22"/>
        <w:lang w:val="en-US"/>
      </w:rPr>
    </w:pPr>
    <w:r>
      <w:rPr>
        <w:noProof/>
        <w:lang w:val="en-US"/>
      </w:rPr>
      <w:pict>
        <v:shapetype id="_x0000_t32" coordsize="21600,21600" o:spt="32" o:oned="t" path="m,l21600,21600e" filled="f">
          <v:path arrowok="t" fillok="f" o:connecttype="none"/>
          <o:lock v:ext="edit" shapetype="t"/>
        </v:shapetype>
        <v:shape id="_x0000_s2057" type="#_x0000_t32" style="position:absolute;margin-left:-.8pt;margin-top:5.35pt;width:470.05pt;height:0;z-index:251661824" o:connectortype="straight" strokeweight=".5pt"/>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Default="001C7C52" w:rsidP="00992C92">
    <w:pPr>
      <w:pStyle w:val="Footer"/>
      <w:jc w:val="center"/>
      <w:rPr>
        <w:rFonts w:ascii="Garamond" w:hAnsi="Garamond"/>
      </w:rPr>
    </w:pPr>
  </w:p>
  <w:p w:rsidR="001C7C52" w:rsidRDefault="001C7C52" w:rsidP="003621BC">
    <w:pPr>
      <w:pStyle w:val="Footer"/>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7C52" w:rsidRPr="00A10787" w:rsidRDefault="001C7C52" w:rsidP="00452C57">
      <w:pPr>
        <w:spacing w:line="240" w:lineRule="auto"/>
        <w:rPr>
          <w:rFonts w:ascii="Garamond" w:hAnsi="Garamond"/>
        </w:rPr>
      </w:pPr>
      <w:r w:rsidRPr="00A10787">
        <w:rPr>
          <w:rFonts w:ascii="Garamond" w:hAnsi="Garamond"/>
        </w:rPr>
        <w:separator/>
      </w:r>
    </w:p>
  </w:footnote>
  <w:footnote w:type="continuationSeparator" w:id="1">
    <w:p w:rsidR="001C7C52" w:rsidRPr="00A10787" w:rsidRDefault="001C7C52" w:rsidP="00452C57">
      <w:pPr>
        <w:spacing w:line="240" w:lineRule="auto"/>
        <w:rPr>
          <w:rFonts w:ascii="Garamond" w:hAnsi="Garamond"/>
        </w:rPr>
      </w:pPr>
      <w:r w:rsidRPr="00A10787">
        <w:rPr>
          <w:rFonts w:ascii="Garamond" w:hAnsi="Garamond"/>
        </w:rPr>
        <w:continuationSeparator/>
      </w:r>
    </w:p>
  </w:footnote>
  <w:footnote w:type="continuationNotice" w:id="2">
    <w:p w:rsidR="001C7C52" w:rsidRDefault="001C7C52">
      <w:pPr>
        <w:spacing w:line="240" w:lineRule="auto"/>
      </w:pPr>
    </w:p>
  </w:footnote>
  <w:footnote w:id="3">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CCC/C rating class contains issuers that are rated CCC, CC or C. Furthermore, the presented percentages are all based on the total spectrum of US corporations rated by Standard &amp; Poor’s as indicated by the ‘Rating Changes’ data that can be obtained in Bloomberg Professional. The total number of rated issuers in this spectrum declined slightly during the crisis (by roughly 6%).</w:t>
      </w:r>
    </w:p>
  </w:footnote>
  <w:footnote w:id="4">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Risk adjusted measures of leverage, such as ‘value-at-risk relative to equity’ or ‘risk-weighted assets divided by tier 1 capital’, did not recognize the substantial increase in leverage (</w:t>
      </w:r>
      <w:hyperlink w:anchor="FSA_2009" w:history="1">
        <w:r w:rsidRPr="00D820E2">
          <w:rPr>
            <w:rStyle w:val="Hyperlink"/>
            <w:rFonts w:ascii="Garamond" w:hAnsi="Garamond"/>
            <w:color w:val="000066"/>
            <w:u w:val="none"/>
            <w:lang w:val="en-GB"/>
          </w:rPr>
          <w:t>FSA, 2009</w:t>
        </w:r>
      </w:hyperlink>
      <w:r w:rsidRPr="00D820E2">
        <w:rPr>
          <w:rFonts w:ascii="Garamond" w:hAnsi="Garamond"/>
          <w:lang w:val="en-GB"/>
        </w:rPr>
        <w:t xml:space="preserve">). </w:t>
      </w:r>
    </w:p>
  </w:footnote>
  <w:footnote w:id="5">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Pro-cyclicality in capital requirements describes the cyclical character of the Basel II capital requirements. It implies that when markets are benign the capital requirements are low and that capital requirements are high when markets reach bottom of the cycle. The danger of pro-cyclicality in regulatory capital requirements is that it can accentuate the economic cycle. </w:t>
      </w:r>
    </w:p>
  </w:footnote>
  <w:footnote w:id="6">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In a more general consultative document, also released in January 2009, </w:t>
      </w:r>
      <w:r>
        <w:rPr>
          <w:rFonts w:ascii="Garamond" w:hAnsi="Garamond"/>
          <w:lang w:val="en-GB"/>
        </w:rPr>
        <w:t xml:space="preserve">that is </w:t>
      </w:r>
      <w:r w:rsidRPr="00D820E2">
        <w:rPr>
          <w:rFonts w:ascii="Garamond" w:hAnsi="Garamond"/>
          <w:lang w:val="en-GB"/>
        </w:rPr>
        <w:t>titled: ‘</w:t>
      </w:r>
      <w:r w:rsidRPr="00D820E2">
        <w:rPr>
          <w:rFonts w:ascii="Garamond" w:hAnsi="Garamond"/>
          <w:i/>
          <w:lang w:val="en-GB"/>
        </w:rPr>
        <w:t>Proposed Enhancements to the Basel II Framework</w:t>
      </w:r>
      <w:r w:rsidRPr="00D820E2">
        <w:rPr>
          <w:rFonts w:ascii="Garamond" w:hAnsi="Garamond"/>
          <w:lang w:val="en-GB"/>
        </w:rPr>
        <w:t>’ (</w:t>
      </w:r>
      <w:hyperlink w:anchor="BCBS_2009c" w:history="1">
        <w:r w:rsidRPr="00D820E2">
          <w:rPr>
            <w:rStyle w:val="Hyperlink"/>
            <w:rFonts w:ascii="Garamond" w:hAnsi="Garamond"/>
            <w:color w:val="000066"/>
            <w:u w:val="none"/>
            <w:lang w:val="en-GB"/>
          </w:rPr>
          <w:t>BCBS, 2009c</w:t>
        </w:r>
      </w:hyperlink>
      <w:r w:rsidRPr="00D820E2">
        <w:rPr>
          <w:rFonts w:ascii="Garamond" w:hAnsi="Garamond"/>
          <w:lang w:val="en-GB"/>
        </w:rPr>
        <w:t xml:space="preserve">) more general attention is paid to changes </w:t>
      </w:r>
      <w:r>
        <w:rPr>
          <w:rFonts w:ascii="Garamond" w:hAnsi="Garamond"/>
          <w:lang w:val="en-GB"/>
        </w:rPr>
        <w:t>in</w:t>
      </w:r>
      <w:r w:rsidRPr="00D820E2">
        <w:rPr>
          <w:rFonts w:ascii="Garamond" w:hAnsi="Garamond"/>
          <w:lang w:val="en-GB"/>
        </w:rPr>
        <w:t xml:space="preserve"> the assessment of securitizations and re-securitizations.</w:t>
      </w:r>
    </w:p>
  </w:footnote>
  <w:footnote w:id="7">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Liquidity problems were one of the first symptoms of the crisis and were also addressed in an earlier BIS/BCBS publication titled: ‘</w:t>
      </w:r>
      <w:r w:rsidRPr="00D820E2">
        <w:rPr>
          <w:rFonts w:ascii="Garamond" w:hAnsi="Garamond"/>
          <w:i/>
          <w:lang w:val="en-GB"/>
        </w:rPr>
        <w:t>Principles for Sound Liquidity Risk Management and Supervision</w:t>
      </w:r>
      <w:r w:rsidRPr="00D820E2">
        <w:rPr>
          <w:rFonts w:ascii="Garamond" w:hAnsi="Garamond"/>
          <w:lang w:val="en-GB"/>
        </w:rPr>
        <w:t>’ (</w:t>
      </w:r>
      <w:hyperlink w:anchor="BCBS_2008b" w:history="1">
        <w:r w:rsidRPr="00D820E2">
          <w:rPr>
            <w:rStyle w:val="Hyperlink"/>
            <w:rFonts w:ascii="Garamond" w:hAnsi="Garamond"/>
            <w:color w:val="000066"/>
            <w:u w:val="none"/>
            <w:lang w:val="en-GB"/>
          </w:rPr>
          <w:t>BCBS, 2008b</w:t>
        </w:r>
      </w:hyperlink>
      <w:r w:rsidRPr="00D820E2">
        <w:rPr>
          <w:rFonts w:ascii="Garamond" w:hAnsi="Garamond"/>
          <w:lang w:val="en-GB"/>
        </w:rPr>
        <w:t xml:space="preserve">). </w:t>
      </w:r>
    </w:p>
  </w:footnote>
  <w:footnote w:id="8">
    <w:p w:rsidR="001C7C52" w:rsidRDefault="001C7C52" w:rsidP="00F14AD8">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KMV-model actually describes the credit risk of individual issuers in terms of ‘expected default frequencies’ (EDF). Moody’s KMV has developed the KMV Portfolio Manager to assess credit risk in the portfolio context. The basic structure of this model is described in </w:t>
      </w:r>
      <w:hyperlink w:anchor="Kealhofer_Bohn_2001" w:history="1">
        <w:r w:rsidRPr="00D820E2">
          <w:rPr>
            <w:rStyle w:val="Hyperlink"/>
            <w:rFonts w:ascii="Garamond" w:hAnsi="Garamond"/>
            <w:color w:val="000066"/>
            <w:u w:val="none"/>
            <w:lang w:val="en-GB"/>
          </w:rPr>
          <w:t>Kealhofer &amp; Bohn (2001)</w:t>
        </w:r>
      </w:hyperlink>
      <w:r w:rsidRPr="00D820E2">
        <w:rPr>
          <w:rFonts w:ascii="Garamond" w:hAnsi="Garamond"/>
          <w:lang w:val="en-GB"/>
        </w:rPr>
        <w:t xml:space="preserve">, yet the model is not publicly disclosed in a way comparable to the CreditMetrics model or CreditRisk+ model. </w:t>
      </w:r>
    </w:p>
  </w:footnote>
  <w:footnote w:id="9">
    <w:p w:rsidR="001C7C52" w:rsidRDefault="001C7C52" w:rsidP="002C6801">
      <w:pPr>
        <w:pStyle w:val="FootnoteText"/>
        <w:tabs>
          <w:tab w:val="left" w:pos="284"/>
        </w:tabs>
        <w:spacing w:line="200" w:lineRule="exact"/>
        <w:ind w:left="198" w:hanging="198"/>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For example, </w:t>
      </w:r>
      <w:hyperlink w:anchor="Jorion_2001" w:history="1">
        <w:r w:rsidRPr="00D820E2">
          <w:rPr>
            <w:rStyle w:val="Hyperlink"/>
            <w:rFonts w:ascii="Garamond" w:hAnsi="Garamond"/>
            <w:color w:val="000066"/>
            <w:u w:val="none"/>
            <w:lang w:val="en-GB"/>
          </w:rPr>
          <w:t>Jorion (2001</w:t>
        </w:r>
      </w:hyperlink>
      <w:r>
        <w:rPr>
          <w:rFonts w:ascii="Garamond" w:hAnsi="Garamond"/>
          <w:lang w:val="en-GB"/>
        </w:rPr>
        <w:t>,</w:t>
      </w:r>
      <w:r w:rsidRPr="00D820E2">
        <w:rPr>
          <w:rFonts w:ascii="Garamond" w:hAnsi="Garamond"/>
          <w:lang w:val="en-GB"/>
        </w:rPr>
        <w:t xml:space="preserve"> </w:t>
      </w:r>
      <w:hyperlink w:anchor="Jorion_2002" w:history="1">
        <w:r w:rsidRPr="00D820E2">
          <w:rPr>
            <w:rStyle w:val="Hyperlink"/>
            <w:rFonts w:ascii="Garamond" w:hAnsi="Garamond"/>
            <w:color w:val="000066"/>
            <w:u w:val="none"/>
            <w:lang w:val="en-GB"/>
          </w:rPr>
          <w:t>2002</w:t>
        </w:r>
      </w:hyperlink>
      <w:r w:rsidRPr="00D820E2">
        <w:rPr>
          <w:rFonts w:ascii="Garamond" w:hAnsi="Garamond"/>
          <w:lang w:val="en-GB"/>
        </w:rPr>
        <w:t xml:space="preserve">), </w:t>
      </w:r>
      <w:hyperlink w:anchor="Liu_et_al_2004" w:history="1">
        <w:r w:rsidRPr="00D820E2">
          <w:rPr>
            <w:rStyle w:val="Hyperlink"/>
            <w:rFonts w:ascii="Garamond" w:hAnsi="Garamond"/>
            <w:color w:val="000066"/>
            <w:u w:val="none"/>
            <w:lang w:val="en-GB"/>
          </w:rPr>
          <w:t>Liu et al. (2004)</w:t>
        </w:r>
      </w:hyperlink>
      <w:r w:rsidRPr="00D820E2">
        <w:rPr>
          <w:rFonts w:ascii="Garamond" w:hAnsi="Garamond"/>
          <w:lang w:val="en-GB"/>
        </w:rPr>
        <w:t xml:space="preserve"> and </w:t>
      </w:r>
      <w:hyperlink w:anchor="Lim_Tan_2007" w:history="1">
        <w:r w:rsidRPr="00D820E2">
          <w:rPr>
            <w:rStyle w:val="Hyperlink"/>
            <w:rFonts w:ascii="Garamond" w:hAnsi="Garamond"/>
            <w:color w:val="000066"/>
            <w:u w:val="none"/>
            <w:lang w:val="en-GB"/>
          </w:rPr>
          <w:t>Lim &amp; Tan (2007)</w:t>
        </w:r>
      </w:hyperlink>
      <w:r w:rsidRPr="00D820E2">
        <w:rPr>
          <w:rFonts w:ascii="Garamond" w:hAnsi="Garamond"/>
          <w:lang w:val="en-GB"/>
        </w:rPr>
        <w:t>.</w:t>
      </w:r>
    </w:p>
  </w:footnote>
  <w:footnote w:id="10">
    <w:p w:rsidR="001C7C52" w:rsidRDefault="001C7C52" w:rsidP="001E29A8">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objective of this assessment is similar to that of the assessment of the incremental default risk model in </w:t>
      </w:r>
      <w:hyperlink w:anchor="Dunn_et_al_2006" w:history="1">
        <w:r w:rsidRPr="00D820E2">
          <w:rPr>
            <w:rStyle w:val="Hyperlink"/>
            <w:rFonts w:ascii="Garamond" w:hAnsi="Garamond"/>
            <w:color w:val="000066"/>
            <w:u w:val="none"/>
            <w:lang w:val="en-GB"/>
          </w:rPr>
          <w:t>Dunn et al. (2006)</w:t>
        </w:r>
      </w:hyperlink>
      <w:r w:rsidRPr="00D820E2">
        <w:rPr>
          <w:rFonts w:ascii="Garamond" w:hAnsi="Garamond"/>
          <w:lang w:val="en-GB"/>
        </w:rPr>
        <w:t xml:space="preserve"> and </w:t>
      </w:r>
      <w:hyperlink w:anchor="Dunn_2008" w:history="1">
        <w:r w:rsidRPr="00D820E2">
          <w:rPr>
            <w:rStyle w:val="Hyperlink"/>
            <w:rFonts w:ascii="Garamond" w:hAnsi="Garamond"/>
            <w:color w:val="000066"/>
            <w:u w:val="none"/>
            <w:lang w:val="en-GB"/>
          </w:rPr>
          <w:t>Dunn (2008)</w:t>
        </w:r>
      </w:hyperlink>
      <w:r w:rsidRPr="00D820E2">
        <w:rPr>
          <w:rFonts w:ascii="Garamond" w:hAnsi="Garamond"/>
          <w:lang w:val="en-GB"/>
        </w:rPr>
        <w:t>, yet its execution is much more comprehensive in nature.</w:t>
      </w:r>
    </w:p>
  </w:footnote>
  <w:footnote w:id="11">
    <w:p w:rsidR="001C7C52" w:rsidRDefault="001C7C52" w:rsidP="00E23F96">
      <w:pPr>
        <w:pStyle w:val="FootnoteText"/>
        <w:tabs>
          <w:tab w:val="left" w:pos="284"/>
        </w:tabs>
        <w:spacing w:line="200" w:lineRule="exact"/>
        <w:ind w:left="198" w:hanging="198"/>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Most of the content in this section is directly taken from the original BIS/BCBS document: </w:t>
      </w:r>
      <w:hyperlink w:anchor="BCBS_2009a" w:history="1">
        <w:r w:rsidRPr="00D820E2">
          <w:rPr>
            <w:rStyle w:val="Hyperlink"/>
            <w:rFonts w:ascii="Garamond" w:hAnsi="Garamond"/>
            <w:color w:val="000066"/>
            <w:u w:val="none"/>
            <w:lang w:val="en-GB"/>
          </w:rPr>
          <w:t>BCBS (2009a)</w:t>
        </w:r>
      </w:hyperlink>
      <w:r w:rsidRPr="00D820E2">
        <w:rPr>
          <w:rFonts w:ascii="Garamond" w:hAnsi="Garamond"/>
          <w:lang w:val="en-GB"/>
        </w:rPr>
        <w:t xml:space="preserve">. </w:t>
      </w:r>
    </w:p>
  </w:footnote>
  <w:footnote w:id="12">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applied Incremental Risk Capital Charge at a specific point in time is calculated by taking the maximum of the most recent incremental risk measure and the average of the incremental risk measure over the most recent 12 weeks.</w:t>
      </w:r>
    </w:p>
  </w:footnote>
  <w:footnote w:id="13">
    <w:p w:rsidR="001C7C52" w:rsidRDefault="001C7C52" w:rsidP="00AA2005">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r w:rsidRPr="00D820E2">
        <w:rPr>
          <w:rFonts w:ascii="Garamond" w:hAnsi="Garamond"/>
          <w:szCs w:val="18"/>
          <w:lang w:val="en-GB"/>
        </w:rPr>
        <w:t>The best known practical approaches are RiskMetrics Group’s CreditMetrics model (</w:t>
      </w:r>
      <w:hyperlink w:anchor="Gupton_et_al_1997" w:history="1">
        <w:r w:rsidRPr="00D820E2">
          <w:rPr>
            <w:rStyle w:val="Hyperlink"/>
            <w:rFonts w:ascii="Garamond" w:hAnsi="Garamond"/>
            <w:color w:val="000066"/>
            <w:szCs w:val="18"/>
            <w:u w:val="none"/>
            <w:lang w:val="en-GB"/>
          </w:rPr>
          <w:t>Gupton et al., 1997</w:t>
        </w:r>
      </w:hyperlink>
      <w:r w:rsidRPr="00D820E2">
        <w:rPr>
          <w:rFonts w:ascii="Garamond" w:hAnsi="Garamond"/>
          <w:szCs w:val="18"/>
          <w:lang w:val="en-GB"/>
        </w:rPr>
        <w:t>), Credit Suisse Financial Product’s CreditRisk+ model (</w:t>
      </w:r>
      <w:hyperlink w:anchor="Wilde_1997" w:history="1">
        <w:r w:rsidRPr="00D820E2">
          <w:rPr>
            <w:rStyle w:val="Hyperlink"/>
            <w:rFonts w:ascii="Garamond" w:hAnsi="Garamond"/>
            <w:color w:val="000066"/>
            <w:szCs w:val="18"/>
            <w:u w:val="none"/>
            <w:lang w:val="en-GB"/>
          </w:rPr>
          <w:t>Wilde, 1997</w:t>
        </w:r>
      </w:hyperlink>
      <w:r w:rsidRPr="00D820E2">
        <w:rPr>
          <w:rFonts w:ascii="Garamond" w:hAnsi="Garamond"/>
          <w:szCs w:val="18"/>
          <w:lang w:val="en-GB"/>
        </w:rPr>
        <w:t>), Moody’s KMV’s Portfolio Manager and McKinsey’s CreditPortfolioView (</w:t>
      </w:r>
      <w:hyperlink w:anchor="Wilson_1997" w:history="1">
        <w:r w:rsidRPr="00D820E2">
          <w:rPr>
            <w:rStyle w:val="Hyperlink"/>
            <w:rFonts w:ascii="Garamond" w:hAnsi="Garamond"/>
            <w:color w:val="000066"/>
            <w:szCs w:val="18"/>
            <w:u w:val="none"/>
            <w:lang w:val="en-GB"/>
          </w:rPr>
          <w:t>Wilson, 1997</w:t>
        </w:r>
      </w:hyperlink>
      <w:r w:rsidRPr="00D820E2">
        <w:rPr>
          <w:rFonts w:ascii="Garamond" w:hAnsi="Garamond"/>
          <w:szCs w:val="18"/>
          <w:lang w:val="en-GB"/>
        </w:rPr>
        <w:t xml:space="preserve">). A comparison of these credit risk models is provided by </w:t>
      </w:r>
      <w:hyperlink w:anchor="Crouhy_et_al_2000" w:history="1">
        <w:r w:rsidRPr="00D820E2">
          <w:rPr>
            <w:rStyle w:val="Hyperlink"/>
            <w:rFonts w:ascii="Garamond" w:hAnsi="Garamond"/>
            <w:color w:val="000066"/>
            <w:u w:val="none"/>
            <w:lang w:val="en-GB"/>
          </w:rPr>
          <w:t>Crouhy et al. (2000)</w:t>
        </w:r>
      </w:hyperlink>
      <w:r w:rsidRPr="00D820E2">
        <w:rPr>
          <w:rFonts w:ascii="Garamond" w:hAnsi="Garamond"/>
          <w:lang w:val="en-GB"/>
        </w:rPr>
        <w:t xml:space="preserve">, </w:t>
      </w:r>
      <w:hyperlink w:anchor="Gordy_2000" w:history="1">
        <w:r w:rsidRPr="00D820E2">
          <w:rPr>
            <w:rStyle w:val="Hyperlink"/>
            <w:rFonts w:ascii="Garamond" w:hAnsi="Garamond"/>
            <w:color w:val="000066"/>
            <w:u w:val="none"/>
            <w:lang w:val="en-GB"/>
          </w:rPr>
          <w:t>Gordy (2000)</w:t>
        </w:r>
      </w:hyperlink>
      <w:r w:rsidRPr="00D820E2">
        <w:rPr>
          <w:rFonts w:ascii="Garamond" w:hAnsi="Garamond"/>
          <w:lang w:val="en-GB"/>
        </w:rPr>
        <w:t xml:space="preserve"> and </w:t>
      </w:r>
      <w:hyperlink w:anchor="Nyfeler_2000" w:history="1">
        <w:r w:rsidRPr="00D820E2">
          <w:rPr>
            <w:rStyle w:val="Hyperlink"/>
            <w:rFonts w:ascii="Garamond" w:hAnsi="Garamond"/>
            <w:color w:val="000066"/>
            <w:u w:val="none"/>
            <w:lang w:val="en-GB"/>
          </w:rPr>
          <w:t>Nyfeler (2000)</w:t>
        </w:r>
      </w:hyperlink>
      <w:r w:rsidRPr="00D820E2">
        <w:rPr>
          <w:rFonts w:ascii="Garamond" w:hAnsi="Garamond"/>
          <w:lang w:val="en-GB"/>
        </w:rPr>
        <w:t xml:space="preserve">. Moreover, </w:t>
      </w:r>
      <w:hyperlink w:anchor="Saunders_Allen_2002" w:history="1">
        <w:r w:rsidRPr="00D820E2">
          <w:rPr>
            <w:rStyle w:val="Hyperlink"/>
            <w:rFonts w:ascii="Garamond" w:hAnsi="Garamond"/>
            <w:color w:val="000066"/>
            <w:u w:val="none"/>
            <w:lang w:val="en-GB"/>
          </w:rPr>
          <w:t>Saunders &amp; Allen (2002)</w:t>
        </w:r>
      </w:hyperlink>
      <w:r w:rsidRPr="00D820E2">
        <w:rPr>
          <w:rFonts w:ascii="Garamond" w:hAnsi="Garamond"/>
          <w:lang w:val="en-GB"/>
        </w:rPr>
        <w:t xml:space="preserve"> provide detailed information on the workings of all mentioned models as well.</w:t>
      </w:r>
    </w:p>
  </w:footnote>
  <w:footnote w:id="14">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matrix contains eight credit rating classes: AAA, AA, A, BBB, BB, B, CCC/C and Default. Credit rating modifiers (+) and (-) are ignored. The motivation behind this modification is presented in </w:t>
      </w:r>
      <w:hyperlink w:anchor="S211" w:history="1">
        <w:r w:rsidRPr="00D820E2">
          <w:rPr>
            <w:rStyle w:val="Hyperlink"/>
            <w:rFonts w:ascii="Garamond" w:hAnsi="Garamond"/>
            <w:color w:val="000066"/>
            <w:u w:val="none"/>
            <w:lang w:val="en-GB"/>
          </w:rPr>
          <w:t>Part II section 2.1.1</w:t>
        </w:r>
      </w:hyperlink>
      <w:r w:rsidRPr="00D820E2">
        <w:rPr>
          <w:rFonts w:ascii="Garamond" w:hAnsi="Garamond"/>
          <w:lang w:val="en-GB"/>
        </w:rPr>
        <w:t xml:space="preserve">. Moreover, in </w:t>
      </w:r>
      <w:hyperlink w:anchor="S210" w:history="1">
        <w:r w:rsidRPr="00D820E2">
          <w:rPr>
            <w:rStyle w:val="Hyperlink"/>
            <w:rFonts w:ascii="Garamond" w:hAnsi="Garamond"/>
            <w:color w:val="000066"/>
            <w:u w:val="none"/>
            <w:lang w:val="en-GB"/>
          </w:rPr>
          <w:t>Part II section 2.1</w:t>
        </w:r>
      </w:hyperlink>
      <w:r w:rsidRPr="00D820E2">
        <w:rPr>
          <w:rFonts w:ascii="Garamond" w:hAnsi="Garamond"/>
          <w:lang w:val="en-GB"/>
        </w:rPr>
        <w:t>, credit migration matrix estimation methodologies are discussed and applied.</w:t>
      </w:r>
    </w:p>
  </w:footnote>
  <w:footnote w:id="15">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Another interpretation of the constant level of risk assumption is that a position can only default once in a single liquidity horizon. Nevertheless, this alternative interpretation implies that if a position defaults before the end of its liquidity horizon, there is no risk at all in the remainder of that liquidity horizon, since no new position is taken on after the default has occurred.</w:t>
      </w:r>
    </w:p>
  </w:footnote>
  <w:footnote w:id="16">
    <w:p w:rsidR="001C7C52" w:rsidRDefault="001C7C52" w:rsidP="002C6801">
      <w:pPr>
        <w:pStyle w:val="FootnoteText"/>
        <w:tabs>
          <w:tab w:val="left" w:pos="284"/>
        </w:tabs>
        <w:spacing w:line="200" w:lineRule="exact"/>
        <w:ind w:left="198" w:hanging="198"/>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Under the assumption that the holder of the portfolio is located in the US, currencies are not an issue.</w:t>
      </w:r>
    </w:p>
  </w:footnote>
  <w:footnote w:id="17">
    <w:p w:rsidR="001C7C52" w:rsidRDefault="001C7C52" w:rsidP="00E91508">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bookmarkStart w:id="13" w:name="Footnote15"/>
      <w:bookmarkEnd w:id="13"/>
      <w:r w:rsidRPr="00D820E2">
        <w:rPr>
          <w:rFonts w:ascii="Garamond" w:hAnsi="Garamond"/>
          <w:lang w:val="en-GB"/>
        </w:rPr>
        <w:t xml:space="preserve">A third alternative forward accrual rate is the risk free forward rate. The application of this forward rate would be consistent with the ‘going concern’ principle, as losses are refunded from the regulatory capital buffer. In this setting, however, gains would be used to increase capital or would be invested in the risk free rate, which is quite unrealistic. Moreover, the use of the risk free forward rate is the least conservative option, since the simulated losses on the individual positions accrue at the lowest rate possible. The decision to use the forward yield of the initial credit rating is therefore motivated by conservatism as well. Nevertheless, one must recognize that the use of the risk free rate in this context is an option that may be applied in practice. It is, however, highly unlikely that the interpretations and conclusions regarding the model estimations, presented in </w:t>
      </w:r>
      <w:hyperlink w:anchor="S310" w:history="1">
        <w:r w:rsidRPr="00D820E2">
          <w:rPr>
            <w:rStyle w:val="Hyperlink"/>
            <w:rFonts w:ascii="Garamond" w:hAnsi="Garamond"/>
            <w:color w:val="000066"/>
            <w:u w:val="none"/>
            <w:lang w:val="en-GB"/>
          </w:rPr>
          <w:t>Part III</w:t>
        </w:r>
      </w:hyperlink>
      <w:r w:rsidRPr="00D820E2">
        <w:rPr>
          <w:rFonts w:ascii="Garamond" w:hAnsi="Garamond"/>
          <w:lang w:val="en-GB"/>
        </w:rPr>
        <w:t xml:space="preserve">, will change when the risk free rate is used, as the VaR-estimates will be lower, but are highly likely to display very similar pattern relative to each other. The results in </w:t>
      </w:r>
      <w:hyperlink w:anchor="C4_Part3" w:history="1">
        <w:r w:rsidRPr="00D820E2">
          <w:rPr>
            <w:rStyle w:val="Hyperlink"/>
            <w:rFonts w:ascii="Garamond" w:hAnsi="Garamond"/>
            <w:color w:val="000066"/>
            <w:u w:val="none"/>
            <w:lang w:val="en-GB"/>
          </w:rPr>
          <w:t>Part III</w:t>
        </w:r>
      </w:hyperlink>
      <w:r w:rsidRPr="00D820E2">
        <w:rPr>
          <w:rFonts w:ascii="Garamond" w:hAnsi="Garamond"/>
          <w:lang w:val="en-GB"/>
        </w:rPr>
        <w:t xml:space="preserve"> can thus be seen as the upper limits (the most conservative) of the VaR-estimates regarding the forward accrual rate assumption.</w:t>
      </w:r>
    </w:p>
  </w:footnote>
  <w:footnote w:id="18">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Multiple approaches in the estimation of the recovery rate exist. An excellent example is the MKMV LossCalc V2 model (</w:t>
      </w:r>
      <w:hyperlink w:anchor="Gupton_Stein_2005" w:history="1">
        <w:r w:rsidRPr="00D820E2">
          <w:rPr>
            <w:rStyle w:val="Hyperlink"/>
            <w:rFonts w:ascii="Garamond" w:hAnsi="Garamond"/>
            <w:color w:val="000066"/>
            <w:u w:val="none"/>
            <w:lang w:val="en-GB"/>
          </w:rPr>
          <w:t>Gupton &amp; Stein, 2005</w:t>
        </w:r>
      </w:hyperlink>
      <w:r w:rsidRPr="00D820E2">
        <w:rPr>
          <w:rFonts w:ascii="Garamond" w:hAnsi="Garamond"/>
          <w:lang w:val="en-GB"/>
        </w:rPr>
        <w:t>). Nonetheless, to retain a certain degree of simplicity, the recovery rate is not estimated in this study, but obtained from an S&amp;P publication.</w:t>
      </w:r>
    </w:p>
  </w:footnote>
  <w:footnote w:id="19">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This publication, </w:t>
      </w:r>
      <w:hyperlink w:anchor="Vazza_et_al_2008" w:history="1">
        <w:r w:rsidRPr="00D820E2">
          <w:rPr>
            <w:rStyle w:val="Hyperlink"/>
            <w:rFonts w:ascii="Garamond" w:hAnsi="Garamond"/>
            <w:color w:val="000066"/>
            <w:u w:val="none"/>
            <w:lang w:val="en-GB"/>
          </w:rPr>
          <w:t>Vazza et al. (2008)</w:t>
        </w:r>
      </w:hyperlink>
      <w:r w:rsidRPr="00D820E2">
        <w:rPr>
          <w:rFonts w:ascii="Garamond" w:hAnsi="Garamond"/>
          <w:lang w:val="en-GB"/>
        </w:rPr>
        <w:t xml:space="preserve">, </w:t>
      </w:r>
      <w:r w:rsidRPr="00D820E2">
        <w:rPr>
          <w:rFonts w:ascii="Garamond" w:hAnsi="Garamond" w:cs="NimbusRomNo9L-Regu"/>
          <w:lang w:val="en-GB" w:eastAsia="nl-NL"/>
        </w:rPr>
        <w:t xml:space="preserve">is the last of S&amp;P’s ‘Default, Recovery, and Transitions’-series that contains recovery rate estimates. Moreover, S&amp;P estimates should be employed to maintain a consistency in data sources, as the credit migration matrices that are estimated in </w:t>
      </w:r>
      <w:hyperlink w:anchor="S210" w:history="1">
        <w:r w:rsidRPr="00D820E2">
          <w:rPr>
            <w:rStyle w:val="Hyperlink"/>
            <w:rFonts w:ascii="Garamond" w:hAnsi="Garamond" w:cs="NimbusRomNo9L-Regu"/>
            <w:color w:val="000066"/>
            <w:u w:val="none"/>
            <w:lang w:val="en-GB" w:eastAsia="nl-NL"/>
          </w:rPr>
          <w:t>Part II section 2.1</w:t>
        </w:r>
      </w:hyperlink>
      <w:r w:rsidRPr="00D820E2">
        <w:rPr>
          <w:rFonts w:ascii="Garamond" w:hAnsi="Garamond" w:cs="NimbusRomNo9L-Regu"/>
          <w:lang w:val="en-GB" w:eastAsia="nl-NL"/>
        </w:rPr>
        <w:t xml:space="preserve"> are based on an S&amp;P dataset as well.</w:t>
      </w:r>
    </w:p>
  </w:footnote>
  <w:footnote w:id="20">
    <w:p w:rsidR="001C7C52" w:rsidRDefault="001C7C52" w:rsidP="001967FF">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Moody’s expectation is based on the empirically observed inverse relation between the average probability of default and recovery rates (this subject is discussed in </w:t>
      </w:r>
      <w:hyperlink w:anchor="S323" w:history="1">
        <w:r w:rsidRPr="00D820E2">
          <w:rPr>
            <w:rStyle w:val="Hyperlink"/>
            <w:rFonts w:ascii="Garamond" w:hAnsi="Garamond"/>
            <w:color w:val="000066"/>
            <w:u w:val="none"/>
            <w:lang w:val="en-GB"/>
          </w:rPr>
          <w:t>Part III section 3.2.3</w:t>
        </w:r>
      </w:hyperlink>
      <w:r w:rsidRPr="00D820E2">
        <w:rPr>
          <w:rFonts w:ascii="Garamond" w:hAnsi="Garamond"/>
          <w:lang w:val="en-GB"/>
        </w:rPr>
        <w:t>). Since large numbers of defaults are expected in 2009, it is also expected that recovery rates decline even further during 2009.</w:t>
      </w:r>
    </w:p>
  </w:footnote>
  <w:footnote w:id="21">
    <w:p w:rsidR="001C7C52" w:rsidRDefault="001C7C52" w:rsidP="00BB4047">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construction of the corporate bond portfolios is addressed in </w:t>
      </w:r>
      <w:hyperlink w:anchor="S230" w:history="1">
        <w:r w:rsidRPr="00D820E2">
          <w:rPr>
            <w:rStyle w:val="Hyperlink"/>
            <w:rFonts w:ascii="Garamond" w:hAnsi="Garamond"/>
            <w:color w:val="000066"/>
            <w:u w:val="none"/>
            <w:lang w:val="en-GB"/>
          </w:rPr>
          <w:t>Part II section 2.3</w:t>
        </w:r>
      </w:hyperlink>
      <w:r w:rsidRPr="00D820E2">
        <w:rPr>
          <w:rFonts w:ascii="Garamond" w:hAnsi="Garamond"/>
          <w:lang w:val="en-GB"/>
        </w:rPr>
        <w:t xml:space="preserve"> and the individual bonds (names) that they comprise are presented in </w:t>
      </w:r>
      <w:hyperlink w:anchor="SA3" w:history="1">
        <w:r w:rsidRPr="00D820E2">
          <w:rPr>
            <w:rStyle w:val="Hyperlink"/>
            <w:rFonts w:ascii="Garamond" w:hAnsi="Garamond"/>
            <w:color w:val="000066"/>
            <w:u w:val="none"/>
            <w:lang w:val="en-GB"/>
          </w:rPr>
          <w:t>appendix A.3</w:t>
        </w:r>
      </w:hyperlink>
      <w:r w:rsidRPr="00D820E2">
        <w:rPr>
          <w:rFonts w:ascii="Garamond" w:hAnsi="Garamond"/>
          <w:lang w:val="en-GB"/>
        </w:rPr>
        <w:t xml:space="preserve">. </w:t>
      </w:r>
    </w:p>
  </w:footnote>
  <w:footnote w:id="22">
    <w:p w:rsidR="001C7C52" w:rsidRDefault="001C7C52" w:rsidP="00CE644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values presented in this example are computed with (forward) bond valuation equation (</w:t>
      </w:r>
      <w:hyperlink w:anchor="E1N11" w:history="1">
        <w:r w:rsidRPr="00D820E2">
          <w:rPr>
            <w:rStyle w:val="Hyperlink"/>
            <w:rFonts w:ascii="Garamond" w:hAnsi="Garamond"/>
            <w:color w:val="000066"/>
            <w:u w:val="none"/>
            <w:lang w:val="en-GB"/>
          </w:rPr>
          <w:t>equation 1.11</w:t>
        </w:r>
      </w:hyperlink>
      <w:r w:rsidRPr="00D820E2">
        <w:rPr>
          <w:rFonts w:ascii="Garamond" w:hAnsi="Garamond"/>
          <w:lang w:val="en-GB"/>
        </w:rPr>
        <w:t xml:space="preserve">) and the credit yield curves observed at the estimation date of the model (01/05/2009). These credit yield curves are employed in the model estimations in </w:t>
      </w:r>
      <w:hyperlink w:anchor="S310" w:history="1">
        <w:r w:rsidRPr="00D820E2">
          <w:rPr>
            <w:rStyle w:val="Hyperlink"/>
            <w:rFonts w:ascii="Garamond" w:hAnsi="Garamond"/>
            <w:color w:val="000066"/>
            <w:u w:val="none"/>
            <w:lang w:val="en-GB"/>
          </w:rPr>
          <w:t>Part III</w:t>
        </w:r>
      </w:hyperlink>
      <w:r w:rsidRPr="00D820E2">
        <w:rPr>
          <w:rFonts w:ascii="Garamond" w:hAnsi="Garamond"/>
          <w:lang w:val="en-GB"/>
        </w:rPr>
        <w:t xml:space="preserve"> as well and </w:t>
      </w:r>
      <w:hyperlink w:anchor="SA4" w:history="1">
        <w:r w:rsidRPr="00D820E2">
          <w:rPr>
            <w:rStyle w:val="Hyperlink"/>
            <w:rFonts w:ascii="Garamond" w:hAnsi="Garamond"/>
            <w:color w:val="000066"/>
            <w:u w:val="none"/>
            <w:lang w:val="en-GB"/>
          </w:rPr>
          <w:t>appendix A.4</w:t>
        </w:r>
      </w:hyperlink>
      <w:r w:rsidRPr="00D820E2">
        <w:rPr>
          <w:rFonts w:ascii="Garamond" w:hAnsi="Garamond"/>
          <w:lang w:val="en-GB"/>
        </w:rPr>
        <w:t xml:space="preserve"> provides information with respect to these credit yield curves.</w:t>
      </w:r>
    </w:p>
  </w:footnote>
  <w:footnote w:id="23">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Rating drift or rating momentum is the empirically observed phenomenon that downgraded issuers experience a higher probability to be downgraded again than the other issuers in the rating class they were downgraded to.</w:t>
      </w:r>
    </w:p>
  </w:footnote>
  <w:footnote w:id="24">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Basel Committee also states that market and issuer concentrations must be captured. In this study, it is assumed that concentrations of this kind are reflected in the observed or estimated correlations, resulting in the incorporation of their effects into the simulation model.  </w:t>
      </w:r>
    </w:p>
  </w:footnote>
  <w:footnote w:id="25">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annual asset return is defined as: </w:t>
      </w:r>
      <w:r w:rsidRPr="00100BDF">
        <w:rPr>
          <w:rFonts w:ascii="Garamond" w:hAnsi="Garamond"/>
          <w:position w:val="-8"/>
          <w:lang w:val="en-GB"/>
        </w:rPr>
        <w:object w:dxaOrig="1359" w:dyaOrig="260">
          <v:shape id="_x0000_i1240" type="#_x0000_t75" style="width:68.25pt;height:13.5pt" o:ole="">
            <v:imagedata r:id="rId1" o:title=""/>
          </v:shape>
          <o:OLEObject Type="Embed" ProgID="Equation.DSMT4" ShapeID="_x0000_i1240" DrawAspect="Content" ObjectID="_1324894378" r:id="rId2"/>
        </w:object>
      </w:r>
      <w:r w:rsidRPr="00D820E2">
        <w:rPr>
          <w:rFonts w:ascii="Garamond" w:hAnsi="Garamond" w:cs="NimbusRomNo9L-Regu"/>
          <w:lang w:val="en-GB" w:eastAsia="nl-NL"/>
        </w:rPr>
        <w:t xml:space="preserve">. The sum (or convolution) of the three-month asset returns can written as: </w:t>
      </w:r>
      <w:r w:rsidRPr="00100BDF">
        <w:rPr>
          <w:rFonts w:ascii="Garamond" w:hAnsi="Garamond" w:cs="NimbusRomNo9L-Regu"/>
          <w:position w:val="-8"/>
          <w:lang w:val="en-GB" w:eastAsia="nl-NL"/>
        </w:rPr>
        <w:object w:dxaOrig="6640" w:dyaOrig="260">
          <v:shape id="_x0000_i1241" type="#_x0000_t75" style="width:332.25pt;height:13.5pt" o:ole="">
            <v:imagedata r:id="rId3" o:title=""/>
          </v:shape>
          <o:OLEObject Type="Embed" ProgID="Equation.DSMT4" ShapeID="_x0000_i1241" DrawAspect="Content" ObjectID="_1324894379" r:id="rId4"/>
        </w:object>
      </w:r>
      <w:r w:rsidRPr="00D820E2">
        <w:rPr>
          <w:rFonts w:ascii="Garamond" w:hAnsi="Garamond" w:cs="NimbusRomNo9L-Regu"/>
          <w:lang w:val="en-GB" w:eastAsia="nl-NL"/>
        </w:rPr>
        <w:t xml:space="preserve">, which is equal to the annual asset return. Hence, annual return </w:t>
      </w:r>
      <w:r w:rsidRPr="00100BDF">
        <w:rPr>
          <w:rFonts w:ascii="Garamond" w:hAnsi="Garamond" w:cs="NimbusRomNo9L-Regu"/>
          <w:position w:val="-8"/>
          <w:lang w:val="en-GB" w:eastAsia="nl-NL"/>
        </w:rPr>
        <w:object w:dxaOrig="380" w:dyaOrig="260">
          <v:shape id="_x0000_i1242" type="#_x0000_t75" style="width:18.75pt;height:13.5pt" o:ole="">
            <v:imagedata r:id="rId5" o:title=""/>
          </v:shape>
          <o:OLEObject Type="Embed" ProgID="Equation.DSMT4" ShapeID="_x0000_i1242" DrawAspect="Content" ObjectID="_1324894380" r:id="rId6"/>
        </w:object>
      </w:r>
      <w:r w:rsidRPr="00D820E2">
        <w:rPr>
          <w:rFonts w:ascii="Garamond" w:hAnsi="Garamond" w:cs="NimbusRomNo9L-Regu"/>
          <w:lang w:val="en-GB" w:eastAsia="nl-NL"/>
        </w:rPr>
        <w:t xml:space="preserve"> is a convolution of its four underlying three-month asset returns: </w:t>
      </w:r>
      <w:r w:rsidRPr="00100BDF">
        <w:rPr>
          <w:rFonts w:ascii="Garamond" w:hAnsi="Garamond" w:cs="NimbusRomNo9L-Regu"/>
          <w:position w:val="-8"/>
          <w:lang w:val="en-GB" w:eastAsia="nl-NL"/>
        </w:rPr>
        <w:object w:dxaOrig="340" w:dyaOrig="260">
          <v:shape id="_x0000_i1243" type="#_x0000_t75" style="width:16.5pt;height:13.5pt" o:ole="">
            <v:imagedata r:id="rId7" o:title=""/>
          </v:shape>
          <o:OLEObject Type="Embed" ProgID="Equation.DSMT4" ShapeID="_x0000_i1243" DrawAspect="Content" ObjectID="_1324894381" r:id="rId8"/>
        </w:object>
      </w:r>
      <w:r w:rsidRPr="00D820E2">
        <w:rPr>
          <w:rFonts w:ascii="Garamond" w:hAnsi="Garamond" w:cs="NimbusRomNo9L-Regu"/>
          <w:lang w:val="en-GB" w:eastAsia="nl-NL"/>
        </w:rPr>
        <w:t>,</w:t>
      </w:r>
      <w:r w:rsidRPr="00100BDF">
        <w:rPr>
          <w:rFonts w:ascii="Garamond" w:hAnsi="Garamond" w:cs="NimbusRomNo9L-Regu"/>
          <w:position w:val="-8"/>
          <w:lang w:val="en-GB" w:eastAsia="nl-NL"/>
        </w:rPr>
        <w:object w:dxaOrig="340" w:dyaOrig="260">
          <v:shape id="_x0000_i1244" type="#_x0000_t75" style="width:16.5pt;height:13.5pt" o:ole="">
            <v:imagedata r:id="rId9" o:title=""/>
          </v:shape>
          <o:OLEObject Type="Embed" ProgID="Equation.DSMT4" ShapeID="_x0000_i1244" DrawAspect="Content" ObjectID="_1324894382" r:id="rId10"/>
        </w:object>
      </w:r>
      <w:r w:rsidRPr="00D820E2">
        <w:rPr>
          <w:rFonts w:ascii="Garamond" w:hAnsi="Garamond" w:cs="NimbusRomNo9L-Regu"/>
          <w:lang w:val="en-GB" w:eastAsia="nl-NL"/>
        </w:rPr>
        <w:t>,</w:t>
      </w:r>
      <w:r w:rsidRPr="00100BDF">
        <w:rPr>
          <w:rFonts w:ascii="Garamond" w:hAnsi="Garamond" w:cs="NimbusRomNo9L-Regu"/>
          <w:position w:val="-8"/>
          <w:lang w:val="en-GB" w:eastAsia="nl-NL"/>
        </w:rPr>
        <w:object w:dxaOrig="340" w:dyaOrig="260">
          <v:shape id="_x0000_i1245" type="#_x0000_t75" style="width:16.5pt;height:13.5pt" o:ole="">
            <v:imagedata r:id="rId11" o:title=""/>
          </v:shape>
          <o:OLEObject Type="Embed" ProgID="Equation.DSMT4" ShapeID="_x0000_i1245" DrawAspect="Content" ObjectID="_1324894383" r:id="rId12"/>
        </w:object>
      </w:r>
      <w:r w:rsidRPr="00D820E2">
        <w:rPr>
          <w:rFonts w:ascii="Garamond" w:hAnsi="Garamond" w:cs="NimbusRomNo9L-Regu"/>
          <w:lang w:val="en-GB" w:eastAsia="nl-NL"/>
        </w:rPr>
        <w:t xml:space="preserve"> and </w:t>
      </w:r>
      <w:r w:rsidRPr="00100BDF">
        <w:rPr>
          <w:rFonts w:ascii="Garamond" w:hAnsi="Garamond" w:cs="NimbusRomNo9L-Regu"/>
          <w:position w:val="-8"/>
          <w:lang w:val="en-GB" w:eastAsia="nl-NL"/>
        </w:rPr>
        <w:object w:dxaOrig="380" w:dyaOrig="260">
          <v:shape id="_x0000_i1246" type="#_x0000_t75" style="width:18.75pt;height:13.5pt" o:ole="">
            <v:imagedata r:id="rId13" o:title=""/>
          </v:shape>
          <o:OLEObject Type="Embed" ProgID="Equation.DSMT4" ShapeID="_x0000_i1246" DrawAspect="Content" ObjectID="_1324894384" r:id="rId14"/>
        </w:object>
      </w:r>
      <w:r w:rsidRPr="00D820E2">
        <w:rPr>
          <w:rFonts w:ascii="Garamond" w:hAnsi="Garamond" w:cs="NimbusRomNo9L-Regu"/>
          <w:lang w:val="en-GB" w:eastAsia="nl-NL"/>
        </w:rPr>
        <w:t>.</w:t>
      </w:r>
      <w:r w:rsidRPr="00D820E2">
        <w:rPr>
          <w:rFonts w:ascii="Garamond" w:hAnsi="Garamond"/>
          <w:lang w:val="en-GB"/>
        </w:rPr>
        <w:t xml:space="preserve"> </w:t>
      </w:r>
    </w:p>
  </w:footnote>
  <w:footnote w:id="26">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r w:rsidRPr="00D820E2">
        <w:rPr>
          <w:rFonts w:ascii="Garamond" w:hAnsi="Garamond" w:cs="NimbusRomNo9L-Regu"/>
          <w:lang w:val="en-GB" w:eastAsia="nl-NL"/>
        </w:rPr>
        <w:t>Note that it makes no difference whether the average or annual issuer return is taken to compute the model implied correlations. The average issuer asset return is merely the annual issuer return divided by four. Then when the annual issuer asset return underlying each position is divided by four, the correlations between these returns remain unchanged, since dividing correlated variables by the same constant does not change their correlation properties.</w:t>
      </w:r>
    </w:p>
  </w:footnote>
  <w:footnote w:id="27">
    <w:p w:rsidR="001C7C52" w:rsidRDefault="001C7C52" w:rsidP="002C6801">
      <w:pPr>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sz w:val="18"/>
          <w:szCs w:val="18"/>
          <w:lang w:val="en-GB"/>
        </w:rPr>
        <w:t xml:space="preserve"> </w:t>
      </w:r>
      <w:r w:rsidRPr="00D820E2">
        <w:rPr>
          <w:rFonts w:ascii="Garamond" w:hAnsi="Garamond"/>
          <w:sz w:val="18"/>
          <w:szCs w:val="18"/>
          <w:lang w:val="en-GB"/>
        </w:rPr>
        <w:tab/>
        <w:t xml:space="preserve">Similar complications resulting from the constant risk assumption in the incremental risk model are addressed by </w:t>
      </w:r>
      <w:hyperlink w:anchor="Finger_2009" w:history="1">
        <w:r w:rsidRPr="00D820E2">
          <w:rPr>
            <w:rStyle w:val="Hyperlink"/>
            <w:rFonts w:ascii="Garamond" w:hAnsi="Garamond"/>
            <w:color w:val="000066"/>
            <w:sz w:val="18"/>
            <w:szCs w:val="18"/>
            <w:u w:val="none"/>
            <w:lang w:val="en-GB"/>
          </w:rPr>
          <w:t>Finger (2009)</w:t>
        </w:r>
      </w:hyperlink>
      <w:r w:rsidRPr="00D820E2">
        <w:rPr>
          <w:rFonts w:ascii="Garamond" w:hAnsi="Garamond"/>
          <w:sz w:val="18"/>
          <w:szCs w:val="18"/>
          <w:lang w:val="en-GB"/>
        </w:rPr>
        <w:t xml:space="preserve">. Numerous other theoretical problems of the constant level of assumption are discussed in detail in </w:t>
      </w:r>
      <w:hyperlink w:anchor="S325" w:history="1">
        <w:r w:rsidRPr="00D820E2">
          <w:rPr>
            <w:rStyle w:val="Hyperlink"/>
            <w:rFonts w:ascii="Garamond" w:hAnsi="Garamond"/>
            <w:color w:val="000066"/>
            <w:sz w:val="18"/>
            <w:szCs w:val="18"/>
            <w:u w:val="none"/>
            <w:lang w:val="en-GB"/>
          </w:rPr>
          <w:t>Part III section 3.2.5</w:t>
        </w:r>
      </w:hyperlink>
      <w:r w:rsidRPr="00D820E2">
        <w:rPr>
          <w:rFonts w:ascii="Garamond" w:hAnsi="Garamond"/>
          <w:sz w:val="18"/>
          <w:szCs w:val="18"/>
          <w:lang w:val="en-GB"/>
        </w:rPr>
        <w:t>.</w:t>
      </w:r>
    </w:p>
  </w:footnote>
  <w:footnote w:id="28">
    <w:p w:rsidR="001C7C52" w:rsidRDefault="001C7C52" w:rsidP="007C790E">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mathematical descriptions of the Gaussian copula as well as the </w:t>
      </w:r>
      <w:r w:rsidRPr="00D820E2">
        <w:rPr>
          <w:rFonts w:ascii="Garamond" w:hAnsi="Garamond"/>
          <w:i/>
          <w:lang w:val="en-GB"/>
        </w:rPr>
        <w:t>t</w:t>
      </w:r>
      <w:r w:rsidRPr="00D820E2">
        <w:rPr>
          <w:rFonts w:ascii="Garamond" w:hAnsi="Garamond"/>
          <w:lang w:val="en-GB"/>
        </w:rPr>
        <w:t xml:space="preserve">-Student copula in this section are largely based on </w:t>
      </w:r>
      <w:hyperlink w:anchor="Abid_Naifar_2007" w:history="1">
        <w:r w:rsidRPr="00D820E2">
          <w:rPr>
            <w:rStyle w:val="Hyperlink"/>
            <w:rFonts w:ascii="Garamond" w:hAnsi="Garamond"/>
            <w:color w:val="000066"/>
            <w:u w:val="none"/>
            <w:lang w:val="en-GB"/>
          </w:rPr>
          <w:t>Abid &amp; Naifar (2007)</w:t>
        </w:r>
      </w:hyperlink>
      <w:r w:rsidRPr="00D820E2">
        <w:rPr>
          <w:rFonts w:ascii="Garamond" w:hAnsi="Garamond"/>
          <w:lang w:val="en-GB"/>
        </w:rPr>
        <w:t>.</w:t>
      </w:r>
    </w:p>
  </w:footnote>
  <w:footnote w:id="29">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original definition of the copula is provided by </w:t>
      </w:r>
      <w:hyperlink w:anchor="Sklar_1959" w:history="1">
        <w:r w:rsidRPr="00D820E2">
          <w:rPr>
            <w:rStyle w:val="Hyperlink"/>
            <w:rFonts w:ascii="Garamond" w:hAnsi="Garamond"/>
            <w:color w:val="000066"/>
            <w:u w:val="none"/>
            <w:lang w:val="en-GB"/>
          </w:rPr>
          <w:t>Sklar (1959)</w:t>
        </w:r>
      </w:hyperlink>
      <w:r w:rsidRPr="00D820E2">
        <w:rPr>
          <w:rFonts w:ascii="Garamond" w:hAnsi="Garamond"/>
          <w:lang w:val="en-GB"/>
        </w:rPr>
        <w:t>. Sklar’s theorem, which is presented in that same publication,</w:t>
      </w:r>
      <w:r>
        <w:rPr>
          <w:rFonts w:ascii="Garamond" w:hAnsi="Garamond"/>
          <w:lang w:val="en-GB"/>
        </w:rPr>
        <w:t xml:space="preserve"> is considered</w:t>
      </w:r>
      <w:r w:rsidRPr="00D820E2">
        <w:rPr>
          <w:rFonts w:ascii="Garamond" w:hAnsi="Garamond"/>
          <w:lang w:val="en-GB"/>
        </w:rPr>
        <w:t xml:space="preserve"> the most important theorem in the area of copula functions.</w:t>
      </w:r>
    </w:p>
  </w:footnote>
  <w:footnote w:id="30">
    <w:p w:rsidR="001C7C52" w:rsidRDefault="001C7C52" w:rsidP="00CE6542">
      <w:pPr>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sz w:val="18"/>
          <w:szCs w:val="18"/>
          <w:lang w:val="en-GB"/>
        </w:rPr>
        <w:t xml:space="preserve"> </w:t>
      </w:r>
      <w:r w:rsidRPr="00D820E2">
        <w:rPr>
          <w:rFonts w:ascii="Garamond" w:hAnsi="Garamond"/>
          <w:sz w:val="18"/>
          <w:szCs w:val="18"/>
          <w:lang w:val="en-GB"/>
        </w:rPr>
        <w:tab/>
      </w:r>
      <w:r w:rsidRPr="00D820E2">
        <w:rPr>
          <w:rFonts w:ascii="Garamond" w:hAnsi="Garamond" w:cs="NimbusRomNo9L-Regu"/>
          <w:sz w:val="18"/>
          <w:szCs w:val="18"/>
          <w:lang w:val="en-GB" w:eastAsia="nl-NL"/>
        </w:rPr>
        <w:t xml:space="preserve">The problem is to generate </w:t>
      </w:r>
      <w:r w:rsidRPr="00100BDF">
        <w:rPr>
          <w:rFonts w:ascii="Garamond" w:hAnsi="Garamond" w:cs="NimbusRomNo9L-Regu"/>
          <w:position w:val="-8"/>
          <w:sz w:val="18"/>
          <w:szCs w:val="18"/>
          <w:lang w:val="en-GB" w:eastAsia="nl-NL"/>
        </w:rPr>
        <w:object w:dxaOrig="960" w:dyaOrig="260">
          <v:shape id="_x0000_i1293" type="#_x0000_t75" style="width:48pt;height:13.5pt" o:ole="">
            <v:imagedata r:id="rId15" o:title=""/>
          </v:shape>
          <o:OLEObject Type="Embed" ProgID="Equation.DSMT4" ShapeID="_x0000_i1293" DrawAspect="Content" ObjectID="_1324894385" r:id="rId16"/>
        </w:object>
      </w:r>
      <w:r w:rsidRPr="00D820E2">
        <w:rPr>
          <w:rFonts w:ascii="Garamond" w:hAnsi="Garamond" w:cs="NimbusRomNo9L-Regu"/>
          <w:sz w:val="18"/>
          <w:szCs w:val="18"/>
          <w:lang w:val="en-GB" w:eastAsia="nl-NL"/>
        </w:rPr>
        <w:t xml:space="preserve"> where </w:t>
      </w:r>
      <w:r w:rsidRPr="00100BDF">
        <w:rPr>
          <w:rFonts w:ascii="Garamond" w:hAnsi="Garamond" w:cs="NimbusRomNo9L-Regu"/>
          <w:position w:val="-8"/>
          <w:sz w:val="18"/>
          <w:szCs w:val="18"/>
          <w:lang w:val="en-GB" w:eastAsia="nl-NL"/>
        </w:rPr>
        <w:object w:dxaOrig="940" w:dyaOrig="240">
          <v:shape id="_x0000_i1294" type="#_x0000_t75" style="width:46.5pt;height:12pt" o:ole="">
            <v:imagedata r:id="rId17" o:title=""/>
          </v:shape>
          <o:OLEObject Type="Embed" ProgID="Equation.DSMT4" ShapeID="_x0000_i1294" DrawAspect="Content" ObjectID="_1324894386" r:id="rId18"/>
        </w:object>
      </w:r>
      <w:r w:rsidRPr="00D820E2">
        <w:rPr>
          <w:rFonts w:ascii="Garamond" w:hAnsi="Garamond" w:cs="NimbusRomNo9L-Regu"/>
          <w:sz w:val="18"/>
          <w:szCs w:val="18"/>
          <w:lang w:val="en-GB" w:eastAsia="nl-NL"/>
        </w:rPr>
        <w:t xml:space="preserve">. Suppose then that </w:t>
      </w:r>
      <w:r w:rsidRPr="00100BDF">
        <w:rPr>
          <w:rFonts w:ascii="Garamond" w:hAnsi="Garamond" w:cs="NimbusRomNo9L-Regu"/>
          <w:position w:val="-8"/>
          <w:sz w:val="18"/>
          <w:szCs w:val="18"/>
          <w:lang w:val="en-GB" w:eastAsia="nl-NL"/>
        </w:rPr>
        <w:object w:dxaOrig="780" w:dyaOrig="260">
          <v:shape id="_x0000_i1295" type="#_x0000_t75" style="width:38.25pt;height:13.5pt" o:ole="">
            <v:imagedata r:id="rId19" o:title=""/>
          </v:shape>
          <o:OLEObject Type="Embed" ProgID="Equation.DSMT4" ShapeID="_x0000_i1295" DrawAspect="Content" ObjectID="_1324894387" r:id="rId20"/>
        </w:object>
      </w:r>
      <w:r w:rsidRPr="00D820E2">
        <w:rPr>
          <w:rFonts w:ascii="Garamond" w:hAnsi="Garamond" w:cs="NimbusRomNo9L-Regu"/>
          <w:sz w:val="18"/>
          <w:szCs w:val="18"/>
          <w:lang w:val="en-GB" w:eastAsia="nl-NL"/>
        </w:rPr>
        <w:t xml:space="preserve"> and i.i.d. for </w:t>
      </w:r>
      <w:r w:rsidRPr="00100BDF">
        <w:rPr>
          <w:rFonts w:ascii="Garamond" w:hAnsi="Garamond" w:cs="NimbusRomNo9L-Regu"/>
          <w:position w:val="-8"/>
          <w:sz w:val="18"/>
          <w:szCs w:val="18"/>
          <w:lang w:val="en-GB" w:eastAsia="nl-NL"/>
        </w:rPr>
        <w:object w:dxaOrig="639" w:dyaOrig="240">
          <v:shape id="_x0000_i1296" type="#_x0000_t75" style="width:32.25pt;height:12pt" o:ole="">
            <v:imagedata r:id="rId21" o:title=""/>
          </v:shape>
          <o:OLEObject Type="Embed" ProgID="Equation.DSMT4" ShapeID="_x0000_i1296" DrawAspect="Content" ObjectID="_1324894388" r:id="rId22"/>
        </w:object>
      </w:r>
      <w:r w:rsidRPr="00D820E2">
        <w:rPr>
          <w:rFonts w:ascii="Garamond" w:hAnsi="Garamond" w:cs="NimbusRomNo9L-Regu"/>
          <w:sz w:val="18"/>
          <w:szCs w:val="18"/>
          <w:lang w:val="en-GB" w:eastAsia="nl-NL"/>
        </w:rPr>
        <w:t xml:space="preserve">. Then </w:t>
      </w:r>
      <w:r w:rsidRPr="00100BDF">
        <w:rPr>
          <w:rFonts w:ascii="Garamond" w:hAnsi="Garamond" w:cs="NimbusRomNo9L-Regu"/>
          <w:position w:val="-8"/>
          <w:sz w:val="18"/>
          <w:szCs w:val="18"/>
          <w:lang w:val="en-GB" w:eastAsia="nl-NL"/>
        </w:rPr>
        <w:object w:dxaOrig="1660" w:dyaOrig="260">
          <v:shape id="_x0000_i1297" type="#_x0000_t75" style="width:83.25pt;height:13.5pt" o:ole="">
            <v:imagedata r:id="rId23" o:title=""/>
          </v:shape>
          <o:OLEObject Type="Embed" ProgID="Equation.DSMT4" ShapeID="_x0000_i1297" DrawAspect="Content" ObjectID="_1324894389" r:id="rId24"/>
        </w:object>
      </w:r>
      <w:r w:rsidRPr="00D820E2">
        <w:rPr>
          <w:rFonts w:ascii="Garamond" w:hAnsi="Garamond" w:cs="NimbusRomNo9L-Regu"/>
          <w:sz w:val="18"/>
          <w:szCs w:val="18"/>
          <w:lang w:val="en-GB" w:eastAsia="nl-NL"/>
        </w:rPr>
        <w:t xml:space="preserve">, where </w:t>
      </w:r>
      <w:r w:rsidRPr="00100BDF">
        <w:rPr>
          <w:rFonts w:ascii="Garamond" w:hAnsi="Garamond" w:cs="NimbusRomNo9L-Regu"/>
          <w:position w:val="-8"/>
          <w:sz w:val="18"/>
          <w:szCs w:val="18"/>
          <w:lang w:val="en-GB" w:eastAsia="nl-NL"/>
        </w:rPr>
        <w:object w:dxaOrig="1060" w:dyaOrig="260">
          <v:shape id="_x0000_i1298" type="#_x0000_t75" style="width:53.25pt;height:13.5pt" o:ole="">
            <v:imagedata r:id="rId25" o:title=""/>
          </v:shape>
          <o:OLEObject Type="Embed" ProgID="Equation.DSMT4" ShapeID="_x0000_i1298" DrawAspect="Content" ObjectID="_1324894390" r:id="rId26"/>
        </w:object>
      </w:r>
      <w:r w:rsidRPr="00D820E2">
        <w:rPr>
          <w:rFonts w:ascii="Garamond" w:hAnsi="Garamond" w:cs="NimbusRomNo9L-Regu"/>
          <w:sz w:val="18"/>
          <w:szCs w:val="18"/>
          <w:lang w:val="en-GB" w:eastAsia="nl-NL"/>
        </w:rPr>
        <w:t xml:space="preserve">, since a linear combination of random variables is again normally distributed. More generally, if </w:t>
      </w:r>
      <w:r w:rsidRPr="00100BDF">
        <w:rPr>
          <w:rFonts w:ascii="Garamond" w:hAnsi="Garamond" w:cs="NimbusRomNo9L-Regu"/>
          <w:position w:val="-4"/>
          <w:sz w:val="18"/>
          <w:szCs w:val="18"/>
          <w:lang w:val="en-GB" w:eastAsia="nl-NL"/>
        </w:rPr>
        <w:object w:dxaOrig="180" w:dyaOrig="200">
          <v:shape id="_x0000_i1299" type="#_x0000_t75" style="width:9pt;height:9.75pt" o:ole="">
            <v:imagedata r:id="rId27" o:title=""/>
          </v:shape>
          <o:OLEObject Type="Embed" ProgID="Equation.DSMT4" ShapeID="_x0000_i1299" DrawAspect="Content" ObjectID="_1324894391" r:id="rId28"/>
        </w:object>
      </w:r>
      <w:r w:rsidRPr="00D820E2">
        <w:rPr>
          <w:rFonts w:ascii="Garamond" w:hAnsi="Garamond" w:cs="NimbusRomNo9L-Regu"/>
          <w:sz w:val="18"/>
          <w:szCs w:val="18"/>
          <w:lang w:val="en-GB" w:eastAsia="nl-NL"/>
        </w:rPr>
        <w:t xml:space="preserve"> is an </w:t>
      </w:r>
      <w:r w:rsidRPr="00100BDF">
        <w:rPr>
          <w:rFonts w:ascii="Garamond" w:hAnsi="Garamond" w:cs="NimbusRomNo9L-Regu"/>
          <w:position w:val="-6"/>
          <w:sz w:val="18"/>
          <w:szCs w:val="18"/>
          <w:lang w:val="en-GB" w:eastAsia="nl-NL"/>
        </w:rPr>
        <w:object w:dxaOrig="160" w:dyaOrig="180">
          <v:shape id="_x0000_i1300" type="#_x0000_t75" style="width:8.25pt;height:9pt" o:ole="">
            <v:imagedata r:id="rId29" o:title=""/>
          </v:shape>
          <o:OLEObject Type="Embed" ProgID="Equation.DSMT4" ShapeID="_x0000_i1300" DrawAspect="Content" ObjectID="_1324894392" r:id="rId30"/>
        </w:object>
      </w:r>
      <w:r w:rsidRPr="00D820E2">
        <w:rPr>
          <w:rFonts w:ascii="Garamond" w:hAnsi="Garamond" w:cs="NimbusRomNo9L-Regu"/>
          <w:sz w:val="18"/>
          <w:szCs w:val="18"/>
          <w:lang w:val="en-GB" w:eastAsia="nl-NL"/>
        </w:rPr>
        <w:t xml:space="preserve"> x </w:t>
      </w:r>
      <w:r w:rsidRPr="00100BDF">
        <w:rPr>
          <w:rFonts w:ascii="Garamond" w:hAnsi="Garamond" w:cs="NimbusRomNo9L-Regu"/>
          <w:position w:val="-6"/>
          <w:sz w:val="18"/>
          <w:szCs w:val="18"/>
          <w:lang w:val="en-GB" w:eastAsia="nl-NL"/>
        </w:rPr>
        <w:object w:dxaOrig="160" w:dyaOrig="180">
          <v:shape id="_x0000_i1301" type="#_x0000_t75" style="width:8.25pt;height:9pt" o:ole="">
            <v:imagedata r:id="rId31" o:title=""/>
          </v:shape>
          <o:OLEObject Type="Embed" ProgID="Equation.DSMT4" ShapeID="_x0000_i1301" DrawAspect="Content" ObjectID="_1324894393" r:id="rId32"/>
        </w:object>
      </w:r>
      <w:r w:rsidRPr="00D820E2">
        <w:rPr>
          <w:rFonts w:ascii="Garamond" w:hAnsi="Garamond" w:cs="NimbusRomNo9L-Regu"/>
          <w:sz w:val="18"/>
          <w:szCs w:val="18"/>
          <w:lang w:val="en-GB" w:eastAsia="nl-NL"/>
        </w:rPr>
        <w:t xml:space="preserve"> matrix and </w:t>
      </w:r>
      <w:r w:rsidRPr="00100BDF">
        <w:rPr>
          <w:rFonts w:ascii="Garamond" w:hAnsi="Garamond" w:cs="NimbusRomNo9L-Regu"/>
          <w:position w:val="-8"/>
          <w:sz w:val="18"/>
          <w:szCs w:val="18"/>
          <w:lang w:val="en-GB" w:eastAsia="nl-NL"/>
        </w:rPr>
        <w:object w:dxaOrig="940" w:dyaOrig="260">
          <v:shape id="_x0000_i1302" type="#_x0000_t75" style="width:46.5pt;height:13.5pt" o:ole="">
            <v:imagedata r:id="rId33" o:title=""/>
          </v:shape>
          <o:OLEObject Type="Embed" ProgID="Equation.DSMT4" ShapeID="_x0000_i1302" DrawAspect="Content" ObjectID="_1324894394" r:id="rId34"/>
        </w:object>
      </w:r>
      <w:r w:rsidRPr="00D820E2">
        <w:rPr>
          <w:rFonts w:ascii="Garamond" w:hAnsi="Garamond" w:cs="NimbusRomNo9L-Regu"/>
          <w:sz w:val="18"/>
          <w:szCs w:val="18"/>
          <w:lang w:val="en-GB" w:eastAsia="nl-NL"/>
        </w:rPr>
        <w:t xml:space="preserve"> then </w:t>
      </w:r>
      <w:r w:rsidRPr="00100BDF">
        <w:rPr>
          <w:rFonts w:ascii="Garamond" w:hAnsi="Garamond" w:cs="NimbusRomNo9L-Regu"/>
          <w:position w:val="-8"/>
          <w:sz w:val="18"/>
          <w:szCs w:val="18"/>
          <w:lang w:val="en-GB" w:eastAsia="nl-NL"/>
        </w:rPr>
        <w:object w:dxaOrig="1280" w:dyaOrig="240">
          <v:shape id="_x0000_i1303" type="#_x0000_t75" style="width:63pt;height:12pt" o:ole="">
            <v:imagedata r:id="rId35" o:title=""/>
          </v:shape>
          <o:OLEObject Type="Embed" ProgID="Equation.DSMT4" ShapeID="_x0000_i1303" DrawAspect="Content" ObjectID="_1324894395" r:id="rId36"/>
        </w:object>
      </w:r>
      <w:r w:rsidRPr="00D820E2">
        <w:rPr>
          <w:rFonts w:ascii="Garamond" w:hAnsi="Garamond" w:cs="NimbusRomNo9L-Regu"/>
          <w:sz w:val="18"/>
          <w:szCs w:val="18"/>
          <w:lang w:val="en-GB" w:eastAsia="nl-NL"/>
        </w:rPr>
        <w:t xml:space="preserve">. The problem of generating correlated random variables is simply solved with the equation: </w:t>
      </w:r>
      <w:r w:rsidRPr="00100BDF">
        <w:rPr>
          <w:rFonts w:ascii="Garamond" w:hAnsi="Garamond" w:cs="NimbusRomNo9L-Regu"/>
          <w:position w:val="-4"/>
          <w:sz w:val="18"/>
          <w:szCs w:val="18"/>
          <w:lang w:val="en-GB" w:eastAsia="nl-NL"/>
        </w:rPr>
        <w:object w:dxaOrig="560" w:dyaOrig="200">
          <v:shape id="_x0000_i1304" type="#_x0000_t75" style="width:27.75pt;height:9.75pt" o:ole="">
            <v:imagedata r:id="rId37" o:title=""/>
          </v:shape>
          <o:OLEObject Type="Embed" ProgID="Equation.DSMT4" ShapeID="_x0000_i1304" DrawAspect="Content" ObjectID="_1324894396" r:id="rId38"/>
        </w:object>
      </w:r>
      <w:r w:rsidRPr="00D820E2">
        <w:rPr>
          <w:rFonts w:ascii="Garamond" w:hAnsi="Garamond" w:cs="NimbusRomNo9L-Regu"/>
          <w:sz w:val="18"/>
          <w:szCs w:val="18"/>
          <w:lang w:val="en-GB" w:eastAsia="nl-NL"/>
        </w:rPr>
        <w:t xml:space="preserve">. </w:t>
      </w:r>
      <w:r w:rsidRPr="00D820E2">
        <w:rPr>
          <w:rFonts w:ascii="Garamond" w:hAnsi="Garamond"/>
          <w:sz w:val="18"/>
          <w:szCs w:val="18"/>
          <w:lang w:val="en-GB"/>
        </w:rPr>
        <w:t xml:space="preserve">See </w:t>
      </w:r>
      <w:hyperlink w:anchor="Haugh_2004" w:history="1">
        <w:r w:rsidRPr="00D820E2">
          <w:rPr>
            <w:rStyle w:val="Hyperlink"/>
            <w:rFonts w:ascii="Garamond" w:hAnsi="Garamond"/>
            <w:color w:val="000066"/>
            <w:sz w:val="18"/>
            <w:szCs w:val="18"/>
            <w:u w:val="none"/>
            <w:lang w:val="en-GB"/>
          </w:rPr>
          <w:t>Haugh (2004)</w:t>
        </w:r>
      </w:hyperlink>
      <w:r w:rsidRPr="00D820E2">
        <w:rPr>
          <w:rFonts w:ascii="Garamond" w:hAnsi="Garamond"/>
          <w:sz w:val="18"/>
          <w:szCs w:val="18"/>
          <w:lang w:val="en-GB"/>
        </w:rPr>
        <w:t xml:space="preserve"> for a more detailed explanation.</w:t>
      </w:r>
    </w:p>
  </w:footnote>
  <w:footnote w:id="31">
    <w:p w:rsidR="001C7C52" w:rsidRDefault="001C7C52" w:rsidP="002A5F3A">
      <w:pPr>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sz w:val="18"/>
          <w:szCs w:val="18"/>
          <w:lang w:val="en-GB"/>
        </w:rPr>
        <w:t xml:space="preserve"> </w:t>
      </w:r>
      <w:r w:rsidRPr="00D820E2">
        <w:rPr>
          <w:rFonts w:ascii="Garamond" w:hAnsi="Garamond"/>
          <w:sz w:val="18"/>
          <w:szCs w:val="18"/>
          <w:lang w:val="en-GB"/>
        </w:rPr>
        <w:tab/>
      </w:r>
      <w:r w:rsidRPr="00D820E2">
        <w:rPr>
          <w:rFonts w:ascii="Garamond" w:hAnsi="Garamond" w:cs="NimbusRomNo9L-Regu"/>
          <w:sz w:val="18"/>
          <w:szCs w:val="18"/>
          <w:lang w:val="en-GB" w:eastAsia="nl-NL"/>
        </w:rPr>
        <w:t>The CreditMetrics model, in its simplest form, actually proposes a bivariate Gaussian copula based on a factor model, which can also be implemented with the multivariate Gaussian copula that is presented in this section.</w:t>
      </w:r>
    </w:p>
  </w:footnote>
  <w:footnote w:id="32">
    <w:p w:rsidR="001C7C52" w:rsidRDefault="001C7C52" w:rsidP="002C6801">
      <w:pPr>
        <w:pStyle w:val="FootnoteText"/>
        <w:tabs>
          <w:tab w:val="left" w:pos="284"/>
        </w:tabs>
        <w:spacing w:line="200" w:lineRule="exact"/>
        <w:ind w:left="198" w:hanging="198"/>
      </w:pPr>
      <w:r w:rsidRPr="00D820E2">
        <w:rPr>
          <w:rStyle w:val="FootnoteReference"/>
          <w:rFonts w:ascii="Garamond" w:hAnsi="Garamond"/>
          <w:lang w:val="en-GB"/>
        </w:rPr>
        <w:footnoteRef/>
      </w:r>
      <w:r w:rsidRPr="00D820E2">
        <w:rPr>
          <w:rFonts w:ascii="Garamond" w:hAnsi="Garamond"/>
          <w:szCs w:val="18"/>
          <w:lang w:val="en-GB"/>
        </w:rPr>
        <w:t xml:space="preserve"> </w:t>
      </w:r>
      <w:r w:rsidRPr="00D820E2">
        <w:rPr>
          <w:rFonts w:ascii="Garamond" w:hAnsi="Garamond"/>
          <w:szCs w:val="18"/>
          <w:lang w:val="en-GB"/>
        </w:rPr>
        <w:tab/>
      </w:r>
      <w:hyperlink w:anchor="Toyli_2002" w:history="1">
        <w:r w:rsidRPr="00D820E2">
          <w:rPr>
            <w:rStyle w:val="Hyperlink"/>
            <w:rFonts w:ascii="Garamond" w:hAnsi="Garamond"/>
            <w:color w:val="000066"/>
            <w:szCs w:val="18"/>
            <w:u w:val="none"/>
            <w:lang w:val="en-GB"/>
          </w:rPr>
          <w:t>Töyli (2002)</w:t>
        </w:r>
      </w:hyperlink>
      <w:r w:rsidRPr="00D820E2">
        <w:rPr>
          <w:rFonts w:ascii="Garamond" w:hAnsi="Garamond"/>
          <w:szCs w:val="18"/>
          <w:lang w:val="en-GB"/>
        </w:rPr>
        <w:t xml:space="preserve"> utilizes more than 32 years of S&amp;P500 data and 7 years of Helsinki Stock Exchange data. </w:t>
      </w:r>
    </w:p>
  </w:footnote>
  <w:footnote w:id="33">
    <w:p w:rsidR="001C7C52" w:rsidRDefault="001C7C52" w:rsidP="002C6801">
      <w:pPr>
        <w:pStyle w:val="FootnoteText"/>
        <w:tabs>
          <w:tab w:val="left" w:pos="284"/>
        </w:tabs>
        <w:spacing w:line="200" w:lineRule="exact"/>
        <w:ind w:left="198" w:hanging="198"/>
      </w:pPr>
      <w:r w:rsidRPr="00D820E2">
        <w:rPr>
          <w:rStyle w:val="FootnoteReference"/>
          <w:rFonts w:ascii="Garamond" w:hAnsi="Garamond"/>
          <w:lang w:val="en-GB"/>
        </w:rPr>
        <w:footnoteRef/>
      </w:r>
      <w:r w:rsidRPr="00D820E2">
        <w:rPr>
          <w:rFonts w:ascii="Garamond" w:hAnsi="Garamond"/>
          <w:szCs w:val="18"/>
          <w:lang w:val="en-GB"/>
        </w:rPr>
        <w:t xml:space="preserve"> </w:t>
      </w:r>
      <w:r w:rsidRPr="00D820E2">
        <w:rPr>
          <w:rFonts w:ascii="Garamond" w:hAnsi="Garamond"/>
          <w:szCs w:val="18"/>
          <w:lang w:val="en-GB"/>
        </w:rPr>
        <w:tab/>
      </w:r>
      <w:hyperlink w:anchor="LeBaron_2009" w:history="1">
        <w:r w:rsidRPr="00D820E2">
          <w:rPr>
            <w:rStyle w:val="Hyperlink"/>
            <w:rFonts w:ascii="Garamond" w:hAnsi="Garamond"/>
            <w:color w:val="000066"/>
            <w:szCs w:val="18"/>
            <w:u w:val="none"/>
            <w:lang w:val="en-GB"/>
          </w:rPr>
          <w:t>LeBaron (2009)</w:t>
        </w:r>
      </w:hyperlink>
      <w:r w:rsidRPr="00D820E2">
        <w:rPr>
          <w:rFonts w:ascii="Garamond" w:hAnsi="Garamond"/>
          <w:szCs w:val="18"/>
          <w:lang w:val="en-GB"/>
        </w:rPr>
        <w:t xml:space="preserve"> uses a small set of individual US stocks with a very long sample period: 1926 - 2004. </w:t>
      </w:r>
    </w:p>
  </w:footnote>
  <w:footnote w:id="34">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This expression is nothing more than the matrix multiplication of both independent simulated issuer asset returns with the </w:t>
      </w:r>
      <w:r w:rsidRPr="00D820E2">
        <w:rPr>
          <w:rFonts w:ascii="Garamond" w:hAnsi="Garamond" w:cs="NimbusRomNo9L-Regu"/>
          <w:lang w:val="en-GB" w:eastAsia="nl-NL"/>
        </w:rPr>
        <w:t>Cholesky decomposition of the correlation matrix in a bivariate setting.</w:t>
      </w:r>
    </w:p>
  </w:footnote>
  <w:footnote w:id="35">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first Gaussian copula (the copula in the cross-sectional dimension) is bivariate in the two-position example, but is multivariate when it is applied to a portfolio with more than two positions. Do not confuse this Gaussian copula application with the more commonly used single factor model bivariate copula with a common economic factor and an issuer-specific idiosyncratic factor.</w:t>
      </w:r>
    </w:p>
  </w:footnote>
  <w:footnote w:id="36">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When the number of positions in the model is increased, a small effect in the implied correlation between each issuer pair may be introduced through the web of single-period correlations and autocorrelations of the other issuers. A correction for this effect is derivable in a way similar to the one presented already. However, because this correction relies on the Cholesky decomposition matrix, such a formulation of a correction would become extremely large when a substantial number of credit products is considered. For this reason, this effect is ignored in this study. Moreover, the deviation between the implied issuer correlation in the model and the input issuer correlation resulting from this effect is mostly extremely small. The largest deviation encountered in the 70 times the model has been estimated in </w:t>
      </w:r>
      <w:hyperlink w:anchor="C4_Part3" w:history="1">
        <w:r w:rsidRPr="00D820E2">
          <w:rPr>
            <w:rStyle w:val="Hyperlink"/>
            <w:rFonts w:ascii="Garamond" w:hAnsi="Garamond"/>
            <w:color w:val="000066"/>
            <w:u w:val="none"/>
            <w:lang w:val="en-GB"/>
          </w:rPr>
          <w:t>Part III</w:t>
        </w:r>
      </w:hyperlink>
      <w:r w:rsidRPr="00D820E2">
        <w:rPr>
          <w:rFonts w:ascii="Garamond" w:hAnsi="Garamond"/>
          <w:lang w:val="en-GB"/>
        </w:rPr>
        <w:t xml:space="preserve"> was only 0.06.</w:t>
      </w:r>
    </w:p>
  </w:footnote>
  <w:footnote w:id="37">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hyperlink w:anchor="Zeng_Zhang_2001" w:history="1">
        <w:r w:rsidRPr="00D820E2">
          <w:rPr>
            <w:rStyle w:val="Hyperlink"/>
            <w:rFonts w:ascii="Garamond" w:hAnsi="Garamond"/>
            <w:color w:val="000066"/>
            <w:u w:val="none"/>
            <w:lang w:val="en-GB"/>
          </w:rPr>
          <w:t>Zeng &amp; Zhang (2001)</w:t>
        </w:r>
      </w:hyperlink>
      <w:r w:rsidRPr="00D820E2">
        <w:rPr>
          <w:rFonts w:ascii="Garamond" w:hAnsi="Garamond"/>
          <w:lang w:val="en-GB"/>
        </w:rPr>
        <w:t xml:space="preserve"> provide an extensive assessment of various asset correlation factor models and historical directly observed correlation estimates. </w:t>
      </w:r>
    </w:p>
  </w:footnote>
  <w:footnote w:id="38">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Numerous other studies add the R rating to the default category. In this study, the decision is made to treat them as non-informative and limit the default definition to default (D) and selective default (SD). The result is that the default rates presented in this study might be slightly lower than those in other studies using similar Standard &amp; Poor’s data.</w:t>
      </w:r>
    </w:p>
  </w:footnote>
  <w:footnote w:id="39">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result is similar to the 30/360 convention. Furthermore, the effect of the deleted Sundays in the estimation of the credit migration matrices is negligible. </w:t>
      </w:r>
    </w:p>
  </w:footnote>
  <w:footnote w:id="40">
    <w:p w:rsidR="001C7C52" w:rsidRDefault="001C7C52" w:rsidP="002C6801">
      <w:pPr>
        <w:tabs>
          <w:tab w:val="left" w:pos="284"/>
        </w:tabs>
        <w:spacing w:line="200" w:lineRule="exact"/>
        <w:ind w:left="198" w:hanging="198"/>
        <w:jc w:val="both"/>
      </w:pPr>
      <w:r w:rsidRPr="00D820E2">
        <w:rPr>
          <w:rStyle w:val="FootnoteReference"/>
          <w:rFonts w:ascii="Garamond" w:hAnsi="Garamond"/>
          <w:szCs w:val="14"/>
          <w:lang w:val="en-GB"/>
        </w:rPr>
        <w:footnoteRef/>
      </w:r>
      <w:r w:rsidRPr="00D820E2">
        <w:rPr>
          <w:rFonts w:ascii="Garamond" w:hAnsi="Garamond"/>
          <w:sz w:val="20"/>
          <w:lang w:val="en-GB"/>
        </w:rPr>
        <w:t xml:space="preserve"> </w:t>
      </w:r>
      <w:r w:rsidRPr="00D820E2">
        <w:rPr>
          <w:rFonts w:ascii="Garamond" w:hAnsi="Garamond"/>
          <w:sz w:val="20"/>
          <w:lang w:val="en-GB"/>
        </w:rPr>
        <w:tab/>
      </w:r>
      <w:r w:rsidRPr="00D820E2">
        <w:rPr>
          <w:rFonts w:ascii="Garamond" w:hAnsi="Garamond"/>
          <w:sz w:val="18"/>
          <w:szCs w:val="18"/>
          <w:lang w:val="en-GB"/>
        </w:rPr>
        <w:t xml:space="preserve">The standard errors of the migration probabilities resulting from the cohort estimator can be calculated relatively simply under the assumption that the rating migrations are temporally and cross-sectionally independent. If one considers the binomial variable: starting in state </w:t>
      </w:r>
      <w:r w:rsidRPr="00100BDF">
        <w:rPr>
          <w:rFonts w:ascii="Garamond" w:hAnsi="Garamond"/>
          <w:position w:val="-6"/>
          <w:sz w:val="18"/>
          <w:szCs w:val="18"/>
          <w:lang w:val="en-GB"/>
        </w:rPr>
        <w:object w:dxaOrig="120" w:dyaOrig="200">
          <v:shape id="_x0000_i1595" type="#_x0000_t75" style="width:6pt;height:9.75pt" o:ole="">
            <v:imagedata r:id="rId39" o:title=""/>
          </v:shape>
          <o:OLEObject Type="Embed" ProgID="Equation.DSMT4" ShapeID="_x0000_i1595" DrawAspect="Content" ObjectID="_1324894397" r:id="rId40"/>
        </w:object>
      </w:r>
      <w:r w:rsidRPr="00D820E2">
        <w:rPr>
          <w:rFonts w:ascii="Garamond" w:hAnsi="Garamond"/>
          <w:sz w:val="18"/>
          <w:szCs w:val="18"/>
          <w:lang w:val="en-GB"/>
        </w:rPr>
        <w:t xml:space="preserve"> and either migrate the state </w:t>
      </w:r>
      <w:r w:rsidRPr="00100BDF">
        <w:rPr>
          <w:rFonts w:ascii="Garamond" w:hAnsi="Garamond"/>
          <w:position w:val="-8"/>
          <w:sz w:val="18"/>
          <w:szCs w:val="18"/>
          <w:lang w:val="en-GB"/>
        </w:rPr>
        <w:object w:dxaOrig="160" w:dyaOrig="220">
          <v:shape id="_x0000_i1596" type="#_x0000_t75" style="width:8.25pt;height:11.25pt" o:ole="">
            <v:imagedata r:id="rId41" o:title=""/>
          </v:shape>
          <o:OLEObject Type="Embed" ProgID="Equation.DSMT4" ShapeID="_x0000_i1596" DrawAspect="Content" ObjectID="_1324894398" r:id="rId42"/>
        </w:object>
      </w:r>
      <w:r w:rsidRPr="00D820E2">
        <w:rPr>
          <w:rFonts w:ascii="Garamond" w:hAnsi="Garamond"/>
          <w:sz w:val="18"/>
          <w:szCs w:val="18"/>
          <w:lang w:val="en-GB"/>
        </w:rPr>
        <w:t xml:space="preserve"> or </w:t>
      </w:r>
      <w:r w:rsidRPr="00100BDF">
        <w:rPr>
          <w:rFonts w:ascii="Garamond" w:hAnsi="Garamond"/>
          <w:position w:val="-8"/>
          <w:sz w:val="18"/>
          <w:szCs w:val="18"/>
          <w:lang w:val="en-GB"/>
        </w:rPr>
        <w:object w:dxaOrig="740" w:dyaOrig="240">
          <v:shape id="_x0000_i1597" type="#_x0000_t75" style="width:36.75pt;height:12pt" o:ole="">
            <v:imagedata r:id="rId43" o:title=""/>
          </v:shape>
          <o:OLEObject Type="Embed" ProgID="Equation.DSMT4" ShapeID="_x0000_i1597" DrawAspect="Content" ObjectID="_1324894399" r:id="rId44"/>
        </w:object>
      </w:r>
      <w:r w:rsidRPr="00D820E2">
        <w:rPr>
          <w:rFonts w:ascii="Garamond" w:hAnsi="Garamond"/>
          <w:sz w:val="18"/>
          <w:szCs w:val="18"/>
          <w:lang w:val="en-GB"/>
        </w:rPr>
        <w:t xml:space="preserve"> where </w:t>
      </w:r>
      <w:r w:rsidRPr="00100BDF">
        <w:rPr>
          <w:rFonts w:ascii="Garamond" w:hAnsi="Garamond"/>
          <w:position w:val="-8"/>
          <w:sz w:val="18"/>
          <w:szCs w:val="18"/>
          <w:lang w:val="en-GB"/>
        </w:rPr>
        <w:object w:dxaOrig="400" w:dyaOrig="240">
          <v:shape id="_x0000_i1598" type="#_x0000_t75" style="width:20.25pt;height:12pt" o:ole="">
            <v:imagedata r:id="rId45" o:title=""/>
          </v:shape>
          <o:OLEObject Type="Embed" ProgID="Equation.DSMT4" ShapeID="_x0000_i1598" DrawAspect="Content" ObjectID="_1324894400" r:id="rId46"/>
        </w:object>
      </w:r>
      <w:r w:rsidRPr="00D820E2">
        <w:rPr>
          <w:rFonts w:ascii="Garamond" w:hAnsi="Garamond"/>
          <w:sz w:val="18"/>
          <w:szCs w:val="18"/>
          <w:lang w:val="en-GB"/>
        </w:rPr>
        <w:t xml:space="preserve">, then the standard error for </w:t>
      </w:r>
      <w:r w:rsidRPr="00100BDF">
        <w:rPr>
          <w:rFonts w:ascii="Garamond" w:hAnsi="Garamond"/>
          <w:position w:val="-10"/>
          <w:sz w:val="18"/>
          <w:szCs w:val="18"/>
          <w:lang w:val="en-GB"/>
        </w:rPr>
        <w:object w:dxaOrig="220" w:dyaOrig="279">
          <v:shape id="_x0000_i1599" type="#_x0000_t75" style="width:11.25pt;height:13.5pt" o:ole="">
            <v:imagedata r:id="rId47" o:title=""/>
          </v:shape>
          <o:OLEObject Type="Embed" ProgID="Equation.DSMT4" ShapeID="_x0000_i1599" DrawAspect="Content" ObjectID="_1324894401" r:id="rId48"/>
        </w:object>
      </w:r>
      <w:r w:rsidRPr="00D820E2">
        <w:rPr>
          <w:rFonts w:ascii="Garamond" w:hAnsi="Garamond"/>
          <w:sz w:val="18"/>
          <w:szCs w:val="18"/>
          <w:lang w:val="en-GB"/>
        </w:rPr>
        <w:t xml:space="preserve"> can be calculated as a standard binomial standard error (</w:t>
      </w:r>
      <w:hyperlink w:anchor="Nickell_et_al_2000" w:history="1">
        <w:r w:rsidRPr="00D820E2">
          <w:rPr>
            <w:rStyle w:val="Hyperlink"/>
            <w:rFonts w:ascii="Garamond" w:hAnsi="Garamond"/>
            <w:color w:val="000066"/>
            <w:sz w:val="18"/>
            <w:szCs w:val="18"/>
            <w:u w:val="none"/>
            <w:lang w:val="en-GB"/>
          </w:rPr>
          <w:t>Nickell et al., 2000</w:t>
        </w:r>
      </w:hyperlink>
      <w:r w:rsidRPr="00D820E2">
        <w:rPr>
          <w:rFonts w:ascii="Garamond" w:hAnsi="Garamond"/>
          <w:sz w:val="18"/>
          <w:szCs w:val="18"/>
          <w:lang w:val="en-GB"/>
        </w:rPr>
        <w:t xml:space="preserve">): </w:t>
      </w:r>
      <w:r w:rsidRPr="00100BDF">
        <w:rPr>
          <w:rFonts w:ascii="Garamond" w:hAnsi="Garamond"/>
          <w:position w:val="-10"/>
          <w:sz w:val="18"/>
          <w:szCs w:val="18"/>
          <w:lang w:val="en-GB"/>
        </w:rPr>
        <w:object w:dxaOrig="1500" w:dyaOrig="279">
          <v:shape id="_x0000_i1600" type="#_x0000_t75" style="width:75pt;height:13.5pt" o:ole="">
            <v:imagedata r:id="rId49" o:title=""/>
          </v:shape>
          <o:OLEObject Type="Embed" ProgID="Equation.DSMT4" ShapeID="_x0000_i1600" DrawAspect="Content" ObjectID="_1324894402" r:id="rId50"/>
        </w:object>
      </w:r>
      <w:r w:rsidRPr="00D820E2">
        <w:rPr>
          <w:rFonts w:ascii="Garamond" w:hAnsi="Garamond"/>
          <w:sz w:val="18"/>
          <w:szCs w:val="18"/>
          <w:lang w:val="en-GB"/>
        </w:rPr>
        <w:t xml:space="preserve">, where </w:t>
      </w:r>
      <w:r w:rsidRPr="00100BDF">
        <w:rPr>
          <w:rFonts w:ascii="Garamond" w:hAnsi="Garamond"/>
          <w:position w:val="-8"/>
          <w:sz w:val="18"/>
          <w:szCs w:val="18"/>
          <w:lang w:val="en-GB"/>
        </w:rPr>
        <w:object w:dxaOrig="220" w:dyaOrig="260">
          <v:shape id="_x0000_i1601" type="#_x0000_t75" style="width:11.25pt;height:13.5pt" o:ole="">
            <v:imagedata r:id="rId51" o:title=""/>
          </v:shape>
          <o:OLEObject Type="Embed" ProgID="Equation.DSMT4" ShapeID="_x0000_i1601" DrawAspect="Content" ObjectID="_1324894403" r:id="rId52"/>
        </w:object>
      </w:r>
      <w:r w:rsidRPr="00D820E2">
        <w:rPr>
          <w:rFonts w:ascii="Garamond" w:hAnsi="Garamond"/>
          <w:sz w:val="18"/>
          <w:szCs w:val="18"/>
          <w:lang w:val="en-GB"/>
        </w:rPr>
        <w:t xml:space="preserve"> is the number of issuers in state </w:t>
      </w:r>
      <w:r w:rsidRPr="00100BDF">
        <w:rPr>
          <w:rFonts w:ascii="Garamond" w:hAnsi="Garamond"/>
          <w:position w:val="-6"/>
          <w:sz w:val="18"/>
          <w:szCs w:val="18"/>
          <w:lang w:val="en-GB"/>
        </w:rPr>
        <w:object w:dxaOrig="120" w:dyaOrig="200">
          <v:shape id="_x0000_i1602" type="#_x0000_t75" style="width:6pt;height:9.75pt" o:ole="">
            <v:imagedata r:id="rId53" o:title=""/>
          </v:shape>
          <o:OLEObject Type="Embed" ProgID="Equation.DSMT4" ShapeID="_x0000_i1602" DrawAspect="Content" ObjectID="_1324894404" r:id="rId54"/>
        </w:object>
      </w:r>
      <w:r w:rsidRPr="00D820E2">
        <w:rPr>
          <w:rFonts w:ascii="Garamond" w:hAnsi="Garamond"/>
          <w:sz w:val="18"/>
          <w:szCs w:val="18"/>
          <w:lang w:val="en-GB"/>
        </w:rPr>
        <w:t xml:space="preserve"> at time </w:t>
      </w:r>
      <w:r w:rsidRPr="00100BDF">
        <w:rPr>
          <w:rFonts w:ascii="Garamond" w:hAnsi="Garamond"/>
          <w:position w:val="-6"/>
          <w:sz w:val="18"/>
          <w:szCs w:val="18"/>
          <w:lang w:val="en-GB"/>
        </w:rPr>
        <w:object w:dxaOrig="120" w:dyaOrig="200">
          <v:shape id="_x0000_i1603" type="#_x0000_t75" style="width:6pt;height:9.75pt" o:ole="">
            <v:imagedata r:id="rId55" o:title=""/>
          </v:shape>
          <o:OLEObject Type="Embed" ProgID="Equation.DSMT4" ShapeID="_x0000_i1603" DrawAspect="Content" ObjectID="_1324894405" r:id="rId56"/>
        </w:object>
      </w:r>
      <w:r w:rsidRPr="00D820E2">
        <w:rPr>
          <w:rFonts w:ascii="Garamond" w:hAnsi="Garamond"/>
          <w:sz w:val="18"/>
          <w:szCs w:val="18"/>
          <w:lang w:val="en-GB"/>
        </w:rPr>
        <w:t xml:space="preserve"> (equivalent to the number of experiments in the binomial setting).</w:t>
      </w:r>
    </w:p>
  </w:footnote>
  <w:footnote w:id="41">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None are observed in the Standard &amp; Poor’s data set.</w:t>
      </w:r>
    </w:p>
  </w:footnote>
  <w:footnote w:id="42">
    <w:p w:rsidR="001C7C52" w:rsidRDefault="001C7C52" w:rsidP="0030656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Monotonicity is a rule that implies that the further the cell is away from the diagonal, the lower its value, thus the smaller the likelihood of an occurrence of such an event (</w:t>
      </w:r>
      <w:hyperlink w:anchor="Gupton_et_al_1997" w:history="1">
        <w:r w:rsidRPr="00D820E2">
          <w:rPr>
            <w:rStyle w:val="Hyperlink"/>
            <w:rFonts w:ascii="Garamond" w:hAnsi="Garamond"/>
            <w:color w:val="000066"/>
            <w:u w:val="none"/>
            <w:lang w:val="en-GB"/>
          </w:rPr>
          <w:t>Gupton et al., 1997</w:t>
        </w:r>
      </w:hyperlink>
      <w:r w:rsidRPr="00D820E2">
        <w:rPr>
          <w:rFonts w:ascii="Garamond" w:hAnsi="Garamond"/>
          <w:lang w:val="en-GB"/>
        </w:rPr>
        <w:t>).</w:t>
      </w:r>
    </w:p>
  </w:footnote>
  <w:footnote w:id="43">
    <w:p w:rsidR="001C7C52" w:rsidRDefault="001C7C52" w:rsidP="0030656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For the duration method and Aalen-Johansen estimator the neighbouring cells are affected as well.</w:t>
      </w:r>
    </w:p>
  </w:footnote>
  <w:footnote w:id="44">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One can condition the sample underlying the cohort estimator or the Aalen-Johansen estimator to specific events but there is no way to formulate hypotheses on the resulting conditional estimates with respect to the unconditional estimates.</w:t>
      </w:r>
    </w:p>
  </w:footnote>
  <w:footnote w:id="45">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Notice that these conclusions create strong reasons to incorporate autocorrelation in the correlation structure of the simulation model, since rating drift is effectively introduced into the simulation model when positive autocorrelation is inserted.</w:t>
      </w:r>
    </w:p>
  </w:footnote>
  <w:footnote w:id="46">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See </w:t>
      </w:r>
      <w:hyperlink w:anchor="Kavvathas_2001" w:history="1">
        <w:r w:rsidRPr="00D820E2">
          <w:rPr>
            <w:rStyle w:val="Hyperlink"/>
            <w:rFonts w:ascii="Garamond" w:hAnsi="Garamond"/>
            <w:color w:val="000066"/>
            <w:u w:val="none"/>
            <w:lang w:val="en-GB"/>
          </w:rPr>
          <w:t>Kavvathas (2001)</w:t>
        </w:r>
      </w:hyperlink>
      <w:r w:rsidRPr="00D820E2">
        <w:rPr>
          <w:rFonts w:ascii="Garamond" w:hAnsi="Garamond"/>
          <w:lang w:val="en-GB"/>
        </w:rPr>
        <w:t xml:space="preserve"> and </w:t>
      </w:r>
      <w:hyperlink w:anchor="Figlewski_et_al_2008" w:history="1">
        <w:r w:rsidRPr="00D820E2">
          <w:rPr>
            <w:rStyle w:val="Hyperlink"/>
            <w:rFonts w:ascii="Garamond" w:hAnsi="Garamond"/>
            <w:color w:val="000066"/>
            <w:u w:val="none"/>
            <w:lang w:val="en-GB"/>
          </w:rPr>
          <w:t>Figlewski et al. (2008)</w:t>
        </w:r>
      </w:hyperlink>
      <w:r w:rsidRPr="00D820E2">
        <w:rPr>
          <w:rFonts w:ascii="Garamond" w:hAnsi="Garamond"/>
          <w:lang w:val="en-GB"/>
        </w:rPr>
        <w:t xml:space="preserve"> for an extensive assessment of which macroeconomic variables affect credit rating migration probabilities or the underlying intensities.</w:t>
      </w:r>
    </w:p>
  </w:footnote>
  <w:footnote w:id="47">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More specifically, the duration approach is based on the average of migrations per issuer year (</w:t>
      </w:r>
      <w:hyperlink w:anchor="E2N8" w:history="1">
        <w:r w:rsidRPr="00D820E2">
          <w:rPr>
            <w:rStyle w:val="Hyperlink"/>
            <w:rFonts w:ascii="Garamond" w:hAnsi="Garamond"/>
            <w:color w:val="000066"/>
            <w:u w:val="none"/>
            <w:lang w:val="en-GB"/>
          </w:rPr>
          <w:t>equation 2.8</w:t>
        </w:r>
      </w:hyperlink>
      <w:r w:rsidRPr="00D820E2">
        <w:rPr>
          <w:rFonts w:ascii="Garamond" w:hAnsi="Garamond"/>
          <w:lang w:val="en-GB"/>
        </w:rPr>
        <w:t>). Furthermore, increased correlations or issuer correlations in general affect the migration probabilities. The large difference between the conditional and unconditional migration matrices (</w:t>
      </w:r>
      <w:hyperlink w:anchor="T2" w:history="1">
        <w:r w:rsidRPr="00D820E2">
          <w:rPr>
            <w:rStyle w:val="Hyperlink"/>
            <w:rFonts w:ascii="Garamond" w:hAnsi="Garamond"/>
            <w:color w:val="000066"/>
            <w:u w:val="none"/>
            <w:lang w:val="en-GB"/>
          </w:rPr>
          <w:t>table II</w:t>
        </w:r>
      </w:hyperlink>
      <w:r w:rsidRPr="00D820E2">
        <w:rPr>
          <w:rFonts w:ascii="Garamond" w:hAnsi="Garamond"/>
          <w:lang w:val="en-GB"/>
        </w:rPr>
        <w:t xml:space="preserve"> </w:t>
      </w:r>
      <w:r w:rsidRPr="00D820E2">
        <w:rPr>
          <w:rFonts w:ascii="Garamond" w:hAnsi="Garamond"/>
          <w:color w:val="000000"/>
          <w:lang w:val="en-GB"/>
        </w:rPr>
        <w:t>and</w:t>
      </w:r>
      <w:r w:rsidRPr="00D820E2">
        <w:rPr>
          <w:rFonts w:ascii="Garamond" w:hAnsi="Garamond"/>
          <w:lang w:val="en-GB"/>
        </w:rPr>
        <w:t xml:space="preserve"> </w:t>
      </w:r>
      <w:hyperlink w:anchor="T4" w:history="1">
        <w:r w:rsidRPr="00D820E2">
          <w:rPr>
            <w:rStyle w:val="Hyperlink"/>
            <w:rFonts w:ascii="Garamond" w:hAnsi="Garamond"/>
            <w:color w:val="000066"/>
            <w:u w:val="none"/>
            <w:lang w:val="en-GB"/>
          </w:rPr>
          <w:t>table IV</w:t>
        </w:r>
      </w:hyperlink>
      <w:r w:rsidRPr="00D820E2">
        <w:rPr>
          <w:rFonts w:ascii="Garamond" w:hAnsi="Garamond"/>
          <w:lang w:val="en-GB"/>
        </w:rPr>
        <w:t>, respectively) may be partially explained by increased correlations.</w:t>
      </w:r>
    </w:p>
  </w:footnote>
  <w:footnote w:id="48">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It was actually in the week of 17 July 2007 that Bear Stearns announced that two of their hedge funds had imploded. The US market reacted as the volatility of the S&amp;P500 increased from a quite stable low level to a considerably higher new level and moved up and down around this level until the collapse of Lehman Brothers. Moreover, the Basel Committee and FSA both acknowledge that the crisis started in the middle of 2007 (</w:t>
      </w:r>
      <w:hyperlink w:anchor="BCBS_2009a" w:history="1">
        <w:r w:rsidRPr="00D820E2">
          <w:rPr>
            <w:rStyle w:val="Hyperlink"/>
            <w:rFonts w:ascii="Garamond" w:hAnsi="Garamond"/>
            <w:color w:val="000066"/>
            <w:u w:val="none"/>
            <w:lang w:val="en-GB"/>
          </w:rPr>
          <w:t>BCBS, 2009a</w:t>
        </w:r>
      </w:hyperlink>
      <w:r w:rsidRPr="00D820E2">
        <w:rPr>
          <w:rFonts w:ascii="Garamond" w:hAnsi="Garamond"/>
          <w:lang w:val="en-GB"/>
        </w:rPr>
        <w:t xml:space="preserve">; </w:t>
      </w:r>
      <w:hyperlink w:anchor="FSA_2009" w:history="1">
        <w:r w:rsidRPr="00D820E2">
          <w:rPr>
            <w:rStyle w:val="Hyperlink"/>
            <w:rFonts w:ascii="Garamond" w:hAnsi="Garamond"/>
            <w:color w:val="000066"/>
            <w:u w:val="none"/>
            <w:lang w:val="en-GB"/>
          </w:rPr>
          <w:t>FSA, 2009</w:t>
        </w:r>
      </w:hyperlink>
      <w:r w:rsidRPr="00D820E2">
        <w:rPr>
          <w:rFonts w:ascii="Garamond" w:hAnsi="Garamond"/>
          <w:lang w:val="en-GB"/>
        </w:rPr>
        <w:t xml:space="preserve">). The start of the sample is moved up to 30 July to ensure that the estimation period is equal to exactly seven quarters. </w:t>
      </w:r>
    </w:p>
  </w:footnote>
  <w:footnote w:id="49">
    <w:p w:rsidR="001C7C52" w:rsidRDefault="001C7C52" w:rsidP="00E632BF">
      <w:pPr>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r w:rsidRPr="00D820E2">
        <w:rPr>
          <w:rFonts w:ascii="Garamond" w:hAnsi="Garamond" w:cs="BBDPFK+TimesNewRoman"/>
          <w:sz w:val="18"/>
          <w:szCs w:val="18"/>
          <w:lang w:val="en-GB"/>
        </w:rPr>
        <w:t>This conclusion holds for estimation with ‘direct’ equity returns and is even stronger for equity prices that are converted to asset values by way of the KMV asset value model.</w:t>
      </w:r>
    </w:p>
  </w:footnote>
  <w:footnote w:id="50">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Factor loadings (betas) are estimated for each issuer instead of all correlations between all issuers. The factor loadings can be easily converted to the required correlation coefficients.</w:t>
      </w:r>
    </w:p>
  </w:footnote>
  <w:footnote w:id="51">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construction of the portfolios is discussed in </w:t>
      </w:r>
      <w:hyperlink w:anchor="S230" w:history="1">
        <w:r w:rsidRPr="00D820E2">
          <w:rPr>
            <w:rStyle w:val="Hyperlink"/>
            <w:rFonts w:ascii="Garamond" w:hAnsi="Garamond"/>
            <w:color w:val="000066"/>
            <w:u w:val="none"/>
            <w:lang w:val="en-GB"/>
          </w:rPr>
          <w:t>section 2.3</w:t>
        </w:r>
      </w:hyperlink>
      <w:r w:rsidRPr="00D820E2">
        <w:rPr>
          <w:rFonts w:ascii="Garamond" w:hAnsi="Garamond"/>
          <w:lang w:val="en-GB"/>
        </w:rPr>
        <w:t xml:space="preserve">. The positions and their underlying issuers that constitute the portfolios are presented in </w:t>
      </w:r>
      <w:hyperlink w:anchor="SA3" w:history="1">
        <w:r w:rsidRPr="00D820E2">
          <w:rPr>
            <w:rStyle w:val="Hyperlink"/>
            <w:rFonts w:ascii="Garamond" w:hAnsi="Garamond"/>
            <w:color w:val="000066"/>
            <w:u w:val="none"/>
            <w:lang w:val="en-GB"/>
          </w:rPr>
          <w:t>appendix A.3</w:t>
        </w:r>
      </w:hyperlink>
      <w:r w:rsidRPr="00D820E2">
        <w:rPr>
          <w:rFonts w:ascii="Garamond" w:hAnsi="Garamond"/>
          <w:lang w:val="en-GB"/>
        </w:rPr>
        <w:t>.</w:t>
      </w:r>
    </w:p>
  </w:footnote>
  <w:footnote w:id="52">
    <w:p w:rsidR="001C7C52" w:rsidRDefault="001C7C52" w:rsidP="0002684C">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Conditional correlation coefficients are correlation coefficients that are not corrected for the heteroskedasticity that is present in distressed markets.</w:t>
      </w:r>
    </w:p>
  </w:footnote>
  <w:footnote w:id="53">
    <w:p w:rsidR="001C7C52" w:rsidRDefault="001C7C52" w:rsidP="002C6801">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When the correlation matrix is not positive and/or definite, which is a likely possibility when the number of credit products a rather large, then the spectral decomposition of the correlation matrix must be estimated instead of Cholesky decomposition. Random variables can also be correlated using spectral decomposition in a way similar to the application of the Cholesky decomposition. The disadvantage of the procedure is that the calculation of the spectral decomposition of a matrix is much more difficult than the calculation of the Cholesky decomposition. Furthermore, the derived correction (</w:t>
      </w:r>
      <w:hyperlink w:anchor="E1N44" w:history="1">
        <w:r w:rsidRPr="00D820E2">
          <w:rPr>
            <w:rStyle w:val="Hyperlink"/>
            <w:rFonts w:ascii="Garamond" w:hAnsi="Garamond"/>
            <w:color w:val="000066"/>
            <w:u w:val="none"/>
            <w:lang w:val="en-GB"/>
          </w:rPr>
          <w:t>Part I section 1.4.5, equation 1.45</w:t>
        </w:r>
      </w:hyperlink>
      <w:r w:rsidRPr="00D820E2">
        <w:rPr>
          <w:rFonts w:ascii="Garamond" w:hAnsi="Garamond"/>
          <w:lang w:val="en-GB"/>
        </w:rPr>
        <w:t>) may not be completely valid anymore. Nevertheless, the correction becomes less important when the number of periods in the model is increased. In fact, the impact of the correction on the correlations in the four-period model is already incredibly small for all correlations that are considered in the model estimations in this study. The largest correction that is applied is an increase of 4% of the relevant input correlation. Consequently, the use of spectral decomposition will provide a relatively sound alternative in the use of the model when no positive definite correlation matrix can be estimated. In this study, however, no such attempt will be made as all considered correlation matrices are positive definite.</w:t>
      </w:r>
    </w:p>
  </w:footnote>
  <w:footnote w:id="54">
    <w:p w:rsidR="001C7C52" w:rsidRDefault="001C7C52" w:rsidP="004854C9">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Note that the use of factor models may provide a partial solution here, since it is believed that these models filter out the noise and produce more stable correlation estimates. Nonetheless, the solution is only partial as even within a factor model first the return frequency must be specified. Essentially, one cannot assume that varying this specification does not alter the resulting estimates.</w:t>
      </w:r>
    </w:p>
  </w:footnote>
  <w:footnote w:id="55">
    <w:p w:rsidR="001C7C52" w:rsidRDefault="001C7C52" w:rsidP="009679A5">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definitions</w:t>
      </w:r>
      <w:r w:rsidRPr="00D820E2">
        <w:rPr>
          <w:rFonts w:ascii="Garamond" w:hAnsi="Garamond" w:cs="NimbusRomNo9L-Regu"/>
          <w:szCs w:val="18"/>
          <w:lang w:val="en-GB" w:eastAsia="nl-NL"/>
        </w:rPr>
        <w:t xml:space="preserve"> </w:t>
      </w:r>
      <w:r w:rsidRPr="00D820E2">
        <w:rPr>
          <w:rFonts w:ascii="Garamond" w:hAnsi="Garamond"/>
          <w:lang w:val="en-GB"/>
        </w:rPr>
        <w:t xml:space="preserve">of </w:t>
      </w:r>
      <w:r w:rsidRPr="00100BDF">
        <w:rPr>
          <w:rFonts w:ascii="Garamond" w:hAnsi="Garamond"/>
          <w:position w:val="-8"/>
          <w:lang w:val="en-GB"/>
        </w:rPr>
        <w:object w:dxaOrig="400" w:dyaOrig="260">
          <v:shape id="_x0000_i1748" type="#_x0000_t75" style="width:20.25pt;height:13.5pt" o:ole="">
            <v:imagedata r:id="rId57" o:title=""/>
          </v:shape>
          <o:OLEObject Type="Embed" ProgID="Equation.DSMT4" ShapeID="_x0000_i1748" DrawAspect="Content" ObjectID="_1324894406" r:id="rId58"/>
        </w:object>
      </w:r>
      <w:r w:rsidRPr="00D820E2">
        <w:rPr>
          <w:rFonts w:ascii="Garamond" w:hAnsi="Garamond"/>
          <w:lang w:val="en-GB"/>
        </w:rPr>
        <w:t xml:space="preserve"> and </w:t>
      </w:r>
      <w:r w:rsidRPr="00100BDF">
        <w:rPr>
          <w:rFonts w:ascii="Garamond" w:hAnsi="Garamond"/>
          <w:position w:val="-8"/>
          <w:lang w:val="en-GB"/>
        </w:rPr>
        <w:object w:dxaOrig="400" w:dyaOrig="260">
          <v:shape id="_x0000_i1749" type="#_x0000_t75" style="width:20.25pt;height:13.5pt" o:ole="">
            <v:imagedata r:id="rId59" o:title=""/>
          </v:shape>
          <o:OLEObject Type="Embed" ProgID="Equation.DSMT4" ShapeID="_x0000_i1749" DrawAspect="Content" ObjectID="_1324894407" r:id="rId60"/>
        </w:object>
      </w:r>
      <w:r w:rsidRPr="00D820E2">
        <w:rPr>
          <w:rFonts w:ascii="Garamond" w:hAnsi="Garamond"/>
          <w:lang w:val="en-GB"/>
        </w:rPr>
        <w:t xml:space="preserve"> that are applied here are equivalent to those used in the estimation of the credit migration matrix according to the cohort method (</w:t>
      </w:r>
      <w:hyperlink w:anchor="S212" w:history="1">
        <w:r w:rsidRPr="00D820E2">
          <w:rPr>
            <w:rStyle w:val="Hyperlink"/>
            <w:rFonts w:ascii="Garamond" w:hAnsi="Garamond"/>
            <w:color w:val="000066"/>
            <w:u w:val="none"/>
            <w:lang w:val="en-GB"/>
          </w:rPr>
          <w:t>section 2.1.2</w:t>
        </w:r>
      </w:hyperlink>
      <w:r w:rsidRPr="00D820E2">
        <w:rPr>
          <w:rFonts w:ascii="Garamond" w:hAnsi="Garamond"/>
          <w:lang w:val="en-GB"/>
        </w:rPr>
        <w:t>).</w:t>
      </w:r>
    </w:p>
  </w:footnote>
  <w:footnote w:id="56">
    <w:p w:rsidR="001C7C52" w:rsidRDefault="001C7C52" w:rsidP="009679A5">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density of the bivariate Gaussian copula has no analytical solution. Usually, it is estimated using maximum or partial likelihood functions/algorithms, but in this study a more simple simulation approach is taken. A very large amount of simulations ensure that the correlation coefficient can be calibrated to reflect the known probabilities of default per industry and their joint probability of default. Herein, the estimates are all based on two million simulations. </w:t>
      </w:r>
    </w:p>
  </w:footnote>
  <w:footnote w:id="57">
    <w:p w:rsidR="001C7C52" w:rsidRDefault="001C7C52" w:rsidP="009679A5">
      <w:pPr>
        <w:tabs>
          <w:tab w:val="left" w:pos="284"/>
        </w:tabs>
        <w:spacing w:line="200" w:lineRule="exact"/>
        <w:ind w:left="198" w:hanging="198"/>
        <w:jc w:val="both"/>
      </w:pPr>
      <w:r w:rsidRPr="00D820E2">
        <w:rPr>
          <w:rStyle w:val="FootnoteReference"/>
          <w:rFonts w:ascii="Garamond" w:hAnsi="Garamond"/>
          <w:szCs w:val="14"/>
          <w:lang w:val="en-GB"/>
        </w:rPr>
        <w:footnoteRef/>
      </w:r>
      <w:r w:rsidRPr="00D820E2">
        <w:rPr>
          <w:rFonts w:ascii="Garamond" w:hAnsi="Garamond"/>
          <w:sz w:val="20"/>
          <w:lang w:val="en-GB" w:eastAsia="nl-NL"/>
        </w:rPr>
        <w:t xml:space="preserve"> </w:t>
      </w:r>
      <w:r w:rsidRPr="00D820E2">
        <w:rPr>
          <w:rFonts w:ascii="Garamond" w:hAnsi="Garamond"/>
          <w:sz w:val="20"/>
          <w:lang w:val="en-GB" w:eastAsia="nl-NL"/>
        </w:rPr>
        <w:tab/>
      </w:r>
      <w:r w:rsidRPr="00D820E2">
        <w:rPr>
          <w:rFonts w:ascii="Garamond" w:hAnsi="Garamond"/>
          <w:sz w:val="18"/>
          <w:szCs w:val="18"/>
          <w:lang w:val="en-GB" w:eastAsia="nl-NL"/>
        </w:rPr>
        <w:t>The (first layer) industry groups in the Bloomberg Industry Classification Standard (BISC) are used as industry definitions. The Government and Funds groups are not taken into account in this assessment, since the number of issuers in these groups was much too low to produce reliable correlation estimates (13 and 3 issuers, respectively, in the entire US spectrum of S&amp;P-rated issuers).</w:t>
      </w:r>
      <w:r w:rsidRPr="00D820E2">
        <w:rPr>
          <w:rFonts w:ascii="Garamond" w:hAnsi="Garamond"/>
          <w:sz w:val="20"/>
          <w:lang w:val="en-GB" w:eastAsia="nl-NL"/>
        </w:rPr>
        <w:t xml:space="preserve"> </w:t>
      </w:r>
    </w:p>
  </w:footnote>
  <w:footnote w:id="58">
    <w:p w:rsidR="001C7C52" w:rsidRDefault="001C7C52" w:rsidP="009679A5">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Conditioning on the credit crisis period for instance, would be meaningless, since only two cohorts with a one-year horizon would be considered, which makes the reliability of the resulting estimates extremely doubtful. In essence, the implied asset correlations cannot be conditioned to a period that is in line with the current market conditions without running into severe data issues. Estimation based on a rolling window like in </w:t>
      </w:r>
      <w:hyperlink w:anchor="Akhavein_et_al_2005" w:history="1">
        <w:r w:rsidRPr="00D820E2">
          <w:rPr>
            <w:rStyle w:val="Hyperlink"/>
            <w:rFonts w:ascii="Garamond" w:hAnsi="Garamond"/>
            <w:color w:val="000066"/>
            <w:u w:val="none"/>
            <w:lang w:val="en-GB"/>
          </w:rPr>
          <w:t>Akhavein et al. (2005)</w:t>
        </w:r>
      </w:hyperlink>
      <w:r w:rsidRPr="00D820E2">
        <w:rPr>
          <w:rFonts w:ascii="Garamond" w:hAnsi="Garamond"/>
          <w:lang w:val="en-GB"/>
        </w:rPr>
        <w:t xml:space="preserve"> is not an option as well. Doing so will yield a severe overlapping observations error, while the estimation will only contain limited extra information. In addition, the defaults at the start and the end of the sample will be given much less weight in the estimation than the defaults in between. Hence, such an estimation will definitely result in biased estimates. In fact, one might even argue that the data scarcity problem makes the estimation of issuer asset correlation implied by actual default rates an unsuited method to assess correlation risk in the incremental risk model.</w:t>
      </w:r>
    </w:p>
  </w:footnote>
  <w:footnote w:id="59">
    <w:p w:rsidR="001C7C52" w:rsidRDefault="001C7C52" w:rsidP="00EF4DC5">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For a few issuers no existing bonds could be found in Thomson Datastream. In those few cases, bonds where completely made up, yet the maturity and coupon size were set to roughly correspond to the average within the rating class. The specific issuers and bonds to which this applies can be found in </w:t>
      </w:r>
      <w:hyperlink w:anchor="SA3" w:history="1">
        <w:r w:rsidRPr="00D820E2">
          <w:rPr>
            <w:rStyle w:val="Hyperlink"/>
            <w:rFonts w:ascii="Garamond" w:hAnsi="Garamond"/>
            <w:color w:val="000066"/>
            <w:u w:val="none"/>
            <w:lang w:val="en-GB"/>
          </w:rPr>
          <w:t>appendix A.3</w:t>
        </w:r>
      </w:hyperlink>
      <w:r w:rsidRPr="00D820E2">
        <w:rPr>
          <w:rFonts w:ascii="Garamond" w:hAnsi="Garamond"/>
          <w:lang w:val="en-GB"/>
        </w:rPr>
        <w:t xml:space="preserve">. </w:t>
      </w:r>
    </w:p>
  </w:footnote>
  <w:footnote w:id="60">
    <w:p w:rsidR="001C7C52" w:rsidRDefault="001C7C52" w:rsidP="009679A5">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When the two Barclays indices are combined, an 80.61% weight for the Barclays US Corporate Intermediate Bond Index and a 19.39% weight for the Barclays US Corporate Long Bond Index will yield a duration equal to that of the long only portfolio. Therefore, the long only portfolio shows a much closer resemblance to an intermediate (duration or maturity) bond portfolio then is does to a long (duration or maturity) bond portfolio.</w:t>
      </w:r>
    </w:p>
  </w:footnote>
  <w:footnote w:id="61">
    <w:p w:rsidR="001C7C52" w:rsidRDefault="001C7C52" w:rsidP="009679A5">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Examples of studies that address the subject of liquidity in the credit risk context are </w:t>
      </w:r>
      <w:hyperlink w:anchor="Duffie_Ziegler_2003" w:history="1">
        <w:r w:rsidRPr="00D820E2">
          <w:rPr>
            <w:rStyle w:val="Hyperlink"/>
            <w:rFonts w:ascii="Garamond" w:hAnsi="Garamond"/>
            <w:color w:val="000066"/>
            <w:u w:val="none"/>
            <w:lang w:val="en-GB"/>
          </w:rPr>
          <w:t>Duffie &amp; Ziegler (2003)</w:t>
        </w:r>
      </w:hyperlink>
      <w:r w:rsidRPr="00D820E2">
        <w:rPr>
          <w:rFonts w:ascii="Garamond" w:hAnsi="Garamond"/>
          <w:lang w:val="en-GB"/>
        </w:rPr>
        <w:t xml:space="preserve">, </w:t>
      </w:r>
      <w:hyperlink w:anchor="Houweling_et_al_2005" w:history="1">
        <w:r w:rsidRPr="00D820E2">
          <w:rPr>
            <w:rStyle w:val="Hyperlink"/>
            <w:rFonts w:ascii="Garamond" w:hAnsi="Garamond"/>
            <w:color w:val="000066"/>
            <w:u w:val="none"/>
            <w:lang w:val="en-GB"/>
          </w:rPr>
          <w:t>Houweling et al. (2005)</w:t>
        </w:r>
      </w:hyperlink>
      <w:r w:rsidRPr="00D820E2">
        <w:rPr>
          <w:rFonts w:ascii="Garamond" w:hAnsi="Garamond"/>
          <w:lang w:val="en-GB"/>
        </w:rPr>
        <w:t xml:space="preserve">, </w:t>
      </w:r>
      <w:hyperlink w:anchor="Ericsson_Renault_2006" w:history="1">
        <w:r w:rsidRPr="00D820E2">
          <w:rPr>
            <w:rStyle w:val="Hyperlink"/>
            <w:rFonts w:ascii="Garamond" w:hAnsi="Garamond"/>
            <w:color w:val="000066"/>
            <w:u w:val="none"/>
            <w:lang w:val="en-GB"/>
          </w:rPr>
          <w:t>Ericsson &amp; Renault (2006)</w:t>
        </w:r>
      </w:hyperlink>
      <w:r w:rsidRPr="00D820E2">
        <w:rPr>
          <w:rFonts w:ascii="Garamond" w:hAnsi="Garamond"/>
          <w:lang w:val="en-GB"/>
        </w:rPr>
        <w:t xml:space="preserve">, </w:t>
      </w:r>
      <w:hyperlink w:anchor="Chen_et_al_2007" w:history="1">
        <w:r w:rsidRPr="00D820E2">
          <w:rPr>
            <w:rStyle w:val="Hyperlink"/>
            <w:rFonts w:ascii="Garamond" w:hAnsi="Garamond"/>
            <w:color w:val="000066"/>
            <w:u w:val="none"/>
            <w:lang w:val="en-GB"/>
          </w:rPr>
          <w:t>Chen et al. (2007)</w:t>
        </w:r>
      </w:hyperlink>
      <w:r w:rsidRPr="00D820E2">
        <w:rPr>
          <w:rFonts w:ascii="Garamond" w:hAnsi="Garamond"/>
          <w:lang w:val="en-GB"/>
        </w:rPr>
        <w:t xml:space="preserve">, </w:t>
      </w:r>
      <w:hyperlink w:anchor="Tang_Yan_2007" w:history="1">
        <w:r w:rsidRPr="00D820E2">
          <w:rPr>
            <w:rStyle w:val="Hyperlink"/>
            <w:rFonts w:ascii="Garamond" w:hAnsi="Garamond"/>
            <w:color w:val="000066"/>
            <w:u w:val="none"/>
            <w:lang w:val="en-GB"/>
          </w:rPr>
          <w:t>Tang &amp; Yan (2007)</w:t>
        </w:r>
      </w:hyperlink>
      <w:r w:rsidRPr="00D820E2">
        <w:rPr>
          <w:rFonts w:ascii="Garamond" w:hAnsi="Garamond"/>
          <w:lang w:val="en-GB"/>
        </w:rPr>
        <w:t xml:space="preserve"> and </w:t>
      </w:r>
      <w:hyperlink w:anchor="Nashikkar_et_al_2009" w:history="1">
        <w:r w:rsidRPr="00D820E2">
          <w:rPr>
            <w:rStyle w:val="Hyperlink"/>
            <w:rFonts w:ascii="Garamond" w:hAnsi="Garamond"/>
            <w:color w:val="000066"/>
            <w:u w:val="none"/>
            <w:lang w:val="en-GB"/>
          </w:rPr>
          <w:t>Nashikkar et al. (2009)</w:t>
        </w:r>
      </w:hyperlink>
      <w:r w:rsidRPr="00D820E2">
        <w:rPr>
          <w:rFonts w:ascii="Garamond" w:hAnsi="Garamond"/>
          <w:lang w:val="en-GB"/>
        </w:rPr>
        <w:t>.</w:t>
      </w:r>
    </w:p>
  </w:footnote>
  <w:footnote w:id="62">
    <w:p w:rsidR="001C7C52" w:rsidRDefault="001C7C52" w:rsidP="000328E0">
      <w:pPr>
        <w:pStyle w:val="FootnoteText"/>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Conversely, following Feller’s convolution theorem (</w:t>
      </w:r>
      <w:hyperlink w:anchor="Feller_1971" w:history="1">
        <w:r w:rsidRPr="00D820E2">
          <w:rPr>
            <w:rStyle w:val="Hyperlink"/>
            <w:rFonts w:ascii="Garamond" w:hAnsi="Garamond"/>
            <w:color w:val="000066"/>
            <w:u w:val="none"/>
            <w:lang w:val="en-GB"/>
          </w:rPr>
          <w:t>Feller, 1971</w:t>
        </w:r>
      </w:hyperlink>
      <w:r w:rsidRPr="00D820E2">
        <w:rPr>
          <w:rFonts w:ascii="Garamond" w:hAnsi="Garamond"/>
          <w:lang w:val="en-GB"/>
        </w:rPr>
        <w:t xml:space="preserve">), the tail dependence of quarterly and yearly asset return should be equal to that of the daily frequency, as those returns are the sum of a large number of daily returns. This implies that the degrees of freedom for the applied </w:t>
      </w:r>
      <w:r w:rsidRPr="00D820E2">
        <w:rPr>
          <w:rFonts w:ascii="Garamond" w:hAnsi="Garamond"/>
          <w:i/>
          <w:lang w:val="en-GB"/>
        </w:rPr>
        <w:t>t</w:t>
      </w:r>
      <w:r w:rsidRPr="00D820E2">
        <w:rPr>
          <w:rFonts w:ascii="Garamond" w:hAnsi="Garamond"/>
          <w:lang w:val="en-GB"/>
        </w:rPr>
        <w:t xml:space="preserve">-Student copula should be between the value of two and five as well. Nonetheless, since daily returns are not expected to be completely independent (which is not in line with the application of Feller’s convolution theorem), and to create a more detailed picture of the effects of the copula, two different </w:t>
      </w:r>
      <w:r w:rsidRPr="00D820E2">
        <w:rPr>
          <w:rFonts w:ascii="Garamond" w:hAnsi="Garamond"/>
          <w:i/>
          <w:lang w:val="en-GB"/>
        </w:rPr>
        <w:t>t</w:t>
      </w:r>
      <w:r w:rsidRPr="00D820E2">
        <w:rPr>
          <w:rFonts w:ascii="Garamond" w:hAnsi="Garamond"/>
          <w:lang w:val="en-GB"/>
        </w:rPr>
        <w:t>-Student specifications, or tail risk specifications, are applied.</w:t>
      </w:r>
    </w:p>
  </w:footnote>
  <w:footnote w:id="63">
    <w:p w:rsidR="001C7C52" w:rsidRDefault="001C7C52" w:rsidP="00D612EF">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proper degrees of freedom to be employed in the Student’s </w:t>
      </w:r>
      <w:r w:rsidRPr="00D820E2">
        <w:rPr>
          <w:rFonts w:ascii="Garamond" w:hAnsi="Garamond"/>
          <w:i/>
          <w:lang w:val="en-GB"/>
        </w:rPr>
        <w:t>t</w:t>
      </w:r>
      <w:r w:rsidRPr="00D820E2">
        <w:rPr>
          <w:rFonts w:ascii="Garamond" w:hAnsi="Garamond"/>
          <w:lang w:val="en-GB"/>
        </w:rPr>
        <w:t>-distribution can be estimated with the use of historical data by applying the Hill-estimator (</w:t>
      </w:r>
      <w:hyperlink w:anchor="Hill_1975" w:history="1">
        <w:r w:rsidRPr="00D820E2">
          <w:rPr>
            <w:rStyle w:val="Hyperlink"/>
            <w:rFonts w:ascii="Garamond" w:hAnsi="Garamond"/>
            <w:color w:val="000066"/>
            <w:u w:val="none"/>
            <w:lang w:val="en-GB"/>
          </w:rPr>
          <w:t>Hill, 1975</w:t>
        </w:r>
      </w:hyperlink>
      <w:r w:rsidRPr="00D820E2">
        <w:rPr>
          <w:rFonts w:ascii="Garamond" w:hAnsi="Garamond"/>
          <w:lang w:val="en-GB"/>
        </w:rPr>
        <w:t>) or modified Hill-estimator (</w:t>
      </w:r>
      <w:hyperlink w:anchor="Huisman_et_al_2001" w:history="1">
        <w:r w:rsidRPr="00D820E2">
          <w:rPr>
            <w:rStyle w:val="Hyperlink"/>
            <w:rFonts w:ascii="Garamond" w:hAnsi="Garamond"/>
            <w:color w:val="000066"/>
            <w:u w:val="none"/>
            <w:lang w:val="en-GB"/>
          </w:rPr>
          <w:t>Huisman et al., 2001</w:t>
        </w:r>
      </w:hyperlink>
      <w:r w:rsidRPr="00D820E2">
        <w:rPr>
          <w:rFonts w:ascii="Garamond" w:hAnsi="Garamond"/>
          <w:lang w:val="en-GB"/>
        </w:rPr>
        <w:t xml:space="preserve">), or even better, the proper degrees of freedom to applied the </w:t>
      </w:r>
      <w:r w:rsidRPr="00D820E2">
        <w:rPr>
          <w:rFonts w:ascii="Garamond" w:hAnsi="Garamond"/>
          <w:i/>
          <w:lang w:val="en-GB"/>
        </w:rPr>
        <w:t>t</w:t>
      </w:r>
      <w:r w:rsidRPr="00D820E2">
        <w:rPr>
          <w:rFonts w:ascii="Garamond" w:hAnsi="Garamond"/>
          <w:lang w:val="en-GB"/>
        </w:rPr>
        <w:t xml:space="preserve">-Student copula can be directly estimated as well. Although estimations as such would be very appealing in the context of the model, they are beyond the scope of this study. Consequently, a high and a medium </w:t>
      </w:r>
      <w:r w:rsidRPr="00D820E2">
        <w:rPr>
          <w:rFonts w:ascii="Garamond" w:hAnsi="Garamond"/>
          <w:i/>
          <w:lang w:val="en-GB"/>
        </w:rPr>
        <w:t>t</w:t>
      </w:r>
      <w:r w:rsidRPr="00D820E2">
        <w:rPr>
          <w:rFonts w:ascii="Garamond" w:hAnsi="Garamond"/>
          <w:lang w:val="en-GB"/>
        </w:rPr>
        <w:t xml:space="preserve">-Student’s tail dependence specification are employed, such that the effects of different degrees of freedom assumptions can be approached. </w:t>
      </w:r>
    </w:p>
  </w:footnote>
  <w:footnote w:id="64">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Significance is based on the computed 95% confidence bands of the compared VaR-estimates. Consequently, the applied significance level is 5%. Note that this statistical inference applies to the simulation only. In fact, the simulations assume that the input parameters display the true values. This assumption is obviously flawed, yet the statistical conclusions based on the 95% confidence bands do allow for the identification of meaningful differences in the VaR-estimates induced by different sets of inputs and assumptions.</w:t>
      </w:r>
    </w:p>
  </w:footnote>
  <w:footnote w:id="65">
    <w:p w:rsidR="001C7C52" w:rsidRDefault="001C7C52" w:rsidP="001D630E">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Recall that the difference between both default value models is that in the standard model the default value is computed as: </w:t>
      </w:r>
      <w:r w:rsidRPr="00100BDF">
        <w:rPr>
          <w:rFonts w:ascii="Garamond" w:hAnsi="Garamond"/>
          <w:position w:val="-8"/>
          <w:lang w:val="en-GB"/>
        </w:rPr>
        <w:object w:dxaOrig="940" w:dyaOrig="260">
          <v:shape id="_x0000_i1795" type="#_x0000_t75" style="width:46.5pt;height:13.5pt" o:ole="">
            <v:imagedata r:id="rId61" o:title=""/>
          </v:shape>
          <o:OLEObject Type="Embed" ProgID="Equation.DSMT4" ShapeID="_x0000_i1795" DrawAspect="Content" ObjectID="_1324894408" r:id="rId62"/>
        </w:object>
      </w:r>
      <w:r w:rsidRPr="00D820E2">
        <w:rPr>
          <w:rFonts w:ascii="Garamond" w:hAnsi="Garamond"/>
          <w:lang w:val="en-GB"/>
        </w:rPr>
        <w:t xml:space="preserve">, while in the modified model it is calculated as: </w:t>
      </w:r>
      <w:r w:rsidRPr="00100BDF">
        <w:rPr>
          <w:rFonts w:ascii="Garamond" w:hAnsi="Garamond"/>
          <w:position w:val="-8"/>
          <w:lang w:val="en-GB"/>
        </w:rPr>
        <w:object w:dxaOrig="1140" w:dyaOrig="260">
          <v:shape id="_x0000_i1796" type="#_x0000_t75" style="width:56.25pt;height:13.5pt" o:ole="">
            <v:imagedata r:id="rId63" o:title=""/>
          </v:shape>
          <o:OLEObject Type="Embed" ProgID="Equation.DSMT4" ShapeID="_x0000_i1796" DrawAspect="Content" ObjectID="_1324894409" r:id="rId64"/>
        </w:object>
      </w:r>
      <w:r w:rsidRPr="00D820E2">
        <w:rPr>
          <w:rFonts w:ascii="Garamond" w:hAnsi="Garamond"/>
          <w:lang w:val="en-GB"/>
        </w:rPr>
        <w:t xml:space="preserve">. The effective recovery rate in the model estimation is much higher when the standard model is employed. Detailed information on both models is provided in </w:t>
      </w:r>
      <w:hyperlink w:anchor="S133" w:history="1">
        <w:r w:rsidRPr="00D820E2">
          <w:rPr>
            <w:rStyle w:val="Hyperlink"/>
            <w:rFonts w:ascii="Garamond" w:hAnsi="Garamond"/>
            <w:color w:val="000066"/>
            <w:u w:val="none"/>
            <w:lang w:val="en-GB"/>
          </w:rPr>
          <w:t>Part I section 1.3.3</w:t>
        </w:r>
      </w:hyperlink>
      <w:r w:rsidRPr="00D820E2">
        <w:rPr>
          <w:rFonts w:ascii="Garamond" w:hAnsi="Garamond"/>
          <w:lang w:val="en-GB"/>
        </w:rPr>
        <w:t>.</w:t>
      </w:r>
    </w:p>
  </w:footnote>
  <w:footnote w:id="66">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stable period correlations are assumed to provide are a more general display of the issuer asset correlations. The overall level of the stable period issuer correlations is likely to be reasonably in line with the overall level of unconditional issuer correlations.</w:t>
      </w:r>
    </w:p>
  </w:footnote>
  <w:footnote w:id="67">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hyperlink w:anchor="Mashal_Zeevi_2002" w:history="1">
        <w:r w:rsidRPr="00D820E2">
          <w:rPr>
            <w:rStyle w:val="Hyperlink"/>
            <w:rFonts w:ascii="Garamond" w:hAnsi="Garamond"/>
            <w:color w:val="000066"/>
            <w:u w:val="none"/>
            <w:lang w:val="en-GB"/>
          </w:rPr>
          <w:t>Mashal &amp; Zeevi (2002)</w:t>
        </w:r>
      </w:hyperlink>
      <w:r w:rsidRPr="00D820E2">
        <w:rPr>
          <w:rFonts w:ascii="Garamond" w:hAnsi="Garamond"/>
          <w:lang w:val="en-GB"/>
        </w:rPr>
        <w:t>,</w:t>
      </w:r>
      <w:r w:rsidRPr="00D820E2">
        <w:rPr>
          <w:rFonts w:ascii="Garamond" w:hAnsi="Garamond" w:cs="NimbusRomNo9L-Regu"/>
          <w:lang w:val="en-GB" w:eastAsia="nl-NL"/>
        </w:rPr>
        <w:t xml:space="preserve"> </w:t>
      </w:r>
      <w:hyperlink w:anchor="Ane_Kharoubi_2003" w:history="1">
        <w:r w:rsidRPr="00D820E2">
          <w:rPr>
            <w:rStyle w:val="Hyperlink"/>
            <w:rFonts w:ascii="Garamond" w:hAnsi="Garamond" w:cs="NimbusRomNo9L-Regu"/>
            <w:color w:val="000066"/>
            <w:u w:val="none"/>
            <w:lang w:val="en-GB" w:eastAsia="nl-NL"/>
          </w:rPr>
          <w:t>Ané &amp; Kharoubi (2003)</w:t>
        </w:r>
      </w:hyperlink>
      <w:r w:rsidRPr="00D820E2">
        <w:rPr>
          <w:rFonts w:ascii="Garamond" w:hAnsi="Garamond"/>
          <w:lang w:val="en-GB"/>
        </w:rPr>
        <w:t xml:space="preserve">, </w:t>
      </w:r>
      <w:hyperlink w:anchor="Abid_Naifar_2007" w:history="1">
        <w:r w:rsidRPr="00D820E2">
          <w:rPr>
            <w:rStyle w:val="Hyperlink"/>
            <w:rFonts w:ascii="Garamond" w:hAnsi="Garamond"/>
            <w:color w:val="000066"/>
            <w:u w:val="none"/>
            <w:lang w:val="en-GB"/>
          </w:rPr>
          <w:t>Abid &amp; Naifar (2007)</w:t>
        </w:r>
      </w:hyperlink>
      <w:r w:rsidRPr="00D820E2">
        <w:rPr>
          <w:rFonts w:ascii="Garamond" w:hAnsi="Garamond"/>
          <w:lang w:val="en-GB"/>
        </w:rPr>
        <w:t xml:space="preserve"> and </w:t>
      </w:r>
      <w:hyperlink w:anchor="Genest_et_al_2009" w:history="1">
        <w:r w:rsidRPr="00D820E2">
          <w:rPr>
            <w:rStyle w:val="Hyperlink"/>
            <w:rFonts w:ascii="Garamond" w:hAnsi="Garamond" w:cs="NimbusRomNo9L-Regu"/>
            <w:color w:val="000066"/>
            <w:u w:val="none"/>
            <w:lang w:val="en-GB" w:eastAsia="nl-NL"/>
          </w:rPr>
          <w:t>Genest et al. (2009)</w:t>
        </w:r>
      </w:hyperlink>
      <w:r w:rsidRPr="00D820E2">
        <w:rPr>
          <w:rFonts w:ascii="Garamond" w:hAnsi="Garamond" w:cs="NimbusRomNo9L-Regu"/>
          <w:lang w:val="en-GB" w:eastAsia="nl-NL"/>
        </w:rPr>
        <w:t xml:space="preserve"> for example, are four of the many papers on the copula subject (in the risk management context), discussing various methodologies of fitting copulas to empirical datasets and proposing goodness-of-fit tests to approach their performance. </w:t>
      </w:r>
      <w:hyperlink w:anchor="Trivedi_Zimmer_2005" w:history="1">
        <w:r w:rsidRPr="00D820E2">
          <w:rPr>
            <w:rStyle w:val="Hyperlink"/>
            <w:rFonts w:ascii="Garamond" w:hAnsi="Garamond" w:cs="NimbusRomNo9L-Regu"/>
            <w:color w:val="000066"/>
            <w:u w:val="none"/>
            <w:lang w:val="en-GB" w:eastAsia="nl-NL"/>
          </w:rPr>
          <w:t>Trivedi &amp; Zimmer (2005)</w:t>
        </w:r>
      </w:hyperlink>
      <w:r w:rsidRPr="00D820E2">
        <w:rPr>
          <w:rFonts w:ascii="Garamond" w:hAnsi="Garamond" w:cs="NimbusRomNo9L-Regu"/>
          <w:lang w:val="en-GB" w:eastAsia="nl-NL"/>
        </w:rPr>
        <w:t xml:space="preserve"> and </w:t>
      </w:r>
      <w:hyperlink w:anchor="Nelson_2006" w:history="1">
        <w:r w:rsidRPr="00D820E2">
          <w:rPr>
            <w:rStyle w:val="Hyperlink"/>
            <w:rFonts w:ascii="Garamond" w:hAnsi="Garamond" w:cs="NimbusRomNo9L-Regu"/>
            <w:color w:val="000066"/>
            <w:u w:val="none"/>
            <w:lang w:val="en-GB" w:eastAsia="nl-NL"/>
          </w:rPr>
          <w:t>Nelson (2006)</w:t>
        </w:r>
      </w:hyperlink>
      <w:r w:rsidRPr="00D820E2">
        <w:rPr>
          <w:rFonts w:ascii="Garamond" w:hAnsi="Garamond" w:cs="NimbusRomNo9L-Regu"/>
          <w:lang w:val="en-GB" w:eastAsia="nl-NL"/>
        </w:rPr>
        <w:t xml:space="preserve"> provide a more general assessment of copula estimation procedures in econometrics.</w:t>
      </w:r>
    </w:p>
  </w:footnote>
  <w:footnote w:id="68">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asymmetries of possible optionality in a trading portfolio, for example, may distort the risk reduction provided by short positions in a high correlation market environment.</w:t>
      </w:r>
    </w:p>
  </w:footnote>
  <w:footnote w:id="69">
    <w:p w:rsidR="001C7C52" w:rsidRDefault="001C7C52" w:rsidP="004E7207">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The models have also been estimated with the use of the standard default model. Yet they are not presented in this study to limit the size of the document. These additional model estimation yield equivalent overall conclusions on the subject of the importance of particular model inputs and assumptions, relative to those based on the (presented) model estimations, where the modified default value model is applied. This fact obviously </w:t>
      </w:r>
      <w:r>
        <w:rPr>
          <w:rFonts w:ascii="Garamond" w:hAnsi="Garamond"/>
          <w:lang w:val="en-GB"/>
        </w:rPr>
        <w:t>enhances</w:t>
      </w:r>
      <w:r w:rsidRPr="00D820E2">
        <w:rPr>
          <w:rFonts w:ascii="Garamond" w:hAnsi="Garamond"/>
          <w:lang w:val="en-GB"/>
        </w:rPr>
        <w:t xml:space="preserve"> the robustness of the conclusions highlighted in this study.</w:t>
      </w:r>
    </w:p>
  </w:footnote>
  <w:footnote w:id="70">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Through the years, trading books have become much less liquid than initially anticipated. Hence, it would not be prudent to argue that the trading book mainly contains highly liquid positions.</w:t>
      </w:r>
    </w:p>
  </w:footnote>
  <w:footnote w:id="71">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In more than 80 years of annual S&amp;P500 returns, only the 1931 return was worse than the 2008 return.</w:t>
      </w:r>
    </w:p>
  </w:footnote>
  <w:footnote w:id="72">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required and mode</w:t>
      </w:r>
      <w:r>
        <w:rPr>
          <w:rFonts w:ascii="Garamond" w:hAnsi="Garamond"/>
          <w:lang w:val="en-GB"/>
        </w:rPr>
        <w:t>l</w:t>
      </w:r>
      <w:r w:rsidRPr="00D820E2">
        <w:rPr>
          <w:rFonts w:ascii="Garamond" w:hAnsi="Garamond"/>
          <w:lang w:val="en-GB"/>
        </w:rPr>
        <w:t>led one-year 99.9% worst result may even be classified as ‘Knightian uncertain’ (</w:t>
      </w:r>
      <w:hyperlink w:anchor="Knight_1921" w:history="1">
        <w:r w:rsidRPr="00D820E2">
          <w:rPr>
            <w:rStyle w:val="Hyperlink"/>
            <w:rFonts w:ascii="Garamond" w:hAnsi="Garamond"/>
            <w:color w:val="000066"/>
            <w:u w:val="none"/>
            <w:lang w:val="en-GB"/>
          </w:rPr>
          <w:t>Knight, 1921</w:t>
        </w:r>
      </w:hyperlink>
      <w:r w:rsidRPr="00D820E2">
        <w:rPr>
          <w:rFonts w:ascii="Garamond" w:hAnsi="Garamond"/>
          <w:lang w:val="en-GB"/>
        </w:rPr>
        <w:t>), since scenarios of such an extreme nature are in fact not directly assessable with historical data. Hence, the mode</w:t>
      </w:r>
      <w:r>
        <w:rPr>
          <w:rFonts w:ascii="Garamond" w:hAnsi="Garamond"/>
          <w:lang w:val="en-GB"/>
        </w:rPr>
        <w:t>l</w:t>
      </w:r>
      <w:r w:rsidRPr="00D820E2">
        <w:rPr>
          <w:rFonts w:ascii="Garamond" w:hAnsi="Garamond"/>
          <w:lang w:val="en-GB"/>
        </w:rPr>
        <w:t xml:space="preserve">ling of these scenarios will largely depend on the assumed distributions of the key (risk) factors in the model (e.g. the copula assumption in the proposed incremental risk model). </w:t>
      </w:r>
    </w:p>
  </w:footnote>
  <w:footnote w:id="73">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hyperlink w:anchor="Parsons_2009" w:history="1">
        <w:r w:rsidRPr="00D820E2">
          <w:rPr>
            <w:rStyle w:val="Hyperlink"/>
            <w:rFonts w:ascii="Garamond" w:hAnsi="Garamond"/>
            <w:color w:val="000066"/>
            <w:u w:val="none"/>
            <w:lang w:val="en-GB"/>
          </w:rPr>
          <w:t>Parsons (2009)</w:t>
        </w:r>
      </w:hyperlink>
      <w:r w:rsidRPr="00D820E2">
        <w:rPr>
          <w:rFonts w:ascii="Garamond" w:hAnsi="Garamond"/>
          <w:lang w:val="en-GB"/>
        </w:rPr>
        <w:t xml:space="preserve"> states that the Quantitative Impact Studies, that were completed whilst the Basel II Framework was being developed, indicate that the capital required to support the same portfolio increases roughly 25% percent from the top to the bottom of the cycle when losses are excluded. In case the capital effects of losses are included the increase in regulatory capital requirements even is approximately 40% (mainly based on </w:t>
      </w:r>
      <w:hyperlink w:anchor="BCBS_2003" w:history="1">
        <w:r w:rsidRPr="00D820E2">
          <w:rPr>
            <w:rStyle w:val="Hyperlink"/>
            <w:rFonts w:ascii="Garamond" w:hAnsi="Garamond"/>
            <w:color w:val="000066"/>
            <w:u w:val="none"/>
            <w:lang w:val="en-GB"/>
          </w:rPr>
          <w:t>BCBS, 2003</w:t>
        </w:r>
      </w:hyperlink>
      <w:r w:rsidRPr="00D820E2">
        <w:rPr>
          <w:rFonts w:ascii="Garamond" w:hAnsi="Garamond"/>
          <w:lang w:val="en-GB"/>
        </w:rPr>
        <w:t>).</w:t>
      </w:r>
    </w:p>
  </w:footnote>
  <w:footnote w:id="74">
    <w:p w:rsidR="001C7C52" w:rsidRDefault="001C7C52" w:rsidP="001F0514">
      <w:pPr>
        <w:pStyle w:val="FootnoteText"/>
        <w:tabs>
          <w:tab w:val="left" w:pos="284"/>
        </w:tabs>
        <w:spacing w:line="200" w:lineRule="exact"/>
        <w:ind w:left="198" w:hanging="198"/>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The Financial Services Authority even proposes counter-cyclical capital buffers (</w:t>
      </w:r>
      <w:hyperlink w:anchor="FSA_2009" w:history="1">
        <w:r w:rsidRPr="00D820E2">
          <w:rPr>
            <w:rStyle w:val="Hyperlink"/>
            <w:rFonts w:ascii="Garamond" w:hAnsi="Garamond"/>
            <w:color w:val="000066"/>
            <w:u w:val="none"/>
            <w:lang w:val="en-GB"/>
          </w:rPr>
          <w:t>FSA, 2009</w:t>
        </w:r>
      </w:hyperlink>
      <w:r w:rsidRPr="00D820E2">
        <w:rPr>
          <w:rFonts w:ascii="Garamond" w:hAnsi="Garamond"/>
          <w:lang w:val="en-GB"/>
        </w:rPr>
        <w:t>).</w:t>
      </w:r>
    </w:p>
  </w:footnote>
  <w:footnote w:id="75">
    <w:p w:rsidR="001C7C52" w:rsidRDefault="001C7C52" w:rsidP="001F0514">
      <w:pPr>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r>
      <w:hyperlink w:anchor="Rowe_2003" w:history="1">
        <w:r w:rsidRPr="00D820E2">
          <w:rPr>
            <w:rStyle w:val="Hyperlink"/>
            <w:rFonts w:ascii="Garamond" w:hAnsi="Garamond" w:cs="FranklinGothicITCbyBT-Book"/>
            <w:color w:val="000066"/>
            <w:sz w:val="18"/>
            <w:szCs w:val="18"/>
            <w:u w:val="none"/>
            <w:lang w:val="en-GB"/>
          </w:rPr>
          <w:t>Rowe (2003)</w:t>
        </w:r>
      </w:hyperlink>
      <w:r w:rsidRPr="00D820E2">
        <w:rPr>
          <w:rFonts w:ascii="Garamond" w:hAnsi="Garamond" w:cs="FranklinGothicITCbyBT-Book"/>
          <w:sz w:val="18"/>
          <w:szCs w:val="18"/>
          <w:lang w:val="en-GB"/>
        </w:rPr>
        <w:t xml:space="preserve"> argues that, while the through-the-cycle specification might partially mitigate the pro-cyclicality in the Basel II capital regime, it would also introduce unacceptable vagueness into the estimates and seriously undermine the basis for backtesting and validation.</w:t>
      </w:r>
    </w:p>
  </w:footnote>
  <w:footnote w:id="76">
    <w:p w:rsidR="001C7C52" w:rsidRDefault="001C7C52" w:rsidP="002668A1">
      <w:pPr>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sz w:val="18"/>
          <w:szCs w:val="18"/>
          <w:lang w:val="en-GB"/>
        </w:rPr>
        <w:tab/>
        <w:t xml:space="preserve">Note that the inverse relation between the average recovery rate and the average probability of default (the stage of the business cycle) also motivates the use of the modified default value model in the model estimations in </w:t>
      </w:r>
      <w:hyperlink w:anchor="S310" w:history="1">
        <w:r w:rsidRPr="00D820E2">
          <w:rPr>
            <w:rStyle w:val="Hyperlink"/>
            <w:rFonts w:ascii="Garamond" w:hAnsi="Garamond"/>
            <w:color w:val="000066"/>
            <w:sz w:val="18"/>
            <w:szCs w:val="18"/>
            <w:u w:val="none"/>
            <w:lang w:val="en-GB"/>
          </w:rPr>
          <w:t>section 3.1</w:t>
        </w:r>
      </w:hyperlink>
      <w:r w:rsidRPr="00D820E2">
        <w:rPr>
          <w:rFonts w:ascii="Garamond" w:hAnsi="Garamond"/>
          <w:sz w:val="18"/>
          <w:szCs w:val="18"/>
          <w:lang w:val="en-GB"/>
        </w:rPr>
        <w:t>. The VaR-measures are taken from extremely poor scenarios which essentially correspond to the bottom of the cycle. Consequently, the historical average recovery will definitely be much too high in these scenarios, which in its turn is highly likely to induce a risk underestimation in the model (i.e. too low 99.9% VaR estimates).</w:t>
      </w:r>
    </w:p>
  </w:footnote>
  <w:footnote w:id="77">
    <w:p w:rsidR="001C7C52" w:rsidRDefault="001C7C52" w:rsidP="004B099D">
      <w:pPr>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sz w:val="18"/>
          <w:szCs w:val="18"/>
          <w:lang w:val="en-GB"/>
        </w:rPr>
        <w:tab/>
        <w:t xml:space="preserve">One may even impose a relation between credit spreads or credit yield curves and average default rates (the stage of the business cycle) in the simulation model, since it is more or less common knowledge that credit spreads increase during episodes of economic turmoil (the bottom of the cycle in the simulation model context). Similar to the recovery rate for defaults, the credit yield curves determine the value change of the position in case of a downgrade or upgrade. In essence, it might be most valid to reconstruct the relations between all inputs that reinforce the business (or credit) cycle in the simulation model, as in such a structure the poor simulation scenarios, from which the VaR-estimates are taken, are defined more accurately, given the applied description is adequate. Again, the point-in-time vs. through-the-cycle model specification issue plays a crucial role in the decision to incorporate relations of this kind. </w:t>
      </w:r>
    </w:p>
  </w:footnote>
  <w:footnote w:id="78">
    <w:p w:rsidR="001C7C52" w:rsidRDefault="001C7C52" w:rsidP="005D7CFF">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Recall that the utilized return frequencies were: daily, weekly, two weeks, three weeks and monthly.</w:t>
      </w:r>
    </w:p>
  </w:footnote>
  <w:footnote w:id="79">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 xml:space="preserve">Even issuers of which the asset returns are assumed to be negatively correlated to the autoregressive risk factor still display positive autocorrelation. In the model proposed by </w:t>
      </w:r>
      <w:hyperlink w:anchor="Dunn_2008" w:history="1">
        <w:r w:rsidRPr="00D820E2">
          <w:rPr>
            <w:rStyle w:val="Hyperlink"/>
            <w:rFonts w:ascii="Garamond" w:hAnsi="Garamond"/>
            <w:color w:val="000066"/>
            <w:u w:val="none"/>
            <w:lang w:val="en-GB"/>
          </w:rPr>
          <w:t>Dunn (2008)</w:t>
        </w:r>
      </w:hyperlink>
      <w:r w:rsidRPr="00D820E2">
        <w:rPr>
          <w:rFonts w:ascii="Garamond" w:hAnsi="Garamond"/>
          <w:lang w:val="en-GB"/>
        </w:rPr>
        <w:t>, negative autocorrelation can only exist when the sign of the correlation between the autoregressive risk factor and the issuer returns changes the next period. Such a structure, however, is very unrealistic.</w:t>
      </w:r>
    </w:p>
  </w:footnote>
  <w:footnote w:id="80">
    <w:p w:rsidR="001C7C52" w:rsidRDefault="001C7C52" w:rsidP="00F036F3">
      <w:pPr>
        <w:pStyle w:val="FootnoteText"/>
        <w:tabs>
          <w:tab w:val="left" w:pos="284"/>
        </w:tabs>
        <w:spacing w:line="200" w:lineRule="exact"/>
        <w:ind w:left="198" w:hanging="198"/>
        <w:jc w:val="both"/>
      </w:pPr>
      <w:r w:rsidRPr="00D820E2">
        <w:rPr>
          <w:rStyle w:val="FootnoteReference"/>
          <w:rFonts w:ascii="Garamond" w:hAnsi="Garamond"/>
          <w:lang w:val="en-GB"/>
        </w:rPr>
        <w:footnoteRef/>
      </w:r>
      <w:r w:rsidRPr="00D820E2">
        <w:rPr>
          <w:rFonts w:ascii="Garamond" w:hAnsi="Garamond"/>
          <w:lang w:val="en-GB"/>
        </w:rPr>
        <w:t xml:space="preserve"> </w:t>
      </w:r>
      <w:r w:rsidRPr="00D820E2">
        <w:rPr>
          <w:rFonts w:ascii="Garamond" w:hAnsi="Garamond"/>
          <w:lang w:val="en-GB"/>
        </w:rPr>
        <w:tab/>
        <w:t>Note that definitions of implied correlations different from the one applied in this study are a possibility as well, since the Basel Committee’s Incremental Risk Capital Charge guidelines do not contain any guidance on this subject. Vagueness in concepts that are imperative to any incremental risk model, such as the implied correlations, is likely to contribute to arbitrary recipes and complexity in actual incremental risk models.</w:t>
      </w:r>
    </w:p>
  </w:footnote>
  <w:footnote w:id="81">
    <w:p w:rsidR="001C7C52" w:rsidRDefault="001C7C52" w:rsidP="00356E19">
      <w:pPr>
        <w:pStyle w:val="FootnoteText"/>
        <w:tabs>
          <w:tab w:val="left" w:pos="284"/>
        </w:tabs>
        <w:spacing w:line="200" w:lineRule="exact"/>
        <w:ind w:left="198" w:hanging="198"/>
        <w:jc w:val="both"/>
      </w:pPr>
      <w:r w:rsidRPr="00D820E2">
        <w:rPr>
          <w:rStyle w:val="FootnoteReference"/>
          <w:rFonts w:ascii="Garamond" w:hAnsi="Garamond"/>
          <w:szCs w:val="14"/>
          <w:lang w:val="en-GB"/>
        </w:rPr>
        <w:footnoteRef/>
      </w:r>
      <w:r w:rsidRPr="00D820E2">
        <w:rPr>
          <w:rFonts w:ascii="Garamond" w:hAnsi="Garamond"/>
          <w:szCs w:val="18"/>
          <w:lang w:val="en-GB"/>
        </w:rPr>
        <w:t xml:space="preserve"> </w:t>
      </w:r>
      <w:r w:rsidRPr="00D820E2">
        <w:rPr>
          <w:rFonts w:ascii="Garamond" w:hAnsi="Garamond"/>
          <w:szCs w:val="18"/>
          <w:lang w:val="en-GB"/>
        </w:rPr>
        <w:tab/>
        <w:t xml:space="preserve">Recall that this </w:t>
      </w:r>
      <w:r w:rsidRPr="00D820E2">
        <w:rPr>
          <w:rFonts w:ascii="Garamond" w:hAnsi="Garamond" w:cs="NimbusRomNo9L-Regu"/>
          <w:szCs w:val="18"/>
          <w:lang w:val="en-GB" w:eastAsia="nl-NL"/>
        </w:rPr>
        <w:t>value-weighted average of forward credit yields is an average of the forward credit yields of the credit ratings that are present in the assessed portfolio, which are weighted according to the relative exposure to each credit rating in the portfolio.</w:t>
      </w:r>
    </w:p>
  </w:footnote>
  <w:footnote w:id="82">
    <w:p w:rsidR="001C7C52" w:rsidRDefault="001C7C52" w:rsidP="008C3819">
      <w:pPr>
        <w:pStyle w:val="FootnoteText"/>
        <w:tabs>
          <w:tab w:val="left" w:pos="284"/>
        </w:tabs>
        <w:spacing w:line="200" w:lineRule="exact"/>
        <w:ind w:left="198" w:hanging="198"/>
        <w:jc w:val="both"/>
      </w:pPr>
      <w:r w:rsidRPr="00D820E2">
        <w:rPr>
          <w:rStyle w:val="FootnoteReference"/>
          <w:rFonts w:ascii="Garamond" w:hAnsi="Garamond"/>
          <w:szCs w:val="14"/>
          <w:lang w:val="en-GB"/>
        </w:rPr>
        <w:footnoteRef/>
      </w:r>
      <w:r w:rsidRPr="00D820E2">
        <w:rPr>
          <w:rFonts w:ascii="Garamond" w:hAnsi="Garamond"/>
          <w:szCs w:val="18"/>
          <w:lang w:val="en-GB"/>
        </w:rPr>
        <w:t xml:space="preserve"> </w:t>
      </w:r>
      <w:r w:rsidRPr="00D820E2">
        <w:rPr>
          <w:rFonts w:ascii="Garamond" w:hAnsi="Garamond"/>
          <w:szCs w:val="18"/>
          <w:lang w:val="en-GB"/>
        </w:rPr>
        <w:tab/>
        <w:t>Only the correlation effect may change as a result of altering the forward accrual rate assumption. Nonetheless, this is consistent with the conclusions that are presented in this study.</w:t>
      </w:r>
    </w:p>
  </w:footnote>
  <w:footnote w:id="83">
    <w:p w:rsidR="001C7C52" w:rsidRDefault="001C7C52" w:rsidP="001F0514">
      <w:pPr>
        <w:pStyle w:val="FootnoteText"/>
        <w:tabs>
          <w:tab w:val="left" w:pos="284"/>
        </w:tabs>
        <w:spacing w:line="200" w:lineRule="exact"/>
        <w:ind w:left="198" w:hanging="198"/>
        <w:jc w:val="both"/>
      </w:pPr>
      <w:r w:rsidRPr="00D820E2">
        <w:rPr>
          <w:rStyle w:val="FootnoteReference"/>
          <w:rFonts w:ascii="Garamond" w:hAnsi="Garamond"/>
          <w:szCs w:val="14"/>
          <w:lang w:val="en-GB"/>
        </w:rPr>
        <w:footnoteRef/>
      </w:r>
      <w:r w:rsidRPr="00D820E2">
        <w:rPr>
          <w:rFonts w:ascii="Garamond" w:hAnsi="Garamond"/>
          <w:sz w:val="14"/>
          <w:szCs w:val="14"/>
          <w:lang w:val="en-GB"/>
        </w:rPr>
        <w:t xml:space="preserve"> </w:t>
      </w:r>
      <w:r w:rsidRPr="00D820E2">
        <w:rPr>
          <w:rFonts w:ascii="Garamond" w:hAnsi="Garamond"/>
          <w:sz w:val="14"/>
          <w:szCs w:val="14"/>
          <w:lang w:val="en-GB"/>
        </w:rPr>
        <w:tab/>
      </w:r>
      <w:r w:rsidRPr="00D820E2">
        <w:rPr>
          <w:rFonts w:ascii="Garamond" w:hAnsi="Garamond"/>
          <w:szCs w:val="18"/>
          <w:lang w:val="en-GB"/>
        </w:rPr>
        <w:t>To compute the VaR-based general risk charge in the trading book, the traditional VaR is multiplied by ‘</w:t>
      </w:r>
      <w:r w:rsidRPr="00100BDF">
        <w:rPr>
          <w:rFonts w:ascii="Garamond" w:hAnsi="Garamond"/>
          <w:position w:val="-4"/>
          <w:szCs w:val="18"/>
          <w:lang w:val="en-GB"/>
        </w:rPr>
        <w:object w:dxaOrig="499" w:dyaOrig="200">
          <v:shape id="_x0000_i1808" type="#_x0000_t75" style="width:24.75pt;height:9.75pt" o:ole="">
            <v:imagedata r:id="rId65" o:title=""/>
          </v:shape>
          <o:OLEObject Type="Embed" ProgID="Equation.DSMT4" ShapeID="_x0000_i1808" DrawAspect="Content" ObjectID="_1324894410" r:id="rId66"/>
        </w:object>
      </w:r>
      <w:r w:rsidRPr="00D820E2">
        <w:rPr>
          <w:rFonts w:ascii="Garamond" w:hAnsi="Garamond"/>
          <w:szCs w:val="18"/>
          <w:lang w:val="en-GB"/>
        </w:rPr>
        <w:t>’ and the stressed VaR is multiplied by  ‘</w:t>
      </w:r>
      <w:r w:rsidRPr="00100BDF">
        <w:rPr>
          <w:rFonts w:ascii="Garamond" w:hAnsi="Garamond"/>
          <w:position w:val="-4"/>
          <w:szCs w:val="18"/>
          <w:lang w:val="en-GB"/>
        </w:rPr>
        <w:object w:dxaOrig="240" w:dyaOrig="200">
          <v:shape id="_x0000_i1809" type="#_x0000_t75" style="width:12pt;height:9.75pt" o:ole="">
            <v:imagedata r:id="rId67" o:title=""/>
          </v:shape>
          <o:OLEObject Type="Embed" ProgID="Equation.DSMT4" ShapeID="_x0000_i1809" DrawAspect="Content" ObjectID="_1324894411" r:id="rId68"/>
        </w:object>
      </w:r>
      <w:r w:rsidRPr="00D820E2">
        <w:rPr>
          <w:rFonts w:ascii="Garamond" w:hAnsi="Garamond"/>
          <w:szCs w:val="18"/>
          <w:lang w:val="en-GB"/>
        </w:rPr>
        <w:t xml:space="preserve">’ only. The value of </w:t>
      </w:r>
      <w:r w:rsidRPr="00100BDF">
        <w:rPr>
          <w:rFonts w:ascii="Garamond" w:hAnsi="Garamond"/>
          <w:position w:val="-4"/>
          <w:szCs w:val="18"/>
          <w:lang w:val="en-GB"/>
        </w:rPr>
        <w:object w:dxaOrig="240" w:dyaOrig="200">
          <v:shape id="_x0000_i1810" type="#_x0000_t75" style="width:12pt;height:9.75pt" o:ole="">
            <v:imagedata r:id="rId69" o:title=""/>
          </v:shape>
          <o:OLEObject Type="Embed" ProgID="Equation.DSMT4" ShapeID="_x0000_i1810" DrawAspect="Content" ObjectID="_1324894412" r:id="rId70"/>
        </w:object>
      </w:r>
      <w:r w:rsidRPr="00D820E2">
        <w:rPr>
          <w:rFonts w:ascii="Garamond" w:hAnsi="Garamond"/>
          <w:szCs w:val="18"/>
          <w:lang w:val="en-GB"/>
        </w:rPr>
        <w:t xml:space="preserve"> is set by the bank’s regulatory supervisor and is based on their assessment of the quality of the bank’s risk management system. The minimum value of </w:t>
      </w:r>
      <w:r w:rsidRPr="00100BDF">
        <w:rPr>
          <w:rFonts w:ascii="Garamond" w:hAnsi="Garamond"/>
          <w:position w:val="-4"/>
          <w:szCs w:val="18"/>
          <w:lang w:val="en-GB"/>
        </w:rPr>
        <w:object w:dxaOrig="240" w:dyaOrig="200">
          <v:shape id="_x0000_i1811" type="#_x0000_t75" style="width:12pt;height:9.75pt" o:ole="">
            <v:imagedata r:id="rId71" o:title=""/>
          </v:shape>
          <o:OLEObject Type="Embed" ProgID="Equation.DSMT4" ShapeID="_x0000_i1811" DrawAspect="Content" ObjectID="_1324894413" r:id="rId72"/>
        </w:object>
      </w:r>
      <w:r w:rsidRPr="00D820E2">
        <w:rPr>
          <w:rFonts w:ascii="Garamond" w:hAnsi="Garamond"/>
          <w:szCs w:val="18"/>
          <w:lang w:val="en-GB"/>
        </w:rPr>
        <w:t xml:space="preserve"> is equal to 3. The value of </w:t>
      </w:r>
      <w:r w:rsidRPr="00100BDF">
        <w:rPr>
          <w:rFonts w:ascii="Garamond" w:hAnsi="Garamond"/>
          <w:position w:val="-4"/>
          <w:szCs w:val="18"/>
          <w:lang w:val="en-GB"/>
        </w:rPr>
        <w:object w:dxaOrig="180" w:dyaOrig="200">
          <v:shape id="_x0000_i1812" type="#_x0000_t75" style="width:9pt;height:9.75pt" o:ole="">
            <v:imagedata r:id="rId73" o:title=""/>
          </v:shape>
          <o:OLEObject Type="Embed" ProgID="Equation.DSMT4" ShapeID="_x0000_i1812" DrawAspect="Content" ObjectID="_1324894414" r:id="rId74"/>
        </w:object>
      </w:r>
      <w:r w:rsidRPr="00D820E2">
        <w:rPr>
          <w:rFonts w:ascii="Garamond" w:hAnsi="Garamond"/>
          <w:szCs w:val="18"/>
          <w:lang w:val="en-GB"/>
        </w:rPr>
        <w:t xml:space="preserve"> is the result of the ex post backtesting performance of the bank’s VaR model and its value is set in the range 0 to 1.</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7E0DDE">
    <w:pPr>
      <w:pStyle w:val="Header"/>
      <w:jc w:val="center"/>
      <w:rPr>
        <w:rFonts w:ascii="Garamond" w:hAnsi="Garamond"/>
        <w:b/>
        <w:sz w:val="16"/>
        <w:szCs w:val="16"/>
        <w:lang w:val="en-US"/>
      </w:rPr>
    </w:pPr>
    <w:r>
      <w:rPr>
        <w:rFonts w:ascii="Garamond" w:hAnsi="Garamond"/>
        <w:b/>
        <w:sz w:val="16"/>
        <w:szCs w:val="16"/>
        <w:lang w:val="en-US"/>
      </w:rPr>
      <w:t>INTRODUCTION</w:t>
    </w:r>
  </w:p>
  <w:p w:rsidR="001C7C52" w:rsidRPr="007E0DDE" w:rsidRDefault="001C7C52" w:rsidP="007E0DDE">
    <w:pPr>
      <w:pStyle w:val="Header"/>
      <w:jc w:val="center"/>
      <w:rPr>
        <w:rFonts w:ascii="Garamond" w:hAnsi="Garamond"/>
        <w:szCs w:val="2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C71674">
    <w:pPr>
      <w:pStyle w:val="Header"/>
      <w:jc w:val="center"/>
      <w:rPr>
        <w:rFonts w:ascii="Garamond" w:hAnsi="Garamond"/>
        <w:b/>
        <w:sz w:val="16"/>
        <w:szCs w:val="16"/>
        <w:lang w:val="en-US"/>
      </w:rPr>
    </w:pPr>
    <w:r w:rsidRPr="008E4D02">
      <w:rPr>
        <w:rFonts w:ascii="Garamond" w:hAnsi="Garamond"/>
        <w:b/>
        <w:sz w:val="16"/>
        <w:szCs w:val="16"/>
        <w:lang w:val="en-US"/>
      </w:rPr>
      <w:t>THE INCREMENTAL RISK MODEL</w:t>
    </w:r>
  </w:p>
  <w:p w:rsidR="001C7C52" w:rsidRPr="00FA6A9F" w:rsidRDefault="001C7C52" w:rsidP="00C71674">
    <w:pPr>
      <w:pStyle w:val="Header"/>
      <w:rPr>
        <w:szCs w:val="2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D8319E" w:rsidRDefault="001C7C52" w:rsidP="00D8319E">
    <w:pPr>
      <w:pStyle w:val="Header"/>
      <w:rPr>
        <w:szCs w:val="2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Pr>
        <w:rFonts w:ascii="Garamond" w:hAnsi="Garamond"/>
        <w:b/>
        <w:sz w:val="16"/>
        <w:szCs w:val="16"/>
        <w:lang w:val="en-US"/>
      </w:rPr>
      <w:t>PART I: MODEL CONSTRUCTION</w:t>
    </w:r>
  </w:p>
  <w:p w:rsidR="001C7C52" w:rsidRPr="00FA6A9F" w:rsidRDefault="001C7C52" w:rsidP="008117DE">
    <w:pPr>
      <w:pStyle w:val="Header"/>
      <w:rPr>
        <w:szCs w:val="2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sidRPr="008E4D02">
      <w:rPr>
        <w:rFonts w:ascii="Garamond" w:hAnsi="Garamond"/>
        <w:b/>
        <w:sz w:val="16"/>
        <w:szCs w:val="16"/>
        <w:lang w:val="en-US"/>
      </w:rPr>
      <w:t>THE INCREMENTAL RISK MODEL</w:t>
    </w:r>
  </w:p>
  <w:p w:rsidR="001C7C52" w:rsidRPr="00FA6A9F" w:rsidRDefault="001C7C52" w:rsidP="008117DE">
    <w:pPr>
      <w:pStyle w:val="Header"/>
      <w:rPr>
        <w:szCs w:val="2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B13AC" w:rsidRDefault="001C7C52" w:rsidP="008B13AC">
    <w:pPr>
      <w:pStyle w:val="Header"/>
      <w:rPr>
        <w:szCs w:val="2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Pr>
        <w:rFonts w:ascii="Garamond" w:hAnsi="Garamond"/>
        <w:b/>
        <w:sz w:val="16"/>
        <w:szCs w:val="16"/>
        <w:lang w:val="en-US"/>
      </w:rPr>
      <w:t>PART II: INPUT ESTIMATION</w:t>
    </w:r>
  </w:p>
  <w:p w:rsidR="001C7C52" w:rsidRPr="00FA6A9F" w:rsidRDefault="001C7C52" w:rsidP="008117DE">
    <w:pPr>
      <w:pStyle w:val="Header"/>
      <w:rPr>
        <w:szCs w:val="2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sidRPr="008E4D02">
      <w:rPr>
        <w:rFonts w:ascii="Garamond" w:hAnsi="Garamond"/>
        <w:b/>
        <w:sz w:val="16"/>
        <w:szCs w:val="16"/>
        <w:lang w:val="en-US"/>
      </w:rPr>
      <w:t>THE INCREMENTAL RISK MODEL</w:t>
    </w:r>
  </w:p>
  <w:p w:rsidR="001C7C52" w:rsidRPr="00FA6A9F" w:rsidRDefault="001C7C52" w:rsidP="008117DE">
    <w:pPr>
      <w:pStyle w:val="Header"/>
      <w:rPr>
        <w:szCs w:val="2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Pr>
        <w:rFonts w:ascii="Garamond" w:hAnsi="Garamond"/>
        <w:b/>
        <w:sz w:val="16"/>
        <w:szCs w:val="16"/>
        <w:lang w:val="en-US"/>
      </w:rPr>
      <w:t>PART III: MODEL ASSESSMENT</w:t>
    </w:r>
  </w:p>
  <w:p w:rsidR="001C7C52" w:rsidRPr="00FA6A9F" w:rsidRDefault="001C7C52" w:rsidP="008117DE">
    <w:pPr>
      <w:pStyle w:val="Header"/>
      <w:rPr>
        <w:szCs w:val="2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Pr>
        <w:rFonts w:ascii="Garamond" w:hAnsi="Garamond"/>
        <w:b/>
        <w:sz w:val="16"/>
        <w:szCs w:val="16"/>
        <w:lang w:val="en-US"/>
      </w:rPr>
      <w:t>CONCLUSIONS</w:t>
    </w:r>
  </w:p>
  <w:p w:rsidR="001C7C52" w:rsidRPr="00FA6A9F" w:rsidRDefault="001C7C52" w:rsidP="008117DE">
    <w:pPr>
      <w:pStyle w:val="Header"/>
      <w:rPr>
        <w:szCs w:val="2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sidRPr="008E4D02">
      <w:rPr>
        <w:rFonts w:ascii="Garamond" w:hAnsi="Garamond"/>
        <w:b/>
        <w:sz w:val="16"/>
        <w:szCs w:val="16"/>
        <w:lang w:val="en-US"/>
      </w:rPr>
      <w:t>THE INCREMENTAL RISK MODEL</w:t>
    </w:r>
  </w:p>
  <w:p w:rsidR="001C7C52" w:rsidRPr="00FA6A9F" w:rsidRDefault="001C7C52" w:rsidP="008117DE">
    <w:pPr>
      <w:pStyle w:val="Header"/>
      <w:rPr>
        <w:szCs w:val="2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B13AC" w:rsidRDefault="001C7C52" w:rsidP="008B13AC">
    <w:pPr>
      <w:pStyle w:val="Header"/>
      <w:rPr>
        <w:szCs w:val="2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Pr>
        <w:rFonts w:ascii="Garamond" w:hAnsi="Garamond"/>
        <w:b/>
        <w:sz w:val="16"/>
        <w:szCs w:val="16"/>
        <w:lang w:val="en-US"/>
      </w:rPr>
      <w:t>APPENDICES</w:t>
    </w:r>
  </w:p>
  <w:p w:rsidR="001C7C52" w:rsidRPr="00FA6A9F" w:rsidRDefault="001C7C52" w:rsidP="008117DE">
    <w:pPr>
      <w:pStyle w:val="Header"/>
      <w:rPr>
        <w:szCs w:val="2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sidRPr="008E4D02">
      <w:rPr>
        <w:rFonts w:ascii="Garamond" w:hAnsi="Garamond"/>
        <w:b/>
        <w:sz w:val="16"/>
        <w:szCs w:val="16"/>
        <w:lang w:val="en-US"/>
      </w:rPr>
      <w:t>THE INCREMENTAL RISK MODEL</w:t>
    </w:r>
  </w:p>
  <w:p w:rsidR="001C7C52" w:rsidRPr="00FA6A9F" w:rsidRDefault="001C7C52" w:rsidP="008117DE">
    <w:pPr>
      <w:pStyle w:val="Header"/>
      <w:rPr>
        <w:szCs w:val="2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B13AC" w:rsidRDefault="001C7C52" w:rsidP="008B13AC">
    <w:pPr>
      <w:pStyle w:val="Header"/>
      <w:rPr>
        <w:szCs w:val="2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Pr>
        <w:rFonts w:ascii="Garamond" w:hAnsi="Garamond"/>
        <w:b/>
        <w:sz w:val="16"/>
        <w:szCs w:val="16"/>
        <w:lang w:val="en-US"/>
      </w:rPr>
      <w:t>REFERENCES</w:t>
    </w:r>
  </w:p>
  <w:p w:rsidR="001C7C52" w:rsidRPr="00FA6A9F" w:rsidRDefault="001C7C52" w:rsidP="008117DE">
    <w:pPr>
      <w:pStyle w:val="Header"/>
      <w:rPr>
        <w:szCs w:val="2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E4D02" w:rsidRDefault="001C7C52" w:rsidP="008117DE">
    <w:pPr>
      <w:pStyle w:val="Header"/>
      <w:jc w:val="center"/>
      <w:rPr>
        <w:rFonts w:ascii="Garamond" w:hAnsi="Garamond"/>
        <w:b/>
        <w:sz w:val="16"/>
        <w:szCs w:val="16"/>
        <w:lang w:val="en-US"/>
      </w:rPr>
    </w:pPr>
    <w:r w:rsidRPr="008E4D02">
      <w:rPr>
        <w:rFonts w:ascii="Garamond" w:hAnsi="Garamond"/>
        <w:b/>
        <w:sz w:val="16"/>
        <w:szCs w:val="16"/>
        <w:lang w:val="en-US"/>
      </w:rPr>
      <w:t>THE INCREMENTAL RISK MODEL</w:t>
    </w:r>
  </w:p>
  <w:p w:rsidR="001C7C52" w:rsidRPr="00FA6A9F" w:rsidRDefault="001C7C52" w:rsidP="008117DE">
    <w:pPr>
      <w:pStyle w:val="Header"/>
      <w:rPr>
        <w:szCs w:val="2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B13AC" w:rsidRDefault="001C7C52" w:rsidP="008B13AC">
    <w:pPr>
      <w:pStyle w:val="Header"/>
      <w:rPr>
        <w:szCs w:val="2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FA6A9F" w:rsidRDefault="001C7C52" w:rsidP="008117DE">
    <w:pPr>
      <w:pStyle w:val="Header"/>
      <w:rPr>
        <w:szCs w:val="2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FA6A9F" w:rsidRDefault="001C7C52" w:rsidP="008117DE">
    <w:pPr>
      <w:pStyle w:val="Header"/>
      <w:rPr>
        <w:szCs w:val="2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C52" w:rsidRPr="008B13AC" w:rsidRDefault="001C7C52" w:rsidP="008B13AC">
    <w:pPr>
      <w:pStyle w:val="Header"/>
      <w:rPr>
        <w:szCs w:val="2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4C8C24C2"/>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BDE0F234"/>
    <w:lvl w:ilvl="0">
      <w:start w:val="1"/>
      <w:numFmt w:val="bullet"/>
      <w:lvlText w:val=""/>
      <w:lvlJc w:val="left"/>
      <w:pPr>
        <w:tabs>
          <w:tab w:val="num" w:pos="643"/>
        </w:tabs>
        <w:ind w:left="643" w:hanging="360"/>
      </w:pPr>
      <w:rPr>
        <w:rFonts w:ascii="Symbol" w:hAnsi="Symbol" w:hint="default"/>
      </w:rPr>
    </w:lvl>
  </w:abstractNum>
  <w:abstractNum w:abstractNumId="2">
    <w:nsid w:val="FFFFFF88"/>
    <w:multiLevelType w:val="singleLevel"/>
    <w:tmpl w:val="71DC92F4"/>
    <w:lvl w:ilvl="0">
      <w:start w:val="1"/>
      <w:numFmt w:val="decimal"/>
      <w:lvlText w:val="%1."/>
      <w:lvlJc w:val="left"/>
      <w:pPr>
        <w:tabs>
          <w:tab w:val="num" w:pos="360"/>
        </w:tabs>
        <w:ind w:left="360" w:hanging="360"/>
      </w:pPr>
      <w:rPr>
        <w:rFonts w:cs="Times New Roman"/>
      </w:rPr>
    </w:lvl>
  </w:abstractNum>
  <w:abstractNum w:abstractNumId="3">
    <w:nsid w:val="FFFFFF89"/>
    <w:multiLevelType w:val="singleLevel"/>
    <w:tmpl w:val="4D08A250"/>
    <w:lvl w:ilvl="0">
      <w:start w:val="1"/>
      <w:numFmt w:val="bullet"/>
      <w:lvlText w:val=""/>
      <w:lvlJc w:val="left"/>
      <w:pPr>
        <w:tabs>
          <w:tab w:val="num" w:pos="360"/>
        </w:tabs>
        <w:ind w:left="360" w:hanging="360"/>
      </w:pPr>
      <w:rPr>
        <w:rFonts w:ascii="Symbol" w:hAnsi="Symbol" w:hint="default"/>
      </w:rPr>
    </w:lvl>
  </w:abstractNum>
  <w:abstractNum w:abstractNumId="4">
    <w:nsid w:val="FFFFFFFB"/>
    <w:multiLevelType w:val="multilevel"/>
    <w:tmpl w:val="4B545904"/>
    <w:lvl w:ilvl="0">
      <w:start w:val="1"/>
      <w:numFmt w:val="decimal"/>
      <w:pStyle w:val="Heading1"/>
      <w:lvlText w:val="%1"/>
      <w:lvlJc w:val="left"/>
      <w:pPr>
        <w:tabs>
          <w:tab w:val="num" w:pos="720"/>
        </w:tabs>
        <w:ind w:left="720" w:hanging="720"/>
      </w:pPr>
      <w:rPr>
        <w:rFonts w:ascii="EYInterstate Light" w:hAnsi="EYInterstate Light" w:cs="Times New Roman" w:hint="default"/>
        <w:b/>
        <w:i w:val="0"/>
        <w:sz w:val="28"/>
      </w:rPr>
    </w:lvl>
    <w:lvl w:ilvl="1">
      <w:start w:val="1"/>
      <w:numFmt w:val="decimal"/>
      <w:pStyle w:val="Heading2"/>
      <w:lvlText w:val="%1.%2"/>
      <w:lvlJc w:val="left"/>
      <w:pPr>
        <w:tabs>
          <w:tab w:val="num" w:pos="720"/>
        </w:tabs>
        <w:ind w:left="720" w:hanging="720"/>
      </w:pPr>
      <w:rPr>
        <w:rFonts w:ascii="EYInterstate Light" w:hAnsi="EYInterstate Light" w:cs="Times New Roman" w:hint="default"/>
        <w:b/>
        <w:i w:val="0"/>
        <w:sz w:val="26"/>
      </w:rPr>
    </w:lvl>
    <w:lvl w:ilvl="2">
      <w:start w:val="1"/>
      <w:numFmt w:val="decimal"/>
      <w:pStyle w:val="Heading3"/>
      <w:lvlText w:val="%1.%2.%3"/>
      <w:lvlJc w:val="left"/>
      <w:pPr>
        <w:tabs>
          <w:tab w:val="num" w:pos="720"/>
        </w:tabs>
        <w:ind w:left="720" w:hanging="720"/>
      </w:pPr>
      <w:rPr>
        <w:rFonts w:ascii="EYInterstate Light" w:hAnsi="EYInterstate Light" w:cs="Times New Roman" w:hint="default"/>
        <w:b/>
        <w:i w:val="0"/>
        <w:sz w:val="24"/>
      </w:rPr>
    </w:lvl>
    <w:lvl w:ilvl="3">
      <w:start w:val="1"/>
      <w:numFmt w:val="decimal"/>
      <w:pStyle w:val="Heading4"/>
      <w:suff w:val="nothing"/>
      <w:lvlText w:val="%1.%2.%3.%4"/>
      <w:lvlJc w:val="left"/>
      <w:pPr>
        <w:tabs>
          <w:tab w:val="num" w:pos="720"/>
        </w:tabs>
        <w:ind w:left="720" w:hanging="720"/>
      </w:pPr>
      <w:rPr>
        <w:rFonts w:ascii="EYInterstate Light" w:hAnsi="EYInterstate Light" w:cs="Times New Roman" w:hint="default"/>
        <w:b/>
        <w:i w:val="0"/>
        <w:sz w:val="22"/>
      </w:rPr>
    </w:lvl>
    <w:lvl w:ilvl="4">
      <w:start w:val="1"/>
      <w:numFmt w:val="decimal"/>
      <w:pStyle w:val="Heading5"/>
      <w:lvlText w:val="(%5)"/>
      <w:lvlJc w:val="left"/>
      <w:pPr>
        <w:tabs>
          <w:tab w:val="num" w:pos="0"/>
        </w:tabs>
        <w:ind w:left="3576" w:hanging="708"/>
      </w:pPr>
      <w:rPr>
        <w:rFonts w:cs="Times New Roman" w:hint="default"/>
      </w:rPr>
    </w:lvl>
    <w:lvl w:ilvl="5">
      <w:start w:val="1"/>
      <w:numFmt w:val="lowerLetter"/>
      <w:pStyle w:val="Heading6"/>
      <w:lvlText w:val="(%6)"/>
      <w:lvlJc w:val="left"/>
      <w:pPr>
        <w:tabs>
          <w:tab w:val="num" w:pos="0"/>
        </w:tabs>
        <w:ind w:left="4284" w:hanging="708"/>
      </w:pPr>
      <w:rPr>
        <w:rFonts w:cs="Times New Roman" w:hint="default"/>
      </w:rPr>
    </w:lvl>
    <w:lvl w:ilvl="6">
      <w:start w:val="1"/>
      <w:numFmt w:val="lowerRoman"/>
      <w:pStyle w:val="Heading7"/>
      <w:lvlText w:val="(%7)"/>
      <w:lvlJc w:val="left"/>
      <w:pPr>
        <w:tabs>
          <w:tab w:val="num" w:pos="0"/>
        </w:tabs>
        <w:ind w:left="4992" w:hanging="708"/>
      </w:pPr>
      <w:rPr>
        <w:rFonts w:cs="Times New Roman" w:hint="default"/>
      </w:rPr>
    </w:lvl>
    <w:lvl w:ilvl="7">
      <w:start w:val="1"/>
      <w:numFmt w:val="lowerLetter"/>
      <w:pStyle w:val="Heading8"/>
      <w:lvlText w:val="(%8)"/>
      <w:lvlJc w:val="left"/>
      <w:pPr>
        <w:tabs>
          <w:tab w:val="num" w:pos="0"/>
        </w:tabs>
        <w:ind w:left="5700" w:hanging="708"/>
      </w:pPr>
      <w:rPr>
        <w:rFonts w:cs="Times New Roman" w:hint="default"/>
      </w:rPr>
    </w:lvl>
    <w:lvl w:ilvl="8">
      <w:start w:val="1"/>
      <w:numFmt w:val="lowerRoman"/>
      <w:pStyle w:val="Heading9"/>
      <w:lvlText w:val="(%9)"/>
      <w:lvlJc w:val="left"/>
      <w:pPr>
        <w:tabs>
          <w:tab w:val="num" w:pos="0"/>
        </w:tabs>
        <w:ind w:left="6408" w:hanging="708"/>
      </w:pPr>
      <w:rPr>
        <w:rFonts w:cs="Times New Roman" w:hint="default"/>
      </w:rPr>
    </w:lvl>
  </w:abstractNum>
  <w:abstractNum w:abstractNumId="5">
    <w:nsid w:val="1EE2040C"/>
    <w:multiLevelType w:val="multilevel"/>
    <w:tmpl w:val="FCC0E8D0"/>
    <w:lvl w:ilvl="0">
      <w:start w:val="3"/>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23D60A32"/>
    <w:multiLevelType w:val="multilevel"/>
    <w:tmpl w:val="11949ABE"/>
    <w:lvl w:ilvl="0">
      <w:start w:val="2"/>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nsid w:val="4B9848A5"/>
    <w:multiLevelType w:val="hybridMultilevel"/>
    <w:tmpl w:val="D6ECC878"/>
    <w:lvl w:ilvl="0" w:tplc="0830816A">
      <w:start w:val="1"/>
      <w:numFmt w:val="decimal"/>
      <w:lvlText w:val="%1."/>
      <w:lvlJc w:val="left"/>
      <w:pPr>
        <w:ind w:left="720" w:hanging="360"/>
      </w:pPr>
      <w:rPr>
        <w:rFonts w:cs="Times New Roman" w:hint="default"/>
        <w:i w:val="0"/>
        <w:sz w:val="22"/>
        <w:szCs w:val="22"/>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8">
    <w:nsid w:val="53E70DE3"/>
    <w:multiLevelType w:val="hybridMultilevel"/>
    <w:tmpl w:val="1CB25D30"/>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61F70228"/>
    <w:multiLevelType w:val="multilevel"/>
    <w:tmpl w:val="D786C49A"/>
    <w:lvl w:ilvl="0">
      <w:start w:val="1"/>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b/>
      </w:rPr>
    </w:lvl>
    <w:lvl w:ilvl="2">
      <w:start w:val="1"/>
      <w:numFmt w:val="decimal"/>
      <w:lvlText w:val="%1.%2.%3"/>
      <w:lvlJc w:val="left"/>
      <w:pPr>
        <w:tabs>
          <w:tab w:val="num" w:pos="720"/>
        </w:tabs>
        <w:ind w:left="720" w:hanging="720"/>
      </w:pPr>
      <w:rPr>
        <w:rFonts w:cs="Times New Roman" w:hint="default"/>
        <w:i w:val="0"/>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
    <w:nsid w:val="6FE43D1F"/>
    <w:multiLevelType w:val="hybridMultilevel"/>
    <w:tmpl w:val="F58C96F4"/>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1">
    <w:nsid w:val="78A53491"/>
    <w:multiLevelType w:val="hybridMultilevel"/>
    <w:tmpl w:val="BC6C112A"/>
    <w:lvl w:ilvl="0" w:tplc="0413000F">
      <w:start w:val="1"/>
      <w:numFmt w:val="decimal"/>
      <w:lvlText w:val="%1."/>
      <w:lvlJc w:val="left"/>
      <w:pPr>
        <w:tabs>
          <w:tab w:val="num" w:pos="720"/>
        </w:tabs>
        <w:ind w:left="720" w:hanging="360"/>
      </w:pPr>
      <w:rPr>
        <w:rFonts w:cs="Times New Roman" w:hint="default"/>
      </w:rPr>
    </w:lvl>
    <w:lvl w:ilvl="1" w:tplc="04130019">
      <w:start w:val="1"/>
      <w:numFmt w:val="lowerLetter"/>
      <w:lvlText w:val="%2."/>
      <w:lvlJc w:val="left"/>
      <w:pPr>
        <w:tabs>
          <w:tab w:val="num" w:pos="1440"/>
        </w:tabs>
        <w:ind w:left="1440" w:hanging="360"/>
      </w:pPr>
      <w:rPr>
        <w:rFonts w:cs="Times New Roman"/>
      </w:rPr>
    </w:lvl>
    <w:lvl w:ilvl="2" w:tplc="F1BC789C">
      <w:numFmt w:val="bullet"/>
      <w:lvlText w:val="-"/>
      <w:lvlJc w:val="left"/>
      <w:pPr>
        <w:tabs>
          <w:tab w:val="num" w:pos="2340"/>
        </w:tabs>
        <w:ind w:left="2340" w:hanging="360"/>
      </w:pPr>
      <w:rPr>
        <w:rFonts w:ascii="Garamond" w:eastAsia="Times New Roman" w:hAnsi="Garamond" w:hint="default"/>
      </w:rPr>
    </w:lvl>
    <w:lvl w:ilvl="3" w:tplc="0413000F">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1"/>
  </w:num>
  <w:num w:numId="3">
    <w:abstractNumId w:val="0"/>
  </w:num>
  <w:num w:numId="4">
    <w:abstractNumId w:val="2"/>
  </w:num>
  <w:num w:numId="5">
    <w:abstractNumId w:val="3"/>
  </w:num>
  <w:num w:numId="6">
    <w:abstractNumId w:val="1"/>
  </w:num>
  <w:num w:numId="7">
    <w:abstractNumId w:val="0"/>
  </w:num>
  <w:num w:numId="8">
    <w:abstractNumId w:val="2"/>
  </w:num>
  <w:num w:numId="9">
    <w:abstractNumId w:val="4"/>
  </w:num>
  <w:num w:numId="10">
    <w:abstractNumId w:val="9"/>
  </w:num>
  <w:num w:numId="11">
    <w:abstractNumId w:val="6"/>
  </w:num>
  <w:num w:numId="12">
    <w:abstractNumId w:val="5"/>
  </w:num>
  <w:num w:numId="13">
    <w:abstractNumId w:val="11"/>
  </w:num>
  <w:num w:numId="14">
    <w:abstractNumId w:val="10"/>
  </w:num>
  <w:num w:numId="15">
    <w:abstractNumId w:val="7"/>
  </w:num>
  <w:num w:numId="16">
    <w:abstractNumId w:val="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567"/>
  <w:hyphenationZone w:val="425"/>
  <w:evenAndOddHeaders/>
  <w:drawingGridHorizontalSpacing w:val="110"/>
  <w:displayHorizontalDrawingGridEvery w:val="2"/>
  <w:characterSpacingControl w:val="doNotCompress"/>
  <w:hdrShapeDefaults>
    <o:shapedefaults v:ext="edit" spidmax="2058"/>
    <o:shapelayout v:ext="edit">
      <o:idmap v:ext="edit" data="2"/>
    </o:shapelayout>
  </w:hdrShapeDefaults>
  <w:footnotePr>
    <w:numFmt w:val="chicago"/>
    <w:footnote w:id="0"/>
    <w:footnote w:id="1"/>
    <w:footnote w:id="2"/>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B318E"/>
    <w:rsid w:val="00000479"/>
    <w:rsid w:val="000009F9"/>
    <w:rsid w:val="000016E2"/>
    <w:rsid w:val="00001EAE"/>
    <w:rsid w:val="00001EB0"/>
    <w:rsid w:val="00006AAF"/>
    <w:rsid w:val="0001062D"/>
    <w:rsid w:val="00010AAE"/>
    <w:rsid w:val="00011636"/>
    <w:rsid w:val="0001230F"/>
    <w:rsid w:val="0001291E"/>
    <w:rsid w:val="00012A4A"/>
    <w:rsid w:val="000149AF"/>
    <w:rsid w:val="000171C2"/>
    <w:rsid w:val="00017255"/>
    <w:rsid w:val="000173C1"/>
    <w:rsid w:val="000201B8"/>
    <w:rsid w:val="0002059D"/>
    <w:rsid w:val="00020635"/>
    <w:rsid w:val="00022266"/>
    <w:rsid w:val="000230B1"/>
    <w:rsid w:val="00023723"/>
    <w:rsid w:val="0002684C"/>
    <w:rsid w:val="00030E22"/>
    <w:rsid w:val="00030FD9"/>
    <w:rsid w:val="00031170"/>
    <w:rsid w:val="0003130C"/>
    <w:rsid w:val="00031AD7"/>
    <w:rsid w:val="00031B7F"/>
    <w:rsid w:val="0003216F"/>
    <w:rsid w:val="000328E0"/>
    <w:rsid w:val="00032DCC"/>
    <w:rsid w:val="0003368B"/>
    <w:rsid w:val="000356C6"/>
    <w:rsid w:val="00035A66"/>
    <w:rsid w:val="00036205"/>
    <w:rsid w:val="0003725F"/>
    <w:rsid w:val="00037CA3"/>
    <w:rsid w:val="000404A3"/>
    <w:rsid w:val="00040599"/>
    <w:rsid w:val="00045358"/>
    <w:rsid w:val="00045665"/>
    <w:rsid w:val="00045B70"/>
    <w:rsid w:val="000467BB"/>
    <w:rsid w:val="00046B1F"/>
    <w:rsid w:val="00046C00"/>
    <w:rsid w:val="000476FD"/>
    <w:rsid w:val="00050045"/>
    <w:rsid w:val="00050C91"/>
    <w:rsid w:val="00050E53"/>
    <w:rsid w:val="000514F1"/>
    <w:rsid w:val="0005231F"/>
    <w:rsid w:val="00052BDB"/>
    <w:rsid w:val="00053BAB"/>
    <w:rsid w:val="00054331"/>
    <w:rsid w:val="00054C97"/>
    <w:rsid w:val="00055123"/>
    <w:rsid w:val="00056904"/>
    <w:rsid w:val="000570FD"/>
    <w:rsid w:val="000573BA"/>
    <w:rsid w:val="000602B0"/>
    <w:rsid w:val="000616B9"/>
    <w:rsid w:val="000616D5"/>
    <w:rsid w:val="00061894"/>
    <w:rsid w:val="00062C0D"/>
    <w:rsid w:val="00062E89"/>
    <w:rsid w:val="00063949"/>
    <w:rsid w:val="00066127"/>
    <w:rsid w:val="000666E3"/>
    <w:rsid w:val="000675CA"/>
    <w:rsid w:val="00070E5A"/>
    <w:rsid w:val="00072B27"/>
    <w:rsid w:val="000739CA"/>
    <w:rsid w:val="00073BFE"/>
    <w:rsid w:val="0007400D"/>
    <w:rsid w:val="00074222"/>
    <w:rsid w:val="00074E10"/>
    <w:rsid w:val="00076A46"/>
    <w:rsid w:val="0007771B"/>
    <w:rsid w:val="00080F41"/>
    <w:rsid w:val="000818DE"/>
    <w:rsid w:val="00081AC6"/>
    <w:rsid w:val="0008218B"/>
    <w:rsid w:val="000830C2"/>
    <w:rsid w:val="00084638"/>
    <w:rsid w:val="00084F6E"/>
    <w:rsid w:val="00085813"/>
    <w:rsid w:val="00085C20"/>
    <w:rsid w:val="00085DDA"/>
    <w:rsid w:val="000861DC"/>
    <w:rsid w:val="00086AA4"/>
    <w:rsid w:val="0008710E"/>
    <w:rsid w:val="00087874"/>
    <w:rsid w:val="00087CC2"/>
    <w:rsid w:val="000905BB"/>
    <w:rsid w:val="0009142B"/>
    <w:rsid w:val="00091EF9"/>
    <w:rsid w:val="00092288"/>
    <w:rsid w:val="000929D0"/>
    <w:rsid w:val="00092B10"/>
    <w:rsid w:val="000966A1"/>
    <w:rsid w:val="00097134"/>
    <w:rsid w:val="000977E9"/>
    <w:rsid w:val="000A0249"/>
    <w:rsid w:val="000A093F"/>
    <w:rsid w:val="000A0A2D"/>
    <w:rsid w:val="000A300D"/>
    <w:rsid w:val="000A34C4"/>
    <w:rsid w:val="000A3C89"/>
    <w:rsid w:val="000A49A1"/>
    <w:rsid w:val="000A5350"/>
    <w:rsid w:val="000A577B"/>
    <w:rsid w:val="000A583A"/>
    <w:rsid w:val="000A5E6F"/>
    <w:rsid w:val="000A5FD9"/>
    <w:rsid w:val="000A7969"/>
    <w:rsid w:val="000A7CD6"/>
    <w:rsid w:val="000B091A"/>
    <w:rsid w:val="000B0ADE"/>
    <w:rsid w:val="000B181A"/>
    <w:rsid w:val="000B21BC"/>
    <w:rsid w:val="000B230C"/>
    <w:rsid w:val="000B2569"/>
    <w:rsid w:val="000B2BC6"/>
    <w:rsid w:val="000B3A0B"/>
    <w:rsid w:val="000B4128"/>
    <w:rsid w:val="000B5EEB"/>
    <w:rsid w:val="000B6D59"/>
    <w:rsid w:val="000B7A53"/>
    <w:rsid w:val="000B7B12"/>
    <w:rsid w:val="000B7F03"/>
    <w:rsid w:val="000C0240"/>
    <w:rsid w:val="000C1F1F"/>
    <w:rsid w:val="000C27C0"/>
    <w:rsid w:val="000C2F71"/>
    <w:rsid w:val="000C30B2"/>
    <w:rsid w:val="000C381B"/>
    <w:rsid w:val="000C4E1E"/>
    <w:rsid w:val="000C5878"/>
    <w:rsid w:val="000C5B48"/>
    <w:rsid w:val="000C6FE8"/>
    <w:rsid w:val="000D10AA"/>
    <w:rsid w:val="000D26B9"/>
    <w:rsid w:val="000D2D2D"/>
    <w:rsid w:val="000D339A"/>
    <w:rsid w:val="000D487F"/>
    <w:rsid w:val="000D7E17"/>
    <w:rsid w:val="000D7E33"/>
    <w:rsid w:val="000E0075"/>
    <w:rsid w:val="000E0CD3"/>
    <w:rsid w:val="000E1A2A"/>
    <w:rsid w:val="000E2B8F"/>
    <w:rsid w:val="000E37FF"/>
    <w:rsid w:val="000E4DD9"/>
    <w:rsid w:val="000E5638"/>
    <w:rsid w:val="000E5B5A"/>
    <w:rsid w:val="000E5EEF"/>
    <w:rsid w:val="000E6612"/>
    <w:rsid w:val="000E765E"/>
    <w:rsid w:val="000E77F3"/>
    <w:rsid w:val="000E7CE5"/>
    <w:rsid w:val="000F01B7"/>
    <w:rsid w:val="000F22EF"/>
    <w:rsid w:val="000F2F3B"/>
    <w:rsid w:val="000F3A15"/>
    <w:rsid w:val="000F42D7"/>
    <w:rsid w:val="000F5A66"/>
    <w:rsid w:val="000F6355"/>
    <w:rsid w:val="000F6F5E"/>
    <w:rsid w:val="000F7447"/>
    <w:rsid w:val="000F79F2"/>
    <w:rsid w:val="000F7D0B"/>
    <w:rsid w:val="00100A15"/>
    <w:rsid w:val="00100BDF"/>
    <w:rsid w:val="001019BE"/>
    <w:rsid w:val="00101AB0"/>
    <w:rsid w:val="001029D8"/>
    <w:rsid w:val="0010344C"/>
    <w:rsid w:val="001034B7"/>
    <w:rsid w:val="00103DA8"/>
    <w:rsid w:val="0010526B"/>
    <w:rsid w:val="00105AEB"/>
    <w:rsid w:val="0010611B"/>
    <w:rsid w:val="0010776C"/>
    <w:rsid w:val="00111034"/>
    <w:rsid w:val="00111DFF"/>
    <w:rsid w:val="00113776"/>
    <w:rsid w:val="0011465A"/>
    <w:rsid w:val="00117A2D"/>
    <w:rsid w:val="00120C6C"/>
    <w:rsid w:val="00121402"/>
    <w:rsid w:val="00121F1E"/>
    <w:rsid w:val="00122D4A"/>
    <w:rsid w:val="00123343"/>
    <w:rsid w:val="0012336E"/>
    <w:rsid w:val="00126A10"/>
    <w:rsid w:val="00126FE2"/>
    <w:rsid w:val="00131FB0"/>
    <w:rsid w:val="001341EA"/>
    <w:rsid w:val="00134742"/>
    <w:rsid w:val="0013598E"/>
    <w:rsid w:val="0013799C"/>
    <w:rsid w:val="00137C94"/>
    <w:rsid w:val="00137E35"/>
    <w:rsid w:val="0014068D"/>
    <w:rsid w:val="00140BEF"/>
    <w:rsid w:val="00140E8E"/>
    <w:rsid w:val="001412A9"/>
    <w:rsid w:val="00141A5B"/>
    <w:rsid w:val="00143346"/>
    <w:rsid w:val="001446ED"/>
    <w:rsid w:val="00144785"/>
    <w:rsid w:val="00146772"/>
    <w:rsid w:val="00146C2A"/>
    <w:rsid w:val="00146CE9"/>
    <w:rsid w:val="00146D48"/>
    <w:rsid w:val="001477D6"/>
    <w:rsid w:val="00147B13"/>
    <w:rsid w:val="00150088"/>
    <w:rsid w:val="00153D6D"/>
    <w:rsid w:val="00153E06"/>
    <w:rsid w:val="00155F0F"/>
    <w:rsid w:val="0015657B"/>
    <w:rsid w:val="001568FB"/>
    <w:rsid w:val="00157696"/>
    <w:rsid w:val="001579C8"/>
    <w:rsid w:val="00157D0D"/>
    <w:rsid w:val="001611B6"/>
    <w:rsid w:val="0016233E"/>
    <w:rsid w:val="00162423"/>
    <w:rsid w:val="00163382"/>
    <w:rsid w:val="0016378B"/>
    <w:rsid w:val="00165E78"/>
    <w:rsid w:val="001661C7"/>
    <w:rsid w:val="00166D0B"/>
    <w:rsid w:val="001677FE"/>
    <w:rsid w:val="00170014"/>
    <w:rsid w:val="00174224"/>
    <w:rsid w:val="001767EA"/>
    <w:rsid w:val="00177352"/>
    <w:rsid w:val="0018144A"/>
    <w:rsid w:val="0018151F"/>
    <w:rsid w:val="00181947"/>
    <w:rsid w:val="00182F4A"/>
    <w:rsid w:val="0018300A"/>
    <w:rsid w:val="00184F66"/>
    <w:rsid w:val="001851F4"/>
    <w:rsid w:val="00185F58"/>
    <w:rsid w:val="0018679B"/>
    <w:rsid w:val="0018749B"/>
    <w:rsid w:val="00192E72"/>
    <w:rsid w:val="00193230"/>
    <w:rsid w:val="00195F11"/>
    <w:rsid w:val="001967FF"/>
    <w:rsid w:val="00196CA2"/>
    <w:rsid w:val="001A0332"/>
    <w:rsid w:val="001A0379"/>
    <w:rsid w:val="001A0843"/>
    <w:rsid w:val="001A0A8F"/>
    <w:rsid w:val="001A2557"/>
    <w:rsid w:val="001A3F12"/>
    <w:rsid w:val="001A4366"/>
    <w:rsid w:val="001A4571"/>
    <w:rsid w:val="001A4637"/>
    <w:rsid w:val="001A4732"/>
    <w:rsid w:val="001A4C28"/>
    <w:rsid w:val="001A4CAF"/>
    <w:rsid w:val="001A4CFA"/>
    <w:rsid w:val="001A5988"/>
    <w:rsid w:val="001A618E"/>
    <w:rsid w:val="001A693A"/>
    <w:rsid w:val="001A7110"/>
    <w:rsid w:val="001A73FE"/>
    <w:rsid w:val="001B1381"/>
    <w:rsid w:val="001B1FC9"/>
    <w:rsid w:val="001B36CB"/>
    <w:rsid w:val="001B49C6"/>
    <w:rsid w:val="001B6AD6"/>
    <w:rsid w:val="001B6DED"/>
    <w:rsid w:val="001B7BE9"/>
    <w:rsid w:val="001C1EBC"/>
    <w:rsid w:val="001C2698"/>
    <w:rsid w:val="001C2983"/>
    <w:rsid w:val="001C34AE"/>
    <w:rsid w:val="001C394D"/>
    <w:rsid w:val="001C6060"/>
    <w:rsid w:val="001C611A"/>
    <w:rsid w:val="001C61F9"/>
    <w:rsid w:val="001C6412"/>
    <w:rsid w:val="001C6488"/>
    <w:rsid w:val="001C6A1B"/>
    <w:rsid w:val="001C7C52"/>
    <w:rsid w:val="001D00E8"/>
    <w:rsid w:val="001D056C"/>
    <w:rsid w:val="001D0ED4"/>
    <w:rsid w:val="001D17E6"/>
    <w:rsid w:val="001D1E72"/>
    <w:rsid w:val="001D22D6"/>
    <w:rsid w:val="001D24A2"/>
    <w:rsid w:val="001D26D7"/>
    <w:rsid w:val="001D2C39"/>
    <w:rsid w:val="001D368D"/>
    <w:rsid w:val="001D4198"/>
    <w:rsid w:val="001D4D09"/>
    <w:rsid w:val="001D58A7"/>
    <w:rsid w:val="001D59BB"/>
    <w:rsid w:val="001D5E4E"/>
    <w:rsid w:val="001D61FB"/>
    <w:rsid w:val="001D630E"/>
    <w:rsid w:val="001D6A8C"/>
    <w:rsid w:val="001D772D"/>
    <w:rsid w:val="001D7C8C"/>
    <w:rsid w:val="001E29A8"/>
    <w:rsid w:val="001E30CC"/>
    <w:rsid w:val="001E3AB6"/>
    <w:rsid w:val="001E59B1"/>
    <w:rsid w:val="001E75AB"/>
    <w:rsid w:val="001E7A4C"/>
    <w:rsid w:val="001F0514"/>
    <w:rsid w:val="001F0ABC"/>
    <w:rsid w:val="001F0EB1"/>
    <w:rsid w:val="001F1370"/>
    <w:rsid w:val="001F27C3"/>
    <w:rsid w:val="001F4342"/>
    <w:rsid w:val="001F48D4"/>
    <w:rsid w:val="001F5720"/>
    <w:rsid w:val="001F5A81"/>
    <w:rsid w:val="001F67F7"/>
    <w:rsid w:val="001F6C7E"/>
    <w:rsid w:val="001F7D71"/>
    <w:rsid w:val="0020005E"/>
    <w:rsid w:val="002000B8"/>
    <w:rsid w:val="00200223"/>
    <w:rsid w:val="00200DBD"/>
    <w:rsid w:val="002024F9"/>
    <w:rsid w:val="00202642"/>
    <w:rsid w:val="00204D35"/>
    <w:rsid w:val="002052D5"/>
    <w:rsid w:val="0020619C"/>
    <w:rsid w:val="0020648B"/>
    <w:rsid w:val="00206604"/>
    <w:rsid w:val="002074FE"/>
    <w:rsid w:val="0021072B"/>
    <w:rsid w:val="002108B3"/>
    <w:rsid w:val="00212A3D"/>
    <w:rsid w:val="0021344A"/>
    <w:rsid w:val="00215ABC"/>
    <w:rsid w:val="0021625F"/>
    <w:rsid w:val="00220C29"/>
    <w:rsid w:val="00221279"/>
    <w:rsid w:val="002224FC"/>
    <w:rsid w:val="00224ECF"/>
    <w:rsid w:val="00225AB9"/>
    <w:rsid w:val="00226095"/>
    <w:rsid w:val="00226145"/>
    <w:rsid w:val="0022668E"/>
    <w:rsid w:val="00227B82"/>
    <w:rsid w:val="00230A56"/>
    <w:rsid w:val="00231B6E"/>
    <w:rsid w:val="00231BB4"/>
    <w:rsid w:val="00232744"/>
    <w:rsid w:val="00232F86"/>
    <w:rsid w:val="00233079"/>
    <w:rsid w:val="00233548"/>
    <w:rsid w:val="00233FA7"/>
    <w:rsid w:val="002354C4"/>
    <w:rsid w:val="00235DFD"/>
    <w:rsid w:val="00236D98"/>
    <w:rsid w:val="00237E15"/>
    <w:rsid w:val="00241D20"/>
    <w:rsid w:val="0024201A"/>
    <w:rsid w:val="002430EB"/>
    <w:rsid w:val="00245FEA"/>
    <w:rsid w:val="00246CB4"/>
    <w:rsid w:val="00246F04"/>
    <w:rsid w:val="00247D31"/>
    <w:rsid w:val="0025091F"/>
    <w:rsid w:val="00250F03"/>
    <w:rsid w:val="0025131C"/>
    <w:rsid w:val="002519C4"/>
    <w:rsid w:val="002520B5"/>
    <w:rsid w:val="0025314E"/>
    <w:rsid w:val="00253D3A"/>
    <w:rsid w:val="00253E48"/>
    <w:rsid w:val="0025604E"/>
    <w:rsid w:val="002561AE"/>
    <w:rsid w:val="00256CB7"/>
    <w:rsid w:val="00257680"/>
    <w:rsid w:val="00257DAA"/>
    <w:rsid w:val="0026091A"/>
    <w:rsid w:val="00260D6F"/>
    <w:rsid w:val="00261E08"/>
    <w:rsid w:val="002625E8"/>
    <w:rsid w:val="00263718"/>
    <w:rsid w:val="002639ED"/>
    <w:rsid w:val="00263DF1"/>
    <w:rsid w:val="00264C5D"/>
    <w:rsid w:val="0026597D"/>
    <w:rsid w:val="002663AC"/>
    <w:rsid w:val="002668A1"/>
    <w:rsid w:val="00267C15"/>
    <w:rsid w:val="00271963"/>
    <w:rsid w:val="00271BC7"/>
    <w:rsid w:val="00272367"/>
    <w:rsid w:val="00272A70"/>
    <w:rsid w:val="002742DC"/>
    <w:rsid w:val="0027462F"/>
    <w:rsid w:val="002749F5"/>
    <w:rsid w:val="00275248"/>
    <w:rsid w:val="002756E6"/>
    <w:rsid w:val="002759A0"/>
    <w:rsid w:val="002767F3"/>
    <w:rsid w:val="0027741C"/>
    <w:rsid w:val="00277BD6"/>
    <w:rsid w:val="00280960"/>
    <w:rsid w:val="00280A1B"/>
    <w:rsid w:val="0028384A"/>
    <w:rsid w:val="00284989"/>
    <w:rsid w:val="00285C8F"/>
    <w:rsid w:val="002869D9"/>
    <w:rsid w:val="002872B9"/>
    <w:rsid w:val="0029025C"/>
    <w:rsid w:val="00290727"/>
    <w:rsid w:val="00292F22"/>
    <w:rsid w:val="0029364A"/>
    <w:rsid w:val="00293BB7"/>
    <w:rsid w:val="002958F8"/>
    <w:rsid w:val="00295A5D"/>
    <w:rsid w:val="00296227"/>
    <w:rsid w:val="0029648C"/>
    <w:rsid w:val="0029676F"/>
    <w:rsid w:val="0029695A"/>
    <w:rsid w:val="00297C7C"/>
    <w:rsid w:val="002A28BA"/>
    <w:rsid w:val="002A400E"/>
    <w:rsid w:val="002A44A5"/>
    <w:rsid w:val="002A4DEB"/>
    <w:rsid w:val="002A5241"/>
    <w:rsid w:val="002A5F3A"/>
    <w:rsid w:val="002A7A99"/>
    <w:rsid w:val="002B049F"/>
    <w:rsid w:val="002B05FE"/>
    <w:rsid w:val="002B1910"/>
    <w:rsid w:val="002B216F"/>
    <w:rsid w:val="002B34F9"/>
    <w:rsid w:val="002B530B"/>
    <w:rsid w:val="002B62EE"/>
    <w:rsid w:val="002B6403"/>
    <w:rsid w:val="002B7791"/>
    <w:rsid w:val="002C358A"/>
    <w:rsid w:val="002C3788"/>
    <w:rsid w:val="002C3883"/>
    <w:rsid w:val="002C5991"/>
    <w:rsid w:val="002C5F0A"/>
    <w:rsid w:val="002C6801"/>
    <w:rsid w:val="002C78A0"/>
    <w:rsid w:val="002D05AD"/>
    <w:rsid w:val="002D0673"/>
    <w:rsid w:val="002D0851"/>
    <w:rsid w:val="002D113E"/>
    <w:rsid w:val="002D178A"/>
    <w:rsid w:val="002D1FBC"/>
    <w:rsid w:val="002D549D"/>
    <w:rsid w:val="002D5715"/>
    <w:rsid w:val="002D5CA9"/>
    <w:rsid w:val="002D60C2"/>
    <w:rsid w:val="002E016D"/>
    <w:rsid w:val="002E15B8"/>
    <w:rsid w:val="002E2E49"/>
    <w:rsid w:val="002E3328"/>
    <w:rsid w:val="002E4059"/>
    <w:rsid w:val="002E42F4"/>
    <w:rsid w:val="002E4900"/>
    <w:rsid w:val="002E4D62"/>
    <w:rsid w:val="002E4F57"/>
    <w:rsid w:val="002E5D10"/>
    <w:rsid w:val="002E6305"/>
    <w:rsid w:val="002E6422"/>
    <w:rsid w:val="002E70F2"/>
    <w:rsid w:val="002E7572"/>
    <w:rsid w:val="002F0413"/>
    <w:rsid w:val="002F0997"/>
    <w:rsid w:val="002F396C"/>
    <w:rsid w:val="002F415D"/>
    <w:rsid w:val="002F4828"/>
    <w:rsid w:val="002F4A73"/>
    <w:rsid w:val="002F4E5D"/>
    <w:rsid w:val="0030125D"/>
    <w:rsid w:val="003036CC"/>
    <w:rsid w:val="00305DB6"/>
    <w:rsid w:val="00305F75"/>
    <w:rsid w:val="00306561"/>
    <w:rsid w:val="00306F75"/>
    <w:rsid w:val="00307227"/>
    <w:rsid w:val="00307452"/>
    <w:rsid w:val="00310C32"/>
    <w:rsid w:val="00312CCF"/>
    <w:rsid w:val="003132E7"/>
    <w:rsid w:val="00315185"/>
    <w:rsid w:val="0031576D"/>
    <w:rsid w:val="00316069"/>
    <w:rsid w:val="00316157"/>
    <w:rsid w:val="003165DC"/>
    <w:rsid w:val="003171EC"/>
    <w:rsid w:val="003210C8"/>
    <w:rsid w:val="00321368"/>
    <w:rsid w:val="00321BCF"/>
    <w:rsid w:val="003220C7"/>
    <w:rsid w:val="00323C70"/>
    <w:rsid w:val="00323D31"/>
    <w:rsid w:val="00325418"/>
    <w:rsid w:val="00325918"/>
    <w:rsid w:val="003268C1"/>
    <w:rsid w:val="00326B84"/>
    <w:rsid w:val="00326CFC"/>
    <w:rsid w:val="00330178"/>
    <w:rsid w:val="0033036B"/>
    <w:rsid w:val="00330B42"/>
    <w:rsid w:val="003314AA"/>
    <w:rsid w:val="0033235D"/>
    <w:rsid w:val="0033263B"/>
    <w:rsid w:val="00332855"/>
    <w:rsid w:val="00333ECB"/>
    <w:rsid w:val="00333EEF"/>
    <w:rsid w:val="00334266"/>
    <w:rsid w:val="0033484B"/>
    <w:rsid w:val="00334C81"/>
    <w:rsid w:val="00335C01"/>
    <w:rsid w:val="00336101"/>
    <w:rsid w:val="00337DBE"/>
    <w:rsid w:val="00340E62"/>
    <w:rsid w:val="0034239B"/>
    <w:rsid w:val="00342FAA"/>
    <w:rsid w:val="003431B3"/>
    <w:rsid w:val="00343661"/>
    <w:rsid w:val="00343E48"/>
    <w:rsid w:val="0034688C"/>
    <w:rsid w:val="0034743D"/>
    <w:rsid w:val="0034789E"/>
    <w:rsid w:val="003479F5"/>
    <w:rsid w:val="0035027D"/>
    <w:rsid w:val="00350391"/>
    <w:rsid w:val="00352A99"/>
    <w:rsid w:val="00353C50"/>
    <w:rsid w:val="003543BB"/>
    <w:rsid w:val="00356E19"/>
    <w:rsid w:val="00357667"/>
    <w:rsid w:val="00357766"/>
    <w:rsid w:val="00360847"/>
    <w:rsid w:val="00360FAA"/>
    <w:rsid w:val="0036109F"/>
    <w:rsid w:val="0036213D"/>
    <w:rsid w:val="003621BC"/>
    <w:rsid w:val="00362AA1"/>
    <w:rsid w:val="0036314A"/>
    <w:rsid w:val="003641EA"/>
    <w:rsid w:val="003644D7"/>
    <w:rsid w:val="00364B97"/>
    <w:rsid w:val="0036696A"/>
    <w:rsid w:val="00366D5A"/>
    <w:rsid w:val="00367BC2"/>
    <w:rsid w:val="0037171C"/>
    <w:rsid w:val="00372484"/>
    <w:rsid w:val="003738C8"/>
    <w:rsid w:val="00373A14"/>
    <w:rsid w:val="00373D7B"/>
    <w:rsid w:val="00373F7F"/>
    <w:rsid w:val="00374579"/>
    <w:rsid w:val="00375F9E"/>
    <w:rsid w:val="003763CE"/>
    <w:rsid w:val="00376B56"/>
    <w:rsid w:val="003805EF"/>
    <w:rsid w:val="00380B19"/>
    <w:rsid w:val="00381547"/>
    <w:rsid w:val="00381E88"/>
    <w:rsid w:val="00381FCD"/>
    <w:rsid w:val="00382F93"/>
    <w:rsid w:val="00382FA6"/>
    <w:rsid w:val="0038465D"/>
    <w:rsid w:val="00384B88"/>
    <w:rsid w:val="00386F6F"/>
    <w:rsid w:val="003870B8"/>
    <w:rsid w:val="00391BB7"/>
    <w:rsid w:val="00391BF4"/>
    <w:rsid w:val="003922FA"/>
    <w:rsid w:val="00392307"/>
    <w:rsid w:val="00392A86"/>
    <w:rsid w:val="00394404"/>
    <w:rsid w:val="003949E3"/>
    <w:rsid w:val="003951A7"/>
    <w:rsid w:val="00395815"/>
    <w:rsid w:val="0039598B"/>
    <w:rsid w:val="0039675D"/>
    <w:rsid w:val="003A062C"/>
    <w:rsid w:val="003A0F16"/>
    <w:rsid w:val="003A12A8"/>
    <w:rsid w:val="003A273E"/>
    <w:rsid w:val="003A30B8"/>
    <w:rsid w:val="003A3472"/>
    <w:rsid w:val="003A48DC"/>
    <w:rsid w:val="003A4A9D"/>
    <w:rsid w:val="003B0478"/>
    <w:rsid w:val="003B1249"/>
    <w:rsid w:val="003B15C1"/>
    <w:rsid w:val="003B3D6A"/>
    <w:rsid w:val="003B423E"/>
    <w:rsid w:val="003B4A60"/>
    <w:rsid w:val="003B6207"/>
    <w:rsid w:val="003B68C1"/>
    <w:rsid w:val="003C0C25"/>
    <w:rsid w:val="003C34CA"/>
    <w:rsid w:val="003C4289"/>
    <w:rsid w:val="003C45DC"/>
    <w:rsid w:val="003C4609"/>
    <w:rsid w:val="003C6276"/>
    <w:rsid w:val="003C6A68"/>
    <w:rsid w:val="003C6FD2"/>
    <w:rsid w:val="003C7967"/>
    <w:rsid w:val="003C7E2C"/>
    <w:rsid w:val="003D0B44"/>
    <w:rsid w:val="003D10DA"/>
    <w:rsid w:val="003D19F9"/>
    <w:rsid w:val="003D1A60"/>
    <w:rsid w:val="003D2EDF"/>
    <w:rsid w:val="003D37DD"/>
    <w:rsid w:val="003D3D4B"/>
    <w:rsid w:val="003D48C2"/>
    <w:rsid w:val="003D58C8"/>
    <w:rsid w:val="003D6414"/>
    <w:rsid w:val="003D68CB"/>
    <w:rsid w:val="003D7C8C"/>
    <w:rsid w:val="003E24CA"/>
    <w:rsid w:val="003E29AD"/>
    <w:rsid w:val="003E3111"/>
    <w:rsid w:val="003E34E7"/>
    <w:rsid w:val="003E4DED"/>
    <w:rsid w:val="003E4E94"/>
    <w:rsid w:val="003E5937"/>
    <w:rsid w:val="003E5B83"/>
    <w:rsid w:val="003E684A"/>
    <w:rsid w:val="003E7474"/>
    <w:rsid w:val="003E7572"/>
    <w:rsid w:val="003E7C8F"/>
    <w:rsid w:val="003E7D1C"/>
    <w:rsid w:val="003E7E69"/>
    <w:rsid w:val="003F00D6"/>
    <w:rsid w:val="003F2F71"/>
    <w:rsid w:val="003F3D18"/>
    <w:rsid w:val="003F4E41"/>
    <w:rsid w:val="003F5499"/>
    <w:rsid w:val="003F5609"/>
    <w:rsid w:val="003F69DA"/>
    <w:rsid w:val="0040435F"/>
    <w:rsid w:val="004044F7"/>
    <w:rsid w:val="00405D7A"/>
    <w:rsid w:val="00407CFD"/>
    <w:rsid w:val="00412427"/>
    <w:rsid w:val="004136B5"/>
    <w:rsid w:val="00413B38"/>
    <w:rsid w:val="00413B4E"/>
    <w:rsid w:val="0041400D"/>
    <w:rsid w:val="00414151"/>
    <w:rsid w:val="00414336"/>
    <w:rsid w:val="004144F0"/>
    <w:rsid w:val="0041476D"/>
    <w:rsid w:val="004150A4"/>
    <w:rsid w:val="00416C21"/>
    <w:rsid w:val="00416E26"/>
    <w:rsid w:val="0041753F"/>
    <w:rsid w:val="00417B18"/>
    <w:rsid w:val="0042449C"/>
    <w:rsid w:val="00424D28"/>
    <w:rsid w:val="0042530B"/>
    <w:rsid w:val="00426BE8"/>
    <w:rsid w:val="00426FD2"/>
    <w:rsid w:val="00430E70"/>
    <w:rsid w:val="00431640"/>
    <w:rsid w:val="00431E8F"/>
    <w:rsid w:val="00431F22"/>
    <w:rsid w:val="00434C38"/>
    <w:rsid w:val="00434C42"/>
    <w:rsid w:val="00435736"/>
    <w:rsid w:val="004360C9"/>
    <w:rsid w:val="0043661F"/>
    <w:rsid w:val="00436AA4"/>
    <w:rsid w:val="00437212"/>
    <w:rsid w:val="004373EA"/>
    <w:rsid w:val="00440D58"/>
    <w:rsid w:val="00441DA0"/>
    <w:rsid w:val="00441FDD"/>
    <w:rsid w:val="00444004"/>
    <w:rsid w:val="00447598"/>
    <w:rsid w:val="00450F1F"/>
    <w:rsid w:val="004513F2"/>
    <w:rsid w:val="004515DD"/>
    <w:rsid w:val="00452C57"/>
    <w:rsid w:val="0045370F"/>
    <w:rsid w:val="0045395B"/>
    <w:rsid w:val="004549E4"/>
    <w:rsid w:val="00455813"/>
    <w:rsid w:val="0045588F"/>
    <w:rsid w:val="00455970"/>
    <w:rsid w:val="004562AA"/>
    <w:rsid w:val="00457498"/>
    <w:rsid w:val="00457BD3"/>
    <w:rsid w:val="00460990"/>
    <w:rsid w:val="00460DA4"/>
    <w:rsid w:val="004619A5"/>
    <w:rsid w:val="004655AE"/>
    <w:rsid w:val="00467521"/>
    <w:rsid w:val="00470FDE"/>
    <w:rsid w:val="00472A29"/>
    <w:rsid w:val="00472A76"/>
    <w:rsid w:val="00475C95"/>
    <w:rsid w:val="00475EB4"/>
    <w:rsid w:val="0047639A"/>
    <w:rsid w:val="00477104"/>
    <w:rsid w:val="00477CA6"/>
    <w:rsid w:val="004816CA"/>
    <w:rsid w:val="004821D0"/>
    <w:rsid w:val="0048254F"/>
    <w:rsid w:val="004831C2"/>
    <w:rsid w:val="0048387C"/>
    <w:rsid w:val="00484328"/>
    <w:rsid w:val="0048536F"/>
    <w:rsid w:val="004854C9"/>
    <w:rsid w:val="00486F87"/>
    <w:rsid w:val="004876DA"/>
    <w:rsid w:val="0049023C"/>
    <w:rsid w:val="00491EB0"/>
    <w:rsid w:val="00492C51"/>
    <w:rsid w:val="0049426E"/>
    <w:rsid w:val="004942F5"/>
    <w:rsid w:val="00495433"/>
    <w:rsid w:val="00495821"/>
    <w:rsid w:val="00495A63"/>
    <w:rsid w:val="004963D7"/>
    <w:rsid w:val="0049661A"/>
    <w:rsid w:val="00496AA0"/>
    <w:rsid w:val="004A0D8D"/>
    <w:rsid w:val="004A2298"/>
    <w:rsid w:val="004A32C2"/>
    <w:rsid w:val="004A3F2B"/>
    <w:rsid w:val="004A60F6"/>
    <w:rsid w:val="004A7AB4"/>
    <w:rsid w:val="004A7D05"/>
    <w:rsid w:val="004B099D"/>
    <w:rsid w:val="004B24E9"/>
    <w:rsid w:val="004B35B6"/>
    <w:rsid w:val="004B3632"/>
    <w:rsid w:val="004B3E37"/>
    <w:rsid w:val="004B4C56"/>
    <w:rsid w:val="004B4CFE"/>
    <w:rsid w:val="004B735A"/>
    <w:rsid w:val="004B7CC9"/>
    <w:rsid w:val="004C02D8"/>
    <w:rsid w:val="004C0A5D"/>
    <w:rsid w:val="004C111B"/>
    <w:rsid w:val="004C1424"/>
    <w:rsid w:val="004C16F6"/>
    <w:rsid w:val="004C201F"/>
    <w:rsid w:val="004C2525"/>
    <w:rsid w:val="004C2F14"/>
    <w:rsid w:val="004C37CB"/>
    <w:rsid w:val="004C58CB"/>
    <w:rsid w:val="004C5B18"/>
    <w:rsid w:val="004C636F"/>
    <w:rsid w:val="004C6D4D"/>
    <w:rsid w:val="004C6F38"/>
    <w:rsid w:val="004C7FAC"/>
    <w:rsid w:val="004D008E"/>
    <w:rsid w:val="004D34E6"/>
    <w:rsid w:val="004D3CE8"/>
    <w:rsid w:val="004D4322"/>
    <w:rsid w:val="004D603B"/>
    <w:rsid w:val="004D6314"/>
    <w:rsid w:val="004E14FC"/>
    <w:rsid w:val="004E154A"/>
    <w:rsid w:val="004E1C71"/>
    <w:rsid w:val="004E30BC"/>
    <w:rsid w:val="004E393F"/>
    <w:rsid w:val="004E47F2"/>
    <w:rsid w:val="004E5504"/>
    <w:rsid w:val="004E5999"/>
    <w:rsid w:val="004E6071"/>
    <w:rsid w:val="004E6197"/>
    <w:rsid w:val="004E61F5"/>
    <w:rsid w:val="004E6515"/>
    <w:rsid w:val="004E7207"/>
    <w:rsid w:val="004E7550"/>
    <w:rsid w:val="004F02FC"/>
    <w:rsid w:val="004F36C0"/>
    <w:rsid w:val="004F39DF"/>
    <w:rsid w:val="004F3B7C"/>
    <w:rsid w:val="004F3B9A"/>
    <w:rsid w:val="004F48EF"/>
    <w:rsid w:val="004F5B58"/>
    <w:rsid w:val="004F6579"/>
    <w:rsid w:val="004F6DBB"/>
    <w:rsid w:val="004F7F2F"/>
    <w:rsid w:val="00501320"/>
    <w:rsid w:val="0050149E"/>
    <w:rsid w:val="0050167A"/>
    <w:rsid w:val="005022E5"/>
    <w:rsid w:val="005024DD"/>
    <w:rsid w:val="00502A49"/>
    <w:rsid w:val="0050507D"/>
    <w:rsid w:val="005055A8"/>
    <w:rsid w:val="005055BA"/>
    <w:rsid w:val="005113AF"/>
    <w:rsid w:val="00512F4A"/>
    <w:rsid w:val="005147D3"/>
    <w:rsid w:val="0051511E"/>
    <w:rsid w:val="00515380"/>
    <w:rsid w:val="005155F3"/>
    <w:rsid w:val="005164C1"/>
    <w:rsid w:val="00516737"/>
    <w:rsid w:val="005170DD"/>
    <w:rsid w:val="00517E03"/>
    <w:rsid w:val="00517EBF"/>
    <w:rsid w:val="00521599"/>
    <w:rsid w:val="00521863"/>
    <w:rsid w:val="00522392"/>
    <w:rsid w:val="005245BC"/>
    <w:rsid w:val="00526531"/>
    <w:rsid w:val="00526672"/>
    <w:rsid w:val="00526EDB"/>
    <w:rsid w:val="0053021E"/>
    <w:rsid w:val="0053189D"/>
    <w:rsid w:val="00533CE9"/>
    <w:rsid w:val="00533F36"/>
    <w:rsid w:val="005343AB"/>
    <w:rsid w:val="005349F9"/>
    <w:rsid w:val="00534D40"/>
    <w:rsid w:val="00534F96"/>
    <w:rsid w:val="0053523C"/>
    <w:rsid w:val="005357DC"/>
    <w:rsid w:val="0053593F"/>
    <w:rsid w:val="00535E94"/>
    <w:rsid w:val="00536DA7"/>
    <w:rsid w:val="0054047A"/>
    <w:rsid w:val="00540754"/>
    <w:rsid w:val="005408C5"/>
    <w:rsid w:val="00540BEA"/>
    <w:rsid w:val="00540DB7"/>
    <w:rsid w:val="00541FA2"/>
    <w:rsid w:val="005420C9"/>
    <w:rsid w:val="00542A7F"/>
    <w:rsid w:val="00542C26"/>
    <w:rsid w:val="00542C67"/>
    <w:rsid w:val="00543434"/>
    <w:rsid w:val="00543904"/>
    <w:rsid w:val="00544357"/>
    <w:rsid w:val="00544667"/>
    <w:rsid w:val="00545058"/>
    <w:rsid w:val="005476F1"/>
    <w:rsid w:val="00552859"/>
    <w:rsid w:val="005528DD"/>
    <w:rsid w:val="00552C2C"/>
    <w:rsid w:val="00553DAA"/>
    <w:rsid w:val="005548F4"/>
    <w:rsid w:val="005552C4"/>
    <w:rsid w:val="00556090"/>
    <w:rsid w:val="00556D06"/>
    <w:rsid w:val="0055736E"/>
    <w:rsid w:val="005579F2"/>
    <w:rsid w:val="00557CBF"/>
    <w:rsid w:val="00557F5C"/>
    <w:rsid w:val="005606DE"/>
    <w:rsid w:val="005607C2"/>
    <w:rsid w:val="00560C1E"/>
    <w:rsid w:val="0056254A"/>
    <w:rsid w:val="00562A49"/>
    <w:rsid w:val="0056511D"/>
    <w:rsid w:val="00565F1A"/>
    <w:rsid w:val="00567D78"/>
    <w:rsid w:val="00567DF8"/>
    <w:rsid w:val="0057003B"/>
    <w:rsid w:val="00570B30"/>
    <w:rsid w:val="00570FCC"/>
    <w:rsid w:val="00571000"/>
    <w:rsid w:val="00572610"/>
    <w:rsid w:val="0057281F"/>
    <w:rsid w:val="0057478D"/>
    <w:rsid w:val="00575967"/>
    <w:rsid w:val="005769E0"/>
    <w:rsid w:val="00580CB2"/>
    <w:rsid w:val="00580F49"/>
    <w:rsid w:val="0058126D"/>
    <w:rsid w:val="00581DF9"/>
    <w:rsid w:val="005827FB"/>
    <w:rsid w:val="0058402E"/>
    <w:rsid w:val="0058445E"/>
    <w:rsid w:val="0058523B"/>
    <w:rsid w:val="0058611E"/>
    <w:rsid w:val="00586175"/>
    <w:rsid w:val="005875E8"/>
    <w:rsid w:val="00587923"/>
    <w:rsid w:val="00590627"/>
    <w:rsid w:val="00590C2A"/>
    <w:rsid w:val="005914D6"/>
    <w:rsid w:val="0059160E"/>
    <w:rsid w:val="00591E1C"/>
    <w:rsid w:val="00592E31"/>
    <w:rsid w:val="005948B7"/>
    <w:rsid w:val="005949C3"/>
    <w:rsid w:val="00596B63"/>
    <w:rsid w:val="005A0173"/>
    <w:rsid w:val="005A048B"/>
    <w:rsid w:val="005A08FF"/>
    <w:rsid w:val="005A0D02"/>
    <w:rsid w:val="005A1167"/>
    <w:rsid w:val="005A1872"/>
    <w:rsid w:val="005A30E8"/>
    <w:rsid w:val="005A5544"/>
    <w:rsid w:val="005A6FF2"/>
    <w:rsid w:val="005A7F06"/>
    <w:rsid w:val="005A7F6C"/>
    <w:rsid w:val="005B0006"/>
    <w:rsid w:val="005B048F"/>
    <w:rsid w:val="005B06C3"/>
    <w:rsid w:val="005B0C99"/>
    <w:rsid w:val="005B24E8"/>
    <w:rsid w:val="005B318E"/>
    <w:rsid w:val="005B3319"/>
    <w:rsid w:val="005B3971"/>
    <w:rsid w:val="005B5418"/>
    <w:rsid w:val="005B6184"/>
    <w:rsid w:val="005B7E36"/>
    <w:rsid w:val="005C0CCE"/>
    <w:rsid w:val="005C3A5A"/>
    <w:rsid w:val="005C4967"/>
    <w:rsid w:val="005C502D"/>
    <w:rsid w:val="005C63D9"/>
    <w:rsid w:val="005C6767"/>
    <w:rsid w:val="005C751F"/>
    <w:rsid w:val="005C7A8B"/>
    <w:rsid w:val="005C7B4A"/>
    <w:rsid w:val="005C7B9A"/>
    <w:rsid w:val="005D0588"/>
    <w:rsid w:val="005D2FCC"/>
    <w:rsid w:val="005D3FFD"/>
    <w:rsid w:val="005D4551"/>
    <w:rsid w:val="005D474F"/>
    <w:rsid w:val="005D4951"/>
    <w:rsid w:val="005D4C60"/>
    <w:rsid w:val="005D5E3E"/>
    <w:rsid w:val="005D5FE8"/>
    <w:rsid w:val="005D6BFB"/>
    <w:rsid w:val="005D7ABB"/>
    <w:rsid w:val="005D7CFF"/>
    <w:rsid w:val="005E01D3"/>
    <w:rsid w:val="005E0342"/>
    <w:rsid w:val="005E0564"/>
    <w:rsid w:val="005E0BE9"/>
    <w:rsid w:val="005E2825"/>
    <w:rsid w:val="005E2D6F"/>
    <w:rsid w:val="005E3238"/>
    <w:rsid w:val="005E4B04"/>
    <w:rsid w:val="005E5AAB"/>
    <w:rsid w:val="005E5C94"/>
    <w:rsid w:val="005F2375"/>
    <w:rsid w:val="005F3018"/>
    <w:rsid w:val="005F4F37"/>
    <w:rsid w:val="005F6642"/>
    <w:rsid w:val="005F7C33"/>
    <w:rsid w:val="005F7C73"/>
    <w:rsid w:val="006006CA"/>
    <w:rsid w:val="00602013"/>
    <w:rsid w:val="00602A99"/>
    <w:rsid w:val="00603BDD"/>
    <w:rsid w:val="00603C64"/>
    <w:rsid w:val="00603F3C"/>
    <w:rsid w:val="00604101"/>
    <w:rsid w:val="00604772"/>
    <w:rsid w:val="0060595F"/>
    <w:rsid w:val="00606169"/>
    <w:rsid w:val="006062B5"/>
    <w:rsid w:val="0060654B"/>
    <w:rsid w:val="006066E4"/>
    <w:rsid w:val="00606EE5"/>
    <w:rsid w:val="00607550"/>
    <w:rsid w:val="00610F82"/>
    <w:rsid w:val="00611C2A"/>
    <w:rsid w:val="006125FF"/>
    <w:rsid w:val="0061299A"/>
    <w:rsid w:val="00612E8B"/>
    <w:rsid w:val="006214FA"/>
    <w:rsid w:val="00622071"/>
    <w:rsid w:val="00623A1E"/>
    <w:rsid w:val="00625F91"/>
    <w:rsid w:val="00626096"/>
    <w:rsid w:val="00627640"/>
    <w:rsid w:val="0063254B"/>
    <w:rsid w:val="006325B2"/>
    <w:rsid w:val="00632C69"/>
    <w:rsid w:val="00633AA7"/>
    <w:rsid w:val="006342AB"/>
    <w:rsid w:val="0063560A"/>
    <w:rsid w:val="00635AAA"/>
    <w:rsid w:val="00636F95"/>
    <w:rsid w:val="00640844"/>
    <w:rsid w:val="00640F1A"/>
    <w:rsid w:val="00641BAF"/>
    <w:rsid w:val="00641F31"/>
    <w:rsid w:val="006420F8"/>
    <w:rsid w:val="00642416"/>
    <w:rsid w:val="00642A8A"/>
    <w:rsid w:val="00642C55"/>
    <w:rsid w:val="00643992"/>
    <w:rsid w:val="00645AA6"/>
    <w:rsid w:val="0065018E"/>
    <w:rsid w:val="006502DA"/>
    <w:rsid w:val="00650BBA"/>
    <w:rsid w:val="00652398"/>
    <w:rsid w:val="00652C6F"/>
    <w:rsid w:val="0065389A"/>
    <w:rsid w:val="006540F9"/>
    <w:rsid w:val="00654842"/>
    <w:rsid w:val="0065554C"/>
    <w:rsid w:val="00657CBD"/>
    <w:rsid w:val="00657E97"/>
    <w:rsid w:val="006611FB"/>
    <w:rsid w:val="006614B7"/>
    <w:rsid w:val="006616C6"/>
    <w:rsid w:val="00661788"/>
    <w:rsid w:val="00661EF8"/>
    <w:rsid w:val="00663137"/>
    <w:rsid w:val="006631F9"/>
    <w:rsid w:val="00664BD4"/>
    <w:rsid w:val="00664FE1"/>
    <w:rsid w:val="006668B4"/>
    <w:rsid w:val="006702A9"/>
    <w:rsid w:val="00670917"/>
    <w:rsid w:val="0067303B"/>
    <w:rsid w:val="00673087"/>
    <w:rsid w:val="006736AA"/>
    <w:rsid w:val="00674018"/>
    <w:rsid w:val="00675F73"/>
    <w:rsid w:val="006777AC"/>
    <w:rsid w:val="00677A52"/>
    <w:rsid w:val="006801B5"/>
    <w:rsid w:val="0068192F"/>
    <w:rsid w:val="00682963"/>
    <w:rsid w:val="00682CD9"/>
    <w:rsid w:val="00683167"/>
    <w:rsid w:val="00683A66"/>
    <w:rsid w:val="006851C7"/>
    <w:rsid w:val="00687A65"/>
    <w:rsid w:val="00687D9C"/>
    <w:rsid w:val="006922C6"/>
    <w:rsid w:val="006934B9"/>
    <w:rsid w:val="0069371B"/>
    <w:rsid w:val="00694E72"/>
    <w:rsid w:val="00696A2F"/>
    <w:rsid w:val="006972B0"/>
    <w:rsid w:val="00697AF5"/>
    <w:rsid w:val="00697F4D"/>
    <w:rsid w:val="006A01B0"/>
    <w:rsid w:val="006A09CF"/>
    <w:rsid w:val="006A1124"/>
    <w:rsid w:val="006A2342"/>
    <w:rsid w:val="006A3983"/>
    <w:rsid w:val="006A4410"/>
    <w:rsid w:val="006A568D"/>
    <w:rsid w:val="006A5B1C"/>
    <w:rsid w:val="006A7B71"/>
    <w:rsid w:val="006B0EFD"/>
    <w:rsid w:val="006B0FE6"/>
    <w:rsid w:val="006B177F"/>
    <w:rsid w:val="006B2733"/>
    <w:rsid w:val="006B3A94"/>
    <w:rsid w:val="006B3E24"/>
    <w:rsid w:val="006B3FB6"/>
    <w:rsid w:val="006B4D70"/>
    <w:rsid w:val="006B6C0B"/>
    <w:rsid w:val="006B7782"/>
    <w:rsid w:val="006B78EA"/>
    <w:rsid w:val="006B7E87"/>
    <w:rsid w:val="006C030B"/>
    <w:rsid w:val="006C0FC6"/>
    <w:rsid w:val="006C1955"/>
    <w:rsid w:val="006C22F2"/>
    <w:rsid w:val="006C35ED"/>
    <w:rsid w:val="006C4E2B"/>
    <w:rsid w:val="006C5C28"/>
    <w:rsid w:val="006C7321"/>
    <w:rsid w:val="006C7C87"/>
    <w:rsid w:val="006D0964"/>
    <w:rsid w:val="006D1133"/>
    <w:rsid w:val="006D1172"/>
    <w:rsid w:val="006D1AED"/>
    <w:rsid w:val="006D2F67"/>
    <w:rsid w:val="006D36BA"/>
    <w:rsid w:val="006D3CB2"/>
    <w:rsid w:val="006D58C4"/>
    <w:rsid w:val="006D6048"/>
    <w:rsid w:val="006D683C"/>
    <w:rsid w:val="006D752B"/>
    <w:rsid w:val="006E0399"/>
    <w:rsid w:val="006E1054"/>
    <w:rsid w:val="006E1257"/>
    <w:rsid w:val="006E2493"/>
    <w:rsid w:val="006E3241"/>
    <w:rsid w:val="006E35F6"/>
    <w:rsid w:val="006E4765"/>
    <w:rsid w:val="006E5DCB"/>
    <w:rsid w:val="006E65FA"/>
    <w:rsid w:val="006E7326"/>
    <w:rsid w:val="006E742E"/>
    <w:rsid w:val="006E7658"/>
    <w:rsid w:val="006E781B"/>
    <w:rsid w:val="006E7E95"/>
    <w:rsid w:val="006F1274"/>
    <w:rsid w:val="006F1352"/>
    <w:rsid w:val="006F2023"/>
    <w:rsid w:val="006F2042"/>
    <w:rsid w:val="006F3605"/>
    <w:rsid w:val="006F370A"/>
    <w:rsid w:val="006F45B6"/>
    <w:rsid w:val="006F4E58"/>
    <w:rsid w:val="006F5271"/>
    <w:rsid w:val="006F5B0C"/>
    <w:rsid w:val="006F6043"/>
    <w:rsid w:val="00702544"/>
    <w:rsid w:val="00702D89"/>
    <w:rsid w:val="00702FE0"/>
    <w:rsid w:val="00704C09"/>
    <w:rsid w:val="00704E6E"/>
    <w:rsid w:val="0070749E"/>
    <w:rsid w:val="007101C4"/>
    <w:rsid w:val="00710588"/>
    <w:rsid w:val="0071204E"/>
    <w:rsid w:val="00712054"/>
    <w:rsid w:val="007126B8"/>
    <w:rsid w:val="00712C43"/>
    <w:rsid w:val="00715606"/>
    <w:rsid w:val="00715EF2"/>
    <w:rsid w:val="0071657A"/>
    <w:rsid w:val="00716D6F"/>
    <w:rsid w:val="00720499"/>
    <w:rsid w:val="00720F94"/>
    <w:rsid w:val="00722187"/>
    <w:rsid w:val="007233A6"/>
    <w:rsid w:val="007238C5"/>
    <w:rsid w:val="00723D21"/>
    <w:rsid w:val="0072716C"/>
    <w:rsid w:val="00731DF3"/>
    <w:rsid w:val="00731FD6"/>
    <w:rsid w:val="007321FA"/>
    <w:rsid w:val="0073408A"/>
    <w:rsid w:val="00734AB2"/>
    <w:rsid w:val="007359AF"/>
    <w:rsid w:val="00736389"/>
    <w:rsid w:val="007366EF"/>
    <w:rsid w:val="00740140"/>
    <w:rsid w:val="00741D10"/>
    <w:rsid w:val="0074258D"/>
    <w:rsid w:val="00743973"/>
    <w:rsid w:val="00743C1F"/>
    <w:rsid w:val="00746868"/>
    <w:rsid w:val="007468DC"/>
    <w:rsid w:val="0074728E"/>
    <w:rsid w:val="0074750D"/>
    <w:rsid w:val="007479B7"/>
    <w:rsid w:val="00747B77"/>
    <w:rsid w:val="0075098D"/>
    <w:rsid w:val="0075269B"/>
    <w:rsid w:val="007553BF"/>
    <w:rsid w:val="007556E1"/>
    <w:rsid w:val="00755BD0"/>
    <w:rsid w:val="00755FDF"/>
    <w:rsid w:val="00756977"/>
    <w:rsid w:val="00756FC4"/>
    <w:rsid w:val="0075766B"/>
    <w:rsid w:val="0075793C"/>
    <w:rsid w:val="00757F5E"/>
    <w:rsid w:val="00757FEB"/>
    <w:rsid w:val="00761286"/>
    <w:rsid w:val="00761EB4"/>
    <w:rsid w:val="007646A8"/>
    <w:rsid w:val="00764D77"/>
    <w:rsid w:val="0076581A"/>
    <w:rsid w:val="007660ED"/>
    <w:rsid w:val="007660F9"/>
    <w:rsid w:val="007669BE"/>
    <w:rsid w:val="00772273"/>
    <w:rsid w:val="0077424A"/>
    <w:rsid w:val="0077473D"/>
    <w:rsid w:val="007749DA"/>
    <w:rsid w:val="00774CB1"/>
    <w:rsid w:val="00775322"/>
    <w:rsid w:val="00775779"/>
    <w:rsid w:val="00780767"/>
    <w:rsid w:val="0078098D"/>
    <w:rsid w:val="007827EF"/>
    <w:rsid w:val="00782C10"/>
    <w:rsid w:val="00784840"/>
    <w:rsid w:val="00785960"/>
    <w:rsid w:val="0078626C"/>
    <w:rsid w:val="007913EC"/>
    <w:rsid w:val="00791449"/>
    <w:rsid w:val="007917DE"/>
    <w:rsid w:val="007928F1"/>
    <w:rsid w:val="007935C9"/>
    <w:rsid w:val="00795F1C"/>
    <w:rsid w:val="00796201"/>
    <w:rsid w:val="0079630F"/>
    <w:rsid w:val="00796F29"/>
    <w:rsid w:val="007978A1"/>
    <w:rsid w:val="007A20D2"/>
    <w:rsid w:val="007A2E79"/>
    <w:rsid w:val="007A3B38"/>
    <w:rsid w:val="007A41DF"/>
    <w:rsid w:val="007A4442"/>
    <w:rsid w:val="007A4F4D"/>
    <w:rsid w:val="007A4FDC"/>
    <w:rsid w:val="007A50BD"/>
    <w:rsid w:val="007A55C1"/>
    <w:rsid w:val="007A7286"/>
    <w:rsid w:val="007B18DD"/>
    <w:rsid w:val="007B2674"/>
    <w:rsid w:val="007B3776"/>
    <w:rsid w:val="007B6B65"/>
    <w:rsid w:val="007B7104"/>
    <w:rsid w:val="007B7D44"/>
    <w:rsid w:val="007C2000"/>
    <w:rsid w:val="007C53A9"/>
    <w:rsid w:val="007C790E"/>
    <w:rsid w:val="007D003B"/>
    <w:rsid w:val="007D05CA"/>
    <w:rsid w:val="007D1810"/>
    <w:rsid w:val="007D234A"/>
    <w:rsid w:val="007D43D6"/>
    <w:rsid w:val="007D59A7"/>
    <w:rsid w:val="007D5E16"/>
    <w:rsid w:val="007D60E1"/>
    <w:rsid w:val="007E006B"/>
    <w:rsid w:val="007E0B33"/>
    <w:rsid w:val="007E0DDE"/>
    <w:rsid w:val="007E12DF"/>
    <w:rsid w:val="007E1C50"/>
    <w:rsid w:val="007E1D38"/>
    <w:rsid w:val="007E28C4"/>
    <w:rsid w:val="007E4A9F"/>
    <w:rsid w:val="007E593D"/>
    <w:rsid w:val="007E5BC1"/>
    <w:rsid w:val="007E6F04"/>
    <w:rsid w:val="007F05FF"/>
    <w:rsid w:val="007F14CC"/>
    <w:rsid w:val="007F1995"/>
    <w:rsid w:val="007F2404"/>
    <w:rsid w:val="007F39D9"/>
    <w:rsid w:val="007F52FA"/>
    <w:rsid w:val="007F5ACB"/>
    <w:rsid w:val="007F5C1D"/>
    <w:rsid w:val="007F606F"/>
    <w:rsid w:val="007F67CC"/>
    <w:rsid w:val="007F69B0"/>
    <w:rsid w:val="007F6B8C"/>
    <w:rsid w:val="007F7BAA"/>
    <w:rsid w:val="007F7C13"/>
    <w:rsid w:val="0080039E"/>
    <w:rsid w:val="00801C16"/>
    <w:rsid w:val="008029C6"/>
    <w:rsid w:val="00802C03"/>
    <w:rsid w:val="00803E96"/>
    <w:rsid w:val="00805832"/>
    <w:rsid w:val="00806362"/>
    <w:rsid w:val="008117DE"/>
    <w:rsid w:val="00812395"/>
    <w:rsid w:val="008123B3"/>
    <w:rsid w:val="00812AAD"/>
    <w:rsid w:val="00813B4A"/>
    <w:rsid w:val="00816190"/>
    <w:rsid w:val="00817C61"/>
    <w:rsid w:val="0082052B"/>
    <w:rsid w:val="0082060B"/>
    <w:rsid w:val="008207E5"/>
    <w:rsid w:val="00821602"/>
    <w:rsid w:val="00821BC5"/>
    <w:rsid w:val="00822317"/>
    <w:rsid w:val="008226C4"/>
    <w:rsid w:val="00823745"/>
    <w:rsid w:val="008239E8"/>
    <w:rsid w:val="00823A94"/>
    <w:rsid w:val="00825F89"/>
    <w:rsid w:val="0082705D"/>
    <w:rsid w:val="0082746D"/>
    <w:rsid w:val="00830167"/>
    <w:rsid w:val="00830ACB"/>
    <w:rsid w:val="008311BD"/>
    <w:rsid w:val="00831CFC"/>
    <w:rsid w:val="00832839"/>
    <w:rsid w:val="008336A2"/>
    <w:rsid w:val="0083409F"/>
    <w:rsid w:val="008367E1"/>
    <w:rsid w:val="0083704C"/>
    <w:rsid w:val="0083728A"/>
    <w:rsid w:val="00837A0F"/>
    <w:rsid w:val="00842686"/>
    <w:rsid w:val="00842EA2"/>
    <w:rsid w:val="00843C8B"/>
    <w:rsid w:val="008444B9"/>
    <w:rsid w:val="008454EE"/>
    <w:rsid w:val="008513B6"/>
    <w:rsid w:val="0085232F"/>
    <w:rsid w:val="00853202"/>
    <w:rsid w:val="00854810"/>
    <w:rsid w:val="0085505D"/>
    <w:rsid w:val="0085562A"/>
    <w:rsid w:val="00855746"/>
    <w:rsid w:val="00856343"/>
    <w:rsid w:val="00856F67"/>
    <w:rsid w:val="00860977"/>
    <w:rsid w:val="00860AC3"/>
    <w:rsid w:val="00861D8B"/>
    <w:rsid w:val="008634A2"/>
    <w:rsid w:val="00864F05"/>
    <w:rsid w:val="00865134"/>
    <w:rsid w:val="008661BF"/>
    <w:rsid w:val="008664D9"/>
    <w:rsid w:val="008667E5"/>
    <w:rsid w:val="00867590"/>
    <w:rsid w:val="00867639"/>
    <w:rsid w:val="008676D1"/>
    <w:rsid w:val="00867710"/>
    <w:rsid w:val="00867AD6"/>
    <w:rsid w:val="00871A12"/>
    <w:rsid w:val="008736BC"/>
    <w:rsid w:val="00873E5D"/>
    <w:rsid w:val="008742A3"/>
    <w:rsid w:val="00875055"/>
    <w:rsid w:val="008774E0"/>
    <w:rsid w:val="00877DF1"/>
    <w:rsid w:val="00880878"/>
    <w:rsid w:val="00881554"/>
    <w:rsid w:val="008832D4"/>
    <w:rsid w:val="00884A53"/>
    <w:rsid w:val="00884ED7"/>
    <w:rsid w:val="0088516F"/>
    <w:rsid w:val="00885439"/>
    <w:rsid w:val="00886CB5"/>
    <w:rsid w:val="00886EF5"/>
    <w:rsid w:val="008878FB"/>
    <w:rsid w:val="008910D7"/>
    <w:rsid w:val="008920C6"/>
    <w:rsid w:val="008942BA"/>
    <w:rsid w:val="008943B8"/>
    <w:rsid w:val="008948FC"/>
    <w:rsid w:val="00894B09"/>
    <w:rsid w:val="00894EF5"/>
    <w:rsid w:val="008956AF"/>
    <w:rsid w:val="00895FA1"/>
    <w:rsid w:val="00895FE6"/>
    <w:rsid w:val="008969EB"/>
    <w:rsid w:val="00897119"/>
    <w:rsid w:val="00897EEC"/>
    <w:rsid w:val="008A16A7"/>
    <w:rsid w:val="008A1ABE"/>
    <w:rsid w:val="008A256F"/>
    <w:rsid w:val="008A2CC1"/>
    <w:rsid w:val="008A672C"/>
    <w:rsid w:val="008A7149"/>
    <w:rsid w:val="008A77DA"/>
    <w:rsid w:val="008A78BA"/>
    <w:rsid w:val="008A79F6"/>
    <w:rsid w:val="008B01C3"/>
    <w:rsid w:val="008B0280"/>
    <w:rsid w:val="008B13AC"/>
    <w:rsid w:val="008B1555"/>
    <w:rsid w:val="008B1771"/>
    <w:rsid w:val="008B1ACE"/>
    <w:rsid w:val="008B2308"/>
    <w:rsid w:val="008B2318"/>
    <w:rsid w:val="008B3883"/>
    <w:rsid w:val="008B4D25"/>
    <w:rsid w:val="008B5CA8"/>
    <w:rsid w:val="008C2374"/>
    <w:rsid w:val="008C2928"/>
    <w:rsid w:val="008C2AC0"/>
    <w:rsid w:val="008C356A"/>
    <w:rsid w:val="008C3819"/>
    <w:rsid w:val="008C4269"/>
    <w:rsid w:val="008C492C"/>
    <w:rsid w:val="008C5208"/>
    <w:rsid w:val="008C594F"/>
    <w:rsid w:val="008C5CB0"/>
    <w:rsid w:val="008C70F1"/>
    <w:rsid w:val="008C76D5"/>
    <w:rsid w:val="008C7BFB"/>
    <w:rsid w:val="008D0CA0"/>
    <w:rsid w:val="008D28EF"/>
    <w:rsid w:val="008D3C15"/>
    <w:rsid w:val="008D3FE0"/>
    <w:rsid w:val="008D52EB"/>
    <w:rsid w:val="008D5D6B"/>
    <w:rsid w:val="008D6AF3"/>
    <w:rsid w:val="008D714D"/>
    <w:rsid w:val="008D7D62"/>
    <w:rsid w:val="008E03B2"/>
    <w:rsid w:val="008E0CD1"/>
    <w:rsid w:val="008E1121"/>
    <w:rsid w:val="008E18C6"/>
    <w:rsid w:val="008E2428"/>
    <w:rsid w:val="008E3F9F"/>
    <w:rsid w:val="008E4971"/>
    <w:rsid w:val="008E4D02"/>
    <w:rsid w:val="008E4EFB"/>
    <w:rsid w:val="008E5C13"/>
    <w:rsid w:val="008E5C3A"/>
    <w:rsid w:val="008E684A"/>
    <w:rsid w:val="008E7AD7"/>
    <w:rsid w:val="008F157E"/>
    <w:rsid w:val="008F1681"/>
    <w:rsid w:val="008F2824"/>
    <w:rsid w:val="008F4477"/>
    <w:rsid w:val="008F518B"/>
    <w:rsid w:val="008F5EB3"/>
    <w:rsid w:val="008F6A12"/>
    <w:rsid w:val="008F75C4"/>
    <w:rsid w:val="008F7A96"/>
    <w:rsid w:val="009002D6"/>
    <w:rsid w:val="00900A23"/>
    <w:rsid w:val="00900DC0"/>
    <w:rsid w:val="009026F1"/>
    <w:rsid w:val="00902AD6"/>
    <w:rsid w:val="0090330C"/>
    <w:rsid w:val="00903A08"/>
    <w:rsid w:val="009047CA"/>
    <w:rsid w:val="00906596"/>
    <w:rsid w:val="009074AA"/>
    <w:rsid w:val="00907AB3"/>
    <w:rsid w:val="00910213"/>
    <w:rsid w:val="009102CA"/>
    <w:rsid w:val="009122E4"/>
    <w:rsid w:val="00912A27"/>
    <w:rsid w:val="0091409B"/>
    <w:rsid w:val="00914199"/>
    <w:rsid w:val="0091480B"/>
    <w:rsid w:val="00914FD6"/>
    <w:rsid w:val="0091609E"/>
    <w:rsid w:val="00916515"/>
    <w:rsid w:val="00916594"/>
    <w:rsid w:val="00916F04"/>
    <w:rsid w:val="00921B76"/>
    <w:rsid w:val="009224B4"/>
    <w:rsid w:val="009239EC"/>
    <w:rsid w:val="00923E83"/>
    <w:rsid w:val="0092424C"/>
    <w:rsid w:val="00924C96"/>
    <w:rsid w:val="00924E92"/>
    <w:rsid w:val="00924FE4"/>
    <w:rsid w:val="00925085"/>
    <w:rsid w:val="009270A7"/>
    <w:rsid w:val="00927188"/>
    <w:rsid w:val="0093036B"/>
    <w:rsid w:val="00930895"/>
    <w:rsid w:val="00931B8A"/>
    <w:rsid w:val="00931C6E"/>
    <w:rsid w:val="00934110"/>
    <w:rsid w:val="009355F0"/>
    <w:rsid w:val="00935B6E"/>
    <w:rsid w:val="00937062"/>
    <w:rsid w:val="009406BA"/>
    <w:rsid w:val="00942EED"/>
    <w:rsid w:val="009434F0"/>
    <w:rsid w:val="00943670"/>
    <w:rsid w:val="00945270"/>
    <w:rsid w:val="00947B1F"/>
    <w:rsid w:val="00950761"/>
    <w:rsid w:val="0095083C"/>
    <w:rsid w:val="00952B9C"/>
    <w:rsid w:val="00952DEA"/>
    <w:rsid w:val="00953A91"/>
    <w:rsid w:val="00953EF2"/>
    <w:rsid w:val="0095428B"/>
    <w:rsid w:val="00954520"/>
    <w:rsid w:val="00954D2E"/>
    <w:rsid w:val="00955260"/>
    <w:rsid w:val="00955AA8"/>
    <w:rsid w:val="0095658F"/>
    <w:rsid w:val="00956ABA"/>
    <w:rsid w:val="0096052C"/>
    <w:rsid w:val="009607D9"/>
    <w:rsid w:val="00962760"/>
    <w:rsid w:val="00962B48"/>
    <w:rsid w:val="00962F5D"/>
    <w:rsid w:val="009630AA"/>
    <w:rsid w:val="00963296"/>
    <w:rsid w:val="009637F2"/>
    <w:rsid w:val="009639A0"/>
    <w:rsid w:val="00964FB3"/>
    <w:rsid w:val="0096510C"/>
    <w:rsid w:val="00965167"/>
    <w:rsid w:val="00965224"/>
    <w:rsid w:val="00965418"/>
    <w:rsid w:val="0096751E"/>
    <w:rsid w:val="009676A2"/>
    <w:rsid w:val="009679A5"/>
    <w:rsid w:val="009700E6"/>
    <w:rsid w:val="009709DC"/>
    <w:rsid w:val="00970A93"/>
    <w:rsid w:val="00970E0C"/>
    <w:rsid w:val="00971602"/>
    <w:rsid w:val="009724BC"/>
    <w:rsid w:val="00972859"/>
    <w:rsid w:val="00973DDC"/>
    <w:rsid w:val="0097567C"/>
    <w:rsid w:val="0097754D"/>
    <w:rsid w:val="00980411"/>
    <w:rsid w:val="009810AF"/>
    <w:rsid w:val="00983FE9"/>
    <w:rsid w:val="009845A5"/>
    <w:rsid w:val="00984A3A"/>
    <w:rsid w:val="0099002F"/>
    <w:rsid w:val="00990182"/>
    <w:rsid w:val="00991170"/>
    <w:rsid w:val="00991F56"/>
    <w:rsid w:val="00992C92"/>
    <w:rsid w:val="0099387C"/>
    <w:rsid w:val="009947FB"/>
    <w:rsid w:val="00994ABB"/>
    <w:rsid w:val="009950F5"/>
    <w:rsid w:val="0099565A"/>
    <w:rsid w:val="009957F4"/>
    <w:rsid w:val="00995FEE"/>
    <w:rsid w:val="0099608A"/>
    <w:rsid w:val="0099655F"/>
    <w:rsid w:val="00997837"/>
    <w:rsid w:val="009A1510"/>
    <w:rsid w:val="009A1738"/>
    <w:rsid w:val="009A2FA3"/>
    <w:rsid w:val="009A3AAE"/>
    <w:rsid w:val="009A3F17"/>
    <w:rsid w:val="009A4292"/>
    <w:rsid w:val="009A4852"/>
    <w:rsid w:val="009A574D"/>
    <w:rsid w:val="009A5B47"/>
    <w:rsid w:val="009A5B6C"/>
    <w:rsid w:val="009B00B1"/>
    <w:rsid w:val="009B04E6"/>
    <w:rsid w:val="009B1B63"/>
    <w:rsid w:val="009B2578"/>
    <w:rsid w:val="009B3B73"/>
    <w:rsid w:val="009B43C8"/>
    <w:rsid w:val="009B52D1"/>
    <w:rsid w:val="009B7883"/>
    <w:rsid w:val="009C241C"/>
    <w:rsid w:val="009C3799"/>
    <w:rsid w:val="009C55EC"/>
    <w:rsid w:val="009C5FCE"/>
    <w:rsid w:val="009C7136"/>
    <w:rsid w:val="009C7B10"/>
    <w:rsid w:val="009D0793"/>
    <w:rsid w:val="009D21EE"/>
    <w:rsid w:val="009D335D"/>
    <w:rsid w:val="009D36AA"/>
    <w:rsid w:val="009D4496"/>
    <w:rsid w:val="009D4EEF"/>
    <w:rsid w:val="009D5FB4"/>
    <w:rsid w:val="009D7DD3"/>
    <w:rsid w:val="009E08C2"/>
    <w:rsid w:val="009E18B6"/>
    <w:rsid w:val="009E1C4A"/>
    <w:rsid w:val="009E2E80"/>
    <w:rsid w:val="009E53B6"/>
    <w:rsid w:val="009E5C7A"/>
    <w:rsid w:val="009E631C"/>
    <w:rsid w:val="009E6932"/>
    <w:rsid w:val="009E741D"/>
    <w:rsid w:val="009E76C2"/>
    <w:rsid w:val="009F3229"/>
    <w:rsid w:val="009F3718"/>
    <w:rsid w:val="009F39FF"/>
    <w:rsid w:val="009F3E83"/>
    <w:rsid w:val="009F558A"/>
    <w:rsid w:val="009F6A55"/>
    <w:rsid w:val="009F6BDB"/>
    <w:rsid w:val="009F7283"/>
    <w:rsid w:val="009F7906"/>
    <w:rsid w:val="009F7A10"/>
    <w:rsid w:val="00A000FD"/>
    <w:rsid w:val="00A00732"/>
    <w:rsid w:val="00A01514"/>
    <w:rsid w:val="00A04E77"/>
    <w:rsid w:val="00A06930"/>
    <w:rsid w:val="00A06D05"/>
    <w:rsid w:val="00A105A6"/>
    <w:rsid w:val="00A10787"/>
    <w:rsid w:val="00A1097C"/>
    <w:rsid w:val="00A13C31"/>
    <w:rsid w:val="00A15DD1"/>
    <w:rsid w:val="00A16168"/>
    <w:rsid w:val="00A16428"/>
    <w:rsid w:val="00A172CC"/>
    <w:rsid w:val="00A17402"/>
    <w:rsid w:val="00A20301"/>
    <w:rsid w:val="00A21170"/>
    <w:rsid w:val="00A233DB"/>
    <w:rsid w:val="00A24200"/>
    <w:rsid w:val="00A25164"/>
    <w:rsid w:val="00A269F5"/>
    <w:rsid w:val="00A2789D"/>
    <w:rsid w:val="00A27971"/>
    <w:rsid w:val="00A30940"/>
    <w:rsid w:val="00A30FCD"/>
    <w:rsid w:val="00A31213"/>
    <w:rsid w:val="00A3182C"/>
    <w:rsid w:val="00A32C5E"/>
    <w:rsid w:val="00A34292"/>
    <w:rsid w:val="00A34865"/>
    <w:rsid w:val="00A35883"/>
    <w:rsid w:val="00A36011"/>
    <w:rsid w:val="00A37CAC"/>
    <w:rsid w:val="00A405E6"/>
    <w:rsid w:val="00A40D2B"/>
    <w:rsid w:val="00A41EBE"/>
    <w:rsid w:val="00A42008"/>
    <w:rsid w:val="00A42524"/>
    <w:rsid w:val="00A43147"/>
    <w:rsid w:val="00A4338E"/>
    <w:rsid w:val="00A43928"/>
    <w:rsid w:val="00A465F3"/>
    <w:rsid w:val="00A46C3F"/>
    <w:rsid w:val="00A47C57"/>
    <w:rsid w:val="00A50459"/>
    <w:rsid w:val="00A50B11"/>
    <w:rsid w:val="00A50E2D"/>
    <w:rsid w:val="00A51234"/>
    <w:rsid w:val="00A51DE3"/>
    <w:rsid w:val="00A538C8"/>
    <w:rsid w:val="00A54060"/>
    <w:rsid w:val="00A54C49"/>
    <w:rsid w:val="00A54E2F"/>
    <w:rsid w:val="00A55B7C"/>
    <w:rsid w:val="00A56B93"/>
    <w:rsid w:val="00A601BB"/>
    <w:rsid w:val="00A623CC"/>
    <w:rsid w:val="00A63342"/>
    <w:rsid w:val="00A6384C"/>
    <w:rsid w:val="00A65521"/>
    <w:rsid w:val="00A66096"/>
    <w:rsid w:val="00A67766"/>
    <w:rsid w:val="00A70975"/>
    <w:rsid w:val="00A70DB0"/>
    <w:rsid w:val="00A71111"/>
    <w:rsid w:val="00A714EC"/>
    <w:rsid w:val="00A73160"/>
    <w:rsid w:val="00A73447"/>
    <w:rsid w:val="00A73B97"/>
    <w:rsid w:val="00A76792"/>
    <w:rsid w:val="00A76DB5"/>
    <w:rsid w:val="00A76EC9"/>
    <w:rsid w:val="00A76F66"/>
    <w:rsid w:val="00A77355"/>
    <w:rsid w:val="00A774D2"/>
    <w:rsid w:val="00A77E59"/>
    <w:rsid w:val="00A77F0A"/>
    <w:rsid w:val="00A812B1"/>
    <w:rsid w:val="00A83A01"/>
    <w:rsid w:val="00A85909"/>
    <w:rsid w:val="00A86A22"/>
    <w:rsid w:val="00A8752D"/>
    <w:rsid w:val="00A87930"/>
    <w:rsid w:val="00A87C72"/>
    <w:rsid w:val="00A90361"/>
    <w:rsid w:val="00A90376"/>
    <w:rsid w:val="00A909EE"/>
    <w:rsid w:val="00A91055"/>
    <w:rsid w:val="00A91857"/>
    <w:rsid w:val="00A92245"/>
    <w:rsid w:val="00A93A4D"/>
    <w:rsid w:val="00A93C51"/>
    <w:rsid w:val="00A94FC2"/>
    <w:rsid w:val="00A9540C"/>
    <w:rsid w:val="00A964A4"/>
    <w:rsid w:val="00A96C0C"/>
    <w:rsid w:val="00A97474"/>
    <w:rsid w:val="00A97D24"/>
    <w:rsid w:val="00AA0C58"/>
    <w:rsid w:val="00AA0ED8"/>
    <w:rsid w:val="00AA1D48"/>
    <w:rsid w:val="00AA2005"/>
    <w:rsid w:val="00AA211B"/>
    <w:rsid w:val="00AA46F3"/>
    <w:rsid w:val="00AA4E23"/>
    <w:rsid w:val="00AA6136"/>
    <w:rsid w:val="00AA625C"/>
    <w:rsid w:val="00AA6D63"/>
    <w:rsid w:val="00AA7A1E"/>
    <w:rsid w:val="00AB27A6"/>
    <w:rsid w:val="00AB3324"/>
    <w:rsid w:val="00AB5E66"/>
    <w:rsid w:val="00AB5FD3"/>
    <w:rsid w:val="00AB779B"/>
    <w:rsid w:val="00AB789D"/>
    <w:rsid w:val="00AB791E"/>
    <w:rsid w:val="00AC20A0"/>
    <w:rsid w:val="00AC2C2F"/>
    <w:rsid w:val="00AC31E3"/>
    <w:rsid w:val="00AC32E3"/>
    <w:rsid w:val="00AC35B2"/>
    <w:rsid w:val="00AC5CDA"/>
    <w:rsid w:val="00AC7A5A"/>
    <w:rsid w:val="00AD0336"/>
    <w:rsid w:val="00AD0D2A"/>
    <w:rsid w:val="00AD2123"/>
    <w:rsid w:val="00AD3948"/>
    <w:rsid w:val="00AD4A0E"/>
    <w:rsid w:val="00AD5BB0"/>
    <w:rsid w:val="00AD5FA3"/>
    <w:rsid w:val="00AD7151"/>
    <w:rsid w:val="00AD72EA"/>
    <w:rsid w:val="00AD745F"/>
    <w:rsid w:val="00AD7EB5"/>
    <w:rsid w:val="00AD7F7A"/>
    <w:rsid w:val="00AE26FD"/>
    <w:rsid w:val="00AE2B15"/>
    <w:rsid w:val="00AE2E17"/>
    <w:rsid w:val="00AE3382"/>
    <w:rsid w:val="00AE4AEA"/>
    <w:rsid w:val="00AE592E"/>
    <w:rsid w:val="00AE5A44"/>
    <w:rsid w:val="00AE69E6"/>
    <w:rsid w:val="00AF04C2"/>
    <w:rsid w:val="00AF08B1"/>
    <w:rsid w:val="00AF1982"/>
    <w:rsid w:val="00AF2147"/>
    <w:rsid w:val="00AF3473"/>
    <w:rsid w:val="00AF42AC"/>
    <w:rsid w:val="00AF4847"/>
    <w:rsid w:val="00AF65F2"/>
    <w:rsid w:val="00AF7281"/>
    <w:rsid w:val="00AF7A6A"/>
    <w:rsid w:val="00B021D5"/>
    <w:rsid w:val="00B0332C"/>
    <w:rsid w:val="00B035D1"/>
    <w:rsid w:val="00B03B1F"/>
    <w:rsid w:val="00B03C75"/>
    <w:rsid w:val="00B075F5"/>
    <w:rsid w:val="00B10D3A"/>
    <w:rsid w:val="00B11B62"/>
    <w:rsid w:val="00B13628"/>
    <w:rsid w:val="00B13759"/>
    <w:rsid w:val="00B13C7B"/>
    <w:rsid w:val="00B14984"/>
    <w:rsid w:val="00B14B04"/>
    <w:rsid w:val="00B14DEA"/>
    <w:rsid w:val="00B14F87"/>
    <w:rsid w:val="00B16051"/>
    <w:rsid w:val="00B16AEA"/>
    <w:rsid w:val="00B17273"/>
    <w:rsid w:val="00B21777"/>
    <w:rsid w:val="00B2287D"/>
    <w:rsid w:val="00B23D4D"/>
    <w:rsid w:val="00B24EFD"/>
    <w:rsid w:val="00B254D4"/>
    <w:rsid w:val="00B262A4"/>
    <w:rsid w:val="00B2663C"/>
    <w:rsid w:val="00B27D76"/>
    <w:rsid w:val="00B324FA"/>
    <w:rsid w:val="00B34CA6"/>
    <w:rsid w:val="00B35A36"/>
    <w:rsid w:val="00B35CE0"/>
    <w:rsid w:val="00B36AB9"/>
    <w:rsid w:val="00B375FB"/>
    <w:rsid w:val="00B37892"/>
    <w:rsid w:val="00B40638"/>
    <w:rsid w:val="00B40961"/>
    <w:rsid w:val="00B41946"/>
    <w:rsid w:val="00B44116"/>
    <w:rsid w:val="00B4413C"/>
    <w:rsid w:val="00B44620"/>
    <w:rsid w:val="00B44F44"/>
    <w:rsid w:val="00B458C5"/>
    <w:rsid w:val="00B45AA4"/>
    <w:rsid w:val="00B4632D"/>
    <w:rsid w:val="00B4642C"/>
    <w:rsid w:val="00B465F4"/>
    <w:rsid w:val="00B4716B"/>
    <w:rsid w:val="00B47B76"/>
    <w:rsid w:val="00B5049E"/>
    <w:rsid w:val="00B51489"/>
    <w:rsid w:val="00B51A67"/>
    <w:rsid w:val="00B522A2"/>
    <w:rsid w:val="00B53A63"/>
    <w:rsid w:val="00B53CB8"/>
    <w:rsid w:val="00B53E92"/>
    <w:rsid w:val="00B53FD2"/>
    <w:rsid w:val="00B55667"/>
    <w:rsid w:val="00B55920"/>
    <w:rsid w:val="00B570D2"/>
    <w:rsid w:val="00B57D77"/>
    <w:rsid w:val="00B612FC"/>
    <w:rsid w:val="00B615A2"/>
    <w:rsid w:val="00B63F24"/>
    <w:rsid w:val="00B64BA1"/>
    <w:rsid w:val="00B65589"/>
    <w:rsid w:val="00B673EE"/>
    <w:rsid w:val="00B70655"/>
    <w:rsid w:val="00B71321"/>
    <w:rsid w:val="00B72395"/>
    <w:rsid w:val="00B73052"/>
    <w:rsid w:val="00B73DA8"/>
    <w:rsid w:val="00B748AD"/>
    <w:rsid w:val="00B77989"/>
    <w:rsid w:val="00B80169"/>
    <w:rsid w:val="00B80420"/>
    <w:rsid w:val="00B81020"/>
    <w:rsid w:val="00B81119"/>
    <w:rsid w:val="00B8209A"/>
    <w:rsid w:val="00B824FD"/>
    <w:rsid w:val="00B8251E"/>
    <w:rsid w:val="00B8255E"/>
    <w:rsid w:val="00B82589"/>
    <w:rsid w:val="00B82BDE"/>
    <w:rsid w:val="00B837F1"/>
    <w:rsid w:val="00B846A6"/>
    <w:rsid w:val="00B8668C"/>
    <w:rsid w:val="00B86D5E"/>
    <w:rsid w:val="00B87BF4"/>
    <w:rsid w:val="00B87D8C"/>
    <w:rsid w:val="00B87F2C"/>
    <w:rsid w:val="00B903B8"/>
    <w:rsid w:val="00B90D13"/>
    <w:rsid w:val="00B9104F"/>
    <w:rsid w:val="00B91644"/>
    <w:rsid w:val="00B9185B"/>
    <w:rsid w:val="00B91F68"/>
    <w:rsid w:val="00B9226B"/>
    <w:rsid w:val="00B92FAA"/>
    <w:rsid w:val="00B93922"/>
    <w:rsid w:val="00B94706"/>
    <w:rsid w:val="00B94CF6"/>
    <w:rsid w:val="00B97382"/>
    <w:rsid w:val="00BA0AA2"/>
    <w:rsid w:val="00BA305B"/>
    <w:rsid w:val="00BA3B32"/>
    <w:rsid w:val="00BA4DD3"/>
    <w:rsid w:val="00BA4EFE"/>
    <w:rsid w:val="00BA52E0"/>
    <w:rsid w:val="00BA5D5E"/>
    <w:rsid w:val="00BA5ED3"/>
    <w:rsid w:val="00BA5FBD"/>
    <w:rsid w:val="00BA6298"/>
    <w:rsid w:val="00BA7B97"/>
    <w:rsid w:val="00BA7D28"/>
    <w:rsid w:val="00BB1ACB"/>
    <w:rsid w:val="00BB1CD0"/>
    <w:rsid w:val="00BB2488"/>
    <w:rsid w:val="00BB4047"/>
    <w:rsid w:val="00BB472E"/>
    <w:rsid w:val="00BC2E6E"/>
    <w:rsid w:val="00BC4F6E"/>
    <w:rsid w:val="00BC673D"/>
    <w:rsid w:val="00BC7226"/>
    <w:rsid w:val="00BD0C99"/>
    <w:rsid w:val="00BD10E6"/>
    <w:rsid w:val="00BD129C"/>
    <w:rsid w:val="00BD1394"/>
    <w:rsid w:val="00BD17EB"/>
    <w:rsid w:val="00BD271E"/>
    <w:rsid w:val="00BD29C9"/>
    <w:rsid w:val="00BD4020"/>
    <w:rsid w:val="00BD5CBD"/>
    <w:rsid w:val="00BD6546"/>
    <w:rsid w:val="00BD661E"/>
    <w:rsid w:val="00BD67AD"/>
    <w:rsid w:val="00BE0324"/>
    <w:rsid w:val="00BE043B"/>
    <w:rsid w:val="00BE0480"/>
    <w:rsid w:val="00BE0620"/>
    <w:rsid w:val="00BE0BF3"/>
    <w:rsid w:val="00BE1C46"/>
    <w:rsid w:val="00BE3296"/>
    <w:rsid w:val="00BE4931"/>
    <w:rsid w:val="00BE49BF"/>
    <w:rsid w:val="00BE7EB8"/>
    <w:rsid w:val="00BF0C5D"/>
    <w:rsid w:val="00BF14A0"/>
    <w:rsid w:val="00BF1E5F"/>
    <w:rsid w:val="00BF2195"/>
    <w:rsid w:val="00BF22F4"/>
    <w:rsid w:val="00BF30BE"/>
    <w:rsid w:val="00BF3E5C"/>
    <w:rsid w:val="00BF4C53"/>
    <w:rsid w:val="00BF5E15"/>
    <w:rsid w:val="00BF6495"/>
    <w:rsid w:val="00BF66F4"/>
    <w:rsid w:val="00BF67C3"/>
    <w:rsid w:val="00C00C6C"/>
    <w:rsid w:val="00C0127F"/>
    <w:rsid w:val="00C0268E"/>
    <w:rsid w:val="00C02BAD"/>
    <w:rsid w:val="00C035E9"/>
    <w:rsid w:val="00C03E39"/>
    <w:rsid w:val="00C0413A"/>
    <w:rsid w:val="00C04846"/>
    <w:rsid w:val="00C05D04"/>
    <w:rsid w:val="00C102F5"/>
    <w:rsid w:val="00C10480"/>
    <w:rsid w:val="00C1099E"/>
    <w:rsid w:val="00C109D8"/>
    <w:rsid w:val="00C10D41"/>
    <w:rsid w:val="00C11514"/>
    <w:rsid w:val="00C1151C"/>
    <w:rsid w:val="00C12E10"/>
    <w:rsid w:val="00C13B19"/>
    <w:rsid w:val="00C14E2C"/>
    <w:rsid w:val="00C155B2"/>
    <w:rsid w:val="00C16134"/>
    <w:rsid w:val="00C1656D"/>
    <w:rsid w:val="00C168FA"/>
    <w:rsid w:val="00C2064A"/>
    <w:rsid w:val="00C20D63"/>
    <w:rsid w:val="00C22E95"/>
    <w:rsid w:val="00C242B0"/>
    <w:rsid w:val="00C24866"/>
    <w:rsid w:val="00C24CE5"/>
    <w:rsid w:val="00C24F6F"/>
    <w:rsid w:val="00C25077"/>
    <w:rsid w:val="00C25F35"/>
    <w:rsid w:val="00C265C0"/>
    <w:rsid w:val="00C27CEA"/>
    <w:rsid w:val="00C302D8"/>
    <w:rsid w:val="00C3134E"/>
    <w:rsid w:val="00C31417"/>
    <w:rsid w:val="00C314F8"/>
    <w:rsid w:val="00C32089"/>
    <w:rsid w:val="00C3237B"/>
    <w:rsid w:val="00C34B2C"/>
    <w:rsid w:val="00C35EB9"/>
    <w:rsid w:val="00C36D90"/>
    <w:rsid w:val="00C36D93"/>
    <w:rsid w:val="00C36D9F"/>
    <w:rsid w:val="00C36FF2"/>
    <w:rsid w:val="00C37963"/>
    <w:rsid w:val="00C3796E"/>
    <w:rsid w:val="00C400EE"/>
    <w:rsid w:val="00C40359"/>
    <w:rsid w:val="00C4252C"/>
    <w:rsid w:val="00C452D3"/>
    <w:rsid w:val="00C45DD3"/>
    <w:rsid w:val="00C46B50"/>
    <w:rsid w:val="00C500B2"/>
    <w:rsid w:val="00C528FA"/>
    <w:rsid w:val="00C52B9E"/>
    <w:rsid w:val="00C53078"/>
    <w:rsid w:val="00C539CD"/>
    <w:rsid w:val="00C54187"/>
    <w:rsid w:val="00C554C2"/>
    <w:rsid w:val="00C56D06"/>
    <w:rsid w:val="00C571F5"/>
    <w:rsid w:val="00C57DFE"/>
    <w:rsid w:val="00C6024D"/>
    <w:rsid w:val="00C6039E"/>
    <w:rsid w:val="00C6158B"/>
    <w:rsid w:val="00C61C70"/>
    <w:rsid w:val="00C61C99"/>
    <w:rsid w:val="00C62343"/>
    <w:rsid w:val="00C627BA"/>
    <w:rsid w:val="00C6285E"/>
    <w:rsid w:val="00C62999"/>
    <w:rsid w:val="00C62A5D"/>
    <w:rsid w:val="00C631B3"/>
    <w:rsid w:val="00C632EA"/>
    <w:rsid w:val="00C641EA"/>
    <w:rsid w:val="00C64BBD"/>
    <w:rsid w:val="00C664EA"/>
    <w:rsid w:val="00C70F8A"/>
    <w:rsid w:val="00C7124F"/>
    <w:rsid w:val="00C71674"/>
    <w:rsid w:val="00C71DE5"/>
    <w:rsid w:val="00C73050"/>
    <w:rsid w:val="00C737DF"/>
    <w:rsid w:val="00C743CA"/>
    <w:rsid w:val="00C75470"/>
    <w:rsid w:val="00C754B1"/>
    <w:rsid w:val="00C76235"/>
    <w:rsid w:val="00C76475"/>
    <w:rsid w:val="00C7673E"/>
    <w:rsid w:val="00C7687E"/>
    <w:rsid w:val="00C77598"/>
    <w:rsid w:val="00C8001C"/>
    <w:rsid w:val="00C801B8"/>
    <w:rsid w:val="00C813A7"/>
    <w:rsid w:val="00C81C3C"/>
    <w:rsid w:val="00C82382"/>
    <w:rsid w:val="00C82C2D"/>
    <w:rsid w:val="00C82C53"/>
    <w:rsid w:val="00C82C65"/>
    <w:rsid w:val="00C83451"/>
    <w:rsid w:val="00C8428A"/>
    <w:rsid w:val="00C84531"/>
    <w:rsid w:val="00C849DA"/>
    <w:rsid w:val="00C87791"/>
    <w:rsid w:val="00C87AFA"/>
    <w:rsid w:val="00C902BD"/>
    <w:rsid w:val="00C90802"/>
    <w:rsid w:val="00C90F8F"/>
    <w:rsid w:val="00C91E77"/>
    <w:rsid w:val="00C93647"/>
    <w:rsid w:val="00C93744"/>
    <w:rsid w:val="00C9405D"/>
    <w:rsid w:val="00C944AF"/>
    <w:rsid w:val="00C959AB"/>
    <w:rsid w:val="00C97A83"/>
    <w:rsid w:val="00CA12FB"/>
    <w:rsid w:val="00CA3F0D"/>
    <w:rsid w:val="00CA4AF4"/>
    <w:rsid w:val="00CA5586"/>
    <w:rsid w:val="00CA5D3B"/>
    <w:rsid w:val="00CA5FC1"/>
    <w:rsid w:val="00CA6194"/>
    <w:rsid w:val="00CA682E"/>
    <w:rsid w:val="00CA75A4"/>
    <w:rsid w:val="00CA7BF7"/>
    <w:rsid w:val="00CB00BE"/>
    <w:rsid w:val="00CB2496"/>
    <w:rsid w:val="00CB37CD"/>
    <w:rsid w:val="00CB52E1"/>
    <w:rsid w:val="00CB5A3D"/>
    <w:rsid w:val="00CB6DBA"/>
    <w:rsid w:val="00CB7C4F"/>
    <w:rsid w:val="00CC0E40"/>
    <w:rsid w:val="00CC0FF4"/>
    <w:rsid w:val="00CC1254"/>
    <w:rsid w:val="00CC176B"/>
    <w:rsid w:val="00CC2437"/>
    <w:rsid w:val="00CC33F8"/>
    <w:rsid w:val="00CC42AA"/>
    <w:rsid w:val="00CC4311"/>
    <w:rsid w:val="00CC4AFD"/>
    <w:rsid w:val="00CC53DE"/>
    <w:rsid w:val="00CC7C52"/>
    <w:rsid w:val="00CD0BE0"/>
    <w:rsid w:val="00CD0FEF"/>
    <w:rsid w:val="00CD1660"/>
    <w:rsid w:val="00CD1CFB"/>
    <w:rsid w:val="00CD398C"/>
    <w:rsid w:val="00CD4282"/>
    <w:rsid w:val="00CD4567"/>
    <w:rsid w:val="00CD467A"/>
    <w:rsid w:val="00CD6CAF"/>
    <w:rsid w:val="00CD6E5D"/>
    <w:rsid w:val="00CD7952"/>
    <w:rsid w:val="00CD7B0E"/>
    <w:rsid w:val="00CD7D5A"/>
    <w:rsid w:val="00CE001F"/>
    <w:rsid w:val="00CE0D8B"/>
    <w:rsid w:val="00CE1E16"/>
    <w:rsid w:val="00CE1E40"/>
    <w:rsid w:val="00CE30F6"/>
    <w:rsid w:val="00CE323F"/>
    <w:rsid w:val="00CE3388"/>
    <w:rsid w:val="00CE3F9B"/>
    <w:rsid w:val="00CE45DF"/>
    <w:rsid w:val="00CE58A1"/>
    <w:rsid w:val="00CE6046"/>
    <w:rsid w:val="00CE6444"/>
    <w:rsid w:val="00CE6542"/>
    <w:rsid w:val="00CE6881"/>
    <w:rsid w:val="00CE6AC3"/>
    <w:rsid w:val="00CF13E2"/>
    <w:rsid w:val="00CF1D24"/>
    <w:rsid w:val="00CF3B89"/>
    <w:rsid w:val="00CF3E09"/>
    <w:rsid w:val="00CF4D2F"/>
    <w:rsid w:val="00CF6863"/>
    <w:rsid w:val="00CF6D02"/>
    <w:rsid w:val="00CF6DB4"/>
    <w:rsid w:val="00CF7BDA"/>
    <w:rsid w:val="00D00A6E"/>
    <w:rsid w:val="00D00CE8"/>
    <w:rsid w:val="00D01891"/>
    <w:rsid w:val="00D024C9"/>
    <w:rsid w:val="00D02D76"/>
    <w:rsid w:val="00D04102"/>
    <w:rsid w:val="00D041F3"/>
    <w:rsid w:val="00D044FA"/>
    <w:rsid w:val="00D04D6C"/>
    <w:rsid w:val="00D06076"/>
    <w:rsid w:val="00D06DCC"/>
    <w:rsid w:val="00D06E3E"/>
    <w:rsid w:val="00D06E4B"/>
    <w:rsid w:val="00D06F14"/>
    <w:rsid w:val="00D1088A"/>
    <w:rsid w:val="00D10D54"/>
    <w:rsid w:val="00D11390"/>
    <w:rsid w:val="00D115B4"/>
    <w:rsid w:val="00D11703"/>
    <w:rsid w:val="00D11D98"/>
    <w:rsid w:val="00D1260C"/>
    <w:rsid w:val="00D13ADD"/>
    <w:rsid w:val="00D14E5A"/>
    <w:rsid w:val="00D1511C"/>
    <w:rsid w:val="00D15136"/>
    <w:rsid w:val="00D15A22"/>
    <w:rsid w:val="00D163FD"/>
    <w:rsid w:val="00D1683E"/>
    <w:rsid w:val="00D1791F"/>
    <w:rsid w:val="00D17F49"/>
    <w:rsid w:val="00D2035B"/>
    <w:rsid w:val="00D20E7F"/>
    <w:rsid w:val="00D22A96"/>
    <w:rsid w:val="00D2305E"/>
    <w:rsid w:val="00D23BBD"/>
    <w:rsid w:val="00D25B9B"/>
    <w:rsid w:val="00D26A9F"/>
    <w:rsid w:val="00D27149"/>
    <w:rsid w:val="00D27532"/>
    <w:rsid w:val="00D31357"/>
    <w:rsid w:val="00D3166D"/>
    <w:rsid w:val="00D31F4E"/>
    <w:rsid w:val="00D32569"/>
    <w:rsid w:val="00D3275B"/>
    <w:rsid w:val="00D33688"/>
    <w:rsid w:val="00D33B6D"/>
    <w:rsid w:val="00D35004"/>
    <w:rsid w:val="00D359AC"/>
    <w:rsid w:val="00D35D38"/>
    <w:rsid w:val="00D369D7"/>
    <w:rsid w:val="00D36BA1"/>
    <w:rsid w:val="00D36DCA"/>
    <w:rsid w:val="00D36F5A"/>
    <w:rsid w:val="00D40BE6"/>
    <w:rsid w:val="00D40EF7"/>
    <w:rsid w:val="00D4142F"/>
    <w:rsid w:val="00D41AC8"/>
    <w:rsid w:val="00D42172"/>
    <w:rsid w:val="00D440BA"/>
    <w:rsid w:val="00D451B1"/>
    <w:rsid w:val="00D45997"/>
    <w:rsid w:val="00D46018"/>
    <w:rsid w:val="00D46D9D"/>
    <w:rsid w:val="00D4757F"/>
    <w:rsid w:val="00D47B7B"/>
    <w:rsid w:val="00D47D18"/>
    <w:rsid w:val="00D50E22"/>
    <w:rsid w:val="00D51B84"/>
    <w:rsid w:val="00D51CD8"/>
    <w:rsid w:val="00D52A2B"/>
    <w:rsid w:val="00D54CD4"/>
    <w:rsid w:val="00D54F03"/>
    <w:rsid w:val="00D5500A"/>
    <w:rsid w:val="00D5578A"/>
    <w:rsid w:val="00D55E10"/>
    <w:rsid w:val="00D56C9F"/>
    <w:rsid w:val="00D56F6F"/>
    <w:rsid w:val="00D56F8B"/>
    <w:rsid w:val="00D57B69"/>
    <w:rsid w:val="00D57E95"/>
    <w:rsid w:val="00D60D97"/>
    <w:rsid w:val="00D60DBA"/>
    <w:rsid w:val="00D612EF"/>
    <w:rsid w:val="00D6134B"/>
    <w:rsid w:val="00D6191C"/>
    <w:rsid w:val="00D61A27"/>
    <w:rsid w:val="00D62F75"/>
    <w:rsid w:val="00D63BAE"/>
    <w:rsid w:val="00D63F97"/>
    <w:rsid w:val="00D64102"/>
    <w:rsid w:val="00D649D5"/>
    <w:rsid w:val="00D64D85"/>
    <w:rsid w:val="00D6512B"/>
    <w:rsid w:val="00D65866"/>
    <w:rsid w:val="00D66934"/>
    <w:rsid w:val="00D708AE"/>
    <w:rsid w:val="00D715CF"/>
    <w:rsid w:val="00D7285C"/>
    <w:rsid w:val="00D7364B"/>
    <w:rsid w:val="00D7457F"/>
    <w:rsid w:val="00D745B9"/>
    <w:rsid w:val="00D767C3"/>
    <w:rsid w:val="00D767D7"/>
    <w:rsid w:val="00D773ED"/>
    <w:rsid w:val="00D80DA7"/>
    <w:rsid w:val="00D81155"/>
    <w:rsid w:val="00D81943"/>
    <w:rsid w:val="00D81DFE"/>
    <w:rsid w:val="00D820E2"/>
    <w:rsid w:val="00D823E5"/>
    <w:rsid w:val="00D82FEB"/>
    <w:rsid w:val="00D8319E"/>
    <w:rsid w:val="00D85024"/>
    <w:rsid w:val="00D856C2"/>
    <w:rsid w:val="00D85E15"/>
    <w:rsid w:val="00D87EA4"/>
    <w:rsid w:val="00D90158"/>
    <w:rsid w:val="00D925BA"/>
    <w:rsid w:val="00D939B8"/>
    <w:rsid w:val="00D93A6B"/>
    <w:rsid w:val="00D94E69"/>
    <w:rsid w:val="00D9510C"/>
    <w:rsid w:val="00D96439"/>
    <w:rsid w:val="00D96E08"/>
    <w:rsid w:val="00DA072A"/>
    <w:rsid w:val="00DA1352"/>
    <w:rsid w:val="00DA1A61"/>
    <w:rsid w:val="00DA1C05"/>
    <w:rsid w:val="00DA35E0"/>
    <w:rsid w:val="00DA40B3"/>
    <w:rsid w:val="00DA490B"/>
    <w:rsid w:val="00DA4E5D"/>
    <w:rsid w:val="00DA5F1D"/>
    <w:rsid w:val="00DA6658"/>
    <w:rsid w:val="00DA696B"/>
    <w:rsid w:val="00DA69A6"/>
    <w:rsid w:val="00DA6F66"/>
    <w:rsid w:val="00DB0B45"/>
    <w:rsid w:val="00DB10F0"/>
    <w:rsid w:val="00DB176A"/>
    <w:rsid w:val="00DB2331"/>
    <w:rsid w:val="00DB2AA6"/>
    <w:rsid w:val="00DB31F2"/>
    <w:rsid w:val="00DB493A"/>
    <w:rsid w:val="00DB62C0"/>
    <w:rsid w:val="00DC0606"/>
    <w:rsid w:val="00DC1923"/>
    <w:rsid w:val="00DC1DD1"/>
    <w:rsid w:val="00DC22FD"/>
    <w:rsid w:val="00DC259B"/>
    <w:rsid w:val="00DC372B"/>
    <w:rsid w:val="00DC3A94"/>
    <w:rsid w:val="00DC42C9"/>
    <w:rsid w:val="00DC47BB"/>
    <w:rsid w:val="00DC4806"/>
    <w:rsid w:val="00DC5D69"/>
    <w:rsid w:val="00DC61D7"/>
    <w:rsid w:val="00DC7DA2"/>
    <w:rsid w:val="00DD1642"/>
    <w:rsid w:val="00DD2BE7"/>
    <w:rsid w:val="00DD2CF6"/>
    <w:rsid w:val="00DD3941"/>
    <w:rsid w:val="00DD3F98"/>
    <w:rsid w:val="00DD4195"/>
    <w:rsid w:val="00DD465C"/>
    <w:rsid w:val="00DD5201"/>
    <w:rsid w:val="00DD5905"/>
    <w:rsid w:val="00DD5F23"/>
    <w:rsid w:val="00DD62AF"/>
    <w:rsid w:val="00DD675E"/>
    <w:rsid w:val="00DD6C45"/>
    <w:rsid w:val="00DD6DA9"/>
    <w:rsid w:val="00DD7465"/>
    <w:rsid w:val="00DE0246"/>
    <w:rsid w:val="00DE05FB"/>
    <w:rsid w:val="00DE087D"/>
    <w:rsid w:val="00DE1156"/>
    <w:rsid w:val="00DE1310"/>
    <w:rsid w:val="00DE1515"/>
    <w:rsid w:val="00DE2243"/>
    <w:rsid w:val="00DE3D5E"/>
    <w:rsid w:val="00DE3D95"/>
    <w:rsid w:val="00DE5E07"/>
    <w:rsid w:val="00DE7ECF"/>
    <w:rsid w:val="00DF0169"/>
    <w:rsid w:val="00DF0CB8"/>
    <w:rsid w:val="00DF1042"/>
    <w:rsid w:val="00DF1B1F"/>
    <w:rsid w:val="00DF1E29"/>
    <w:rsid w:val="00DF339C"/>
    <w:rsid w:val="00DF3FC5"/>
    <w:rsid w:val="00DF5EB6"/>
    <w:rsid w:val="00DF658C"/>
    <w:rsid w:val="00DF668D"/>
    <w:rsid w:val="00DF705E"/>
    <w:rsid w:val="00DF7635"/>
    <w:rsid w:val="00E00C47"/>
    <w:rsid w:val="00E0178D"/>
    <w:rsid w:val="00E01CD1"/>
    <w:rsid w:val="00E01E57"/>
    <w:rsid w:val="00E0287A"/>
    <w:rsid w:val="00E03E0B"/>
    <w:rsid w:val="00E03FA8"/>
    <w:rsid w:val="00E052AD"/>
    <w:rsid w:val="00E06F80"/>
    <w:rsid w:val="00E10579"/>
    <w:rsid w:val="00E10A0A"/>
    <w:rsid w:val="00E121B6"/>
    <w:rsid w:val="00E124AE"/>
    <w:rsid w:val="00E12BFA"/>
    <w:rsid w:val="00E12DF0"/>
    <w:rsid w:val="00E1384B"/>
    <w:rsid w:val="00E13ED3"/>
    <w:rsid w:val="00E146B6"/>
    <w:rsid w:val="00E14798"/>
    <w:rsid w:val="00E14E2D"/>
    <w:rsid w:val="00E14EE4"/>
    <w:rsid w:val="00E16517"/>
    <w:rsid w:val="00E16532"/>
    <w:rsid w:val="00E16F5F"/>
    <w:rsid w:val="00E17425"/>
    <w:rsid w:val="00E17C8F"/>
    <w:rsid w:val="00E21842"/>
    <w:rsid w:val="00E220BF"/>
    <w:rsid w:val="00E22258"/>
    <w:rsid w:val="00E23070"/>
    <w:rsid w:val="00E23F96"/>
    <w:rsid w:val="00E24230"/>
    <w:rsid w:val="00E243AC"/>
    <w:rsid w:val="00E24515"/>
    <w:rsid w:val="00E24B12"/>
    <w:rsid w:val="00E256EE"/>
    <w:rsid w:val="00E262F8"/>
    <w:rsid w:val="00E26D90"/>
    <w:rsid w:val="00E300ED"/>
    <w:rsid w:val="00E30CAC"/>
    <w:rsid w:val="00E30EF9"/>
    <w:rsid w:val="00E34717"/>
    <w:rsid w:val="00E35479"/>
    <w:rsid w:val="00E35E38"/>
    <w:rsid w:val="00E36CEF"/>
    <w:rsid w:val="00E37C22"/>
    <w:rsid w:val="00E40147"/>
    <w:rsid w:val="00E40794"/>
    <w:rsid w:val="00E40AFA"/>
    <w:rsid w:val="00E40E7C"/>
    <w:rsid w:val="00E4236E"/>
    <w:rsid w:val="00E42923"/>
    <w:rsid w:val="00E42B91"/>
    <w:rsid w:val="00E42D23"/>
    <w:rsid w:val="00E44C10"/>
    <w:rsid w:val="00E46250"/>
    <w:rsid w:val="00E469AB"/>
    <w:rsid w:val="00E500A4"/>
    <w:rsid w:val="00E5145A"/>
    <w:rsid w:val="00E53446"/>
    <w:rsid w:val="00E550A9"/>
    <w:rsid w:val="00E552B1"/>
    <w:rsid w:val="00E5638F"/>
    <w:rsid w:val="00E6107F"/>
    <w:rsid w:val="00E62A71"/>
    <w:rsid w:val="00E632BF"/>
    <w:rsid w:val="00E63519"/>
    <w:rsid w:val="00E64D3F"/>
    <w:rsid w:val="00E654B7"/>
    <w:rsid w:val="00E655A7"/>
    <w:rsid w:val="00E66C70"/>
    <w:rsid w:val="00E67E34"/>
    <w:rsid w:val="00E70736"/>
    <w:rsid w:val="00E7085F"/>
    <w:rsid w:val="00E71829"/>
    <w:rsid w:val="00E7215A"/>
    <w:rsid w:val="00E7238C"/>
    <w:rsid w:val="00E72503"/>
    <w:rsid w:val="00E73192"/>
    <w:rsid w:val="00E747A4"/>
    <w:rsid w:val="00E74C7C"/>
    <w:rsid w:val="00E754CC"/>
    <w:rsid w:val="00E756E5"/>
    <w:rsid w:val="00E75710"/>
    <w:rsid w:val="00E75C1A"/>
    <w:rsid w:val="00E76059"/>
    <w:rsid w:val="00E7654F"/>
    <w:rsid w:val="00E80865"/>
    <w:rsid w:val="00E80AC1"/>
    <w:rsid w:val="00E80F7D"/>
    <w:rsid w:val="00E81216"/>
    <w:rsid w:val="00E81AF3"/>
    <w:rsid w:val="00E81C0A"/>
    <w:rsid w:val="00E82A0E"/>
    <w:rsid w:val="00E82F06"/>
    <w:rsid w:val="00E8348F"/>
    <w:rsid w:val="00E83E48"/>
    <w:rsid w:val="00E84247"/>
    <w:rsid w:val="00E842A3"/>
    <w:rsid w:val="00E85DC7"/>
    <w:rsid w:val="00E86ABF"/>
    <w:rsid w:val="00E86B1E"/>
    <w:rsid w:val="00E8791C"/>
    <w:rsid w:val="00E87AB3"/>
    <w:rsid w:val="00E87EC3"/>
    <w:rsid w:val="00E87FAE"/>
    <w:rsid w:val="00E907A6"/>
    <w:rsid w:val="00E91508"/>
    <w:rsid w:val="00E916CB"/>
    <w:rsid w:val="00E91C9F"/>
    <w:rsid w:val="00E91EE5"/>
    <w:rsid w:val="00E926B4"/>
    <w:rsid w:val="00E92F23"/>
    <w:rsid w:val="00E93E40"/>
    <w:rsid w:val="00E94793"/>
    <w:rsid w:val="00E94A3B"/>
    <w:rsid w:val="00E953F0"/>
    <w:rsid w:val="00E955B2"/>
    <w:rsid w:val="00E959B6"/>
    <w:rsid w:val="00EA11B8"/>
    <w:rsid w:val="00EA192F"/>
    <w:rsid w:val="00EA1DA2"/>
    <w:rsid w:val="00EA2006"/>
    <w:rsid w:val="00EA2988"/>
    <w:rsid w:val="00EA3410"/>
    <w:rsid w:val="00EA6FF1"/>
    <w:rsid w:val="00EA70C7"/>
    <w:rsid w:val="00EA75EA"/>
    <w:rsid w:val="00EA7D4E"/>
    <w:rsid w:val="00EA7F5A"/>
    <w:rsid w:val="00EB0962"/>
    <w:rsid w:val="00EB0DFA"/>
    <w:rsid w:val="00EB24CE"/>
    <w:rsid w:val="00EB2A90"/>
    <w:rsid w:val="00EB2B37"/>
    <w:rsid w:val="00EB2D04"/>
    <w:rsid w:val="00EB3CC5"/>
    <w:rsid w:val="00EB4417"/>
    <w:rsid w:val="00EB4C51"/>
    <w:rsid w:val="00EB4F95"/>
    <w:rsid w:val="00EB5357"/>
    <w:rsid w:val="00EB651B"/>
    <w:rsid w:val="00EB729B"/>
    <w:rsid w:val="00EB734F"/>
    <w:rsid w:val="00EB7C44"/>
    <w:rsid w:val="00EB7F7A"/>
    <w:rsid w:val="00EC0388"/>
    <w:rsid w:val="00EC0FDF"/>
    <w:rsid w:val="00EC1533"/>
    <w:rsid w:val="00EC1BB0"/>
    <w:rsid w:val="00EC3246"/>
    <w:rsid w:val="00EC3867"/>
    <w:rsid w:val="00EC5176"/>
    <w:rsid w:val="00EC5B12"/>
    <w:rsid w:val="00ED0443"/>
    <w:rsid w:val="00ED0725"/>
    <w:rsid w:val="00ED10C5"/>
    <w:rsid w:val="00ED1463"/>
    <w:rsid w:val="00ED23C8"/>
    <w:rsid w:val="00ED31B1"/>
    <w:rsid w:val="00ED3F62"/>
    <w:rsid w:val="00ED4437"/>
    <w:rsid w:val="00ED4472"/>
    <w:rsid w:val="00ED4C71"/>
    <w:rsid w:val="00ED702D"/>
    <w:rsid w:val="00ED7394"/>
    <w:rsid w:val="00ED73FD"/>
    <w:rsid w:val="00ED79B3"/>
    <w:rsid w:val="00EE0687"/>
    <w:rsid w:val="00EE06A3"/>
    <w:rsid w:val="00EE0730"/>
    <w:rsid w:val="00EE0931"/>
    <w:rsid w:val="00EE0E5E"/>
    <w:rsid w:val="00EE0ECC"/>
    <w:rsid w:val="00EE10EF"/>
    <w:rsid w:val="00EE1637"/>
    <w:rsid w:val="00EE2D6F"/>
    <w:rsid w:val="00EE374F"/>
    <w:rsid w:val="00EE416F"/>
    <w:rsid w:val="00EE4B65"/>
    <w:rsid w:val="00EE5309"/>
    <w:rsid w:val="00EE5A21"/>
    <w:rsid w:val="00EE5FDF"/>
    <w:rsid w:val="00EE6381"/>
    <w:rsid w:val="00EE70E5"/>
    <w:rsid w:val="00EF004C"/>
    <w:rsid w:val="00EF0CB1"/>
    <w:rsid w:val="00EF3012"/>
    <w:rsid w:val="00EF30E5"/>
    <w:rsid w:val="00EF3361"/>
    <w:rsid w:val="00EF3379"/>
    <w:rsid w:val="00EF3E76"/>
    <w:rsid w:val="00EF406A"/>
    <w:rsid w:val="00EF4497"/>
    <w:rsid w:val="00EF4DC5"/>
    <w:rsid w:val="00EF5F9A"/>
    <w:rsid w:val="00EF61E1"/>
    <w:rsid w:val="00EF62BE"/>
    <w:rsid w:val="00EF710A"/>
    <w:rsid w:val="00F009D2"/>
    <w:rsid w:val="00F018E5"/>
    <w:rsid w:val="00F01D2D"/>
    <w:rsid w:val="00F01DFF"/>
    <w:rsid w:val="00F030B3"/>
    <w:rsid w:val="00F036C6"/>
    <w:rsid w:val="00F036F3"/>
    <w:rsid w:val="00F03EB4"/>
    <w:rsid w:val="00F0564D"/>
    <w:rsid w:val="00F0717E"/>
    <w:rsid w:val="00F07C73"/>
    <w:rsid w:val="00F102AD"/>
    <w:rsid w:val="00F10DC6"/>
    <w:rsid w:val="00F1262A"/>
    <w:rsid w:val="00F12640"/>
    <w:rsid w:val="00F12A7F"/>
    <w:rsid w:val="00F12EC6"/>
    <w:rsid w:val="00F13C53"/>
    <w:rsid w:val="00F147C8"/>
    <w:rsid w:val="00F14AD8"/>
    <w:rsid w:val="00F1511F"/>
    <w:rsid w:val="00F1563D"/>
    <w:rsid w:val="00F15B7F"/>
    <w:rsid w:val="00F17015"/>
    <w:rsid w:val="00F170D6"/>
    <w:rsid w:val="00F22427"/>
    <w:rsid w:val="00F22DBF"/>
    <w:rsid w:val="00F246F2"/>
    <w:rsid w:val="00F252B8"/>
    <w:rsid w:val="00F252D4"/>
    <w:rsid w:val="00F25D7A"/>
    <w:rsid w:val="00F26986"/>
    <w:rsid w:val="00F270D8"/>
    <w:rsid w:val="00F27FD3"/>
    <w:rsid w:val="00F307CF"/>
    <w:rsid w:val="00F3085C"/>
    <w:rsid w:val="00F31170"/>
    <w:rsid w:val="00F327CC"/>
    <w:rsid w:val="00F328C3"/>
    <w:rsid w:val="00F32DF3"/>
    <w:rsid w:val="00F35EB1"/>
    <w:rsid w:val="00F368A7"/>
    <w:rsid w:val="00F3735C"/>
    <w:rsid w:val="00F37A29"/>
    <w:rsid w:val="00F40B69"/>
    <w:rsid w:val="00F41B6B"/>
    <w:rsid w:val="00F4342C"/>
    <w:rsid w:val="00F44269"/>
    <w:rsid w:val="00F44A2E"/>
    <w:rsid w:val="00F4589E"/>
    <w:rsid w:val="00F46E7D"/>
    <w:rsid w:val="00F47CB6"/>
    <w:rsid w:val="00F51129"/>
    <w:rsid w:val="00F5196D"/>
    <w:rsid w:val="00F51AB8"/>
    <w:rsid w:val="00F51EB7"/>
    <w:rsid w:val="00F54600"/>
    <w:rsid w:val="00F554B6"/>
    <w:rsid w:val="00F558AA"/>
    <w:rsid w:val="00F55D14"/>
    <w:rsid w:val="00F56043"/>
    <w:rsid w:val="00F570FA"/>
    <w:rsid w:val="00F57498"/>
    <w:rsid w:val="00F60E87"/>
    <w:rsid w:val="00F62B8B"/>
    <w:rsid w:val="00F62D51"/>
    <w:rsid w:val="00F63706"/>
    <w:rsid w:val="00F655AD"/>
    <w:rsid w:val="00F65CBD"/>
    <w:rsid w:val="00F66902"/>
    <w:rsid w:val="00F66EDF"/>
    <w:rsid w:val="00F71508"/>
    <w:rsid w:val="00F71D4E"/>
    <w:rsid w:val="00F72554"/>
    <w:rsid w:val="00F739DC"/>
    <w:rsid w:val="00F73A9C"/>
    <w:rsid w:val="00F75640"/>
    <w:rsid w:val="00F762F8"/>
    <w:rsid w:val="00F77084"/>
    <w:rsid w:val="00F77B2D"/>
    <w:rsid w:val="00F77BDC"/>
    <w:rsid w:val="00F8080F"/>
    <w:rsid w:val="00F80CE2"/>
    <w:rsid w:val="00F82A4F"/>
    <w:rsid w:val="00F83729"/>
    <w:rsid w:val="00F83994"/>
    <w:rsid w:val="00F83D8D"/>
    <w:rsid w:val="00F8672A"/>
    <w:rsid w:val="00F8683D"/>
    <w:rsid w:val="00F86ADE"/>
    <w:rsid w:val="00F8773B"/>
    <w:rsid w:val="00F90C6B"/>
    <w:rsid w:val="00F922F2"/>
    <w:rsid w:val="00F927CA"/>
    <w:rsid w:val="00F92977"/>
    <w:rsid w:val="00F94B51"/>
    <w:rsid w:val="00F95C1A"/>
    <w:rsid w:val="00F961F4"/>
    <w:rsid w:val="00F96B15"/>
    <w:rsid w:val="00FA060B"/>
    <w:rsid w:val="00FA2018"/>
    <w:rsid w:val="00FA2716"/>
    <w:rsid w:val="00FA2AF5"/>
    <w:rsid w:val="00FA36C2"/>
    <w:rsid w:val="00FA3B55"/>
    <w:rsid w:val="00FA3C8D"/>
    <w:rsid w:val="00FA42FD"/>
    <w:rsid w:val="00FA5B24"/>
    <w:rsid w:val="00FA623B"/>
    <w:rsid w:val="00FA6A9F"/>
    <w:rsid w:val="00FA7804"/>
    <w:rsid w:val="00FA7C67"/>
    <w:rsid w:val="00FB1168"/>
    <w:rsid w:val="00FB1A9E"/>
    <w:rsid w:val="00FB222E"/>
    <w:rsid w:val="00FB2745"/>
    <w:rsid w:val="00FB4694"/>
    <w:rsid w:val="00FB5B2B"/>
    <w:rsid w:val="00FB798F"/>
    <w:rsid w:val="00FC114C"/>
    <w:rsid w:val="00FC1E21"/>
    <w:rsid w:val="00FC2257"/>
    <w:rsid w:val="00FC23CC"/>
    <w:rsid w:val="00FC3621"/>
    <w:rsid w:val="00FC39A2"/>
    <w:rsid w:val="00FC3E53"/>
    <w:rsid w:val="00FC4DF8"/>
    <w:rsid w:val="00FC6B8C"/>
    <w:rsid w:val="00FC7187"/>
    <w:rsid w:val="00FD09F4"/>
    <w:rsid w:val="00FD0EBB"/>
    <w:rsid w:val="00FD21A6"/>
    <w:rsid w:val="00FD2766"/>
    <w:rsid w:val="00FD2C20"/>
    <w:rsid w:val="00FD3399"/>
    <w:rsid w:val="00FD3431"/>
    <w:rsid w:val="00FD343D"/>
    <w:rsid w:val="00FD4B1D"/>
    <w:rsid w:val="00FD6348"/>
    <w:rsid w:val="00FD7064"/>
    <w:rsid w:val="00FE0237"/>
    <w:rsid w:val="00FE033B"/>
    <w:rsid w:val="00FE0429"/>
    <w:rsid w:val="00FE1665"/>
    <w:rsid w:val="00FE166F"/>
    <w:rsid w:val="00FE375D"/>
    <w:rsid w:val="00FE37A8"/>
    <w:rsid w:val="00FE38B4"/>
    <w:rsid w:val="00FE4A69"/>
    <w:rsid w:val="00FE4C53"/>
    <w:rsid w:val="00FE53EA"/>
    <w:rsid w:val="00FE577A"/>
    <w:rsid w:val="00FE5C47"/>
    <w:rsid w:val="00FE65BE"/>
    <w:rsid w:val="00FE6F8B"/>
    <w:rsid w:val="00FE7478"/>
    <w:rsid w:val="00FE7BB1"/>
    <w:rsid w:val="00FF1259"/>
    <w:rsid w:val="00FF1A81"/>
    <w:rsid w:val="00FF3034"/>
    <w:rsid w:val="00FF355D"/>
    <w:rsid w:val="00FF3ADC"/>
    <w:rsid w:val="00FF49DE"/>
    <w:rsid w:val="00FF4E3E"/>
    <w:rsid w:val="00FF5A43"/>
    <w:rsid w:val="00FF6142"/>
    <w:rsid w:val="00FF6379"/>
    <w:rsid w:val="00FF66F2"/>
    <w:rsid w:val="00FF6C6A"/>
    <w:rsid w:val="00FF7842"/>
    <w:rsid w:val="00FF7B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semiHidden="0" w:uiPriority="0" w:unhideWhenUsed="0" w:qFormat="1"/>
    <w:lsdException w:name="heading 9" w:locked="1"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locked="1" w:semiHidden="0" w:uiPriority="0" w:unhideWhenUsed="0"/>
    <w:lsdException w:name="footer"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49BF"/>
    <w:pPr>
      <w:overflowPunct w:val="0"/>
      <w:autoSpaceDE w:val="0"/>
      <w:autoSpaceDN w:val="0"/>
      <w:adjustRightInd w:val="0"/>
      <w:spacing w:line="260" w:lineRule="atLeast"/>
      <w:textAlignment w:val="baseline"/>
    </w:pPr>
    <w:rPr>
      <w:rFonts w:ascii="EYInterstate Light" w:hAnsi="EYInterstate Light"/>
      <w:szCs w:val="20"/>
      <w:lang w:val="nl-NL"/>
    </w:rPr>
  </w:style>
  <w:style w:type="paragraph" w:styleId="Heading1">
    <w:name w:val="heading 1"/>
    <w:aliases w:val="051"/>
    <w:basedOn w:val="000"/>
    <w:next w:val="000"/>
    <w:link w:val="Heading1Char"/>
    <w:uiPriority w:val="99"/>
    <w:qFormat/>
    <w:rsid w:val="00B40961"/>
    <w:pPr>
      <w:keepNext/>
      <w:numPr>
        <w:numId w:val="9"/>
      </w:numPr>
      <w:spacing w:before="240" w:after="60" w:line="240" w:lineRule="auto"/>
      <w:outlineLvl w:val="0"/>
    </w:pPr>
    <w:rPr>
      <w:b/>
      <w:sz w:val="28"/>
    </w:rPr>
  </w:style>
  <w:style w:type="paragraph" w:styleId="Heading2">
    <w:name w:val="heading 2"/>
    <w:aliases w:val="052"/>
    <w:basedOn w:val="Heading1"/>
    <w:next w:val="000"/>
    <w:link w:val="Heading2Char"/>
    <w:uiPriority w:val="99"/>
    <w:qFormat/>
    <w:rsid w:val="00B40961"/>
    <w:pPr>
      <w:numPr>
        <w:ilvl w:val="1"/>
      </w:numPr>
      <w:ind w:left="360" w:hanging="360"/>
      <w:outlineLvl w:val="1"/>
    </w:pPr>
    <w:rPr>
      <w:i/>
      <w:sz w:val="26"/>
    </w:rPr>
  </w:style>
  <w:style w:type="paragraph" w:styleId="Heading3">
    <w:name w:val="heading 3"/>
    <w:aliases w:val="053"/>
    <w:basedOn w:val="Heading1"/>
    <w:next w:val="000"/>
    <w:link w:val="Heading3Char"/>
    <w:uiPriority w:val="99"/>
    <w:qFormat/>
    <w:rsid w:val="00B40961"/>
    <w:pPr>
      <w:numPr>
        <w:ilvl w:val="2"/>
      </w:numPr>
      <w:ind w:left="360" w:hanging="360"/>
      <w:outlineLvl w:val="2"/>
    </w:pPr>
    <w:rPr>
      <w:sz w:val="24"/>
    </w:rPr>
  </w:style>
  <w:style w:type="paragraph" w:styleId="Heading4">
    <w:name w:val="heading 4"/>
    <w:aliases w:val="054"/>
    <w:basedOn w:val="Heading1"/>
    <w:next w:val="000"/>
    <w:link w:val="Heading4Char"/>
    <w:uiPriority w:val="99"/>
    <w:qFormat/>
    <w:rsid w:val="00B40961"/>
    <w:pPr>
      <w:numPr>
        <w:ilvl w:val="3"/>
      </w:numPr>
      <w:ind w:left="360" w:hanging="360"/>
      <w:outlineLvl w:val="3"/>
    </w:pPr>
    <w:rPr>
      <w:b w:val="0"/>
      <w:i/>
      <w:sz w:val="22"/>
    </w:rPr>
  </w:style>
  <w:style w:type="paragraph" w:styleId="Heading5">
    <w:name w:val="heading 5"/>
    <w:basedOn w:val="Normal"/>
    <w:next w:val="Normal"/>
    <w:link w:val="Heading5Char"/>
    <w:uiPriority w:val="99"/>
    <w:qFormat/>
    <w:rsid w:val="00B40961"/>
    <w:pPr>
      <w:numPr>
        <w:ilvl w:val="4"/>
        <w:numId w:val="9"/>
      </w:numPr>
      <w:spacing w:before="240" w:after="60"/>
      <w:outlineLvl w:val="4"/>
    </w:pPr>
    <w:rPr>
      <w:rFonts w:ascii="Arial" w:hAnsi="Arial"/>
    </w:rPr>
  </w:style>
  <w:style w:type="paragraph" w:styleId="Heading6">
    <w:name w:val="heading 6"/>
    <w:basedOn w:val="Normal"/>
    <w:next w:val="Normal"/>
    <w:link w:val="Heading6Char"/>
    <w:uiPriority w:val="99"/>
    <w:qFormat/>
    <w:rsid w:val="00B40961"/>
    <w:pPr>
      <w:numPr>
        <w:ilvl w:val="5"/>
        <w:numId w:val="9"/>
      </w:numPr>
      <w:spacing w:before="240" w:after="60"/>
      <w:outlineLvl w:val="5"/>
    </w:pPr>
    <w:rPr>
      <w:i/>
    </w:rPr>
  </w:style>
  <w:style w:type="paragraph" w:styleId="Heading7">
    <w:name w:val="heading 7"/>
    <w:basedOn w:val="Normal"/>
    <w:next w:val="Normal"/>
    <w:link w:val="Heading7Char"/>
    <w:uiPriority w:val="99"/>
    <w:qFormat/>
    <w:rsid w:val="00B40961"/>
    <w:pPr>
      <w:numPr>
        <w:ilvl w:val="6"/>
        <w:numId w:val="9"/>
      </w:numPr>
      <w:spacing w:before="240" w:after="60"/>
      <w:outlineLvl w:val="6"/>
    </w:pPr>
    <w:rPr>
      <w:rFonts w:ascii="Arial" w:hAnsi="Arial"/>
      <w:sz w:val="20"/>
    </w:rPr>
  </w:style>
  <w:style w:type="paragraph" w:styleId="Heading8">
    <w:name w:val="heading 8"/>
    <w:basedOn w:val="Normal"/>
    <w:next w:val="Normal"/>
    <w:link w:val="Heading8Char"/>
    <w:uiPriority w:val="99"/>
    <w:qFormat/>
    <w:rsid w:val="00B40961"/>
    <w:pPr>
      <w:numPr>
        <w:ilvl w:val="7"/>
        <w:numId w:val="9"/>
      </w:numPr>
      <w:spacing w:before="240" w:after="60"/>
      <w:outlineLvl w:val="7"/>
    </w:pPr>
    <w:rPr>
      <w:rFonts w:ascii="Arial" w:hAnsi="Arial"/>
      <w:i/>
      <w:sz w:val="20"/>
    </w:rPr>
  </w:style>
  <w:style w:type="paragraph" w:styleId="Heading9">
    <w:name w:val="heading 9"/>
    <w:basedOn w:val="Normal"/>
    <w:next w:val="Normal"/>
    <w:link w:val="Heading9Char"/>
    <w:uiPriority w:val="99"/>
    <w:qFormat/>
    <w:rsid w:val="00B40961"/>
    <w:pPr>
      <w:numPr>
        <w:ilvl w:val="8"/>
        <w:numId w:val="9"/>
      </w:numPr>
      <w:spacing w:before="240" w:after="60"/>
      <w:outlineLvl w:val="8"/>
    </w:pPr>
    <w:rPr>
      <w:rFonts w:ascii="Arial" w:hAnsi="Arial"/>
      <w:b/>
      <w:i/>
      <w:sz w:val="1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051 Char"/>
    <w:basedOn w:val="DefaultParagraphFont"/>
    <w:link w:val="Heading1"/>
    <w:uiPriority w:val="99"/>
    <w:locked/>
    <w:rsid w:val="00E85DC7"/>
    <w:rPr>
      <w:rFonts w:ascii="EYInterstate Light" w:hAnsi="EYInterstate Light"/>
      <w:b/>
      <w:sz w:val="28"/>
      <w:szCs w:val="20"/>
      <w:lang w:val="nl-NL"/>
    </w:rPr>
  </w:style>
  <w:style w:type="character" w:customStyle="1" w:styleId="Heading2Char">
    <w:name w:val="Heading 2 Char"/>
    <w:aliases w:val="052 Char"/>
    <w:basedOn w:val="DefaultParagraphFont"/>
    <w:link w:val="Heading2"/>
    <w:uiPriority w:val="99"/>
    <w:locked/>
    <w:rsid w:val="00E85DC7"/>
    <w:rPr>
      <w:rFonts w:ascii="EYInterstate Light" w:hAnsi="EYInterstate Light"/>
      <w:b/>
      <w:i/>
      <w:sz w:val="26"/>
      <w:szCs w:val="20"/>
      <w:lang w:val="nl-NL"/>
    </w:rPr>
  </w:style>
  <w:style w:type="character" w:customStyle="1" w:styleId="Heading3Char">
    <w:name w:val="Heading 3 Char"/>
    <w:aliases w:val="053 Char"/>
    <w:basedOn w:val="DefaultParagraphFont"/>
    <w:link w:val="Heading3"/>
    <w:uiPriority w:val="99"/>
    <w:locked/>
    <w:rsid w:val="000B7B12"/>
    <w:rPr>
      <w:rFonts w:ascii="EYInterstate Light" w:hAnsi="EYInterstate Light"/>
      <w:b/>
      <w:sz w:val="24"/>
      <w:szCs w:val="20"/>
      <w:lang w:val="nl-NL"/>
    </w:rPr>
  </w:style>
  <w:style w:type="character" w:customStyle="1" w:styleId="Heading4Char">
    <w:name w:val="Heading 4 Char"/>
    <w:aliases w:val="054 Char"/>
    <w:basedOn w:val="DefaultParagraphFont"/>
    <w:link w:val="Heading4"/>
    <w:uiPriority w:val="99"/>
    <w:locked/>
    <w:rsid w:val="00E85DC7"/>
    <w:rPr>
      <w:rFonts w:ascii="EYInterstate Light" w:hAnsi="EYInterstate Light"/>
      <w:i/>
      <w:szCs w:val="20"/>
      <w:lang w:val="nl-NL"/>
    </w:rPr>
  </w:style>
  <w:style w:type="character" w:customStyle="1" w:styleId="Heading5Char">
    <w:name w:val="Heading 5 Char"/>
    <w:basedOn w:val="DefaultParagraphFont"/>
    <w:link w:val="Heading5"/>
    <w:uiPriority w:val="99"/>
    <w:locked/>
    <w:rsid w:val="00E85DC7"/>
    <w:rPr>
      <w:rFonts w:ascii="Arial" w:hAnsi="Arial"/>
      <w:szCs w:val="20"/>
      <w:lang w:val="nl-NL"/>
    </w:rPr>
  </w:style>
  <w:style w:type="character" w:customStyle="1" w:styleId="Heading6Char">
    <w:name w:val="Heading 6 Char"/>
    <w:basedOn w:val="DefaultParagraphFont"/>
    <w:link w:val="Heading6"/>
    <w:uiPriority w:val="99"/>
    <w:locked/>
    <w:rsid w:val="00E85DC7"/>
    <w:rPr>
      <w:rFonts w:ascii="EYInterstate Light" w:hAnsi="EYInterstate Light"/>
      <w:i/>
      <w:szCs w:val="20"/>
      <w:lang w:val="nl-NL"/>
    </w:rPr>
  </w:style>
  <w:style w:type="character" w:customStyle="1" w:styleId="Heading7Char">
    <w:name w:val="Heading 7 Char"/>
    <w:basedOn w:val="DefaultParagraphFont"/>
    <w:link w:val="Heading7"/>
    <w:uiPriority w:val="99"/>
    <w:locked/>
    <w:rsid w:val="00E85DC7"/>
    <w:rPr>
      <w:rFonts w:ascii="Arial" w:hAnsi="Arial"/>
      <w:sz w:val="20"/>
      <w:szCs w:val="20"/>
      <w:lang w:val="nl-NL"/>
    </w:rPr>
  </w:style>
  <w:style w:type="character" w:customStyle="1" w:styleId="Heading8Char">
    <w:name w:val="Heading 8 Char"/>
    <w:basedOn w:val="DefaultParagraphFont"/>
    <w:link w:val="Heading8"/>
    <w:uiPriority w:val="99"/>
    <w:locked/>
    <w:rsid w:val="00E85DC7"/>
    <w:rPr>
      <w:rFonts w:ascii="Arial" w:hAnsi="Arial"/>
      <w:i/>
      <w:sz w:val="20"/>
      <w:szCs w:val="20"/>
      <w:lang w:val="nl-NL"/>
    </w:rPr>
  </w:style>
  <w:style w:type="character" w:customStyle="1" w:styleId="Heading9Char">
    <w:name w:val="Heading 9 Char"/>
    <w:basedOn w:val="DefaultParagraphFont"/>
    <w:link w:val="Heading9"/>
    <w:uiPriority w:val="99"/>
    <w:locked/>
    <w:rsid w:val="00E85DC7"/>
    <w:rPr>
      <w:rFonts w:ascii="Arial" w:hAnsi="Arial"/>
      <w:b/>
      <w:i/>
      <w:sz w:val="18"/>
      <w:szCs w:val="20"/>
      <w:lang w:val="nl-NL"/>
    </w:rPr>
  </w:style>
  <w:style w:type="paragraph" w:customStyle="1" w:styleId="000">
    <w:name w:val="000"/>
    <w:aliases w:val="standaard"/>
    <w:basedOn w:val="Normal"/>
    <w:uiPriority w:val="99"/>
    <w:rsid w:val="00B40961"/>
  </w:style>
  <w:style w:type="paragraph" w:customStyle="1" w:styleId="001">
    <w:name w:val="001"/>
    <w:aliases w:val="cliëntnummer"/>
    <w:basedOn w:val="000"/>
    <w:uiPriority w:val="99"/>
    <w:rsid w:val="00B40961"/>
    <w:pPr>
      <w:spacing w:before="660"/>
      <w:jc w:val="right"/>
    </w:pPr>
  </w:style>
  <w:style w:type="paragraph" w:customStyle="1" w:styleId="003">
    <w:name w:val="003"/>
    <w:aliases w:val="bijlage 1 enz."/>
    <w:basedOn w:val="Normal"/>
    <w:next w:val="Normal"/>
    <w:uiPriority w:val="99"/>
    <w:rsid w:val="00B40961"/>
    <w:pPr>
      <w:spacing w:before="120"/>
      <w:ind w:left="2608"/>
      <w:jc w:val="right"/>
    </w:pPr>
    <w:rPr>
      <w:b/>
    </w:rPr>
  </w:style>
  <w:style w:type="paragraph" w:customStyle="1" w:styleId="004">
    <w:name w:val="004"/>
    <w:aliases w:val="bij rapport d.d."/>
    <w:basedOn w:val="Normal"/>
    <w:next w:val="Normal"/>
    <w:uiPriority w:val="99"/>
    <w:rsid w:val="00B40961"/>
    <w:pPr>
      <w:ind w:left="2608"/>
      <w:jc w:val="right"/>
    </w:pPr>
  </w:style>
  <w:style w:type="paragraph" w:customStyle="1" w:styleId="005">
    <w:name w:val="005"/>
    <w:aliases w:val="cliënt-naam"/>
    <w:basedOn w:val="Normal"/>
    <w:uiPriority w:val="99"/>
    <w:rsid w:val="00B40961"/>
    <w:pPr>
      <w:ind w:left="2608"/>
      <w:jc w:val="right"/>
    </w:pPr>
  </w:style>
  <w:style w:type="paragraph" w:customStyle="1" w:styleId="010">
    <w:name w:val="010"/>
    <w:aliases w:val="venster"/>
    <w:basedOn w:val="000"/>
    <w:uiPriority w:val="99"/>
    <w:rsid w:val="00B40961"/>
    <w:pPr>
      <w:ind w:left="493"/>
    </w:pPr>
  </w:style>
  <w:style w:type="paragraph" w:customStyle="1" w:styleId="011">
    <w:name w:val="011"/>
    <w:aliases w:val="rapport"/>
    <w:basedOn w:val="010"/>
    <w:next w:val="Normal"/>
    <w:uiPriority w:val="99"/>
    <w:rsid w:val="00B40961"/>
    <w:pPr>
      <w:spacing w:before="2000" w:after="60" w:line="240" w:lineRule="auto"/>
    </w:pPr>
    <w:rPr>
      <w:b/>
      <w:sz w:val="32"/>
    </w:rPr>
  </w:style>
  <w:style w:type="paragraph" w:customStyle="1" w:styleId="012">
    <w:name w:val="012"/>
    <w:aliases w:val="aan"/>
    <w:basedOn w:val="010"/>
    <w:next w:val="Normal"/>
    <w:uiPriority w:val="99"/>
    <w:rsid w:val="00B40961"/>
    <w:pPr>
      <w:spacing w:after="60"/>
    </w:pPr>
    <w:rPr>
      <w:b/>
    </w:rPr>
  </w:style>
  <w:style w:type="paragraph" w:customStyle="1" w:styleId="013">
    <w:name w:val="013"/>
    <w:aliases w:val="de directie van"/>
    <w:basedOn w:val="010"/>
    <w:next w:val="Normal"/>
    <w:uiPriority w:val="99"/>
    <w:rsid w:val="00B40961"/>
  </w:style>
  <w:style w:type="paragraph" w:customStyle="1" w:styleId="014">
    <w:name w:val="014"/>
    <w:aliases w:val="cliëntnaam"/>
    <w:basedOn w:val="010"/>
    <w:next w:val="Normal"/>
    <w:uiPriority w:val="99"/>
    <w:rsid w:val="00B40961"/>
  </w:style>
  <w:style w:type="paragraph" w:customStyle="1" w:styleId="015">
    <w:name w:val="015"/>
    <w:aliases w:val="plaatsnaam"/>
    <w:basedOn w:val="010"/>
    <w:next w:val="Normal"/>
    <w:uiPriority w:val="99"/>
    <w:rsid w:val="00B40961"/>
  </w:style>
  <w:style w:type="paragraph" w:customStyle="1" w:styleId="016">
    <w:name w:val="016"/>
    <w:aliases w:val="inzake"/>
    <w:basedOn w:val="010"/>
    <w:next w:val="Normal"/>
    <w:uiPriority w:val="99"/>
    <w:rsid w:val="00B40961"/>
    <w:pPr>
      <w:spacing w:before="280" w:after="60"/>
    </w:pPr>
  </w:style>
  <w:style w:type="paragraph" w:customStyle="1" w:styleId="017">
    <w:name w:val="017"/>
    <w:aliases w:val="onderwerp"/>
    <w:basedOn w:val="010"/>
    <w:uiPriority w:val="99"/>
    <w:rsid w:val="00B40961"/>
  </w:style>
  <w:style w:type="paragraph" w:customStyle="1" w:styleId="018">
    <w:name w:val="018"/>
    <w:aliases w:val="financieel verslag"/>
    <w:basedOn w:val="010"/>
    <w:next w:val="Normal"/>
    <w:uiPriority w:val="99"/>
    <w:rsid w:val="00B40961"/>
    <w:pPr>
      <w:spacing w:before="2200" w:after="60"/>
      <w:jc w:val="center"/>
    </w:pPr>
    <w:rPr>
      <w:b/>
    </w:rPr>
  </w:style>
  <w:style w:type="paragraph" w:customStyle="1" w:styleId="019">
    <w:name w:val="019"/>
    <w:aliases w:val="van (bij fin. verslag)"/>
    <w:basedOn w:val="010"/>
    <w:next w:val="014"/>
    <w:uiPriority w:val="99"/>
    <w:rsid w:val="00B40961"/>
    <w:pPr>
      <w:spacing w:after="60"/>
      <w:jc w:val="center"/>
    </w:pPr>
  </w:style>
  <w:style w:type="paragraph" w:customStyle="1" w:styleId="020">
    <w:name w:val="020"/>
    <w:aliases w:val="streep"/>
    <w:basedOn w:val="000"/>
    <w:next w:val="000"/>
    <w:uiPriority w:val="99"/>
    <w:rsid w:val="00B40961"/>
    <w:pPr>
      <w:pBdr>
        <w:bottom w:val="single" w:sz="6" w:space="0" w:color="auto"/>
      </w:pBdr>
      <w:tabs>
        <w:tab w:val="right" w:pos="9380"/>
      </w:tabs>
      <w:spacing w:after="280"/>
    </w:pPr>
  </w:style>
  <w:style w:type="paragraph" w:customStyle="1" w:styleId="021">
    <w:name w:val="021"/>
    <w:aliases w:val="inhoudsopgave"/>
    <w:basedOn w:val="Normal"/>
    <w:next w:val="Normal"/>
    <w:uiPriority w:val="99"/>
    <w:rsid w:val="00B40961"/>
    <w:pPr>
      <w:spacing w:before="780" w:after="280" w:line="240" w:lineRule="auto"/>
    </w:pPr>
    <w:rPr>
      <w:b/>
      <w:sz w:val="32"/>
    </w:rPr>
  </w:style>
  <w:style w:type="paragraph" w:customStyle="1" w:styleId="023">
    <w:name w:val="023"/>
    <w:aliases w:val="regel &quot;Rapport&quot;"/>
    <w:basedOn w:val="Normal"/>
    <w:next w:val="TOC2"/>
    <w:uiPriority w:val="99"/>
    <w:rsid w:val="00B40961"/>
    <w:pPr>
      <w:spacing w:before="280" w:after="140" w:line="240" w:lineRule="auto"/>
    </w:pPr>
    <w:rPr>
      <w:sz w:val="28"/>
    </w:rPr>
  </w:style>
  <w:style w:type="paragraph" w:styleId="TOC2">
    <w:name w:val="toc 2"/>
    <w:basedOn w:val="Normal"/>
    <w:uiPriority w:val="99"/>
    <w:semiHidden/>
    <w:rsid w:val="00B40961"/>
    <w:pPr>
      <w:tabs>
        <w:tab w:val="right" w:pos="9378"/>
      </w:tabs>
      <w:ind w:left="720" w:hanging="720"/>
    </w:pPr>
  </w:style>
  <w:style w:type="paragraph" w:customStyle="1" w:styleId="024">
    <w:name w:val="024"/>
    <w:aliases w:val="nummering bijlagen"/>
    <w:basedOn w:val="Normal"/>
    <w:uiPriority w:val="99"/>
    <w:rsid w:val="00B40961"/>
    <w:pPr>
      <w:tabs>
        <w:tab w:val="right" w:pos="9380"/>
      </w:tabs>
      <w:ind w:left="720" w:hanging="720"/>
    </w:pPr>
  </w:style>
  <w:style w:type="paragraph" w:customStyle="1" w:styleId="025">
    <w:name w:val="025"/>
    <w:aliases w:val="regel &quot;Bijlagen&quot;"/>
    <w:basedOn w:val="Normal"/>
    <w:next w:val="024"/>
    <w:uiPriority w:val="99"/>
    <w:rsid w:val="00B40961"/>
    <w:pPr>
      <w:spacing w:before="280" w:line="240" w:lineRule="auto"/>
    </w:pPr>
    <w:rPr>
      <w:sz w:val="28"/>
    </w:rPr>
  </w:style>
  <w:style w:type="paragraph" w:customStyle="1" w:styleId="026">
    <w:name w:val="026"/>
    <w:aliases w:val="regel &quot;Jaarrekening&quot; etc."/>
    <w:basedOn w:val="000"/>
    <w:uiPriority w:val="99"/>
    <w:rsid w:val="00B40961"/>
    <w:pPr>
      <w:spacing w:before="140" w:after="140" w:line="240" w:lineRule="auto"/>
    </w:pPr>
  </w:style>
  <w:style w:type="paragraph" w:customStyle="1" w:styleId="031">
    <w:name w:val="031"/>
    <w:aliases w:val="geadresseerde"/>
    <w:basedOn w:val="Normal"/>
    <w:next w:val="Normal"/>
    <w:uiPriority w:val="99"/>
    <w:rsid w:val="00B40961"/>
  </w:style>
  <w:style w:type="paragraph" w:customStyle="1" w:styleId="032">
    <w:name w:val="032"/>
    <w:aliases w:val="naam-cliënt"/>
    <w:basedOn w:val="Normal"/>
    <w:next w:val="Normal"/>
    <w:uiPriority w:val="99"/>
    <w:rsid w:val="00B40961"/>
  </w:style>
  <w:style w:type="paragraph" w:customStyle="1" w:styleId="034">
    <w:name w:val="034"/>
    <w:aliases w:val="vertrouwelijk"/>
    <w:basedOn w:val="Normal"/>
    <w:next w:val="Normal"/>
    <w:uiPriority w:val="99"/>
    <w:rsid w:val="00B40961"/>
    <w:rPr>
      <w:b/>
      <w:caps/>
    </w:rPr>
  </w:style>
  <w:style w:type="paragraph" w:customStyle="1" w:styleId="035">
    <w:name w:val="035"/>
    <w:aliases w:val="plaats cliënt"/>
    <w:basedOn w:val="Normal"/>
    <w:next w:val="Normal"/>
    <w:uiPriority w:val="99"/>
    <w:rsid w:val="00B40961"/>
    <w:pPr>
      <w:spacing w:after="780"/>
    </w:pPr>
    <w:rPr>
      <w:caps/>
    </w:rPr>
  </w:style>
  <w:style w:type="paragraph" w:customStyle="1" w:styleId="036">
    <w:name w:val="036"/>
    <w:aliases w:val="datum/kenmerk"/>
    <w:basedOn w:val="Normal"/>
    <w:next w:val="000"/>
    <w:uiPriority w:val="99"/>
    <w:rsid w:val="00B40961"/>
    <w:pPr>
      <w:tabs>
        <w:tab w:val="left" w:pos="6560"/>
        <w:tab w:val="right" w:pos="9380"/>
      </w:tabs>
      <w:spacing w:after="520"/>
    </w:pPr>
  </w:style>
  <w:style w:type="paragraph" w:customStyle="1" w:styleId="040">
    <w:name w:val="040"/>
    <w:aliases w:val="hoofdletters vet 1 witregel"/>
    <w:basedOn w:val="000"/>
    <w:next w:val="000"/>
    <w:uiPriority w:val="99"/>
    <w:rsid w:val="00B40961"/>
    <w:pPr>
      <w:keepNext/>
      <w:tabs>
        <w:tab w:val="left" w:pos="720"/>
      </w:tabs>
      <w:spacing w:after="520" w:line="240" w:lineRule="auto"/>
      <w:ind w:left="720" w:hanging="720"/>
    </w:pPr>
    <w:rPr>
      <w:b/>
      <w:sz w:val="32"/>
    </w:rPr>
  </w:style>
  <w:style w:type="paragraph" w:customStyle="1" w:styleId="041">
    <w:name w:val="041"/>
    <w:aliases w:val="14 punten vet 1 witregel"/>
    <w:basedOn w:val="000"/>
    <w:next w:val="000"/>
    <w:uiPriority w:val="99"/>
    <w:rsid w:val="00B40961"/>
    <w:pPr>
      <w:keepNext/>
      <w:tabs>
        <w:tab w:val="left" w:pos="720"/>
      </w:tabs>
      <w:spacing w:before="240" w:after="60" w:line="240" w:lineRule="auto"/>
      <w:ind w:left="720" w:hanging="720"/>
    </w:pPr>
    <w:rPr>
      <w:b/>
      <w:sz w:val="28"/>
    </w:rPr>
  </w:style>
  <w:style w:type="paragraph" w:customStyle="1" w:styleId="042">
    <w:name w:val="042"/>
    <w:aliases w:val="vet 1 witregel"/>
    <w:basedOn w:val="000"/>
    <w:next w:val="000"/>
    <w:uiPriority w:val="99"/>
    <w:rsid w:val="00B40961"/>
    <w:pPr>
      <w:keepNext/>
      <w:tabs>
        <w:tab w:val="left" w:pos="720"/>
      </w:tabs>
      <w:spacing w:before="240" w:after="60" w:line="240" w:lineRule="auto"/>
      <w:ind w:left="720" w:hanging="720"/>
    </w:pPr>
    <w:rPr>
      <w:b/>
      <w:i/>
      <w:sz w:val="26"/>
    </w:rPr>
  </w:style>
  <w:style w:type="paragraph" w:customStyle="1" w:styleId="043">
    <w:name w:val="043"/>
    <w:aliases w:val="vet cursief 1 witregel"/>
    <w:basedOn w:val="000"/>
    <w:next w:val="000"/>
    <w:uiPriority w:val="99"/>
    <w:rsid w:val="00B40961"/>
    <w:pPr>
      <w:keepNext/>
      <w:tabs>
        <w:tab w:val="left" w:pos="720"/>
      </w:tabs>
      <w:spacing w:before="240" w:after="60" w:line="240" w:lineRule="auto"/>
      <w:ind w:left="720" w:hanging="720"/>
    </w:pPr>
    <w:rPr>
      <w:b/>
      <w:sz w:val="24"/>
    </w:rPr>
  </w:style>
  <w:style w:type="paragraph" w:customStyle="1" w:styleId="045">
    <w:name w:val="045"/>
    <w:aliases w:val="inspringing a"/>
    <w:basedOn w:val="000"/>
    <w:uiPriority w:val="99"/>
    <w:rsid w:val="00B40961"/>
    <w:pPr>
      <w:ind w:left="567" w:hanging="567"/>
    </w:pPr>
  </w:style>
  <w:style w:type="paragraph" w:customStyle="1" w:styleId="046">
    <w:name w:val="046"/>
    <w:aliases w:val="inspringing b"/>
    <w:basedOn w:val="000"/>
    <w:uiPriority w:val="99"/>
    <w:rsid w:val="00B40961"/>
    <w:pPr>
      <w:ind w:left="1134" w:hanging="567"/>
    </w:pPr>
  </w:style>
  <w:style w:type="paragraph" w:customStyle="1" w:styleId="047">
    <w:name w:val="047"/>
    <w:aliases w:val="inspringing c"/>
    <w:basedOn w:val="000"/>
    <w:uiPriority w:val="99"/>
    <w:rsid w:val="00B40961"/>
    <w:pPr>
      <w:ind w:left="1701" w:hanging="567"/>
    </w:pPr>
  </w:style>
  <w:style w:type="paragraph" w:customStyle="1" w:styleId="048">
    <w:name w:val="048"/>
    <w:aliases w:val="inspring"/>
    <w:basedOn w:val="000"/>
    <w:uiPriority w:val="99"/>
    <w:rsid w:val="00B40961"/>
    <w:pPr>
      <w:ind w:left="567" w:hanging="567"/>
    </w:pPr>
  </w:style>
  <w:style w:type="paragraph" w:customStyle="1" w:styleId="049">
    <w:name w:val="049"/>
    <w:aliases w:val="handtekening"/>
    <w:basedOn w:val="Normal"/>
    <w:uiPriority w:val="99"/>
    <w:rsid w:val="00B40961"/>
    <w:pPr>
      <w:tabs>
        <w:tab w:val="left" w:pos="4680"/>
      </w:tabs>
    </w:pPr>
  </w:style>
  <w:style w:type="paragraph" w:customStyle="1" w:styleId="061">
    <w:name w:val="061"/>
    <w:aliases w:val="paginanr."/>
    <w:basedOn w:val="000"/>
    <w:uiPriority w:val="99"/>
    <w:rsid w:val="00B40961"/>
    <w:pPr>
      <w:spacing w:before="110"/>
      <w:jc w:val="right"/>
    </w:pPr>
  </w:style>
  <w:style w:type="paragraph" w:customStyle="1" w:styleId="070">
    <w:name w:val="070"/>
    <w:aliases w:val="kop balans/specificatie"/>
    <w:basedOn w:val="000"/>
    <w:next w:val="000"/>
    <w:uiPriority w:val="99"/>
    <w:rsid w:val="00B40961"/>
    <w:pPr>
      <w:spacing w:line="240" w:lineRule="auto"/>
    </w:pPr>
    <w:rPr>
      <w:b/>
      <w:sz w:val="32"/>
    </w:rPr>
  </w:style>
  <w:style w:type="paragraph" w:customStyle="1" w:styleId="073">
    <w:name w:val="073"/>
    <w:aliases w:val="activa"/>
    <w:basedOn w:val="000"/>
    <w:next w:val="000"/>
    <w:uiPriority w:val="99"/>
    <w:rsid w:val="00B40961"/>
    <w:rPr>
      <w:b/>
      <w:spacing w:val="100"/>
      <w:sz w:val="20"/>
    </w:rPr>
  </w:style>
  <w:style w:type="paragraph" w:customStyle="1" w:styleId="074">
    <w:name w:val="074"/>
    <w:aliases w:val="passiva"/>
    <w:basedOn w:val="000"/>
    <w:next w:val="000"/>
    <w:uiPriority w:val="99"/>
    <w:rsid w:val="00B40961"/>
    <w:pPr>
      <w:ind w:right="-100"/>
      <w:jc w:val="right"/>
    </w:pPr>
    <w:rPr>
      <w:b/>
      <w:spacing w:val="100"/>
      <w:sz w:val="20"/>
    </w:rPr>
  </w:style>
  <w:style w:type="paragraph" w:customStyle="1" w:styleId="080">
    <w:name w:val="080"/>
    <w:aliases w:val="titel,hoofdletters vet 2 witregels geen inspring"/>
    <w:basedOn w:val="000"/>
    <w:next w:val="000"/>
    <w:uiPriority w:val="99"/>
    <w:rsid w:val="00B40961"/>
    <w:pPr>
      <w:keepNext/>
      <w:spacing w:after="520" w:line="240" w:lineRule="auto"/>
    </w:pPr>
    <w:rPr>
      <w:b/>
      <w:sz w:val="32"/>
    </w:rPr>
  </w:style>
  <w:style w:type="paragraph" w:customStyle="1" w:styleId="081">
    <w:name w:val="081"/>
    <w:aliases w:val="kop 1,14 punten vet 1 witregel geen inspring"/>
    <w:basedOn w:val="000"/>
    <w:next w:val="000"/>
    <w:uiPriority w:val="99"/>
    <w:rsid w:val="00B40961"/>
    <w:pPr>
      <w:keepNext/>
      <w:spacing w:before="240" w:after="60" w:line="240" w:lineRule="auto"/>
    </w:pPr>
    <w:rPr>
      <w:b/>
      <w:sz w:val="28"/>
    </w:rPr>
  </w:style>
  <w:style w:type="paragraph" w:customStyle="1" w:styleId="082">
    <w:name w:val="082"/>
    <w:aliases w:val="kop 2,vet 1 witregel geen inspring"/>
    <w:basedOn w:val="000"/>
    <w:next w:val="000"/>
    <w:uiPriority w:val="99"/>
    <w:rsid w:val="00B40961"/>
    <w:pPr>
      <w:keepNext/>
      <w:spacing w:before="240" w:after="60" w:line="240" w:lineRule="auto"/>
    </w:pPr>
    <w:rPr>
      <w:b/>
      <w:i/>
      <w:sz w:val="26"/>
    </w:rPr>
  </w:style>
  <w:style w:type="paragraph" w:customStyle="1" w:styleId="083">
    <w:name w:val="083"/>
    <w:aliases w:val="kop 3,vet cursief 1 witregel geen inspring"/>
    <w:basedOn w:val="000"/>
    <w:next w:val="000"/>
    <w:uiPriority w:val="99"/>
    <w:rsid w:val="00B40961"/>
    <w:pPr>
      <w:keepNext/>
      <w:spacing w:before="240" w:after="60" w:line="240" w:lineRule="auto"/>
    </w:pPr>
    <w:rPr>
      <w:b/>
      <w:sz w:val="24"/>
    </w:rPr>
  </w:style>
  <w:style w:type="paragraph" w:customStyle="1" w:styleId="084">
    <w:name w:val="084"/>
    <w:aliases w:val="cursief geen inspring"/>
    <w:basedOn w:val="000"/>
    <w:next w:val="000"/>
    <w:uiPriority w:val="99"/>
    <w:rsid w:val="00B40961"/>
    <w:pPr>
      <w:keepNext/>
      <w:spacing w:before="260"/>
    </w:pPr>
    <w:rPr>
      <w:i/>
    </w:rPr>
  </w:style>
  <w:style w:type="paragraph" w:customStyle="1" w:styleId="091">
    <w:name w:val="091"/>
    <w:aliases w:val="inhoudsopgave 14 punten vet"/>
    <w:basedOn w:val="021"/>
    <w:next w:val="Normal"/>
    <w:uiPriority w:val="99"/>
    <w:rsid w:val="00B40961"/>
    <w:pPr>
      <w:spacing w:before="280"/>
      <w:ind w:left="720" w:hanging="720"/>
    </w:pPr>
    <w:rPr>
      <w:b w:val="0"/>
      <w:sz w:val="28"/>
    </w:rPr>
  </w:style>
  <w:style w:type="paragraph" w:customStyle="1" w:styleId="099">
    <w:name w:val="099"/>
    <w:aliases w:val="einde document teken"/>
    <w:basedOn w:val="000"/>
    <w:uiPriority w:val="99"/>
    <w:rsid w:val="00B40961"/>
    <w:pPr>
      <w:pBdr>
        <w:bottom w:val="single" w:sz="18" w:space="0" w:color="auto"/>
      </w:pBdr>
      <w:tabs>
        <w:tab w:val="right" w:pos="9380"/>
      </w:tabs>
      <w:ind w:right="8820"/>
    </w:pPr>
  </w:style>
  <w:style w:type="paragraph" w:customStyle="1" w:styleId="100">
    <w:name w:val="100"/>
    <w:aliases w:val="1 kop h"/>
    <w:basedOn w:val="Normal"/>
    <w:next w:val="101"/>
    <w:uiPriority w:val="99"/>
    <w:rsid w:val="00B40961"/>
    <w:pPr>
      <w:tabs>
        <w:tab w:val="center" w:pos="8980"/>
      </w:tabs>
      <w:ind w:right="-170"/>
    </w:pPr>
    <w:rPr>
      <w:sz w:val="20"/>
    </w:rPr>
  </w:style>
  <w:style w:type="paragraph" w:customStyle="1" w:styleId="101">
    <w:name w:val="101"/>
    <w:aliases w:val="1 kopstreep h"/>
    <w:basedOn w:val="Normal"/>
    <w:next w:val="102"/>
    <w:uiPriority w:val="99"/>
    <w:rsid w:val="00B40961"/>
    <w:pPr>
      <w:tabs>
        <w:tab w:val="left" w:pos="8580"/>
        <w:tab w:val="right" w:pos="9380"/>
      </w:tabs>
      <w:spacing w:after="140" w:line="140" w:lineRule="exact"/>
    </w:pPr>
    <w:rPr>
      <w:sz w:val="10"/>
    </w:rPr>
  </w:style>
  <w:style w:type="paragraph" w:customStyle="1" w:styleId="102">
    <w:name w:val="102"/>
    <w:aliases w:val="1 €-teken h"/>
    <w:basedOn w:val="Normal"/>
    <w:next w:val="104"/>
    <w:uiPriority w:val="99"/>
    <w:rsid w:val="00B40961"/>
    <w:pPr>
      <w:tabs>
        <w:tab w:val="center" w:pos="8980"/>
      </w:tabs>
      <w:spacing w:after="140"/>
    </w:pPr>
    <w:rPr>
      <w:sz w:val="20"/>
    </w:rPr>
  </w:style>
  <w:style w:type="paragraph" w:customStyle="1" w:styleId="104">
    <w:name w:val="104"/>
    <w:aliases w:val="1 cijferregel h"/>
    <w:basedOn w:val="Normal"/>
    <w:uiPriority w:val="99"/>
    <w:rsid w:val="00B40961"/>
    <w:pPr>
      <w:tabs>
        <w:tab w:val="left" w:pos="1134"/>
        <w:tab w:val="decimal" w:pos="9380"/>
      </w:tabs>
      <w:ind w:left="567" w:right="-170" w:hanging="567"/>
    </w:pPr>
    <w:rPr>
      <w:sz w:val="20"/>
    </w:rPr>
  </w:style>
  <w:style w:type="paragraph" w:customStyle="1" w:styleId="105">
    <w:name w:val="105"/>
    <w:aliases w:val="1 enkele telstreep h"/>
    <w:basedOn w:val="Normal"/>
    <w:next w:val="104"/>
    <w:uiPriority w:val="99"/>
    <w:rsid w:val="00B40961"/>
    <w:pPr>
      <w:tabs>
        <w:tab w:val="left" w:pos="8580"/>
        <w:tab w:val="decimal" w:pos="9380"/>
      </w:tabs>
      <w:spacing w:line="140" w:lineRule="exact"/>
    </w:pPr>
    <w:rPr>
      <w:position w:val="4"/>
      <w:sz w:val="10"/>
    </w:rPr>
  </w:style>
  <w:style w:type="paragraph" w:customStyle="1" w:styleId="106">
    <w:name w:val="106"/>
    <w:aliases w:val="1 gestippelde streep h"/>
    <w:basedOn w:val="105"/>
    <w:next w:val="104"/>
    <w:uiPriority w:val="99"/>
    <w:rsid w:val="00B40961"/>
    <w:pPr>
      <w:tabs>
        <w:tab w:val="decimal" w:leader="dot" w:pos="9380"/>
      </w:tabs>
    </w:pPr>
    <w:rPr>
      <w:position w:val="2"/>
      <w:sz w:val="14"/>
    </w:rPr>
  </w:style>
  <w:style w:type="paragraph" w:customStyle="1" w:styleId="107">
    <w:name w:val="107"/>
    <w:aliases w:val="1 dubbele streep h"/>
    <w:basedOn w:val="105"/>
    <w:next w:val="000"/>
    <w:uiPriority w:val="99"/>
    <w:rsid w:val="00B40961"/>
    <w:rPr>
      <w:position w:val="6"/>
      <w:sz w:val="14"/>
    </w:rPr>
  </w:style>
  <w:style w:type="paragraph" w:customStyle="1" w:styleId="200">
    <w:name w:val="200"/>
    <w:aliases w:val="2 kop h"/>
    <w:basedOn w:val="Normal"/>
    <w:next w:val="201"/>
    <w:uiPriority w:val="99"/>
    <w:rsid w:val="00B40961"/>
    <w:pPr>
      <w:tabs>
        <w:tab w:val="center" w:pos="7700"/>
        <w:tab w:val="center" w:pos="8980"/>
      </w:tabs>
      <w:ind w:right="-170"/>
    </w:pPr>
    <w:rPr>
      <w:sz w:val="20"/>
    </w:rPr>
  </w:style>
  <w:style w:type="paragraph" w:customStyle="1" w:styleId="201">
    <w:name w:val="201"/>
    <w:aliases w:val="2 kopstreep h"/>
    <w:basedOn w:val="Normal"/>
    <w:next w:val="202"/>
    <w:uiPriority w:val="99"/>
    <w:rsid w:val="00B40961"/>
    <w:pPr>
      <w:tabs>
        <w:tab w:val="left" w:pos="7300"/>
        <w:tab w:val="right" w:pos="8100"/>
        <w:tab w:val="left" w:pos="8580"/>
        <w:tab w:val="right" w:pos="9380"/>
      </w:tabs>
      <w:spacing w:after="140" w:line="140" w:lineRule="exact"/>
    </w:pPr>
    <w:rPr>
      <w:sz w:val="10"/>
    </w:rPr>
  </w:style>
  <w:style w:type="paragraph" w:customStyle="1" w:styleId="202">
    <w:name w:val="202"/>
    <w:aliases w:val="2 €-tekens h"/>
    <w:basedOn w:val="Normal"/>
    <w:next w:val="204"/>
    <w:uiPriority w:val="99"/>
    <w:rsid w:val="00B40961"/>
    <w:pPr>
      <w:tabs>
        <w:tab w:val="center" w:pos="7700"/>
        <w:tab w:val="center" w:pos="8980"/>
      </w:tabs>
      <w:spacing w:after="140"/>
    </w:pPr>
    <w:rPr>
      <w:sz w:val="20"/>
    </w:rPr>
  </w:style>
  <w:style w:type="paragraph" w:customStyle="1" w:styleId="204">
    <w:name w:val="204"/>
    <w:aliases w:val="2 cijferregel h"/>
    <w:basedOn w:val="Normal"/>
    <w:uiPriority w:val="99"/>
    <w:rsid w:val="00B40961"/>
    <w:pPr>
      <w:tabs>
        <w:tab w:val="left" w:pos="1134"/>
        <w:tab w:val="decimal" w:pos="8100"/>
        <w:tab w:val="decimal" w:pos="9380"/>
      </w:tabs>
      <w:ind w:left="567" w:right="-170" w:hanging="567"/>
    </w:pPr>
    <w:rPr>
      <w:sz w:val="20"/>
    </w:rPr>
  </w:style>
  <w:style w:type="paragraph" w:customStyle="1" w:styleId="203">
    <w:name w:val="203"/>
    <w:aliases w:val="kop boven 1/2 h"/>
    <w:basedOn w:val="Normal"/>
    <w:next w:val="201"/>
    <w:uiPriority w:val="99"/>
    <w:rsid w:val="00B40961"/>
    <w:pPr>
      <w:tabs>
        <w:tab w:val="center" w:pos="8340"/>
      </w:tabs>
    </w:pPr>
    <w:rPr>
      <w:sz w:val="20"/>
    </w:rPr>
  </w:style>
  <w:style w:type="paragraph" w:customStyle="1" w:styleId="205">
    <w:name w:val="205"/>
    <w:aliases w:val="2 enkele telstreep h"/>
    <w:basedOn w:val="Normal"/>
    <w:next w:val="204"/>
    <w:uiPriority w:val="99"/>
    <w:rsid w:val="00B40961"/>
    <w:pPr>
      <w:tabs>
        <w:tab w:val="left" w:pos="7300"/>
        <w:tab w:val="decimal" w:pos="8100"/>
        <w:tab w:val="left" w:pos="8580"/>
        <w:tab w:val="decimal" w:pos="9380"/>
      </w:tabs>
      <w:spacing w:line="140" w:lineRule="exact"/>
    </w:pPr>
    <w:rPr>
      <w:position w:val="4"/>
      <w:sz w:val="10"/>
    </w:rPr>
  </w:style>
  <w:style w:type="paragraph" w:customStyle="1" w:styleId="206">
    <w:name w:val="206"/>
    <w:aliases w:val="2 gestippelde streep h"/>
    <w:basedOn w:val="205"/>
    <w:next w:val="204"/>
    <w:uiPriority w:val="99"/>
    <w:rsid w:val="00B40961"/>
    <w:pPr>
      <w:tabs>
        <w:tab w:val="decimal" w:leader="dot" w:pos="8100"/>
        <w:tab w:val="decimal" w:leader="dot" w:pos="9380"/>
      </w:tabs>
    </w:pPr>
    <w:rPr>
      <w:position w:val="2"/>
      <w:sz w:val="14"/>
    </w:rPr>
  </w:style>
  <w:style w:type="paragraph" w:customStyle="1" w:styleId="207">
    <w:name w:val="207"/>
    <w:aliases w:val="2 dubbele streep h"/>
    <w:basedOn w:val="205"/>
    <w:next w:val="000"/>
    <w:uiPriority w:val="99"/>
    <w:rsid w:val="00B40961"/>
    <w:rPr>
      <w:position w:val="6"/>
      <w:sz w:val="14"/>
    </w:rPr>
  </w:style>
  <w:style w:type="paragraph" w:customStyle="1" w:styleId="300">
    <w:name w:val="300"/>
    <w:aliases w:val="3 kop h"/>
    <w:basedOn w:val="Normal"/>
    <w:next w:val="301"/>
    <w:uiPriority w:val="99"/>
    <w:rsid w:val="00B40961"/>
    <w:pPr>
      <w:tabs>
        <w:tab w:val="center" w:pos="6420"/>
        <w:tab w:val="center" w:pos="7700"/>
        <w:tab w:val="center" w:pos="8980"/>
      </w:tabs>
      <w:ind w:right="-170"/>
    </w:pPr>
    <w:rPr>
      <w:sz w:val="20"/>
    </w:rPr>
  </w:style>
  <w:style w:type="paragraph" w:customStyle="1" w:styleId="301">
    <w:name w:val="301"/>
    <w:aliases w:val="3 kopstreep h"/>
    <w:basedOn w:val="Normal"/>
    <w:next w:val="302"/>
    <w:uiPriority w:val="99"/>
    <w:rsid w:val="00B40961"/>
    <w:pPr>
      <w:tabs>
        <w:tab w:val="left" w:pos="6020"/>
        <w:tab w:val="right" w:pos="6820"/>
        <w:tab w:val="left" w:pos="7300"/>
        <w:tab w:val="right" w:pos="8100"/>
        <w:tab w:val="left" w:pos="8580"/>
        <w:tab w:val="right" w:pos="9380"/>
      </w:tabs>
      <w:spacing w:after="140" w:line="140" w:lineRule="exact"/>
    </w:pPr>
    <w:rPr>
      <w:sz w:val="10"/>
    </w:rPr>
  </w:style>
  <w:style w:type="paragraph" w:customStyle="1" w:styleId="302">
    <w:name w:val="302"/>
    <w:aliases w:val="3 €-tekens h"/>
    <w:basedOn w:val="Normal"/>
    <w:next w:val="304"/>
    <w:uiPriority w:val="99"/>
    <w:rsid w:val="00B40961"/>
    <w:pPr>
      <w:tabs>
        <w:tab w:val="center" w:pos="6420"/>
        <w:tab w:val="center" w:pos="7700"/>
        <w:tab w:val="center" w:pos="8980"/>
      </w:tabs>
      <w:spacing w:after="140"/>
    </w:pPr>
    <w:rPr>
      <w:sz w:val="20"/>
    </w:rPr>
  </w:style>
  <w:style w:type="paragraph" w:customStyle="1" w:styleId="304">
    <w:name w:val="304"/>
    <w:aliases w:val="3 cijferregel h"/>
    <w:basedOn w:val="Normal"/>
    <w:uiPriority w:val="99"/>
    <w:rsid w:val="00B40961"/>
    <w:pPr>
      <w:tabs>
        <w:tab w:val="left" w:pos="1134"/>
        <w:tab w:val="decimal" w:pos="6820"/>
        <w:tab w:val="decimal" w:pos="8100"/>
        <w:tab w:val="decimal" w:pos="9380"/>
      </w:tabs>
      <w:ind w:left="567" w:right="-170" w:hanging="567"/>
    </w:pPr>
    <w:rPr>
      <w:sz w:val="20"/>
    </w:rPr>
  </w:style>
  <w:style w:type="paragraph" w:customStyle="1" w:styleId="303">
    <w:name w:val="303"/>
    <w:aliases w:val="kop boven 1/3 h"/>
    <w:basedOn w:val="Normal"/>
    <w:next w:val="301"/>
    <w:uiPriority w:val="99"/>
    <w:rsid w:val="00B40961"/>
    <w:pPr>
      <w:tabs>
        <w:tab w:val="center" w:pos="7700"/>
      </w:tabs>
    </w:pPr>
    <w:rPr>
      <w:sz w:val="20"/>
    </w:rPr>
  </w:style>
  <w:style w:type="paragraph" w:customStyle="1" w:styleId="305">
    <w:name w:val="305"/>
    <w:aliases w:val="3 enkele telstreep h"/>
    <w:basedOn w:val="Normal"/>
    <w:next w:val="304"/>
    <w:uiPriority w:val="99"/>
    <w:rsid w:val="00B40961"/>
    <w:pPr>
      <w:tabs>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306">
    <w:name w:val="306"/>
    <w:aliases w:val="3 gestippelde streep h"/>
    <w:basedOn w:val="305"/>
    <w:next w:val="304"/>
    <w:uiPriority w:val="99"/>
    <w:rsid w:val="00B40961"/>
    <w:pPr>
      <w:tabs>
        <w:tab w:val="decimal" w:leader="dot" w:pos="6820"/>
        <w:tab w:val="decimal" w:leader="dot" w:pos="8100"/>
        <w:tab w:val="decimal" w:leader="dot" w:pos="9380"/>
      </w:tabs>
    </w:pPr>
    <w:rPr>
      <w:position w:val="2"/>
      <w:sz w:val="14"/>
    </w:rPr>
  </w:style>
  <w:style w:type="paragraph" w:customStyle="1" w:styleId="307">
    <w:name w:val="307"/>
    <w:aliases w:val="3 dubbele streep h"/>
    <w:basedOn w:val="305"/>
    <w:next w:val="000"/>
    <w:uiPriority w:val="99"/>
    <w:rsid w:val="00B40961"/>
    <w:rPr>
      <w:position w:val="6"/>
      <w:sz w:val="14"/>
    </w:rPr>
  </w:style>
  <w:style w:type="paragraph" w:customStyle="1" w:styleId="400">
    <w:name w:val="400"/>
    <w:aliases w:val="4 kop h"/>
    <w:basedOn w:val="Normal"/>
    <w:next w:val="401"/>
    <w:uiPriority w:val="99"/>
    <w:rsid w:val="00B40961"/>
    <w:pPr>
      <w:tabs>
        <w:tab w:val="center" w:pos="5140"/>
        <w:tab w:val="center" w:pos="6420"/>
        <w:tab w:val="center" w:pos="7700"/>
        <w:tab w:val="center" w:pos="8980"/>
      </w:tabs>
      <w:ind w:right="-170"/>
    </w:pPr>
    <w:rPr>
      <w:sz w:val="20"/>
    </w:rPr>
  </w:style>
  <w:style w:type="paragraph" w:customStyle="1" w:styleId="401">
    <w:name w:val="401"/>
    <w:aliases w:val="4 kopstreep h"/>
    <w:basedOn w:val="Normal"/>
    <w:next w:val="402"/>
    <w:uiPriority w:val="99"/>
    <w:rsid w:val="00B40961"/>
    <w:pPr>
      <w:tabs>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402">
    <w:name w:val="402"/>
    <w:aliases w:val="4 €-tekens h"/>
    <w:basedOn w:val="Normal"/>
    <w:next w:val="404"/>
    <w:uiPriority w:val="99"/>
    <w:rsid w:val="00B40961"/>
    <w:pPr>
      <w:tabs>
        <w:tab w:val="center" w:pos="5140"/>
        <w:tab w:val="center" w:pos="6420"/>
        <w:tab w:val="center" w:pos="7700"/>
        <w:tab w:val="center" w:pos="8980"/>
      </w:tabs>
      <w:spacing w:after="140"/>
    </w:pPr>
    <w:rPr>
      <w:sz w:val="20"/>
    </w:rPr>
  </w:style>
  <w:style w:type="paragraph" w:customStyle="1" w:styleId="404">
    <w:name w:val="404"/>
    <w:aliases w:val="4 cijferregel h"/>
    <w:basedOn w:val="Normal"/>
    <w:uiPriority w:val="99"/>
    <w:rsid w:val="00B40961"/>
    <w:pPr>
      <w:tabs>
        <w:tab w:val="left" w:pos="1134"/>
        <w:tab w:val="decimal" w:pos="5540"/>
        <w:tab w:val="decimal" w:pos="6820"/>
        <w:tab w:val="decimal" w:pos="8100"/>
        <w:tab w:val="decimal" w:pos="9380"/>
      </w:tabs>
      <w:ind w:left="567" w:right="-170" w:hanging="567"/>
    </w:pPr>
    <w:rPr>
      <w:sz w:val="20"/>
    </w:rPr>
  </w:style>
  <w:style w:type="paragraph" w:customStyle="1" w:styleId="403">
    <w:name w:val="403"/>
    <w:aliases w:val="kop boven 1/4 h"/>
    <w:basedOn w:val="Normal"/>
    <w:next w:val="401"/>
    <w:uiPriority w:val="99"/>
    <w:rsid w:val="00B40961"/>
    <w:pPr>
      <w:tabs>
        <w:tab w:val="center" w:pos="5780"/>
        <w:tab w:val="center" w:pos="8340"/>
      </w:tabs>
    </w:pPr>
    <w:rPr>
      <w:sz w:val="20"/>
    </w:rPr>
  </w:style>
  <w:style w:type="paragraph" w:customStyle="1" w:styleId="405">
    <w:name w:val="405"/>
    <w:aliases w:val="4 enkele telstreep h"/>
    <w:basedOn w:val="Normal"/>
    <w:next w:val="404"/>
    <w:uiPriority w:val="99"/>
    <w:rsid w:val="00B40961"/>
    <w:pPr>
      <w:tabs>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406">
    <w:name w:val="406"/>
    <w:aliases w:val="4 gestippelde streep h"/>
    <w:basedOn w:val="405"/>
    <w:next w:val="404"/>
    <w:uiPriority w:val="99"/>
    <w:rsid w:val="00B40961"/>
    <w:pPr>
      <w:tabs>
        <w:tab w:val="decimal" w:leader="dot" w:pos="5540"/>
        <w:tab w:val="decimal" w:leader="dot" w:pos="6820"/>
        <w:tab w:val="decimal" w:leader="dot" w:pos="8100"/>
        <w:tab w:val="decimal" w:leader="dot" w:pos="9380"/>
      </w:tabs>
    </w:pPr>
    <w:rPr>
      <w:position w:val="2"/>
      <w:sz w:val="14"/>
    </w:rPr>
  </w:style>
  <w:style w:type="paragraph" w:customStyle="1" w:styleId="407">
    <w:name w:val="407"/>
    <w:aliases w:val="4 dubbele streep h"/>
    <w:basedOn w:val="405"/>
    <w:next w:val="000"/>
    <w:uiPriority w:val="99"/>
    <w:rsid w:val="00B40961"/>
    <w:rPr>
      <w:position w:val="6"/>
      <w:sz w:val="14"/>
    </w:rPr>
  </w:style>
  <w:style w:type="paragraph" w:customStyle="1" w:styleId="423">
    <w:name w:val="423"/>
    <w:aliases w:val="kop boven 1/4 t"/>
    <w:basedOn w:val="Normal"/>
    <w:uiPriority w:val="99"/>
    <w:rsid w:val="00B40961"/>
    <w:pPr>
      <w:tabs>
        <w:tab w:val="center" w:pos="6300"/>
        <w:tab w:val="center" w:pos="8520"/>
      </w:tabs>
    </w:pPr>
    <w:rPr>
      <w:sz w:val="20"/>
    </w:rPr>
  </w:style>
  <w:style w:type="paragraph" w:customStyle="1" w:styleId="453">
    <w:name w:val="453"/>
    <w:aliases w:val="kop boven 1/4 m"/>
    <w:basedOn w:val="Normal"/>
    <w:uiPriority w:val="99"/>
    <w:rsid w:val="00B40961"/>
    <w:pPr>
      <w:tabs>
        <w:tab w:val="center" w:pos="5620"/>
        <w:tab w:val="center" w:pos="8180"/>
      </w:tabs>
    </w:pPr>
    <w:rPr>
      <w:sz w:val="20"/>
    </w:rPr>
  </w:style>
  <w:style w:type="paragraph" w:customStyle="1" w:styleId="473">
    <w:name w:val="473"/>
    <w:aliases w:val="kop boven 1/4 mld"/>
    <w:basedOn w:val="Normal"/>
    <w:uiPriority w:val="99"/>
    <w:rsid w:val="00B40961"/>
    <w:pPr>
      <w:tabs>
        <w:tab w:val="center" w:pos="4900"/>
        <w:tab w:val="center" w:pos="7940"/>
      </w:tabs>
    </w:pPr>
    <w:rPr>
      <w:sz w:val="20"/>
    </w:rPr>
  </w:style>
  <w:style w:type="paragraph" w:customStyle="1" w:styleId="500">
    <w:name w:val="500"/>
    <w:aliases w:val="5 kop h"/>
    <w:basedOn w:val="Normal"/>
    <w:next w:val="501"/>
    <w:uiPriority w:val="99"/>
    <w:rsid w:val="00B40961"/>
    <w:pPr>
      <w:tabs>
        <w:tab w:val="center" w:pos="3860"/>
        <w:tab w:val="center" w:pos="5140"/>
        <w:tab w:val="center" w:pos="6420"/>
        <w:tab w:val="center" w:pos="7700"/>
        <w:tab w:val="center" w:pos="8980"/>
      </w:tabs>
      <w:ind w:right="-170"/>
    </w:pPr>
    <w:rPr>
      <w:sz w:val="20"/>
    </w:rPr>
  </w:style>
  <w:style w:type="paragraph" w:customStyle="1" w:styleId="501">
    <w:name w:val="501"/>
    <w:aliases w:val="5 kopstreep h"/>
    <w:basedOn w:val="Normal"/>
    <w:next w:val="502"/>
    <w:uiPriority w:val="99"/>
    <w:rsid w:val="00B40961"/>
    <w:pPr>
      <w:tabs>
        <w:tab w:val="left" w:pos="3460"/>
        <w:tab w:val="right" w:pos="4260"/>
        <w:tab w:val="left" w:pos="4740"/>
        <w:tab w:val="right" w:pos="5540"/>
        <w:tab w:val="left" w:pos="6020"/>
        <w:tab w:val="right" w:pos="6820"/>
        <w:tab w:val="left" w:pos="7300"/>
        <w:tab w:val="right" w:pos="8100"/>
        <w:tab w:val="left" w:pos="8580"/>
        <w:tab w:val="right" w:pos="9380"/>
      </w:tabs>
      <w:spacing w:after="140" w:line="140" w:lineRule="exact"/>
    </w:pPr>
    <w:rPr>
      <w:sz w:val="10"/>
    </w:rPr>
  </w:style>
  <w:style w:type="paragraph" w:customStyle="1" w:styleId="502">
    <w:name w:val="502"/>
    <w:aliases w:val="5 €-tekens h"/>
    <w:basedOn w:val="Normal"/>
    <w:next w:val="504"/>
    <w:uiPriority w:val="99"/>
    <w:rsid w:val="00B40961"/>
    <w:pPr>
      <w:tabs>
        <w:tab w:val="center" w:pos="3860"/>
        <w:tab w:val="center" w:pos="5140"/>
        <w:tab w:val="center" w:pos="6420"/>
        <w:tab w:val="center" w:pos="7700"/>
        <w:tab w:val="center" w:pos="8980"/>
      </w:tabs>
      <w:spacing w:after="140"/>
    </w:pPr>
    <w:rPr>
      <w:sz w:val="20"/>
    </w:rPr>
  </w:style>
  <w:style w:type="paragraph" w:customStyle="1" w:styleId="504">
    <w:name w:val="504"/>
    <w:aliases w:val="5 cijferregel h"/>
    <w:basedOn w:val="Normal"/>
    <w:uiPriority w:val="99"/>
    <w:rsid w:val="00B40961"/>
    <w:pPr>
      <w:tabs>
        <w:tab w:val="left" w:pos="1134"/>
        <w:tab w:val="decimal" w:pos="4260"/>
        <w:tab w:val="decimal" w:pos="5540"/>
        <w:tab w:val="decimal" w:pos="6820"/>
        <w:tab w:val="decimal" w:pos="8100"/>
        <w:tab w:val="decimal" w:pos="9380"/>
      </w:tabs>
      <w:ind w:left="567" w:right="-170" w:hanging="567"/>
    </w:pPr>
    <w:rPr>
      <w:sz w:val="20"/>
    </w:rPr>
  </w:style>
  <w:style w:type="paragraph" w:customStyle="1" w:styleId="503">
    <w:name w:val="503"/>
    <w:aliases w:val="kop boven 1/5 h"/>
    <w:basedOn w:val="Normal"/>
    <w:next w:val="501"/>
    <w:uiPriority w:val="99"/>
    <w:rsid w:val="00B40961"/>
    <w:pPr>
      <w:tabs>
        <w:tab w:val="center" w:pos="6420"/>
      </w:tabs>
    </w:pPr>
    <w:rPr>
      <w:sz w:val="20"/>
    </w:rPr>
  </w:style>
  <w:style w:type="paragraph" w:customStyle="1" w:styleId="505">
    <w:name w:val="505"/>
    <w:aliases w:val="5 enkele telstreep h"/>
    <w:basedOn w:val="Normal"/>
    <w:next w:val="504"/>
    <w:uiPriority w:val="99"/>
    <w:rsid w:val="00B40961"/>
    <w:pPr>
      <w:tabs>
        <w:tab w:val="left" w:pos="3460"/>
        <w:tab w:val="decimal" w:pos="4260"/>
        <w:tab w:val="left" w:pos="4740"/>
        <w:tab w:val="decimal" w:pos="5540"/>
        <w:tab w:val="left" w:pos="6020"/>
        <w:tab w:val="decimal" w:pos="6820"/>
        <w:tab w:val="left" w:pos="7300"/>
        <w:tab w:val="decimal" w:pos="8100"/>
        <w:tab w:val="left" w:pos="8580"/>
        <w:tab w:val="decimal" w:pos="9380"/>
      </w:tabs>
      <w:spacing w:line="140" w:lineRule="exact"/>
    </w:pPr>
    <w:rPr>
      <w:position w:val="4"/>
      <w:sz w:val="10"/>
    </w:rPr>
  </w:style>
  <w:style w:type="paragraph" w:customStyle="1" w:styleId="506">
    <w:name w:val="506"/>
    <w:aliases w:val="5 gestippelde streep h"/>
    <w:basedOn w:val="505"/>
    <w:next w:val="504"/>
    <w:uiPriority w:val="99"/>
    <w:rsid w:val="00B40961"/>
    <w:pPr>
      <w:tabs>
        <w:tab w:val="decimal" w:leader="dot" w:pos="4260"/>
        <w:tab w:val="decimal" w:leader="dot" w:pos="5540"/>
        <w:tab w:val="decimal" w:leader="dot" w:pos="6820"/>
        <w:tab w:val="decimal" w:leader="dot" w:pos="8100"/>
        <w:tab w:val="decimal" w:leader="dot" w:pos="9380"/>
      </w:tabs>
    </w:pPr>
    <w:rPr>
      <w:position w:val="2"/>
      <w:sz w:val="14"/>
    </w:rPr>
  </w:style>
  <w:style w:type="paragraph" w:customStyle="1" w:styleId="507">
    <w:name w:val="507"/>
    <w:aliases w:val="5 dubbele streep h"/>
    <w:basedOn w:val="505"/>
    <w:next w:val="000"/>
    <w:uiPriority w:val="99"/>
    <w:rsid w:val="00B40961"/>
    <w:rPr>
      <w:position w:val="6"/>
      <w:sz w:val="14"/>
    </w:rPr>
  </w:style>
  <w:style w:type="paragraph" w:customStyle="1" w:styleId="603">
    <w:name w:val="603"/>
    <w:aliases w:val="kop boven 1/2 3/4 5/6 h"/>
    <w:basedOn w:val="Normal"/>
    <w:uiPriority w:val="99"/>
    <w:rsid w:val="00B40961"/>
    <w:pPr>
      <w:tabs>
        <w:tab w:val="center" w:pos="3221"/>
        <w:tab w:val="center" w:pos="5780"/>
        <w:tab w:val="center" w:pos="8341"/>
      </w:tabs>
    </w:pPr>
    <w:rPr>
      <w:sz w:val="20"/>
    </w:rPr>
  </w:style>
  <w:style w:type="paragraph" w:customStyle="1" w:styleId="673r">
    <w:name w:val="673r"/>
    <w:aliases w:val="kop boven 1/6 mld rechts"/>
    <w:basedOn w:val="Normal"/>
    <w:uiPriority w:val="99"/>
    <w:rsid w:val="00B40961"/>
    <w:pPr>
      <w:tabs>
        <w:tab w:val="center" w:pos="1440"/>
        <w:tab w:val="center" w:pos="4480"/>
        <w:tab w:val="center" w:pos="7520"/>
      </w:tabs>
    </w:pPr>
    <w:rPr>
      <w:sz w:val="20"/>
    </w:rPr>
  </w:style>
  <w:style w:type="paragraph" w:customStyle="1" w:styleId="700r">
    <w:name w:val="700r"/>
    <w:aliases w:val="7 kop h rechts"/>
    <w:basedOn w:val="Normal"/>
    <w:next w:val="701r"/>
    <w:uiPriority w:val="99"/>
    <w:rsid w:val="00B40961"/>
    <w:pPr>
      <w:tabs>
        <w:tab w:val="center" w:pos="400"/>
        <w:tab w:val="center" w:pos="1680"/>
        <w:tab w:val="center" w:pos="2960"/>
        <w:tab w:val="center" w:pos="4240"/>
        <w:tab w:val="center" w:pos="5520"/>
        <w:tab w:val="center" w:pos="6800"/>
        <w:tab w:val="center" w:pos="8080"/>
      </w:tabs>
    </w:pPr>
    <w:rPr>
      <w:sz w:val="20"/>
    </w:rPr>
  </w:style>
  <w:style w:type="paragraph" w:customStyle="1" w:styleId="701r">
    <w:name w:val="701r"/>
    <w:aliases w:val="7 kopstreep h rechts"/>
    <w:basedOn w:val="Normal"/>
    <w:next w:val="702r"/>
    <w:uiPriority w:val="99"/>
    <w:rsid w:val="00B40961"/>
    <w:pPr>
      <w:tabs>
        <w:tab w:val="left" w:pos="0"/>
        <w:tab w:val="right" w:pos="800"/>
        <w:tab w:val="left" w:pos="1280"/>
        <w:tab w:val="right" w:pos="2080"/>
        <w:tab w:val="left" w:pos="2560"/>
        <w:tab w:val="right" w:pos="3360"/>
        <w:tab w:val="left" w:pos="3840"/>
        <w:tab w:val="right" w:pos="4640"/>
        <w:tab w:val="left" w:pos="5120"/>
        <w:tab w:val="right" w:pos="5920"/>
        <w:tab w:val="left" w:pos="6400"/>
        <w:tab w:val="right" w:pos="7200"/>
        <w:tab w:val="left" w:pos="7680"/>
        <w:tab w:val="right" w:pos="8480"/>
      </w:tabs>
      <w:spacing w:after="140" w:line="140" w:lineRule="exact"/>
    </w:pPr>
    <w:rPr>
      <w:sz w:val="10"/>
    </w:rPr>
  </w:style>
  <w:style w:type="paragraph" w:customStyle="1" w:styleId="702r">
    <w:name w:val="702r"/>
    <w:aliases w:val="7 €-tekens h rechts"/>
    <w:basedOn w:val="Normal"/>
    <w:next w:val="704r"/>
    <w:uiPriority w:val="99"/>
    <w:rsid w:val="00B40961"/>
    <w:pPr>
      <w:tabs>
        <w:tab w:val="center" w:pos="400"/>
        <w:tab w:val="center" w:pos="1680"/>
        <w:tab w:val="center" w:pos="2960"/>
        <w:tab w:val="center" w:pos="4240"/>
        <w:tab w:val="center" w:pos="5520"/>
        <w:tab w:val="center" w:pos="6800"/>
        <w:tab w:val="center" w:pos="8080"/>
      </w:tabs>
      <w:spacing w:after="140"/>
    </w:pPr>
    <w:rPr>
      <w:sz w:val="20"/>
    </w:rPr>
  </w:style>
  <w:style w:type="paragraph" w:customStyle="1" w:styleId="704r">
    <w:name w:val="704r"/>
    <w:aliases w:val="7 cijferregel h rechts"/>
    <w:basedOn w:val="Normal"/>
    <w:uiPriority w:val="99"/>
    <w:rsid w:val="00B40961"/>
    <w:pPr>
      <w:tabs>
        <w:tab w:val="decimal" w:pos="800"/>
        <w:tab w:val="decimal" w:pos="2080"/>
        <w:tab w:val="decimal" w:pos="3360"/>
        <w:tab w:val="decimal" w:pos="4640"/>
        <w:tab w:val="decimal" w:pos="5920"/>
        <w:tab w:val="decimal" w:pos="7200"/>
        <w:tab w:val="decimal" w:pos="8480"/>
      </w:tabs>
    </w:pPr>
    <w:rPr>
      <w:sz w:val="20"/>
    </w:rPr>
  </w:style>
  <w:style w:type="paragraph" w:customStyle="1" w:styleId="703r">
    <w:name w:val="703r"/>
    <w:aliases w:val="kop boven 1/7 h rechts"/>
    <w:basedOn w:val="Normal"/>
    <w:next w:val="701r"/>
    <w:uiPriority w:val="99"/>
    <w:rsid w:val="00B40961"/>
    <w:pPr>
      <w:tabs>
        <w:tab w:val="center" w:pos="4240"/>
      </w:tabs>
    </w:pPr>
    <w:rPr>
      <w:sz w:val="20"/>
    </w:rPr>
  </w:style>
  <w:style w:type="paragraph" w:customStyle="1" w:styleId="705r">
    <w:name w:val="705r"/>
    <w:aliases w:val="7 enkele telstreep h rechts"/>
    <w:basedOn w:val="Normal"/>
    <w:next w:val="704r"/>
    <w:uiPriority w:val="99"/>
    <w:rsid w:val="00B40961"/>
    <w:pPr>
      <w:tabs>
        <w:tab w:val="left" w:pos="0"/>
        <w:tab w:val="decimal" w:pos="800"/>
        <w:tab w:val="left" w:pos="1280"/>
        <w:tab w:val="decimal" w:pos="2080"/>
        <w:tab w:val="left" w:pos="2560"/>
        <w:tab w:val="decimal" w:pos="3360"/>
        <w:tab w:val="left" w:pos="3840"/>
        <w:tab w:val="decimal" w:pos="4640"/>
        <w:tab w:val="left" w:pos="5120"/>
        <w:tab w:val="decimal" w:pos="5920"/>
        <w:tab w:val="left" w:pos="6400"/>
        <w:tab w:val="decimal" w:pos="7200"/>
        <w:tab w:val="left" w:pos="7680"/>
        <w:tab w:val="decimal" w:pos="8480"/>
      </w:tabs>
      <w:spacing w:line="140" w:lineRule="exact"/>
    </w:pPr>
    <w:rPr>
      <w:position w:val="4"/>
      <w:sz w:val="10"/>
    </w:rPr>
  </w:style>
  <w:style w:type="paragraph" w:customStyle="1" w:styleId="706r">
    <w:name w:val="706r"/>
    <w:aliases w:val="7 gestippelde streep h rechts"/>
    <w:basedOn w:val="705r"/>
    <w:next w:val="704r"/>
    <w:uiPriority w:val="99"/>
    <w:rsid w:val="00B40961"/>
    <w:pPr>
      <w:tabs>
        <w:tab w:val="decimal" w:leader="dot" w:pos="800"/>
        <w:tab w:val="decimal" w:leader="dot" w:pos="2080"/>
        <w:tab w:val="decimal" w:leader="dot" w:pos="3360"/>
        <w:tab w:val="decimal" w:leader="dot" w:pos="4640"/>
        <w:tab w:val="decimal" w:leader="dot" w:pos="5920"/>
        <w:tab w:val="decimal" w:leader="dot" w:pos="7200"/>
        <w:tab w:val="decimal" w:leader="dot" w:pos="8480"/>
      </w:tabs>
    </w:pPr>
    <w:rPr>
      <w:position w:val="2"/>
      <w:sz w:val="14"/>
    </w:rPr>
  </w:style>
  <w:style w:type="paragraph" w:customStyle="1" w:styleId="707r">
    <w:name w:val="707r"/>
    <w:aliases w:val="7 dubbele streep h rechts"/>
    <w:basedOn w:val="705r"/>
    <w:next w:val="000"/>
    <w:uiPriority w:val="99"/>
    <w:rsid w:val="00B40961"/>
    <w:rPr>
      <w:position w:val="6"/>
      <w:sz w:val="14"/>
    </w:rPr>
  </w:style>
  <w:style w:type="paragraph" w:customStyle="1" w:styleId="a200">
    <w:name w:val="a200"/>
    <w:aliases w:val="2 kop h en 100%"/>
    <w:basedOn w:val="Normal"/>
    <w:uiPriority w:val="99"/>
    <w:rsid w:val="00B40961"/>
    <w:pPr>
      <w:tabs>
        <w:tab w:val="center" w:pos="6820"/>
        <w:tab w:val="center" w:pos="8580"/>
      </w:tabs>
      <w:ind w:right="-170"/>
    </w:pPr>
    <w:rPr>
      <w:sz w:val="20"/>
    </w:rPr>
  </w:style>
  <w:style w:type="paragraph" w:customStyle="1" w:styleId="a201">
    <w:name w:val="a201"/>
    <w:aliases w:val="2 kopstreep h en 100%"/>
    <w:basedOn w:val="Normal"/>
    <w:next w:val="a202"/>
    <w:uiPriority w:val="99"/>
    <w:rsid w:val="00B40961"/>
    <w:pPr>
      <w:tabs>
        <w:tab w:val="left" w:pos="6020"/>
        <w:tab w:val="right" w:pos="7620"/>
        <w:tab w:val="left" w:pos="7780"/>
        <w:tab w:val="right" w:pos="9380"/>
      </w:tabs>
      <w:spacing w:after="140" w:line="140" w:lineRule="exact"/>
    </w:pPr>
    <w:rPr>
      <w:sz w:val="10"/>
    </w:rPr>
  </w:style>
  <w:style w:type="paragraph" w:customStyle="1" w:styleId="a202">
    <w:name w:val="a202"/>
    <w:aliases w:val="2 €- en %-tekens h en 100%"/>
    <w:basedOn w:val="Normal"/>
    <w:next w:val="a204"/>
    <w:uiPriority w:val="99"/>
    <w:rsid w:val="00B40961"/>
    <w:pPr>
      <w:tabs>
        <w:tab w:val="center" w:pos="6420"/>
        <w:tab w:val="center" w:pos="7380"/>
        <w:tab w:val="center" w:pos="8180"/>
        <w:tab w:val="center" w:pos="9140"/>
      </w:tabs>
      <w:spacing w:after="140"/>
    </w:pPr>
    <w:rPr>
      <w:sz w:val="20"/>
    </w:rPr>
  </w:style>
  <w:style w:type="paragraph" w:customStyle="1" w:styleId="a204">
    <w:name w:val="a204"/>
    <w:aliases w:val="2 cijferregel h en 100%"/>
    <w:basedOn w:val="Normal"/>
    <w:uiPriority w:val="99"/>
    <w:rsid w:val="00B40961"/>
    <w:pPr>
      <w:tabs>
        <w:tab w:val="left" w:pos="1134"/>
        <w:tab w:val="decimal" w:pos="6820"/>
        <w:tab w:val="decimal" w:pos="7620"/>
        <w:tab w:val="decimal" w:pos="8580"/>
        <w:tab w:val="decimal" w:pos="9380"/>
      </w:tabs>
      <w:ind w:left="567" w:right="-170" w:hanging="567"/>
    </w:pPr>
    <w:rPr>
      <w:sz w:val="20"/>
    </w:rPr>
  </w:style>
  <w:style w:type="paragraph" w:customStyle="1" w:styleId="a203">
    <w:name w:val="a203"/>
    <w:aliases w:val="kop boven 1/2 h en 100%"/>
    <w:basedOn w:val="Normal"/>
    <w:next w:val="a201"/>
    <w:uiPriority w:val="99"/>
    <w:rsid w:val="00B40961"/>
    <w:pPr>
      <w:tabs>
        <w:tab w:val="center" w:pos="7700"/>
      </w:tabs>
    </w:pPr>
    <w:rPr>
      <w:sz w:val="20"/>
    </w:rPr>
  </w:style>
  <w:style w:type="paragraph" w:customStyle="1" w:styleId="a205">
    <w:name w:val="a205"/>
    <w:aliases w:val="2 enkele telstreep h en 100%"/>
    <w:basedOn w:val="Normal"/>
    <w:next w:val="a204"/>
    <w:uiPriority w:val="99"/>
    <w:rsid w:val="00B40961"/>
    <w:pPr>
      <w:tabs>
        <w:tab w:val="left" w:pos="6020"/>
        <w:tab w:val="decimal" w:pos="6820"/>
        <w:tab w:val="left" w:pos="7140"/>
        <w:tab w:val="decimal" w:pos="7620"/>
        <w:tab w:val="left" w:pos="7780"/>
        <w:tab w:val="decimal" w:pos="8580"/>
        <w:tab w:val="left" w:pos="8900"/>
        <w:tab w:val="decimal" w:pos="9380"/>
      </w:tabs>
      <w:spacing w:line="140" w:lineRule="exact"/>
    </w:pPr>
    <w:rPr>
      <w:position w:val="4"/>
      <w:sz w:val="10"/>
    </w:rPr>
  </w:style>
  <w:style w:type="paragraph" w:customStyle="1" w:styleId="a206">
    <w:name w:val="a206"/>
    <w:aliases w:val="2 gestippelde streep h en 100%"/>
    <w:basedOn w:val="a205"/>
    <w:next w:val="a204"/>
    <w:uiPriority w:val="99"/>
    <w:rsid w:val="00B40961"/>
    <w:pPr>
      <w:tabs>
        <w:tab w:val="decimal" w:leader="dot" w:pos="6820"/>
        <w:tab w:val="decimal" w:leader="dot" w:pos="7620"/>
        <w:tab w:val="decimal" w:leader="dot" w:pos="8580"/>
        <w:tab w:val="decimal" w:leader="dot" w:pos="9380"/>
      </w:tabs>
    </w:pPr>
    <w:rPr>
      <w:position w:val="2"/>
      <w:sz w:val="14"/>
    </w:rPr>
  </w:style>
  <w:style w:type="paragraph" w:customStyle="1" w:styleId="a207">
    <w:name w:val="a207"/>
    <w:aliases w:val="2 dubbele streep h en 100%"/>
    <w:basedOn w:val="a205"/>
    <w:next w:val="000"/>
    <w:uiPriority w:val="99"/>
    <w:rsid w:val="00B40961"/>
    <w:rPr>
      <w:position w:val="6"/>
      <w:sz w:val="14"/>
    </w:rPr>
  </w:style>
  <w:style w:type="paragraph" w:customStyle="1" w:styleId="b200">
    <w:name w:val="b200"/>
    <w:aliases w:val="2 kop h en 100.0%"/>
    <w:basedOn w:val="Normal"/>
    <w:next w:val="b201"/>
    <w:uiPriority w:val="99"/>
    <w:rsid w:val="00B40961"/>
    <w:pPr>
      <w:tabs>
        <w:tab w:val="center" w:pos="6820"/>
        <w:tab w:val="center" w:pos="8580"/>
      </w:tabs>
      <w:ind w:right="-170"/>
    </w:pPr>
    <w:rPr>
      <w:sz w:val="20"/>
    </w:rPr>
  </w:style>
  <w:style w:type="paragraph" w:customStyle="1" w:styleId="b201">
    <w:name w:val="b201"/>
    <w:aliases w:val="2 kopstreep h en 100.0%"/>
    <w:basedOn w:val="Normal"/>
    <w:next w:val="b202"/>
    <w:uiPriority w:val="99"/>
    <w:rsid w:val="00B40961"/>
    <w:pPr>
      <w:tabs>
        <w:tab w:val="left" w:pos="6020"/>
        <w:tab w:val="right" w:pos="7620"/>
        <w:tab w:val="left" w:pos="7780"/>
        <w:tab w:val="right" w:pos="9380"/>
      </w:tabs>
      <w:spacing w:after="140" w:line="140" w:lineRule="exact"/>
    </w:pPr>
    <w:rPr>
      <w:sz w:val="10"/>
    </w:rPr>
  </w:style>
  <w:style w:type="paragraph" w:customStyle="1" w:styleId="b202">
    <w:name w:val="b202"/>
    <w:aliases w:val="2 €- en %-tekens h en 100.0%"/>
    <w:basedOn w:val="Normal"/>
    <w:next w:val="204"/>
    <w:uiPriority w:val="99"/>
    <w:rsid w:val="00B40961"/>
    <w:pPr>
      <w:tabs>
        <w:tab w:val="center" w:pos="6420"/>
        <w:tab w:val="center" w:pos="7340"/>
        <w:tab w:val="center" w:pos="8180"/>
        <w:tab w:val="center" w:pos="9100"/>
      </w:tabs>
      <w:spacing w:after="140"/>
    </w:pPr>
    <w:rPr>
      <w:sz w:val="20"/>
    </w:rPr>
  </w:style>
  <w:style w:type="paragraph" w:customStyle="1" w:styleId="b203">
    <w:name w:val="b203"/>
    <w:aliases w:val="kop boven 1/2 h en 100.0%"/>
    <w:basedOn w:val="Normal"/>
    <w:next w:val="b201"/>
    <w:uiPriority w:val="99"/>
    <w:rsid w:val="00B40961"/>
    <w:pPr>
      <w:tabs>
        <w:tab w:val="center" w:pos="7700"/>
      </w:tabs>
    </w:pPr>
    <w:rPr>
      <w:sz w:val="20"/>
    </w:rPr>
  </w:style>
  <w:style w:type="paragraph" w:customStyle="1" w:styleId="b204">
    <w:name w:val="b204"/>
    <w:aliases w:val="2 cijferregel h en 100.0%"/>
    <w:basedOn w:val="Normal"/>
    <w:uiPriority w:val="99"/>
    <w:rsid w:val="00B40961"/>
    <w:pPr>
      <w:tabs>
        <w:tab w:val="left" w:pos="1134"/>
        <w:tab w:val="decimal" w:pos="6820"/>
        <w:tab w:val="decimal" w:pos="7420"/>
        <w:tab w:val="decimal" w:pos="8580"/>
        <w:tab w:val="decimal" w:pos="9180"/>
      </w:tabs>
      <w:ind w:left="567" w:right="-170" w:hanging="567"/>
    </w:pPr>
    <w:rPr>
      <w:sz w:val="20"/>
    </w:rPr>
  </w:style>
  <w:style w:type="paragraph" w:customStyle="1" w:styleId="b205">
    <w:name w:val="b205"/>
    <w:aliases w:val="2 enkele telstreep h en 100.0%"/>
    <w:basedOn w:val="Normal"/>
    <w:next w:val="b204"/>
    <w:uiPriority w:val="99"/>
    <w:rsid w:val="00B40961"/>
    <w:pPr>
      <w:tabs>
        <w:tab w:val="left" w:pos="6020"/>
        <w:tab w:val="decimal" w:pos="6820"/>
        <w:tab w:val="left" w:pos="7060"/>
        <w:tab w:val="decimal" w:pos="7620"/>
        <w:tab w:val="left" w:pos="7780"/>
        <w:tab w:val="decimal" w:pos="8580"/>
        <w:tab w:val="left" w:pos="8820"/>
        <w:tab w:val="decimal" w:pos="9380"/>
      </w:tabs>
      <w:spacing w:line="140" w:lineRule="exact"/>
    </w:pPr>
    <w:rPr>
      <w:position w:val="4"/>
      <w:sz w:val="10"/>
    </w:rPr>
  </w:style>
  <w:style w:type="paragraph" w:customStyle="1" w:styleId="b206">
    <w:name w:val="b206"/>
    <w:aliases w:val="2 gestippelde streep h en 100.0%"/>
    <w:basedOn w:val="b205"/>
    <w:next w:val="b204"/>
    <w:uiPriority w:val="99"/>
    <w:rsid w:val="00B40961"/>
    <w:pPr>
      <w:tabs>
        <w:tab w:val="decimal" w:leader="dot" w:pos="6820"/>
        <w:tab w:val="decimal" w:leader="dot" w:pos="7620"/>
        <w:tab w:val="decimal" w:leader="dot" w:pos="8580"/>
        <w:tab w:val="decimal" w:leader="dot" w:pos="9380"/>
      </w:tabs>
    </w:pPr>
    <w:rPr>
      <w:position w:val="2"/>
      <w:sz w:val="14"/>
    </w:rPr>
  </w:style>
  <w:style w:type="paragraph" w:customStyle="1" w:styleId="b207">
    <w:name w:val="b207"/>
    <w:aliases w:val="2 dubbele streep h en 100.0%"/>
    <w:basedOn w:val="b205"/>
    <w:next w:val="000"/>
    <w:uiPriority w:val="99"/>
    <w:rsid w:val="00B40961"/>
    <w:rPr>
      <w:position w:val="6"/>
      <w:sz w:val="14"/>
    </w:rPr>
  </w:style>
  <w:style w:type="paragraph" w:styleId="EndnoteText">
    <w:name w:val="endnote text"/>
    <w:basedOn w:val="Normal"/>
    <w:link w:val="EndnoteTextChar"/>
    <w:uiPriority w:val="99"/>
    <w:semiHidden/>
    <w:rsid w:val="00B40961"/>
    <w:rPr>
      <w:sz w:val="20"/>
    </w:rPr>
  </w:style>
  <w:style w:type="character" w:customStyle="1" w:styleId="EndnoteTextChar">
    <w:name w:val="Endnote Text Char"/>
    <w:basedOn w:val="DefaultParagraphFont"/>
    <w:link w:val="EndnoteText"/>
    <w:uiPriority w:val="99"/>
    <w:semiHidden/>
    <w:locked/>
    <w:rsid w:val="00E85DC7"/>
    <w:rPr>
      <w:rFonts w:ascii="EYInterstate Light" w:hAnsi="EYInterstate Light" w:cs="Times New Roman"/>
      <w:lang w:eastAsia="en-US"/>
    </w:rPr>
  </w:style>
  <w:style w:type="paragraph" w:customStyle="1" w:styleId="EYBodyTextwithparaspace">
    <w:name w:val="EY Body Text (with para space)"/>
    <w:basedOn w:val="Normal"/>
    <w:uiPriority w:val="99"/>
    <w:rsid w:val="00B40961"/>
    <w:pPr>
      <w:spacing w:after="260"/>
    </w:pPr>
  </w:style>
  <w:style w:type="paragraph" w:customStyle="1" w:styleId="EYBusinessaddress">
    <w:name w:val="EY Business address"/>
    <w:basedOn w:val="Normal"/>
    <w:uiPriority w:val="99"/>
    <w:rsid w:val="00B40961"/>
    <w:pPr>
      <w:suppressAutoHyphens/>
      <w:spacing w:line="170" w:lineRule="atLeast"/>
    </w:pPr>
    <w:rPr>
      <w:color w:val="7F7E82"/>
      <w:sz w:val="15"/>
    </w:rPr>
  </w:style>
  <w:style w:type="paragraph" w:customStyle="1" w:styleId="EYBusinessaddressbold">
    <w:name w:val="EY Business address (bold)"/>
    <w:basedOn w:val="Normal"/>
    <w:uiPriority w:val="99"/>
    <w:rsid w:val="00B40961"/>
    <w:pPr>
      <w:suppressAutoHyphens/>
      <w:spacing w:line="170" w:lineRule="atLeast"/>
    </w:pPr>
    <w:rPr>
      <w:rFonts w:ascii="EYInterstate" w:hAnsi="EYInterstate"/>
      <w:b/>
      <w:sz w:val="15"/>
    </w:rPr>
  </w:style>
  <w:style w:type="paragraph" w:customStyle="1" w:styleId="EYfooter">
    <w:name w:val="EY footer"/>
    <w:basedOn w:val="Normal"/>
    <w:uiPriority w:val="99"/>
    <w:rsid w:val="00B40961"/>
    <w:pPr>
      <w:suppressAutoHyphens/>
      <w:spacing w:line="130" w:lineRule="atLeast"/>
    </w:pPr>
    <w:rPr>
      <w:sz w:val="11"/>
    </w:rPr>
  </w:style>
  <w:style w:type="paragraph" w:styleId="Footer">
    <w:name w:val="footer"/>
    <w:basedOn w:val="000"/>
    <w:link w:val="FooterChar"/>
    <w:uiPriority w:val="99"/>
    <w:rsid w:val="00B40961"/>
    <w:pPr>
      <w:tabs>
        <w:tab w:val="center" w:pos="4677"/>
        <w:tab w:val="right" w:pos="9377"/>
      </w:tabs>
    </w:pPr>
  </w:style>
  <w:style w:type="character" w:customStyle="1" w:styleId="FooterChar">
    <w:name w:val="Footer Char"/>
    <w:basedOn w:val="DefaultParagraphFont"/>
    <w:link w:val="Footer"/>
    <w:uiPriority w:val="99"/>
    <w:locked/>
    <w:rsid w:val="00D369D7"/>
    <w:rPr>
      <w:rFonts w:ascii="EYInterstate Light" w:hAnsi="EYInterstate Light" w:cs="Times New Roman"/>
      <w:sz w:val="22"/>
      <w:lang w:eastAsia="en-US"/>
    </w:rPr>
  </w:style>
  <w:style w:type="character" w:styleId="FootnoteReference">
    <w:name w:val="footnote reference"/>
    <w:basedOn w:val="DefaultParagraphFont"/>
    <w:uiPriority w:val="99"/>
    <w:rsid w:val="00B40961"/>
    <w:rPr>
      <w:rFonts w:ascii="EYInterstate Light" w:hAnsi="EYInterstate Light" w:cs="Times New Roman"/>
      <w:position w:val="6"/>
      <w:sz w:val="14"/>
    </w:rPr>
  </w:style>
  <w:style w:type="paragraph" w:styleId="FootnoteText">
    <w:name w:val="footnote text"/>
    <w:basedOn w:val="000"/>
    <w:link w:val="FootnoteTextChar"/>
    <w:uiPriority w:val="99"/>
    <w:rsid w:val="00B40961"/>
    <w:pPr>
      <w:ind w:left="480" w:hanging="480"/>
    </w:pPr>
    <w:rPr>
      <w:sz w:val="18"/>
    </w:rPr>
  </w:style>
  <w:style w:type="character" w:customStyle="1" w:styleId="FootnoteTextChar">
    <w:name w:val="Footnote Text Char"/>
    <w:basedOn w:val="DefaultParagraphFont"/>
    <w:link w:val="FootnoteText"/>
    <w:uiPriority w:val="99"/>
    <w:locked/>
    <w:rsid w:val="00452C57"/>
    <w:rPr>
      <w:rFonts w:ascii="EYInterstate Light" w:hAnsi="EYInterstate Light" w:cs="Times New Roman"/>
      <w:sz w:val="18"/>
      <w:lang w:eastAsia="en-US"/>
    </w:rPr>
  </w:style>
  <w:style w:type="paragraph" w:styleId="Header">
    <w:name w:val="header"/>
    <w:basedOn w:val="000"/>
    <w:link w:val="HeaderChar"/>
    <w:uiPriority w:val="99"/>
    <w:rsid w:val="00B40961"/>
    <w:pPr>
      <w:tabs>
        <w:tab w:val="center" w:pos="4677"/>
        <w:tab w:val="right" w:pos="9377"/>
      </w:tabs>
    </w:pPr>
  </w:style>
  <w:style w:type="character" w:customStyle="1" w:styleId="HeaderChar">
    <w:name w:val="Header Char"/>
    <w:basedOn w:val="DefaultParagraphFont"/>
    <w:link w:val="Header"/>
    <w:uiPriority w:val="99"/>
    <w:locked/>
    <w:rsid w:val="00E85DC7"/>
    <w:rPr>
      <w:rFonts w:ascii="EYInterstate Light" w:hAnsi="EYInterstate Light" w:cs="Times New Roman"/>
      <w:sz w:val="22"/>
      <w:lang w:eastAsia="en-US"/>
    </w:rPr>
  </w:style>
  <w:style w:type="character" w:styleId="Hyperlink">
    <w:name w:val="Hyperlink"/>
    <w:basedOn w:val="DefaultParagraphFont"/>
    <w:uiPriority w:val="99"/>
    <w:rsid w:val="00B40961"/>
    <w:rPr>
      <w:rFonts w:cs="Times New Roman"/>
      <w:color w:val="0000FF"/>
      <w:u w:val="single"/>
    </w:rPr>
  </w:style>
  <w:style w:type="paragraph" w:styleId="ListBullet">
    <w:name w:val="List Bullet"/>
    <w:basedOn w:val="000"/>
    <w:uiPriority w:val="99"/>
    <w:rsid w:val="00B40961"/>
    <w:pPr>
      <w:tabs>
        <w:tab w:val="num" w:pos="0"/>
        <w:tab w:val="left" w:pos="567"/>
      </w:tabs>
    </w:pPr>
  </w:style>
  <w:style w:type="paragraph" w:styleId="ListBullet2">
    <w:name w:val="List Bullet 2"/>
    <w:basedOn w:val="000"/>
    <w:uiPriority w:val="99"/>
    <w:rsid w:val="00B40961"/>
    <w:pPr>
      <w:tabs>
        <w:tab w:val="num" w:pos="567"/>
        <w:tab w:val="left" w:pos="1134"/>
      </w:tabs>
      <w:ind w:left="567"/>
    </w:pPr>
  </w:style>
  <w:style w:type="paragraph" w:styleId="ListBullet3">
    <w:name w:val="List Bullet 3"/>
    <w:basedOn w:val="000"/>
    <w:uiPriority w:val="99"/>
    <w:rsid w:val="00B40961"/>
    <w:pPr>
      <w:tabs>
        <w:tab w:val="num" w:pos="1134"/>
        <w:tab w:val="left" w:pos="1701"/>
      </w:tabs>
      <w:ind w:left="1134"/>
    </w:pPr>
  </w:style>
  <w:style w:type="paragraph" w:styleId="ListNumber">
    <w:name w:val="List Number"/>
    <w:basedOn w:val="000"/>
    <w:uiPriority w:val="99"/>
    <w:rsid w:val="00B40961"/>
    <w:pPr>
      <w:tabs>
        <w:tab w:val="num" w:pos="567"/>
      </w:tabs>
      <w:ind w:left="567" w:hanging="567"/>
    </w:pPr>
  </w:style>
  <w:style w:type="character" w:styleId="PageNumber">
    <w:name w:val="page number"/>
    <w:basedOn w:val="DefaultParagraphFont"/>
    <w:uiPriority w:val="99"/>
    <w:rsid w:val="00B40961"/>
    <w:rPr>
      <w:rFonts w:cs="Times New Roman"/>
      <w:sz w:val="24"/>
      <w:lang w:val="nl-NL"/>
    </w:rPr>
  </w:style>
  <w:style w:type="paragraph" w:styleId="TOC1">
    <w:name w:val="toc 1"/>
    <w:basedOn w:val="Normal"/>
    <w:next w:val="Normal"/>
    <w:uiPriority w:val="99"/>
    <w:semiHidden/>
    <w:rsid w:val="00B40961"/>
    <w:pPr>
      <w:tabs>
        <w:tab w:val="right" w:pos="9378"/>
      </w:tabs>
      <w:spacing w:before="280"/>
      <w:ind w:left="720" w:hanging="720"/>
    </w:pPr>
    <w:rPr>
      <w:b/>
    </w:rPr>
  </w:style>
  <w:style w:type="paragraph" w:styleId="TOC3">
    <w:name w:val="toc 3"/>
    <w:basedOn w:val="Normal"/>
    <w:next w:val="Normal"/>
    <w:autoRedefine/>
    <w:uiPriority w:val="99"/>
    <w:semiHidden/>
    <w:rsid w:val="00B40961"/>
    <w:pPr>
      <w:ind w:left="480"/>
    </w:pPr>
  </w:style>
  <w:style w:type="paragraph" w:styleId="TOC4">
    <w:name w:val="toc 4"/>
    <w:basedOn w:val="Normal"/>
    <w:next w:val="Normal"/>
    <w:autoRedefine/>
    <w:uiPriority w:val="99"/>
    <w:semiHidden/>
    <w:rsid w:val="00B40961"/>
    <w:pPr>
      <w:ind w:left="720"/>
    </w:pPr>
  </w:style>
  <w:style w:type="paragraph" w:styleId="TOC5">
    <w:name w:val="toc 5"/>
    <w:basedOn w:val="Normal"/>
    <w:next w:val="Normal"/>
    <w:autoRedefine/>
    <w:uiPriority w:val="99"/>
    <w:semiHidden/>
    <w:rsid w:val="00B40961"/>
    <w:pPr>
      <w:ind w:left="960"/>
    </w:pPr>
  </w:style>
  <w:style w:type="paragraph" w:styleId="TOC6">
    <w:name w:val="toc 6"/>
    <w:basedOn w:val="Normal"/>
    <w:next w:val="Normal"/>
    <w:autoRedefine/>
    <w:uiPriority w:val="99"/>
    <w:semiHidden/>
    <w:rsid w:val="00B40961"/>
    <w:pPr>
      <w:ind w:left="1200"/>
    </w:pPr>
  </w:style>
  <w:style w:type="paragraph" w:styleId="TOC7">
    <w:name w:val="toc 7"/>
    <w:basedOn w:val="Normal"/>
    <w:next w:val="Normal"/>
    <w:autoRedefine/>
    <w:uiPriority w:val="99"/>
    <w:semiHidden/>
    <w:rsid w:val="00B40961"/>
    <w:pPr>
      <w:ind w:left="1440"/>
    </w:pPr>
  </w:style>
  <w:style w:type="paragraph" w:styleId="TOC8">
    <w:name w:val="toc 8"/>
    <w:basedOn w:val="Normal"/>
    <w:next w:val="Normal"/>
    <w:autoRedefine/>
    <w:uiPriority w:val="99"/>
    <w:semiHidden/>
    <w:rsid w:val="00B40961"/>
    <w:pPr>
      <w:ind w:left="1680"/>
    </w:pPr>
  </w:style>
  <w:style w:type="paragraph" w:styleId="TOC9">
    <w:name w:val="toc 9"/>
    <w:basedOn w:val="Normal"/>
    <w:next w:val="Normal"/>
    <w:autoRedefine/>
    <w:uiPriority w:val="99"/>
    <w:semiHidden/>
    <w:rsid w:val="00B40961"/>
    <w:pPr>
      <w:ind w:left="1920"/>
    </w:pPr>
  </w:style>
  <w:style w:type="paragraph" w:customStyle="1" w:styleId="Default">
    <w:name w:val="Default"/>
    <w:uiPriority w:val="99"/>
    <w:rsid w:val="000B7B12"/>
    <w:pPr>
      <w:autoSpaceDE w:val="0"/>
      <w:autoSpaceDN w:val="0"/>
      <w:adjustRightInd w:val="0"/>
    </w:pPr>
    <w:rPr>
      <w:color w:val="000000"/>
      <w:sz w:val="24"/>
      <w:szCs w:val="24"/>
      <w:lang w:val="nl-NL" w:eastAsia="nl-NL"/>
    </w:rPr>
  </w:style>
  <w:style w:type="paragraph" w:styleId="NormalWeb">
    <w:name w:val="Normal (Web)"/>
    <w:basedOn w:val="Normal"/>
    <w:uiPriority w:val="99"/>
    <w:rsid w:val="000B7B12"/>
    <w:pPr>
      <w:overflowPunct/>
      <w:autoSpaceDE/>
      <w:autoSpaceDN/>
      <w:adjustRightInd/>
      <w:spacing w:before="100" w:beforeAutospacing="1" w:after="100" w:afterAutospacing="1" w:line="240" w:lineRule="auto"/>
      <w:textAlignment w:val="auto"/>
    </w:pPr>
    <w:rPr>
      <w:rFonts w:ascii="Times New Roman" w:hAnsi="Times New Roman"/>
      <w:sz w:val="24"/>
      <w:szCs w:val="24"/>
      <w:lang w:eastAsia="nl-NL"/>
    </w:rPr>
  </w:style>
  <w:style w:type="character" w:customStyle="1" w:styleId="searchword">
    <w:name w:val="searchword"/>
    <w:basedOn w:val="DefaultParagraphFont"/>
    <w:uiPriority w:val="99"/>
    <w:rsid w:val="000B7B12"/>
    <w:rPr>
      <w:rFonts w:cs="Times New Roman"/>
      <w:shd w:val="clear" w:color="auto" w:fill="FFFF00"/>
    </w:rPr>
  </w:style>
  <w:style w:type="paragraph" w:styleId="ListParagraph">
    <w:name w:val="List Paragraph"/>
    <w:basedOn w:val="Normal"/>
    <w:uiPriority w:val="99"/>
    <w:qFormat/>
    <w:rsid w:val="000B7B12"/>
    <w:pPr>
      <w:overflowPunct/>
      <w:autoSpaceDE/>
      <w:autoSpaceDN/>
      <w:adjustRightInd/>
      <w:spacing w:after="200" w:line="276" w:lineRule="auto"/>
      <w:ind w:left="720"/>
      <w:contextualSpacing/>
      <w:textAlignment w:val="auto"/>
    </w:pPr>
    <w:rPr>
      <w:rFonts w:ascii="Calibri" w:hAnsi="Calibri"/>
      <w:szCs w:val="22"/>
    </w:rPr>
  </w:style>
  <w:style w:type="table" w:styleId="TableGrid">
    <w:name w:val="Table Grid"/>
    <w:basedOn w:val="TableNormal"/>
    <w:uiPriority w:val="99"/>
    <w:rsid w:val="00EA70C7"/>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rsid w:val="003805E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locked/>
    <w:rsid w:val="003805EF"/>
    <w:rPr>
      <w:rFonts w:ascii="Tahoma" w:hAnsi="Tahoma" w:cs="Tahoma"/>
      <w:sz w:val="16"/>
      <w:szCs w:val="16"/>
      <w:lang w:eastAsia="en-US"/>
    </w:rPr>
  </w:style>
  <w:style w:type="paragraph" w:customStyle="1" w:styleId="Lijstalinea1">
    <w:name w:val="Lijstalinea1"/>
    <w:basedOn w:val="Normal"/>
    <w:uiPriority w:val="99"/>
    <w:rsid w:val="001F0514"/>
    <w:pPr>
      <w:overflowPunct/>
      <w:autoSpaceDE/>
      <w:autoSpaceDN/>
      <w:adjustRightInd/>
      <w:spacing w:after="200" w:line="276" w:lineRule="auto"/>
      <w:ind w:left="720"/>
      <w:contextualSpacing/>
      <w:textAlignment w:val="auto"/>
    </w:pPr>
    <w:rPr>
      <w:rFonts w:ascii="Calibri" w:hAnsi="Calibri"/>
      <w:szCs w:val="22"/>
    </w:rPr>
  </w:style>
  <w:style w:type="character" w:customStyle="1" w:styleId="MTConvertedEquation">
    <w:name w:val="MTConvertedEquation"/>
    <w:basedOn w:val="DefaultParagraphFont"/>
    <w:uiPriority w:val="99"/>
    <w:rsid w:val="002520B5"/>
    <w:rPr>
      <w:rFonts w:ascii="Garamond" w:hAnsi="Garamond" w:cs="NimbusRomNo9L-Regu"/>
      <w:b/>
      <w:sz w:val="22"/>
      <w:szCs w:val="22"/>
      <w:lang w:val="en-US" w:eastAsia="nl-NL"/>
    </w:rPr>
  </w:style>
  <w:style w:type="character" w:styleId="FollowedHyperlink">
    <w:name w:val="FollowedHyperlink"/>
    <w:basedOn w:val="DefaultParagraphFont"/>
    <w:uiPriority w:val="99"/>
    <w:rsid w:val="00CC53DE"/>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522" Type="http://schemas.openxmlformats.org/officeDocument/2006/relationships/oleObject" Target="embeddings/oleObject776.bin"/><Relationship Id="rId21" Type="http://schemas.openxmlformats.org/officeDocument/2006/relationships/image" Target="media/image4.wmf"/><Relationship Id="rId170" Type="http://schemas.openxmlformats.org/officeDocument/2006/relationships/image" Target="media/image79.wmf"/><Relationship Id="rId268" Type="http://schemas.openxmlformats.org/officeDocument/2006/relationships/image" Target="media/image128.wmf"/><Relationship Id="rId475" Type="http://schemas.openxmlformats.org/officeDocument/2006/relationships/image" Target="media/image239.wmf"/><Relationship Id="rId682" Type="http://schemas.openxmlformats.org/officeDocument/2006/relationships/oleObject" Target="embeddings/oleObject350.bin"/><Relationship Id="rId128" Type="http://schemas.openxmlformats.org/officeDocument/2006/relationships/image" Target="media/image58.wmf"/><Relationship Id="rId335" Type="http://schemas.openxmlformats.org/officeDocument/2006/relationships/oleObject" Target="embeddings/oleObject158.bin"/><Relationship Id="rId542" Type="http://schemas.openxmlformats.org/officeDocument/2006/relationships/oleObject" Target="embeddings/oleObject280.bin"/><Relationship Id="rId987" Type="http://schemas.openxmlformats.org/officeDocument/2006/relationships/image" Target="media/image507.wmf"/><Relationship Id="rId1172" Type="http://schemas.openxmlformats.org/officeDocument/2006/relationships/oleObject" Target="embeddings/oleObject601.bin"/><Relationship Id="rId402" Type="http://schemas.openxmlformats.org/officeDocument/2006/relationships/oleObject" Target="embeddings/oleObject191.bin"/><Relationship Id="rId847" Type="http://schemas.openxmlformats.org/officeDocument/2006/relationships/image" Target="media/image437.wmf"/><Relationship Id="rId1032" Type="http://schemas.openxmlformats.org/officeDocument/2006/relationships/oleObject" Target="embeddings/oleObject522.bin"/><Relationship Id="rId1477" Type="http://schemas.openxmlformats.org/officeDocument/2006/relationships/image" Target="media/image765.wmf"/><Relationship Id="rId707" Type="http://schemas.openxmlformats.org/officeDocument/2006/relationships/image" Target="media/image367.wmf"/><Relationship Id="rId914" Type="http://schemas.openxmlformats.org/officeDocument/2006/relationships/oleObject" Target="embeddings/oleObject466.bin"/><Relationship Id="rId1337" Type="http://schemas.openxmlformats.org/officeDocument/2006/relationships/image" Target="media/image688.wmf"/><Relationship Id="rId1544" Type="http://schemas.openxmlformats.org/officeDocument/2006/relationships/oleObject" Target="embeddings/oleObject787.bin"/><Relationship Id="rId43" Type="http://schemas.openxmlformats.org/officeDocument/2006/relationships/oleObject" Target="embeddings/oleObject12.bin"/><Relationship Id="rId1404" Type="http://schemas.openxmlformats.org/officeDocument/2006/relationships/oleObject" Target="embeddings/oleObject719.bin"/><Relationship Id="rId1611" Type="http://schemas.openxmlformats.org/officeDocument/2006/relationships/image" Target="media/image832.wmf"/><Relationship Id="rId192" Type="http://schemas.openxmlformats.org/officeDocument/2006/relationships/image" Target="media/image90.wmf"/><Relationship Id="rId497" Type="http://schemas.openxmlformats.org/officeDocument/2006/relationships/image" Target="media/image262.wmf"/><Relationship Id="rId357" Type="http://schemas.openxmlformats.org/officeDocument/2006/relationships/image" Target="media/image173.wmf"/><Relationship Id="rId1194" Type="http://schemas.openxmlformats.org/officeDocument/2006/relationships/oleObject" Target="embeddings/oleObject612.bin"/><Relationship Id="rId217" Type="http://schemas.openxmlformats.org/officeDocument/2006/relationships/oleObject" Target="embeddings/oleObject99.bin"/><Relationship Id="rId564" Type="http://schemas.openxmlformats.org/officeDocument/2006/relationships/oleObject" Target="embeddings/oleObject291.bin"/><Relationship Id="rId771" Type="http://schemas.openxmlformats.org/officeDocument/2006/relationships/image" Target="media/image399.wmf"/><Relationship Id="rId869" Type="http://schemas.openxmlformats.org/officeDocument/2006/relationships/image" Target="media/image448.wmf"/><Relationship Id="rId1499" Type="http://schemas.openxmlformats.org/officeDocument/2006/relationships/image" Target="media/image776.wmf"/><Relationship Id="rId424" Type="http://schemas.openxmlformats.org/officeDocument/2006/relationships/oleObject" Target="embeddings/oleObject202.bin"/><Relationship Id="rId631" Type="http://schemas.openxmlformats.org/officeDocument/2006/relationships/image" Target="media/image329.wmf"/><Relationship Id="rId729" Type="http://schemas.openxmlformats.org/officeDocument/2006/relationships/image" Target="media/image378.wmf"/><Relationship Id="rId1054" Type="http://schemas.openxmlformats.org/officeDocument/2006/relationships/oleObject" Target="embeddings/oleObject533.bin"/><Relationship Id="rId1261" Type="http://schemas.openxmlformats.org/officeDocument/2006/relationships/image" Target="media/image650.wmf"/><Relationship Id="rId1359" Type="http://schemas.openxmlformats.org/officeDocument/2006/relationships/image" Target="media/image701.wmf"/><Relationship Id="rId936" Type="http://schemas.openxmlformats.org/officeDocument/2006/relationships/oleObject" Target="embeddings/oleObject477.bin"/><Relationship Id="rId1121" Type="http://schemas.openxmlformats.org/officeDocument/2006/relationships/image" Target="media/image580.wmf"/><Relationship Id="rId1219" Type="http://schemas.openxmlformats.org/officeDocument/2006/relationships/image" Target="media/image629.wmf"/><Relationship Id="rId1566" Type="http://schemas.openxmlformats.org/officeDocument/2006/relationships/oleObject" Target="embeddings/oleObject798.bin"/><Relationship Id="rId65" Type="http://schemas.openxmlformats.org/officeDocument/2006/relationships/oleObject" Target="embeddings/oleObject23.bin"/><Relationship Id="rId1426" Type="http://schemas.openxmlformats.org/officeDocument/2006/relationships/image" Target="media/image737.png"/><Relationship Id="rId1633" Type="http://schemas.openxmlformats.org/officeDocument/2006/relationships/image" Target="media/image843.wmf"/><Relationship Id="rId281" Type="http://schemas.openxmlformats.org/officeDocument/2006/relationships/oleObject" Target="embeddings/oleObject131.bin"/><Relationship Id="rId141" Type="http://schemas.openxmlformats.org/officeDocument/2006/relationships/oleObject" Target="embeddings/oleObject61.bin"/><Relationship Id="rId379" Type="http://schemas.openxmlformats.org/officeDocument/2006/relationships/image" Target="media/image184.wmf"/><Relationship Id="rId586" Type="http://schemas.openxmlformats.org/officeDocument/2006/relationships/oleObject" Target="embeddings/oleObject302.bin"/><Relationship Id="rId793" Type="http://schemas.openxmlformats.org/officeDocument/2006/relationships/image" Target="media/image410.wmf"/><Relationship Id="rId7" Type="http://schemas.openxmlformats.org/officeDocument/2006/relationships/image" Target="media/image1.png"/><Relationship Id="rId239" Type="http://schemas.openxmlformats.org/officeDocument/2006/relationships/oleObject" Target="embeddings/oleObject110.bin"/><Relationship Id="rId446" Type="http://schemas.openxmlformats.org/officeDocument/2006/relationships/oleObject" Target="embeddings/oleObject220.bin"/><Relationship Id="rId653" Type="http://schemas.openxmlformats.org/officeDocument/2006/relationships/image" Target="media/image340.wmf"/><Relationship Id="rId1076" Type="http://schemas.openxmlformats.org/officeDocument/2006/relationships/oleObject" Target="embeddings/oleObject553.bin"/><Relationship Id="rId1283" Type="http://schemas.openxmlformats.org/officeDocument/2006/relationships/image" Target="media/image661.wmf"/><Relationship Id="rId1490" Type="http://schemas.openxmlformats.org/officeDocument/2006/relationships/oleObject" Target="embeddings/oleObject760.bin"/><Relationship Id="rId306" Type="http://schemas.openxmlformats.org/officeDocument/2006/relationships/image" Target="media/image147.wmf"/><Relationship Id="rId860" Type="http://schemas.openxmlformats.org/officeDocument/2006/relationships/oleObject" Target="embeddings/oleObject439.bin"/><Relationship Id="rId958" Type="http://schemas.openxmlformats.org/officeDocument/2006/relationships/oleObject" Target="embeddings/oleObject488.bin"/><Relationship Id="rId1143" Type="http://schemas.openxmlformats.org/officeDocument/2006/relationships/image" Target="media/image591.wmf"/><Relationship Id="rId1588" Type="http://schemas.openxmlformats.org/officeDocument/2006/relationships/oleObject" Target="embeddings/oleObject809.bin"/><Relationship Id="rId87" Type="http://schemas.openxmlformats.org/officeDocument/2006/relationships/oleObject" Target="embeddings/oleObject34.bin"/><Relationship Id="rId513" Type="http://schemas.openxmlformats.org/officeDocument/2006/relationships/image" Target="media/image270.wmf"/><Relationship Id="rId720" Type="http://schemas.openxmlformats.org/officeDocument/2006/relationships/oleObject" Target="embeddings/oleObject369.bin"/><Relationship Id="rId818" Type="http://schemas.openxmlformats.org/officeDocument/2006/relationships/oleObject" Target="embeddings/oleObject418.bin"/><Relationship Id="rId1350" Type="http://schemas.openxmlformats.org/officeDocument/2006/relationships/oleObject" Target="embeddings/oleObject692.bin"/><Relationship Id="rId1448" Type="http://schemas.openxmlformats.org/officeDocument/2006/relationships/oleObject" Target="embeddings/oleObject739.bin"/><Relationship Id="rId1655" Type="http://schemas.openxmlformats.org/officeDocument/2006/relationships/image" Target="media/image854.wmf"/><Relationship Id="rId1003" Type="http://schemas.openxmlformats.org/officeDocument/2006/relationships/image" Target="media/image515.wmf"/><Relationship Id="rId1210" Type="http://schemas.openxmlformats.org/officeDocument/2006/relationships/oleObject" Target="embeddings/oleObject620.bin"/><Relationship Id="rId1308" Type="http://schemas.openxmlformats.org/officeDocument/2006/relationships/oleObject" Target="embeddings/oleObject669.bin"/><Relationship Id="rId1515" Type="http://schemas.openxmlformats.org/officeDocument/2006/relationships/image" Target="media/image784.wmf"/><Relationship Id="rId14" Type="http://schemas.openxmlformats.org/officeDocument/2006/relationships/header" Target="header2.xml"/><Relationship Id="rId163" Type="http://schemas.openxmlformats.org/officeDocument/2006/relationships/oleObject" Target="embeddings/oleObject72.bin"/><Relationship Id="rId370" Type="http://schemas.openxmlformats.org/officeDocument/2006/relationships/oleObject" Target="embeddings/oleObject175.bin"/><Relationship Id="rId230" Type="http://schemas.openxmlformats.org/officeDocument/2006/relationships/image" Target="media/image109.wmf"/><Relationship Id="rId468" Type="http://schemas.openxmlformats.org/officeDocument/2006/relationships/oleObject" Target="embeddings/oleObject231.bin"/><Relationship Id="rId675" Type="http://schemas.openxmlformats.org/officeDocument/2006/relationships/image" Target="media/image351.wmf"/><Relationship Id="rId882" Type="http://schemas.openxmlformats.org/officeDocument/2006/relationships/oleObject" Target="embeddings/oleObject450.bin"/><Relationship Id="rId1098" Type="http://schemas.openxmlformats.org/officeDocument/2006/relationships/oleObject" Target="embeddings/oleObject564.bin"/><Relationship Id="rId1319" Type="http://schemas.openxmlformats.org/officeDocument/2006/relationships/image" Target="media/image679.wmf"/><Relationship Id="rId1526" Type="http://schemas.openxmlformats.org/officeDocument/2006/relationships/oleObject" Target="embeddings/oleObject778.bin"/><Relationship Id="rId25" Type="http://schemas.openxmlformats.org/officeDocument/2006/relationships/image" Target="media/image6.wmf"/><Relationship Id="rId328" Type="http://schemas.openxmlformats.org/officeDocument/2006/relationships/image" Target="media/image158.wmf"/><Relationship Id="rId535" Type="http://schemas.openxmlformats.org/officeDocument/2006/relationships/image" Target="media/image281.wmf"/><Relationship Id="rId742" Type="http://schemas.openxmlformats.org/officeDocument/2006/relationships/oleObject" Target="embeddings/oleObject380.bin"/><Relationship Id="rId1165" Type="http://schemas.openxmlformats.org/officeDocument/2006/relationships/image" Target="media/image602.wmf"/><Relationship Id="rId1372" Type="http://schemas.openxmlformats.org/officeDocument/2006/relationships/oleObject" Target="embeddings/oleObject703.bin"/><Relationship Id="rId174" Type="http://schemas.openxmlformats.org/officeDocument/2006/relationships/image" Target="media/image81.wmf"/><Relationship Id="rId381" Type="http://schemas.openxmlformats.org/officeDocument/2006/relationships/image" Target="media/image185.wmf"/><Relationship Id="rId602" Type="http://schemas.openxmlformats.org/officeDocument/2006/relationships/oleObject" Target="embeddings/oleObject310.bin"/><Relationship Id="rId1025" Type="http://schemas.openxmlformats.org/officeDocument/2006/relationships/image" Target="media/image523.wmf"/><Relationship Id="rId1232" Type="http://schemas.openxmlformats.org/officeDocument/2006/relationships/oleObject" Target="embeddings/oleObject631.bin"/><Relationship Id="rId1677" Type="http://schemas.openxmlformats.org/officeDocument/2006/relationships/footer" Target="footer22.xml"/><Relationship Id="rId241" Type="http://schemas.openxmlformats.org/officeDocument/2006/relationships/oleObject" Target="embeddings/oleObject111.bin"/><Relationship Id="rId479" Type="http://schemas.openxmlformats.org/officeDocument/2006/relationships/image" Target="media/image241.wmf"/><Relationship Id="rId686" Type="http://schemas.openxmlformats.org/officeDocument/2006/relationships/oleObject" Target="embeddings/oleObject352.bin"/><Relationship Id="rId893" Type="http://schemas.openxmlformats.org/officeDocument/2006/relationships/image" Target="media/image460.wmf"/><Relationship Id="rId907" Type="http://schemas.openxmlformats.org/officeDocument/2006/relationships/image" Target="media/image467.wmf"/><Relationship Id="rId1537" Type="http://schemas.openxmlformats.org/officeDocument/2006/relationships/image" Target="media/image795.wmf"/><Relationship Id="rId36" Type="http://schemas.openxmlformats.org/officeDocument/2006/relationships/oleObject" Target="embeddings/oleObject9.bin"/><Relationship Id="rId339" Type="http://schemas.openxmlformats.org/officeDocument/2006/relationships/image" Target="media/image164.wmf"/><Relationship Id="rId546" Type="http://schemas.openxmlformats.org/officeDocument/2006/relationships/oleObject" Target="embeddings/oleObject282.bin"/><Relationship Id="rId753" Type="http://schemas.openxmlformats.org/officeDocument/2006/relationships/image" Target="media/image390.wmf"/><Relationship Id="rId1176" Type="http://schemas.openxmlformats.org/officeDocument/2006/relationships/oleObject" Target="embeddings/oleObject603.bin"/><Relationship Id="rId1383" Type="http://schemas.openxmlformats.org/officeDocument/2006/relationships/image" Target="media/image713.wmf"/><Relationship Id="rId1604" Type="http://schemas.openxmlformats.org/officeDocument/2006/relationships/oleObject" Target="embeddings/oleObject817.bin"/><Relationship Id="rId101" Type="http://schemas.openxmlformats.org/officeDocument/2006/relationships/oleObject" Target="embeddings/oleObject41.bin"/><Relationship Id="rId185" Type="http://schemas.openxmlformats.org/officeDocument/2006/relationships/oleObject" Target="embeddings/oleObject83.bin"/><Relationship Id="rId406" Type="http://schemas.openxmlformats.org/officeDocument/2006/relationships/oleObject" Target="embeddings/oleObject193.bin"/><Relationship Id="rId960" Type="http://schemas.openxmlformats.org/officeDocument/2006/relationships/oleObject" Target="embeddings/oleObject489.bin"/><Relationship Id="rId1036" Type="http://schemas.openxmlformats.org/officeDocument/2006/relationships/oleObject" Target="embeddings/oleObject524.bin"/><Relationship Id="rId1243" Type="http://schemas.openxmlformats.org/officeDocument/2006/relationships/image" Target="media/image641.wmf"/><Relationship Id="rId1590" Type="http://schemas.openxmlformats.org/officeDocument/2006/relationships/oleObject" Target="embeddings/oleObject810.bin"/><Relationship Id="rId392" Type="http://schemas.openxmlformats.org/officeDocument/2006/relationships/oleObject" Target="embeddings/oleObject186.bin"/><Relationship Id="rId613" Type="http://schemas.openxmlformats.org/officeDocument/2006/relationships/image" Target="media/image320.wmf"/><Relationship Id="rId697" Type="http://schemas.openxmlformats.org/officeDocument/2006/relationships/image" Target="media/image362.wmf"/><Relationship Id="rId820" Type="http://schemas.openxmlformats.org/officeDocument/2006/relationships/oleObject" Target="embeddings/oleObject419.bin"/><Relationship Id="rId918" Type="http://schemas.openxmlformats.org/officeDocument/2006/relationships/oleObject" Target="embeddings/oleObject468.bin"/><Relationship Id="rId1450" Type="http://schemas.openxmlformats.org/officeDocument/2006/relationships/oleObject" Target="embeddings/oleObject740.bin"/><Relationship Id="rId1548" Type="http://schemas.openxmlformats.org/officeDocument/2006/relationships/oleObject" Target="embeddings/oleObject789.bin"/><Relationship Id="rId252" Type="http://schemas.openxmlformats.org/officeDocument/2006/relationships/image" Target="media/image120.wmf"/><Relationship Id="rId1103" Type="http://schemas.openxmlformats.org/officeDocument/2006/relationships/image" Target="media/image571.wmf"/><Relationship Id="rId1187" Type="http://schemas.openxmlformats.org/officeDocument/2006/relationships/image" Target="media/image613.wmf"/><Relationship Id="rId1310" Type="http://schemas.openxmlformats.org/officeDocument/2006/relationships/oleObject" Target="embeddings/oleObject670.bin"/><Relationship Id="rId1408" Type="http://schemas.openxmlformats.org/officeDocument/2006/relationships/oleObject" Target="embeddings/oleObject721.bin"/><Relationship Id="rId47" Type="http://schemas.openxmlformats.org/officeDocument/2006/relationships/oleObject" Target="embeddings/oleObject14.bin"/><Relationship Id="rId112" Type="http://schemas.openxmlformats.org/officeDocument/2006/relationships/image" Target="media/image50.wmf"/><Relationship Id="rId557" Type="http://schemas.openxmlformats.org/officeDocument/2006/relationships/image" Target="media/image292.wmf"/><Relationship Id="rId764" Type="http://schemas.openxmlformats.org/officeDocument/2006/relationships/oleObject" Target="embeddings/oleObject391.bin"/><Relationship Id="rId971" Type="http://schemas.openxmlformats.org/officeDocument/2006/relationships/image" Target="media/image499.wmf"/><Relationship Id="rId1394" Type="http://schemas.openxmlformats.org/officeDocument/2006/relationships/oleObject" Target="embeddings/oleObject714.bin"/><Relationship Id="rId1615" Type="http://schemas.openxmlformats.org/officeDocument/2006/relationships/image" Target="media/image834.wmf"/><Relationship Id="rId196" Type="http://schemas.openxmlformats.org/officeDocument/2006/relationships/image" Target="media/image92.wmf"/><Relationship Id="rId417" Type="http://schemas.openxmlformats.org/officeDocument/2006/relationships/image" Target="media/image203.wmf"/><Relationship Id="rId624" Type="http://schemas.openxmlformats.org/officeDocument/2006/relationships/oleObject" Target="embeddings/oleObject321.bin"/><Relationship Id="rId831" Type="http://schemas.openxmlformats.org/officeDocument/2006/relationships/image" Target="media/image429.wmf"/><Relationship Id="rId1047" Type="http://schemas.openxmlformats.org/officeDocument/2006/relationships/image" Target="media/image534.wmf"/><Relationship Id="rId1254" Type="http://schemas.openxmlformats.org/officeDocument/2006/relationships/oleObject" Target="embeddings/oleObject642.bin"/><Relationship Id="rId1461" Type="http://schemas.openxmlformats.org/officeDocument/2006/relationships/image" Target="media/image757.wmf"/><Relationship Id="rId263" Type="http://schemas.openxmlformats.org/officeDocument/2006/relationships/oleObject" Target="embeddings/oleObject122.bin"/><Relationship Id="rId470" Type="http://schemas.openxmlformats.org/officeDocument/2006/relationships/oleObject" Target="embeddings/oleObject232.bin"/><Relationship Id="rId929" Type="http://schemas.openxmlformats.org/officeDocument/2006/relationships/image" Target="media/image478.wmf"/><Relationship Id="rId1114" Type="http://schemas.openxmlformats.org/officeDocument/2006/relationships/oleObject" Target="embeddings/oleObject572.bin"/><Relationship Id="rId1321" Type="http://schemas.openxmlformats.org/officeDocument/2006/relationships/image" Target="media/image680.wmf"/><Relationship Id="rId1559" Type="http://schemas.openxmlformats.org/officeDocument/2006/relationships/image" Target="media/image806.wmf"/><Relationship Id="rId58" Type="http://schemas.openxmlformats.org/officeDocument/2006/relationships/image" Target="media/image23.wmf"/><Relationship Id="rId123" Type="http://schemas.openxmlformats.org/officeDocument/2006/relationships/oleObject" Target="embeddings/oleObject52.bin"/><Relationship Id="rId330" Type="http://schemas.openxmlformats.org/officeDocument/2006/relationships/image" Target="media/image159.wmf"/><Relationship Id="rId568" Type="http://schemas.openxmlformats.org/officeDocument/2006/relationships/oleObject" Target="embeddings/oleObject293.bin"/><Relationship Id="rId775" Type="http://schemas.openxmlformats.org/officeDocument/2006/relationships/image" Target="media/image401.wmf"/><Relationship Id="rId982" Type="http://schemas.openxmlformats.org/officeDocument/2006/relationships/oleObject" Target="embeddings/oleObject500.bin"/><Relationship Id="rId1198" Type="http://schemas.openxmlformats.org/officeDocument/2006/relationships/oleObject" Target="embeddings/oleObject614.bin"/><Relationship Id="rId1419" Type="http://schemas.openxmlformats.org/officeDocument/2006/relationships/image" Target="media/image730.png"/><Relationship Id="rId1626" Type="http://schemas.openxmlformats.org/officeDocument/2006/relationships/oleObject" Target="embeddings/oleObject828.bin"/><Relationship Id="rId428" Type="http://schemas.openxmlformats.org/officeDocument/2006/relationships/oleObject" Target="embeddings/oleObject211.bin"/><Relationship Id="rId635" Type="http://schemas.openxmlformats.org/officeDocument/2006/relationships/image" Target="media/image331.wmf"/><Relationship Id="rId842" Type="http://schemas.openxmlformats.org/officeDocument/2006/relationships/oleObject" Target="embeddings/oleObject430.bin"/><Relationship Id="rId1058" Type="http://schemas.openxmlformats.org/officeDocument/2006/relationships/oleObject" Target="embeddings/oleObject535.bin"/><Relationship Id="rId1265" Type="http://schemas.openxmlformats.org/officeDocument/2006/relationships/image" Target="media/image652.wmf"/><Relationship Id="rId1472" Type="http://schemas.openxmlformats.org/officeDocument/2006/relationships/oleObject" Target="embeddings/oleObject751.bin"/><Relationship Id="rId274" Type="http://schemas.openxmlformats.org/officeDocument/2006/relationships/image" Target="media/image131.wmf"/><Relationship Id="rId481" Type="http://schemas.openxmlformats.org/officeDocument/2006/relationships/image" Target="media/image242.wmf"/><Relationship Id="rId702" Type="http://schemas.openxmlformats.org/officeDocument/2006/relationships/oleObject" Target="embeddings/oleObject360.bin"/><Relationship Id="rId1125" Type="http://schemas.openxmlformats.org/officeDocument/2006/relationships/image" Target="media/image582.wmf"/><Relationship Id="rId1332" Type="http://schemas.openxmlformats.org/officeDocument/2006/relationships/oleObject" Target="embeddings/oleObject681.bin"/><Relationship Id="rId69" Type="http://schemas.openxmlformats.org/officeDocument/2006/relationships/oleObject" Target="embeddings/oleObject25.bin"/><Relationship Id="rId134" Type="http://schemas.openxmlformats.org/officeDocument/2006/relationships/image" Target="media/image61.wmf"/><Relationship Id="rId579" Type="http://schemas.openxmlformats.org/officeDocument/2006/relationships/image" Target="media/image303.wmf"/><Relationship Id="rId786" Type="http://schemas.openxmlformats.org/officeDocument/2006/relationships/oleObject" Target="embeddings/oleObject402.bin"/><Relationship Id="rId993" Type="http://schemas.openxmlformats.org/officeDocument/2006/relationships/image" Target="media/image510.wmf"/><Relationship Id="rId1637" Type="http://schemas.openxmlformats.org/officeDocument/2006/relationships/image" Target="media/image845.wmf"/><Relationship Id="rId341" Type="http://schemas.openxmlformats.org/officeDocument/2006/relationships/image" Target="media/image165.wmf"/><Relationship Id="rId439" Type="http://schemas.openxmlformats.org/officeDocument/2006/relationships/image" Target="media/image221.wmf"/><Relationship Id="rId646" Type="http://schemas.openxmlformats.org/officeDocument/2006/relationships/oleObject" Target="embeddings/oleObject332.bin"/><Relationship Id="rId1069" Type="http://schemas.openxmlformats.org/officeDocument/2006/relationships/image" Target="media/image554.wmf"/><Relationship Id="rId1276" Type="http://schemas.openxmlformats.org/officeDocument/2006/relationships/oleObject" Target="embeddings/oleObject653.bin"/><Relationship Id="rId1483" Type="http://schemas.openxmlformats.org/officeDocument/2006/relationships/image" Target="media/image768.wmf"/><Relationship Id="rId201" Type="http://schemas.openxmlformats.org/officeDocument/2006/relationships/oleObject" Target="embeddings/oleObject91.bin"/><Relationship Id="rId285" Type="http://schemas.openxmlformats.org/officeDocument/2006/relationships/oleObject" Target="embeddings/oleObject133.bin"/><Relationship Id="rId506" Type="http://schemas.openxmlformats.org/officeDocument/2006/relationships/oleObject" Target="embeddings/oleObject262.bin"/><Relationship Id="rId853" Type="http://schemas.openxmlformats.org/officeDocument/2006/relationships/image" Target="media/image440.wmf"/><Relationship Id="rId1136" Type="http://schemas.openxmlformats.org/officeDocument/2006/relationships/oleObject" Target="embeddings/oleObject583.bin"/><Relationship Id="rId492" Type="http://schemas.openxmlformats.org/officeDocument/2006/relationships/oleObject" Target="embeddings/oleObject243.bin"/><Relationship Id="rId713" Type="http://schemas.openxmlformats.org/officeDocument/2006/relationships/image" Target="media/image370.wmf"/><Relationship Id="rId797" Type="http://schemas.openxmlformats.org/officeDocument/2006/relationships/image" Target="media/image412.wmf"/><Relationship Id="rId920" Type="http://schemas.openxmlformats.org/officeDocument/2006/relationships/oleObject" Target="embeddings/oleObject469.bin"/><Relationship Id="rId1343" Type="http://schemas.openxmlformats.org/officeDocument/2006/relationships/image" Target="media/image691.wmf"/><Relationship Id="rId1550" Type="http://schemas.openxmlformats.org/officeDocument/2006/relationships/oleObject" Target="embeddings/oleObject790.bin"/><Relationship Id="rId1648" Type="http://schemas.openxmlformats.org/officeDocument/2006/relationships/oleObject" Target="embeddings/oleObject839.bin"/><Relationship Id="rId145" Type="http://schemas.openxmlformats.org/officeDocument/2006/relationships/oleObject" Target="embeddings/oleObject63.bin"/><Relationship Id="rId352" Type="http://schemas.openxmlformats.org/officeDocument/2006/relationships/oleObject" Target="embeddings/oleObject166.bin"/><Relationship Id="rId1203" Type="http://schemas.openxmlformats.org/officeDocument/2006/relationships/image" Target="media/image621.wmf"/><Relationship Id="rId1287" Type="http://schemas.openxmlformats.org/officeDocument/2006/relationships/image" Target="media/image663.wmf"/><Relationship Id="rId1410" Type="http://schemas.openxmlformats.org/officeDocument/2006/relationships/header" Target="header8.xml"/><Relationship Id="rId1508" Type="http://schemas.openxmlformats.org/officeDocument/2006/relationships/oleObject" Target="embeddings/oleObject769.bin"/><Relationship Id="rId212" Type="http://schemas.openxmlformats.org/officeDocument/2006/relationships/image" Target="media/image100.wmf"/><Relationship Id="rId657" Type="http://schemas.openxmlformats.org/officeDocument/2006/relationships/image" Target="media/image342.wmf"/><Relationship Id="rId864" Type="http://schemas.openxmlformats.org/officeDocument/2006/relationships/oleObject" Target="embeddings/oleObject441.bin"/><Relationship Id="rId1494" Type="http://schemas.openxmlformats.org/officeDocument/2006/relationships/oleObject" Target="embeddings/oleObject762.bin"/><Relationship Id="rId296" Type="http://schemas.openxmlformats.org/officeDocument/2006/relationships/image" Target="media/image142.wmf"/><Relationship Id="rId517" Type="http://schemas.openxmlformats.org/officeDocument/2006/relationships/image" Target="media/image272.wmf"/><Relationship Id="rId724" Type="http://schemas.openxmlformats.org/officeDocument/2006/relationships/oleObject" Target="embeddings/oleObject371.bin"/><Relationship Id="rId931" Type="http://schemas.openxmlformats.org/officeDocument/2006/relationships/image" Target="media/image479.wmf"/><Relationship Id="rId1147" Type="http://schemas.openxmlformats.org/officeDocument/2006/relationships/image" Target="media/image593.wmf"/><Relationship Id="rId1354" Type="http://schemas.openxmlformats.org/officeDocument/2006/relationships/oleObject" Target="embeddings/oleObject694.bin"/><Relationship Id="rId1561" Type="http://schemas.openxmlformats.org/officeDocument/2006/relationships/image" Target="media/image807.wmf"/><Relationship Id="rId60" Type="http://schemas.openxmlformats.org/officeDocument/2006/relationships/image" Target="media/image24.wmf"/><Relationship Id="rId156" Type="http://schemas.openxmlformats.org/officeDocument/2006/relationships/image" Target="media/image72.wmf"/><Relationship Id="rId363" Type="http://schemas.openxmlformats.org/officeDocument/2006/relationships/image" Target="media/image176.wmf"/><Relationship Id="rId570" Type="http://schemas.openxmlformats.org/officeDocument/2006/relationships/oleObject" Target="embeddings/oleObject294.bin"/><Relationship Id="rId1007" Type="http://schemas.openxmlformats.org/officeDocument/2006/relationships/image" Target="media/image517.wmf"/><Relationship Id="rId1214" Type="http://schemas.openxmlformats.org/officeDocument/2006/relationships/oleObject" Target="embeddings/oleObject622.bin"/><Relationship Id="rId1421" Type="http://schemas.openxmlformats.org/officeDocument/2006/relationships/oleObject" Target="embeddings/oleObject724.bin"/><Relationship Id="rId1659" Type="http://schemas.openxmlformats.org/officeDocument/2006/relationships/image" Target="media/image856.wmf"/><Relationship Id="rId223" Type="http://schemas.openxmlformats.org/officeDocument/2006/relationships/oleObject" Target="embeddings/oleObject102.bin"/><Relationship Id="rId430" Type="http://schemas.openxmlformats.org/officeDocument/2006/relationships/oleObject" Target="embeddings/oleObject212.bin"/><Relationship Id="rId668" Type="http://schemas.openxmlformats.org/officeDocument/2006/relationships/oleObject" Target="embeddings/oleObject343.bin"/><Relationship Id="rId875" Type="http://schemas.openxmlformats.org/officeDocument/2006/relationships/image" Target="media/image451.wmf"/><Relationship Id="rId1060" Type="http://schemas.openxmlformats.org/officeDocument/2006/relationships/oleObject" Target="embeddings/oleObject536.bin"/><Relationship Id="rId1298" Type="http://schemas.openxmlformats.org/officeDocument/2006/relationships/oleObject" Target="embeddings/oleObject664.bin"/><Relationship Id="rId1519" Type="http://schemas.openxmlformats.org/officeDocument/2006/relationships/image" Target="media/image786.wmf"/><Relationship Id="rId18" Type="http://schemas.openxmlformats.org/officeDocument/2006/relationships/footer" Target="footer7.xml"/><Relationship Id="rId528" Type="http://schemas.openxmlformats.org/officeDocument/2006/relationships/oleObject" Target="embeddings/oleObject273.bin"/><Relationship Id="rId735" Type="http://schemas.openxmlformats.org/officeDocument/2006/relationships/image" Target="media/image381.wmf"/><Relationship Id="rId942" Type="http://schemas.openxmlformats.org/officeDocument/2006/relationships/oleObject" Target="embeddings/oleObject480.bin"/><Relationship Id="rId1158" Type="http://schemas.openxmlformats.org/officeDocument/2006/relationships/oleObject" Target="embeddings/oleObject594.bin"/><Relationship Id="rId1365" Type="http://schemas.openxmlformats.org/officeDocument/2006/relationships/image" Target="media/image704.wmf"/><Relationship Id="rId1572" Type="http://schemas.openxmlformats.org/officeDocument/2006/relationships/oleObject" Target="embeddings/oleObject801.bin"/><Relationship Id="rId167" Type="http://schemas.openxmlformats.org/officeDocument/2006/relationships/oleObject" Target="embeddings/oleObject74.bin"/><Relationship Id="rId374" Type="http://schemas.openxmlformats.org/officeDocument/2006/relationships/oleObject" Target="embeddings/oleObject177.bin"/><Relationship Id="rId581" Type="http://schemas.openxmlformats.org/officeDocument/2006/relationships/image" Target="media/image304.wmf"/><Relationship Id="rId1018" Type="http://schemas.openxmlformats.org/officeDocument/2006/relationships/oleObject" Target="embeddings/oleObject515.bin"/><Relationship Id="rId1225" Type="http://schemas.openxmlformats.org/officeDocument/2006/relationships/image" Target="media/image632.wmf"/><Relationship Id="rId1432" Type="http://schemas.openxmlformats.org/officeDocument/2006/relationships/footer" Target="footer14.xml"/><Relationship Id="rId71" Type="http://schemas.openxmlformats.org/officeDocument/2006/relationships/oleObject" Target="embeddings/oleObject26.bin"/><Relationship Id="rId234" Type="http://schemas.openxmlformats.org/officeDocument/2006/relationships/image" Target="media/image111.wmf"/><Relationship Id="rId679" Type="http://schemas.openxmlformats.org/officeDocument/2006/relationships/image" Target="media/image353.wmf"/><Relationship Id="rId802" Type="http://schemas.openxmlformats.org/officeDocument/2006/relationships/oleObject" Target="embeddings/oleObject410.bin"/><Relationship Id="rId886" Type="http://schemas.openxmlformats.org/officeDocument/2006/relationships/oleObject" Target="embeddings/oleObject452.bin"/><Relationship Id="rId2" Type="http://schemas.openxmlformats.org/officeDocument/2006/relationships/styles" Target="styles.xml"/><Relationship Id="rId29" Type="http://schemas.openxmlformats.org/officeDocument/2006/relationships/image" Target="media/image8.wmf"/><Relationship Id="rId441" Type="http://schemas.openxmlformats.org/officeDocument/2006/relationships/image" Target="media/image222.wmf"/><Relationship Id="rId539" Type="http://schemas.openxmlformats.org/officeDocument/2006/relationships/image" Target="media/image283.wmf"/><Relationship Id="rId746" Type="http://schemas.openxmlformats.org/officeDocument/2006/relationships/oleObject" Target="embeddings/oleObject382.bin"/><Relationship Id="rId1071" Type="http://schemas.openxmlformats.org/officeDocument/2006/relationships/image" Target="media/image555.wmf"/><Relationship Id="rId1169" Type="http://schemas.openxmlformats.org/officeDocument/2006/relationships/image" Target="media/image604.wmf"/><Relationship Id="rId1376" Type="http://schemas.openxmlformats.org/officeDocument/2006/relationships/oleObject" Target="embeddings/oleObject705.bin"/><Relationship Id="rId1583" Type="http://schemas.openxmlformats.org/officeDocument/2006/relationships/image" Target="media/image818.wmf"/><Relationship Id="rId178" Type="http://schemas.openxmlformats.org/officeDocument/2006/relationships/image" Target="media/image83.wmf"/><Relationship Id="rId301" Type="http://schemas.openxmlformats.org/officeDocument/2006/relationships/oleObject" Target="embeddings/oleObject141.bin"/><Relationship Id="rId953" Type="http://schemas.openxmlformats.org/officeDocument/2006/relationships/image" Target="media/image490.wmf"/><Relationship Id="rId1029" Type="http://schemas.openxmlformats.org/officeDocument/2006/relationships/image" Target="media/image525.wmf"/><Relationship Id="rId1236" Type="http://schemas.openxmlformats.org/officeDocument/2006/relationships/oleObject" Target="embeddings/oleObject633.bin"/><Relationship Id="rId82" Type="http://schemas.openxmlformats.org/officeDocument/2006/relationships/image" Target="media/image35.wmf"/><Relationship Id="rId385" Type="http://schemas.openxmlformats.org/officeDocument/2006/relationships/image" Target="media/image187.wmf"/><Relationship Id="rId592" Type="http://schemas.openxmlformats.org/officeDocument/2006/relationships/oleObject" Target="embeddings/oleObject305.bin"/><Relationship Id="rId606" Type="http://schemas.openxmlformats.org/officeDocument/2006/relationships/oleObject" Target="embeddings/oleObject312.bin"/><Relationship Id="rId813" Type="http://schemas.openxmlformats.org/officeDocument/2006/relationships/image" Target="media/image420.wmf"/><Relationship Id="rId1443" Type="http://schemas.openxmlformats.org/officeDocument/2006/relationships/image" Target="media/image748.wmf"/><Relationship Id="rId1650" Type="http://schemas.openxmlformats.org/officeDocument/2006/relationships/oleObject" Target="embeddings/oleObject840.bin"/><Relationship Id="rId245" Type="http://schemas.openxmlformats.org/officeDocument/2006/relationships/oleObject" Target="embeddings/oleObject113.bin"/><Relationship Id="rId452" Type="http://schemas.openxmlformats.org/officeDocument/2006/relationships/oleObject" Target="embeddings/oleObject223.bin"/><Relationship Id="rId897" Type="http://schemas.openxmlformats.org/officeDocument/2006/relationships/image" Target="media/image462.wmf"/><Relationship Id="rId1082" Type="http://schemas.openxmlformats.org/officeDocument/2006/relationships/oleObject" Target="embeddings/oleObject556.bin"/><Relationship Id="rId1303" Type="http://schemas.openxmlformats.org/officeDocument/2006/relationships/image" Target="media/image671.wmf"/><Relationship Id="rId1510" Type="http://schemas.openxmlformats.org/officeDocument/2006/relationships/oleObject" Target="embeddings/oleObject770.bin"/><Relationship Id="rId105" Type="http://schemas.openxmlformats.org/officeDocument/2006/relationships/oleObject" Target="embeddings/oleObject43.bin"/><Relationship Id="rId312" Type="http://schemas.openxmlformats.org/officeDocument/2006/relationships/image" Target="media/image150.wmf"/><Relationship Id="rId757" Type="http://schemas.openxmlformats.org/officeDocument/2006/relationships/image" Target="media/image392.wmf"/><Relationship Id="rId964" Type="http://schemas.openxmlformats.org/officeDocument/2006/relationships/oleObject" Target="embeddings/oleObject491.bin"/><Relationship Id="rId1387" Type="http://schemas.openxmlformats.org/officeDocument/2006/relationships/image" Target="media/image715.wmf"/><Relationship Id="rId1594" Type="http://schemas.openxmlformats.org/officeDocument/2006/relationships/oleObject" Target="embeddings/oleObject812.bin"/><Relationship Id="rId1608" Type="http://schemas.openxmlformats.org/officeDocument/2006/relationships/oleObject" Target="embeddings/oleObject819.bin"/><Relationship Id="rId93" Type="http://schemas.openxmlformats.org/officeDocument/2006/relationships/oleObject" Target="embeddings/oleObject37.bin"/><Relationship Id="rId189" Type="http://schemas.openxmlformats.org/officeDocument/2006/relationships/oleObject" Target="embeddings/oleObject85.bin"/><Relationship Id="rId396" Type="http://schemas.openxmlformats.org/officeDocument/2006/relationships/oleObject" Target="embeddings/oleObject188.bin"/><Relationship Id="rId617" Type="http://schemas.openxmlformats.org/officeDocument/2006/relationships/image" Target="media/image322.wmf"/><Relationship Id="rId824" Type="http://schemas.openxmlformats.org/officeDocument/2006/relationships/oleObject" Target="embeddings/oleObject421.bin"/><Relationship Id="rId1247" Type="http://schemas.openxmlformats.org/officeDocument/2006/relationships/image" Target="media/image643.wmf"/><Relationship Id="rId1454" Type="http://schemas.openxmlformats.org/officeDocument/2006/relationships/oleObject" Target="embeddings/oleObject742.bin"/><Relationship Id="rId1661" Type="http://schemas.openxmlformats.org/officeDocument/2006/relationships/image" Target="media/image857.wmf"/><Relationship Id="rId256" Type="http://schemas.openxmlformats.org/officeDocument/2006/relationships/image" Target="media/image122.wmf"/><Relationship Id="rId463" Type="http://schemas.openxmlformats.org/officeDocument/2006/relationships/image" Target="media/image233.wmf"/><Relationship Id="rId670" Type="http://schemas.openxmlformats.org/officeDocument/2006/relationships/oleObject" Target="embeddings/oleObject344.bin"/><Relationship Id="rId1093" Type="http://schemas.openxmlformats.org/officeDocument/2006/relationships/image" Target="media/image566.wmf"/><Relationship Id="rId1107" Type="http://schemas.openxmlformats.org/officeDocument/2006/relationships/image" Target="media/image573.wmf"/><Relationship Id="rId1314" Type="http://schemas.openxmlformats.org/officeDocument/2006/relationships/oleObject" Target="embeddings/oleObject672.bin"/><Relationship Id="rId1521" Type="http://schemas.openxmlformats.org/officeDocument/2006/relationships/image" Target="media/image787.wmf"/><Relationship Id="rId116" Type="http://schemas.openxmlformats.org/officeDocument/2006/relationships/image" Target="media/image52.wmf"/><Relationship Id="rId323" Type="http://schemas.openxmlformats.org/officeDocument/2006/relationships/oleObject" Target="embeddings/oleObject152.bin"/><Relationship Id="rId530" Type="http://schemas.openxmlformats.org/officeDocument/2006/relationships/oleObject" Target="embeddings/oleObject274.bin"/><Relationship Id="rId768" Type="http://schemas.openxmlformats.org/officeDocument/2006/relationships/oleObject" Target="embeddings/oleObject393.bin"/><Relationship Id="rId975" Type="http://schemas.openxmlformats.org/officeDocument/2006/relationships/image" Target="media/image501.wmf"/><Relationship Id="rId1160" Type="http://schemas.openxmlformats.org/officeDocument/2006/relationships/oleObject" Target="embeddings/oleObject595.bin"/><Relationship Id="rId1398" Type="http://schemas.openxmlformats.org/officeDocument/2006/relationships/oleObject" Target="embeddings/oleObject716.bin"/><Relationship Id="rId1619" Type="http://schemas.openxmlformats.org/officeDocument/2006/relationships/image" Target="media/image836.wmf"/><Relationship Id="rId20" Type="http://schemas.openxmlformats.org/officeDocument/2006/relationships/oleObject" Target="embeddings/oleObject1.bin"/><Relationship Id="rId628" Type="http://schemas.openxmlformats.org/officeDocument/2006/relationships/oleObject" Target="embeddings/oleObject323.bin"/><Relationship Id="rId835" Type="http://schemas.openxmlformats.org/officeDocument/2006/relationships/image" Target="media/image431.wmf"/><Relationship Id="rId1258" Type="http://schemas.openxmlformats.org/officeDocument/2006/relationships/oleObject" Target="embeddings/oleObject644.bin"/><Relationship Id="rId1465" Type="http://schemas.openxmlformats.org/officeDocument/2006/relationships/image" Target="media/image759.wmf"/><Relationship Id="rId1672" Type="http://schemas.openxmlformats.org/officeDocument/2006/relationships/footer" Target="footer20.xml"/><Relationship Id="rId267" Type="http://schemas.openxmlformats.org/officeDocument/2006/relationships/oleObject" Target="embeddings/oleObject124.bin"/><Relationship Id="rId474" Type="http://schemas.openxmlformats.org/officeDocument/2006/relationships/oleObject" Target="embeddings/oleObject234.bin"/><Relationship Id="rId1020" Type="http://schemas.openxmlformats.org/officeDocument/2006/relationships/oleObject" Target="embeddings/oleObject516.bin"/><Relationship Id="rId1118" Type="http://schemas.openxmlformats.org/officeDocument/2006/relationships/oleObject" Target="embeddings/oleObject574.bin"/><Relationship Id="rId1325" Type="http://schemas.openxmlformats.org/officeDocument/2006/relationships/image" Target="media/image682.wmf"/><Relationship Id="rId1532" Type="http://schemas.openxmlformats.org/officeDocument/2006/relationships/oleObject" Target="embeddings/oleObject781.bin"/><Relationship Id="rId127" Type="http://schemas.openxmlformats.org/officeDocument/2006/relationships/oleObject" Target="embeddings/oleObject54.bin"/><Relationship Id="rId681" Type="http://schemas.openxmlformats.org/officeDocument/2006/relationships/image" Target="media/image354.wmf"/><Relationship Id="rId779" Type="http://schemas.openxmlformats.org/officeDocument/2006/relationships/image" Target="media/image403.wmf"/><Relationship Id="rId902" Type="http://schemas.openxmlformats.org/officeDocument/2006/relationships/oleObject" Target="embeddings/oleObject460.bin"/><Relationship Id="rId986" Type="http://schemas.openxmlformats.org/officeDocument/2006/relationships/oleObject" Target="embeddings/oleObject502.bin"/><Relationship Id="rId31" Type="http://schemas.openxmlformats.org/officeDocument/2006/relationships/image" Target="media/image9.wmf"/><Relationship Id="rId334" Type="http://schemas.openxmlformats.org/officeDocument/2006/relationships/image" Target="media/image161.wmf"/><Relationship Id="rId541" Type="http://schemas.openxmlformats.org/officeDocument/2006/relationships/image" Target="media/image284.wmf"/><Relationship Id="rId639" Type="http://schemas.openxmlformats.org/officeDocument/2006/relationships/image" Target="media/image333.wmf"/><Relationship Id="rId1171" Type="http://schemas.openxmlformats.org/officeDocument/2006/relationships/image" Target="media/image605.wmf"/><Relationship Id="rId1269" Type="http://schemas.openxmlformats.org/officeDocument/2006/relationships/image" Target="media/image654.wmf"/><Relationship Id="rId1476" Type="http://schemas.openxmlformats.org/officeDocument/2006/relationships/oleObject" Target="embeddings/oleObject753.bin"/><Relationship Id="rId180" Type="http://schemas.openxmlformats.org/officeDocument/2006/relationships/image" Target="media/image84.wmf"/><Relationship Id="rId278" Type="http://schemas.openxmlformats.org/officeDocument/2006/relationships/image" Target="media/image133.wmf"/><Relationship Id="rId401" Type="http://schemas.openxmlformats.org/officeDocument/2006/relationships/image" Target="media/image195.wmf"/><Relationship Id="rId846" Type="http://schemas.openxmlformats.org/officeDocument/2006/relationships/oleObject" Target="embeddings/oleObject432.bin"/><Relationship Id="rId1031" Type="http://schemas.openxmlformats.org/officeDocument/2006/relationships/image" Target="media/image526.wmf"/><Relationship Id="rId1129" Type="http://schemas.openxmlformats.org/officeDocument/2006/relationships/image" Target="media/image584.wmf"/><Relationship Id="rId485" Type="http://schemas.openxmlformats.org/officeDocument/2006/relationships/image" Target="media/image244.wmf"/><Relationship Id="rId692" Type="http://schemas.openxmlformats.org/officeDocument/2006/relationships/oleObject" Target="embeddings/oleObject355.bin"/><Relationship Id="rId706" Type="http://schemas.openxmlformats.org/officeDocument/2006/relationships/oleObject" Target="embeddings/oleObject362.bin"/><Relationship Id="rId913" Type="http://schemas.openxmlformats.org/officeDocument/2006/relationships/image" Target="media/image470.wmf"/><Relationship Id="rId1336" Type="http://schemas.openxmlformats.org/officeDocument/2006/relationships/oleObject" Target="embeddings/oleObject683.bin"/><Relationship Id="rId1543" Type="http://schemas.openxmlformats.org/officeDocument/2006/relationships/image" Target="media/image798.wmf"/><Relationship Id="rId42" Type="http://schemas.openxmlformats.org/officeDocument/2006/relationships/image" Target="media/image15.wmf"/><Relationship Id="rId138" Type="http://schemas.openxmlformats.org/officeDocument/2006/relationships/image" Target="media/image63.wmf"/><Relationship Id="rId345" Type="http://schemas.openxmlformats.org/officeDocument/2006/relationships/image" Target="media/image167.wmf"/><Relationship Id="rId552" Type="http://schemas.openxmlformats.org/officeDocument/2006/relationships/oleObject" Target="embeddings/oleObject285.bin"/><Relationship Id="rId997" Type="http://schemas.openxmlformats.org/officeDocument/2006/relationships/image" Target="media/image512.wmf"/><Relationship Id="rId1182" Type="http://schemas.openxmlformats.org/officeDocument/2006/relationships/oleObject" Target="embeddings/oleObject606.bin"/><Relationship Id="rId1403" Type="http://schemas.openxmlformats.org/officeDocument/2006/relationships/image" Target="media/image723.wmf"/><Relationship Id="rId1610" Type="http://schemas.openxmlformats.org/officeDocument/2006/relationships/oleObject" Target="embeddings/oleObject820.bin"/><Relationship Id="rId191" Type="http://schemas.openxmlformats.org/officeDocument/2006/relationships/oleObject" Target="embeddings/oleObject86.bin"/><Relationship Id="rId205" Type="http://schemas.openxmlformats.org/officeDocument/2006/relationships/oleObject" Target="embeddings/oleObject93.bin"/><Relationship Id="rId412" Type="http://schemas.openxmlformats.org/officeDocument/2006/relationships/oleObject" Target="embeddings/oleObject196.bin"/><Relationship Id="rId857" Type="http://schemas.openxmlformats.org/officeDocument/2006/relationships/image" Target="media/image442.wmf"/><Relationship Id="rId1042" Type="http://schemas.openxmlformats.org/officeDocument/2006/relationships/oleObject" Target="embeddings/oleObject527.bin"/><Relationship Id="rId1487" Type="http://schemas.openxmlformats.org/officeDocument/2006/relationships/image" Target="media/image770.wmf"/><Relationship Id="rId289" Type="http://schemas.openxmlformats.org/officeDocument/2006/relationships/oleObject" Target="embeddings/oleObject135.bin"/><Relationship Id="rId496" Type="http://schemas.openxmlformats.org/officeDocument/2006/relationships/oleObject" Target="embeddings/oleObject257.bin"/><Relationship Id="rId717" Type="http://schemas.openxmlformats.org/officeDocument/2006/relationships/image" Target="media/image372.wmf"/><Relationship Id="rId924" Type="http://schemas.openxmlformats.org/officeDocument/2006/relationships/oleObject" Target="embeddings/oleObject471.bin"/><Relationship Id="rId1347" Type="http://schemas.openxmlformats.org/officeDocument/2006/relationships/image" Target="media/image695.wmf"/><Relationship Id="rId1554" Type="http://schemas.openxmlformats.org/officeDocument/2006/relationships/oleObject" Target="embeddings/oleObject792.bin"/><Relationship Id="rId53" Type="http://schemas.openxmlformats.org/officeDocument/2006/relationships/oleObject" Target="embeddings/oleObject17.bin"/><Relationship Id="rId149" Type="http://schemas.openxmlformats.org/officeDocument/2006/relationships/oleObject" Target="embeddings/oleObject65.bin"/><Relationship Id="rId356" Type="http://schemas.openxmlformats.org/officeDocument/2006/relationships/oleObject" Target="embeddings/oleObject168.bin"/><Relationship Id="rId563" Type="http://schemas.openxmlformats.org/officeDocument/2006/relationships/image" Target="media/image295.wmf"/><Relationship Id="rId770" Type="http://schemas.openxmlformats.org/officeDocument/2006/relationships/oleObject" Target="embeddings/oleObject394.bin"/><Relationship Id="rId1193" Type="http://schemas.openxmlformats.org/officeDocument/2006/relationships/image" Target="media/image616.wmf"/><Relationship Id="rId1207" Type="http://schemas.openxmlformats.org/officeDocument/2006/relationships/image" Target="media/image623.wmf"/><Relationship Id="rId1414" Type="http://schemas.openxmlformats.org/officeDocument/2006/relationships/oleObject" Target="embeddings/oleObject722.bin"/><Relationship Id="rId1621" Type="http://schemas.openxmlformats.org/officeDocument/2006/relationships/image" Target="media/image837.wmf"/><Relationship Id="rId216" Type="http://schemas.openxmlformats.org/officeDocument/2006/relationships/image" Target="media/image102.wmf"/><Relationship Id="rId423" Type="http://schemas.openxmlformats.org/officeDocument/2006/relationships/image" Target="media/image206.wmf"/><Relationship Id="rId868" Type="http://schemas.openxmlformats.org/officeDocument/2006/relationships/oleObject" Target="embeddings/oleObject443.bin"/><Relationship Id="rId1053" Type="http://schemas.openxmlformats.org/officeDocument/2006/relationships/image" Target="media/image537.wmf"/><Relationship Id="rId1260" Type="http://schemas.openxmlformats.org/officeDocument/2006/relationships/oleObject" Target="embeddings/oleObject645.bin"/><Relationship Id="rId1498" Type="http://schemas.openxmlformats.org/officeDocument/2006/relationships/oleObject" Target="embeddings/oleObject764.bin"/><Relationship Id="rId630" Type="http://schemas.openxmlformats.org/officeDocument/2006/relationships/oleObject" Target="embeddings/oleObject324.bin"/><Relationship Id="rId728" Type="http://schemas.openxmlformats.org/officeDocument/2006/relationships/oleObject" Target="embeddings/oleObject373.bin"/><Relationship Id="rId935" Type="http://schemas.openxmlformats.org/officeDocument/2006/relationships/image" Target="media/image481.wmf"/><Relationship Id="rId1358" Type="http://schemas.openxmlformats.org/officeDocument/2006/relationships/oleObject" Target="embeddings/oleObject696.bin"/><Relationship Id="rId1565" Type="http://schemas.openxmlformats.org/officeDocument/2006/relationships/image" Target="media/image809.wmf"/><Relationship Id="rId64" Type="http://schemas.openxmlformats.org/officeDocument/2006/relationships/image" Target="media/image26.wmf"/><Relationship Id="rId367" Type="http://schemas.openxmlformats.org/officeDocument/2006/relationships/image" Target="media/image178.wmf"/><Relationship Id="rId574" Type="http://schemas.openxmlformats.org/officeDocument/2006/relationships/oleObject" Target="embeddings/oleObject296.bin"/><Relationship Id="rId1120" Type="http://schemas.openxmlformats.org/officeDocument/2006/relationships/oleObject" Target="embeddings/oleObject575.bin"/><Relationship Id="rId1218" Type="http://schemas.openxmlformats.org/officeDocument/2006/relationships/oleObject" Target="embeddings/oleObject624.bin"/><Relationship Id="rId1425" Type="http://schemas.openxmlformats.org/officeDocument/2006/relationships/image" Target="media/image736.png"/><Relationship Id="rId227" Type="http://schemas.openxmlformats.org/officeDocument/2006/relationships/oleObject" Target="embeddings/oleObject104.bin"/><Relationship Id="rId781" Type="http://schemas.openxmlformats.org/officeDocument/2006/relationships/image" Target="media/image404.wmf"/><Relationship Id="rId879" Type="http://schemas.openxmlformats.org/officeDocument/2006/relationships/image" Target="media/image453.wmf"/><Relationship Id="rId1632" Type="http://schemas.openxmlformats.org/officeDocument/2006/relationships/oleObject" Target="embeddings/oleObject831.bin"/><Relationship Id="rId434" Type="http://schemas.openxmlformats.org/officeDocument/2006/relationships/oleObject" Target="embeddings/oleObject214.bin"/><Relationship Id="rId641" Type="http://schemas.openxmlformats.org/officeDocument/2006/relationships/image" Target="media/image334.wmf"/><Relationship Id="rId739" Type="http://schemas.openxmlformats.org/officeDocument/2006/relationships/image" Target="media/image383.wmf"/><Relationship Id="rId1064" Type="http://schemas.openxmlformats.org/officeDocument/2006/relationships/oleObject" Target="embeddings/oleObject547.bin"/><Relationship Id="rId1271" Type="http://schemas.openxmlformats.org/officeDocument/2006/relationships/image" Target="media/image655.wmf"/><Relationship Id="rId1369" Type="http://schemas.openxmlformats.org/officeDocument/2006/relationships/image" Target="media/image706.wmf"/><Relationship Id="rId1576" Type="http://schemas.openxmlformats.org/officeDocument/2006/relationships/oleObject" Target="embeddings/oleObject803.bin"/><Relationship Id="rId280" Type="http://schemas.openxmlformats.org/officeDocument/2006/relationships/image" Target="media/image134.wmf"/><Relationship Id="rId501" Type="http://schemas.openxmlformats.org/officeDocument/2006/relationships/image" Target="media/image264.wmf"/><Relationship Id="rId946" Type="http://schemas.openxmlformats.org/officeDocument/2006/relationships/oleObject" Target="embeddings/oleObject482.bin"/><Relationship Id="rId1131" Type="http://schemas.openxmlformats.org/officeDocument/2006/relationships/image" Target="media/image585.wmf"/><Relationship Id="rId1229" Type="http://schemas.openxmlformats.org/officeDocument/2006/relationships/image" Target="media/image634.wmf"/><Relationship Id="rId75" Type="http://schemas.openxmlformats.org/officeDocument/2006/relationships/oleObject" Target="embeddings/oleObject28.bin"/><Relationship Id="rId140" Type="http://schemas.openxmlformats.org/officeDocument/2006/relationships/image" Target="media/image64.wmf"/><Relationship Id="rId378" Type="http://schemas.openxmlformats.org/officeDocument/2006/relationships/oleObject" Target="embeddings/oleObject179.bin"/><Relationship Id="rId585" Type="http://schemas.openxmlformats.org/officeDocument/2006/relationships/image" Target="media/image306.wmf"/><Relationship Id="rId792" Type="http://schemas.openxmlformats.org/officeDocument/2006/relationships/oleObject" Target="embeddings/oleObject405.bin"/><Relationship Id="rId806" Type="http://schemas.openxmlformats.org/officeDocument/2006/relationships/oleObject" Target="embeddings/oleObject412.bin"/><Relationship Id="rId1436" Type="http://schemas.openxmlformats.org/officeDocument/2006/relationships/oleObject" Target="embeddings/oleObject733.bin"/><Relationship Id="rId1643" Type="http://schemas.openxmlformats.org/officeDocument/2006/relationships/image" Target="media/image848.wmf"/><Relationship Id="rId6" Type="http://schemas.openxmlformats.org/officeDocument/2006/relationships/endnotes" Target="endnotes.xml"/><Relationship Id="rId238" Type="http://schemas.openxmlformats.org/officeDocument/2006/relationships/image" Target="media/image113.wmf"/><Relationship Id="rId445" Type="http://schemas.openxmlformats.org/officeDocument/2006/relationships/image" Target="media/image224.wmf"/><Relationship Id="rId652" Type="http://schemas.openxmlformats.org/officeDocument/2006/relationships/oleObject" Target="embeddings/oleObject335.bin"/><Relationship Id="rId1075" Type="http://schemas.openxmlformats.org/officeDocument/2006/relationships/image" Target="media/image557.wmf"/><Relationship Id="rId1282" Type="http://schemas.openxmlformats.org/officeDocument/2006/relationships/oleObject" Target="embeddings/oleObject656.bin"/><Relationship Id="rId1503" Type="http://schemas.openxmlformats.org/officeDocument/2006/relationships/image" Target="media/image778.wmf"/><Relationship Id="rId291" Type="http://schemas.openxmlformats.org/officeDocument/2006/relationships/oleObject" Target="embeddings/oleObject136.bin"/><Relationship Id="rId305" Type="http://schemas.openxmlformats.org/officeDocument/2006/relationships/oleObject" Target="embeddings/oleObject143.bin"/><Relationship Id="rId512" Type="http://schemas.openxmlformats.org/officeDocument/2006/relationships/oleObject" Target="embeddings/oleObject265.bin"/><Relationship Id="rId957" Type="http://schemas.openxmlformats.org/officeDocument/2006/relationships/image" Target="media/image492.wmf"/><Relationship Id="rId1142" Type="http://schemas.openxmlformats.org/officeDocument/2006/relationships/oleObject" Target="embeddings/oleObject586.bin"/><Relationship Id="rId1587" Type="http://schemas.openxmlformats.org/officeDocument/2006/relationships/image" Target="media/image820.wmf"/><Relationship Id="rId86" Type="http://schemas.openxmlformats.org/officeDocument/2006/relationships/image" Target="media/image37.wmf"/><Relationship Id="rId151" Type="http://schemas.openxmlformats.org/officeDocument/2006/relationships/oleObject" Target="embeddings/oleObject66.bin"/><Relationship Id="rId389" Type="http://schemas.openxmlformats.org/officeDocument/2006/relationships/image" Target="media/image189.wmf"/><Relationship Id="rId596" Type="http://schemas.openxmlformats.org/officeDocument/2006/relationships/oleObject" Target="embeddings/oleObject307.bin"/><Relationship Id="rId817" Type="http://schemas.openxmlformats.org/officeDocument/2006/relationships/image" Target="media/image422.wmf"/><Relationship Id="rId1002" Type="http://schemas.openxmlformats.org/officeDocument/2006/relationships/oleObject" Target="embeddings/oleObject510.bin"/><Relationship Id="rId1447" Type="http://schemas.openxmlformats.org/officeDocument/2006/relationships/image" Target="media/image750.wmf"/><Relationship Id="rId1654" Type="http://schemas.openxmlformats.org/officeDocument/2006/relationships/oleObject" Target="embeddings/oleObject842.bin"/><Relationship Id="rId249" Type="http://schemas.openxmlformats.org/officeDocument/2006/relationships/oleObject" Target="embeddings/oleObject115.bin"/><Relationship Id="rId456" Type="http://schemas.openxmlformats.org/officeDocument/2006/relationships/oleObject" Target="embeddings/oleObject225.bin"/><Relationship Id="rId663" Type="http://schemas.openxmlformats.org/officeDocument/2006/relationships/image" Target="media/image345.wmf"/><Relationship Id="rId870" Type="http://schemas.openxmlformats.org/officeDocument/2006/relationships/oleObject" Target="embeddings/oleObject444.bin"/><Relationship Id="rId1086" Type="http://schemas.openxmlformats.org/officeDocument/2006/relationships/oleObject" Target="embeddings/oleObject558.bin"/><Relationship Id="rId1293" Type="http://schemas.openxmlformats.org/officeDocument/2006/relationships/image" Target="media/image666.wmf"/><Relationship Id="rId1307" Type="http://schemas.openxmlformats.org/officeDocument/2006/relationships/image" Target="media/image673.wmf"/><Relationship Id="rId1514" Type="http://schemas.openxmlformats.org/officeDocument/2006/relationships/oleObject" Target="embeddings/oleObject772.bin"/><Relationship Id="rId13" Type="http://schemas.openxmlformats.org/officeDocument/2006/relationships/header" Target="header1.xml"/><Relationship Id="rId109" Type="http://schemas.openxmlformats.org/officeDocument/2006/relationships/oleObject" Target="embeddings/oleObject45.bin"/><Relationship Id="rId316" Type="http://schemas.openxmlformats.org/officeDocument/2006/relationships/image" Target="media/image152.wmf"/><Relationship Id="rId523" Type="http://schemas.openxmlformats.org/officeDocument/2006/relationships/image" Target="media/image275.wmf"/><Relationship Id="rId968" Type="http://schemas.openxmlformats.org/officeDocument/2006/relationships/oleObject" Target="embeddings/oleObject493.bin"/><Relationship Id="rId1153" Type="http://schemas.openxmlformats.org/officeDocument/2006/relationships/image" Target="media/image596.wmf"/><Relationship Id="rId1598" Type="http://schemas.openxmlformats.org/officeDocument/2006/relationships/oleObject" Target="embeddings/oleObject814.bin"/><Relationship Id="rId97" Type="http://schemas.openxmlformats.org/officeDocument/2006/relationships/oleObject" Target="embeddings/oleObject39.bin"/><Relationship Id="rId730" Type="http://schemas.openxmlformats.org/officeDocument/2006/relationships/oleObject" Target="embeddings/oleObject374.bin"/><Relationship Id="rId828" Type="http://schemas.openxmlformats.org/officeDocument/2006/relationships/oleObject" Target="embeddings/oleObject423.bin"/><Relationship Id="rId1013" Type="http://schemas.openxmlformats.org/officeDocument/2006/relationships/header" Target="header6.xml"/><Relationship Id="rId1360" Type="http://schemas.openxmlformats.org/officeDocument/2006/relationships/oleObject" Target="embeddings/oleObject697.bin"/><Relationship Id="rId1458" Type="http://schemas.openxmlformats.org/officeDocument/2006/relationships/oleObject" Target="embeddings/oleObject744.bin"/><Relationship Id="rId1665" Type="http://schemas.openxmlformats.org/officeDocument/2006/relationships/footer" Target="footer16.xml"/><Relationship Id="rId162" Type="http://schemas.openxmlformats.org/officeDocument/2006/relationships/image" Target="media/image75.wmf"/><Relationship Id="rId467" Type="http://schemas.openxmlformats.org/officeDocument/2006/relationships/image" Target="media/image235.wmf"/><Relationship Id="rId1097" Type="http://schemas.openxmlformats.org/officeDocument/2006/relationships/image" Target="media/image568.wmf"/><Relationship Id="rId1220" Type="http://schemas.openxmlformats.org/officeDocument/2006/relationships/oleObject" Target="embeddings/oleObject625.bin"/><Relationship Id="rId1318" Type="http://schemas.openxmlformats.org/officeDocument/2006/relationships/oleObject" Target="embeddings/oleObject674.bin"/><Relationship Id="rId1525" Type="http://schemas.openxmlformats.org/officeDocument/2006/relationships/image" Target="media/image789.wmf"/><Relationship Id="rId674" Type="http://schemas.openxmlformats.org/officeDocument/2006/relationships/oleObject" Target="embeddings/oleObject346.bin"/><Relationship Id="rId881" Type="http://schemas.openxmlformats.org/officeDocument/2006/relationships/image" Target="media/image454.wmf"/><Relationship Id="rId979" Type="http://schemas.openxmlformats.org/officeDocument/2006/relationships/image" Target="media/image503.wmf"/><Relationship Id="rId24" Type="http://schemas.openxmlformats.org/officeDocument/2006/relationships/oleObject" Target="embeddings/oleObject3.bin"/><Relationship Id="rId327" Type="http://schemas.openxmlformats.org/officeDocument/2006/relationships/oleObject" Target="embeddings/oleObject154.bin"/><Relationship Id="rId534" Type="http://schemas.openxmlformats.org/officeDocument/2006/relationships/oleObject" Target="embeddings/oleObject276.bin"/><Relationship Id="rId741" Type="http://schemas.openxmlformats.org/officeDocument/2006/relationships/image" Target="media/image384.wmf"/><Relationship Id="rId839" Type="http://schemas.openxmlformats.org/officeDocument/2006/relationships/image" Target="media/image433.wmf"/><Relationship Id="rId1164" Type="http://schemas.openxmlformats.org/officeDocument/2006/relationships/oleObject" Target="embeddings/oleObject597.bin"/><Relationship Id="rId1371" Type="http://schemas.openxmlformats.org/officeDocument/2006/relationships/image" Target="media/image707.wmf"/><Relationship Id="rId1469" Type="http://schemas.openxmlformats.org/officeDocument/2006/relationships/image" Target="media/image761.wmf"/><Relationship Id="rId173" Type="http://schemas.openxmlformats.org/officeDocument/2006/relationships/oleObject" Target="embeddings/oleObject77.bin"/><Relationship Id="rId380" Type="http://schemas.openxmlformats.org/officeDocument/2006/relationships/oleObject" Target="embeddings/oleObject180.bin"/><Relationship Id="rId601" Type="http://schemas.openxmlformats.org/officeDocument/2006/relationships/image" Target="media/image314.wmf"/><Relationship Id="rId1024" Type="http://schemas.openxmlformats.org/officeDocument/2006/relationships/oleObject" Target="embeddings/oleObject518.bin"/><Relationship Id="rId1231" Type="http://schemas.openxmlformats.org/officeDocument/2006/relationships/image" Target="media/image635.wmf"/><Relationship Id="rId1676" Type="http://schemas.openxmlformats.org/officeDocument/2006/relationships/header" Target="header20.xml"/><Relationship Id="rId240" Type="http://schemas.openxmlformats.org/officeDocument/2006/relationships/image" Target="media/image114.wmf"/><Relationship Id="rId478" Type="http://schemas.openxmlformats.org/officeDocument/2006/relationships/oleObject" Target="embeddings/oleObject236.bin"/><Relationship Id="rId685" Type="http://schemas.openxmlformats.org/officeDocument/2006/relationships/image" Target="media/image356.wmf"/><Relationship Id="rId892" Type="http://schemas.openxmlformats.org/officeDocument/2006/relationships/oleObject" Target="embeddings/oleObject455.bin"/><Relationship Id="rId906" Type="http://schemas.openxmlformats.org/officeDocument/2006/relationships/oleObject" Target="embeddings/oleObject462.bin"/><Relationship Id="rId1329" Type="http://schemas.openxmlformats.org/officeDocument/2006/relationships/image" Target="media/image684.wmf"/><Relationship Id="rId1536" Type="http://schemas.openxmlformats.org/officeDocument/2006/relationships/oleObject" Target="embeddings/oleObject783.bin"/><Relationship Id="rId35" Type="http://schemas.openxmlformats.org/officeDocument/2006/relationships/image" Target="media/image11.wmf"/><Relationship Id="rId100" Type="http://schemas.openxmlformats.org/officeDocument/2006/relationships/image" Target="media/image44.wmf"/><Relationship Id="rId338" Type="http://schemas.openxmlformats.org/officeDocument/2006/relationships/image" Target="media/image163.png"/><Relationship Id="rId545" Type="http://schemas.openxmlformats.org/officeDocument/2006/relationships/image" Target="media/image286.wmf"/><Relationship Id="rId752" Type="http://schemas.openxmlformats.org/officeDocument/2006/relationships/oleObject" Target="embeddings/oleObject385.bin"/><Relationship Id="rId1175" Type="http://schemas.openxmlformats.org/officeDocument/2006/relationships/image" Target="media/image607.wmf"/><Relationship Id="rId1382" Type="http://schemas.openxmlformats.org/officeDocument/2006/relationships/oleObject" Target="embeddings/oleObject708.bin"/><Relationship Id="rId1603" Type="http://schemas.openxmlformats.org/officeDocument/2006/relationships/image" Target="media/image828.wmf"/><Relationship Id="rId184" Type="http://schemas.openxmlformats.org/officeDocument/2006/relationships/image" Target="media/image86.wmf"/><Relationship Id="rId391" Type="http://schemas.openxmlformats.org/officeDocument/2006/relationships/image" Target="media/image190.wmf"/><Relationship Id="rId405" Type="http://schemas.openxmlformats.org/officeDocument/2006/relationships/image" Target="media/image197.wmf"/><Relationship Id="rId612" Type="http://schemas.openxmlformats.org/officeDocument/2006/relationships/oleObject" Target="embeddings/oleObject315.bin"/><Relationship Id="rId1035" Type="http://schemas.openxmlformats.org/officeDocument/2006/relationships/image" Target="media/image528.wmf"/><Relationship Id="rId1242" Type="http://schemas.openxmlformats.org/officeDocument/2006/relationships/oleObject" Target="embeddings/oleObject636.bin"/><Relationship Id="rId251" Type="http://schemas.openxmlformats.org/officeDocument/2006/relationships/oleObject" Target="embeddings/oleObject116.bin"/><Relationship Id="rId489" Type="http://schemas.openxmlformats.org/officeDocument/2006/relationships/image" Target="media/image246.wmf"/><Relationship Id="rId696" Type="http://schemas.openxmlformats.org/officeDocument/2006/relationships/oleObject" Target="embeddings/oleObject357.bin"/><Relationship Id="rId917" Type="http://schemas.openxmlformats.org/officeDocument/2006/relationships/image" Target="media/image472.wmf"/><Relationship Id="rId1102" Type="http://schemas.openxmlformats.org/officeDocument/2006/relationships/oleObject" Target="embeddings/oleObject566.bin"/><Relationship Id="rId1547" Type="http://schemas.openxmlformats.org/officeDocument/2006/relationships/image" Target="media/image800.wmf"/><Relationship Id="rId46" Type="http://schemas.openxmlformats.org/officeDocument/2006/relationships/image" Target="media/image17.wmf"/><Relationship Id="rId349" Type="http://schemas.openxmlformats.org/officeDocument/2006/relationships/image" Target="media/image169.wmf"/><Relationship Id="rId556" Type="http://schemas.openxmlformats.org/officeDocument/2006/relationships/oleObject" Target="embeddings/oleObject287.bin"/><Relationship Id="rId763" Type="http://schemas.openxmlformats.org/officeDocument/2006/relationships/image" Target="media/image395.wmf"/><Relationship Id="rId1186" Type="http://schemas.openxmlformats.org/officeDocument/2006/relationships/oleObject" Target="embeddings/oleObject608.bin"/><Relationship Id="rId1393" Type="http://schemas.openxmlformats.org/officeDocument/2006/relationships/image" Target="media/image718.wmf"/><Relationship Id="rId1407" Type="http://schemas.openxmlformats.org/officeDocument/2006/relationships/image" Target="media/image725.wmf"/><Relationship Id="rId1614" Type="http://schemas.openxmlformats.org/officeDocument/2006/relationships/oleObject" Target="embeddings/oleObject822.bin"/><Relationship Id="rId111" Type="http://schemas.openxmlformats.org/officeDocument/2006/relationships/oleObject" Target="embeddings/oleObject46.bin"/><Relationship Id="rId195" Type="http://schemas.openxmlformats.org/officeDocument/2006/relationships/oleObject" Target="embeddings/oleObject88.bin"/><Relationship Id="rId209" Type="http://schemas.openxmlformats.org/officeDocument/2006/relationships/oleObject" Target="embeddings/oleObject95.bin"/><Relationship Id="rId416" Type="http://schemas.openxmlformats.org/officeDocument/2006/relationships/oleObject" Target="embeddings/oleObject198.bin"/><Relationship Id="rId970" Type="http://schemas.openxmlformats.org/officeDocument/2006/relationships/oleObject" Target="embeddings/oleObject494.bin"/><Relationship Id="rId1046" Type="http://schemas.openxmlformats.org/officeDocument/2006/relationships/oleObject" Target="embeddings/oleObject529.bin"/><Relationship Id="rId1253" Type="http://schemas.openxmlformats.org/officeDocument/2006/relationships/image" Target="media/image646.wmf"/><Relationship Id="rId623" Type="http://schemas.openxmlformats.org/officeDocument/2006/relationships/image" Target="media/image325.wmf"/><Relationship Id="rId830" Type="http://schemas.openxmlformats.org/officeDocument/2006/relationships/oleObject" Target="embeddings/oleObject424.bin"/><Relationship Id="rId928" Type="http://schemas.openxmlformats.org/officeDocument/2006/relationships/oleObject" Target="embeddings/oleObject473.bin"/><Relationship Id="rId1460" Type="http://schemas.openxmlformats.org/officeDocument/2006/relationships/oleObject" Target="embeddings/oleObject745.bin"/><Relationship Id="rId1558" Type="http://schemas.openxmlformats.org/officeDocument/2006/relationships/oleObject" Target="embeddings/oleObject794.bin"/><Relationship Id="rId57" Type="http://schemas.openxmlformats.org/officeDocument/2006/relationships/oleObject" Target="embeddings/oleObject19.bin"/><Relationship Id="rId262" Type="http://schemas.openxmlformats.org/officeDocument/2006/relationships/image" Target="media/image125.wmf"/><Relationship Id="rId567" Type="http://schemas.openxmlformats.org/officeDocument/2006/relationships/image" Target="media/image297.wmf"/><Relationship Id="rId1113" Type="http://schemas.openxmlformats.org/officeDocument/2006/relationships/image" Target="media/image576.wmf"/><Relationship Id="rId1197" Type="http://schemas.openxmlformats.org/officeDocument/2006/relationships/image" Target="media/image618.wmf"/><Relationship Id="rId1320" Type="http://schemas.openxmlformats.org/officeDocument/2006/relationships/oleObject" Target="embeddings/oleObject675.bin"/><Relationship Id="rId1418" Type="http://schemas.openxmlformats.org/officeDocument/2006/relationships/image" Target="media/image729.png"/><Relationship Id="rId122" Type="http://schemas.openxmlformats.org/officeDocument/2006/relationships/image" Target="media/image55.wmf"/><Relationship Id="rId774" Type="http://schemas.openxmlformats.org/officeDocument/2006/relationships/oleObject" Target="embeddings/oleObject396.bin"/><Relationship Id="rId981" Type="http://schemas.openxmlformats.org/officeDocument/2006/relationships/image" Target="media/image504.wmf"/><Relationship Id="rId1057" Type="http://schemas.openxmlformats.org/officeDocument/2006/relationships/image" Target="media/image539.wmf"/><Relationship Id="rId1625" Type="http://schemas.openxmlformats.org/officeDocument/2006/relationships/image" Target="media/image839.wmf"/><Relationship Id="rId427" Type="http://schemas.openxmlformats.org/officeDocument/2006/relationships/image" Target="media/image215.wmf"/><Relationship Id="rId634" Type="http://schemas.openxmlformats.org/officeDocument/2006/relationships/oleObject" Target="embeddings/oleObject326.bin"/><Relationship Id="rId841" Type="http://schemas.openxmlformats.org/officeDocument/2006/relationships/image" Target="media/image434.wmf"/><Relationship Id="rId1264" Type="http://schemas.openxmlformats.org/officeDocument/2006/relationships/oleObject" Target="embeddings/oleObject647.bin"/><Relationship Id="rId1471" Type="http://schemas.openxmlformats.org/officeDocument/2006/relationships/image" Target="media/image762.wmf"/><Relationship Id="rId1569" Type="http://schemas.openxmlformats.org/officeDocument/2006/relationships/image" Target="media/image811.wmf"/><Relationship Id="rId273" Type="http://schemas.openxmlformats.org/officeDocument/2006/relationships/oleObject" Target="embeddings/oleObject127.bin"/><Relationship Id="rId480" Type="http://schemas.openxmlformats.org/officeDocument/2006/relationships/oleObject" Target="embeddings/oleObject237.bin"/><Relationship Id="rId701" Type="http://schemas.openxmlformats.org/officeDocument/2006/relationships/image" Target="media/image364.wmf"/><Relationship Id="rId939" Type="http://schemas.openxmlformats.org/officeDocument/2006/relationships/image" Target="media/image483.wmf"/><Relationship Id="rId1124" Type="http://schemas.openxmlformats.org/officeDocument/2006/relationships/oleObject" Target="embeddings/oleObject577.bin"/><Relationship Id="rId1331" Type="http://schemas.openxmlformats.org/officeDocument/2006/relationships/image" Target="media/image685.wmf"/><Relationship Id="rId68" Type="http://schemas.openxmlformats.org/officeDocument/2006/relationships/image" Target="media/image28.wmf"/><Relationship Id="rId133" Type="http://schemas.openxmlformats.org/officeDocument/2006/relationships/oleObject" Target="embeddings/oleObject57.bin"/><Relationship Id="rId340" Type="http://schemas.openxmlformats.org/officeDocument/2006/relationships/oleObject" Target="embeddings/oleObject160.bin"/><Relationship Id="rId578" Type="http://schemas.openxmlformats.org/officeDocument/2006/relationships/oleObject" Target="embeddings/oleObject298.bin"/><Relationship Id="rId785" Type="http://schemas.openxmlformats.org/officeDocument/2006/relationships/image" Target="media/image406.wmf"/><Relationship Id="rId992" Type="http://schemas.openxmlformats.org/officeDocument/2006/relationships/oleObject" Target="embeddings/oleObject505.bin"/><Relationship Id="rId1429" Type="http://schemas.openxmlformats.org/officeDocument/2006/relationships/header" Target="header10.xml"/><Relationship Id="rId1636" Type="http://schemas.openxmlformats.org/officeDocument/2006/relationships/oleObject" Target="embeddings/oleObject833.bin"/><Relationship Id="rId200" Type="http://schemas.openxmlformats.org/officeDocument/2006/relationships/image" Target="media/image94.wmf"/><Relationship Id="rId438" Type="http://schemas.openxmlformats.org/officeDocument/2006/relationships/oleObject" Target="embeddings/oleObject216.bin"/><Relationship Id="rId645" Type="http://schemas.openxmlformats.org/officeDocument/2006/relationships/image" Target="media/image336.wmf"/><Relationship Id="rId852" Type="http://schemas.openxmlformats.org/officeDocument/2006/relationships/oleObject" Target="embeddings/oleObject435.bin"/><Relationship Id="rId1068" Type="http://schemas.openxmlformats.org/officeDocument/2006/relationships/oleObject" Target="embeddings/oleObject549.bin"/><Relationship Id="rId1275" Type="http://schemas.openxmlformats.org/officeDocument/2006/relationships/image" Target="media/image657.wmf"/><Relationship Id="rId1482" Type="http://schemas.openxmlformats.org/officeDocument/2006/relationships/oleObject" Target="embeddings/oleObject756.bin"/><Relationship Id="rId284" Type="http://schemas.openxmlformats.org/officeDocument/2006/relationships/image" Target="media/image136.wmf"/><Relationship Id="rId491" Type="http://schemas.openxmlformats.org/officeDocument/2006/relationships/image" Target="media/image247.wmf"/><Relationship Id="rId505" Type="http://schemas.openxmlformats.org/officeDocument/2006/relationships/image" Target="media/image266.wmf"/><Relationship Id="rId712" Type="http://schemas.openxmlformats.org/officeDocument/2006/relationships/oleObject" Target="embeddings/oleObject365.bin"/><Relationship Id="rId1135" Type="http://schemas.openxmlformats.org/officeDocument/2006/relationships/image" Target="media/image587.wmf"/><Relationship Id="rId1342" Type="http://schemas.openxmlformats.org/officeDocument/2006/relationships/oleObject" Target="embeddings/oleObject686.bin"/><Relationship Id="rId79" Type="http://schemas.openxmlformats.org/officeDocument/2006/relationships/oleObject" Target="embeddings/oleObject30.bin"/><Relationship Id="rId144" Type="http://schemas.openxmlformats.org/officeDocument/2006/relationships/image" Target="media/image66.wmf"/><Relationship Id="rId589" Type="http://schemas.openxmlformats.org/officeDocument/2006/relationships/image" Target="media/image308.wmf"/><Relationship Id="rId796" Type="http://schemas.openxmlformats.org/officeDocument/2006/relationships/oleObject" Target="embeddings/oleObject407.bin"/><Relationship Id="rId1202" Type="http://schemas.openxmlformats.org/officeDocument/2006/relationships/oleObject" Target="embeddings/oleObject616.bin"/><Relationship Id="rId1647" Type="http://schemas.openxmlformats.org/officeDocument/2006/relationships/image" Target="media/image850.wmf"/><Relationship Id="rId351" Type="http://schemas.openxmlformats.org/officeDocument/2006/relationships/image" Target="media/image170.wmf"/><Relationship Id="rId449" Type="http://schemas.openxmlformats.org/officeDocument/2006/relationships/image" Target="media/image226.wmf"/><Relationship Id="rId656" Type="http://schemas.openxmlformats.org/officeDocument/2006/relationships/oleObject" Target="embeddings/oleObject337.bin"/><Relationship Id="rId863" Type="http://schemas.openxmlformats.org/officeDocument/2006/relationships/image" Target="media/image445.wmf"/><Relationship Id="rId1079" Type="http://schemas.openxmlformats.org/officeDocument/2006/relationships/image" Target="media/image559.wmf"/><Relationship Id="rId1286" Type="http://schemas.openxmlformats.org/officeDocument/2006/relationships/oleObject" Target="embeddings/oleObject658.bin"/><Relationship Id="rId1493" Type="http://schemas.openxmlformats.org/officeDocument/2006/relationships/image" Target="media/image773.wmf"/><Relationship Id="rId1507" Type="http://schemas.openxmlformats.org/officeDocument/2006/relationships/image" Target="media/image780.wmf"/><Relationship Id="rId211" Type="http://schemas.openxmlformats.org/officeDocument/2006/relationships/oleObject" Target="embeddings/oleObject96.bin"/><Relationship Id="rId295" Type="http://schemas.openxmlformats.org/officeDocument/2006/relationships/oleObject" Target="embeddings/oleObject138.bin"/><Relationship Id="rId309" Type="http://schemas.openxmlformats.org/officeDocument/2006/relationships/oleObject" Target="embeddings/oleObject145.bin"/><Relationship Id="rId516" Type="http://schemas.openxmlformats.org/officeDocument/2006/relationships/oleObject" Target="embeddings/oleObject267.bin"/><Relationship Id="rId1146" Type="http://schemas.openxmlformats.org/officeDocument/2006/relationships/oleObject" Target="embeddings/oleObject588.bin"/><Relationship Id="rId723" Type="http://schemas.openxmlformats.org/officeDocument/2006/relationships/image" Target="media/image375.wmf"/><Relationship Id="rId930" Type="http://schemas.openxmlformats.org/officeDocument/2006/relationships/oleObject" Target="embeddings/oleObject474.bin"/><Relationship Id="rId1006" Type="http://schemas.openxmlformats.org/officeDocument/2006/relationships/oleObject" Target="embeddings/oleObject512.bin"/><Relationship Id="rId1353" Type="http://schemas.openxmlformats.org/officeDocument/2006/relationships/image" Target="media/image698.wmf"/><Relationship Id="rId1560" Type="http://schemas.openxmlformats.org/officeDocument/2006/relationships/oleObject" Target="embeddings/oleObject795.bin"/><Relationship Id="rId1658" Type="http://schemas.openxmlformats.org/officeDocument/2006/relationships/oleObject" Target="embeddings/oleObject844.bin"/><Relationship Id="rId155" Type="http://schemas.openxmlformats.org/officeDocument/2006/relationships/oleObject" Target="embeddings/oleObject68.bin"/><Relationship Id="rId362" Type="http://schemas.openxmlformats.org/officeDocument/2006/relationships/oleObject" Target="embeddings/oleObject171.bin"/><Relationship Id="rId1213" Type="http://schemas.openxmlformats.org/officeDocument/2006/relationships/image" Target="media/image626.wmf"/><Relationship Id="rId1297" Type="http://schemas.openxmlformats.org/officeDocument/2006/relationships/image" Target="media/image668.wmf"/><Relationship Id="rId1420" Type="http://schemas.openxmlformats.org/officeDocument/2006/relationships/image" Target="media/image731.wmf"/><Relationship Id="rId1518" Type="http://schemas.openxmlformats.org/officeDocument/2006/relationships/oleObject" Target="embeddings/oleObject774.bin"/><Relationship Id="rId222" Type="http://schemas.openxmlformats.org/officeDocument/2006/relationships/image" Target="media/image105.wmf"/><Relationship Id="rId667" Type="http://schemas.openxmlformats.org/officeDocument/2006/relationships/image" Target="media/image347.wmf"/><Relationship Id="rId874" Type="http://schemas.openxmlformats.org/officeDocument/2006/relationships/oleObject" Target="embeddings/oleObject446.bin"/><Relationship Id="rId17" Type="http://schemas.openxmlformats.org/officeDocument/2006/relationships/header" Target="header3.xml"/><Relationship Id="rId527" Type="http://schemas.openxmlformats.org/officeDocument/2006/relationships/image" Target="media/image277.wmf"/><Relationship Id="rId734" Type="http://schemas.openxmlformats.org/officeDocument/2006/relationships/oleObject" Target="embeddings/oleObject376.bin"/><Relationship Id="rId941" Type="http://schemas.openxmlformats.org/officeDocument/2006/relationships/image" Target="media/image484.wmf"/><Relationship Id="rId1157" Type="http://schemas.openxmlformats.org/officeDocument/2006/relationships/image" Target="media/image598.wmf"/><Relationship Id="rId1364" Type="http://schemas.openxmlformats.org/officeDocument/2006/relationships/oleObject" Target="embeddings/oleObject699.bin"/><Relationship Id="rId1571" Type="http://schemas.openxmlformats.org/officeDocument/2006/relationships/image" Target="media/image812.wmf"/><Relationship Id="rId70" Type="http://schemas.openxmlformats.org/officeDocument/2006/relationships/image" Target="media/image29.wmf"/><Relationship Id="rId166" Type="http://schemas.openxmlformats.org/officeDocument/2006/relationships/image" Target="media/image77.wmf"/><Relationship Id="rId373" Type="http://schemas.openxmlformats.org/officeDocument/2006/relationships/image" Target="media/image181.wmf"/><Relationship Id="rId580" Type="http://schemas.openxmlformats.org/officeDocument/2006/relationships/oleObject" Target="embeddings/oleObject299.bin"/><Relationship Id="rId801" Type="http://schemas.openxmlformats.org/officeDocument/2006/relationships/image" Target="media/image414.wmf"/><Relationship Id="rId1017" Type="http://schemas.openxmlformats.org/officeDocument/2006/relationships/image" Target="media/image519.wmf"/><Relationship Id="rId1224" Type="http://schemas.openxmlformats.org/officeDocument/2006/relationships/oleObject" Target="embeddings/oleObject627.bin"/><Relationship Id="rId1431" Type="http://schemas.openxmlformats.org/officeDocument/2006/relationships/footer" Target="footer13.xml"/><Relationship Id="rId1669" Type="http://schemas.openxmlformats.org/officeDocument/2006/relationships/header" Target="header16.xml"/><Relationship Id="rId1" Type="http://schemas.openxmlformats.org/officeDocument/2006/relationships/numbering" Target="numbering.xml"/><Relationship Id="rId233" Type="http://schemas.openxmlformats.org/officeDocument/2006/relationships/oleObject" Target="embeddings/oleObject107.bin"/><Relationship Id="rId440" Type="http://schemas.openxmlformats.org/officeDocument/2006/relationships/oleObject" Target="embeddings/oleObject217.bin"/><Relationship Id="rId678" Type="http://schemas.openxmlformats.org/officeDocument/2006/relationships/oleObject" Target="embeddings/oleObject348.bin"/><Relationship Id="rId885" Type="http://schemas.openxmlformats.org/officeDocument/2006/relationships/image" Target="media/image456.wmf"/><Relationship Id="rId1070" Type="http://schemas.openxmlformats.org/officeDocument/2006/relationships/oleObject" Target="embeddings/oleObject550.bin"/><Relationship Id="rId1529" Type="http://schemas.openxmlformats.org/officeDocument/2006/relationships/image" Target="media/image791.wmf"/><Relationship Id="rId28" Type="http://schemas.openxmlformats.org/officeDocument/2006/relationships/oleObject" Target="embeddings/oleObject5.bin"/><Relationship Id="rId300" Type="http://schemas.openxmlformats.org/officeDocument/2006/relationships/image" Target="media/image144.wmf"/><Relationship Id="rId538" Type="http://schemas.openxmlformats.org/officeDocument/2006/relationships/oleObject" Target="embeddings/oleObject278.bin"/><Relationship Id="rId745" Type="http://schemas.openxmlformats.org/officeDocument/2006/relationships/image" Target="media/image386.wmf"/><Relationship Id="rId952" Type="http://schemas.openxmlformats.org/officeDocument/2006/relationships/oleObject" Target="embeddings/oleObject485.bin"/><Relationship Id="rId1168" Type="http://schemas.openxmlformats.org/officeDocument/2006/relationships/oleObject" Target="embeddings/oleObject599.bin"/><Relationship Id="rId1375" Type="http://schemas.openxmlformats.org/officeDocument/2006/relationships/image" Target="media/image709.wmf"/><Relationship Id="rId1582" Type="http://schemas.openxmlformats.org/officeDocument/2006/relationships/oleObject" Target="embeddings/oleObject806.bin"/><Relationship Id="rId81" Type="http://schemas.openxmlformats.org/officeDocument/2006/relationships/oleObject" Target="embeddings/oleObject31.bin"/><Relationship Id="rId177" Type="http://schemas.openxmlformats.org/officeDocument/2006/relationships/oleObject" Target="embeddings/oleObject79.bin"/><Relationship Id="rId384" Type="http://schemas.openxmlformats.org/officeDocument/2006/relationships/oleObject" Target="embeddings/oleObject182.bin"/><Relationship Id="rId591" Type="http://schemas.openxmlformats.org/officeDocument/2006/relationships/image" Target="media/image309.wmf"/><Relationship Id="rId605" Type="http://schemas.openxmlformats.org/officeDocument/2006/relationships/image" Target="media/image316.wmf"/><Relationship Id="rId812" Type="http://schemas.openxmlformats.org/officeDocument/2006/relationships/oleObject" Target="embeddings/oleObject415.bin"/><Relationship Id="rId1028" Type="http://schemas.openxmlformats.org/officeDocument/2006/relationships/oleObject" Target="embeddings/oleObject520.bin"/><Relationship Id="rId1235" Type="http://schemas.openxmlformats.org/officeDocument/2006/relationships/image" Target="media/image637.wmf"/><Relationship Id="rId1442" Type="http://schemas.openxmlformats.org/officeDocument/2006/relationships/oleObject" Target="embeddings/oleObject736.bin"/><Relationship Id="rId244" Type="http://schemas.openxmlformats.org/officeDocument/2006/relationships/image" Target="media/image116.wmf"/><Relationship Id="rId689" Type="http://schemas.openxmlformats.org/officeDocument/2006/relationships/image" Target="media/image358.wmf"/><Relationship Id="rId896" Type="http://schemas.openxmlformats.org/officeDocument/2006/relationships/oleObject" Target="embeddings/oleObject457.bin"/><Relationship Id="rId1081" Type="http://schemas.openxmlformats.org/officeDocument/2006/relationships/image" Target="media/image560.wmf"/><Relationship Id="rId1302" Type="http://schemas.openxmlformats.org/officeDocument/2006/relationships/oleObject" Target="embeddings/oleObject666.bin"/><Relationship Id="rId39" Type="http://schemas.openxmlformats.org/officeDocument/2006/relationships/oleObject" Target="embeddings/oleObject10.bin"/><Relationship Id="rId451" Type="http://schemas.openxmlformats.org/officeDocument/2006/relationships/image" Target="media/image227.wmf"/><Relationship Id="rId549" Type="http://schemas.openxmlformats.org/officeDocument/2006/relationships/image" Target="media/image288.wmf"/><Relationship Id="rId756" Type="http://schemas.openxmlformats.org/officeDocument/2006/relationships/oleObject" Target="embeddings/oleObject387.bin"/><Relationship Id="rId1179" Type="http://schemas.openxmlformats.org/officeDocument/2006/relationships/image" Target="media/image609.wmf"/><Relationship Id="rId1386" Type="http://schemas.openxmlformats.org/officeDocument/2006/relationships/oleObject" Target="embeddings/oleObject710.bin"/><Relationship Id="rId1593" Type="http://schemas.openxmlformats.org/officeDocument/2006/relationships/image" Target="media/image823.wmf"/><Relationship Id="rId1607" Type="http://schemas.openxmlformats.org/officeDocument/2006/relationships/image" Target="media/image830.wmf"/><Relationship Id="rId104" Type="http://schemas.openxmlformats.org/officeDocument/2006/relationships/image" Target="media/image46.wmf"/><Relationship Id="rId188" Type="http://schemas.openxmlformats.org/officeDocument/2006/relationships/image" Target="media/image88.wmf"/><Relationship Id="rId311" Type="http://schemas.openxmlformats.org/officeDocument/2006/relationships/oleObject" Target="embeddings/oleObject146.bin"/><Relationship Id="rId395" Type="http://schemas.openxmlformats.org/officeDocument/2006/relationships/image" Target="media/image192.wmf"/><Relationship Id="rId409" Type="http://schemas.openxmlformats.org/officeDocument/2006/relationships/image" Target="media/image199.wmf"/><Relationship Id="rId963" Type="http://schemas.openxmlformats.org/officeDocument/2006/relationships/image" Target="media/image495.wmf"/><Relationship Id="rId1039" Type="http://schemas.openxmlformats.org/officeDocument/2006/relationships/image" Target="media/image530.wmf"/><Relationship Id="rId1246" Type="http://schemas.openxmlformats.org/officeDocument/2006/relationships/oleObject" Target="embeddings/oleObject638.bin"/><Relationship Id="rId92" Type="http://schemas.openxmlformats.org/officeDocument/2006/relationships/image" Target="media/image40.wmf"/><Relationship Id="rId616" Type="http://schemas.openxmlformats.org/officeDocument/2006/relationships/oleObject" Target="embeddings/oleObject317.bin"/><Relationship Id="rId823" Type="http://schemas.openxmlformats.org/officeDocument/2006/relationships/image" Target="media/image425.wmf"/><Relationship Id="rId1453" Type="http://schemas.openxmlformats.org/officeDocument/2006/relationships/image" Target="media/image753.wmf"/><Relationship Id="rId1660" Type="http://schemas.openxmlformats.org/officeDocument/2006/relationships/oleObject" Target="embeddings/oleObject845.bin"/><Relationship Id="rId255" Type="http://schemas.openxmlformats.org/officeDocument/2006/relationships/oleObject" Target="embeddings/oleObject118.bin"/><Relationship Id="rId462" Type="http://schemas.openxmlformats.org/officeDocument/2006/relationships/oleObject" Target="embeddings/oleObject228.bin"/><Relationship Id="rId1092" Type="http://schemas.openxmlformats.org/officeDocument/2006/relationships/oleObject" Target="embeddings/oleObject561.bin"/><Relationship Id="rId1106" Type="http://schemas.openxmlformats.org/officeDocument/2006/relationships/oleObject" Target="embeddings/oleObject568.bin"/><Relationship Id="rId1313" Type="http://schemas.openxmlformats.org/officeDocument/2006/relationships/image" Target="media/image676.wmf"/><Relationship Id="rId1397" Type="http://schemas.openxmlformats.org/officeDocument/2006/relationships/image" Target="media/image720.wmf"/><Relationship Id="rId1520" Type="http://schemas.openxmlformats.org/officeDocument/2006/relationships/oleObject" Target="embeddings/oleObject775.bin"/><Relationship Id="rId115" Type="http://schemas.openxmlformats.org/officeDocument/2006/relationships/oleObject" Target="embeddings/oleObject48.bin"/><Relationship Id="rId322" Type="http://schemas.openxmlformats.org/officeDocument/2006/relationships/image" Target="media/image155.wmf"/><Relationship Id="rId767" Type="http://schemas.openxmlformats.org/officeDocument/2006/relationships/image" Target="media/image397.wmf"/><Relationship Id="rId974" Type="http://schemas.openxmlformats.org/officeDocument/2006/relationships/oleObject" Target="embeddings/oleObject496.bin"/><Relationship Id="rId1618" Type="http://schemas.openxmlformats.org/officeDocument/2006/relationships/oleObject" Target="embeddings/oleObject824.bin"/><Relationship Id="rId199" Type="http://schemas.openxmlformats.org/officeDocument/2006/relationships/oleObject" Target="embeddings/oleObject90.bin"/><Relationship Id="rId627" Type="http://schemas.openxmlformats.org/officeDocument/2006/relationships/image" Target="media/image327.wmf"/><Relationship Id="rId834" Type="http://schemas.openxmlformats.org/officeDocument/2006/relationships/oleObject" Target="embeddings/oleObject426.bin"/><Relationship Id="rId1257" Type="http://schemas.openxmlformats.org/officeDocument/2006/relationships/image" Target="media/image648.wmf"/><Relationship Id="rId1464" Type="http://schemas.openxmlformats.org/officeDocument/2006/relationships/oleObject" Target="embeddings/oleObject747.bin"/><Relationship Id="rId1671" Type="http://schemas.openxmlformats.org/officeDocument/2006/relationships/footer" Target="footer19.xml"/><Relationship Id="rId266" Type="http://schemas.openxmlformats.org/officeDocument/2006/relationships/image" Target="media/image127.wmf"/><Relationship Id="rId473" Type="http://schemas.openxmlformats.org/officeDocument/2006/relationships/image" Target="media/image238.wmf"/><Relationship Id="rId680" Type="http://schemas.openxmlformats.org/officeDocument/2006/relationships/oleObject" Target="embeddings/oleObject349.bin"/><Relationship Id="rId901" Type="http://schemas.openxmlformats.org/officeDocument/2006/relationships/image" Target="media/image464.wmf"/><Relationship Id="rId1117" Type="http://schemas.openxmlformats.org/officeDocument/2006/relationships/image" Target="media/image578.wmf"/><Relationship Id="rId1324" Type="http://schemas.openxmlformats.org/officeDocument/2006/relationships/oleObject" Target="embeddings/oleObject677.bin"/><Relationship Id="rId1531" Type="http://schemas.openxmlformats.org/officeDocument/2006/relationships/image" Target="media/image792.wmf"/><Relationship Id="rId30" Type="http://schemas.openxmlformats.org/officeDocument/2006/relationships/oleObject" Target="embeddings/oleObject6.bin"/><Relationship Id="rId126" Type="http://schemas.openxmlformats.org/officeDocument/2006/relationships/image" Target="media/image57.wmf"/><Relationship Id="rId333" Type="http://schemas.openxmlformats.org/officeDocument/2006/relationships/oleObject" Target="embeddings/oleObject157.bin"/><Relationship Id="rId540" Type="http://schemas.openxmlformats.org/officeDocument/2006/relationships/oleObject" Target="embeddings/oleObject279.bin"/><Relationship Id="rId778" Type="http://schemas.openxmlformats.org/officeDocument/2006/relationships/oleObject" Target="embeddings/oleObject398.bin"/><Relationship Id="rId985" Type="http://schemas.openxmlformats.org/officeDocument/2006/relationships/image" Target="media/image506.wmf"/><Relationship Id="rId1170" Type="http://schemas.openxmlformats.org/officeDocument/2006/relationships/oleObject" Target="embeddings/oleObject600.bin"/><Relationship Id="rId1629" Type="http://schemas.openxmlformats.org/officeDocument/2006/relationships/image" Target="media/image841.wmf"/><Relationship Id="rId638" Type="http://schemas.openxmlformats.org/officeDocument/2006/relationships/oleObject" Target="embeddings/oleObject328.bin"/><Relationship Id="rId845" Type="http://schemas.openxmlformats.org/officeDocument/2006/relationships/image" Target="media/image436.wmf"/><Relationship Id="rId1030" Type="http://schemas.openxmlformats.org/officeDocument/2006/relationships/oleObject" Target="embeddings/oleObject521.bin"/><Relationship Id="rId1268" Type="http://schemas.openxmlformats.org/officeDocument/2006/relationships/oleObject" Target="embeddings/oleObject649.bin"/><Relationship Id="rId1475" Type="http://schemas.openxmlformats.org/officeDocument/2006/relationships/image" Target="media/image764.wmf"/><Relationship Id="rId1682" Type="http://schemas.openxmlformats.org/officeDocument/2006/relationships/theme" Target="theme/theme1.xml"/><Relationship Id="rId277" Type="http://schemas.openxmlformats.org/officeDocument/2006/relationships/oleObject" Target="embeddings/oleObject129.bin"/><Relationship Id="rId400" Type="http://schemas.openxmlformats.org/officeDocument/2006/relationships/oleObject" Target="embeddings/oleObject190.bin"/><Relationship Id="rId484" Type="http://schemas.openxmlformats.org/officeDocument/2006/relationships/oleObject" Target="embeddings/oleObject239.bin"/><Relationship Id="rId705" Type="http://schemas.openxmlformats.org/officeDocument/2006/relationships/image" Target="media/image366.wmf"/><Relationship Id="rId1128" Type="http://schemas.openxmlformats.org/officeDocument/2006/relationships/oleObject" Target="embeddings/oleObject579.bin"/><Relationship Id="rId1335" Type="http://schemas.openxmlformats.org/officeDocument/2006/relationships/image" Target="media/image687.wmf"/><Relationship Id="rId1542" Type="http://schemas.openxmlformats.org/officeDocument/2006/relationships/oleObject" Target="embeddings/oleObject786.bin"/><Relationship Id="rId137" Type="http://schemas.openxmlformats.org/officeDocument/2006/relationships/oleObject" Target="embeddings/oleObject59.bin"/><Relationship Id="rId344" Type="http://schemas.openxmlformats.org/officeDocument/2006/relationships/oleObject" Target="embeddings/oleObject162.bin"/><Relationship Id="rId691" Type="http://schemas.openxmlformats.org/officeDocument/2006/relationships/image" Target="media/image359.wmf"/><Relationship Id="rId789" Type="http://schemas.openxmlformats.org/officeDocument/2006/relationships/image" Target="media/image408.wmf"/><Relationship Id="rId912" Type="http://schemas.openxmlformats.org/officeDocument/2006/relationships/oleObject" Target="embeddings/oleObject465.bin"/><Relationship Id="rId996" Type="http://schemas.openxmlformats.org/officeDocument/2006/relationships/oleObject" Target="embeddings/oleObject507.bin"/><Relationship Id="rId41" Type="http://schemas.openxmlformats.org/officeDocument/2006/relationships/oleObject" Target="embeddings/oleObject11.bin"/><Relationship Id="rId551" Type="http://schemas.openxmlformats.org/officeDocument/2006/relationships/image" Target="media/image289.wmf"/><Relationship Id="rId649" Type="http://schemas.openxmlformats.org/officeDocument/2006/relationships/image" Target="media/image338.wmf"/><Relationship Id="rId856" Type="http://schemas.openxmlformats.org/officeDocument/2006/relationships/oleObject" Target="embeddings/oleObject437.bin"/><Relationship Id="rId1181" Type="http://schemas.openxmlformats.org/officeDocument/2006/relationships/image" Target="media/image610.wmf"/><Relationship Id="rId1279" Type="http://schemas.openxmlformats.org/officeDocument/2006/relationships/image" Target="media/image659.wmf"/><Relationship Id="rId1402" Type="http://schemas.openxmlformats.org/officeDocument/2006/relationships/oleObject" Target="embeddings/oleObject718.bin"/><Relationship Id="rId1486" Type="http://schemas.openxmlformats.org/officeDocument/2006/relationships/oleObject" Target="embeddings/oleObject758.bin"/><Relationship Id="rId190" Type="http://schemas.openxmlformats.org/officeDocument/2006/relationships/image" Target="media/image89.wmf"/><Relationship Id="rId204" Type="http://schemas.openxmlformats.org/officeDocument/2006/relationships/image" Target="media/image96.wmf"/><Relationship Id="rId288" Type="http://schemas.openxmlformats.org/officeDocument/2006/relationships/image" Target="media/image138.wmf"/><Relationship Id="rId411" Type="http://schemas.openxmlformats.org/officeDocument/2006/relationships/image" Target="media/image200.wmf"/><Relationship Id="rId509" Type="http://schemas.openxmlformats.org/officeDocument/2006/relationships/image" Target="media/image268.wmf"/><Relationship Id="rId1041" Type="http://schemas.openxmlformats.org/officeDocument/2006/relationships/image" Target="media/image531.wmf"/><Relationship Id="rId1139" Type="http://schemas.openxmlformats.org/officeDocument/2006/relationships/image" Target="media/image589.wmf"/><Relationship Id="rId1346" Type="http://schemas.openxmlformats.org/officeDocument/2006/relationships/oleObject" Target="embeddings/oleObject688.bin"/><Relationship Id="rId495" Type="http://schemas.openxmlformats.org/officeDocument/2006/relationships/image" Target="media/image261.wmf"/><Relationship Id="rId716" Type="http://schemas.openxmlformats.org/officeDocument/2006/relationships/oleObject" Target="embeddings/oleObject367.bin"/><Relationship Id="rId923" Type="http://schemas.openxmlformats.org/officeDocument/2006/relationships/image" Target="media/image475.wmf"/><Relationship Id="rId1553" Type="http://schemas.openxmlformats.org/officeDocument/2006/relationships/image" Target="media/image803.wmf"/><Relationship Id="rId52" Type="http://schemas.openxmlformats.org/officeDocument/2006/relationships/image" Target="media/image20.wmf"/><Relationship Id="rId148" Type="http://schemas.openxmlformats.org/officeDocument/2006/relationships/image" Target="media/image68.wmf"/><Relationship Id="rId355" Type="http://schemas.openxmlformats.org/officeDocument/2006/relationships/image" Target="media/image172.wmf"/><Relationship Id="rId562" Type="http://schemas.openxmlformats.org/officeDocument/2006/relationships/oleObject" Target="embeddings/oleObject290.bin"/><Relationship Id="rId1192" Type="http://schemas.openxmlformats.org/officeDocument/2006/relationships/oleObject" Target="embeddings/oleObject611.bin"/><Relationship Id="rId1206" Type="http://schemas.openxmlformats.org/officeDocument/2006/relationships/oleObject" Target="embeddings/oleObject618.bin"/><Relationship Id="rId1413" Type="http://schemas.openxmlformats.org/officeDocument/2006/relationships/image" Target="media/image726.wmf"/><Relationship Id="rId1620" Type="http://schemas.openxmlformats.org/officeDocument/2006/relationships/oleObject" Target="embeddings/oleObject825.bin"/><Relationship Id="rId215" Type="http://schemas.openxmlformats.org/officeDocument/2006/relationships/oleObject" Target="embeddings/oleObject98.bin"/><Relationship Id="rId422" Type="http://schemas.openxmlformats.org/officeDocument/2006/relationships/oleObject" Target="embeddings/oleObject201.bin"/><Relationship Id="rId867" Type="http://schemas.openxmlformats.org/officeDocument/2006/relationships/image" Target="media/image447.wmf"/><Relationship Id="rId1052" Type="http://schemas.openxmlformats.org/officeDocument/2006/relationships/oleObject" Target="embeddings/oleObject532.bin"/><Relationship Id="rId1497" Type="http://schemas.openxmlformats.org/officeDocument/2006/relationships/image" Target="media/image775.wmf"/><Relationship Id="rId299" Type="http://schemas.openxmlformats.org/officeDocument/2006/relationships/oleObject" Target="embeddings/oleObject140.bin"/><Relationship Id="rId727" Type="http://schemas.openxmlformats.org/officeDocument/2006/relationships/image" Target="media/image377.wmf"/><Relationship Id="rId934" Type="http://schemas.openxmlformats.org/officeDocument/2006/relationships/oleObject" Target="embeddings/oleObject476.bin"/><Relationship Id="rId1357" Type="http://schemas.openxmlformats.org/officeDocument/2006/relationships/image" Target="media/image700.wmf"/><Relationship Id="rId1564" Type="http://schemas.openxmlformats.org/officeDocument/2006/relationships/oleObject" Target="embeddings/oleObject797.bin"/><Relationship Id="rId63" Type="http://schemas.openxmlformats.org/officeDocument/2006/relationships/oleObject" Target="embeddings/oleObject22.bin"/><Relationship Id="rId159" Type="http://schemas.openxmlformats.org/officeDocument/2006/relationships/oleObject" Target="embeddings/oleObject70.bin"/><Relationship Id="rId366" Type="http://schemas.openxmlformats.org/officeDocument/2006/relationships/oleObject" Target="embeddings/oleObject173.bin"/><Relationship Id="rId573" Type="http://schemas.openxmlformats.org/officeDocument/2006/relationships/image" Target="media/image300.wmf"/><Relationship Id="rId780" Type="http://schemas.openxmlformats.org/officeDocument/2006/relationships/oleObject" Target="embeddings/oleObject399.bin"/><Relationship Id="rId1217" Type="http://schemas.openxmlformats.org/officeDocument/2006/relationships/image" Target="media/image628.wmf"/><Relationship Id="rId1424" Type="http://schemas.openxmlformats.org/officeDocument/2006/relationships/image" Target="media/image733.png"/><Relationship Id="rId1631" Type="http://schemas.openxmlformats.org/officeDocument/2006/relationships/image" Target="media/image842.wmf"/><Relationship Id="rId226" Type="http://schemas.openxmlformats.org/officeDocument/2006/relationships/image" Target="media/image107.wmf"/><Relationship Id="rId433" Type="http://schemas.openxmlformats.org/officeDocument/2006/relationships/image" Target="media/image218.wmf"/><Relationship Id="rId878" Type="http://schemas.openxmlformats.org/officeDocument/2006/relationships/oleObject" Target="embeddings/oleObject448.bin"/><Relationship Id="rId1063" Type="http://schemas.openxmlformats.org/officeDocument/2006/relationships/image" Target="media/image551.wmf"/><Relationship Id="rId1270" Type="http://schemas.openxmlformats.org/officeDocument/2006/relationships/oleObject" Target="embeddings/oleObject650.bin"/><Relationship Id="rId640" Type="http://schemas.openxmlformats.org/officeDocument/2006/relationships/oleObject" Target="embeddings/oleObject329.bin"/><Relationship Id="rId738" Type="http://schemas.openxmlformats.org/officeDocument/2006/relationships/oleObject" Target="embeddings/oleObject378.bin"/><Relationship Id="rId945" Type="http://schemas.openxmlformats.org/officeDocument/2006/relationships/image" Target="media/image486.wmf"/><Relationship Id="rId1368" Type="http://schemas.openxmlformats.org/officeDocument/2006/relationships/oleObject" Target="embeddings/oleObject701.bin"/><Relationship Id="rId1575" Type="http://schemas.openxmlformats.org/officeDocument/2006/relationships/image" Target="media/image814.wmf"/><Relationship Id="rId74" Type="http://schemas.openxmlformats.org/officeDocument/2006/relationships/image" Target="media/image31.wmf"/><Relationship Id="rId377" Type="http://schemas.openxmlformats.org/officeDocument/2006/relationships/image" Target="media/image183.wmf"/><Relationship Id="rId500" Type="http://schemas.openxmlformats.org/officeDocument/2006/relationships/oleObject" Target="embeddings/oleObject259.bin"/><Relationship Id="rId584" Type="http://schemas.openxmlformats.org/officeDocument/2006/relationships/oleObject" Target="embeddings/oleObject301.bin"/><Relationship Id="rId805" Type="http://schemas.openxmlformats.org/officeDocument/2006/relationships/image" Target="media/image416.wmf"/><Relationship Id="rId1130" Type="http://schemas.openxmlformats.org/officeDocument/2006/relationships/oleObject" Target="embeddings/oleObject580.bin"/><Relationship Id="rId1228" Type="http://schemas.openxmlformats.org/officeDocument/2006/relationships/oleObject" Target="embeddings/oleObject629.bin"/><Relationship Id="rId1435" Type="http://schemas.openxmlformats.org/officeDocument/2006/relationships/image" Target="media/image744.wmf"/><Relationship Id="rId5" Type="http://schemas.openxmlformats.org/officeDocument/2006/relationships/footnotes" Target="footnotes.xml"/><Relationship Id="rId237" Type="http://schemas.openxmlformats.org/officeDocument/2006/relationships/oleObject" Target="embeddings/oleObject109.bin"/><Relationship Id="rId791" Type="http://schemas.openxmlformats.org/officeDocument/2006/relationships/image" Target="media/image409.wmf"/><Relationship Id="rId889" Type="http://schemas.openxmlformats.org/officeDocument/2006/relationships/image" Target="media/image458.wmf"/><Relationship Id="rId1074" Type="http://schemas.openxmlformats.org/officeDocument/2006/relationships/oleObject" Target="embeddings/oleObject552.bin"/><Relationship Id="rId1642" Type="http://schemas.openxmlformats.org/officeDocument/2006/relationships/oleObject" Target="embeddings/oleObject836.bin"/><Relationship Id="rId444" Type="http://schemas.openxmlformats.org/officeDocument/2006/relationships/oleObject" Target="embeddings/oleObject219.bin"/><Relationship Id="rId651" Type="http://schemas.openxmlformats.org/officeDocument/2006/relationships/image" Target="media/image339.wmf"/><Relationship Id="rId749" Type="http://schemas.openxmlformats.org/officeDocument/2006/relationships/image" Target="media/image388.wmf"/><Relationship Id="rId1281" Type="http://schemas.openxmlformats.org/officeDocument/2006/relationships/image" Target="media/image660.wmf"/><Relationship Id="rId1379" Type="http://schemas.openxmlformats.org/officeDocument/2006/relationships/image" Target="media/image711.wmf"/><Relationship Id="rId1502" Type="http://schemas.openxmlformats.org/officeDocument/2006/relationships/oleObject" Target="embeddings/oleObject766.bin"/><Relationship Id="rId1586" Type="http://schemas.openxmlformats.org/officeDocument/2006/relationships/oleObject" Target="embeddings/oleObject808.bin"/><Relationship Id="rId290" Type="http://schemas.openxmlformats.org/officeDocument/2006/relationships/image" Target="media/image139.wmf"/><Relationship Id="rId304" Type="http://schemas.openxmlformats.org/officeDocument/2006/relationships/image" Target="media/image146.wmf"/><Relationship Id="rId388" Type="http://schemas.openxmlformats.org/officeDocument/2006/relationships/oleObject" Target="embeddings/oleObject184.bin"/><Relationship Id="rId511" Type="http://schemas.openxmlformats.org/officeDocument/2006/relationships/image" Target="media/image269.wmf"/><Relationship Id="rId609" Type="http://schemas.openxmlformats.org/officeDocument/2006/relationships/image" Target="media/image318.wmf"/><Relationship Id="rId956" Type="http://schemas.openxmlformats.org/officeDocument/2006/relationships/oleObject" Target="embeddings/oleObject487.bin"/><Relationship Id="rId1141" Type="http://schemas.openxmlformats.org/officeDocument/2006/relationships/image" Target="media/image590.wmf"/><Relationship Id="rId1239" Type="http://schemas.openxmlformats.org/officeDocument/2006/relationships/image" Target="media/image639.wmf"/><Relationship Id="rId85" Type="http://schemas.openxmlformats.org/officeDocument/2006/relationships/oleObject" Target="embeddings/oleObject33.bin"/><Relationship Id="rId150" Type="http://schemas.openxmlformats.org/officeDocument/2006/relationships/image" Target="media/image69.wmf"/><Relationship Id="rId595" Type="http://schemas.openxmlformats.org/officeDocument/2006/relationships/image" Target="media/image311.wmf"/><Relationship Id="rId816" Type="http://schemas.openxmlformats.org/officeDocument/2006/relationships/oleObject" Target="embeddings/oleObject417.bin"/><Relationship Id="rId1001" Type="http://schemas.openxmlformats.org/officeDocument/2006/relationships/image" Target="media/image514.wmf"/><Relationship Id="rId1446" Type="http://schemas.openxmlformats.org/officeDocument/2006/relationships/oleObject" Target="embeddings/oleObject738.bin"/><Relationship Id="rId1653" Type="http://schemas.openxmlformats.org/officeDocument/2006/relationships/image" Target="media/image853.wmf"/><Relationship Id="rId248" Type="http://schemas.openxmlformats.org/officeDocument/2006/relationships/image" Target="media/image118.wmf"/><Relationship Id="rId455" Type="http://schemas.openxmlformats.org/officeDocument/2006/relationships/image" Target="media/image229.wmf"/><Relationship Id="rId662" Type="http://schemas.openxmlformats.org/officeDocument/2006/relationships/oleObject" Target="embeddings/oleObject340.bin"/><Relationship Id="rId1085" Type="http://schemas.openxmlformats.org/officeDocument/2006/relationships/image" Target="media/image562.wmf"/><Relationship Id="rId1292" Type="http://schemas.openxmlformats.org/officeDocument/2006/relationships/oleObject" Target="embeddings/oleObject661.bin"/><Relationship Id="rId1306" Type="http://schemas.openxmlformats.org/officeDocument/2006/relationships/oleObject" Target="embeddings/oleObject668.bin"/><Relationship Id="rId1513" Type="http://schemas.openxmlformats.org/officeDocument/2006/relationships/image" Target="media/image783.wmf"/><Relationship Id="rId12" Type="http://schemas.openxmlformats.org/officeDocument/2006/relationships/footer" Target="footer4.xml"/><Relationship Id="rId108" Type="http://schemas.openxmlformats.org/officeDocument/2006/relationships/image" Target="media/image48.wmf"/><Relationship Id="rId315" Type="http://schemas.openxmlformats.org/officeDocument/2006/relationships/oleObject" Target="embeddings/oleObject148.bin"/><Relationship Id="rId522" Type="http://schemas.openxmlformats.org/officeDocument/2006/relationships/oleObject" Target="embeddings/oleObject270.bin"/><Relationship Id="rId967" Type="http://schemas.openxmlformats.org/officeDocument/2006/relationships/image" Target="media/image497.wmf"/><Relationship Id="rId1152" Type="http://schemas.openxmlformats.org/officeDocument/2006/relationships/oleObject" Target="embeddings/oleObject591.bin"/><Relationship Id="rId1597" Type="http://schemas.openxmlformats.org/officeDocument/2006/relationships/image" Target="media/image825.wmf"/><Relationship Id="rId96" Type="http://schemas.openxmlformats.org/officeDocument/2006/relationships/image" Target="media/image42.wmf"/><Relationship Id="rId161" Type="http://schemas.openxmlformats.org/officeDocument/2006/relationships/oleObject" Target="embeddings/oleObject71.bin"/><Relationship Id="rId399" Type="http://schemas.openxmlformats.org/officeDocument/2006/relationships/image" Target="media/image194.wmf"/><Relationship Id="rId827" Type="http://schemas.openxmlformats.org/officeDocument/2006/relationships/image" Target="media/image427.wmf"/><Relationship Id="rId1012" Type="http://schemas.openxmlformats.org/officeDocument/2006/relationships/footer" Target="footer9.xml"/><Relationship Id="rId1457" Type="http://schemas.openxmlformats.org/officeDocument/2006/relationships/image" Target="media/image755.wmf"/><Relationship Id="rId1664" Type="http://schemas.openxmlformats.org/officeDocument/2006/relationships/header" Target="header14.xml"/><Relationship Id="rId259" Type="http://schemas.openxmlformats.org/officeDocument/2006/relationships/oleObject" Target="embeddings/oleObject120.bin"/><Relationship Id="rId466" Type="http://schemas.openxmlformats.org/officeDocument/2006/relationships/oleObject" Target="embeddings/oleObject230.bin"/><Relationship Id="rId673" Type="http://schemas.openxmlformats.org/officeDocument/2006/relationships/image" Target="media/image350.wmf"/><Relationship Id="rId880" Type="http://schemas.openxmlformats.org/officeDocument/2006/relationships/oleObject" Target="embeddings/oleObject449.bin"/><Relationship Id="rId1096" Type="http://schemas.openxmlformats.org/officeDocument/2006/relationships/oleObject" Target="embeddings/oleObject563.bin"/><Relationship Id="rId1317" Type="http://schemas.openxmlformats.org/officeDocument/2006/relationships/image" Target="media/image678.wmf"/><Relationship Id="rId1524" Type="http://schemas.openxmlformats.org/officeDocument/2006/relationships/oleObject" Target="embeddings/oleObject777.bin"/><Relationship Id="rId23" Type="http://schemas.openxmlformats.org/officeDocument/2006/relationships/image" Target="media/image5.wmf"/><Relationship Id="rId119" Type="http://schemas.openxmlformats.org/officeDocument/2006/relationships/oleObject" Target="embeddings/oleObject50.bin"/><Relationship Id="rId326" Type="http://schemas.openxmlformats.org/officeDocument/2006/relationships/image" Target="media/image157.wmf"/><Relationship Id="rId533" Type="http://schemas.openxmlformats.org/officeDocument/2006/relationships/image" Target="media/image280.wmf"/><Relationship Id="rId978" Type="http://schemas.openxmlformats.org/officeDocument/2006/relationships/oleObject" Target="embeddings/oleObject498.bin"/><Relationship Id="rId1163" Type="http://schemas.openxmlformats.org/officeDocument/2006/relationships/image" Target="media/image601.wmf"/><Relationship Id="rId1370" Type="http://schemas.openxmlformats.org/officeDocument/2006/relationships/oleObject" Target="embeddings/oleObject702.bin"/><Relationship Id="rId740" Type="http://schemas.openxmlformats.org/officeDocument/2006/relationships/oleObject" Target="embeddings/oleObject379.bin"/><Relationship Id="rId838" Type="http://schemas.openxmlformats.org/officeDocument/2006/relationships/oleObject" Target="embeddings/oleObject428.bin"/><Relationship Id="rId1023" Type="http://schemas.openxmlformats.org/officeDocument/2006/relationships/image" Target="media/image522.wmf"/><Relationship Id="rId1468" Type="http://schemas.openxmlformats.org/officeDocument/2006/relationships/oleObject" Target="embeddings/oleObject749.bin"/><Relationship Id="rId1675" Type="http://schemas.openxmlformats.org/officeDocument/2006/relationships/header" Target="header19.xml"/><Relationship Id="rId172" Type="http://schemas.openxmlformats.org/officeDocument/2006/relationships/image" Target="media/image80.wmf"/><Relationship Id="rId477" Type="http://schemas.openxmlformats.org/officeDocument/2006/relationships/image" Target="media/image240.wmf"/><Relationship Id="rId600" Type="http://schemas.openxmlformats.org/officeDocument/2006/relationships/oleObject" Target="embeddings/oleObject309.bin"/><Relationship Id="rId684" Type="http://schemas.openxmlformats.org/officeDocument/2006/relationships/oleObject" Target="embeddings/oleObject351.bin"/><Relationship Id="rId1230" Type="http://schemas.openxmlformats.org/officeDocument/2006/relationships/oleObject" Target="embeddings/oleObject630.bin"/><Relationship Id="rId1328" Type="http://schemas.openxmlformats.org/officeDocument/2006/relationships/oleObject" Target="embeddings/oleObject679.bin"/><Relationship Id="rId1535" Type="http://schemas.openxmlformats.org/officeDocument/2006/relationships/image" Target="media/image794.wmf"/><Relationship Id="rId337" Type="http://schemas.openxmlformats.org/officeDocument/2006/relationships/oleObject" Target="embeddings/oleObject159.bin"/><Relationship Id="rId891" Type="http://schemas.openxmlformats.org/officeDocument/2006/relationships/image" Target="media/image459.wmf"/><Relationship Id="rId905" Type="http://schemas.openxmlformats.org/officeDocument/2006/relationships/image" Target="media/image466.wmf"/><Relationship Id="rId989" Type="http://schemas.openxmlformats.org/officeDocument/2006/relationships/image" Target="media/image508.wmf"/><Relationship Id="rId34" Type="http://schemas.openxmlformats.org/officeDocument/2006/relationships/oleObject" Target="embeddings/oleObject8.bin"/><Relationship Id="rId544" Type="http://schemas.openxmlformats.org/officeDocument/2006/relationships/oleObject" Target="embeddings/oleObject281.bin"/><Relationship Id="rId751" Type="http://schemas.openxmlformats.org/officeDocument/2006/relationships/image" Target="media/image389.wmf"/><Relationship Id="rId849" Type="http://schemas.openxmlformats.org/officeDocument/2006/relationships/image" Target="media/image438.wmf"/><Relationship Id="rId1174" Type="http://schemas.openxmlformats.org/officeDocument/2006/relationships/oleObject" Target="embeddings/oleObject602.bin"/><Relationship Id="rId1381" Type="http://schemas.openxmlformats.org/officeDocument/2006/relationships/image" Target="media/image712.wmf"/><Relationship Id="rId1479" Type="http://schemas.openxmlformats.org/officeDocument/2006/relationships/image" Target="media/image766.wmf"/><Relationship Id="rId1602" Type="http://schemas.openxmlformats.org/officeDocument/2006/relationships/oleObject" Target="embeddings/oleObject816.bin"/><Relationship Id="rId183" Type="http://schemas.openxmlformats.org/officeDocument/2006/relationships/oleObject" Target="embeddings/oleObject82.bin"/><Relationship Id="rId390" Type="http://schemas.openxmlformats.org/officeDocument/2006/relationships/oleObject" Target="embeddings/oleObject185.bin"/><Relationship Id="rId404" Type="http://schemas.openxmlformats.org/officeDocument/2006/relationships/oleObject" Target="embeddings/oleObject192.bin"/><Relationship Id="rId611" Type="http://schemas.openxmlformats.org/officeDocument/2006/relationships/image" Target="media/image319.wmf"/><Relationship Id="rId1034" Type="http://schemas.openxmlformats.org/officeDocument/2006/relationships/oleObject" Target="embeddings/oleObject523.bin"/><Relationship Id="rId1241" Type="http://schemas.openxmlformats.org/officeDocument/2006/relationships/image" Target="media/image640.wmf"/><Relationship Id="rId1339" Type="http://schemas.openxmlformats.org/officeDocument/2006/relationships/image" Target="media/image689.wmf"/><Relationship Id="rId250" Type="http://schemas.openxmlformats.org/officeDocument/2006/relationships/image" Target="media/image119.wmf"/><Relationship Id="rId488" Type="http://schemas.openxmlformats.org/officeDocument/2006/relationships/oleObject" Target="embeddings/oleObject241.bin"/><Relationship Id="rId695" Type="http://schemas.openxmlformats.org/officeDocument/2006/relationships/image" Target="media/image361.wmf"/><Relationship Id="rId709" Type="http://schemas.openxmlformats.org/officeDocument/2006/relationships/image" Target="media/image368.wmf"/><Relationship Id="rId916" Type="http://schemas.openxmlformats.org/officeDocument/2006/relationships/oleObject" Target="embeddings/oleObject467.bin"/><Relationship Id="rId1101" Type="http://schemas.openxmlformats.org/officeDocument/2006/relationships/image" Target="media/image570.wmf"/><Relationship Id="rId1546" Type="http://schemas.openxmlformats.org/officeDocument/2006/relationships/oleObject" Target="embeddings/oleObject788.bin"/><Relationship Id="rId45" Type="http://schemas.openxmlformats.org/officeDocument/2006/relationships/oleObject" Target="embeddings/oleObject13.bin"/><Relationship Id="rId110" Type="http://schemas.openxmlformats.org/officeDocument/2006/relationships/image" Target="media/image49.wmf"/><Relationship Id="rId348" Type="http://schemas.openxmlformats.org/officeDocument/2006/relationships/oleObject" Target="embeddings/oleObject164.bin"/><Relationship Id="rId555" Type="http://schemas.openxmlformats.org/officeDocument/2006/relationships/image" Target="media/image291.wmf"/><Relationship Id="rId762" Type="http://schemas.openxmlformats.org/officeDocument/2006/relationships/oleObject" Target="embeddings/oleObject390.bin"/><Relationship Id="rId1185" Type="http://schemas.openxmlformats.org/officeDocument/2006/relationships/image" Target="media/image612.wmf"/><Relationship Id="rId1392" Type="http://schemas.openxmlformats.org/officeDocument/2006/relationships/oleObject" Target="embeddings/oleObject713.bin"/><Relationship Id="rId1406" Type="http://schemas.openxmlformats.org/officeDocument/2006/relationships/oleObject" Target="embeddings/oleObject720.bin"/><Relationship Id="rId1613" Type="http://schemas.openxmlformats.org/officeDocument/2006/relationships/image" Target="media/image833.wmf"/><Relationship Id="rId194" Type="http://schemas.openxmlformats.org/officeDocument/2006/relationships/image" Target="media/image91.wmf"/><Relationship Id="rId208" Type="http://schemas.openxmlformats.org/officeDocument/2006/relationships/image" Target="media/image98.wmf"/><Relationship Id="rId415" Type="http://schemas.openxmlformats.org/officeDocument/2006/relationships/image" Target="media/image202.wmf"/><Relationship Id="rId622" Type="http://schemas.openxmlformats.org/officeDocument/2006/relationships/oleObject" Target="embeddings/oleObject320.bin"/><Relationship Id="rId1045" Type="http://schemas.openxmlformats.org/officeDocument/2006/relationships/image" Target="media/image533.wmf"/><Relationship Id="rId1252" Type="http://schemas.openxmlformats.org/officeDocument/2006/relationships/oleObject" Target="embeddings/oleObject641.bin"/><Relationship Id="rId261" Type="http://schemas.openxmlformats.org/officeDocument/2006/relationships/oleObject" Target="embeddings/oleObject121.bin"/><Relationship Id="rId499" Type="http://schemas.openxmlformats.org/officeDocument/2006/relationships/image" Target="media/image263.wmf"/><Relationship Id="rId927" Type="http://schemas.openxmlformats.org/officeDocument/2006/relationships/image" Target="media/image477.wmf"/><Relationship Id="rId1112" Type="http://schemas.openxmlformats.org/officeDocument/2006/relationships/oleObject" Target="embeddings/oleObject571.bin"/><Relationship Id="rId1557" Type="http://schemas.openxmlformats.org/officeDocument/2006/relationships/image" Target="media/image805.wmf"/><Relationship Id="rId56" Type="http://schemas.openxmlformats.org/officeDocument/2006/relationships/image" Target="media/image22.wmf"/><Relationship Id="rId359" Type="http://schemas.openxmlformats.org/officeDocument/2006/relationships/image" Target="media/image174.wmf"/><Relationship Id="rId566" Type="http://schemas.openxmlformats.org/officeDocument/2006/relationships/oleObject" Target="embeddings/oleObject292.bin"/><Relationship Id="rId773" Type="http://schemas.openxmlformats.org/officeDocument/2006/relationships/image" Target="media/image400.wmf"/><Relationship Id="rId1196" Type="http://schemas.openxmlformats.org/officeDocument/2006/relationships/oleObject" Target="embeddings/oleObject613.bin"/><Relationship Id="rId1417" Type="http://schemas.openxmlformats.org/officeDocument/2006/relationships/image" Target="media/image728.png"/><Relationship Id="rId1624" Type="http://schemas.openxmlformats.org/officeDocument/2006/relationships/oleObject" Target="embeddings/oleObject827.bin"/><Relationship Id="rId121" Type="http://schemas.openxmlformats.org/officeDocument/2006/relationships/oleObject" Target="embeddings/oleObject51.bin"/><Relationship Id="rId219" Type="http://schemas.openxmlformats.org/officeDocument/2006/relationships/oleObject" Target="embeddings/oleObject100.bin"/><Relationship Id="rId426" Type="http://schemas.openxmlformats.org/officeDocument/2006/relationships/oleObject" Target="embeddings/oleObject203.bin"/><Relationship Id="rId633" Type="http://schemas.openxmlformats.org/officeDocument/2006/relationships/image" Target="media/image330.wmf"/><Relationship Id="rId980" Type="http://schemas.openxmlformats.org/officeDocument/2006/relationships/oleObject" Target="embeddings/oleObject499.bin"/><Relationship Id="rId1056" Type="http://schemas.openxmlformats.org/officeDocument/2006/relationships/oleObject" Target="embeddings/oleObject534.bin"/><Relationship Id="rId1263" Type="http://schemas.openxmlformats.org/officeDocument/2006/relationships/image" Target="media/image651.wmf"/><Relationship Id="rId840" Type="http://schemas.openxmlformats.org/officeDocument/2006/relationships/oleObject" Target="embeddings/oleObject429.bin"/><Relationship Id="rId938" Type="http://schemas.openxmlformats.org/officeDocument/2006/relationships/oleObject" Target="embeddings/oleObject478.bin"/><Relationship Id="rId1470" Type="http://schemas.openxmlformats.org/officeDocument/2006/relationships/oleObject" Target="embeddings/oleObject750.bin"/><Relationship Id="rId1568" Type="http://schemas.openxmlformats.org/officeDocument/2006/relationships/oleObject" Target="embeddings/oleObject799.bin"/><Relationship Id="rId67" Type="http://schemas.openxmlformats.org/officeDocument/2006/relationships/oleObject" Target="embeddings/oleObject24.bin"/><Relationship Id="rId272" Type="http://schemas.openxmlformats.org/officeDocument/2006/relationships/image" Target="media/image130.wmf"/><Relationship Id="rId577" Type="http://schemas.openxmlformats.org/officeDocument/2006/relationships/image" Target="media/image302.wmf"/><Relationship Id="rId700" Type="http://schemas.openxmlformats.org/officeDocument/2006/relationships/oleObject" Target="embeddings/oleObject359.bin"/><Relationship Id="rId1123" Type="http://schemas.openxmlformats.org/officeDocument/2006/relationships/image" Target="media/image581.wmf"/><Relationship Id="rId1330" Type="http://schemas.openxmlformats.org/officeDocument/2006/relationships/oleObject" Target="embeddings/oleObject680.bin"/><Relationship Id="rId1428" Type="http://schemas.openxmlformats.org/officeDocument/2006/relationships/header" Target="header9.xml"/><Relationship Id="rId1635" Type="http://schemas.openxmlformats.org/officeDocument/2006/relationships/image" Target="media/image844.wmf"/><Relationship Id="rId132" Type="http://schemas.openxmlformats.org/officeDocument/2006/relationships/image" Target="media/image60.wmf"/><Relationship Id="rId784" Type="http://schemas.openxmlformats.org/officeDocument/2006/relationships/oleObject" Target="embeddings/oleObject401.bin"/><Relationship Id="rId991" Type="http://schemas.openxmlformats.org/officeDocument/2006/relationships/image" Target="media/image509.wmf"/><Relationship Id="rId1067" Type="http://schemas.openxmlformats.org/officeDocument/2006/relationships/image" Target="media/image553.wmf"/><Relationship Id="rId437" Type="http://schemas.openxmlformats.org/officeDocument/2006/relationships/image" Target="media/image220.wmf"/><Relationship Id="rId644" Type="http://schemas.openxmlformats.org/officeDocument/2006/relationships/oleObject" Target="embeddings/oleObject331.bin"/><Relationship Id="rId851" Type="http://schemas.openxmlformats.org/officeDocument/2006/relationships/image" Target="media/image439.wmf"/><Relationship Id="rId1274" Type="http://schemas.openxmlformats.org/officeDocument/2006/relationships/oleObject" Target="embeddings/oleObject652.bin"/><Relationship Id="rId1481" Type="http://schemas.openxmlformats.org/officeDocument/2006/relationships/image" Target="media/image767.wmf"/><Relationship Id="rId1579" Type="http://schemas.openxmlformats.org/officeDocument/2006/relationships/image" Target="media/image816.wmf"/><Relationship Id="rId283" Type="http://schemas.openxmlformats.org/officeDocument/2006/relationships/oleObject" Target="embeddings/oleObject132.bin"/><Relationship Id="rId490" Type="http://schemas.openxmlformats.org/officeDocument/2006/relationships/oleObject" Target="embeddings/oleObject242.bin"/><Relationship Id="rId504" Type="http://schemas.openxmlformats.org/officeDocument/2006/relationships/oleObject" Target="embeddings/oleObject261.bin"/><Relationship Id="rId711" Type="http://schemas.openxmlformats.org/officeDocument/2006/relationships/image" Target="media/image369.wmf"/><Relationship Id="rId949" Type="http://schemas.openxmlformats.org/officeDocument/2006/relationships/image" Target="media/image488.wmf"/><Relationship Id="rId1134" Type="http://schemas.openxmlformats.org/officeDocument/2006/relationships/oleObject" Target="embeddings/oleObject582.bin"/><Relationship Id="rId1341" Type="http://schemas.openxmlformats.org/officeDocument/2006/relationships/image" Target="media/image690.wmf"/><Relationship Id="rId78" Type="http://schemas.openxmlformats.org/officeDocument/2006/relationships/image" Target="media/image33.wmf"/><Relationship Id="rId143" Type="http://schemas.openxmlformats.org/officeDocument/2006/relationships/oleObject" Target="embeddings/oleObject62.bin"/><Relationship Id="rId350" Type="http://schemas.openxmlformats.org/officeDocument/2006/relationships/oleObject" Target="embeddings/oleObject165.bin"/><Relationship Id="rId588" Type="http://schemas.openxmlformats.org/officeDocument/2006/relationships/oleObject" Target="embeddings/oleObject303.bin"/><Relationship Id="rId795" Type="http://schemas.openxmlformats.org/officeDocument/2006/relationships/image" Target="media/image411.wmf"/><Relationship Id="rId809" Type="http://schemas.openxmlformats.org/officeDocument/2006/relationships/image" Target="media/image418.wmf"/><Relationship Id="rId1201" Type="http://schemas.openxmlformats.org/officeDocument/2006/relationships/image" Target="media/image620.wmf"/><Relationship Id="rId1439" Type="http://schemas.openxmlformats.org/officeDocument/2006/relationships/image" Target="media/image746.wmf"/><Relationship Id="rId1646" Type="http://schemas.openxmlformats.org/officeDocument/2006/relationships/oleObject" Target="embeddings/oleObject838.bin"/><Relationship Id="rId9" Type="http://schemas.openxmlformats.org/officeDocument/2006/relationships/footer" Target="footer1.xml"/><Relationship Id="rId210" Type="http://schemas.openxmlformats.org/officeDocument/2006/relationships/image" Target="media/image99.wmf"/><Relationship Id="rId448" Type="http://schemas.openxmlformats.org/officeDocument/2006/relationships/oleObject" Target="embeddings/oleObject221.bin"/><Relationship Id="rId655" Type="http://schemas.openxmlformats.org/officeDocument/2006/relationships/image" Target="media/image341.wmf"/><Relationship Id="rId862" Type="http://schemas.openxmlformats.org/officeDocument/2006/relationships/oleObject" Target="embeddings/oleObject440.bin"/><Relationship Id="rId1078" Type="http://schemas.openxmlformats.org/officeDocument/2006/relationships/oleObject" Target="embeddings/oleObject554.bin"/><Relationship Id="rId1285" Type="http://schemas.openxmlformats.org/officeDocument/2006/relationships/image" Target="media/image662.wmf"/><Relationship Id="rId1492" Type="http://schemas.openxmlformats.org/officeDocument/2006/relationships/oleObject" Target="embeddings/oleObject761.bin"/><Relationship Id="rId1506" Type="http://schemas.openxmlformats.org/officeDocument/2006/relationships/oleObject" Target="embeddings/oleObject768.bin"/><Relationship Id="rId294" Type="http://schemas.openxmlformats.org/officeDocument/2006/relationships/image" Target="media/image141.wmf"/><Relationship Id="rId308" Type="http://schemas.openxmlformats.org/officeDocument/2006/relationships/image" Target="media/image148.wmf"/><Relationship Id="rId515" Type="http://schemas.openxmlformats.org/officeDocument/2006/relationships/image" Target="media/image271.wmf"/><Relationship Id="rId722" Type="http://schemas.openxmlformats.org/officeDocument/2006/relationships/oleObject" Target="embeddings/oleObject370.bin"/><Relationship Id="rId1145" Type="http://schemas.openxmlformats.org/officeDocument/2006/relationships/image" Target="media/image592.wmf"/><Relationship Id="rId1352" Type="http://schemas.openxmlformats.org/officeDocument/2006/relationships/oleObject" Target="embeddings/oleObject693.bin"/><Relationship Id="rId89" Type="http://schemas.openxmlformats.org/officeDocument/2006/relationships/oleObject" Target="embeddings/oleObject35.bin"/><Relationship Id="rId154" Type="http://schemas.openxmlformats.org/officeDocument/2006/relationships/image" Target="media/image71.wmf"/><Relationship Id="rId361" Type="http://schemas.openxmlformats.org/officeDocument/2006/relationships/image" Target="media/image175.wmf"/><Relationship Id="rId599" Type="http://schemas.openxmlformats.org/officeDocument/2006/relationships/image" Target="media/image313.wmf"/><Relationship Id="rId1005" Type="http://schemas.openxmlformats.org/officeDocument/2006/relationships/image" Target="media/image516.wmf"/><Relationship Id="rId1212" Type="http://schemas.openxmlformats.org/officeDocument/2006/relationships/oleObject" Target="embeddings/oleObject621.bin"/><Relationship Id="rId1657" Type="http://schemas.openxmlformats.org/officeDocument/2006/relationships/image" Target="media/image855.wmf"/><Relationship Id="rId459" Type="http://schemas.openxmlformats.org/officeDocument/2006/relationships/image" Target="media/image231.wmf"/><Relationship Id="rId666" Type="http://schemas.openxmlformats.org/officeDocument/2006/relationships/oleObject" Target="embeddings/oleObject342.bin"/><Relationship Id="rId873" Type="http://schemas.openxmlformats.org/officeDocument/2006/relationships/image" Target="media/image450.wmf"/><Relationship Id="rId1089" Type="http://schemas.openxmlformats.org/officeDocument/2006/relationships/image" Target="media/image564.wmf"/><Relationship Id="rId1296" Type="http://schemas.openxmlformats.org/officeDocument/2006/relationships/oleObject" Target="embeddings/oleObject663.bin"/><Relationship Id="rId1517" Type="http://schemas.openxmlformats.org/officeDocument/2006/relationships/image" Target="media/image785.wmf"/><Relationship Id="rId16" Type="http://schemas.openxmlformats.org/officeDocument/2006/relationships/footer" Target="footer6.xml"/><Relationship Id="rId221" Type="http://schemas.openxmlformats.org/officeDocument/2006/relationships/oleObject" Target="embeddings/oleObject101.bin"/><Relationship Id="rId319" Type="http://schemas.openxmlformats.org/officeDocument/2006/relationships/oleObject" Target="embeddings/oleObject150.bin"/><Relationship Id="rId526" Type="http://schemas.openxmlformats.org/officeDocument/2006/relationships/oleObject" Target="embeddings/oleObject272.bin"/><Relationship Id="rId1156" Type="http://schemas.openxmlformats.org/officeDocument/2006/relationships/oleObject" Target="embeddings/oleObject593.bin"/><Relationship Id="rId1363" Type="http://schemas.openxmlformats.org/officeDocument/2006/relationships/image" Target="media/image703.wmf"/><Relationship Id="rId733" Type="http://schemas.openxmlformats.org/officeDocument/2006/relationships/image" Target="media/image380.wmf"/><Relationship Id="rId940" Type="http://schemas.openxmlformats.org/officeDocument/2006/relationships/oleObject" Target="embeddings/oleObject479.bin"/><Relationship Id="rId1016" Type="http://schemas.openxmlformats.org/officeDocument/2006/relationships/oleObject" Target="embeddings/oleObject514.bin"/><Relationship Id="rId1570" Type="http://schemas.openxmlformats.org/officeDocument/2006/relationships/oleObject" Target="embeddings/oleObject800.bin"/><Relationship Id="rId1668" Type="http://schemas.openxmlformats.org/officeDocument/2006/relationships/footer" Target="footer18.xml"/><Relationship Id="rId165" Type="http://schemas.openxmlformats.org/officeDocument/2006/relationships/oleObject" Target="embeddings/oleObject73.bin"/><Relationship Id="rId372" Type="http://schemas.openxmlformats.org/officeDocument/2006/relationships/oleObject" Target="embeddings/oleObject176.bin"/><Relationship Id="rId677" Type="http://schemas.openxmlformats.org/officeDocument/2006/relationships/image" Target="media/image352.wmf"/><Relationship Id="rId800" Type="http://schemas.openxmlformats.org/officeDocument/2006/relationships/oleObject" Target="embeddings/oleObject409.bin"/><Relationship Id="rId1223" Type="http://schemas.openxmlformats.org/officeDocument/2006/relationships/image" Target="media/image631.wmf"/><Relationship Id="rId1430" Type="http://schemas.openxmlformats.org/officeDocument/2006/relationships/header" Target="header11.xml"/><Relationship Id="rId1528" Type="http://schemas.openxmlformats.org/officeDocument/2006/relationships/oleObject" Target="embeddings/oleObject779.bin"/><Relationship Id="rId232" Type="http://schemas.openxmlformats.org/officeDocument/2006/relationships/image" Target="media/image110.wmf"/><Relationship Id="rId884" Type="http://schemas.openxmlformats.org/officeDocument/2006/relationships/oleObject" Target="embeddings/oleObject451.bin"/><Relationship Id="rId27" Type="http://schemas.openxmlformats.org/officeDocument/2006/relationships/image" Target="media/image7.wmf"/><Relationship Id="rId537" Type="http://schemas.openxmlformats.org/officeDocument/2006/relationships/image" Target="media/image282.wmf"/><Relationship Id="rId744" Type="http://schemas.openxmlformats.org/officeDocument/2006/relationships/oleObject" Target="embeddings/oleObject381.bin"/><Relationship Id="rId951" Type="http://schemas.openxmlformats.org/officeDocument/2006/relationships/image" Target="media/image489.wmf"/><Relationship Id="rId1167" Type="http://schemas.openxmlformats.org/officeDocument/2006/relationships/image" Target="media/image603.wmf"/><Relationship Id="rId1374" Type="http://schemas.openxmlformats.org/officeDocument/2006/relationships/oleObject" Target="embeddings/oleObject704.bin"/><Relationship Id="rId1581" Type="http://schemas.openxmlformats.org/officeDocument/2006/relationships/image" Target="media/image817.wmf"/><Relationship Id="rId1679" Type="http://schemas.openxmlformats.org/officeDocument/2006/relationships/header" Target="header21.xml"/><Relationship Id="rId80" Type="http://schemas.openxmlformats.org/officeDocument/2006/relationships/image" Target="media/image34.wmf"/><Relationship Id="rId176" Type="http://schemas.openxmlformats.org/officeDocument/2006/relationships/image" Target="media/image82.wmf"/><Relationship Id="rId383" Type="http://schemas.openxmlformats.org/officeDocument/2006/relationships/image" Target="media/image186.wmf"/><Relationship Id="rId590" Type="http://schemas.openxmlformats.org/officeDocument/2006/relationships/oleObject" Target="embeddings/oleObject304.bin"/><Relationship Id="rId604" Type="http://schemas.openxmlformats.org/officeDocument/2006/relationships/oleObject" Target="embeddings/oleObject311.bin"/><Relationship Id="rId811" Type="http://schemas.openxmlformats.org/officeDocument/2006/relationships/image" Target="media/image419.wmf"/><Relationship Id="rId1027" Type="http://schemas.openxmlformats.org/officeDocument/2006/relationships/image" Target="media/image524.wmf"/><Relationship Id="rId1234" Type="http://schemas.openxmlformats.org/officeDocument/2006/relationships/oleObject" Target="embeddings/oleObject632.bin"/><Relationship Id="rId1441" Type="http://schemas.openxmlformats.org/officeDocument/2006/relationships/image" Target="media/image747.wmf"/><Relationship Id="rId243" Type="http://schemas.openxmlformats.org/officeDocument/2006/relationships/oleObject" Target="embeddings/oleObject112.bin"/><Relationship Id="rId450" Type="http://schemas.openxmlformats.org/officeDocument/2006/relationships/oleObject" Target="embeddings/oleObject222.bin"/><Relationship Id="rId688" Type="http://schemas.openxmlformats.org/officeDocument/2006/relationships/oleObject" Target="embeddings/oleObject353.bin"/><Relationship Id="rId895" Type="http://schemas.openxmlformats.org/officeDocument/2006/relationships/image" Target="media/image461.wmf"/><Relationship Id="rId909" Type="http://schemas.openxmlformats.org/officeDocument/2006/relationships/image" Target="media/image468.wmf"/><Relationship Id="rId1080" Type="http://schemas.openxmlformats.org/officeDocument/2006/relationships/oleObject" Target="embeddings/oleObject555.bin"/><Relationship Id="rId1301" Type="http://schemas.openxmlformats.org/officeDocument/2006/relationships/image" Target="media/image670.wmf"/><Relationship Id="rId1539" Type="http://schemas.openxmlformats.org/officeDocument/2006/relationships/image" Target="media/image796.wmf"/><Relationship Id="rId38" Type="http://schemas.openxmlformats.org/officeDocument/2006/relationships/image" Target="media/image13.wmf"/><Relationship Id="rId103" Type="http://schemas.openxmlformats.org/officeDocument/2006/relationships/oleObject" Target="embeddings/oleObject42.bin"/><Relationship Id="rId310" Type="http://schemas.openxmlformats.org/officeDocument/2006/relationships/image" Target="media/image149.wmf"/><Relationship Id="rId548" Type="http://schemas.openxmlformats.org/officeDocument/2006/relationships/oleObject" Target="embeddings/oleObject283.bin"/><Relationship Id="rId755" Type="http://schemas.openxmlformats.org/officeDocument/2006/relationships/image" Target="media/image391.wmf"/><Relationship Id="rId962" Type="http://schemas.openxmlformats.org/officeDocument/2006/relationships/oleObject" Target="embeddings/oleObject490.bin"/><Relationship Id="rId1178" Type="http://schemas.openxmlformats.org/officeDocument/2006/relationships/oleObject" Target="embeddings/oleObject604.bin"/><Relationship Id="rId1385" Type="http://schemas.openxmlformats.org/officeDocument/2006/relationships/image" Target="media/image714.wmf"/><Relationship Id="rId1592" Type="http://schemas.openxmlformats.org/officeDocument/2006/relationships/oleObject" Target="embeddings/oleObject811.bin"/><Relationship Id="rId1606" Type="http://schemas.openxmlformats.org/officeDocument/2006/relationships/oleObject" Target="embeddings/oleObject818.bin"/><Relationship Id="rId91" Type="http://schemas.openxmlformats.org/officeDocument/2006/relationships/oleObject" Target="embeddings/oleObject36.bin"/><Relationship Id="rId187" Type="http://schemas.openxmlformats.org/officeDocument/2006/relationships/oleObject" Target="embeddings/oleObject84.bin"/><Relationship Id="rId394" Type="http://schemas.openxmlformats.org/officeDocument/2006/relationships/oleObject" Target="embeddings/oleObject187.bin"/><Relationship Id="rId408" Type="http://schemas.openxmlformats.org/officeDocument/2006/relationships/oleObject" Target="embeddings/oleObject194.bin"/><Relationship Id="rId615" Type="http://schemas.openxmlformats.org/officeDocument/2006/relationships/image" Target="media/image321.wmf"/><Relationship Id="rId822" Type="http://schemas.openxmlformats.org/officeDocument/2006/relationships/oleObject" Target="embeddings/oleObject420.bin"/><Relationship Id="rId1038" Type="http://schemas.openxmlformats.org/officeDocument/2006/relationships/oleObject" Target="embeddings/oleObject525.bin"/><Relationship Id="rId1245" Type="http://schemas.openxmlformats.org/officeDocument/2006/relationships/image" Target="media/image642.wmf"/><Relationship Id="rId1452" Type="http://schemas.openxmlformats.org/officeDocument/2006/relationships/oleObject" Target="embeddings/oleObject741.bin"/><Relationship Id="rId254" Type="http://schemas.openxmlformats.org/officeDocument/2006/relationships/image" Target="media/image121.wmf"/><Relationship Id="rId699" Type="http://schemas.openxmlformats.org/officeDocument/2006/relationships/image" Target="media/image363.wmf"/><Relationship Id="rId1091" Type="http://schemas.openxmlformats.org/officeDocument/2006/relationships/image" Target="media/image565.wmf"/><Relationship Id="rId1105" Type="http://schemas.openxmlformats.org/officeDocument/2006/relationships/image" Target="media/image572.wmf"/><Relationship Id="rId1312" Type="http://schemas.openxmlformats.org/officeDocument/2006/relationships/oleObject" Target="embeddings/oleObject671.bin"/><Relationship Id="rId49" Type="http://schemas.openxmlformats.org/officeDocument/2006/relationships/oleObject" Target="embeddings/oleObject15.bin"/><Relationship Id="rId114" Type="http://schemas.openxmlformats.org/officeDocument/2006/relationships/image" Target="media/image51.wmf"/><Relationship Id="rId461" Type="http://schemas.openxmlformats.org/officeDocument/2006/relationships/image" Target="media/image232.wmf"/><Relationship Id="rId559" Type="http://schemas.openxmlformats.org/officeDocument/2006/relationships/image" Target="media/image293.wmf"/><Relationship Id="rId766" Type="http://schemas.openxmlformats.org/officeDocument/2006/relationships/oleObject" Target="embeddings/oleObject392.bin"/><Relationship Id="rId1189" Type="http://schemas.openxmlformats.org/officeDocument/2006/relationships/image" Target="media/image614.wmf"/><Relationship Id="rId1396" Type="http://schemas.openxmlformats.org/officeDocument/2006/relationships/oleObject" Target="embeddings/oleObject715.bin"/><Relationship Id="rId1617" Type="http://schemas.openxmlformats.org/officeDocument/2006/relationships/image" Target="media/image835.wmf"/><Relationship Id="rId198" Type="http://schemas.openxmlformats.org/officeDocument/2006/relationships/image" Target="media/image93.wmf"/><Relationship Id="rId321" Type="http://schemas.openxmlformats.org/officeDocument/2006/relationships/oleObject" Target="embeddings/oleObject151.bin"/><Relationship Id="rId419" Type="http://schemas.openxmlformats.org/officeDocument/2006/relationships/image" Target="media/image204.wmf"/><Relationship Id="rId626" Type="http://schemas.openxmlformats.org/officeDocument/2006/relationships/oleObject" Target="embeddings/oleObject322.bin"/><Relationship Id="rId973" Type="http://schemas.openxmlformats.org/officeDocument/2006/relationships/image" Target="media/image500.wmf"/><Relationship Id="rId1049" Type="http://schemas.openxmlformats.org/officeDocument/2006/relationships/image" Target="media/image535.wmf"/><Relationship Id="rId1256" Type="http://schemas.openxmlformats.org/officeDocument/2006/relationships/oleObject" Target="embeddings/oleObject643.bin"/><Relationship Id="rId833" Type="http://schemas.openxmlformats.org/officeDocument/2006/relationships/image" Target="media/image430.wmf"/><Relationship Id="rId1116" Type="http://schemas.openxmlformats.org/officeDocument/2006/relationships/oleObject" Target="embeddings/oleObject573.bin"/><Relationship Id="rId1463" Type="http://schemas.openxmlformats.org/officeDocument/2006/relationships/image" Target="media/image758.wmf"/><Relationship Id="rId1670" Type="http://schemas.openxmlformats.org/officeDocument/2006/relationships/header" Target="header17.xml"/><Relationship Id="rId265" Type="http://schemas.openxmlformats.org/officeDocument/2006/relationships/oleObject" Target="embeddings/oleObject123.bin"/><Relationship Id="rId472" Type="http://schemas.openxmlformats.org/officeDocument/2006/relationships/oleObject" Target="embeddings/oleObject233.bin"/><Relationship Id="rId900" Type="http://schemas.openxmlformats.org/officeDocument/2006/relationships/oleObject" Target="embeddings/oleObject459.bin"/><Relationship Id="rId1323" Type="http://schemas.openxmlformats.org/officeDocument/2006/relationships/image" Target="media/image681.wmf"/><Relationship Id="rId1530" Type="http://schemas.openxmlformats.org/officeDocument/2006/relationships/oleObject" Target="embeddings/oleObject780.bin"/><Relationship Id="rId1628" Type="http://schemas.openxmlformats.org/officeDocument/2006/relationships/oleObject" Target="embeddings/oleObject829.bin"/><Relationship Id="rId125" Type="http://schemas.openxmlformats.org/officeDocument/2006/relationships/oleObject" Target="embeddings/oleObject53.bin"/><Relationship Id="rId332" Type="http://schemas.openxmlformats.org/officeDocument/2006/relationships/image" Target="media/image160.wmf"/><Relationship Id="rId777" Type="http://schemas.openxmlformats.org/officeDocument/2006/relationships/image" Target="media/image402.wmf"/><Relationship Id="rId984" Type="http://schemas.openxmlformats.org/officeDocument/2006/relationships/oleObject" Target="embeddings/oleObject501.bin"/><Relationship Id="rId637" Type="http://schemas.openxmlformats.org/officeDocument/2006/relationships/image" Target="media/image332.wmf"/><Relationship Id="rId844" Type="http://schemas.openxmlformats.org/officeDocument/2006/relationships/oleObject" Target="embeddings/oleObject431.bin"/><Relationship Id="rId1267" Type="http://schemas.openxmlformats.org/officeDocument/2006/relationships/image" Target="media/image653.wmf"/><Relationship Id="rId1474" Type="http://schemas.openxmlformats.org/officeDocument/2006/relationships/oleObject" Target="embeddings/oleObject752.bin"/><Relationship Id="rId1681" Type="http://schemas.openxmlformats.org/officeDocument/2006/relationships/fontTable" Target="fontTable.xml"/><Relationship Id="rId276" Type="http://schemas.openxmlformats.org/officeDocument/2006/relationships/image" Target="media/image132.wmf"/><Relationship Id="rId483" Type="http://schemas.openxmlformats.org/officeDocument/2006/relationships/image" Target="media/image243.wmf"/><Relationship Id="rId690" Type="http://schemas.openxmlformats.org/officeDocument/2006/relationships/oleObject" Target="embeddings/oleObject354.bin"/><Relationship Id="rId704" Type="http://schemas.openxmlformats.org/officeDocument/2006/relationships/oleObject" Target="embeddings/oleObject361.bin"/><Relationship Id="rId911" Type="http://schemas.openxmlformats.org/officeDocument/2006/relationships/image" Target="media/image469.wmf"/><Relationship Id="rId1127" Type="http://schemas.openxmlformats.org/officeDocument/2006/relationships/image" Target="media/image583.wmf"/><Relationship Id="rId1334" Type="http://schemas.openxmlformats.org/officeDocument/2006/relationships/oleObject" Target="embeddings/oleObject682.bin"/><Relationship Id="rId1541" Type="http://schemas.openxmlformats.org/officeDocument/2006/relationships/image" Target="media/image797.wmf"/><Relationship Id="rId40" Type="http://schemas.openxmlformats.org/officeDocument/2006/relationships/image" Target="media/image14.wmf"/><Relationship Id="rId136" Type="http://schemas.openxmlformats.org/officeDocument/2006/relationships/image" Target="media/image62.wmf"/><Relationship Id="rId343" Type="http://schemas.openxmlformats.org/officeDocument/2006/relationships/image" Target="media/image166.wmf"/><Relationship Id="rId550" Type="http://schemas.openxmlformats.org/officeDocument/2006/relationships/oleObject" Target="embeddings/oleObject284.bin"/><Relationship Id="rId788" Type="http://schemas.openxmlformats.org/officeDocument/2006/relationships/oleObject" Target="embeddings/oleObject403.bin"/><Relationship Id="rId995" Type="http://schemas.openxmlformats.org/officeDocument/2006/relationships/image" Target="media/image511.wmf"/><Relationship Id="rId1180" Type="http://schemas.openxmlformats.org/officeDocument/2006/relationships/oleObject" Target="embeddings/oleObject605.bin"/><Relationship Id="rId1401" Type="http://schemas.openxmlformats.org/officeDocument/2006/relationships/image" Target="media/image722.wmf"/><Relationship Id="rId1639" Type="http://schemas.openxmlformats.org/officeDocument/2006/relationships/image" Target="media/image846.wmf"/><Relationship Id="rId203" Type="http://schemas.openxmlformats.org/officeDocument/2006/relationships/oleObject" Target="embeddings/oleObject92.bin"/><Relationship Id="rId648" Type="http://schemas.openxmlformats.org/officeDocument/2006/relationships/oleObject" Target="embeddings/oleObject333.bin"/><Relationship Id="rId855" Type="http://schemas.openxmlformats.org/officeDocument/2006/relationships/image" Target="media/image441.wmf"/><Relationship Id="rId1040" Type="http://schemas.openxmlformats.org/officeDocument/2006/relationships/oleObject" Target="embeddings/oleObject526.bin"/><Relationship Id="rId1278" Type="http://schemas.openxmlformats.org/officeDocument/2006/relationships/oleObject" Target="embeddings/oleObject654.bin"/><Relationship Id="rId1485" Type="http://schemas.openxmlformats.org/officeDocument/2006/relationships/image" Target="media/image769.wmf"/><Relationship Id="rId287" Type="http://schemas.openxmlformats.org/officeDocument/2006/relationships/oleObject" Target="embeddings/oleObject134.bin"/><Relationship Id="rId410" Type="http://schemas.openxmlformats.org/officeDocument/2006/relationships/oleObject" Target="embeddings/oleObject195.bin"/><Relationship Id="rId494" Type="http://schemas.openxmlformats.org/officeDocument/2006/relationships/oleObject" Target="embeddings/oleObject244.bin"/><Relationship Id="rId508" Type="http://schemas.openxmlformats.org/officeDocument/2006/relationships/oleObject" Target="embeddings/oleObject263.bin"/><Relationship Id="rId715" Type="http://schemas.openxmlformats.org/officeDocument/2006/relationships/image" Target="media/image371.wmf"/><Relationship Id="rId922" Type="http://schemas.openxmlformats.org/officeDocument/2006/relationships/oleObject" Target="embeddings/oleObject470.bin"/><Relationship Id="rId1138" Type="http://schemas.openxmlformats.org/officeDocument/2006/relationships/oleObject" Target="embeddings/oleObject584.bin"/><Relationship Id="rId1345" Type="http://schemas.openxmlformats.org/officeDocument/2006/relationships/image" Target="media/image692.wmf"/><Relationship Id="rId1552" Type="http://schemas.openxmlformats.org/officeDocument/2006/relationships/oleObject" Target="embeddings/oleObject791.bin"/><Relationship Id="rId147" Type="http://schemas.openxmlformats.org/officeDocument/2006/relationships/oleObject" Target="embeddings/oleObject64.bin"/><Relationship Id="rId354" Type="http://schemas.openxmlformats.org/officeDocument/2006/relationships/oleObject" Target="embeddings/oleObject167.bin"/><Relationship Id="rId799" Type="http://schemas.openxmlformats.org/officeDocument/2006/relationships/image" Target="media/image413.wmf"/><Relationship Id="rId1191" Type="http://schemas.openxmlformats.org/officeDocument/2006/relationships/image" Target="media/image615.wmf"/><Relationship Id="rId1205" Type="http://schemas.openxmlformats.org/officeDocument/2006/relationships/image" Target="media/image622.wmf"/><Relationship Id="rId51" Type="http://schemas.openxmlformats.org/officeDocument/2006/relationships/oleObject" Target="embeddings/oleObject16.bin"/><Relationship Id="rId561" Type="http://schemas.openxmlformats.org/officeDocument/2006/relationships/image" Target="media/image294.wmf"/><Relationship Id="rId659" Type="http://schemas.openxmlformats.org/officeDocument/2006/relationships/image" Target="media/image343.wmf"/><Relationship Id="rId866" Type="http://schemas.openxmlformats.org/officeDocument/2006/relationships/oleObject" Target="embeddings/oleObject442.bin"/><Relationship Id="rId1289" Type="http://schemas.openxmlformats.org/officeDocument/2006/relationships/image" Target="media/image664.wmf"/><Relationship Id="rId1412" Type="http://schemas.openxmlformats.org/officeDocument/2006/relationships/footer" Target="footer12.xml"/><Relationship Id="rId1496" Type="http://schemas.openxmlformats.org/officeDocument/2006/relationships/oleObject" Target="embeddings/oleObject763.bin"/><Relationship Id="rId214" Type="http://schemas.openxmlformats.org/officeDocument/2006/relationships/image" Target="media/image101.wmf"/><Relationship Id="rId298" Type="http://schemas.openxmlformats.org/officeDocument/2006/relationships/image" Target="media/image143.wmf"/><Relationship Id="rId421" Type="http://schemas.openxmlformats.org/officeDocument/2006/relationships/image" Target="media/image205.wmf"/><Relationship Id="rId519" Type="http://schemas.openxmlformats.org/officeDocument/2006/relationships/image" Target="media/image273.wmf"/><Relationship Id="rId1051" Type="http://schemas.openxmlformats.org/officeDocument/2006/relationships/image" Target="media/image536.wmf"/><Relationship Id="rId1149" Type="http://schemas.openxmlformats.org/officeDocument/2006/relationships/image" Target="media/image594.wmf"/><Relationship Id="rId1356" Type="http://schemas.openxmlformats.org/officeDocument/2006/relationships/oleObject" Target="embeddings/oleObject695.bin"/><Relationship Id="rId158" Type="http://schemas.openxmlformats.org/officeDocument/2006/relationships/image" Target="media/image73.wmf"/><Relationship Id="rId726" Type="http://schemas.openxmlformats.org/officeDocument/2006/relationships/oleObject" Target="embeddings/oleObject372.bin"/><Relationship Id="rId933" Type="http://schemas.openxmlformats.org/officeDocument/2006/relationships/image" Target="media/image480.wmf"/><Relationship Id="rId1009" Type="http://schemas.openxmlformats.org/officeDocument/2006/relationships/header" Target="header4.xml"/><Relationship Id="rId1563" Type="http://schemas.openxmlformats.org/officeDocument/2006/relationships/image" Target="media/image808.wmf"/><Relationship Id="rId62" Type="http://schemas.openxmlformats.org/officeDocument/2006/relationships/image" Target="media/image25.wmf"/><Relationship Id="rId365" Type="http://schemas.openxmlformats.org/officeDocument/2006/relationships/image" Target="media/image177.wmf"/><Relationship Id="rId572" Type="http://schemas.openxmlformats.org/officeDocument/2006/relationships/oleObject" Target="embeddings/oleObject295.bin"/><Relationship Id="rId1216" Type="http://schemas.openxmlformats.org/officeDocument/2006/relationships/oleObject" Target="embeddings/oleObject623.bin"/><Relationship Id="rId1423" Type="http://schemas.openxmlformats.org/officeDocument/2006/relationships/oleObject" Target="embeddings/oleObject725.bin"/><Relationship Id="rId1630" Type="http://schemas.openxmlformats.org/officeDocument/2006/relationships/oleObject" Target="embeddings/oleObject830.bin"/><Relationship Id="rId225" Type="http://schemas.openxmlformats.org/officeDocument/2006/relationships/oleObject" Target="embeddings/oleObject103.bin"/><Relationship Id="rId432" Type="http://schemas.openxmlformats.org/officeDocument/2006/relationships/oleObject" Target="embeddings/oleObject213.bin"/><Relationship Id="rId877" Type="http://schemas.openxmlformats.org/officeDocument/2006/relationships/image" Target="media/image452.wmf"/><Relationship Id="rId1062" Type="http://schemas.openxmlformats.org/officeDocument/2006/relationships/oleObject" Target="embeddings/oleObject537.bin"/><Relationship Id="rId737" Type="http://schemas.openxmlformats.org/officeDocument/2006/relationships/image" Target="media/image382.wmf"/><Relationship Id="rId944" Type="http://schemas.openxmlformats.org/officeDocument/2006/relationships/oleObject" Target="embeddings/oleObject481.bin"/><Relationship Id="rId1367" Type="http://schemas.openxmlformats.org/officeDocument/2006/relationships/image" Target="media/image705.wmf"/><Relationship Id="rId1574" Type="http://schemas.openxmlformats.org/officeDocument/2006/relationships/oleObject" Target="embeddings/oleObject802.bin"/><Relationship Id="rId73" Type="http://schemas.openxmlformats.org/officeDocument/2006/relationships/oleObject" Target="embeddings/oleObject27.bin"/><Relationship Id="rId169" Type="http://schemas.openxmlformats.org/officeDocument/2006/relationships/oleObject" Target="embeddings/oleObject75.bin"/><Relationship Id="rId376" Type="http://schemas.openxmlformats.org/officeDocument/2006/relationships/oleObject" Target="embeddings/oleObject178.bin"/><Relationship Id="rId583" Type="http://schemas.openxmlformats.org/officeDocument/2006/relationships/image" Target="media/image305.wmf"/><Relationship Id="rId790" Type="http://schemas.openxmlformats.org/officeDocument/2006/relationships/oleObject" Target="embeddings/oleObject404.bin"/><Relationship Id="rId804" Type="http://schemas.openxmlformats.org/officeDocument/2006/relationships/oleObject" Target="embeddings/oleObject411.bin"/><Relationship Id="rId1227" Type="http://schemas.openxmlformats.org/officeDocument/2006/relationships/image" Target="media/image633.wmf"/><Relationship Id="rId1434" Type="http://schemas.openxmlformats.org/officeDocument/2006/relationships/footer" Target="footer15.xml"/><Relationship Id="rId1641" Type="http://schemas.openxmlformats.org/officeDocument/2006/relationships/image" Target="media/image847.wmf"/><Relationship Id="rId4" Type="http://schemas.openxmlformats.org/officeDocument/2006/relationships/webSettings" Target="webSettings.xml"/><Relationship Id="rId236" Type="http://schemas.openxmlformats.org/officeDocument/2006/relationships/image" Target="media/image112.wmf"/><Relationship Id="rId443" Type="http://schemas.openxmlformats.org/officeDocument/2006/relationships/image" Target="media/image223.wmf"/><Relationship Id="rId650" Type="http://schemas.openxmlformats.org/officeDocument/2006/relationships/oleObject" Target="embeddings/oleObject334.bin"/><Relationship Id="rId888" Type="http://schemas.openxmlformats.org/officeDocument/2006/relationships/oleObject" Target="embeddings/oleObject453.bin"/><Relationship Id="rId1073" Type="http://schemas.openxmlformats.org/officeDocument/2006/relationships/image" Target="media/image556.wmf"/><Relationship Id="rId1280" Type="http://schemas.openxmlformats.org/officeDocument/2006/relationships/oleObject" Target="embeddings/oleObject655.bin"/><Relationship Id="rId1501" Type="http://schemas.openxmlformats.org/officeDocument/2006/relationships/image" Target="media/image777.wmf"/><Relationship Id="rId303" Type="http://schemas.openxmlformats.org/officeDocument/2006/relationships/oleObject" Target="embeddings/oleObject142.bin"/><Relationship Id="rId748" Type="http://schemas.openxmlformats.org/officeDocument/2006/relationships/oleObject" Target="embeddings/oleObject383.bin"/><Relationship Id="rId955" Type="http://schemas.openxmlformats.org/officeDocument/2006/relationships/image" Target="media/image491.wmf"/><Relationship Id="rId1140" Type="http://schemas.openxmlformats.org/officeDocument/2006/relationships/oleObject" Target="embeddings/oleObject585.bin"/><Relationship Id="rId1378" Type="http://schemas.openxmlformats.org/officeDocument/2006/relationships/oleObject" Target="embeddings/oleObject706.bin"/><Relationship Id="rId1585" Type="http://schemas.openxmlformats.org/officeDocument/2006/relationships/image" Target="media/image819.wmf"/><Relationship Id="rId84" Type="http://schemas.openxmlformats.org/officeDocument/2006/relationships/image" Target="media/image36.wmf"/><Relationship Id="rId387" Type="http://schemas.openxmlformats.org/officeDocument/2006/relationships/image" Target="media/image188.wmf"/><Relationship Id="rId510" Type="http://schemas.openxmlformats.org/officeDocument/2006/relationships/oleObject" Target="embeddings/oleObject264.bin"/><Relationship Id="rId594" Type="http://schemas.openxmlformats.org/officeDocument/2006/relationships/oleObject" Target="embeddings/oleObject306.bin"/><Relationship Id="rId608" Type="http://schemas.openxmlformats.org/officeDocument/2006/relationships/oleObject" Target="embeddings/oleObject313.bin"/><Relationship Id="rId815" Type="http://schemas.openxmlformats.org/officeDocument/2006/relationships/image" Target="media/image421.wmf"/><Relationship Id="rId1238" Type="http://schemas.openxmlformats.org/officeDocument/2006/relationships/oleObject" Target="embeddings/oleObject634.bin"/><Relationship Id="rId1445" Type="http://schemas.openxmlformats.org/officeDocument/2006/relationships/image" Target="media/image749.wmf"/><Relationship Id="rId1652" Type="http://schemas.openxmlformats.org/officeDocument/2006/relationships/oleObject" Target="embeddings/oleObject841.bin"/><Relationship Id="rId247" Type="http://schemas.openxmlformats.org/officeDocument/2006/relationships/oleObject" Target="embeddings/oleObject114.bin"/><Relationship Id="rId899" Type="http://schemas.openxmlformats.org/officeDocument/2006/relationships/image" Target="media/image463.wmf"/><Relationship Id="rId1000" Type="http://schemas.openxmlformats.org/officeDocument/2006/relationships/oleObject" Target="embeddings/oleObject509.bin"/><Relationship Id="rId1084" Type="http://schemas.openxmlformats.org/officeDocument/2006/relationships/oleObject" Target="embeddings/oleObject557.bin"/><Relationship Id="rId1305" Type="http://schemas.openxmlformats.org/officeDocument/2006/relationships/image" Target="media/image672.wmf"/><Relationship Id="rId107" Type="http://schemas.openxmlformats.org/officeDocument/2006/relationships/oleObject" Target="embeddings/oleObject44.bin"/><Relationship Id="rId454" Type="http://schemas.openxmlformats.org/officeDocument/2006/relationships/oleObject" Target="embeddings/oleObject224.bin"/><Relationship Id="rId661" Type="http://schemas.openxmlformats.org/officeDocument/2006/relationships/image" Target="media/image344.wmf"/><Relationship Id="rId759" Type="http://schemas.openxmlformats.org/officeDocument/2006/relationships/image" Target="media/image393.wmf"/><Relationship Id="rId966" Type="http://schemas.openxmlformats.org/officeDocument/2006/relationships/oleObject" Target="embeddings/oleObject492.bin"/><Relationship Id="rId1291" Type="http://schemas.openxmlformats.org/officeDocument/2006/relationships/image" Target="media/image665.wmf"/><Relationship Id="rId1389" Type="http://schemas.openxmlformats.org/officeDocument/2006/relationships/image" Target="media/image716.wmf"/><Relationship Id="rId1512" Type="http://schemas.openxmlformats.org/officeDocument/2006/relationships/oleObject" Target="embeddings/oleObject771.bin"/><Relationship Id="rId1596" Type="http://schemas.openxmlformats.org/officeDocument/2006/relationships/oleObject" Target="embeddings/oleObject813.bin"/><Relationship Id="rId11" Type="http://schemas.openxmlformats.org/officeDocument/2006/relationships/footer" Target="footer3.xml"/><Relationship Id="rId314" Type="http://schemas.openxmlformats.org/officeDocument/2006/relationships/image" Target="media/image151.wmf"/><Relationship Id="rId398" Type="http://schemas.openxmlformats.org/officeDocument/2006/relationships/oleObject" Target="embeddings/oleObject189.bin"/><Relationship Id="rId521" Type="http://schemas.openxmlformats.org/officeDocument/2006/relationships/image" Target="media/image274.wmf"/><Relationship Id="rId619" Type="http://schemas.openxmlformats.org/officeDocument/2006/relationships/image" Target="media/image323.wmf"/><Relationship Id="rId1151" Type="http://schemas.openxmlformats.org/officeDocument/2006/relationships/image" Target="media/image595.wmf"/><Relationship Id="rId1249" Type="http://schemas.openxmlformats.org/officeDocument/2006/relationships/image" Target="media/image644.wmf"/><Relationship Id="rId95" Type="http://schemas.openxmlformats.org/officeDocument/2006/relationships/oleObject" Target="embeddings/oleObject38.bin"/><Relationship Id="rId160" Type="http://schemas.openxmlformats.org/officeDocument/2006/relationships/image" Target="media/image74.wmf"/><Relationship Id="rId826" Type="http://schemas.openxmlformats.org/officeDocument/2006/relationships/oleObject" Target="embeddings/oleObject422.bin"/><Relationship Id="rId1011" Type="http://schemas.openxmlformats.org/officeDocument/2006/relationships/footer" Target="footer8.xml"/><Relationship Id="rId1109" Type="http://schemas.openxmlformats.org/officeDocument/2006/relationships/image" Target="media/image574.wmf"/><Relationship Id="rId1456" Type="http://schemas.openxmlformats.org/officeDocument/2006/relationships/oleObject" Target="embeddings/oleObject743.bin"/><Relationship Id="rId1663" Type="http://schemas.openxmlformats.org/officeDocument/2006/relationships/header" Target="header13.xml"/><Relationship Id="rId258" Type="http://schemas.openxmlformats.org/officeDocument/2006/relationships/image" Target="media/image123.wmf"/><Relationship Id="rId465" Type="http://schemas.openxmlformats.org/officeDocument/2006/relationships/image" Target="media/image234.wmf"/><Relationship Id="rId672" Type="http://schemas.openxmlformats.org/officeDocument/2006/relationships/oleObject" Target="embeddings/oleObject345.bin"/><Relationship Id="rId1095" Type="http://schemas.openxmlformats.org/officeDocument/2006/relationships/image" Target="media/image567.wmf"/><Relationship Id="rId1316" Type="http://schemas.openxmlformats.org/officeDocument/2006/relationships/oleObject" Target="embeddings/oleObject673.bin"/><Relationship Id="rId1523" Type="http://schemas.openxmlformats.org/officeDocument/2006/relationships/image" Target="media/image788.wmf"/><Relationship Id="rId22" Type="http://schemas.openxmlformats.org/officeDocument/2006/relationships/oleObject" Target="embeddings/oleObject2.bin"/><Relationship Id="rId118" Type="http://schemas.openxmlformats.org/officeDocument/2006/relationships/image" Target="media/image53.wmf"/><Relationship Id="rId325" Type="http://schemas.openxmlformats.org/officeDocument/2006/relationships/oleObject" Target="embeddings/oleObject153.bin"/><Relationship Id="rId532" Type="http://schemas.openxmlformats.org/officeDocument/2006/relationships/oleObject" Target="embeddings/oleObject275.bin"/><Relationship Id="rId977" Type="http://schemas.openxmlformats.org/officeDocument/2006/relationships/image" Target="media/image502.wmf"/><Relationship Id="rId1162" Type="http://schemas.openxmlformats.org/officeDocument/2006/relationships/oleObject" Target="embeddings/oleObject596.bin"/><Relationship Id="rId171" Type="http://schemas.openxmlformats.org/officeDocument/2006/relationships/oleObject" Target="embeddings/oleObject76.bin"/><Relationship Id="rId837" Type="http://schemas.openxmlformats.org/officeDocument/2006/relationships/image" Target="media/image432.wmf"/><Relationship Id="rId1022" Type="http://schemas.openxmlformats.org/officeDocument/2006/relationships/oleObject" Target="embeddings/oleObject517.bin"/><Relationship Id="rId1467" Type="http://schemas.openxmlformats.org/officeDocument/2006/relationships/image" Target="media/image760.wmf"/><Relationship Id="rId1674" Type="http://schemas.openxmlformats.org/officeDocument/2006/relationships/footer" Target="footer21.xml"/><Relationship Id="rId269" Type="http://schemas.openxmlformats.org/officeDocument/2006/relationships/oleObject" Target="embeddings/oleObject125.bin"/><Relationship Id="rId476" Type="http://schemas.openxmlformats.org/officeDocument/2006/relationships/oleObject" Target="embeddings/oleObject235.bin"/><Relationship Id="rId683" Type="http://schemas.openxmlformats.org/officeDocument/2006/relationships/image" Target="media/image355.wmf"/><Relationship Id="rId890" Type="http://schemas.openxmlformats.org/officeDocument/2006/relationships/oleObject" Target="embeddings/oleObject454.bin"/><Relationship Id="rId904" Type="http://schemas.openxmlformats.org/officeDocument/2006/relationships/oleObject" Target="embeddings/oleObject461.bin"/><Relationship Id="rId1327" Type="http://schemas.openxmlformats.org/officeDocument/2006/relationships/image" Target="media/image683.wmf"/><Relationship Id="rId1534" Type="http://schemas.openxmlformats.org/officeDocument/2006/relationships/oleObject" Target="embeddings/oleObject782.bin"/><Relationship Id="rId33" Type="http://schemas.openxmlformats.org/officeDocument/2006/relationships/image" Target="media/image10.wmf"/><Relationship Id="rId129" Type="http://schemas.openxmlformats.org/officeDocument/2006/relationships/oleObject" Target="embeddings/oleObject55.bin"/><Relationship Id="rId336" Type="http://schemas.openxmlformats.org/officeDocument/2006/relationships/image" Target="media/image162.wmf"/><Relationship Id="rId543" Type="http://schemas.openxmlformats.org/officeDocument/2006/relationships/image" Target="media/image285.wmf"/><Relationship Id="rId988" Type="http://schemas.openxmlformats.org/officeDocument/2006/relationships/oleObject" Target="embeddings/oleObject503.bin"/><Relationship Id="rId1173" Type="http://schemas.openxmlformats.org/officeDocument/2006/relationships/image" Target="media/image606.wmf"/><Relationship Id="rId1380" Type="http://schemas.openxmlformats.org/officeDocument/2006/relationships/oleObject" Target="embeddings/oleObject707.bin"/><Relationship Id="rId1601" Type="http://schemas.openxmlformats.org/officeDocument/2006/relationships/image" Target="media/image827.wmf"/><Relationship Id="rId182" Type="http://schemas.openxmlformats.org/officeDocument/2006/relationships/image" Target="media/image85.wmf"/><Relationship Id="rId403" Type="http://schemas.openxmlformats.org/officeDocument/2006/relationships/image" Target="media/image196.wmf"/><Relationship Id="rId750" Type="http://schemas.openxmlformats.org/officeDocument/2006/relationships/oleObject" Target="embeddings/oleObject384.bin"/><Relationship Id="rId848" Type="http://schemas.openxmlformats.org/officeDocument/2006/relationships/oleObject" Target="embeddings/oleObject433.bin"/><Relationship Id="rId1033" Type="http://schemas.openxmlformats.org/officeDocument/2006/relationships/image" Target="media/image527.wmf"/><Relationship Id="rId1478" Type="http://schemas.openxmlformats.org/officeDocument/2006/relationships/oleObject" Target="embeddings/oleObject754.bin"/><Relationship Id="rId487" Type="http://schemas.openxmlformats.org/officeDocument/2006/relationships/image" Target="media/image245.wmf"/><Relationship Id="rId610" Type="http://schemas.openxmlformats.org/officeDocument/2006/relationships/oleObject" Target="embeddings/oleObject314.bin"/><Relationship Id="rId694" Type="http://schemas.openxmlformats.org/officeDocument/2006/relationships/oleObject" Target="embeddings/oleObject356.bin"/><Relationship Id="rId708" Type="http://schemas.openxmlformats.org/officeDocument/2006/relationships/oleObject" Target="embeddings/oleObject363.bin"/><Relationship Id="rId915" Type="http://schemas.openxmlformats.org/officeDocument/2006/relationships/image" Target="media/image471.wmf"/><Relationship Id="rId1240" Type="http://schemas.openxmlformats.org/officeDocument/2006/relationships/oleObject" Target="embeddings/oleObject635.bin"/><Relationship Id="rId1338" Type="http://schemas.openxmlformats.org/officeDocument/2006/relationships/oleObject" Target="embeddings/oleObject684.bin"/><Relationship Id="rId1545" Type="http://schemas.openxmlformats.org/officeDocument/2006/relationships/image" Target="media/image799.wmf"/><Relationship Id="rId347" Type="http://schemas.openxmlformats.org/officeDocument/2006/relationships/image" Target="media/image168.wmf"/><Relationship Id="rId999" Type="http://schemas.openxmlformats.org/officeDocument/2006/relationships/image" Target="media/image513.wmf"/><Relationship Id="rId1100" Type="http://schemas.openxmlformats.org/officeDocument/2006/relationships/oleObject" Target="embeddings/oleObject565.bin"/><Relationship Id="rId1184" Type="http://schemas.openxmlformats.org/officeDocument/2006/relationships/oleObject" Target="embeddings/oleObject607.bin"/><Relationship Id="rId1405" Type="http://schemas.openxmlformats.org/officeDocument/2006/relationships/image" Target="media/image724.wmf"/><Relationship Id="rId44" Type="http://schemas.openxmlformats.org/officeDocument/2006/relationships/image" Target="media/image16.wmf"/><Relationship Id="rId554" Type="http://schemas.openxmlformats.org/officeDocument/2006/relationships/oleObject" Target="embeddings/oleObject286.bin"/><Relationship Id="rId761" Type="http://schemas.openxmlformats.org/officeDocument/2006/relationships/image" Target="media/image394.wmf"/><Relationship Id="rId859" Type="http://schemas.openxmlformats.org/officeDocument/2006/relationships/image" Target="media/image443.wmf"/><Relationship Id="rId1391" Type="http://schemas.openxmlformats.org/officeDocument/2006/relationships/image" Target="media/image717.wmf"/><Relationship Id="rId1489" Type="http://schemas.openxmlformats.org/officeDocument/2006/relationships/image" Target="media/image771.wmf"/><Relationship Id="rId1612" Type="http://schemas.openxmlformats.org/officeDocument/2006/relationships/oleObject" Target="embeddings/oleObject821.bin"/><Relationship Id="rId193" Type="http://schemas.openxmlformats.org/officeDocument/2006/relationships/oleObject" Target="embeddings/oleObject87.bin"/><Relationship Id="rId207" Type="http://schemas.openxmlformats.org/officeDocument/2006/relationships/oleObject" Target="embeddings/oleObject94.bin"/><Relationship Id="rId414" Type="http://schemas.openxmlformats.org/officeDocument/2006/relationships/oleObject" Target="embeddings/oleObject197.bin"/><Relationship Id="rId498" Type="http://schemas.openxmlformats.org/officeDocument/2006/relationships/oleObject" Target="embeddings/oleObject258.bin"/><Relationship Id="rId621" Type="http://schemas.openxmlformats.org/officeDocument/2006/relationships/image" Target="media/image324.wmf"/><Relationship Id="rId1044" Type="http://schemas.openxmlformats.org/officeDocument/2006/relationships/oleObject" Target="embeddings/oleObject528.bin"/><Relationship Id="rId1251" Type="http://schemas.openxmlformats.org/officeDocument/2006/relationships/image" Target="media/image645.wmf"/><Relationship Id="rId1349" Type="http://schemas.openxmlformats.org/officeDocument/2006/relationships/image" Target="media/image696.wmf"/><Relationship Id="rId260" Type="http://schemas.openxmlformats.org/officeDocument/2006/relationships/image" Target="media/image124.wmf"/><Relationship Id="rId719" Type="http://schemas.openxmlformats.org/officeDocument/2006/relationships/image" Target="media/image373.wmf"/><Relationship Id="rId926" Type="http://schemas.openxmlformats.org/officeDocument/2006/relationships/oleObject" Target="embeddings/oleObject472.bin"/><Relationship Id="rId1111" Type="http://schemas.openxmlformats.org/officeDocument/2006/relationships/image" Target="media/image575.wmf"/><Relationship Id="rId1556" Type="http://schemas.openxmlformats.org/officeDocument/2006/relationships/oleObject" Target="embeddings/oleObject793.bin"/><Relationship Id="rId55" Type="http://schemas.openxmlformats.org/officeDocument/2006/relationships/oleObject" Target="embeddings/oleObject18.bin"/><Relationship Id="rId120" Type="http://schemas.openxmlformats.org/officeDocument/2006/relationships/image" Target="media/image54.wmf"/><Relationship Id="rId358" Type="http://schemas.openxmlformats.org/officeDocument/2006/relationships/oleObject" Target="embeddings/oleObject169.bin"/><Relationship Id="rId565" Type="http://schemas.openxmlformats.org/officeDocument/2006/relationships/image" Target="media/image296.wmf"/><Relationship Id="rId772" Type="http://schemas.openxmlformats.org/officeDocument/2006/relationships/oleObject" Target="embeddings/oleObject395.bin"/><Relationship Id="rId1195" Type="http://schemas.openxmlformats.org/officeDocument/2006/relationships/image" Target="media/image617.wmf"/><Relationship Id="rId1209" Type="http://schemas.openxmlformats.org/officeDocument/2006/relationships/image" Target="media/image624.wmf"/><Relationship Id="rId1416" Type="http://schemas.openxmlformats.org/officeDocument/2006/relationships/oleObject" Target="embeddings/oleObject723.bin"/><Relationship Id="rId1623" Type="http://schemas.openxmlformats.org/officeDocument/2006/relationships/image" Target="media/image838.wmf"/><Relationship Id="rId218" Type="http://schemas.openxmlformats.org/officeDocument/2006/relationships/image" Target="media/image103.wmf"/><Relationship Id="rId425" Type="http://schemas.openxmlformats.org/officeDocument/2006/relationships/image" Target="media/image207.wmf"/><Relationship Id="rId632" Type="http://schemas.openxmlformats.org/officeDocument/2006/relationships/oleObject" Target="embeddings/oleObject325.bin"/><Relationship Id="rId1055" Type="http://schemas.openxmlformats.org/officeDocument/2006/relationships/image" Target="media/image538.wmf"/><Relationship Id="rId1262" Type="http://schemas.openxmlformats.org/officeDocument/2006/relationships/oleObject" Target="embeddings/oleObject646.bin"/><Relationship Id="rId271" Type="http://schemas.openxmlformats.org/officeDocument/2006/relationships/oleObject" Target="embeddings/oleObject126.bin"/><Relationship Id="rId937" Type="http://schemas.openxmlformats.org/officeDocument/2006/relationships/image" Target="media/image482.wmf"/><Relationship Id="rId1122" Type="http://schemas.openxmlformats.org/officeDocument/2006/relationships/oleObject" Target="embeddings/oleObject576.bin"/><Relationship Id="rId1567" Type="http://schemas.openxmlformats.org/officeDocument/2006/relationships/image" Target="media/image810.wmf"/><Relationship Id="rId66" Type="http://schemas.openxmlformats.org/officeDocument/2006/relationships/image" Target="media/image27.wmf"/><Relationship Id="rId131" Type="http://schemas.openxmlformats.org/officeDocument/2006/relationships/oleObject" Target="embeddings/oleObject56.bin"/><Relationship Id="rId369" Type="http://schemas.openxmlformats.org/officeDocument/2006/relationships/image" Target="media/image179.wmf"/><Relationship Id="rId576" Type="http://schemas.openxmlformats.org/officeDocument/2006/relationships/oleObject" Target="embeddings/oleObject297.bin"/><Relationship Id="rId783" Type="http://schemas.openxmlformats.org/officeDocument/2006/relationships/image" Target="media/image405.wmf"/><Relationship Id="rId990" Type="http://schemas.openxmlformats.org/officeDocument/2006/relationships/oleObject" Target="embeddings/oleObject504.bin"/><Relationship Id="rId1427" Type="http://schemas.openxmlformats.org/officeDocument/2006/relationships/image" Target="media/image738.png"/><Relationship Id="rId1634" Type="http://schemas.openxmlformats.org/officeDocument/2006/relationships/oleObject" Target="embeddings/oleObject832.bin"/><Relationship Id="rId229" Type="http://schemas.openxmlformats.org/officeDocument/2006/relationships/oleObject" Target="embeddings/oleObject105.bin"/><Relationship Id="rId436" Type="http://schemas.openxmlformats.org/officeDocument/2006/relationships/oleObject" Target="embeddings/oleObject215.bin"/><Relationship Id="rId643" Type="http://schemas.openxmlformats.org/officeDocument/2006/relationships/image" Target="media/image335.wmf"/><Relationship Id="rId1066" Type="http://schemas.openxmlformats.org/officeDocument/2006/relationships/oleObject" Target="embeddings/oleObject548.bin"/><Relationship Id="rId1273" Type="http://schemas.openxmlformats.org/officeDocument/2006/relationships/image" Target="media/image656.wmf"/><Relationship Id="rId1480" Type="http://schemas.openxmlformats.org/officeDocument/2006/relationships/oleObject" Target="embeddings/oleObject755.bin"/><Relationship Id="rId850" Type="http://schemas.openxmlformats.org/officeDocument/2006/relationships/oleObject" Target="embeddings/oleObject434.bin"/><Relationship Id="rId948" Type="http://schemas.openxmlformats.org/officeDocument/2006/relationships/oleObject" Target="embeddings/oleObject483.bin"/><Relationship Id="rId1133" Type="http://schemas.openxmlformats.org/officeDocument/2006/relationships/image" Target="media/image586.wmf"/><Relationship Id="rId1578" Type="http://schemas.openxmlformats.org/officeDocument/2006/relationships/oleObject" Target="embeddings/oleObject804.bin"/><Relationship Id="rId77" Type="http://schemas.openxmlformats.org/officeDocument/2006/relationships/oleObject" Target="embeddings/oleObject29.bin"/><Relationship Id="rId282" Type="http://schemas.openxmlformats.org/officeDocument/2006/relationships/image" Target="media/image135.wmf"/><Relationship Id="rId503" Type="http://schemas.openxmlformats.org/officeDocument/2006/relationships/image" Target="media/image265.wmf"/><Relationship Id="rId587" Type="http://schemas.openxmlformats.org/officeDocument/2006/relationships/image" Target="media/image307.wmf"/><Relationship Id="rId710" Type="http://schemas.openxmlformats.org/officeDocument/2006/relationships/oleObject" Target="embeddings/oleObject364.bin"/><Relationship Id="rId808" Type="http://schemas.openxmlformats.org/officeDocument/2006/relationships/oleObject" Target="embeddings/oleObject413.bin"/><Relationship Id="rId1340" Type="http://schemas.openxmlformats.org/officeDocument/2006/relationships/oleObject" Target="embeddings/oleObject685.bin"/><Relationship Id="rId1438" Type="http://schemas.openxmlformats.org/officeDocument/2006/relationships/oleObject" Target="embeddings/oleObject734.bin"/><Relationship Id="rId1645" Type="http://schemas.openxmlformats.org/officeDocument/2006/relationships/image" Target="media/image849.wmf"/><Relationship Id="rId8" Type="http://schemas.openxmlformats.org/officeDocument/2006/relationships/image" Target="media/image2.png"/><Relationship Id="rId142" Type="http://schemas.openxmlformats.org/officeDocument/2006/relationships/image" Target="media/image65.wmf"/><Relationship Id="rId447" Type="http://schemas.openxmlformats.org/officeDocument/2006/relationships/image" Target="media/image225.wmf"/><Relationship Id="rId794" Type="http://schemas.openxmlformats.org/officeDocument/2006/relationships/oleObject" Target="embeddings/oleObject406.bin"/><Relationship Id="rId1077" Type="http://schemas.openxmlformats.org/officeDocument/2006/relationships/image" Target="media/image558.wmf"/><Relationship Id="rId1200" Type="http://schemas.openxmlformats.org/officeDocument/2006/relationships/oleObject" Target="embeddings/oleObject615.bin"/><Relationship Id="rId654" Type="http://schemas.openxmlformats.org/officeDocument/2006/relationships/oleObject" Target="embeddings/oleObject336.bin"/><Relationship Id="rId861" Type="http://schemas.openxmlformats.org/officeDocument/2006/relationships/image" Target="media/image444.wmf"/><Relationship Id="rId959" Type="http://schemas.openxmlformats.org/officeDocument/2006/relationships/image" Target="media/image493.wmf"/><Relationship Id="rId1284" Type="http://schemas.openxmlformats.org/officeDocument/2006/relationships/oleObject" Target="embeddings/oleObject657.bin"/><Relationship Id="rId1491" Type="http://schemas.openxmlformats.org/officeDocument/2006/relationships/image" Target="media/image772.wmf"/><Relationship Id="rId1505" Type="http://schemas.openxmlformats.org/officeDocument/2006/relationships/image" Target="media/image779.wmf"/><Relationship Id="rId1589" Type="http://schemas.openxmlformats.org/officeDocument/2006/relationships/image" Target="media/image821.wmf"/><Relationship Id="rId293" Type="http://schemas.openxmlformats.org/officeDocument/2006/relationships/oleObject" Target="embeddings/oleObject137.bin"/><Relationship Id="rId307" Type="http://schemas.openxmlformats.org/officeDocument/2006/relationships/oleObject" Target="embeddings/oleObject144.bin"/><Relationship Id="rId514" Type="http://schemas.openxmlformats.org/officeDocument/2006/relationships/oleObject" Target="embeddings/oleObject266.bin"/><Relationship Id="rId721" Type="http://schemas.openxmlformats.org/officeDocument/2006/relationships/image" Target="media/image374.wmf"/><Relationship Id="rId1144" Type="http://schemas.openxmlformats.org/officeDocument/2006/relationships/oleObject" Target="embeddings/oleObject587.bin"/><Relationship Id="rId1351" Type="http://schemas.openxmlformats.org/officeDocument/2006/relationships/image" Target="media/image697.wmf"/><Relationship Id="rId1449" Type="http://schemas.openxmlformats.org/officeDocument/2006/relationships/image" Target="media/image751.wmf"/><Relationship Id="rId88" Type="http://schemas.openxmlformats.org/officeDocument/2006/relationships/image" Target="media/image38.wmf"/><Relationship Id="rId153" Type="http://schemas.openxmlformats.org/officeDocument/2006/relationships/oleObject" Target="embeddings/oleObject67.bin"/><Relationship Id="rId360" Type="http://schemas.openxmlformats.org/officeDocument/2006/relationships/oleObject" Target="embeddings/oleObject170.bin"/><Relationship Id="rId598" Type="http://schemas.openxmlformats.org/officeDocument/2006/relationships/oleObject" Target="embeddings/oleObject308.bin"/><Relationship Id="rId819" Type="http://schemas.openxmlformats.org/officeDocument/2006/relationships/image" Target="media/image423.wmf"/><Relationship Id="rId1004" Type="http://schemas.openxmlformats.org/officeDocument/2006/relationships/oleObject" Target="embeddings/oleObject511.bin"/><Relationship Id="rId1211" Type="http://schemas.openxmlformats.org/officeDocument/2006/relationships/image" Target="media/image625.wmf"/><Relationship Id="rId1656" Type="http://schemas.openxmlformats.org/officeDocument/2006/relationships/oleObject" Target="embeddings/oleObject843.bin"/><Relationship Id="rId220" Type="http://schemas.openxmlformats.org/officeDocument/2006/relationships/image" Target="media/image104.wmf"/><Relationship Id="rId458" Type="http://schemas.openxmlformats.org/officeDocument/2006/relationships/oleObject" Target="embeddings/oleObject226.bin"/><Relationship Id="rId665" Type="http://schemas.openxmlformats.org/officeDocument/2006/relationships/image" Target="media/image346.wmf"/><Relationship Id="rId872" Type="http://schemas.openxmlformats.org/officeDocument/2006/relationships/oleObject" Target="embeddings/oleObject445.bin"/><Relationship Id="rId1088" Type="http://schemas.openxmlformats.org/officeDocument/2006/relationships/oleObject" Target="embeddings/oleObject559.bin"/><Relationship Id="rId1295" Type="http://schemas.openxmlformats.org/officeDocument/2006/relationships/image" Target="media/image667.wmf"/><Relationship Id="rId1309" Type="http://schemas.openxmlformats.org/officeDocument/2006/relationships/image" Target="media/image674.wmf"/><Relationship Id="rId1516" Type="http://schemas.openxmlformats.org/officeDocument/2006/relationships/oleObject" Target="embeddings/oleObject773.bin"/><Relationship Id="rId15" Type="http://schemas.openxmlformats.org/officeDocument/2006/relationships/footer" Target="footer5.xml"/><Relationship Id="rId318" Type="http://schemas.openxmlformats.org/officeDocument/2006/relationships/image" Target="media/image153.wmf"/><Relationship Id="rId525" Type="http://schemas.openxmlformats.org/officeDocument/2006/relationships/image" Target="media/image276.wmf"/><Relationship Id="rId732" Type="http://schemas.openxmlformats.org/officeDocument/2006/relationships/oleObject" Target="embeddings/oleObject375.bin"/><Relationship Id="rId1155" Type="http://schemas.openxmlformats.org/officeDocument/2006/relationships/image" Target="media/image597.wmf"/><Relationship Id="rId1362" Type="http://schemas.openxmlformats.org/officeDocument/2006/relationships/oleObject" Target="embeddings/oleObject698.bin"/><Relationship Id="rId99" Type="http://schemas.openxmlformats.org/officeDocument/2006/relationships/oleObject" Target="embeddings/oleObject40.bin"/><Relationship Id="rId164" Type="http://schemas.openxmlformats.org/officeDocument/2006/relationships/image" Target="media/image76.wmf"/><Relationship Id="rId371" Type="http://schemas.openxmlformats.org/officeDocument/2006/relationships/image" Target="media/image180.wmf"/><Relationship Id="rId1015" Type="http://schemas.openxmlformats.org/officeDocument/2006/relationships/image" Target="media/image518.wmf"/><Relationship Id="rId1222" Type="http://schemas.openxmlformats.org/officeDocument/2006/relationships/oleObject" Target="embeddings/oleObject626.bin"/><Relationship Id="rId1667" Type="http://schemas.openxmlformats.org/officeDocument/2006/relationships/header" Target="header15.xml"/><Relationship Id="rId469" Type="http://schemas.openxmlformats.org/officeDocument/2006/relationships/image" Target="media/image236.wmf"/><Relationship Id="rId676" Type="http://schemas.openxmlformats.org/officeDocument/2006/relationships/oleObject" Target="embeddings/oleObject347.bin"/><Relationship Id="rId883" Type="http://schemas.openxmlformats.org/officeDocument/2006/relationships/image" Target="media/image455.wmf"/><Relationship Id="rId1099" Type="http://schemas.openxmlformats.org/officeDocument/2006/relationships/image" Target="media/image569.wmf"/><Relationship Id="rId1527" Type="http://schemas.openxmlformats.org/officeDocument/2006/relationships/image" Target="media/image790.wmf"/><Relationship Id="rId26" Type="http://schemas.openxmlformats.org/officeDocument/2006/relationships/oleObject" Target="embeddings/oleObject4.bin"/><Relationship Id="rId231" Type="http://schemas.openxmlformats.org/officeDocument/2006/relationships/oleObject" Target="embeddings/oleObject106.bin"/><Relationship Id="rId329" Type="http://schemas.openxmlformats.org/officeDocument/2006/relationships/oleObject" Target="embeddings/oleObject155.bin"/><Relationship Id="rId536" Type="http://schemas.openxmlformats.org/officeDocument/2006/relationships/oleObject" Target="embeddings/oleObject277.bin"/><Relationship Id="rId1166" Type="http://schemas.openxmlformats.org/officeDocument/2006/relationships/oleObject" Target="embeddings/oleObject598.bin"/><Relationship Id="rId1373" Type="http://schemas.openxmlformats.org/officeDocument/2006/relationships/image" Target="media/image708.wmf"/><Relationship Id="rId175" Type="http://schemas.openxmlformats.org/officeDocument/2006/relationships/oleObject" Target="embeddings/oleObject78.bin"/><Relationship Id="rId743" Type="http://schemas.openxmlformats.org/officeDocument/2006/relationships/image" Target="media/image385.wmf"/><Relationship Id="rId950" Type="http://schemas.openxmlformats.org/officeDocument/2006/relationships/oleObject" Target="embeddings/oleObject484.bin"/><Relationship Id="rId1026" Type="http://schemas.openxmlformats.org/officeDocument/2006/relationships/oleObject" Target="embeddings/oleObject519.bin"/><Relationship Id="rId1580" Type="http://schemas.openxmlformats.org/officeDocument/2006/relationships/oleObject" Target="embeddings/oleObject805.bin"/><Relationship Id="rId1678" Type="http://schemas.openxmlformats.org/officeDocument/2006/relationships/footer" Target="footer23.xml"/><Relationship Id="rId382" Type="http://schemas.openxmlformats.org/officeDocument/2006/relationships/oleObject" Target="embeddings/oleObject181.bin"/><Relationship Id="rId603" Type="http://schemas.openxmlformats.org/officeDocument/2006/relationships/image" Target="media/image315.wmf"/><Relationship Id="rId687" Type="http://schemas.openxmlformats.org/officeDocument/2006/relationships/image" Target="media/image357.wmf"/><Relationship Id="rId810" Type="http://schemas.openxmlformats.org/officeDocument/2006/relationships/oleObject" Target="embeddings/oleObject414.bin"/><Relationship Id="rId908" Type="http://schemas.openxmlformats.org/officeDocument/2006/relationships/oleObject" Target="embeddings/oleObject463.bin"/><Relationship Id="rId1233" Type="http://schemas.openxmlformats.org/officeDocument/2006/relationships/image" Target="media/image636.wmf"/><Relationship Id="rId1440" Type="http://schemas.openxmlformats.org/officeDocument/2006/relationships/oleObject" Target="embeddings/oleObject735.bin"/><Relationship Id="rId1538" Type="http://schemas.openxmlformats.org/officeDocument/2006/relationships/oleObject" Target="embeddings/oleObject784.bin"/><Relationship Id="rId242" Type="http://schemas.openxmlformats.org/officeDocument/2006/relationships/image" Target="media/image115.wmf"/><Relationship Id="rId894" Type="http://schemas.openxmlformats.org/officeDocument/2006/relationships/oleObject" Target="embeddings/oleObject456.bin"/><Relationship Id="rId1177" Type="http://schemas.openxmlformats.org/officeDocument/2006/relationships/image" Target="media/image608.wmf"/><Relationship Id="rId1300" Type="http://schemas.openxmlformats.org/officeDocument/2006/relationships/oleObject" Target="embeddings/oleObject665.bin"/><Relationship Id="rId37" Type="http://schemas.openxmlformats.org/officeDocument/2006/relationships/image" Target="media/image12.png"/><Relationship Id="rId102" Type="http://schemas.openxmlformats.org/officeDocument/2006/relationships/image" Target="media/image45.wmf"/><Relationship Id="rId547" Type="http://schemas.openxmlformats.org/officeDocument/2006/relationships/image" Target="media/image287.wmf"/><Relationship Id="rId754" Type="http://schemas.openxmlformats.org/officeDocument/2006/relationships/oleObject" Target="embeddings/oleObject386.bin"/><Relationship Id="rId961" Type="http://schemas.openxmlformats.org/officeDocument/2006/relationships/image" Target="media/image494.wmf"/><Relationship Id="rId1384" Type="http://schemas.openxmlformats.org/officeDocument/2006/relationships/oleObject" Target="embeddings/oleObject709.bin"/><Relationship Id="rId1591" Type="http://schemas.openxmlformats.org/officeDocument/2006/relationships/image" Target="media/image822.wmf"/><Relationship Id="rId1605" Type="http://schemas.openxmlformats.org/officeDocument/2006/relationships/image" Target="media/image829.wmf"/><Relationship Id="rId90" Type="http://schemas.openxmlformats.org/officeDocument/2006/relationships/image" Target="media/image39.wmf"/><Relationship Id="rId186" Type="http://schemas.openxmlformats.org/officeDocument/2006/relationships/image" Target="media/image87.wmf"/><Relationship Id="rId393" Type="http://schemas.openxmlformats.org/officeDocument/2006/relationships/image" Target="media/image191.wmf"/><Relationship Id="rId407" Type="http://schemas.openxmlformats.org/officeDocument/2006/relationships/image" Target="media/image198.wmf"/><Relationship Id="rId614" Type="http://schemas.openxmlformats.org/officeDocument/2006/relationships/oleObject" Target="embeddings/oleObject316.bin"/><Relationship Id="rId821" Type="http://schemas.openxmlformats.org/officeDocument/2006/relationships/image" Target="media/image424.wmf"/><Relationship Id="rId1037" Type="http://schemas.openxmlformats.org/officeDocument/2006/relationships/image" Target="media/image529.wmf"/><Relationship Id="rId1244" Type="http://schemas.openxmlformats.org/officeDocument/2006/relationships/oleObject" Target="embeddings/oleObject637.bin"/><Relationship Id="rId1451" Type="http://schemas.openxmlformats.org/officeDocument/2006/relationships/image" Target="media/image752.wmf"/><Relationship Id="rId253" Type="http://schemas.openxmlformats.org/officeDocument/2006/relationships/oleObject" Target="embeddings/oleObject117.bin"/><Relationship Id="rId460" Type="http://schemas.openxmlformats.org/officeDocument/2006/relationships/oleObject" Target="embeddings/oleObject227.bin"/><Relationship Id="rId698" Type="http://schemas.openxmlformats.org/officeDocument/2006/relationships/oleObject" Target="embeddings/oleObject358.bin"/><Relationship Id="rId919" Type="http://schemas.openxmlformats.org/officeDocument/2006/relationships/image" Target="media/image473.wmf"/><Relationship Id="rId1090" Type="http://schemas.openxmlformats.org/officeDocument/2006/relationships/oleObject" Target="embeddings/oleObject560.bin"/><Relationship Id="rId1104" Type="http://schemas.openxmlformats.org/officeDocument/2006/relationships/oleObject" Target="embeddings/oleObject567.bin"/><Relationship Id="rId1311" Type="http://schemas.openxmlformats.org/officeDocument/2006/relationships/image" Target="media/image675.wmf"/><Relationship Id="rId1549" Type="http://schemas.openxmlformats.org/officeDocument/2006/relationships/image" Target="media/image801.wmf"/><Relationship Id="rId48" Type="http://schemas.openxmlformats.org/officeDocument/2006/relationships/image" Target="media/image18.wmf"/><Relationship Id="rId113" Type="http://schemas.openxmlformats.org/officeDocument/2006/relationships/oleObject" Target="embeddings/oleObject47.bin"/><Relationship Id="rId320" Type="http://schemas.openxmlformats.org/officeDocument/2006/relationships/image" Target="media/image154.wmf"/><Relationship Id="rId558" Type="http://schemas.openxmlformats.org/officeDocument/2006/relationships/oleObject" Target="embeddings/oleObject288.bin"/><Relationship Id="rId765" Type="http://schemas.openxmlformats.org/officeDocument/2006/relationships/image" Target="media/image396.wmf"/><Relationship Id="rId972" Type="http://schemas.openxmlformats.org/officeDocument/2006/relationships/oleObject" Target="embeddings/oleObject495.bin"/><Relationship Id="rId1188" Type="http://schemas.openxmlformats.org/officeDocument/2006/relationships/oleObject" Target="embeddings/oleObject609.bin"/><Relationship Id="rId1395" Type="http://schemas.openxmlformats.org/officeDocument/2006/relationships/image" Target="media/image719.wmf"/><Relationship Id="rId1409" Type="http://schemas.openxmlformats.org/officeDocument/2006/relationships/header" Target="header7.xml"/><Relationship Id="rId1616" Type="http://schemas.openxmlformats.org/officeDocument/2006/relationships/oleObject" Target="embeddings/oleObject823.bin"/><Relationship Id="rId197" Type="http://schemas.openxmlformats.org/officeDocument/2006/relationships/oleObject" Target="embeddings/oleObject89.bin"/><Relationship Id="rId418" Type="http://schemas.openxmlformats.org/officeDocument/2006/relationships/oleObject" Target="embeddings/oleObject199.bin"/><Relationship Id="rId625" Type="http://schemas.openxmlformats.org/officeDocument/2006/relationships/image" Target="media/image326.wmf"/><Relationship Id="rId832" Type="http://schemas.openxmlformats.org/officeDocument/2006/relationships/oleObject" Target="embeddings/oleObject425.bin"/><Relationship Id="rId1048" Type="http://schemas.openxmlformats.org/officeDocument/2006/relationships/oleObject" Target="embeddings/oleObject530.bin"/><Relationship Id="rId1255" Type="http://schemas.openxmlformats.org/officeDocument/2006/relationships/image" Target="media/image647.wmf"/><Relationship Id="rId1462" Type="http://schemas.openxmlformats.org/officeDocument/2006/relationships/oleObject" Target="embeddings/oleObject746.bin"/><Relationship Id="rId264" Type="http://schemas.openxmlformats.org/officeDocument/2006/relationships/image" Target="media/image126.wmf"/><Relationship Id="rId471" Type="http://schemas.openxmlformats.org/officeDocument/2006/relationships/image" Target="media/image237.wmf"/><Relationship Id="rId1115" Type="http://schemas.openxmlformats.org/officeDocument/2006/relationships/image" Target="media/image577.wmf"/><Relationship Id="rId1322" Type="http://schemas.openxmlformats.org/officeDocument/2006/relationships/oleObject" Target="embeddings/oleObject676.bin"/><Relationship Id="rId59" Type="http://schemas.openxmlformats.org/officeDocument/2006/relationships/oleObject" Target="embeddings/oleObject20.bin"/><Relationship Id="rId124" Type="http://schemas.openxmlformats.org/officeDocument/2006/relationships/image" Target="media/image56.wmf"/><Relationship Id="rId569" Type="http://schemas.openxmlformats.org/officeDocument/2006/relationships/image" Target="media/image298.wmf"/><Relationship Id="rId776" Type="http://schemas.openxmlformats.org/officeDocument/2006/relationships/oleObject" Target="embeddings/oleObject397.bin"/><Relationship Id="rId983" Type="http://schemas.openxmlformats.org/officeDocument/2006/relationships/image" Target="media/image505.wmf"/><Relationship Id="rId1199" Type="http://schemas.openxmlformats.org/officeDocument/2006/relationships/image" Target="media/image619.wmf"/><Relationship Id="rId1627" Type="http://schemas.openxmlformats.org/officeDocument/2006/relationships/image" Target="media/image840.wmf"/><Relationship Id="rId331" Type="http://schemas.openxmlformats.org/officeDocument/2006/relationships/oleObject" Target="embeddings/oleObject156.bin"/><Relationship Id="rId429" Type="http://schemas.openxmlformats.org/officeDocument/2006/relationships/image" Target="media/image216.wmf"/><Relationship Id="rId636" Type="http://schemas.openxmlformats.org/officeDocument/2006/relationships/oleObject" Target="embeddings/oleObject327.bin"/><Relationship Id="rId1059" Type="http://schemas.openxmlformats.org/officeDocument/2006/relationships/image" Target="media/image540.wmf"/><Relationship Id="rId1266" Type="http://schemas.openxmlformats.org/officeDocument/2006/relationships/oleObject" Target="embeddings/oleObject648.bin"/><Relationship Id="rId1473" Type="http://schemas.openxmlformats.org/officeDocument/2006/relationships/image" Target="media/image763.wmf"/><Relationship Id="rId843" Type="http://schemas.openxmlformats.org/officeDocument/2006/relationships/image" Target="media/image435.wmf"/><Relationship Id="rId1126" Type="http://schemas.openxmlformats.org/officeDocument/2006/relationships/oleObject" Target="embeddings/oleObject578.bin"/><Relationship Id="rId1680" Type="http://schemas.openxmlformats.org/officeDocument/2006/relationships/footer" Target="footer24.xml"/><Relationship Id="rId275" Type="http://schemas.openxmlformats.org/officeDocument/2006/relationships/oleObject" Target="embeddings/oleObject128.bin"/><Relationship Id="rId482" Type="http://schemas.openxmlformats.org/officeDocument/2006/relationships/oleObject" Target="embeddings/oleObject238.bin"/><Relationship Id="rId703" Type="http://schemas.openxmlformats.org/officeDocument/2006/relationships/image" Target="media/image365.wmf"/><Relationship Id="rId910" Type="http://schemas.openxmlformats.org/officeDocument/2006/relationships/oleObject" Target="embeddings/oleObject464.bin"/><Relationship Id="rId1333" Type="http://schemas.openxmlformats.org/officeDocument/2006/relationships/image" Target="media/image686.wmf"/><Relationship Id="rId1540" Type="http://schemas.openxmlformats.org/officeDocument/2006/relationships/oleObject" Target="embeddings/oleObject785.bin"/><Relationship Id="rId1638" Type="http://schemas.openxmlformats.org/officeDocument/2006/relationships/oleObject" Target="embeddings/oleObject834.bin"/><Relationship Id="rId135" Type="http://schemas.openxmlformats.org/officeDocument/2006/relationships/oleObject" Target="embeddings/oleObject58.bin"/><Relationship Id="rId342" Type="http://schemas.openxmlformats.org/officeDocument/2006/relationships/oleObject" Target="embeddings/oleObject161.bin"/><Relationship Id="rId787" Type="http://schemas.openxmlformats.org/officeDocument/2006/relationships/image" Target="media/image407.wmf"/><Relationship Id="rId994" Type="http://schemas.openxmlformats.org/officeDocument/2006/relationships/oleObject" Target="embeddings/oleObject506.bin"/><Relationship Id="rId1400" Type="http://schemas.openxmlformats.org/officeDocument/2006/relationships/oleObject" Target="embeddings/oleObject717.bin"/><Relationship Id="rId202" Type="http://schemas.openxmlformats.org/officeDocument/2006/relationships/image" Target="media/image95.wmf"/><Relationship Id="rId647" Type="http://schemas.openxmlformats.org/officeDocument/2006/relationships/image" Target="media/image337.wmf"/><Relationship Id="rId854" Type="http://schemas.openxmlformats.org/officeDocument/2006/relationships/oleObject" Target="embeddings/oleObject436.bin"/><Relationship Id="rId1277" Type="http://schemas.openxmlformats.org/officeDocument/2006/relationships/image" Target="media/image658.wmf"/><Relationship Id="rId1484" Type="http://schemas.openxmlformats.org/officeDocument/2006/relationships/oleObject" Target="embeddings/oleObject757.bin"/><Relationship Id="rId286" Type="http://schemas.openxmlformats.org/officeDocument/2006/relationships/image" Target="media/image137.wmf"/><Relationship Id="rId493" Type="http://schemas.openxmlformats.org/officeDocument/2006/relationships/image" Target="media/image248.wmf"/><Relationship Id="rId507" Type="http://schemas.openxmlformats.org/officeDocument/2006/relationships/image" Target="media/image267.wmf"/><Relationship Id="rId714" Type="http://schemas.openxmlformats.org/officeDocument/2006/relationships/oleObject" Target="embeddings/oleObject366.bin"/><Relationship Id="rId921" Type="http://schemas.openxmlformats.org/officeDocument/2006/relationships/image" Target="media/image474.wmf"/><Relationship Id="rId1137" Type="http://schemas.openxmlformats.org/officeDocument/2006/relationships/image" Target="media/image588.wmf"/><Relationship Id="rId1344" Type="http://schemas.openxmlformats.org/officeDocument/2006/relationships/oleObject" Target="embeddings/oleObject687.bin"/><Relationship Id="rId1551" Type="http://schemas.openxmlformats.org/officeDocument/2006/relationships/image" Target="media/image802.wmf"/><Relationship Id="rId50" Type="http://schemas.openxmlformats.org/officeDocument/2006/relationships/image" Target="media/image19.wmf"/><Relationship Id="rId146" Type="http://schemas.openxmlformats.org/officeDocument/2006/relationships/image" Target="media/image67.wmf"/><Relationship Id="rId353" Type="http://schemas.openxmlformats.org/officeDocument/2006/relationships/image" Target="media/image171.wmf"/><Relationship Id="rId560" Type="http://schemas.openxmlformats.org/officeDocument/2006/relationships/oleObject" Target="embeddings/oleObject289.bin"/><Relationship Id="rId798" Type="http://schemas.openxmlformats.org/officeDocument/2006/relationships/oleObject" Target="embeddings/oleObject408.bin"/><Relationship Id="rId1190" Type="http://schemas.openxmlformats.org/officeDocument/2006/relationships/oleObject" Target="embeddings/oleObject610.bin"/><Relationship Id="rId1204" Type="http://schemas.openxmlformats.org/officeDocument/2006/relationships/oleObject" Target="embeddings/oleObject617.bin"/><Relationship Id="rId1411" Type="http://schemas.openxmlformats.org/officeDocument/2006/relationships/footer" Target="footer11.xml"/><Relationship Id="rId1649" Type="http://schemas.openxmlformats.org/officeDocument/2006/relationships/image" Target="media/image851.wmf"/><Relationship Id="rId213" Type="http://schemas.openxmlformats.org/officeDocument/2006/relationships/oleObject" Target="embeddings/oleObject97.bin"/><Relationship Id="rId420" Type="http://schemas.openxmlformats.org/officeDocument/2006/relationships/oleObject" Target="embeddings/oleObject200.bin"/><Relationship Id="rId658" Type="http://schemas.openxmlformats.org/officeDocument/2006/relationships/oleObject" Target="embeddings/oleObject338.bin"/><Relationship Id="rId865" Type="http://schemas.openxmlformats.org/officeDocument/2006/relationships/image" Target="media/image446.wmf"/><Relationship Id="rId1050" Type="http://schemas.openxmlformats.org/officeDocument/2006/relationships/oleObject" Target="embeddings/oleObject531.bin"/><Relationship Id="rId1288" Type="http://schemas.openxmlformats.org/officeDocument/2006/relationships/oleObject" Target="embeddings/oleObject659.bin"/><Relationship Id="rId1495" Type="http://schemas.openxmlformats.org/officeDocument/2006/relationships/image" Target="media/image774.wmf"/><Relationship Id="rId1509" Type="http://schemas.openxmlformats.org/officeDocument/2006/relationships/image" Target="media/image781.wmf"/><Relationship Id="rId297" Type="http://schemas.openxmlformats.org/officeDocument/2006/relationships/oleObject" Target="embeddings/oleObject139.bin"/><Relationship Id="rId518" Type="http://schemas.openxmlformats.org/officeDocument/2006/relationships/oleObject" Target="embeddings/oleObject268.bin"/><Relationship Id="rId725" Type="http://schemas.openxmlformats.org/officeDocument/2006/relationships/image" Target="media/image376.wmf"/><Relationship Id="rId932" Type="http://schemas.openxmlformats.org/officeDocument/2006/relationships/oleObject" Target="embeddings/oleObject475.bin"/><Relationship Id="rId1148" Type="http://schemas.openxmlformats.org/officeDocument/2006/relationships/oleObject" Target="embeddings/oleObject589.bin"/><Relationship Id="rId1355" Type="http://schemas.openxmlformats.org/officeDocument/2006/relationships/image" Target="media/image699.wmf"/><Relationship Id="rId1562" Type="http://schemas.openxmlformats.org/officeDocument/2006/relationships/oleObject" Target="embeddings/oleObject796.bin"/><Relationship Id="rId157" Type="http://schemas.openxmlformats.org/officeDocument/2006/relationships/oleObject" Target="embeddings/oleObject69.bin"/><Relationship Id="rId364" Type="http://schemas.openxmlformats.org/officeDocument/2006/relationships/oleObject" Target="embeddings/oleObject172.bin"/><Relationship Id="rId1008" Type="http://schemas.openxmlformats.org/officeDocument/2006/relationships/oleObject" Target="embeddings/oleObject513.bin"/><Relationship Id="rId1215" Type="http://schemas.openxmlformats.org/officeDocument/2006/relationships/image" Target="media/image627.wmf"/><Relationship Id="rId1422" Type="http://schemas.openxmlformats.org/officeDocument/2006/relationships/image" Target="media/image732.wmf"/><Relationship Id="rId61" Type="http://schemas.openxmlformats.org/officeDocument/2006/relationships/oleObject" Target="embeddings/oleObject21.bin"/><Relationship Id="rId571" Type="http://schemas.openxmlformats.org/officeDocument/2006/relationships/image" Target="media/image299.wmf"/><Relationship Id="rId669" Type="http://schemas.openxmlformats.org/officeDocument/2006/relationships/image" Target="media/image348.wmf"/><Relationship Id="rId876" Type="http://schemas.openxmlformats.org/officeDocument/2006/relationships/oleObject" Target="embeddings/oleObject447.bin"/><Relationship Id="rId1299" Type="http://schemas.openxmlformats.org/officeDocument/2006/relationships/image" Target="media/image669.wmf"/><Relationship Id="rId19" Type="http://schemas.openxmlformats.org/officeDocument/2006/relationships/image" Target="media/image3.wmf"/><Relationship Id="rId224" Type="http://schemas.openxmlformats.org/officeDocument/2006/relationships/image" Target="media/image106.wmf"/><Relationship Id="rId431" Type="http://schemas.openxmlformats.org/officeDocument/2006/relationships/image" Target="media/image217.wmf"/><Relationship Id="rId529" Type="http://schemas.openxmlformats.org/officeDocument/2006/relationships/image" Target="media/image278.wmf"/><Relationship Id="rId736" Type="http://schemas.openxmlformats.org/officeDocument/2006/relationships/oleObject" Target="embeddings/oleObject377.bin"/><Relationship Id="rId1061" Type="http://schemas.openxmlformats.org/officeDocument/2006/relationships/image" Target="media/image541.wmf"/><Relationship Id="rId1159" Type="http://schemas.openxmlformats.org/officeDocument/2006/relationships/image" Target="media/image599.wmf"/><Relationship Id="rId1366" Type="http://schemas.openxmlformats.org/officeDocument/2006/relationships/oleObject" Target="embeddings/oleObject700.bin"/><Relationship Id="rId168" Type="http://schemas.openxmlformats.org/officeDocument/2006/relationships/image" Target="media/image78.wmf"/><Relationship Id="rId943" Type="http://schemas.openxmlformats.org/officeDocument/2006/relationships/image" Target="media/image485.wmf"/><Relationship Id="rId1019" Type="http://schemas.openxmlformats.org/officeDocument/2006/relationships/image" Target="media/image520.wmf"/><Relationship Id="rId1573" Type="http://schemas.openxmlformats.org/officeDocument/2006/relationships/image" Target="media/image813.wmf"/><Relationship Id="rId72" Type="http://schemas.openxmlformats.org/officeDocument/2006/relationships/image" Target="media/image30.wmf"/><Relationship Id="rId375" Type="http://schemas.openxmlformats.org/officeDocument/2006/relationships/image" Target="media/image182.wmf"/><Relationship Id="rId582" Type="http://schemas.openxmlformats.org/officeDocument/2006/relationships/oleObject" Target="embeddings/oleObject300.bin"/><Relationship Id="rId803" Type="http://schemas.openxmlformats.org/officeDocument/2006/relationships/image" Target="media/image415.wmf"/><Relationship Id="rId1226" Type="http://schemas.openxmlformats.org/officeDocument/2006/relationships/oleObject" Target="embeddings/oleObject628.bin"/><Relationship Id="rId1433" Type="http://schemas.openxmlformats.org/officeDocument/2006/relationships/header" Target="header12.xml"/><Relationship Id="rId1640" Type="http://schemas.openxmlformats.org/officeDocument/2006/relationships/oleObject" Target="embeddings/oleObject835.bin"/><Relationship Id="rId3" Type="http://schemas.openxmlformats.org/officeDocument/2006/relationships/settings" Target="settings.xml"/><Relationship Id="rId235" Type="http://schemas.openxmlformats.org/officeDocument/2006/relationships/oleObject" Target="embeddings/oleObject108.bin"/><Relationship Id="rId442" Type="http://schemas.openxmlformats.org/officeDocument/2006/relationships/oleObject" Target="embeddings/oleObject218.bin"/><Relationship Id="rId887" Type="http://schemas.openxmlformats.org/officeDocument/2006/relationships/image" Target="media/image457.wmf"/><Relationship Id="rId1072" Type="http://schemas.openxmlformats.org/officeDocument/2006/relationships/oleObject" Target="embeddings/oleObject551.bin"/><Relationship Id="rId1500" Type="http://schemas.openxmlformats.org/officeDocument/2006/relationships/oleObject" Target="embeddings/oleObject765.bin"/><Relationship Id="rId302" Type="http://schemas.openxmlformats.org/officeDocument/2006/relationships/image" Target="media/image145.wmf"/><Relationship Id="rId747" Type="http://schemas.openxmlformats.org/officeDocument/2006/relationships/image" Target="media/image387.wmf"/><Relationship Id="rId954" Type="http://schemas.openxmlformats.org/officeDocument/2006/relationships/oleObject" Target="embeddings/oleObject486.bin"/><Relationship Id="rId1377" Type="http://schemas.openxmlformats.org/officeDocument/2006/relationships/image" Target="media/image710.wmf"/><Relationship Id="rId1584" Type="http://schemas.openxmlformats.org/officeDocument/2006/relationships/oleObject" Target="embeddings/oleObject807.bin"/><Relationship Id="rId83" Type="http://schemas.openxmlformats.org/officeDocument/2006/relationships/oleObject" Target="embeddings/oleObject32.bin"/><Relationship Id="rId179" Type="http://schemas.openxmlformats.org/officeDocument/2006/relationships/oleObject" Target="embeddings/oleObject80.bin"/><Relationship Id="rId386" Type="http://schemas.openxmlformats.org/officeDocument/2006/relationships/oleObject" Target="embeddings/oleObject183.bin"/><Relationship Id="rId593" Type="http://schemas.openxmlformats.org/officeDocument/2006/relationships/image" Target="media/image310.wmf"/><Relationship Id="rId607" Type="http://schemas.openxmlformats.org/officeDocument/2006/relationships/image" Target="media/image317.wmf"/><Relationship Id="rId814" Type="http://schemas.openxmlformats.org/officeDocument/2006/relationships/oleObject" Target="embeddings/oleObject416.bin"/><Relationship Id="rId1237" Type="http://schemas.openxmlformats.org/officeDocument/2006/relationships/image" Target="media/image638.wmf"/><Relationship Id="rId1444" Type="http://schemas.openxmlformats.org/officeDocument/2006/relationships/oleObject" Target="embeddings/oleObject737.bin"/><Relationship Id="rId1651" Type="http://schemas.openxmlformats.org/officeDocument/2006/relationships/image" Target="media/image852.wmf"/><Relationship Id="rId246" Type="http://schemas.openxmlformats.org/officeDocument/2006/relationships/image" Target="media/image117.wmf"/><Relationship Id="rId453" Type="http://schemas.openxmlformats.org/officeDocument/2006/relationships/image" Target="media/image228.wmf"/><Relationship Id="rId660" Type="http://schemas.openxmlformats.org/officeDocument/2006/relationships/oleObject" Target="embeddings/oleObject339.bin"/><Relationship Id="rId898" Type="http://schemas.openxmlformats.org/officeDocument/2006/relationships/oleObject" Target="embeddings/oleObject458.bin"/><Relationship Id="rId1083" Type="http://schemas.openxmlformats.org/officeDocument/2006/relationships/image" Target="media/image561.wmf"/><Relationship Id="rId1290" Type="http://schemas.openxmlformats.org/officeDocument/2006/relationships/oleObject" Target="embeddings/oleObject660.bin"/><Relationship Id="rId1304" Type="http://schemas.openxmlformats.org/officeDocument/2006/relationships/oleObject" Target="embeddings/oleObject667.bin"/><Relationship Id="rId1511" Type="http://schemas.openxmlformats.org/officeDocument/2006/relationships/image" Target="media/image782.wmf"/><Relationship Id="rId106" Type="http://schemas.openxmlformats.org/officeDocument/2006/relationships/image" Target="media/image47.wmf"/><Relationship Id="rId313" Type="http://schemas.openxmlformats.org/officeDocument/2006/relationships/oleObject" Target="embeddings/oleObject147.bin"/><Relationship Id="rId758" Type="http://schemas.openxmlformats.org/officeDocument/2006/relationships/oleObject" Target="embeddings/oleObject388.bin"/><Relationship Id="rId965" Type="http://schemas.openxmlformats.org/officeDocument/2006/relationships/image" Target="media/image496.wmf"/><Relationship Id="rId1150" Type="http://schemas.openxmlformats.org/officeDocument/2006/relationships/oleObject" Target="embeddings/oleObject590.bin"/><Relationship Id="rId1388" Type="http://schemas.openxmlformats.org/officeDocument/2006/relationships/oleObject" Target="embeddings/oleObject711.bin"/><Relationship Id="rId1595" Type="http://schemas.openxmlformats.org/officeDocument/2006/relationships/image" Target="media/image824.wmf"/><Relationship Id="rId1609" Type="http://schemas.openxmlformats.org/officeDocument/2006/relationships/image" Target="media/image831.wmf"/><Relationship Id="rId10" Type="http://schemas.openxmlformats.org/officeDocument/2006/relationships/footer" Target="footer2.xml"/><Relationship Id="rId94" Type="http://schemas.openxmlformats.org/officeDocument/2006/relationships/image" Target="media/image41.wmf"/><Relationship Id="rId397" Type="http://schemas.openxmlformats.org/officeDocument/2006/relationships/image" Target="media/image193.wmf"/><Relationship Id="rId520" Type="http://schemas.openxmlformats.org/officeDocument/2006/relationships/oleObject" Target="embeddings/oleObject269.bin"/><Relationship Id="rId618" Type="http://schemas.openxmlformats.org/officeDocument/2006/relationships/oleObject" Target="embeddings/oleObject318.bin"/><Relationship Id="rId825" Type="http://schemas.openxmlformats.org/officeDocument/2006/relationships/image" Target="media/image426.wmf"/><Relationship Id="rId1248" Type="http://schemas.openxmlformats.org/officeDocument/2006/relationships/oleObject" Target="embeddings/oleObject639.bin"/><Relationship Id="rId1455" Type="http://schemas.openxmlformats.org/officeDocument/2006/relationships/image" Target="media/image754.wmf"/><Relationship Id="rId1662" Type="http://schemas.openxmlformats.org/officeDocument/2006/relationships/oleObject" Target="embeddings/oleObject846.bin"/><Relationship Id="rId257" Type="http://schemas.openxmlformats.org/officeDocument/2006/relationships/oleObject" Target="embeddings/oleObject119.bin"/><Relationship Id="rId464" Type="http://schemas.openxmlformats.org/officeDocument/2006/relationships/oleObject" Target="embeddings/oleObject229.bin"/><Relationship Id="rId1010" Type="http://schemas.openxmlformats.org/officeDocument/2006/relationships/header" Target="header5.xml"/><Relationship Id="rId1094" Type="http://schemas.openxmlformats.org/officeDocument/2006/relationships/oleObject" Target="embeddings/oleObject562.bin"/><Relationship Id="rId1108" Type="http://schemas.openxmlformats.org/officeDocument/2006/relationships/oleObject" Target="embeddings/oleObject569.bin"/><Relationship Id="rId1315" Type="http://schemas.openxmlformats.org/officeDocument/2006/relationships/image" Target="media/image677.wmf"/><Relationship Id="rId117" Type="http://schemas.openxmlformats.org/officeDocument/2006/relationships/oleObject" Target="embeddings/oleObject49.bin"/><Relationship Id="rId671" Type="http://schemas.openxmlformats.org/officeDocument/2006/relationships/image" Target="media/image349.wmf"/><Relationship Id="rId769" Type="http://schemas.openxmlformats.org/officeDocument/2006/relationships/image" Target="media/image398.wmf"/><Relationship Id="rId976" Type="http://schemas.openxmlformats.org/officeDocument/2006/relationships/oleObject" Target="embeddings/oleObject497.bin"/><Relationship Id="rId1399" Type="http://schemas.openxmlformats.org/officeDocument/2006/relationships/image" Target="media/image721.wmf"/><Relationship Id="rId324" Type="http://schemas.openxmlformats.org/officeDocument/2006/relationships/image" Target="media/image156.wmf"/><Relationship Id="rId531" Type="http://schemas.openxmlformats.org/officeDocument/2006/relationships/image" Target="media/image279.wmf"/><Relationship Id="rId629" Type="http://schemas.openxmlformats.org/officeDocument/2006/relationships/image" Target="media/image328.wmf"/><Relationship Id="rId1161" Type="http://schemas.openxmlformats.org/officeDocument/2006/relationships/image" Target="media/image600.wmf"/><Relationship Id="rId1259" Type="http://schemas.openxmlformats.org/officeDocument/2006/relationships/image" Target="media/image649.wmf"/><Relationship Id="rId1466" Type="http://schemas.openxmlformats.org/officeDocument/2006/relationships/oleObject" Target="embeddings/oleObject748.bin"/><Relationship Id="rId836" Type="http://schemas.openxmlformats.org/officeDocument/2006/relationships/oleObject" Target="embeddings/oleObject427.bin"/><Relationship Id="rId1021" Type="http://schemas.openxmlformats.org/officeDocument/2006/relationships/image" Target="media/image521.wmf"/><Relationship Id="rId1119" Type="http://schemas.openxmlformats.org/officeDocument/2006/relationships/image" Target="media/image579.wmf"/><Relationship Id="rId1673" Type="http://schemas.openxmlformats.org/officeDocument/2006/relationships/header" Target="header18.xml"/><Relationship Id="rId903" Type="http://schemas.openxmlformats.org/officeDocument/2006/relationships/image" Target="media/image465.wmf"/><Relationship Id="rId1326" Type="http://schemas.openxmlformats.org/officeDocument/2006/relationships/oleObject" Target="embeddings/oleObject678.bin"/><Relationship Id="rId1533" Type="http://schemas.openxmlformats.org/officeDocument/2006/relationships/image" Target="media/image793.wmf"/><Relationship Id="rId32" Type="http://schemas.openxmlformats.org/officeDocument/2006/relationships/oleObject" Target="embeddings/oleObject7.bin"/><Relationship Id="rId1600" Type="http://schemas.openxmlformats.org/officeDocument/2006/relationships/oleObject" Target="embeddings/oleObject815.bin"/><Relationship Id="rId181" Type="http://schemas.openxmlformats.org/officeDocument/2006/relationships/oleObject" Target="embeddings/oleObject81.bin"/><Relationship Id="rId279" Type="http://schemas.openxmlformats.org/officeDocument/2006/relationships/oleObject" Target="embeddings/oleObject130.bin"/><Relationship Id="rId486" Type="http://schemas.openxmlformats.org/officeDocument/2006/relationships/oleObject" Target="embeddings/oleObject240.bin"/><Relationship Id="rId693" Type="http://schemas.openxmlformats.org/officeDocument/2006/relationships/image" Target="media/image360.wmf"/><Relationship Id="rId139" Type="http://schemas.openxmlformats.org/officeDocument/2006/relationships/oleObject" Target="embeddings/oleObject60.bin"/><Relationship Id="rId346" Type="http://schemas.openxmlformats.org/officeDocument/2006/relationships/oleObject" Target="embeddings/oleObject163.bin"/><Relationship Id="rId553" Type="http://schemas.openxmlformats.org/officeDocument/2006/relationships/image" Target="media/image290.wmf"/><Relationship Id="rId760" Type="http://schemas.openxmlformats.org/officeDocument/2006/relationships/oleObject" Target="embeddings/oleObject389.bin"/><Relationship Id="rId998" Type="http://schemas.openxmlformats.org/officeDocument/2006/relationships/oleObject" Target="embeddings/oleObject508.bin"/><Relationship Id="rId1183" Type="http://schemas.openxmlformats.org/officeDocument/2006/relationships/image" Target="media/image611.wmf"/><Relationship Id="rId1390" Type="http://schemas.openxmlformats.org/officeDocument/2006/relationships/oleObject" Target="embeddings/oleObject712.bin"/><Relationship Id="rId206" Type="http://schemas.openxmlformats.org/officeDocument/2006/relationships/image" Target="media/image97.wmf"/><Relationship Id="rId413" Type="http://schemas.openxmlformats.org/officeDocument/2006/relationships/image" Target="media/image201.wmf"/><Relationship Id="rId858" Type="http://schemas.openxmlformats.org/officeDocument/2006/relationships/oleObject" Target="embeddings/oleObject438.bin"/><Relationship Id="rId1043" Type="http://schemas.openxmlformats.org/officeDocument/2006/relationships/image" Target="media/image532.wmf"/><Relationship Id="rId1488" Type="http://schemas.openxmlformats.org/officeDocument/2006/relationships/oleObject" Target="embeddings/oleObject759.bin"/><Relationship Id="rId620" Type="http://schemas.openxmlformats.org/officeDocument/2006/relationships/oleObject" Target="embeddings/oleObject319.bin"/><Relationship Id="rId718" Type="http://schemas.openxmlformats.org/officeDocument/2006/relationships/oleObject" Target="embeddings/oleObject368.bin"/><Relationship Id="rId925" Type="http://schemas.openxmlformats.org/officeDocument/2006/relationships/image" Target="media/image476.wmf"/><Relationship Id="rId1250" Type="http://schemas.openxmlformats.org/officeDocument/2006/relationships/oleObject" Target="embeddings/oleObject640.bin"/><Relationship Id="rId1348" Type="http://schemas.openxmlformats.org/officeDocument/2006/relationships/oleObject" Target="embeddings/oleObject691.bin"/><Relationship Id="rId1555" Type="http://schemas.openxmlformats.org/officeDocument/2006/relationships/image" Target="media/image804.wmf"/><Relationship Id="rId1110" Type="http://schemas.openxmlformats.org/officeDocument/2006/relationships/oleObject" Target="embeddings/oleObject570.bin"/><Relationship Id="rId1208" Type="http://schemas.openxmlformats.org/officeDocument/2006/relationships/oleObject" Target="embeddings/oleObject619.bin"/><Relationship Id="rId1415" Type="http://schemas.openxmlformats.org/officeDocument/2006/relationships/image" Target="media/image727.wmf"/><Relationship Id="rId54" Type="http://schemas.openxmlformats.org/officeDocument/2006/relationships/image" Target="media/image21.wmf"/><Relationship Id="rId1622" Type="http://schemas.openxmlformats.org/officeDocument/2006/relationships/oleObject" Target="embeddings/oleObject826.bin"/><Relationship Id="rId270" Type="http://schemas.openxmlformats.org/officeDocument/2006/relationships/image" Target="media/image129.wmf"/><Relationship Id="rId130" Type="http://schemas.openxmlformats.org/officeDocument/2006/relationships/image" Target="media/image59.wmf"/><Relationship Id="rId368" Type="http://schemas.openxmlformats.org/officeDocument/2006/relationships/oleObject" Target="embeddings/oleObject174.bin"/><Relationship Id="rId575" Type="http://schemas.openxmlformats.org/officeDocument/2006/relationships/image" Target="media/image301.wmf"/><Relationship Id="rId782" Type="http://schemas.openxmlformats.org/officeDocument/2006/relationships/oleObject" Target="embeddings/oleObject400.bin"/><Relationship Id="rId228" Type="http://schemas.openxmlformats.org/officeDocument/2006/relationships/image" Target="media/image108.wmf"/><Relationship Id="rId435" Type="http://schemas.openxmlformats.org/officeDocument/2006/relationships/image" Target="media/image219.wmf"/><Relationship Id="rId642" Type="http://schemas.openxmlformats.org/officeDocument/2006/relationships/oleObject" Target="embeddings/oleObject330.bin"/><Relationship Id="rId1065" Type="http://schemas.openxmlformats.org/officeDocument/2006/relationships/image" Target="media/image552.wmf"/><Relationship Id="rId1272" Type="http://schemas.openxmlformats.org/officeDocument/2006/relationships/oleObject" Target="embeddings/oleObject651.bin"/><Relationship Id="rId502" Type="http://schemas.openxmlformats.org/officeDocument/2006/relationships/oleObject" Target="embeddings/oleObject260.bin"/><Relationship Id="rId947" Type="http://schemas.openxmlformats.org/officeDocument/2006/relationships/image" Target="media/image487.wmf"/><Relationship Id="rId1132" Type="http://schemas.openxmlformats.org/officeDocument/2006/relationships/oleObject" Target="embeddings/oleObject581.bin"/><Relationship Id="rId1577" Type="http://schemas.openxmlformats.org/officeDocument/2006/relationships/image" Target="media/image815.wmf"/><Relationship Id="rId76" Type="http://schemas.openxmlformats.org/officeDocument/2006/relationships/image" Target="media/image32.wmf"/><Relationship Id="rId807" Type="http://schemas.openxmlformats.org/officeDocument/2006/relationships/image" Target="media/image417.wmf"/><Relationship Id="rId1437" Type="http://schemas.openxmlformats.org/officeDocument/2006/relationships/image" Target="media/image745.wmf"/><Relationship Id="rId1644" Type="http://schemas.openxmlformats.org/officeDocument/2006/relationships/oleObject" Target="embeddings/oleObject837.bin"/><Relationship Id="rId1504" Type="http://schemas.openxmlformats.org/officeDocument/2006/relationships/oleObject" Target="embeddings/oleObject767.bin"/><Relationship Id="rId292" Type="http://schemas.openxmlformats.org/officeDocument/2006/relationships/image" Target="media/image140.wmf"/><Relationship Id="rId597" Type="http://schemas.openxmlformats.org/officeDocument/2006/relationships/image" Target="media/image312.wmf"/><Relationship Id="rId152" Type="http://schemas.openxmlformats.org/officeDocument/2006/relationships/image" Target="media/image70.wmf"/><Relationship Id="rId457" Type="http://schemas.openxmlformats.org/officeDocument/2006/relationships/image" Target="media/image230.wmf"/><Relationship Id="rId1087" Type="http://schemas.openxmlformats.org/officeDocument/2006/relationships/image" Target="media/image563.wmf"/><Relationship Id="rId1294" Type="http://schemas.openxmlformats.org/officeDocument/2006/relationships/oleObject" Target="embeddings/oleObject662.bin"/><Relationship Id="rId664" Type="http://schemas.openxmlformats.org/officeDocument/2006/relationships/oleObject" Target="embeddings/oleObject341.bin"/><Relationship Id="rId871" Type="http://schemas.openxmlformats.org/officeDocument/2006/relationships/image" Target="media/image449.wmf"/><Relationship Id="rId969" Type="http://schemas.openxmlformats.org/officeDocument/2006/relationships/image" Target="media/image498.wmf"/><Relationship Id="rId1599" Type="http://schemas.openxmlformats.org/officeDocument/2006/relationships/image" Target="media/image826.wmf"/><Relationship Id="rId317" Type="http://schemas.openxmlformats.org/officeDocument/2006/relationships/oleObject" Target="embeddings/oleObject149.bin"/><Relationship Id="rId524" Type="http://schemas.openxmlformats.org/officeDocument/2006/relationships/oleObject" Target="embeddings/oleObject271.bin"/><Relationship Id="rId731" Type="http://schemas.openxmlformats.org/officeDocument/2006/relationships/image" Target="media/image379.wmf"/><Relationship Id="rId1154" Type="http://schemas.openxmlformats.org/officeDocument/2006/relationships/oleObject" Target="embeddings/oleObject592.bin"/><Relationship Id="rId1361" Type="http://schemas.openxmlformats.org/officeDocument/2006/relationships/image" Target="media/image702.wmf"/><Relationship Id="rId1459" Type="http://schemas.openxmlformats.org/officeDocument/2006/relationships/image" Target="media/image756.wmf"/><Relationship Id="rId98" Type="http://schemas.openxmlformats.org/officeDocument/2006/relationships/image" Target="media/image43.wmf"/><Relationship Id="rId829" Type="http://schemas.openxmlformats.org/officeDocument/2006/relationships/image" Target="media/image428.wmf"/><Relationship Id="rId1014" Type="http://schemas.openxmlformats.org/officeDocument/2006/relationships/footer" Target="footer10.xml"/><Relationship Id="rId1221" Type="http://schemas.openxmlformats.org/officeDocument/2006/relationships/image" Target="media/image630.wmf"/><Relationship Id="rId1666" Type="http://schemas.openxmlformats.org/officeDocument/2006/relationships/footer" Target="footer17.xml"/></Relationships>
</file>

<file path=word/_rels/footnotes.xml.rels><?xml version="1.0" encoding="UTF-8" standalone="yes"?>
<Relationships xmlns="http://schemas.openxmlformats.org/package/2006/relationships"><Relationship Id="rId13" Type="http://schemas.openxmlformats.org/officeDocument/2006/relationships/image" Target="media/image214.wmf"/><Relationship Id="rId18" Type="http://schemas.openxmlformats.org/officeDocument/2006/relationships/oleObject" Target="embeddings/oleObject246.bin"/><Relationship Id="rId26" Type="http://schemas.openxmlformats.org/officeDocument/2006/relationships/oleObject" Target="embeddings/oleObject250.bin"/><Relationship Id="rId39" Type="http://schemas.openxmlformats.org/officeDocument/2006/relationships/image" Target="media/image542.wmf"/><Relationship Id="rId21" Type="http://schemas.openxmlformats.org/officeDocument/2006/relationships/image" Target="media/image252.wmf"/><Relationship Id="rId34" Type="http://schemas.openxmlformats.org/officeDocument/2006/relationships/oleObject" Target="embeddings/oleObject254.bin"/><Relationship Id="rId42" Type="http://schemas.openxmlformats.org/officeDocument/2006/relationships/oleObject" Target="embeddings/oleObject539.bin"/><Relationship Id="rId47" Type="http://schemas.openxmlformats.org/officeDocument/2006/relationships/image" Target="media/image546.wmf"/><Relationship Id="rId50" Type="http://schemas.openxmlformats.org/officeDocument/2006/relationships/oleObject" Target="embeddings/oleObject543.bin"/><Relationship Id="rId55" Type="http://schemas.openxmlformats.org/officeDocument/2006/relationships/image" Target="media/image550.wmf"/><Relationship Id="rId63" Type="http://schemas.openxmlformats.org/officeDocument/2006/relationships/image" Target="media/image735.wmf"/><Relationship Id="rId68" Type="http://schemas.openxmlformats.org/officeDocument/2006/relationships/oleObject" Target="embeddings/oleObject729.bin"/><Relationship Id="rId7" Type="http://schemas.openxmlformats.org/officeDocument/2006/relationships/image" Target="media/image211.wmf"/><Relationship Id="rId71" Type="http://schemas.openxmlformats.org/officeDocument/2006/relationships/image" Target="media/image742.wmf"/><Relationship Id="rId2" Type="http://schemas.openxmlformats.org/officeDocument/2006/relationships/oleObject" Target="embeddings/oleObject204.bin"/><Relationship Id="rId16" Type="http://schemas.openxmlformats.org/officeDocument/2006/relationships/oleObject" Target="embeddings/oleObject245.bin"/><Relationship Id="rId29" Type="http://schemas.openxmlformats.org/officeDocument/2006/relationships/image" Target="media/image256.wmf"/><Relationship Id="rId11" Type="http://schemas.openxmlformats.org/officeDocument/2006/relationships/image" Target="media/image213.wmf"/><Relationship Id="rId24" Type="http://schemas.openxmlformats.org/officeDocument/2006/relationships/oleObject" Target="embeddings/oleObject249.bin"/><Relationship Id="rId32" Type="http://schemas.openxmlformats.org/officeDocument/2006/relationships/oleObject" Target="embeddings/oleObject253.bin"/><Relationship Id="rId37" Type="http://schemas.openxmlformats.org/officeDocument/2006/relationships/image" Target="media/image260.wmf"/><Relationship Id="rId40" Type="http://schemas.openxmlformats.org/officeDocument/2006/relationships/oleObject" Target="embeddings/oleObject538.bin"/><Relationship Id="rId45" Type="http://schemas.openxmlformats.org/officeDocument/2006/relationships/image" Target="media/image545.wmf"/><Relationship Id="rId53" Type="http://schemas.openxmlformats.org/officeDocument/2006/relationships/image" Target="media/image549.wmf"/><Relationship Id="rId58" Type="http://schemas.openxmlformats.org/officeDocument/2006/relationships/oleObject" Target="embeddings/oleObject689.bin"/><Relationship Id="rId66" Type="http://schemas.openxmlformats.org/officeDocument/2006/relationships/oleObject" Target="embeddings/oleObject728.bin"/><Relationship Id="rId74" Type="http://schemas.openxmlformats.org/officeDocument/2006/relationships/oleObject" Target="embeddings/oleObject732.bin"/><Relationship Id="rId5" Type="http://schemas.openxmlformats.org/officeDocument/2006/relationships/image" Target="media/image210.wmf"/><Relationship Id="rId15" Type="http://schemas.openxmlformats.org/officeDocument/2006/relationships/image" Target="media/image249.wmf"/><Relationship Id="rId23" Type="http://schemas.openxmlformats.org/officeDocument/2006/relationships/image" Target="media/image253.wmf"/><Relationship Id="rId28" Type="http://schemas.openxmlformats.org/officeDocument/2006/relationships/oleObject" Target="embeddings/oleObject251.bin"/><Relationship Id="rId36" Type="http://schemas.openxmlformats.org/officeDocument/2006/relationships/oleObject" Target="embeddings/oleObject255.bin"/><Relationship Id="rId49" Type="http://schemas.openxmlformats.org/officeDocument/2006/relationships/image" Target="media/image547.wmf"/><Relationship Id="rId57" Type="http://schemas.openxmlformats.org/officeDocument/2006/relationships/image" Target="media/image693.wmf"/><Relationship Id="rId61" Type="http://schemas.openxmlformats.org/officeDocument/2006/relationships/image" Target="media/image734.wmf"/><Relationship Id="rId10" Type="http://schemas.openxmlformats.org/officeDocument/2006/relationships/oleObject" Target="embeddings/oleObject208.bin"/><Relationship Id="rId19" Type="http://schemas.openxmlformats.org/officeDocument/2006/relationships/image" Target="media/image251.wmf"/><Relationship Id="rId31" Type="http://schemas.openxmlformats.org/officeDocument/2006/relationships/image" Target="media/image257.wmf"/><Relationship Id="rId44" Type="http://schemas.openxmlformats.org/officeDocument/2006/relationships/oleObject" Target="embeddings/oleObject540.bin"/><Relationship Id="rId52" Type="http://schemas.openxmlformats.org/officeDocument/2006/relationships/oleObject" Target="embeddings/oleObject544.bin"/><Relationship Id="rId60" Type="http://schemas.openxmlformats.org/officeDocument/2006/relationships/oleObject" Target="embeddings/oleObject690.bin"/><Relationship Id="rId65" Type="http://schemas.openxmlformats.org/officeDocument/2006/relationships/image" Target="media/image739.wmf"/><Relationship Id="rId73" Type="http://schemas.openxmlformats.org/officeDocument/2006/relationships/image" Target="media/image743.wmf"/><Relationship Id="rId4" Type="http://schemas.openxmlformats.org/officeDocument/2006/relationships/oleObject" Target="embeddings/oleObject205.bin"/><Relationship Id="rId9" Type="http://schemas.openxmlformats.org/officeDocument/2006/relationships/image" Target="media/image212.wmf"/><Relationship Id="rId14" Type="http://schemas.openxmlformats.org/officeDocument/2006/relationships/oleObject" Target="embeddings/oleObject210.bin"/><Relationship Id="rId22" Type="http://schemas.openxmlformats.org/officeDocument/2006/relationships/oleObject" Target="embeddings/oleObject248.bin"/><Relationship Id="rId27" Type="http://schemas.openxmlformats.org/officeDocument/2006/relationships/image" Target="media/image255.wmf"/><Relationship Id="rId30" Type="http://schemas.openxmlformats.org/officeDocument/2006/relationships/oleObject" Target="embeddings/oleObject252.bin"/><Relationship Id="rId35" Type="http://schemas.openxmlformats.org/officeDocument/2006/relationships/image" Target="media/image259.wmf"/><Relationship Id="rId43" Type="http://schemas.openxmlformats.org/officeDocument/2006/relationships/image" Target="media/image544.wmf"/><Relationship Id="rId48" Type="http://schemas.openxmlformats.org/officeDocument/2006/relationships/oleObject" Target="embeddings/oleObject542.bin"/><Relationship Id="rId56" Type="http://schemas.openxmlformats.org/officeDocument/2006/relationships/oleObject" Target="embeddings/oleObject546.bin"/><Relationship Id="rId64" Type="http://schemas.openxmlformats.org/officeDocument/2006/relationships/oleObject" Target="embeddings/oleObject727.bin"/><Relationship Id="rId69" Type="http://schemas.openxmlformats.org/officeDocument/2006/relationships/image" Target="media/image741.wmf"/><Relationship Id="rId8" Type="http://schemas.openxmlformats.org/officeDocument/2006/relationships/oleObject" Target="embeddings/oleObject207.bin"/><Relationship Id="rId51" Type="http://schemas.openxmlformats.org/officeDocument/2006/relationships/image" Target="media/image548.wmf"/><Relationship Id="rId72" Type="http://schemas.openxmlformats.org/officeDocument/2006/relationships/oleObject" Target="embeddings/oleObject731.bin"/><Relationship Id="rId3" Type="http://schemas.openxmlformats.org/officeDocument/2006/relationships/image" Target="media/image209.wmf"/><Relationship Id="rId12" Type="http://schemas.openxmlformats.org/officeDocument/2006/relationships/oleObject" Target="embeddings/oleObject209.bin"/><Relationship Id="rId17" Type="http://schemas.openxmlformats.org/officeDocument/2006/relationships/image" Target="media/image250.wmf"/><Relationship Id="rId25" Type="http://schemas.openxmlformats.org/officeDocument/2006/relationships/image" Target="media/image254.wmf"/><Relationship Id="rId33" Type="http://schemas.openxmlformats.org/officeDocument/2006/relationships/image" Target="media/image258.wmf"/><Relationship Id="rId38" Type="http://schemas.openxmlformats.org/officeDocument/2006/relationships/oleObject" Target="embeddings/oleObject256.bin"/><Relationship Id="rId46" Type="http://schemas.openxmlformats.org/officeDocument/2006/relationships/oleObject" Target="embeddings/oleObject541.bin"/><Relationship Id="rId59" Type="http://schemas.openxmlformats.org/officeDocument/2006/relationships/image" Target="media/image694.wmf"/><Relationship Id="rId67" Type="http://schemas.openxmlformats.org/officeDocument/2006/relationships/image" Target="media/image740.wmf"/><Relationship Id="rId20" Type="http://schemas.openxmlformats.org/officeDocument/2006/relationships/oleObject" Target="embeddings/oleObject247.bin"/><Relationship Id="rId41" Type="http://schemas.openxmlformats.org/officeDocument/2006/relationships/image" Target="media/image543.wmf"/><Relationship Id="rId54" Type="http://schemas.openxmlformats.org/officeDocument/2006/relationships/oleObject" Target="embeddings/oleObject545.bin"/><Relationship Id="rId62" Type="http://schemas.openxmlformats.org/officeDocument/2006/relationships/oleObject" Target="embeddings/oleObject726.bin"/><Relationship Id="rId70" Type="http://schemas.openxmlformats.org/officeDocument/2006/relationships/oleObject" Target="embeddings/oleObject730.bin"/><Relationship Id="rId1" Type="http://schemas.openxmlformats.org/officeDocument/2006/relationships/image" Target="media/image208.wmf"/><Relationship Id="rId6" Type="http://schemas.openxmlformats.org/officeDocument/2006/relationships/oleObject" Target="embeddings/oleObject206.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115</Pages>
  <Words>-32766</Words>
  <Characters>-32766</Characters>
  <Application>Microsoft Office Outlook</Application>
  <DocSecurity>0</DocSecurity>
  <Lines>0</Lines>
  <Paragraphs>0</Paragraphs>
  <ScaleCrop>false</ScaleCrop>
  <Company>Ernst &amp; Young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Incremental Risk Model: An Assessment of Alternative Inputs and Assumptions in a Multi-Period Setting</dc:title>
  <dc:subject>The Incremental Risk Model</dc:subject>
  <dc:creator>Yannick van der Stel</dc:creator>
  <cp:keywords>Basel II Capital; Credit Risk; Credit VaR; Default Risk; Liquidity Risk; Migration Risk; Regulatory Capital; Trading Book Capital</cp:keywords>
  <dc:description/>
  <cp:lastModifiedBy>S van Bogaert</cp:lastModifiedBy>
  <cp:revision>2</cp:revision>
  <cp:lastPrinted>2009-12-24T14:51:00Z</cp:lastPrinted>
  <dcterms:created xsi:type="dcterms:W3CDTF">2010-01-13T11:58:00Z</dcterms:created>
  <dcterms:modified xsi:type="dcterms:W3CDTF">2010-01-13T11:58:00Z</dcterms:modified>
  <cp:category>Empirical Research; Model Development; Regulation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