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3A55" w:rsidRPr="00C763F7" w:rsidRDefault="00E03A55" w:rsidP="00532F55">
      <w:pPr>
        <w:pStyle w:val="EndnoteText"/>
      </w:pPr>
      <w:bookmarkStart w:id="0" w:name="OLE_LINK2"/>
      <w:bookmarkStart w:id="1" w:name="OLE_LINK1"/>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70.9pt;margin-top:85.05pt;width:226.75pt;height:89.95pt;z-index:251658240;mso-position-vertical-relative:page">
            <v:imagedata r:id="rId7" o:title=""/>
            <w10:wrap type="topAndBottom" anchory="page"/>
          </v:shape>
        </w:pict>
      </w:r>
    </w:p>
    <w:p w:rsidR="00E03A55" w:rsidRPr="00085A0F" w:rsidRDefault="00E03A55" w:rsidP="004F0646">
      <w:pPr>
        <w:spacing w:after="100"/>
        <w:ind w:firstLine="0"/>
        <w:jc w:val="center"/>
        <w:rPr>
          <w:rFonts w:ascii="Arial" w:hAnsi="Arial" w:cs="Arial"/>
          <w:spacing w:val="4"/>
          <w:w w:val="115"/>
          <w:position w:val="-18"/>
        </w:rPr>
      </w:pPr>
      <w:r w:rsidRPr="00085A0F">
        <w:rPr>
          <w:rFonts w:ascii="Arial" w:hAnsi="Arial" w:cs="Arial"/>
          <w:spacing w:val="4"/>
          <w:w w:val="115"/>
          <w:position w:val="-18"/>
        </w:rPr>
        <w:t xml:space="preserve">Graduate </w:t>
      </w:r>
      <w:smartTag w:uri="urn:schemas-microsoft-com:office:smarttags" w:element="PlaceType">
        <w:r w:rsidRPr="00085A0F">
          <w:rPr>
            <w:rFonts w:ascii="Arial" w:hAnsi="Arial" w:cs="Arial"/>
            <w:spacing w:val="4"/>
            <w:w w:val="115"/>
            <w:position w:val="-18"/>
          </w:rPr>
          <w:t>School</w:t>
        </w:r>
      </w:smartTag>
      <w:r w:rsidRPr="00085A0F">
        <w:rPr>
          <w:rFonts w:ascii="Arial" w:hAnsi="Arial" w:cs="Arial"/>
          <w:spacing w:val="4"/>
          <w:w w:val="115"/>
          <w:position w:val="-18"/>
        </w:rPr>
        <w:t xml:space="preserve"> of Development Studies</w:t>
      </w:r>
    </w:p>
    <w:p w:rsidR="00E03A55" w:rsidRDefault="00E03A55" w:rsidP="004F0646">
      <w:pPr>
        <w:ind w:firstLine="0"/>
        <w:jc w:val="center"/>
        <w:rPr>
          <w:sz w:val="28"/>
        </w:rPr>
      </w:pPr>
    </w:p>
    <w:p w:rsidR="00E03A55" w:rsidRDefault="00E03A55" w:rsidP="004F0646">
      <w:pPr>
        <w:ind w:firstLine="0"/>
        <w:jc w:val="center"/>
        <w:rPr>
          <w:sz w:val="28"/>
        </w:rPr>
      </w:pPr>
    </w:p>
    <w:p w:rsidR="00E03A55" w:rsidRDefault="00E03A55" w:rsidP="004F0646">
      <w:pPr>
        <w:ind w:firstLine="0"/>
        <w:jc w:val="center"/>
        <w:rPr>
          <w:b/>
          <w:sz w:val="32"/>
          <w:szCs w:val="32"/>
        </w:rPr>
      </w:pPr>
    </w:p>
    <w:p w:rsidR="00E03A55" w:rsidRPr="00781276" w:rsidRDefault="00E03A55" w:rsidP="004F0646">
      <w:pPr>
        <w:ind w:firstLine="0"/>
        <w:jc w:val="center"/>
        <w:rPr>
          <w:b/>
          <w:sz w:val="32"/>
          <w:szCs w:val="32"/>
        </w:rPr>
      </w:pPr>
      <w:r w:rsidRPr="00781276">
        <w:rPr>
          <w:b/>
          <w:sz w:val="32"/>
          <w:szCs w:val="32"/>
        </w:rPr>
        <w:t xml:space="preserve">Public Health </w:t>
      </w:r>
      <w:r>
        <w:rPr>
          <w:b/>
          <w:sz w:val="32"/>
          <w:szCs w:val="32"/>
        </w:rPr>
        <w:t>Expenditure</w:t>
      </w:r>
      <w:r w:rsidRPr="00781276">
        <w:rPr>
          <w:b/>
          <w:sz w:val="32"/>
          <w:szCs w:val="32"/>
        </w:rPr>
        <w:t xml:space="preserve">, Skill Birth Attendance                           and Infant Mortality in Indonesia: </w:t>
      </w:r>
    </w:p>
    <w:p w:rsidR="00E03A55" w:rsidRPr="00781276" w:rsidRDefault="00E03A55" w:rsidP="004F0646">
      <w:pPr>
        <w:ind w:firstLine="0"/>
        <w:jc w:val="center"/>
        <w:rPr>
          <w:b/>
          <w:sz w:val="28"/>
          <w:szCs w:val="28"/>
        </w:rPr>
      </w:pPr>
      <w:r w:rsidRPr="00781276">
        <w:rPr>
          <w:b/>
          <w:sz w:val="28"/>
          <w:szCs w:val="28"/>
        </w:rPr>
        <w:t xml:space="preserve">What </w:t>
      </w:r>
      <w:r>
        <w:rPr>
          <w:b/>
          <w:sz w:val="28"/>
          <w:szCs w:val="28"/>
        </w:rPr>
        <w:t xml:space="preserve">Does </w:t>
      </w:r>
      <w:r w:rsidRPr="00781276">
        <w:rPr>
          <w:b/>
          <w:sz w:val="28"/>
          <w:szCs w:val="28"/>
        </w:rPr>
        <w:t>Provincial Data Say?</w:t>
      </w:r>
    </w:p>
    <w:p w:rsidR="00E03A55" w:rsidRPr="00781276" w:rsidRDefault="00E03A55" w:rsidP="004F0646">
      <w:pPr>
        <w:ind w:firstLine="0"/>
        <w:jc w:val="center"/>
        <w:rPr>
          <w:b/>
          <w:sz w:val="28"/>
        </w:rPr>
      </w:pPr>
    </w:p>
    <w:p w:rsidR="00E03A55" w:rsidRPr="00781276" w:rsidRDefault="00E03A55" w:rsidP="004F0646">
      <w:pPr>
        <w:ind w:firstLine="0"/>
        <w:jc w:val="center"/>
        <w:rPr>
          <w:b/>
          <w:sz w:val="28"/>
        </w:rPr>
      </w:pPr>
    </w:p>
    <w:p w:rsidR="00E03A55" w:rsidRPr="00C763F7" w:rsidRDefault="00E03A55" w:rsidP="004F0646">
      <w:pPr>
        <w:ind w:firstLine="0"/>
        <w:jc w:val="center"/>
        <w:rPr>
          <w:sz w:val="28"/>
        </w:rPr>
      </w:pPr>
    </w:p>
    <w:p w:rsidR="00E03A55" w:rsidRPr="00D2197A" w:rsidRDefault="00E03A55" w:rsidP="004F0646">
      <w:pPr>
        <w:ind w:firstLine="0"/>
        <w:jc w:val="center"/>
        <w:rPr>
          <w:sz w:val="26"/>
          <w:szCs w:val="26"/>
        </w:rPr>
      </w:pPr>
      <w:r w:rsidRPr="00D2197A">
        <w:rPr>
          <w:sz w:val="26"/>
          <w:szCs w:val="26"/>
        </w:rPr>
        <w:t>A  Research Paper presented by:</w:t>
      </w:r>
    </w:p>
    <w:p w:rsidR="00E03A55" w:rsidRPr="006E1192" w:rsidRDefault="00E03A55" w:rsidP="004F0646">
      <w:pPr>
        <w:spacing w:before="200"/>
        <w:ind w:firstLine="0"/>
        <w:jc w:val="center"/>
        <w:rPr>
          <w:b/>
          <w:i/>
          <w:sz w:val="30"/>
          <w:szCs w:val="30"/>
          <w:lang w:val="es-ES"/>
        </w:rPr>
      </w:pPr>
      <w:r>
        <w:rPr>
          <w:b/>
          <w:i/>
          <w:sz w:val="28"/>
          <w:szCs w:val="20"/>
        </w:rPr>
        <w:t>Benny Alamsyah</w:t>
      </w:r>
    </w:p>
    <w:p w:rsidR="00E03A55" w:rsidRPr="00C763F7" w:rsidRDefault="00E03A55" w:rsidP="004F0646">
      <w:pPr>
        <w:ind w:firstLine="0"/>
        <w:jc w:val="center"/>
        <w:rPr>
          <w:sz w:val="28"/>
        </w:rPr>
      </w:pPr>
      <w:r>
        <w:rPr>
          <w:sz w:val="28"/>
        </w:rPr>
        <w:t>(Indonesia</w:t>
      </w:r>
      <w:r w:rsidRPr="00C763F7">
        <w:rPr>
          <w:sz w:val="28"/>
        </w:rPr>
        <w:t>)</w:t>
      </w:r>
    </w:p>
    <w:p w:rsidR="00E03A55" w:rsidRPr="00D2197A" w:rsidRDefault="00E03A55" w:rsidP="004F0646">
      <w:pPr>
        <w:spacing w:before="500"/>
        <w:ind w:firstLine="0"/>
        <w:jc w:val="center"/>
        <w:rPr>
          <w:sz w:val="26"/>
          <w:szCs w:val="26"/>
        </w:rPr>
      </w:pPr>
      <w:r w:rsidRPr="00D2197A">
        <w:rPr>
          <w:sz w:val="26"/>
          <w:szCs w:val="26"/>
        </w:rPr>
        <w:t>in partial fulfilment of the requirements for obtaining the degree of</w:t>
      </w:r>
    </w:p>
    <w:p w:rsidR="00E03A55" w:rsidRPr="00CA0105" w:rsidRDefault="00E03A55" w:rsidP="004F0646">
      <w:pPr>
        <w:ind w:firstLine="0"/>
        <w:jc w:val="center"/>
        <w:rPr>
          <w:sz w:val="26"/>
          <w:szCs w:val="26"/>
        </w:rPr>
      </w:pPr>
      <w:r w:rsidRPr="00CA0105">
        <w:rPr>
          <w:sz w:val="26"/>
          <w:szCs w:val="26"/>
        </w:rPr>
        <w:t>MASTERS OF ARTS IN DEVELOPMENT STUDIES</w:t>
      </w:r>
    </w:p>
    <w:p w:rsidR="00E03A55" w:rsidRPr="00D2197A" w:rsidRDefault="00E03A55" w:rsidP="004F0646">
      <w:pPr>
        <w:spacing w:before="200"/>
        <w:ind w:firstLine="0"/>
        <w:jc w:val="center"/>
        <w:rPr>
          <w:sz w:val="26"/>
          <w:szCs w:val="26"/>
        </w:rPr>
      </w:pPr>
      <w:r>
        <w:rPr>
          <w:sz w:val="26"/>
          <w:szCs w:val="26"/>
        </w:rPr>
        <w:t>Specialis</w:t>
      </w:r>
      <w:r w:rsidRPr="00D2197A">
        <w:rPr>
          <w:sz w:val="26"/>
          <w:szCs w:val="26"/>
        </w:rPr>
        <w:t>ation:</w:t>
      </w:r>
    </w:p>
    <w:p w:rsidR="00E03A55" w:rsidRPr="00D2197A" w:rsidRDefault="00E03A55" w:rsidP="004F0646">
      <w:pPr>
        <w:ind w:firstLine="0"/>
        <w:jc w:val="center"/>
        <w:rPr>
          <w:b/>
          <w:sz w:val="26"/>
          <w:szCs w:val="26"/>
        </w:rPr>
      </w:pPr>
      <w:r>
        <w:rPr>
          <w:b/>
          <w:sz w:val="26"/>
          <w:szCs w:val="26"/>
        </w:rPr>
        <w:t xml:space="preserve">Economics of Development </w:t>
      </w:r>
      <w:r>
        <w:rPr>
          <w:b/>
          <w:sz w:val="26"/>
          <w:szCs w:val="26"/>
        </w:rPr>
        <w:br/>
        <w:t>(ECD</w:t>
      </w:r>
      <w:r w:rsidRPr="00D2197A">
        <w:rPr>
          <w:b/>
          <w:sz w:val="26"/>
          <w:szCs w:val="26"/>
        </w:rPr>
        <w:t>)</w:t>
      </w:r>
    </w:p>
    <w:p w:rsidR="00E03A55" w:rsidRPr="00D2197A" w:rsidRDefault="00E03A55" w:rsidP="004F0646">
      <w:pPr>
        <w:spacing w:before="600" w:after="200"/>
        <w:ind w:firstLine="0"/>
        <w:jc w:val="center"/>
        <w:rPr>
          <w:sz w:val="26"/>
          <w:szCs w:val="26"/>
        </w:rPr>
      </w:pPr>
      <w:r w:rsidRPr="00D2197A">
        <w:rPr>
          <w:sz w:val="26"/>
          <w:szCs w:val="26"/>
        </w:rPr>
        <w:t>Members of the examining committee:</w:t>
      </w:r>
    </w:p>
    <w:p w:rsidR="00E03A55" w:rsidRPr="00D2197A" w:rsidRDefault="00E03A55" w:rsidP="004F0646">
      <w:pPr>
        <w:ind w:firstLine="0"/>
        <w:jc w:val="center"/>
        <w:rPr>
          <w:sz w:val="26"/>
          <w:szCs w:val="26"/>
        </w:rPr>
      </w:pPr>
      <w:r w:rsidRPr="00D2197A">
        <w:rPr>
          <w:sz w:val="26"/>
          <w:szCs w:val="26"/>
        </w:rPr>
        <w:t>Dr</w:t>
      </w:r>
      <w:r>
        <w:rPr>
          <w:sz w:val="26"/>
          <w:szCs w:val="26"/>
        </w:rPr>
        <w:t>. Robert A. Sparrow</w:t>
      </w:r>
      <w:r w:rsidRPr="00D2197A">
        <w:rPr>
          <w:sz w:val="26"/>
          <w:szCs w:val="26"/>
        </w:rPr>
        <w:t xml:space="preserve"> (supervisor)</w:t>
      </w:r>
    </w:p>
    <w:p w:rsidR="00E03A55" w:rsidRPr="00D2197A" w:rsidRDefault="00E03A55" w:rsidP="004F0646">
      <w:pPr>
        <w:ind w:firstLine="0"/>
        <w:jc w:val="center"/>
        <w:rPr>
          <w:sz w:val="26"/>
          <w:szCs w:val="26"/>
        </w:rPr>
      </w:pPr>
      <w:r w:rsidRPr="00D2197A">
        <w:rPr>
          <w:sz w:val="26"/>
          <w:szCs w:val="26"/>
        </w:rPr>
        <w:t>Prof. Dr</w:t>
      </w:r>
      <w:r>
        <w:rPr>
          <w:sz w:val="26"/>
          <w:szCs w:val="26"/>
        </w:rPr>
        <w:t>. Arjun S. Bedi</w:t>
      </w:r>
      <w:r w:rsidRPr="00D2197A">
        <w:rPr>
          <w:sz w:val="26"/>
          <w:szCs w:val="26"/>
        </w:rPr>
        <w:t xml:space="preserve"> (reader)</w:t>
      </w:r>
    </w:p>
    <w:p w:rsidR="00E03A55" w:rsidRPr="00D2197A" w:rsidRDefault="00E03A55" w:rsidP="004F0646">
      <w:pPr>
        <w:spacing w:before="800"/>
        <w:ind w:firstLine="0"/>
        <w:jc w:val="center"/>
        <w:rPr>
          <w:sz w:val="26"/>
          <w:szCs w:val="26"/>
        </w:rPr>
      </w:pPr>
      <w:r w:rsidRPr="00D2197A">
        <w:rPr>
          <w:sz w:val="26"/>
          <w:szCs w:val="26"/>
        </w:rPr>
        <w:t>The Hague, the Netherlands</w:t>
      </w:r>
      <w:r w:rsidRPr="00D2197A">
        <w:rPr>
          <w:sz w:val="26"/>
          <w:szCs w:val="26"/>
        </w:rPr>
        <w:br/>
      </w:r>
      <w:r>
        <w:rPr>
          <w:sz w:val="26"/>
          <w:szCs w:val="26"/>
        </w:rPr>
        <w:t>Augustus</w:t>
      </w:r>
      <w:r w:rsidRPr="00D2197A">
        <w:rPr>
          <w:sz w:val="26"/>
          <w:szCs w:val="26"/>
        </w:rPr>
        <w:t xml:space="preserve">, </w:t>
      </w:r>
      <w:r>
        <w:rPr>
          <w:sz w:val="26"/>
          <w:szCs w:val="26"/>
        </w:rPr>
        <w:t>2009</w:t>
      </w:r>
    </w:p>
    <w:p w:rsidR="00E03A55" w:rsidRPr="00F756EE" w:rsidRDefault="00E03A55" w:rsidP="004F0646">
      <w:pPr>
        <w:pStyle w:val="disclaimer"/>
        <w:rPr>
          <w:rFonts w:ascii="Garamond" w:hAnsi="Garamond"/>
        </w:rPr>
      </w:pPr>
      <w:r w:rsidRPr="00F756EE">
        <w:rPr>
          <w:rFonts w:ascii="Garamond" w:hAnsi="Garamond"/>
          <w:sz w:val="28"/>
        </w:rPr>
        <w:br w:type="page"/>
      </w:r>
      <w:r w:rsidRPr="00F756EE">
        <w:rPr>
          <w:rFonts w:ascii="Garamond" w:hAnsi="Garamond"/>
        </w:rPr>
        <w:t>Disclaimer:</w:t>
      </w:r>
    </w:p>
    <w:p w:rsidR="00E03A55" w:rsidRPr="00C763F7" w:rsidRDefault="00E03A55" w:rsidP="00532F55">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E03A55" w:rsidRPr="00C763F7" w:rsidRDefault="00E03A55" w:rsidP="00532F55">
      <w:pPr>
        <w:spacing w:after="100"/>
        <w:ind w:firstLine="0"/>
        <w:rPr>
          <w:szCs w:val="22"/>
        </w:rPr>
      </w:pPr>
      <w:r w:rsidRPr="00C763F7">
        <w:rPr>
          <w:szCs w:val="22"/>
        </w:rPr>
        <w:t>Research papers are not made available for circulation outside of the Institute.</w:t>
      </w:r>
    </w:p>
    <w:p w:rsidR="00E03A55" w:rsidRPr="00C763F7" w:rsidRDefault="00E03A55" w:rsidP="00532F55">
      <w:pPr>
        <w:rPr>
          <w:szCs w:val="22"/>
        </w:rPr>
      </w:pPr>
    </w:p>
    <w:p w:rsidR="00E03A55" w:rsidRPr="00F756EE" w:rsidRDefault="00E03A55" w:rsidP="00532F55">
      <w:pPr>
        <w:pStyle w:val="disclaimer"/>
        <w:rPr>
          <w:rFonts w:ascii="Garamond" w:hAnsi="Garamond"/>
        </w:rPr>
      </w:pPr>
      <w:r w:rsidRPr="00F756EE">
        <w:rPr>
          <w:rFonts w:ascii="Garamond" w:hAnsi="Garamond"/>
        </w:rPr>
        <w:t>Inquiries:</w:t>
      </w:r>
    </w:p>
    <w:p w:rsidR="00E03A55" w:rsidRPr="00F756EE" w:rsidRDefault="00E03A55" w:rsidP="00532F55">
      <w:pPr>
        <w:pStyle w:val="NormalWeb"/>
        <w:ind w:left="2280" w:hanging="2280"/>
        <w:rPr>
          <w:rFonts w:ascii="Garamond" w:hAnsi="Garamond"/>
          <w:szCs w:val="22"/>
        </w:rPr>
      </w:pPr>
      <w:r w:rsidRPr="00F756EE">
        <w:rPr>
          <w:rFonts w:ascii="Garamond" w:hAnsi="Garamond"/>
          <w:szCs w:val="22"/>
        </w:rPr>
        <w:t>Postal address:</w:t>
      </w:r>
      <w:r w:rsidRPr="00F756EE">
        <w:rPr>
          <w:rFonts w:ascii="Garamond" w:hAnsi="Garamond"/>
          <w:szCs w:val="22"/>
        </w:rPr>
        <w:tab/>
        <w:t>Institute of Social Studies</w:t>
      </w:r>
      <w:r w:rsidRPr="00F756EE">
        <w:rPr>
          <w:rFonts w:ascii="Garamond" w:hAnsi="Garamond"/>
          <w:szCs w:val="22"/>
        </w:rPr>
        <w:br/>
      </w:r>
      <w:smartTag w:uri="urn:schemas-microsoft-com:office:smarttags" w:element="address">
        <w:smartTag w:uri="urn:schemas-microsoft-com:office:smarttags" w:element="Street">
          <w:r w:rsidRPr="00F756EE">
            <w:rPr>
              <w:rFonts w:ascii="Garamond" w:hAnsi="Garamond"/>
              <w:szCs w:val="22"/>
            </w:rPr>
            <w:t>P.O. Box</w:t>
          </w:r>
        </w:smartTag>
        <w:r w:rsidRPr="00F756EE">
          <w:rPr>
            <w:rFonts w:ascii="Garamond" w:hAnsi="Garamond"/>
            <w:szCs w:val="22"/>
          </w:rPr>
          <w:t xml:space="preserve"> 29776</w:t>
        </w:r>
      </w:smartTag>
      <w:r w:rsidRPr="00F756EE">
        <w:rPr>
          <w:rFonts w:ascii="Garamond" w:hAnsi="Garamond"/>
          <w:szCs w:val="22"/>
        </w:rPr>
        <w:br/>
        <w:t xml:space="preserve">2502 LT </w:t>
      </w:r>
      <w:smartTag w:uri="urn:schemas-microsoft-com:office:smarttags" w:element="place">
        <w:smartTag w:uri="urn:schemas-microsoft-com:office:smarttags" w:element="City">
          <w:r w:rsidRPr="00F756EE">
            <w:rPr>
              <w:rFonts w:ascii="Garamond" w:hAnsi="Garamond"/>
              <w:szCs w:val="22"/>
            </w:rPr>
            <w:t>The Hague</w:t>
          </w:r>
        </w:smartTag>
      </w:smartTag>
      <w:r w:rsidRPr="00F756EE">
        <w:rPr>
          <w:rFonts w:ascii="Garamond" w:hAnsi="Garamond"/>
          <w:szCs w:val="22"/>
        </w:rPr>
        <w:br/>
        <w:t>The Netherlands</w:t>
      </w:r>
    </w:p>
    <w:p w:rsidR="00E03A55" w:rsidRPr="00F756EE" w:rsidRDefault="00E03A55" w:rsidP="00532F55">
      <w:pPr>
        <w:pStyle w:val="NormalWeb"/>
        <w:ind w:left="2280" w:hanging="2280"/>
        <w:rPr>
          <w:rFonts w:ascii="Garamond" w:hAnsi="Garamond"/>
          <w:szCs w:val="22"/>
        </w:rPr>
      </w:pPr>
      <w:r w:rsidRPr="00F756EE">
        <w:rPr>
          <w:rFonts w:ascii="Garamond" w:hAnsi="Garamond"/>
          <w:szCs w:val="22"/>
        </w:rPr>
        <w:t>Location:</w:t>
      </w:r>
      <w:r w:rsidRPr="00F756EE">
        <w:rPr>
          <w:rFonts w:ascii="Garamond" w:hAnsi="Garamond"/>
          <w:szCs w:val="22"/>
        </w:rPr>
        <w:tab/>
        <w:t>Kortenaerkade 12</w:t>
      </w:r>
      <w:r w:rsidRPr="00F756EE">
        <w:rPr>
          <w:rFonts w:ascii="Garamond" w:hAnsi="Garamond"/>
          <w:szCs w:val="22"/>
        </w:rPr>
        <w:br/>
        <w:t>2518 AX The Hague</w:t>
      </w:r>
      <w:r w:rsidRPr="00F756EE">
        <w:rPr>
          <w:rFonts w:ascii="Garamond" w:hAnsi="Garamond"/>
          <w:szCs w:val="22"/>
        </w:rPr>
        <w:br/>
        <w:t xml:space="preserve">The </w:t>
      </w:r>
      <w:smartTag w:uri="urn:schemas-microsoft-com:office:smarttags" w:element="place">
        <w:smartTag w:uri="urn:schemas-microsoft-com:office:smarttags" w:element="country-region">
          <w:r w:rsidRPr="00F756EE">
            <w:rPr>
              <w:rFonts w:ascii="Garamond" w:hAnsi="Garamond"/>
              <w:szCs w:val="22"/>
            </w:rPr>
            <w:t>Netherlands</w:t>
          </w:r>
        </w:smartTag>
      </w:smartTag>
    </w:p>
    <w:p w:rsidR="00E03A55" w:rsidRPr="00F756EE" w:rsidRDefault="00E03A55" w:rsidP="00532F55">
      <w:pPr>
        <w:pStyle w:val="NormalWeb"/>
        <w:ind w:left="2280" w:hanging="2280"/>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E03A55" w:rsidRPr="00F756EE" w:rsidRDefault="00E03A55" w:rsidP="00532F55">
      <w:pPr>
        <w:pStyle w:val="NormalWeb"/>
        <w:ind w:left="2280" w:hanging="2280"/>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E03A55" w:rsidRDefault="00E03A55" w:rsidP="004A1BFD">
      <w:pPr>
        <w:rPr>
          <w:w w:val="115"/>
        </w:rPr>
      </w:pPr>
    </w:p>
    <w:p w:rsidR="00E03A55" w:rsidRPr="00256D17" w:rsidRDefault="00E03A55" w:rsidP="00256D17">
      <w:pPr>
        <w:spacing w:after="400"/>
        <w:ind w:firstLine="0"/>
        <w:rPr>
          <w:b/>
          <w:sz w:val="36"/>
          <w:szCs w:val="36"/>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bookmarkEnd w:id="2"/>
      <w:bookmarkEnd w:id="3"/>
      <w:bookmarkEnd w:id="4"/>
      <w:bookmarkEnd w:id="5"/>
      <w:bookmarkEnd w:id="6"/>
      <w:bookmarkEnd w:id="7"/>
      <w:bookmarkEnd w:id="8"/>
      <w:bookmarkEnd w:id="9"/>
      <w:bookmarkEnd w:id="10"/>
      <w:bookmarkEnd w:id="11"/>
      <w:r w:rsidRPr="00256D17">
        <w:rPr>
          <w:b/>
          <w:sz w:val="36"/>
          <w:szCs w:val="36"/>
        </w:rPr>
        <w:t>Contents</w:t>
      </w:r>
    </w:p>
    <w:p w:rsidR="00E03A55" w:rsidRDefault="00E03A55">
      <w:pPr>
        <w:pStyle w:val="TOC1"/>
        <w:rPr>
          <w:rFonts w:ascii="Calibri" w:hAnsi="Calibri"/>
          <w:b w:val="0"/>
          <w:sz w:val="22"/>
          <w:szCs w:val="22"/>
          <w:lang w:val="en-US" w:eastAsia="en-US"/>
        </w:rPr>
      </w:pPr>
      <w:r w:rsidRPr="00256D17">
        <w:fldChar w:fldCharType="begin"/>
      </w:r>
      <w:r w:rsidRPr="00256D17">
        <w:instrText xml:space="preserve"> TOC \o "1-3" \h \z \u </w:instrText>
      </w:r>
      <w:r w:rsidRPr="00256D17">
        <w:fldChar w:fldCharType="separate"/>
      </w:r>
      <w:hyperlink w:anchor="_Toc239163829" w:history="1">
        <w:r w:rsidRPr="00B32E91">
          <w:rPr>
            <w:rStyle w:val="Hyperlink"/>
          </w:rPr>
          <w:t>List of Tables</w:t>
        </w:r>
        <w:r>
          <w:rPr>
            <w:webHidden/>
          </w:rPr>
          <w:tab/>
        </w:r>
        <w:r>
          <w:rPr>
            <w:webHidden/>
          </w:rPr>
          <w:fldChar w:fldCharType="begin"/>
        </w:r>
        <w:r>
          <w:rPr>
            <w:webHidden/>
          </w:rPr>
          <w:instrText xml:space="preserve"> PAGEREF _Toc239163829 \h </w:instrText>
        </w:r>
        <w:r>
          <w:rPr>
            <w:webHidden/>
          </w:rPr>
          <w:fldChar w:fldCharType="separate"/>
        </w:r>
        <w:r>
          <w:rPr>
            <w:webHidden/>
          </w:rPr>
          <w:t>iii</w:t>
        </w:r>
        <w:r>
          <w:rPr>
            <w:webHidden/>
          </w:rPr>
          <w:fldChar w:fldCharType="end"/>
        </w:r>
      </w:hyperlink>
    </w:p>
    <w:p w:rsidR="00E03A55" w:rsidRDefault="00E03A55">
      <w:pPr>
        <w:pStyle w:val="TOC1"/>
        <w:rPr>
          <w:rFonts w:ascii="Calibri" w:hAnsi="Calibri"/>
          <w:b w:val="0"/>
          <w:sz w:val="22"/>
          <w:szCs w:val="22"/>
          <w:lang w:val="en-US" w:eastAsia="en-US"/>
        </w:rPr>
      </w:pPr>
      <w:hyperlink w:anchor="_Toc239163830" w:history="1">
        <w:r w:rsidRPr="00B32E91">
          <w:rPr>
            <w:rStyle w:val="Hyperlink"/>
          </w:rPr>
          <w:t>List of Figures</w:t>
        </w:r>
        <w:r>
          <w:rPr>
            <w:webHidden/>
          </w:rPr>
          <w:tab/>
        </w:r>
        <w:r>
          <w:rPr>
            <w:webHidden/>
          </w:rPr>
          <w:fldChar w:fldCharType="begin"/>
        </w:r>
        <w:r>
          <w:rPr>
            <w:webHidden/>
          </w:rPr>
          <w:instrText xml:space="preserve"> PAGEREF _Toc239163830 \h </w:instrText>
        </w:r>
        <w:r>
          <w:rPr>
            <w:webHidden/>
          </w:rPr>
          <w:fldChar w:fldCharType="separate"/>
        </w:r>
        <w:r>
          <w:rPr>
            <w:webHidden/>
          </w:rPr>
          <w:t>iii</w:t>
        </w:r>
        <w:r>
          <w:rPr>
            <w:webHidden/>
          </w:rPr>
          <w:fldChar w:fldCharType="end"/>
        </w:r>
      </w:hyperlink>
    </w:p>
    <w:p w:rsidR="00E03A55" w:rsidRDefault="00E03A55">
      <w:pPr>
        <w:pStyle w:val="TOC1"/>
        <w:rPr>
          <w:rFonts w:ascii="Calibri" w:hAnsi="Calibri"/>
          <w:b w:val="0"/>
          <w:sz w:val="22"/>
          <w:szCs w:val="22"/>
          <w:lang w:val="en-US" w:eastAsia="en-US"/>
        </w:rPr>
      </w:pPr>
      <w:hyperlink w:anchor="_Toc239163831" w:history="1">
        <w:r w:rsidRPr="00B32E91">
          <w:rPr>
            <w:rStyle w:val="Hyperlink"/>
          </w:rPr>
          <w:t>List of Acronyms</w:t>
        </w:r>
        <w:r>
          <w:rPr>
            <w:webHidden/>
          </w:rPr>
          <w:tab/>
        </w:r>
        <w:r>
          <w:rPr>
            <w:webHidden/>
          </w:rPr>
          <w:fldChar w:fldCharType="begin"/>
        </w:r>
        <w:r>
          <w:rPr>
            <w:webHidden/>
          </w:rPr>
          <w:instrText xml:space="preserve"> PAGEREF _Toc239163831 \h </w:instrText>
        </w:r>
        <w:r>
          <w:rPr>
            <w:webHidden/>
          </w:rPr>
          <w:fldChar w:fldCharType="separate"/>
        </w:r>
        <w:r>
          <w:rPr>
            <w:webHidden/>
          </w:rPr>
          <w:t>iii</w:t>
        </w:r>
        <w:r>
          <w:rPr>
            <w:webHidden/>
          </w:rPr>
          <w:fldChar w:fldCharType="end"/>
        </w:r>
      </w:hyperlink>
    </w:p>
    <w:p w:rsidR="00E03A55" w:rsidRDefault="00E03A55">
      <w:pPr>
        <w:pStyle w:val="TOC1"/>
        <w:rPr>
          <w:rFonts w:ascii="Calibri" w:hAnsi="Calibri"/>
          <w:b w:val="0"/>
          <w:sz w:val="22"/>
          <w:szCs w:val="22"/>
          <w:lang w:val="en-US" w:eastAsia="en-US"/>
        </w:rPr>
      </w:pPr>
      <w:hyperlink w:anchor="_Toc239163832" w:history="1">
        <w:r w:rsidRPr="00B32E91">
          <w:rPr>
            <w:rStyle w:val="Hyperlink"/>
          </w:rPr>
          <w:t>Abstract</w:t>
        </w:r>
        <w:r>
          <w:rPr>
            <w:webHidden/>
          </w:rPr>
          <w:tab/>
        </w:r>
        <w:r>
          <w:rPr>
            <w:webHidden/>
          </w:rPr>
          <w:tab/>
        </w:r>
        <w:r>
          <w:rPr>
            <w:webHidden/>
          </w:rPr>
          <w:fldChar w:fldCharType="begin"/>
        </w:r>
        <w:r>
          <w:rPr>
            <w:webHidden/>
          </w:rPr>
          <w:instrText xml:space="preserve"> PAGEREF _Toc239163832 \h </w:instrText>
        </w:r>
        <w:r>
          <w:rPr>
            <w:webHidden/>
          </w:rPr>
          <w:fldChar w:fldCharType="separate"/>
        </w:r>
        <w:r>
          <w:rPr>
            <w:webHidden/>
          </w:rPr>
          <w:t>iii</w:t>
        </w:r>
        <w:r>
          <w:rPr>
            <w:webHidden/>
          </w:rPr>
          <w:fldChar w:fldCharType="end"/>
        </w:r>
      </w:hyperlink>
    </w:p>
    <w:p w:rsidR="00E03A55" w:rsidRDefault="00E03A55">
      <w:pPr>
        <w:pStyle w:val="TOC1"/>
        <w:rPr>
          <w:rFonts w:ascii="Calibri" w:hAnsi="Calibri"/>
          <w:b w:val="0"/>
          <w:sz w:val="22"/>
          <w:szCs w:val="22"/>
          <w:lang w:val="en-US" w:eastAsia="en-US"/>
        </w:rPr>
      </w:pPr>
      <w:hyperlink w:anchor="_Toc239163833" w:history="1">
        <w:r w:rsidRPr="00B32E91">
          <w:rPr>
            <w:rStyle w:val="Hyperlink"/>
          </w:rPr>
          <w:t>Chapter 1</w:t>
        </w:r>
        <w:r>
          <w:rPr>
            <w:rFonts w:ascii="Calibri" w:hAnsi="Calibri"/>
            <w:b w:val="0"/>
            <w:sz w:val="22"/>
            <w:szCs w:val="22"/>
            <w:lang w:val="en-US" w:eastAsia="en-US"/>
          </w:rPr>
          <w:tab/>
        </w:r>
        <w:r w:rsidRPr="00B32E91">
          <w:rPr>
            <w:rStyle w:val="Hyperlink"/>
          </w:rPr>
          <w:t>Introduction</w:t>
        </w:r>
        <w:r>
          <w:rPr>
            <w:webHidden/>
          </w:rPr>
          <w:tab/>
        </w:r>
        <w:r>
          <w:rPr>
            <w:webHidden/>
          </w:rPr>
          <w:fldChar w:fldCharType="begin"/>
        </w:r>
        <w:r>
          <w:rPr>
            <w:webHidden/>
          </w:rPr>
          <w:instrText xml:space="preserve"> PAGEREF _Toc239163833 \h </w:instrText>
        </w:r>
        <w:r>
          <w:rPr>
            <w:webHidden/>
          </w:rPr>
          <w:fldChar w:fldCharType="separate"/>
        </w:r>
        <w:r>
          <w:rPr>
            <w:webHidden/>
          </w:rPr>
          <w:t>3</w:t>
        </w:r>
        <w:r>
          <w:rPr>
            <w:webHidden/>
          </w:rPr>
          <w:fldChar w:fldCharType="end"/>
        </w:r>
      </w:hyperlink>
    </w:p>
    <w:p w:rsidR="00E03A55" w:rsidRDefault="00E03A55">
      <w:pPr>
        <w:pStyle w:val="TOC1"/>
        <w:rPr>
          <w:rFonts w:ascii="Calibri" w:hAnsi="Calibri"/>
          <w:b w:val="0"/>
          <w:sz w:val="22"/>
          <w:szCs w:val="22"/>
          <w:lang w:val="en-US" w:eastAsia="en-US"/>
        </w:rPr>
      </w:pPr>
      <w:hyperlink w:anchor="_Toc239163834" w:history="1">
        <w:r w:rsidRPr="00B32E91">
          <w:rPr>
            <w:rStyle w:val="Hyperlink"/>
          </w:rPr>
          <w:t>Chapter 2</w:t>
        </w:r>
        <w:r>
          <w:rPr>
            <w:rFonts w:ascii="Calibri" w:hAnsi="Calibri"/>
            <w:b w:val="0"/>
            <w:sz w:val="22"/>
            <w:szCs w:val="22"/>
            <w:lang w:val="en-US" w:eastAsia="en-US"/>
          </w:rPr>
          <w:tab/>
        </w:r>
        <w:r w:rsidRPr="00B32E91">
          <w:rPr>
            <w:rStyle w:val="Hyperlink"/>
          </w:rPr>
          <w:t>Indonesia’s Health Profile</w:t>
        </w:r>
        <w:r>
          <w:rPr>
            <w:webHidden/>
          </w:rPr>
          <w:tab/>
        </w:r>
        <w:r>
          <w:rPr>
            <w:webHidden/>
          </w:rPr>
          <w:fldChar w:fldCharType="begin"/>
        </w:r>
        <w:r>
          <w:rPr>
            <w:webHidden/>
          </w:rPr>
          <w:instrText xml:space="preserve"> PAGEREF _Toc239163834 \h </w:instrText>
        </w:r>
        <w:r>
          <w:rPr>
            <w:webHidden/>
          </w:rPr>
          <w:fldChar w:fldCharType="separate"/>
        </w:r>
        <w:r>
          <w:rPr>
            <w:webHidden/>
          </w:rPr>
          <w:t>3</w:t>
        </w:r>
        <w:r>
          <w:rPr>
            <w:webHidden/>
          </w:rPr>
          <w:fldChar w:fldCharType="end"/>
        </w:r>
      </w:hyperlink>
    </w:p>
    <w:p w:rsidR="00E03A55" w:rsidRDefault="00E03A55">
      <w:pPr>
        <w:pStyle w:val="TOC2"/>
        <w:rPr>
          <w:rFonts w:ascii="Calibri" w:hAnsi="Calibri"/>
          <w:sz w:val="22"/>
          <w:szCs w:val="22"/>
          <w:lang w:val="en-US" w:eastAsia="en-US"/>
        </w:rPr>
      </w:pPr>
      <w:hyperlink w:anchor="_Toc239163835" w:history="1">
        <w:r w:rsidRPr="00B32E91">
          <w:rPr>
            <w:rStyle w:val="Hyperlink"/>
          </w:rPr>
          <w:t>2.1</w:t>
        </w:r>
        <w:r>
          <w:rPr>
            <w:rFonts w:ascii="Calibri" w:hAnsi="Calibri"/>
            <w:sz w:val="22"/>
            <w:szCs w:val="22"/>
            <w:lang w:val="en-US" w:eastAsia="en-US"/>
          </w:rPr>
          <w:tab/>
        </w:r>
        <w:r w:rsidRPr="00B32E91">
          <w:rPr>
            <w:rStyle w:val="Hyperlink"/>
          </w:rPr>
          <w:t>Indonesia’s Health System, Infrastructure, and Health Workforce</w:t>
        </w:r>
        <w:r>
          <w:rPr>
            <w:webHidden/>
          </w:rPr>
          <w:tab/>
        </w:r>
        <w:r>
          <w:rPr>
            <w:webHidden/>
          </w:rPr>
          <w:fldChar w:fldCharType="begin"/>
        </w:r>
        <w:r>
          <w:rPr>
            <w:webHidden/>
          </w:rPr>
          <w:instrText xml:space="preserve"> PAGEREF _Toc239163835 \h </w:instrText>
        </w:r>
        <w:r>
          <w:rPr>
            <w:webHidden/>
          </w:rPr>
          <w:fldChar w:fldCharType="separate"/>
        </w:r>
        <w:r>
          <w:rPr>
            <w:webHidden/>
          </w:rPr>
          <w:t>3</w:t>
        </w:r>
        <w:r>
          <w:rPr>
            <w:webHidden/>
          </w:rPr>
          <w:fldChar w:fldCharType="end"/>
        </w:r>
      </w:hyperlink>
    </w:p>
    <w:p w:rsidR="00E03A55" w:rsidRDefault="00E03A55">
      <w:pPr>
        <w:pStyle w:val="TOC3"/>
        <w:rPr>
          <w:rFonts w:ascii="Calibri" w:hAnsi="Calibri"/>
          <w:noProof/>
          <w:sz w:val="22"/>
          <w:szCs w:val="22"/>
          <w:lang w:val="en-US" w:eastAsia="en-US"/>
        </w:rPr>
      </w:pPr>
      <w:hyperlink w:anchor="_Toc239163836" w:history="1">
        <w:r w:rsidRPr="00B32E91">
          <w:rPr>
            <w:rStyle w:val="Hyperlink"/>
            <w:noProof/>
          </w:rPr>
          <w:t>2.1.1</w:t>
        </w:r>
        <w:r>
          <w:rPr>
            <w:rFonts w:ascii="Calibri" w:hAnsi="Calibri"/>
            <w:noProof/>
            <w:sz w:val="22"/>
            <w:szCs w:val="22"/>
            <w:lang w:val="en-US" w:eastAsia="en-US"/>
          </w:rPr>
          <w:tab/>
        </w:r>
        <w:r w:rsidRPr="00B32E91">
          <w:rPr>
            <w:rStyle w:val="Hyperlink"/>
            <w:noProof/>
          </w:rPr>
          <w:t>Indonesia’s Health System</w:t>
        </w:r>
        <w:r>
          <w:rPr>
            <w:noProof/>
            <w:webHidden/>
          </w:rPr>
          <w:tab/>
        </w:r>
        <w:r>
          <w:rPr>
            <w:noProof/>
            <w:webHidden/>
          </w:rPr>
          <w:fldChar w:fldCharType="begin"/>
        </w:r>
        <w:r>
          <w:rPr>
            <w:noProof/>
            <w:webHidden/>
          </w:rPr>
          <w:instrText xml:space="preserve"> PAGEREF _Toc239163836 \h </w:instrText>
        </w:r>
        <w:r>
          <w:rPr>
            <w:noProof/>
          </w:rPr>
        </w:r>
        <w:r>
          <w:rPr>
            <w:noProof/>
            <w:webHidden/>
          </w:rPr>
          <w:fldChar w:fldCharType="separate"/>
        </w:r>
        <w:r>
          <w:rPr>
            <w:noProof/>
            <w:webHidden/>
          </w:rPr>
          <w:t>3</w:t>
        </w:r>
        <w:r>
          <w:rPr>
            <w:noProof/>
            <w:webHidden/>
          </w:rPr>
          <w:fldChar w:fldCharType="end"/>
        </w:r>
      </w:hyperlink>
    </w:p>
    <w:p w:rsidR="00E03A55" w:rsidRDefault="00E03A55">
      <w:pPr>
        <w:pStyle w:val="TOC3"/>
        <w:rPr>
          <w:rFonts w:ascii="Calibri" w:hAnsi="Calibri"/>
          <w:noProof/>
          <w:sz w:val="22"/>
          <w:szCs w:val="22"/>
          <w:lang w:val="en-US" w:eastAsia="en-US"/>
        </w:rPr>
      </w:pPr>
      <w:hyperlink w:anchor="_Toc239163837" w:history="1">
        <w:r w:rsidRPr="00B32E91">
          <w:rPr>
            <w:rStyle w:val="Hyperlink"/>
            <w:noProof/>
          </w:rPr>
          <w:t>2.1.2</w:t>
        </w:r>
        <w:r>
          <w:rPr>
            <w:rFonts w:ascii="Calibri" w:hAnsi="Calibri"/>
            <w:noProof/>
            <w:sz w:val="22"/>
            <w:szCs w:val="22"/>
            <w:lang w:val="en-US" w:eastAsia="en-US"/>
          </w:rPr>
          <w:tab/>
        </w:r>
        <w:r w:rsidRPr="00B32E91">
          <w:rPr>
            <w:rStyle w:val="Hyperlink"/>
            <w:noProof/>
          </w:rPr>
          <w:t>Infrastructure</w:t>
        </w:r>
        <w:r>
          <w:rPr>
            <w:noProof/>
            <w:webHidden/>
          </w:rPr>
          <w:tab/>
        </w:r>
        <w:r>
          <w:rPr>
            <w:noProof/>
            <w:webHidden/>
          </w:rPr>
          <w:fldChar w:fldCharType="begin"/>
        </w:r>
        <w:r>
          <w:rPr>
            <w:noProof/>
            <w:webHidden/>
          </w:rPr>
          <w:instrText xml:space="preserve"> PAGEREF _Toc239163837 \h </w:instrText>
        </w:r>
        <w:r>
          <w:rPr>
            <w:noProof/>
          </w:rPr>
        </w:r>
        <w:r>
          <w:rPr>
            <w:noProof/>
            <w:webHidden/>
          </w:rPr>
          <w:fldChar w:fldCharType="separate"/>
        </w:r>
        <w:r>
          <w:rPr>
            <w:noProof/>
            <w:webHidden/>
          </w:rPr>
          <w:t>3</w:t>
        </w:r>
        <w:r>
          <w:rPr>
            <w:noProof/>
            <w:webHidden/>
          </w:rPr>
          <w:fldChar w:fldCharType="end"/>
        </w:r>
      </w:hyperlink>
    </w:p>
    <w:p w:rsidR="00E03A55" w:rsidRDefault="00E03A55">
      <w:pPr>
        <w:pStyle w:val="TOC3"/>
        <w:rPr>
          <w:rFonts w:ascii="Calibri" w:hAnsi="Calibri"/>
          <w:noProof/>
          <w:sz w:val="22"/>
          <w:szCs w:val="22"/>
          <w:lang w:val="en-US" w:eastAsia="en-US"/>
        </w:rPr>
      </w:pPr>
      <w:hyperlink w:anchor="_Toc239163838" w:history="1">
        <w:r w:rsidRPr="00B32E91">
          <w:rPr>
            <w:rStyle w:val="Hyperlink"/>
            <w:noProof/>
          </w:rPr>
          <w:t>2.1.3</w:t>
        </w:r>
        <w:r>
          <w:rPr>
            <w:rFonts w:ascii="Calibri" w:hAnsi="Calibri"/>
            <w:noProof/>
            <w:sz w:val="22"/>
            <w:szCs w:val="22"/>
            <w:lang w:val="en-US" w:eastAsia="en-US"/>
          </w:rPr>
          <w:tab/>
        </w:r>
        <w:r w:rsidRPr="00B32E91">
          <w:rPr>
            <w:rStyle w:val="Hyperlink"/>
            <w:noProof/>
          </w:rPr>
          <w:t>Health Workforce</w:t>
        </w:r>
        <w:r>
          <w:rPr>
            <w:noProof/>
            <w:webHidden/>
          </w:rPr>
          <w:tab/>
        </w:r>
        <w:r>
          <w:rPr>
            <w:noProof/>
            <w:webHidden/>
          </w:rPr>
          <w:fldChar w:fldCharType="begin"/>
        </w:r>
        <w:r>
          <w:rPr>
            <w:noProof/>
            <w:webHidden/>
          </w:rPr>
          <w:instrText xml:space="preserve"> PAGEREF _Toc239163838 \h </w:instrText>
        </w:r>
        <w:r>
          <w:rPr>
            <w:noProof/>
          </w:rPr>
        </w:r>
        <w:r>
          <w:rPr>
            <w:noProof/>
            <w:webHidden/>
          </w:rPr>
          <w:fldChar w:fldCharType="separate"/>
        </w:r>
        <w:r>
          <w:rPr>
            <w:noProof/>
            <w:webHidden/>
          </w:rPr>
          <w:t>3</w:t>
        </w:r>
        <w:r>
          <w:rPr>
            <w:noProof/>
            <w:webHidden/>
          </w:rPr>
          <w:fldChar w:fldCharType="end"/>
        </w:r>
      </w:hyperlink>
    </w:p>
    <w:p w:rsidR="00E03A55" w:rsidRDefault="00E03A55">
      <w:pPr>
        <w:pStyle w:val="TOC2"/>
        <w:rPr>
          <w:rFonts w:ascii="Calibri" w:hAnsi="Calibri"/>
          <w:sz w:val="22"/>
          <w:szCs w:val="22"/>
          <w:lang w:val="en-US" w:eastAsia="en-US"/>
        </w:rPr>
      </w:pPr>
      <w:hyperlink w:anchor="_Toc239163839" w:history="1">
        <w:r w:rsidRPr="00B32E91">
          <w:rPr>
            <w:rStyle w:val="Hyperlink"/>
          </w:rPr>
          <w:t>2.2</w:t>
        </w:r>
        <w:r>
          <w:rPr>
            <w:rFonts w:ascii="Calibri" w:hAnsi="Calibri"/>
            <w:sz w:val="22"/>
            <w:szCs w:val="22"/>
            <w:lang w:val="en-US" w:eastAsia="en-US"/>
          </w:rPr>
          <w:tab/>
        </w:r>
        <w:r w:rsidRPr="00B32E91">
          <w:rPr>
            <w:rStyle w:val="Hyperlink"/>
          </w:rPr>
          <w:t>Maternal Care Service</w:t>
        </w:r>
        <w:r>
          <w:rPr>
            <w:webHidden/>
          </w:rPr>
          <w:tab/>
        </w:r>
        <w:r>
          <w:rPr>
            <w:webHidden/>
          </w:rPr>
          <w:fldChar w:fldCharType="begin"/>
        </w:r>
        <w:r>
          <w:rPr>
            <w:webHidden/>
          </w:rPr>
          <w:instrText xml:space="preserve"> PAGEREF _Toc239163839 \h </w:instrText>
        </w:r>
        <w:r>
          <w:rPr>
            <w:webHidden/>
          </w:rPr>
          <w:fldChar w:fldCharType="separate"/>
        </w:r>
        <w:r>
          <w:rPr>
            <w:webHidden/>
          </w:rPr>
          <w:t>3</w:t>
        </w:r>
        <w:r>
          <w:rPr>
            <w:webHidden/>
          </w:rPr>
          <w:fldChar w:fldCharType="end"/>
        </w:r>
      </w:hyperlink>
    </w:p>
    <w:p w:rsidR="00E03A55" w:rsidRDefault="00E03A55">
      <w:pPr>
        <w:pStyle w:val="TOC2"/>
        <w:rPr>
          <w:rFonts w:ascii="Calibri" w:hAnsi="Calibri"/>
          <w:sz w:val="22"/>
          <w:szCs w:val="22"/>
          <w:lang w:val="en-US" w:eastAsia="en-US"/>
        </w:rPr>
      </w:pPr>
      <w:hyperlink w:anchor="_Toc239163840" w:history="1">
        <w:r w:rsidRPr="00B32E91">
          <w:rPr>
            <w:rStyle w:val="Hyperlink"/>
          </w:rPr>
          <w:t>2.3</w:t>
        </w:r>
        <w:r>
          <w:rPr>
            <w:rFonts w:ascii="Calibri" w:hAnsi="Calibri"/>
            <w:sz w:val="22"/>
            <w:szCs w:val="22"/>
            <w:lang w:val="en-US" w:eastAsia="en-US"/>
          </w:rPr>
          <w:tab/>
        </w:r>
        <w:r w:rsidRPr="00B32E91">
          <w:rPr>
            <w:rStyle w:val="Hyperlink"/>
          </w:rPr>
          <w:t>Indonesia’s Child Health Status</w:t>
        </w:r>
        <w:r>
          <w:rPr>
            <w:webHidden/>
          </w:rPr>
          <w:tab/>
        </w:r>
        <w:r>
          <w:rPr>
            <w:webHidden/>
          </w:rPr>
          <w:fldChar w:fldCharType="begin"/>
        </w:r>
        <w:r>
          <w:rPr>
            <w:webHidden/>
          </w:rPr>
          <w:instrText xml:space="preserve"> PAGEREF _Toc239163840 \h </w:instrText>
        </w:r>
        <w:r>
          <w:rPr>
            <w:webHidden/>
          </w:rPr>
          <w:fldChar w:fldCharType="separate"/>
        </w:r>
        <w:r>
          <w:rPr>
            <w:webHidden/>
          </w:rPr>
          <w:t>3</w:t>
        </w:r>
        <w:r>
          <w:rPr>
            <w:webHidden/>
          </w:rPr>
          <w:fldChar w:fldCharType="end"/>
        </w:r>
      </w:hyperlink>
    </w:p>
    <w:p w:rsidR="00E03A55" w:rsidRDefault="00E03A55">
      <w:pPr>
        <w:pStyle w:val="TOC2"/>
        <w:rPr>
          <w:rFonts w:ascii="Calibri" w:hAnsi="Calibri"/>
          <w:sz w:val="22"/>
          <w:szCs w:val="22"/>
          <w:lang w:val="en-US" w:eastAsia="en-US"/>
        </w:rPr>
      </w:pPr>
      <w:hyperlink w:anchor="_Toc239163841" w:history="1">
        <w:r w:rsidRPr="00B32E91">
          <w:rPr>
            <w:rStyle w:val="Hyperlink"/>
          </w:rPr>
          <w:t>2.4</w:t>
        </w:r>
        <w:r>
          <w:rPr>
            <w:rFonts w:ascii="Calibri" w:hAnsi="Calibri"/>
            <w:sz w:val="22"/>
            <w:szCs w:val="22"/>
            <w:lang w:val="en-US" w:eastAsia="en-US"/>
          </w:rPr>
          <w:tab/>
        </w:r>
        <w:r w:rsidRPr="00B32E91">
          <w:rPr>
            <w:rStyle w:val="Hyperlink"/>
          </w:rPr>
          <w:t>Public Expenditure on Health</w:t>
        </w:r>
        <w:r>
          <w:rPr>
            <w:webHidden/>
          </w:rPr>
          <w:tab/>
        </w:r>
        <w:r>
          <w:rPr>
            <w:webHidden/>
          </w:rPr>
          <w:fldChar w:fldCharType="begin"/>
        </w:r>
        <w:r>
          <w:rPr>
            <w:webHidden/>
          </w:rPr>
          <w:instrText xml:space="preserve"> PAGEREF _Toc239163841 \h </w:instrText>
        </w:r>
        <w:r>
          <w:rPr>
            <w:webHidden/>
          </w:rPr>
          <w:fldChar w:fldCharType="separate"/>
        </w:r>
        <w:r>
          <w:rPr>
            <w:webHidden/>
          </w:rPr>
          <w:t>3</w:t>
        </w:r>
        <w:r>
          <w:rPr>
            <w:webHidden/>
          </w:rPr>
          <w:fldChar w:fldCharType="end"/>
        </w:r>
      </w:hyperlink>
    </w:p>
    <w:p w:rsidR="00E03A55" w:rsidRDefault="00E03A55">
      <w:pPr>
        <w:pStyle w:val="TOC1"/>
        <w:rPr>
          <w:rFonts w:ascii="Calibri" w:hAnsi="Calibri"/>
          <w:b w:val="0"/>
          <w:sz w:val="22"/>
          <w:szCs w:val="22"/>
          <w:lang w:val="en-US" w:eastAsia="en-US"/>
        </w:rPr>
      </w:pPr>
      <w:hyperlink w:anchor="_Toc239163842" w:history="1">
        <w:r w:rsidRPr="00B32E91">
          <w:rPr>
            <w:rStyle w:val="Hyperlink"/>
          </w:rPr>
          <w:t>Chapter 3</w:t>
        </w:r>
        <w:r>
          <w:rPr>
            <w:rFonts w:ascii="Calibri" w:hAnsi="Calibri"/>
            <w:b w:val="0"/>
            <w:sz w:val="22"/>
            <w:szCs w:val="22"/>
            <w:lang w:val="en-US" w:eastAsia="en-US"/>
          </w:rPr>
          <w:tab/>
        </w:r>
        <w:r w:rsidRPr="00B32E91">
          <w:rPr>
            <w:rStyle w:val="Hyperlink"/>
          </w:rPr>
          <w:t>Literature Review</w:t>
        </w:r>
        <w:r>
          <w:rPr>
            <w:webHidden/>
          </w:rPr>
          <w:tab/>
        </w:r>
        <w:r>
          <w:rPr>
            <w:webHidden/>
          </w:rPr>
          <w:fldChar w:fldCharType="begin"/>
        </w:r>
        <w:r>
          <w:rPr>
            <w:webHidden/>
          </w:rPr>
          <w:instrText xml:space="preserve"> PAGEREF _Toc239163842 \h </w:instrText>
        </w:r>
        <w:r>
          <w:rPr>
            <w:webHidden/>
          </w:rPr>
          <w:fldChar w:fldCharType="separate"/>
        </w:r>
        <w:r>
          <w:rPr>
            <w:webHidden/>
          </w:rPr>
          <w:t>3</w:t>
        </w:r>
        <w:r>
          <w:rPr>
            <w:webHidden/>
          </w:rPr>
          <w:fldChar w:fldCharType="end"/>
        </w:r>
      </w:hyperlink>
    </w:p>
    <w:p w:rsidR="00E03A55" w:rsidRDefault="00E03A55">
      <w:pPr>
        <w:pStyle w:val="TOC2"/>
        <w:rPr>
          <w:rFonts w:ascii="Calibri" w:hAnsi="Calibri"/>
          <w:sz w:val="22"/>
          <w:szCs w:val="22"/>
          <w:lang w:val="en-US" w:eastAsia="en-US"/>
        </w:rPr>
      </w:pPr>
      <w:hyperlink w:anchor="_Toc239163843" w:history="1">
        <w:r w:rsidRPr="00B32E91">
          <w:rPr>
            <w:rStyle w:val="Hyperlink"/>
          </w:rPr>
          <w:t>3.1</w:t>
        </w:r>
        <w:r>
          <w:rPr>
            <w:rFonts w:ascii="Calibri" w:hAnsi="Calibri"/>
            <w:sz w:val="22"/>
            <w:szCs w:val="22"/>
            <w:lang w:val="en-US" w:eastAsia="en-US"/>
          </w:rPr>
          <w:tab/>
        </w:r>
        <w:r w:rsidRPr="00B32E91">
          <w:rPr>
            <w:rStyle w:val="Hyperlink"/>
          </w:rPr>
          <w:t>Public Health Expenditure and Infant Mortality</w:t>
        </w:r>
        <w:r>
          <w:rPr>
            <w:webHidden/>
          </w:rPr>
          <w:tab/>
        </w:r>
        <w:r>
          <w:rPr>
            <w:webHidden/>
          </w:rPr>
          <w:fldChar w:fldCharType="begin"/>
        </w:r>
        <w:r>
          <w:rPr>
            <w:webHidden/>
          </w:rPr>
          <w:instrText xml:space="preserve"> PAGEREF _Toc239163843 \h </w:instrText>
        </w:r>
        <w:r>
          <w:rPr>
            <w:webHidden/>
          </w:rPr>
          <w:fldChar w:fldCharType="separate"/>
        </w:r>
        <w:r>
          <w:rPr>
            <w:webHidden/>
          </w:rPr>
          <w:t>3</w:t>
        </w:r>
        <w:r>
          <w:rPr>
            <w:webHidden/>
          </w:rPr>
          <w:fldChar w:fldCharType="end"/>
        </w:r>
      </w:hyperlink>
    </w:p>
    <w:p w:rsidR="00E03A55" w:rsidRDefault="00E03A55">
      <w:pPr>
        <w:pStyle w:val="TOC2"/>
        <w:rPr>
          <w:rFonts w:ascii="Calibri" w:hAnsi="Calibri"/>
          <w:sz w:val="22"/>
          <w:szCs w:val="22"/>
          <w:lang w:val="en-US" w:eastAsia="en-US"/>
        </w:rPr>
      </w:pPr>
      <w:hyperlink w:anchor="_Toc239163844" w:history="1">
        <w:r w:rsidRPr="00B32E91">
          <w:rPr>
            <w:rStyle w:val="Hyperlink"/>
          </w:rPr>
          <w:t>3.2</w:t>
        </w:r>
        <w:r>
          <w:rPr>
            <w:rFonts w:ascii="Calibri" w:hAnsi="Calibri"/>
            <w:sz w:val="22"/>
            <w:szCs w:val="22"/>
            <w:lang w:val="en-US" w:eastAsia="en-US"/>
          </w:rPr>
          <w:tab/>
        </w:r>
        <w:r w:rsidRPr="00B32E91">
          <w:rPr>
            <w:rStyle w:val="Hyperlink"/>
          </w:rPr>
          <w:t>The Role of Skilled Birth Attendance on Infant Survival</w:t>
        </w:r>
        <w:r>
          <w:rPr>
            <w:webHidden/>
          </w:rPr>
          <w:tab/>
        </w:r>
        <w:r>
          <w:rPr>
            <w:webHidden/>
          </w:rPr>
          <w:fldChar w:fldCharType="begin"/>
        </w:r>
        <w:r>
          <w:rPr>
            <w:webHidden/>
          </w:rPr>
          <w:instrText xml:space="preserve"> PAGEREF _Toc239163844 \h </w:instrText>
        </w:r>
        <w:r>
          <w:rPr>
            <w:webHidden/>
          </w:rPr>
          <w:fldChar w:fldCharType="separate"/>
        </w:r>
        <w:r>
          <w:rPr>
            <w:webHidden/>
          </w:rPr>
          <w:t>3</w:t>
        </w:r>
        <w:r>
          <w:rPr>
            <w:webHidden/>
          </w:rPr>
          <w:fldChar w:fldCharType="end"/>
        </w:r>
      </w:hyperlink>
    </w:p>
    <w:p w:rsidR="00E03A55" w:rsidRDefault="00E03A55">
      <w:pPr>
        <w:pStyle w:val="TOC1"/>
        <w:rPr>
          <w:rFonts w:ascii="Calibri" w:hAnsi="Calibri"/>
          <w:b w:val="0"/>
          <w:sz w:val="22"/>
          <w:szCs w:val="22"/>
          <w:lang w:val="en-US" w:eastAsia="en-US"/>
        </w:rPr>
      </w:pPr>
      <w:hyperlink w:anchor="_Toc239163845" w:history="1">
        <w:r w:rsidRPr="00B32E91">
          <w:rPr>
            <w:rStyle w:val="Hyperlink"/>
          </w:rPr>
          <w:t>Chapter 4</w:t>
        </w:r>
        <w:r>
          <w:rPr>
            <w:rFonts w:ascii="Calibri" w:hAnsi="Calibri"/>
            <w:b w:val="0"/>
            <w:sz w:val="22"/>
            <w:szCs w:val="22"/>
            <w:lang w:val="en-US" w:eastAsia="en-US"/>
          </w:rPr>
          <w:tab/>
        </w:r>
        <w:r w:rsidRPr="00B32E91">
          <w:rPr>
            <w:rStyle w:val="Hyperlink"/>
          </w:rPr>
          <w:t>Methodology</w:t>
        </w:r>
        <w:r>
          <w:rPr>
            <w:webHidden/>
          </w:rPr>
          <w:tab/>
        </w:r>
        <w:r>
          <w:rPr>
            <w:webHidden/>
          </w:rPr>
          <w:fldChar w:fldCharType="begin"/>
        </w:r>
        <w:r>
          <w:rPr>
            <w:webHidden/>
          </w:rPr>
          <w:instrText xml:space="preserve"> PAGEREF _Toc239163845 \h </w:instrText>
        </w:r>
        <w:r>
          <w:rPr>
            <w:webHidden/>
          </w:rPr>
          <w:fldChar w:fldCharType="separate"/>
        </w:r>
        <w:r>
          <w:rPr>
            <w:webHidden/>
          </w:rPr>
          <w:t>3</w:t>
        </w:r>
        <w:r>
          <w:rPr>
            <w:webHidden/>
          </w:rPr>
          <w:fldChar w:fldCharType="end"/>
        </w:r>
      </w:hyperlink>
    </w:p>
    <w:p w:rsidR="00E03A55" w:rsidRDefault="00E03A55">
      <w:pPr>
        <w:pStyle w:val="TOC2"/>
        <w:rPr>
          <w:rFonts w:ascii="Calibri" w:hAnsi="Calibri"/>
          <w:sz w:val="22"/>
          <w:szCs w:val="22"/>
          <w:lang w:val="en-US" w:eastAsia="en-US"/>
        </w:rPr>
      </w:pPr>
      <w:hyperlink w:anchor="_Toc239163846" w:history="1">
        <w:r w:rsidRPr="00B32E91">
          <w:rPr>
            <w:rStyle w:val="Hyperlink"/>
          </w:rPr>
          <w:t>4.1</w:t>
        </w:r>
        <w:r>
          <w:rPr>
            <w:rFonts w:ascii="Calibri" w:hAnsi="Calibri"/>
            <w:sz w:val="22"/>
            <w:szCs w:val="22"/>
            <w:lang w:val="en-US" w:eastAsia="en-US"/>
          </w:rPr>
          <w:tab/>
        </w:r>
        <w:r w:rsidRPr="00B32E91">
          <w:rPr>
            <w:rStyle w:val="Hyperlink"/>
          </w:rPr>
          <w:t>Infant Mortality Rate: Definition and Estimation Approaches</w:t>
        </w:r>
        <w:r>
          <w:rPr>
            <w:webHidden/>
          </w:rPr>
          <w:tab/>
        </w:r>
        <w:r>
          <w:rPr>
            <w:webHidden/>
          </w:rPr>
          <w:fldChar w:fldCharType="begin"/>
        </w:r>
        <w:r>
          <w:rPr>
            <w:webHidden/>
          </w:rPr>
          <w:instrText xml:space="preserve"> PAGEREF _Toc239163846 \h </w:instrText>
        </w:r>
        <w:r>
          <w:rPr>
            <w:webHidden/>
          </w:rPr>
          <w:fldChar w:fldCharType="separate"/>
        </w:r>
        <w:r>
          <w:rPr>
            <w:webHidden/>
          </w:rPr>
          <w:t>3</w:t>
        </w:r>
        <w:r>
          <w:rPr>
            <w:webHidden/>
          </w:rPr>
          <w:fldChar w:fldCharType="end"/>
        </w:r>
      </w:hyperlink>
    </w:p>
    <w:p w:rsidR="00E03A55" w:rsidRDefault="00E03A55">
      <w:pPr>
        <w:pStyle w:val="TOC2"/>
        <w:rPr>
          <w:rFonts w:ascii="Calibri" w:hAnsi="Calibri"/>
          <w:sz w:val="22"/>
          <w:szCs w:val="22"/>
          <w:lang w:val="en-US" w:eastAsia="en-US"/>
        </w:rPr>
      </w:pPr>
      <w:hyperlink w:anchor="_Toc239163847" w:history="1">
        <w:r w:rsidRPr="00B32E91">
          <w:rPr>
            <w:rStyle w:val="Hyperlink"/>
          </w:rPr>
          <w:t>4.2</w:t>
        </w:r>
        <w:r>
          <w:rPr>
            <w:rFonts w:ascii="Calibri" w:hAnsi="Calibri"/>
            <w:sz w:val="22"/>
            <w:szCs w:val="22"/>
            <w:lang w:val="en-US" w:eastAsia="en-US"/>
          </w:rPr>
          <w:tab/>
        </w:r>
        <w:r w:rsidRPr="00B32E91">
          <w:rPr>
            <w:rStyle w:val="Hyperlink"/>
          </w:rPr>
          <w:t>Data</w:t>
        </w:r>
        <w:r>
          <w:rPr>
            <w:webHidden/>
          </w:rPr>
          <w:tab/>
        </w:r>
        <w:r>
          <w:rPr>
            <w:webHidden/>
          </w:rPr>
          <w:fldChar w:fldCharType="begin"/>
        </w:r>
        <w:r>
          <w:rPr>
            <w:webHidden/>
          </w:rPr>
          <w:instrText xml:space="preserve"> PAGEREF _Toc239163847 \h </w:instrText>
        </w:r>
        <w:r>
          <w:rPr>
            <w:webHidden/>
          </w:rPr>
          <w:fldChar w:fldCharType="separate"/>
        </w:r>
        <w:r>
          <w:rPr>
            <w:webHidden/>
          </w:rPr>
          <w:t>3</w:t>
        </w:r>
        <w:r>
          <w:rPr>
            <w:webHidden/>
          </w:rPr>
          <w:fldChar w:fldCharType="end"/>
        </w:r>
      </w:hyperlink>
    </w:p>
    <w:p w:rsidR="00E03A55" w:rsidRDefault="00E03A55">
      <w:pPr>
        <w:pStyle w:val="TOC2"/>
        <w:rPr>
          <w:rFonts w:ascii="Calibri" w:hAnsi="Calibri"/>
          <w:sz w:val="22"/>
          <w:szCs w:val="22"/>
          <w:lang w:val="en-US" w:eastAsia="en-US"/>
        </w:rPr>
      </w:pPr>
      <w:hyperlink w:anchor="_Toc239163848" w:history="1">
        <w:r w:rsidRPr="00B32E91">
          <w:rPr>
            <w:rStyle w:val="Hyperlink"/>
          </w:rPr>
          <w:t>4.3</w:t>
        </w:r>
        <w:r>
          <w:rPr>
            <w:rFonts w:ascii="Calibri" w:hAnsi="Calibri"/>
            <w:sz w:val="22"/>
            <w:szCs w:val="22"/>
            <w:lang w:val="en-US" w:eastAsia="en-US"/>
          </w:rPr>
          <w:tab/>
        </w:r>
        <w:r w:rsidRPr="00B32E91">
          <w:rPr>
            <w:rStyle w:val="Hyperlink"/>
          </w:rPr>
          <w:t>Econometrics Model</w:t>
        </w:r>
        <w:r>
          <w:rPr>
            <w:webHidden/>
          </w:rPr>
          <w:tab/>
        </w:r>
        <w:r>
          <w:rPr>
            <w:webHidden/>
          </w:rPr>
          <w:fldChar w:fldCharType="begin"/>
        </w:r>
        <w:r>
          <w:rPr>
            <w:webHidden/>
          </w:rPr>
          <w:instrText xml:space="preserve"> PAGEREF _Toc239163848 \h </w:instrText>
        </w:r>
        <w:r>
          <w:rPr>
            <w:webHidden/>
          </w:rPr>
          <w:fldChar w:fldCharType="separate"/>
        </w:r>
        <w:r>
          <w:rPr>
            <w:webHidden/>
          </w:rPr>
          <w:t>3</w:t>
        </w:r>
        <w:r>
          <w:rPr>
            <w:webHidden/>
          </w:rPr>
          <w:fldChar w:fldCharType="end"/>
        </w:r>
      </w:hyperlink>
    </w:p>
    <w:p w:rsidR="00E03A55" w:rsidRDefault="00E03A55">
      <w:pPr>
        <w:pStyle w:val="TOC1"/>
        <w:rPr>
          <w:rFonts w:ascii="Calibri" w:hAnsi="Calibri"/>
          <w:b w:val="0"/>
          <w:sz w:val="22"/>
          <w:szCs w:val="22"/>
          <w:lang w:val="en-US" w:eastAsia="en-US"/>
        </w:rPr>
      </w:pPr>
      <w:hyperlink w:anchor="_Toc239163849" w:history="1">
        <w:r w:rsidRPr="00B32E91">
          <w:rPr>
            <w:rStyle w:val="Hyperlink"/>
          </w:rPr>
          <w:t>Chapter 5</w:t>
        </w:r>
        <w:r>
          <w:rPr>
            <w:rFonts w:ascii="Calibri" w:hAnsi="Calibri"/>
            <w:b w:val="0"/>
            <w:sz w:val="22"/>
            <w:szCs w:val="22"/>
            <w:lang w:val="en-US" w:eastAsia="en-US"/>
          </w:rPr>
          <w:tab/>
        </w:r>
        <w:r w:rsidRPr="00B32E91">
          <w:rPr>
            <w:rStyle w:val="Hyperlink"/>
          </w:rPr>
          <w:t>Results</w:t>
        </w:r>
        <w:r>
          <w:rPr>
            <w:webHidden/>
          </w:rPr>
          <w:tab/>
        </w:r>
        <w:r>
          <w:rPr>
            <w:webHidden/>
          </w:rPr>
          <w:fldChar w:fldCharType="begin"/>
        </w:r>
        <w:r>
          <w:rPr>
            <w:webHidden/>
          </w:rPr>
          <w:instrText xml:space="preserve"> PAGEREF _Toc239163849 \h </w:instrText>
        </w:r>
        <w:r>
          <w:rPr>
            <w:webHidden/>
          </w:rPr>
          <w:fldChar w:fldCharType="separate"/>
        </w:r>
        <w:r>
          <w:rPr>
            <w:webHidden/>
          </w:rPr>
          <w:t>3</w:t>
        </w:r>
        <w:r>
          <w:rPr>
            <w:webHidden/>
          </w:rPr>
          <w:fldChar w:fldCharType="end"/>
        </w:r>
      </w:hyperlink>
    </w:p>
    <w:p w:rsidR="00E03A55" w:rsidRDefault="00E03A55">
      <w:pPr>
        <w:pStyle w:val="TOC2"/>
        <w:rPr>
          <w:rFonts w:ascii="Calibri" w:hAnsi="Calibri"/>
          <w:sz w:val="22"/>
          <w:szCs w:val="22"/>
          <w:lang w:val="en-US" w:eastAsia="en-US"/>
        </w:rPr>
      </w:pPr>
      <w:hyperlink w:anchor="_Toc239163850" w:history="1">
        <w:r w:rsidRPr="00B32E91">
          <w:rPr>
            <w:rStyle w:val="Hyperlink"/>
          </w:rPr>
          <w:t>5.1</w:t>
        </w:r>
        <w:r>
          <w:rPr>
            <w:rFonts w:ascii="Calibri" w:hAnsi="Calibri"/>
            <w:sz w:val="22"/>
            <w:szCs w:val="22"/>
            <w:lang w:val="en-US" w:eastAsia="en-US"/>
          </w:rPr>
          <w:tab/>
        </w:r>
        <w:r w:rsidRPr="00B32E91">
          <w:rPr>
            <w:rStyle w:val="Hyperlink"/>
          </w:rPr>
          <w:t>Descriptive Analysis</w:t>
        </w:r>
        <w:r>
          <w:rPr>
            <w:webHidden/>
          </w:rPr>
          <w:tab/>
        </w:r>
        <w:r>
          <w:rPr>
            <w:webHidden/>
          </w:rPr>
          <w:fldChar w:fldCharType="begin"/>
        </w:r>
        <w:r>
          <w:rPr>
            <w:webHidden/>
          </w:rPr>
          <w:instrText xml:space="preserve"> PAGEREF _Toc239163850 \h </w:instrText>
        </w:r>
        <w:r>
          <w:rPr>
            <w:webHidden/>
          </w:rPr>
          <w:fldChar w:fldCharType="separate"/>
        </w:r>
        <w:r>
          <w:rPr>
            <w:webHidden/>
          </w:rPr>
          <w:t>3</w:t>
        </w:r>
        <w:r>
          <w:rPr>
            <w:webHidden/>
          </w:rPr>
          <w:fldChar w:fldCharType="end"/>
        </w:r>
      </w:hyperlink>
    </w:p>
    <w:p w:rsidR="00E03A55" w:rsidRDefault="00E03A55">
      <w:pPr>
        <w:pStyle w:val="TOC2"/>
        <w:rPr>
          <w:rFonts w:ascii="Calibri" w:hAnsi="Calibri"/>
          <w:sz w:val="22"/>
          <w:szCs w:val="22"/>
          <w:lang w:val="en-US" w:eastAsia="en-US"/>
        </w:rPr>
      </w:pPr>
      <w:hyperlink w:anchor="_Toc239163851" w:history="1">
        <w:r w:rsidRPr="00B32E91">
          <w:rPr>
            <w:rStyle w:val="Hyperlink"/>
          </w:rPr>
          <w:t>5.2</w:t>
        </w:r>
        <w:r>
          <w:rPr>
            <w:rFonts w:ascii="Calibri" w:hAnsi="Calibri"/>
            <w:sz w:val="22"/>
            <w:szCs w:val="22"/>
            <w:lang w:val="en-US" w:eastAsia="en-US"/>
          </w:rPr>
          <w:tab/>
        </w:r>
        <w:r w:rsidRPr="00B32E91">
          <w:rPr>
            <w:rStyle w:val="Hyperlink"/>
          </w:rPr>
          <w:t>Impact of Public Health Spending on Infant Mortality</w:t>
        </w:r>
        <w:r>
          <w:rPr>
            <w:webHidden/>
          </w:rPr>
          <w:tab/>
        </w:r>
        <w:r>
          <w:rPr>
            <w:webHidden/>
          </w:rPr>
          <w:fldChar w:fldCharType="begin"/>
        </w:r>
        <w:r>
          <w:rPr>
            <w:webHidden/>
          </w:rPr>
          <w:instrText xml:space="preserve"> PAGEREF _Toc239163851 \h </w:instrText>
        </w:r>
        <w:r>
          <w:rPr>
            <w:webHidden/>
          </w:rPr>
          <w:fldChar w:fldCharType="separate"/>
        </w:r>
        <w:r>
          <w:rPr>
            <w:webHidden/>
          </w:rPr>
          <w:t>3</w:t>
        </w:r>
        <w:r>
          <w:rPr>
            <w:webHidden/>
          </w:rPr>
          <w:fldChar w:fldCharType="end"/>
        </w:r>
      </w:hyperlink>
    </w:p>
    <w:p w:rsidR="00E03A55" w:rsidRDefault="00E03A55">
      <w:pPr>
        <w:pStyle w:val="TOC2"/>
        <w:rPr>
          <w:rFonts w:ascii="Calibri" w:hAnsi="Calibri"/>
          <w:sz w:val="22"/>
          <w:szCs w:val="22"/>
          <w:lang w:val="en-US" w:eastAsia="en-US"/>
        </w:rPr>
      </w:pPr>
      <w:hyperlink w:anchor="_Toc239163852" w:history="1">
        <w:r w:rsidRPr="00B32E91">
          <w:rPr>
            <w:rStyle w:val="Hyperlink"/>
          </w:rPr>
          <w:t>5.3</w:t>
        </w:r>
        <w:r>
          <w:rPr>
            <w:rFonts w:ascii="Calibri" w:hAnsi="Calibri"/>
            <w:sz w:val="22"/>
            <w:szCs w:val="22"/>
            <w:lang w:val="en-US" w:eastAsia="en-US"/>
          </w:rPr>
          <w:tab/>
        </w:r>
        <w:r w:rsidRPr="00B32E91">
          <w:rPr>
            <w:rStyle w:val="Hyperlink"/>
          </w:rPr>
          <w:t>Impact of Public Health Spending on Skilled Birth Attendance</w:t>
        </w:r>
        <w:r>
          <w:rPr>
            <w:webHidden/>
          </w:rPr>
          <w:tab/>
        </w:r>
        <w:r>
          <w:rPr>
            <w:webHidden/>
          </w:rPr>
          <w:fldChar w:fldCharType="begin"/>
        </w:r>
        <w:r>
          <w:rPr>
            <w:webHidden/>
          </w:rPr>
          <w:instrText xml:space="preserve"> PAGEREF _Toc239163852 \h </w:instrText>
        </w:r>
        <w:r>
          <w:rPr>
            <w:webHidden/>
          </w:rPr>
          <w:fldChar w:fldCharType="separate"/>
        </w:r>
        <w:r>
          <w:rPr>
            <w:webHidden/>
          </w:rPr>
          <w:t>3</w:t>
        </w:r>
        <w:r>
          <w:rPr>
            <w:webHidden/>
          </w:rPr>
          <w:fldChar w:fldCharType="end"/>
        </w:r>
      </w:hyperlink>
    </w:p>
    <w:p w:rsidR="00E03A55" w:rsidRDefault="00E03A55">
      <w:pPr>
        <w:pStyle w:val="TOC2"/>
        <w:rPr>
          <w:rFonts w:ascii="Calibri" w:hAnsi="Calibri"/>
          <w:sz w:val="22"/>
          <w:szCs w:val="22"/>
          <w:lang w:val="en-US" w:eastAsia="en-US"/>
        </w:rPr>
      </w:pPr>
      <w:hyperlink w:anchor="_Toc239163853" w:history="1">
        <w:r w:rsidRPr="00B32E91">
          <w:rPr>
            <w:rStyle w:val="Hyperlink"/>
          </w:rPr>
          <w:t>5.4</w:t>
        </w:r>
        <w:r>
          <w:rPr>
            <w:rFonts w:ascii="Calibri" w:hAnsi="Calibri"/>
            <w:sz w:val="22"/>
            <w:szCs w:val="22"/>
            <w:lang w:val="en-US" w:eastAsia="en-US"/>
          </w:rPr>
          <w:tab/>
        </w:r>
        <w:r w:rsidRPr="00B32E91">
          <w:rPr>
            <w:rStyle w:val="Hyperlink"/>
          </w:rPr>
          <w:t>Impact of Skilled Birth Attendance on Infant Mortality</w:t>
        </w:r>
        <w:r>
          <w:rPr>
            <w:webHidden/>
          </w:rPr>
          <w:tab/>
        </w:r>
        <w:r>
          <w:rPr>
            <w:webHidden/>
          </w:rPr>
          <w:fldChar w:fldCharType="begin"/>
        </w:r>
        <w:r>
          <w:rPr>
            <w:webHidden/>
          </w:rPr>
          <w:instrText xml:space="preserve"> PAGEREF _Toc239163853 \h </w:instrText>
        </w:r>
        <w:r>
          <w:rPr>
            <w:webHidden/>
          </w:rPr>
          <w:fldChar w:fldCharType="separate"/>
        </w:r>
        <w:r>
          <w:rPr>
            <w:webHidden/>
          </w:rPr>
          <w:t>3</w:t>
        </w:r>
        <w:r>
          <w:rPr>
            <w:webHidden/>
          </w:rPr>
          <w:fldChar w:fldCharType="end"/>
        </w:r>
      </w:hyperlink>
    </w:p>
    <w:p w:rsidR="00E03A55" w:rsidRDefault="00E03A55">
      <w:pPr>
        <w:pStyle w:val="TOC1"/>
        <w:rPr>
          <w:rFonts w:ascii="Calibri" w:hAnsi="Calibri"/>
          <w:b w:val="0"/>
          <w:sz w:val="22"/>
          <w:szCs w:val="22"/>
          <w:lang w:val="en-US" w:eastAsia="en-US"/>
        </w:rPr>
      </w:pPr>
      <w:hyperlink w:anchor="_Toc239163854" w:history="1">
        <w:r w:rsidRPr="00B32E91">
          <w:rPr>
            <w:rStyle w:val="Hyperlink"/>
          </w:rPr>
          <w:t>Chapter 6</w:t>
        </w:r>
        <w:r>
          <w:rPr>
            <w:rFonts w:ascii="Calibri" w:hAnsi="Calibri"/>
            <w:b w:val="0"/>
            <w:sz w:val="22"/>
            <w:szCs w:val="22"/>
            <w:lang w:val="en-US" w:eastAsia="en-US"/>
          </w:rPr>
          <w:tab/>
        </w:r>
        <w:r w:rsidRPr="00B32E91">
          <w:rPr>
            <w:rStyle w:val="Hyperlink"/>
          </w:rPr>
          <w:t>Conclusions and Policy Recommendations</w:t>
        </w:r>
        <w:r>
          <w:rPr>
            <w:webHidden/>
          </w:rPr>
          <w:tab/>
        </w:r>
        <w:r>
          <w:rPr>
            <w:webHidden/>
          </w:rPr>
          <w:fldChar w:fldCharType="begin"/>
        </w:r>
        <w:r>
          <w:rPr>
            <w:webHidden/>
          </w:rPr>
          <w:instrText xml:space="preserve"> PAGEREF _Toc239163854 \h </w:instrText>
        </w:r>
        <w:r>
          <w:rPr>
            <w:webHidden/>
          </w:rPr>
          <w:fldChar w:fldCharType="separate"/>
        </w:r>
        <w:r>
          <w:rPr>
            <w:webHidden/>
          </w:rPr>
          <w:t>3</w:t>
        </w:r>
        <w:r>
          <w:rPr>
            <w:webHidden/>
          </w:rPr>
          <w:fldChar w:fldCharType="end"/>
        </w:r>
      </w:hyperlink>
    </w:p>
    <w:p w:rsidR="00E03A55" w:rsidRPr="001A44F6" w:rsidRDefault="00E03A55" w:rsidP="00256D17">
      <w:pPr>
        <w:pStyle w:val="TOC1"/>
        <w:rPr>
          <w:b w:val="0"/>
          <w:sz w:val="36"/>
          <w:szCs w:val="36"/>
        </w:rPr>
      </w:pPr>
      <w:hyperlink w:anchor="_Toc239163855" w:history="1">
        <w:r w:rsidRPr="00B32E91">
          <w:rPr>
            <w:rStyle w:val="Hyperlink"/>
          </w:rPr>
          <w:t>References</w:t>
        </w:r>
        <w:r>
          <w:rPr>
            <w:webHidden/>
          </w:rPr>
          <w:tab/>
        </w:r>
        <w:r>
          <w:rPr>
            <w:webHidden/>
          </w:rPr>
          <w:tab/>
        </w:r>
        <w:r>
          <w:rPr>
            <w:webHidden/>
          </w:rPr>
          <w:fldChar w:fldCharType="begin"/>
        </w:r>
        <w:r>
          <w:rPr>
            <w:webHidden/>
          </w:rPr>
          <w:instrText xml:space="preserve"> PAGEREF _Toc239163855 \h </w:instrText>
        </w:r>
        <w:r>
          <w:rPr>
            <w:webHidden/>
          </w:rPr>
          <w:fldChar w:fldCharType="separate"/>
        </w:r>
        <w:r>
          <w:rPr>
            <w:webHidden/>
          </w:rPr>
          <w:t>3</w:t>
        </w:r>
        <w:r>
          <w:rPr>
            <w:webHidden/>
          </w:rPr>
          <w:fldChar w:fldCharType="end"/>
        </w:r>
      </w:hyperlink>
      <w:r w:rsidRPr="00256D17">
        <w:fldChar w:fldCharType="end"/>
      </w:r>
    </w:p>
    <w:p w:rsidR="00E03A55" w:rsidRDefault="00E03A55" w:rsidP="00793916">
      <w:pPr>
        <w:pStyle w:val="Heading1"/>
        <w:numPr>
          <w:ilvl w:val="0"/>
          <w:numId w:val="0"/>
        </w:numPr>
        <w:tabs>
          <w:tab w:val="clear" w:pos="567"/>
          <w:tab w:val="left" w:pos="0"/>
        </w:tabs>
      </w:pPr>
      <w:bookmarkStart w:id="12" w:name="_Toc239163829"/>
      <w:r>
        <w:t>List of Tables</w:t>
      </w:r>
      <w:bookmarkEnd w:id="12"/>
    </w:p>
    <w:p w:rsidR="00E03A55" w:rsidRPr="00115A7D" w:rsidRDefault="00E03A55" w:rsidP="007E6AB6">
      <w:pPr>
        <w:pStyle w:val="TableofFigures"/>
        <w:tabs>
          <w:tab w:val="left" w:pos="993"/>
          <w:tab w:val="right" w:leader="dot" w:pos="7360"/>
        </w:tabs>
        <w:ind w:firstLine="0"/>
        <w:rPr>
          <w:noProof/>
          <w:sz w:val="22"/>
          <w:szCs w:val="22"/>
          <w:lang w:val="en-US" w:eastAsia="en-US"/>
        </w:rPr>
      </w:pPr>
      <w:r w:rsidRPr="00115A7D">
        <w:fldChar w:fldCharType="begin"/>
      </w:r>
      <w:r w:rsidRPr="00115A7D">
        <w:instrText xml:space="preserve"> TOC \h \z \c "Table" </w:instrText>
      </w:r>
      <w:r w:rsidRPr="00115A7D">
        <w:fldChar w:fldCharType="separate"/>
      </w:r>
      <w:hyperlink w:anchor="_Toc239157729" w:history="1">
        <w:r w:rsidRPr="00115A7D">
          <w:rPr>
            <w:rStyle w:val="Hyperlink"/>
            <w:rFonts w:cs="Arial"/>
            <w:noProof/>
          </w:rPr>
          <w:t xml:space="preserve">Table 2.1 </w:t>
        </w:r>
        <w:r>
          <w:rPr>
            <w:rStyle w:val="Hyperlink"/>
            <w:rFonts w:cs="Arial"/>
            <w:noProof/>
          </w:rPr>
          <w:tab/>
        </w:r>
        <w:r w:rsidRPr="00115A7D">
          <w:rPr>
            <w:rStyle w:val="Hyperlink"/>
            <w:rFonts w:cs="Arial"/>
            <w:noProof/>
          </w:rPr>
          <w:t>A List of the Main</w:t>
        </w:r>
        <w:r w:rsidRPr="00115A7D">
          <w:rPr>
            <w:rStyle w:val="Hyperlink"/>
            <w:rFonts w:cs="Arial"/>
            <w:noProof/>
            <w:lang w:val="en-US"/>
          </w:rPr>
          <w:t xml:space="preserve"> </w:t>
        </w:r>
        <w:r w:rsidRPr="00115A7D">
          <w:rPr>
            <w:rStyle w:val="Hyperlink"/>
            <w:rFonts w:cs="Arial"/>
            <w:i/>
            <w:noProof/>
            <w:lang w:val="en-US"/>
          </w:rPr>
          <w:t>Puskesmas</w:t>
        </w:r>
        <w:r w:rsidRPr="00115A7D">
          <w:rPr>
            <w:rStyle w:val="Hyperlink"/>
            <w:rFonts w:cs="Arial"/>
            <w:noProof/>
          </w:rPr>
          <w:t xml:space="preserve"> Activities</w:t>
        </w:r>
        <w:r w:rsidRPr="00115A7D">
          <w:rPr>
            <w:noProof/>
            <w:webHidden/>
          </w:rPr>
          <w:tab/>
        </w:r>
        <w:r w:rsidRPr="00115A7D">
          <w:rPr>
            <w:noProof/>
            <w:webHidden/>
          </w:rPr>
          <w:fldChar w:fldCharType="begin"/>
        </w:r>
        <w:r w:rsidRPr="00115A7D">
          <w:rPr>
            <w:noProof/>
            <w:webHidden/>
          </w:rPr>
          <w:instrText xml:space="preserve"> PAGEREF _Toc239157729 \h </w:instrText>
        </w:r>
        <w:r>
          <w:rPr>
            <w:noProof/>
          </w:rPr>
        </w:r>
        <w:r w:rsidRPr="00115A7D">
          <w:rPr>
            <w:noProof/>
            <w:webHidden/>
          </w:rPr>
          <w:fldChar w:fldCharType="separate"/>
        </w:r>
        <w:r>
          <w:rPr>
            <w:noProof/>
            <w:webHidden/>
          </w:rPr>
          <w:t>3</w:t>
        </w:r>
        <w:r w:rsidRPr="00115A7D">
          <w:rPr>
            <w:noProof/>
            <w:webHidden/>
          </w:rPr>
          <w:fldChar w:fldCharType="end"/>
        </w:r>
      </w:hyperlink>
    </w:p>
    <w:p w:rsidR="00E03A55" w:rsidRPr="00115A7D" w:rsidRDefault="00E03A55" w:rsidP="007E6AB6">
      <w:pPr>
        <w:pStyle w:val="TableofFigures"/>
        <w:tabs>
          <w:tab w:val="left" w:pos="993"/>
          <w:tab w:val="right" w:leader="dot" w:pos="7360"/>
        </w:tabs>
        <w:ind w:firstLine="0"/>
        <w:rPr>
          <w:noProof/>
          <w:sz w:val="22"/>
          <w:szCs w:val="22"/>
          <w:lang w:val="en-US" w:eastAsia="en-US"/>
        </w:rPr>
      </w:pPr>
      <w:hyperlink w:anchor="_Toc239157730" w:history="1">
        <w:r w:rsidRPr="00115A7D">
          <w:rPr>
            <w:rStyle w:val="Hyperlink"/>
            <w:rFonts w:cs="Arial"/>
            <w:noProof/>
          </w:rPr>
          <w:t xml:space="preserve">Table 2.2 </w:t>
        </w:r>
        <w:r>
          <w:rPr>
            <w:rStyle w:val="Hyperlink"/>
            <w:rFonts w:cs="Arial"/>
            <w:noProof/>
          </w:rPr>
          <w:tab/>
        </w:r>
        <w:r w:rsidRPr="00115A7D">
          <w:rPr>
            <w:rStyle w:val="Hyperlink"/>
            <w:rFonts w:cs="Arial"/>
            <w:noProof/>
          </w:rPr>
          <w:t>Number of General Hospital by Ownership 2003-2007</w:t>
        </w:r>
        <w:r w:rsidRPr="00115A7D">
          <w:rPr>
            <w:noProof/>
            <w:webHidden/>
          </w:rPr>
          <w:tab/>
        </w:r>
        <w:r w:rsidRPr="00115A7D">
          <w:rPr>
            <w:noProof/>
            <w:webHidden/>
          </w:rPr>
          <w:fldChar w:fldCharType="begin"/>
        </w:r>
        <w:r w:rsidRPr="00115A7D">
          <w:rPr>
            <w:noProof/>
            <w:webHidden/>
          </w:rPr>
          <w:instrText xml:space="preserve"> PAGEREF _Toc239157730 \h </w:instrText>
        </w:r>
        <w:r>
          <w:rPr>
            <w:noProof/>
          </w:rPr>
        </w:r>
        <w:r w:rsidRPr="00115A7D">
          <w:rPr>
            <w:noProof/>
            <w:webHidden/>
          </w:rPr>
          <w:fldChar w:fldCharType="separate"/>
        </w:r>
        <w:r>
          <w:rPr>
            <w:noProof/>
            <w:webHidden/>
          </w:rPr>
          <w:t>3</w:t>
        </w:r>
        <w:r w:rsidRPr="00115A7D">
          <w:rPr>
            <w:noProof/>
            <w:webHidden/>
          </w:rPr>
          <w:fldChar w:fldCharType="end"/>
        </w:r>
      </w:hyperlink>
    </w:p>
    <w:p w:rsidR="00E03A55" w:rsidRPr="00115A7D" w:rsidRDefault="00E03A55" w:rsidP="007E6AB6">
      <w:pPr>
        <w:pStyle w:val="TableofFigures"/>
        <w:tabs>
          <w:tab w:val="left" w:pos="993"/>
          <w:tab w:val="right" w:leader="dot" w:pos="7360"/>
        </w:tabs>
        <w:ind w:firstLine="0"/>
        <w:rPr>
          <w:noProof/>
          <w:sz w:val="22"/>
          <w:szCs w:val="22"/>
          <w:lang w:val="en-US" w:eastAsia="en-US"/>
        </w:rPr>
      </w:pPr>
      <w:hyperlink w:anchor="_Toc239157731" w:history="1">
        <w:r w:rsidRPr="00115A7D">
          <w:rPr>
            <w:rStyle w:val="Hyperlink"/>
            <w:rFonts w:cs="Arial"/>
            <w:noProof/>
          </w:rPr>
          <w:t xml:space="preserve">Table 2.3 </w:t>
        </w:r>
        <w:r>
          <w:rPr>
            <w:rStyle w:val="Hyperlink"/>
            <w:rFonts w:cs="Arial"/>
            <w:noProof/>
          </w:rPr>
          <w:tab/>
        </w:r>
        <w:r w:rsidRPr="00115A7D">
          <w:rPr>
            <w:rStyle w:val="Hyperlink"/>
            <w:rFonts w:cs="Arial"/>
            <w:noProof/>
          </w:rPr>
          <w:t>Number of Beds in General Hospital by Ownership 2003-2007</w:t>
        </w:r>
        <w:r w:rsidRPr="00115A7D">
          <w:rPr>
            <w:noProof/>
            <w:webHidden/>
          </w:rPr>
          <w:tab/>
        </w:r>
        <w:r w:rsidRPr="00115A7D">
          <w:rPr>
            <w:noProof/>
            <w:webHidden/>
          </w:rPr>
          <w:fldChar w:fldCharType="begin"/>
        </w:r>
        <w:r w:rsidRPr="00115A7D">
          <w:rPr>
            <w:noProof/>
            <w:webHidden/>
          </w:rPr>
          <w:instrText xml:space="preserve"> PAGEREF _Toc239157731 \h </w:instrText>
        </w:r>
        <w:r>
          <w:rPr>
            <w:noProof/>
          </w:rPr>
        </w:r>
        <w:r w:rsidRPr="00115A7D">
          <w:rPr>
            <w:noProof/>
            <w:webHidden/>
          </w:rPr>
          <w:fldChar w:fldCharType="separate"/>
        </w:r>
        <w:r>
          <w:rPr>
            <w:noProof/>
            <w:webHidden/>
          </w:rPr>
          <w:t>3</w:t>
        </w:r>
        <w:r w:rsidRPr="00115A7D">
          <w:rPr>
            <w:noProof/>
            <w:webHidden/>
          </w:rPr>
          <w:fldChar w:fldCharType="end"/>
        </w:r>
      </w:hyperlink>
    </w:p>
    <w:p w:rsidR="00E03A55" w:rsidRPr="00115A7D" w:rsidRDefault="00E03A55" w:rsidP="007E6AB6">
      <w:pPr>
        <w:pStyle w:val="TableofFigures"/>
        <w:tabs>
          <w:tab w:val="left" w:pos="993"/>
          <w:tab w:val="right" w:leader="dot" w:pos="7360"/>
        </w:tabs>
        <w:ind w:left="993" w:hanging="993"/>
        <w:rPr>
          <w:noProof/>
          <w:sz w:val="22"/>
          <w:szCs w:val="22"/>
          <w:lang w:val="en-US" w:eastAsia="en-US"/>
        </w:rPr>
      </w:pPr>
      <w:hyperlink w:anchor="_Toc239157732" w:history="1">
        <w:r w:rsidRPr="00115A7D">
          <w:rPr>
            <w:rStyle w:val="Hyperlink"/>
            <w:rFonts w:cs="Arial"/>
            <w:noProof/>
          </w:rPr>
          <w:t xml:space="preserve">Table 2.4 </w:t>
        </w:r>
        <w:r>
          <w:rPr>
            <w:rStyle w:val="Hyperlink"/>
            <w:rFonts w:cs="Arial"/>
            <w:noProof/>
          </w:rPr>
          <w:tab/>
        </w:r>
        <w:r w:rsidRPr="00115A7D">
          <w:rPr>
            <w:rStyle w:val="Hyperlink"/>
            <w:rFonts w:cs="Arial"/>
            <w:noProof/>
          </w:rPr>
          <w:t>Total Number and Ratio of General Practioner in Indonesia by Region 1996-2006</w:t>
        </w:r>
        <w:r w:rsidRPr="00115A7D">
          <w:rPr>
            <w:noProof/>
            <w:webHidden/>
          </w:rPr>
          <w:tab/>
        </w:r>
        <w:r w:rsidRPr="00115A7D">
          <w:rPr>
            <w:noProof/>
            <w:webHidden/>
          </w:rPr>
          <w:fldChar w:fldCharType="begin"/>
        </w:r>
        <w:r w:rsidRPr="00115A7D">
          <w:rPr>
            <w:noProof/>
            <w:webHidden/>
          </w:rPr>
          <w:instrText xml:space="preserve"> PAGEREF _Toc239157732 \h </w:instrText>
        </w:r>
        <w:r>
          <w:rPr>
            <w:noProof/>
          </w:rPr>
        </w:r>
        <w:r w:rsidRPr="00115A7D">
          <w:rPr>
            <w:noProof/>
            <w:webHidden/>
          </w:rPr>
          <w:fldChar w:fldCharType="separate"/>
        </w:r>
        <w:r>
          <w:rPr>
            <w:noProof/>
            <w:webHidden/>
          </w:rPr>
          <w:t>3</w:t>
        </w:r>
        <w:r w:rsidRPr="00115A7D">
          <w:rPr>
            <w:noProof/>
            <w:webHidden/>
          </w:rPr>
          <w:fldChar w:fldCharType="end"/>
        </w:r>
      </w:hyperlink>
    </w:p>
    <w:p w:rsidR="00E03A55" w:rsidRPr="00115A7D" w:rsidRDefault="00E03A55" w:rsidP="007E6AB6">
      <w:pPr>
        <w:pStyle w:val="TableofFigures"/>
        <w:tabs>
          <w:tab w:val="left" w:pos="993"/>
          <w:tab w:val="right" w:leader="dot" w:pos="7360"/>
        </w:tabs>
        <w:ind w:left="993" w:hanging="993"/>
        <w:rPr>
          <w:noProof/>
          <w:sz w:val="22"/>
          <w:szCs w:val="22"/>
          <w:lang w:val="en-US" w:eastAsia="en-US"/>
        </w:rPr>
      </w:pPr>
      <w:hyperlink w:anchor="_Toc239157733" w:history="1">
        <w:r w:rsidRPr="00115A7D">
          <w:rPr>
            <w:rStyle w:val="Hyperlink"/>
            <w:rFonts w:cs="Arial"/>
            <w:noProof/>
          </w:rPr>
          <w:t xml:space="preserve">Table 2.5 </w:t>
        </w:r>
        <w:r>
          <w:rPr>
            <w:rStyle w:val="Hyperlink"/>
            <w:rFonts w:cs="Arial"/>
            <w:noProof/>
          </w:rPr>
          <w:tab/>
        </w:r>
        <w:r w:rsidRPr="00115A7D">
          <w:rPr>
            <w:rStyle w:val="Hyperlink"/>
            <w:rFonts w:cs="Arial"/>
            <w:noProof/>
          </w:rPr>
          <w:t>Total Number and Ratio of Midwives in Indonesia by Region, 1996-2006</w:t>
        </w:r>
        <w:r>
          <w:rPr>
            <w:noProof/>
            <w:webHidden/>
          </w:rPr>
          <w:tab/>
        </w:r>
        <w:r w:rsidRPr="00115A7D">
          <w:rPr>
            <w:noProof/>
            <w:webHidden/>
          </w:rPr>
          <w:fldChar w:fldCharType="begin"/>
        </w:r>
        <w:r w:rsidRPr="00115A7D">
          <w:rPr>
            <w:noProof/>
            <w:webHidden/>
          </w:rPr>
          <w:instrText xml:space="preserve"> PAGEREF _Toc239157733 \h </w:instrText>
        </w:r>
        <w:r>
          <w:rPr>
            <w:noProof/>
          </w:rPr>
        </w:r>
        <w:r w:rsidRPr="00115A7D">
          <w:rPr>
            <w:noProof/>
            <w:webHidden/>
          </w:rPr>
          <w:fldChar w:fldCharType="separate"/>
        </w:r>
        <w:r>
          <w:rPr>
            <w:noProof/>
            <w:webHidden/>
          </w:rPr>
          <w:t>3</w:t>
        </w:r>
        <w:r w:rsidRPr="00115A7D">
          <w:rPr>
            <w:noProof/>
            <w:webHidden/>
          </w:rPr>
          <w:fldChar w:fldCharType="end"/>
        </w:r>
      </w:hyperlink>
    </w:p>
    <w:p w:rsidR="00E03A55" w:rsidRPr="00115A7D" w:rsidRDefault="00E03A55" w:rsidP="007E6AB6">
      <w:pPr>
        <w:pStyle w:val="TableofFigures"/>
        <w:tabs>
          <w:tab w:val="left" w:pos="993"/>
          <w:tab w:val="right" w:leader="dot" w:pos="7360"/>
        </w:tabs>
        <w:ind w:firstLine="0"/>
        <w:rPr>
          <w:noProof/>
          <w:sz w:val="22"/>
          <w:szCs w:val="22"/>
          <w:lang w:val="en-US" w:eastAsia="en-US"/>
        </w:rPr>
      </w:pPr>
      <w:hyperlink w:anchor="_Toc239157734" w:history="1">
        <w:r w:rsidRPr="00115A7D">
          <w:rPr>
            <w:rStyle w:val="Hyperlink"/>
            <w:rFonts w:cs="Arial"/>
            <w:noProof/>
          </w:rPr>
          <w:t xml:space="preserve">Table 2.6 </w:t>
        </w:r>
        <w:r>
          <w:rPr>
            <w:rStyle w:val="Hyperlink"/>
            <w:rFonts w:cs="Arial"/>
            <w:noProof/>
          </w:rPr>
          <w:tab/>
        </w:r>
        <w:r w:rsidRPr="00115A7D">
          <w:rPr>
            <w:rStyle w:val="Hyperlink"/>
            <w:rFonts w:cs="Arial"/>
            <w:noProof/>
          </w:rPr>
          <w:t>Trends in Indonesia Public Health Expenditures, 2001-2007</w:t>
        </w:r>
        <w:r w:rsidRPr="00115A7D">
          <w:rPr>
            <w:noProof/>
            <w:webHidden/>
          </w:rPr>
          <w:tab/>
        </w:r>
        <w:r w:rsidRPr="00115A7D">
          <w:rPr>
            <w:noProof/>
            <w:webHidden/>
          </w:rPr>
          <w:fldChar w:fldCharType="begin"/>
        </w:r>
        <w:r w:rsidRPr="00115A7D">
          <w:rPr>
            <w:noProof/>
            <w:webHidden/>
          </w:rPr>
          <w:instrText xml:space="preserve"> PAGEREF _Toc239157734 \h </w:instrText>
        </w:r>
        <w:r>
          <w:rPr>
            <w:noProof/>
          </w:rPr>
        </w:r>
        <w:r w:rsidRPr="00115A7D">
          <w:rPr>
            <w:noProof/>
            <w:webHidden/>
          </w:rPr>
          <w:fldChar w:fldCharType="separate"/>
        </w:r>
        <w:r>
          <w:rPr>
            <w:noProof/>
            <w:webHidden/>
          </w:rPr>
          <w:t>3</w:t>
        </w:r>
        <w:r w:rsidRPr="00115A7D">
          <w:rPr>
            <w:noProof/>
            <w:webHidden/>
          </w:rPr>
          <w:fldChar w:fldCharType="end"/>
        </w:r>
      </w:hyperlink>
    </w:p>
    <w:p w:rsidR="00E03A55" w:rsidRPr="00115A7D" w:rsidRDefault="00E03A55" w:rsidP="007E6AB6">
      <w:pPr>
        <w:pStyle w:val="TableofFigures"/>
        <w:tabs>
          <w:tab w:val="left" w:pos="993"/>
          <w:tab w:val="right" w:leader="dot" w:pos="7360"/>
        </w:tabs>
        <w:ind w:firstLine="0"/>
        <w:rPr>
          <w:noProof/>
          <w:sz w:val="22"/>
          <w:szCs w:val="22"/>
          <w:lang w:val="en-US" w:eastAsia="en-US"/>
        </w:rPr>
      </w:pPr>
      <w:hyperlink w:anchor="_Toc239157735" w:history="1">
        <w:r w:rsidRPr="00115A7D">
          <w:rPr>
            <w:rStyle w:val="Hyperlink"/>
            <w:rFonts w:cs="Arial"/>
            <w:noProof/>
          </w:rPr>
          <w:t xml:space="preserve">Table 2.7 </w:t>
        </w:r>
        <w:r>
          <w:rPr>
            <w:rStyle w:val="Hyperlink"/>
            <w:rFonts w:cs="Arial"/>
            <w:noProof/>
          </w:rPr>
          <w:tab/>
        </w:r>
        <w:r w:rsidRPr="00115A7D">
          <w:rPr>
            <w:rStyle w:val="Hyperlink"/>
            <w:rFonts w:cs="Arial"/>
            <w:noProof/>
          </w:rPr>
          <w:t>Public Health Expenditures by Level of Government, 2001-2005</w:t>
        </w:r>
        <w:r w:rsidRPr="00115A7D">
          <w:rPr>
            <w:noProof/>
            <w:webHidden/>
          </w:rPr>
          <w:tab/>
        </w:r>
        <w:r w:rsidRPr="00115A7D">
          <w:rPr>
            <w:noProof/>
            <w:webHidden/>
          </w:rPr>
          <w:fldChar w:fldCharType="begin"/>
        </w:r>
        <w:r w:rsidRPr="00115A7D">
          <w:rPr>
            <w:noProof/>
            <w:webHidden/>
          </w:rPr>
          <w:instrText xml:space="preserve"> PAGEREF _Toc239157735 \h </w:instrText>
        </w:r>
        <w:r>
          <w:rPr>
            <w:noProof/>
          </w:rPr>
        </w:r>
        <w:r w:rsidRPr="00115A7D">
          <w:rPr>
            <w:noProof/>
            <w:webHidden/>
          </w:rPr>
          <w:fldChar w:fldCharType="separate"/>
        </w:r>
        <w:r>
          <w:rPr>
            <w:noProof/>
            <w:webHidden/>
          </w:rPr>
          <w:t>3</w:t>
        </w:r>
        <w:r w:rsidRPr="00115A7D">
          <w:rPr>
            <w:noProof/>
            <w:webHidden/>
          </w:rPr>
          <w:fldChar w:fldCharType="end"/>
        </w:r>
      </w:hyperlink>
    </w:p>
    <w:p w:rsidR="00E03A55" w:rsidRPr="00115A7D" w:rsidRDefault="00E03A55" w:rsidP="007E6AB6">
      <w:pPr>
        <w:pStyle w:val="TableofFigures"/>
        <w:tabs>
          <w:tab w:val="left" w:pos="993"/>
          <w:tab w:val="right" w:leader="dot" w:pos="7360"/>
        </w:tabs>
        <w:ind w:left="993" w:hanging="993"/>
        <w:rPr>
          <w:noProof/>
          <w:sz w:val="22"/>
          <w:szCs w:val="22"/>
          <w:lang w:val="en-US" w:eastAsia="en-US"/>
        </w:rPr>
      </w:pPr>
      <w:hyperlink w:anchor="_Toc239157736" w:history="1">
        <w:r w:rsidRPr="00115A7D">
          <w:rPr>
            <w:rStyle w:val="Hyperlink"/>
            <w:rFonts w:cs="Arial"/>
            <w:noProof/>
          </w:rPr>
          <w:t xml:space="preserve">Table 2.8 </w:t>
        </w:r>
        <w:r>
          <w:rPr>
            <w:rStyle w:val="Hyperlink"/>
            <w:rFonts w:cs="Arial"/>
            <w:noProof/>
          </w:rPr>
          <w:tab/>
        </w:r>
        <w:r w:rsidRPr="00115A7D">
          <w:rPr>
            <w:rStyle w:val="Hyperlink"/>
            <w:rFonts w:cs="Arial"/>
            <w:noProof/>
          </w:rPr>
          <w:t>Levels and Shares of Health Expenditures at Different Levels of Government, 2001-2005</w:t>
        </w:r>
        <w:r w:rsidRPr="00115A7D">
          <w:rPr>
            <w:noProof/>
            <w:webHidden/>
          </w:rPr>
          <w:tab/>
        </w:r>
        <w:r w:rsidRPr="00115A7D">
          <w:rPr>
            <w:noProof/>
            <w:webHidden/>
          </w:rPr>
          <w:fldChar w:fldCharType="begin"/>
        </w:r>
        <w:r w:rsidRPr="00115A7D">
          <w:rPr>
            <w:noProof/>
            <w:webHidden/>
          </w:rPr>
          <w:instrText xml:space="preserve"> PAGEREF _Toc239157736 \h </w:instrText>
        </w:r>
        <w:r>
          <w:rPr>
            <w:noProof/>
          </w:rPr>
        </w:r>
        <w:r w:rsidRPr="00115A7D">
          <w:rPr>
            <w:noProof/>
            <w:webHidden/>
          </w:rPr>
          <w:fldChar w:fldCharType="separate"/>
        </w:r>
        <w:r>
          <w:rPr>
            <w:noProof/>
            <w:webHidden/>
          </w:rPr>
          <w:t>3</w:t>
        </w:r>
        <w:r w:rsidRPr="00115A7D">
          <w:rPr>
            <w:noProof/>
            <w:webHidden/>
          </w:rPr>
          <w:fldChar w:fldCharType="end"/>
        </w:r>
      </w:hyperlink>
    </w:p>
    <w:p w:rsidR="00E03A55" w:rsidRPr="00115A7D" w:rsidRDefault="00E03A55" w:rsidP="007E6AB6">
      <w:pPr>
        <w:pStyle w:val="TableofFigures"/>
        <w:tabs>
          <w:tab w:val="left" w:pos="993"/>
          <w:tab w:val="right" w:leader="dot" w:pos="7360"/>
        </w:tabs>
        <w:ind w:firstLine="0"/>
        <w:rPr>
          <w:noProof/>
          <w:sz w:val="22"/>
          <w:szCs w:val="22"/>
          <w:lang w:val="en-US" w:eastAsia="en-US"/>
        </w:rPr>
      </w:pPr>
      <w:hyperlink w:anchor="_Toc239157737" w:history="1">
        <w:r w:rsidRPr="00115A7D">
          <w:rPr>
            <w:rStyle w:val="Hyperlink"/>
            <w:rFonts w:cs="Arial"/>
            <w:noProof/>
          </w:rPr>
          <w:t xml:space="preserve">Table 4.1 </w:t>
        </w:r>
        <w:r>
          <w:rPr>
            <w:rStyle w:val="Hyperlink"/>
            <w:rFonts w:cs="Arial"/>
            <w:noProof/>
          </w:rPr>
          <w:tab/>
        </w:r>
        <w:r w:rsidRPr="00115A7D">
          <w:rPr>
            <w:rStyle w:val="Hyperlink"/>
            <w:rFonts w:cs="Arial"/>
            <w:noProof/>
          </w:rPr>
          <w:t>Definitions and Sources of The Variables Used in The Analysis</w:t>
        </w:r>
        <w:r w:rsidRPr="00115A7D">
          <w:rPr>
            <w:noProof/>
            <w:webHidden/>
          </w:rPr>
          <w:tab/>
        </w:r>
        <w:r w:rsidRPr="00115A7D">
          <w:rPr>
            <w:noProof/>
            <w:webHidden/>
          </w:rPr>
          <w:fldChar w:fldCharType="begin"/>
        </w:r>
        <w:r w:rsidRPr="00115A7D">
          <w:rPr>
            <w:noProof/>
            <w:webHidden/>
          </w:rPr>
          <w:instrText xml:space="preserve"> PAGEREF _Toc239157737 \h </w:instrText>
        </w:r>
        <w:r>
          <w:rPr>
            <w:noProof/>
          </w:rPr>
        </w:r>
        <w:r w:rsidRPr="00115A7D">
          <w:rPr>
            <w:noProof/>
            <w:webHidden/>
          </w:rPr>
          <w:fldChar w:fldCharType="separate"/>
        </w:r>
        <w:r>
          <w:rPr>
            <w:noProof/>
            <w:webHidden/>
          </w:rPr>
          <w:t>3</w:t>
        </w:r>
        <w:r w:rsidRPr="00115A7D">
          <w:rPr>
            <w:noProof/>
            <w:webHidden/>
          </w:rPr>
          <w:fldChar w:fldCharType="end"/>
        </w:r>
      </w:hyperlink>
    </w:p>
    <w:p w:rsidR="00E03A55" w:rsidRPr="00115A7D" w:rsidRDefault="00E03A55" w:rsidP="007E6AB6">
      <w:pPr>
        <w:pStyle w:val="TableofFigures"/>
        <w:tabs>
          <w:tab w:val="left" w:pos="993"/>
          <w:tab w:val="right" w:leader="dot" w:pos="7360"/>
        </w:tabs>
        <w:ind w:firstLine="0"/>
        <w:rPr>
          <w:noProof/>
          <w:sz w:val="22"/>
          <w:szCs w:val="22"/>
          <w:lang w:val="en-US" w:eastAsia="en-US"/>
        </w:rPr>
      </w:pPr>
      <w:hyperlink w:anchor="_Toc239157738" w:history="1">
        <w:r w:rsidRPr="00115A7D">
          <w:rPr>
            <w:rStyle w:val="Hyperlink"/>
            <w:rFonts w:cs="Arial"/>
            <w:noProof/>
          </w:rPr>
          <w:t xml:space="preserve">Table 4.2 </w:t>
        </w:r>
        <w:r>
          <w:rPr>
            <w:rStyle w:val="Hyperlink"/>
            <w:rFonts w:cs="Arial"/>
            <w:noProof/>
          </w:rPr>
          <w:tab/>
        </w:r>
        <w:r w:rsidRPr="00115A7D">
          <w:rPr>
            <w:rStyle w:val="Hyperlink"/>
            <w:rFonts w:cs="Arial"/>
            <w:noProof/>
          </w:rPr>
          <w:t>Descriptive Statistics</w:t>
        </w:r>
        <w:r w:rsidRPr="00115A7D">
          <w:rPr>
            <w:noProof/>
            <w:webHidden/>
          </w:rPr>
          <w:tab/>
        </w:r>
        <w:r w:rsidRPr="00115A7D">
          <w:rPr>
            <w:noProof/>
            <w:webHidden/>
          </w:rPr>
          <w:fldChar w:fldCharType="begin"/>
        </w:r>
        <w:r w:rsidRPr="00115A7D">
          <w:rPr>
            <w:noProof/>
            <w:webHidden/>
          </w:rPr>
          <w:instrText xml:space="preserve"> PAGEREF _Toc239157738 \h </w:instrText>
        </w:r>
        <w:r>
          <w:rPr>
            <w:noProof/>
          </w:rPr>
        </w:r>
        <w:r w:rsidRPr="00115A7D">
          <w:rPr>
            <w:noProof/>
            <w:webHidden/>
          </w:rPr>
          <w:fldChar w:fldCharType="separate"/>
        </w:r>
        <w:r>
          <w:rPr>
            <w:noProof/>
            <w:webHidden/>
          </w:rPr>
          <w:t>3</w:t>
        </w:r>
        <w:r w:rsidRPr="00115A7D">
          <w:rPr>
            <w:noProof/>
            <w:webHidden/>
          </w:rPr>
          <w:fldChar w:fldCharType="end"/>
        </w:r>
      </w:hyperlink>
    </w:p>
    <w:p w:rsidR="00E03A55" w:rsidRPr="00115A7D" w:rsidRDefault="00E03A55" w:rsidP="007E6AB6">
      <w:pPr>
        <w:pStyle w:val="TableofFigures"/>
        <w:tabs>
          <w:tab w:val="left" w:pos="993"/>
          <w:tab w:val="right" w:leader="dot" w:pos="7360"/>
        </w:tabs>
        <w:ind w:firstLine="0"/>
        <w:rPr>
          <w:noProof/>
          <w:sz w:val="22"/>
          <w:szCs w:val="22"/>
          <w:lang w:val="en-US" w:eastAsia="en-US"/>
        </w:rPr>
      </w:pPr>
      <w:hyperlink w:anchor="_Toc239157739" w:history="1">
        <w:r w:rsidRPr="00115A7D">
          <w:rPr>
            <w:rStyle w:val="Hyperlink"/>
            <w:rFonts w:cs="Arial"/>
            <w:noProof/>
          </w:rPr>
          <w:t xml:space="preserve">Table 5.1 </w:t>
        </w:r>
        <w:r>
          <w:rPr>
            <w:rStyle w:val="Hyperlink"/>
            <w:rFonts w:cs="Arial"/>
            <w:noProof/>
          </w:rPr>
          <w:tab/>
        </w:r>
        <w:r w:rsidRPr="00115A7D">
          <w:rPr>
            <w:rStyle w:val="Hyperlink"/>
            <w:rFonts w:cs="Arial"/>
            <w:noProof/>
          </w:rPr>
          <w:t>Impact of Total Public Health Spending on Infant Mortality</w:t>
        </w:r>
        <w:r w:rsidRPr="00115A7D">
          <w:rPr>
            <w:noProof/>
            <w:webHidden/>
          </w:rPr>
          <w:tab/>
        </w:r>
        <w:r w:rsidRPr="00115A7D">
          <w:rPr>
            <w:noProof/>
            <w:webHidden/>
          </w:rPr>
          <w:fldChar w:fldCharType="begin"/>
        </w:r>
        <w:r w:rsidRPr="00115A7D">
          <w:rPr>
            <w:noProof/>
            <w:webHidden/>
          </w:rPr>
          <w:instrText xml:space="preserve"> PAGEREF _Toc239157739 \h </w:instrText>
        </w:r>
        <w:r>
          <w:rPr>
            <w:noProof/>
          </w:rPr>
        </w:r>
        <w:r w:rsidRPr="00115A7D">
          <w:rPr>
            <w:noProof/>
            <w:webHidden/>
          </w:rPr>
          <w:fldChar w:fldCharType="separate"/>
        </w:r>
        <w:r>
          <w:rPr>
            <w:noProof/>
            <w:webHidden/>
          </w:rPr>
          <w:t>3</w:t>
        </w:r>
        <w:r w:rsidRPr="00115A7D">
          <w:rPr>
            <w:noProof/>
            <w:webHidden/>
          </w:rPr>
          <w:fldChar w:fldCharType="end"/>
        </w:r>
      </w:hyperlink>
    </w:p>
    <w:p w:rsidR="00E03A55" w:rsidRPr="00115A7D" w:rsidRDefault="00E03A55" w:rsidP="007E6AB6">
      <w:pPr>
        <w:pStyle w:val="TableofFigures"/>
        <w:tabs>
          <w:tab w:val="left" w:pos="993"/>
          <w:tab w:val="right" w:leader="dot" w:pos="7360"/>
        </w:tabs>
        <w:ind w:firstLine="0"/>
        <w:rPr>
          <w:noProof/>
          <w:sz w:val="22"/>
          <w:szCs w:val="22"/>
          <w:lang w:val="en-US" w:eastAsia="en-US"/>
        </w:rPr>
      </w:pPr>
      <w:hyperlink w:anchor="_Toc239157740" w:history="1">
        <w:r w:rsidRPr="00115A7D">
          <w:rPr>
            <w:rStyle w:val="Hyperlink"/>
            <w:rFonts w:cs="Arial"/>
            <w:noProof/>
          </w:rPr>
          <w:t xml:space="preserve">Table 5.2 </w:t>
        </w:r>
        <w:r>
          <w:rPr>
            <w:rStyle w:val="Hyperlink"/>
            <w:rFonts w:cs="Arial"/>
            <w:noProof/>
          </w:rPr>
          <w:tab/>
        </w:r>
        <w:r w:rsidRPr="00115A7D">
          <w:rPr>
            <w:rStyle w:val="Hyperlink"/>
            <w:rFonts w:cs="Arial"/>
            <w:noProof/>
          </w:rPr>
          <w:t>Impact of Public Health Spending on Skilled Birth Attendance</w:t>
        </w:r>
        <w:r w:rsidRPr="00115A7D">
          <w:rPr>
            <w:noProof/>
            <w:webHidden/>
          </w:rPr>
          <w:tab/>
        </w:r>
        <w:r w:rsidRPr="00115A7D">
          <w:rPr>
            <w:noProof/>
            <w:webHidden/>
          </w:rPr>
          <w:fldChar w:fldCharType="begin"/>
        </w:r>
        <w:r w:rsidRPr="00115A7D">
          <w:rPr>
            <w:noProof/>
            <w:webHidden/>
          </w:rPr>
          <w:instrText xml:space="preserve"> PAGEREF _Toc239157740 \h </w:instrText>
        </w:r>
        <w:r>
          <w:rPr>
            <w:noProof/>
          </w:rPr>
        </w:r>
        <w:r w:rsidRPr="00115A7D">
          <w:rPr>
            <w:noProof/>
            <w:webHidden/>
          </w:rPr>
          <w:fldChar w:fldCharType="separate"/>
        </w:r>
        <w:r>
          <w:rPr>
            <w:noProof/>
            <w:webHidden/>
          </w:rPr>
          <w:t>3</w:t>
        </w:r>
        <w:r w:rsidRPr="00115A7D">
          <w:rPr>
            <w:noProof/>
            <w:webHidden/>
          </w:rPr>
          <w:fldChar w:fldCharType="end"/>
        </w:r>
      </w:hyperlink>
    </w:p>
    <w:p w:rsidR="00E03A55" w:rsidRDefault="00E03A55" w:rsidP="007E6AB6">
      <w:pPr>
        <w:pStyle w:val="TableofFigures"/>
        <w:tabs>
          <w:tab w:val="left" w:pos="993"/>
          <w:tab w:val="right" w:leader="dot" w:pos="7360"/>
        </w:tabs>
        <w:ind w:firstLine="0"/>
        <w:rPr>
          <w:noProof/>
        </w:rPr>
      </w:pPr>
      <w:hyperlink w:anchor="_Toc239157741" w:history="1">
        <w:r w:rsidRPr="00115A7D">
          <w:rPr>
            <w:rStyle w:val="Hyperlink"/>
            <w:rFonts w:cs="Arial"/>
            <w:noProof/>
          </w:rPr>
          <w:t xml:space="preserve">Table 5.3 </w:t>
        </w:r>
        <w:r>
          <w:rPr>
            <w:rStyle w:val="Hyperlink"/>
            <w:rFonts w:cs="Arial"/>
            <w:noProof/>
          </w:rPr>
          <w:tab/>
        </w:r>
        <w:r w:rsidRPr="00115A7D">
          <w:rPr>
            <w:rStyle w:val="Hyperlink"/>
            <w:rFonts w:cs="Arial"/>
            <w:noProof/>
          </w:rPr>
          <w:t>Impact of Skilled Birth Attendance on Infant Mortality</w:t>
        </w:r>
        <w:r w:rsidRPr="00115A7D">
          <w:rPr>
            <w:noProof/>
            <w:webHidden/>
          </w:rPr>
          <w:tab/>
        </w:r>
        <w:r w:rsidRPr="00115A7D">
          <w:rPr>
            <w:noProof/>
            <w:webHidden/>
          </w:rPr>
          <w:fldChar w:fldCharType="begin"/>
        </w:r>
        <w:r w:rsidRPr="00115A7D">
          <w:rPr>
            <w:noProof/>
            <w:webHidden/>
          </w:rPr>
          <w:instrText xml:space="preserve"> PAGEREF _Toc239157741 \h </w:instrText>
        </w:r>
        <w:r>
          <w:rPr>
            <w:noProof/>
          </w:rPr>
        </w:r>
        <w:r w:rsidRPr="00115A7D">
          <w:rPr>
            <w:noProof/>
            <w:webHidden/>
          </w:rPr>
          <w:fldChar w:fldCharType="separate"/>
        </w:r>
        <w:r>
          <w:rPr>
            <w:noProof/>
            <w:webHidden/>
          </w:rPr>
          <w:t>3</w:t>
        </w:r>
        <w:r w:rsidRPr="00115A7D">
          <w:rPr>
            <w:noProof/>
            <w:webHidden/>
          </w:rPr>
          <w:fldChar w:fldCharType="end"/>
        </w:r>
      </w:hyperlink>
      <w:r w:rsidRPr="00115A7D">
        <w:fldChar w:fldCharType="end"/>
      </w:r>
      <w:bookmarkStart w:id="13" w:name="_Toc225573814"/>
    </w:p>
    <w:p w:rsidR="00E03A55" w:rsidRPr="009B4958" w:rsidRDefault="00E03A55" w:rsidP="00256D17">
      <w:pPr>
        <w:pStyle w:val="Heading1"/>
        <w:numPr>
          <w:ilvl w:val="0"/>
          <w:numId w:val="0"/>
        </w:numPr>
        <w:rPr>
          <w:b w:val="0"/>
        </w:rPr>
      </w:pPr>
      <w:bookmarkStart w:id="14" w:name="_Toc239163830"/>
      <w:r>
        <w:t>List of Figures</w:t>
      </w:r>
      <w:bookmarkEnd w:id="13"/>
      <w:bookmarkEnd w:id="14"/>
    </w:p>
    <w:p w:rsidR="00E03A55" w:rsidRPr="00CF6D0A" w:rsidRDefault="00E03A55" w:rsidP="00CF6D0A">
      <w:pPr>
        <w:pStyle w:val="TableofFigures"/>
        <w:tabs>
          <w:tab w:val="left" w:pos="993"/>
          <w:tab w:val="right" w:leader="dot" w:pos="7360"/>
        </w:tabs>
        <w:ind w:left="993" w:hanging="993"/>
        <w:rPr>
          <w:noProof/>
          <w:sz w:val="22"/>
          <w:szCs w:val="22"/>
          <w:lang w:val="en-US" w:eastAsia="en-US"/>
        </w:rPr>
      </w:pPr>
      <w:r w:rsidRPr="00CF6D0A">
        <w:fldChar w:fldCharType="begin"/>
      </w:r>
      <w:r w:rsidRPr="00CF6D0A">
        <w:instrText xml:space="preserve"> TOC \h \z \c "Figure" </w:instrText>
      </w:r>
      <w:r w:rsidRPr="00CF6D0A">
        <w:fldChar w:fldCharType="separate"/>
      </w:r>
      <w:hyperlink w:anchor="_Toc239162873" w:history="1">
        <w:r w:rsidRPr="00CF6D0A">
          <w:rPr>
            <w:rStyle w:val="Hyperlink"/>
            <w:rFonts w:cs="Arial"/>
            <w:noProof/>
          </w:rPr>
          <w:t>Figure 2.1 Organizational Structure of Indonesia’s Health System</w:t>
        </w:r>
        <w:r w:rsidRPr="00CF6D0A">
          <w:rPr>
            <w:noProof/>
            <w:webHidden/>
          </w:rPr>
          <w:tab/>
        </w:r>
        <w:r w:rsidRPr="00CF6D0A">
          <w:rPr>
            <w:noProof/>
            <w:webHidden/>
          </w:rPr>
          <w:fldChar w:fldCharType="begin"/>
        </w:r>
        <w:r w:rsidRPr="00CF6D0A">
          <w:rPr>
            <w:noProof/>
            <w:webHidden/>
          </w:rPr>
          <w:instrText xml:space="preserve"> PAGEREF _Toc239162873 \h </w:instrText>
        </w:r>
        <w:r>
          <w:rPr>
            <w:noProof/>
          </w:rPr>
        </w:r>
        <w:r w:rsidRPr="00CF6D0A">
          <w:rPr>
            <w:noProof/>
            <w:webHidden/>
          </w:rPr>
          <w:fldChar w:fldCharType="separate"/>
        </w:r>
        <w:r>
          <w:rPr>
            <w:noProof/>
            <w:webHidden/>
          </w:rPr>
          <w:t>3</w:t>
        </w:r>
        <w:r w:rsidRPr="00CF6D0A">
          <w:rPr>
            <w:noProof/>
            <w:webHidden/>
          </w:rPr>
          <w:fldChar w:fldCharType="end"/>
        </w:r>
      </w:hyperlink>
    </w:p>
    <w:p w:rsidR="00E03A55" w:rsidRPr="00CF6D0A" w:rsidRDefault="00E03A55" w:rsidP="00CF6D0A">
      <w:pPr>
        <w:pStyle w:val="TableofFigures"/>
        <w:tabs>
          <w:tab w:val="left" w:pos="993"/>
          <w:tab w:val="right" w:leader="dot" w:pos="7360"/>
        </w:tabs>
        <w:ind w:left="993" w:hanging="993"/>
        <w:rPr>
          <w:noProof/>
          <w:sz w:val="22"/>
          <w:szCs w:val="22"/>
          <w:lang w:val="en-US" w:eastAsia="en-US"/>
        </w:rPr>
      </w:pPr>
      <w:hyperlink w:anchor="_Toc239162874" w:history="1">
        <w:r w:rsidRPr="00CF6D0A">
          <w:rPr>
            <w:rStyle w:val="Hyperlink"/>
            <w:rFonts w:cs="Arial"/>
            <w:noProof/>
          </w:rPr>
          <w:t xml:space="preserve">Figure 2.2 Number of </w:t>
        </w:r>
        <w:r w:rsidRPr="00CF6D0A">
          <w:rPr>
            <w:rStyle w:val="Hyperlink"/>
            <w:rFonts w:cs="Arial"/>
            <w:i/>
            <w:noProof/>
          </w:rPr>
          <w:t>Puskesmas</w:t>
        </w:r>
        <w:r w:rsidRPr="00CF6D0A">
          <w:rPr>
            <w:rStyle w:val="Hyperlink"/>
            <w:rFonts w:cs="Arial"/>
            <w:noProof/>
          </w:rPr>
          <w:t xml:space="preserve"> and </w:t>
        </w:r>
        <w:r w:rsidRPr="00CF6D0A">
          <w:rPr>
            <w:rStyle w:val="Hyperlink"/>
            <w:rFonts w:cs="Arial"/>
            <w:i/>
            <w:noProof/>
          </w:rPr>
          <w:t>Puskesmas</w:t>
        </w:r>
        <w:r w:rsidRPr="00CF6D0A">
          <w:rPr>
            <w:rStyle w:val="Hyperlink"/>
            <w:rFonts w:cs="Arial"/>
            <w:noProof/>
          </w:rPr>
          <w:t xml:space="preserve"> with Beds, 2003-2007</w:t>
        </w:r>
        <w:r w:rsidRPr="00CF6D0A">
          <w:rPr>
            <w:noProof/>
            <w:webHidden/>
          </w:rPr>
          <w:tab/>
        </w:r>
        <w:r w:rsidRPr="00CF6D0A">
          <w:rPr>
            <w:noProof/>
            <w:webHidden/>
          </w:rPr>
          <w:fldChar w:fldCharType="begin"/>
        </w:r>
        <w:r w:rsidRPr="00CF6D0A">
          <w:rPr>
            <w:noProof/>
            <w:webHidden/>
          </w:rPr>
          <w:instrText xml:space="preserve"> PAGEREF _Toc239162874 \h </w:instrText>
        </w:r>
        <w:r>
          <w:rPr>
            <w:noProof/>
          </w:rPr>
        </w:r>
        <w:r w:rsidRPr="00CF6D0A">
          <w:rPr>
            <w:noProof/>
            <w:webHidden/>
          </w:rPr>
          <w:fldChar w:fldCharType="separate"/>
        </w:r>
        <w:r>
          <w:rPr>
            <w:noProof/>
            <w:webHidden/>
          </w:rPr>
          <w:t>3</w:t>
        </w:r>
        <w:r w:rsidRPr="00CF6D0A">
          <w:rPr>
            <w:noProof/>
            <w:webHidden/>
          </w:rPr>
          <w:fldChar w:fldCharType="end"/>
        </w:r>
      </w:hyperlink>
    </w:p>
    <w:p w:rsidR="00E03A55" w:rsidRPr="00CF6D0A" w:rsidRDefault="00E03A55" w:rsidP="00CF6D0A">
      <w:pPr>
        <w:pStyle w:val="TableofFigures"/>
        <w:tabs>
          <w:tab w:val="left" w:pos="993"/>
          <w:tab w:val="right" w:leader="dot" w:pos="7360"/>
        </w:tabs>
        <w:ind w:left="993" w:hanging="993"/>
        <w:rPr>
          <w:noProof/>
          <w:sz w:val="22"/>
          <w:szCs w:val="22"/>
          <w:lang w:val="en-US" w:eastAsia="en-US"/>
        </w:rPr>
      </w:pPr>
      <w:hyperlink w:anchor="_Toc239162875" w:history="1">
        <w:r w:rsidRPr="00CF6D0A">
          <w:rPr>
            <w:rStyle w:val="Hyperlink"/>
            <w:rFonts w:cs="Arial"/>
            <w:noProof/>
          </w:rPr>
          <w:t>Figure 2.3 Ratio of Puskesmas to 100,000 populations, 2003-2007</w:t>
        </w:r>
        <w:r w:rsidRPr="00CF6D0A">
          <w:rPr>
            <w:noProof/>
            <w:webHidden/>
          </w:rPr>
          <w:tab/>
        </w:r>
        <w:r w:rsidRPr="00CF6D0A">
          <w:rPr>
            <w:noProof/>
            <w:webHidden/>
          </w:rPr>
          <w:fldChar w:fldCharType="begin"/>
        </w:r>
        <w:r w:rsidRPr="00CF6D0A">
          <w:rPr>
            <w:noProof/>
            <w:webHidden/>
          </w:rPr>
          <w:instrText xml:space="preserve"> PAGEREF _Toc239162875 \h </w:instrText>
        </w:r>
        <w:r>
          <w:rPr>
            <w:noProof/>
          </w:rPr>
        </w:r>
        <w:r w:rsidRPr="00CF6D0A">
          <w:rPr>
            <w:noProof/>
            <w:webHidden/>
          </w:rPr>
          <w:fldChar w:fldCharType="separate"/>
        </w:r>
        <w:r>
          <w:rPr>
            <w:noProof/>
            <w:webHidden/>
          </w:rPr>
          <w:t>3</w:t>
        </w:r>
        <w:r w:rsidRPr="00CF6D0A">
          <w:rPr>
            <w:noProof/>
            <w:webHidden/>
          </w:rPr>
          <w:fldChar w:fldCharType="end"/>
        </w:r>
      </w:hyperlink>
    </w:p>
    <w:p w:rsidR="00E03A55" w:rsidRPr="00CF6D0A" w:rsidRDefault="00E03A55" w:rsidP="00CF6D0A">
      <w:pPr>
        <w:pStyle w:val="TableofFigures"/>
        <w:tabs>
          <w:tab w:val="left" w:pos="993"/>
          <w:tab w:val="right" w:leader="dot" w:pos="7360"/>
        </w:tabs>
        <w:ind w:left="993" w:hanging="993"/>
        <w:rPr>
          <w:noProof/>
          <w:sz w:val="22"/>
          <w:szCs w:val="22"/>
          <w:lang w:val="en-US" w:eastAsia="en-US"/>
        </w:rPr>
      </w:pPr>
      <w:hyperlink w:anchor="_Toc239162876" w:history="1">
        <w:r w:rsidRPr="00CF6D0A">
          <w:rPr>
            <w:rStyle w:val="Hyperlink"/>
            <w:rFonts w:cs="Arial"/>
            <w:noProof/>
          </w:rPr>
          <w:t>Figure 2.4 Type of Delivery Assistance, 2006</w:t>
        </w:r>
        <w:r w:rsidRPr="00CF6D0A">
          <w:rPr>
            <w:noProof/>
            <w:webHidden/>
          </w:rPr>
          <w:tab/>
        </w:r>
        <w:r w:rsidRPr="00CF6D0A">
          <w:rPr>
            <w:noProof/>
            <w:webHidden/>
          </w:rPr>
          <w:fldChar w:fldCharType="begin"/>
        </w:r>
        <w:r w:rsidRPr="00CF6D0A">
          <w:rPr>
            <w:noProof/>
            <w:webHidden/>
          </w:rPr>
          <w:instrText xml:space="preserve"> PAGEREF _Toc239162876 \h </w:instrText>
        </w:r>
        <w:r>
          <w:rPr>
            <w:noProof/>
          </w:rPr>
        </w:r>
        <w:r w:rsidRPr="00CF6D0A">
          <w:rPr>
            <w:noProof/>
            <w:webHidden/>
          </w:rPr>
          <w:fldChar w:fldCharType="separate"/>
        </w:r>
        <w:r>
          <w:rPr>
            <w:noProof/>
            <w:webHidden/>
          </w:rPr>
          <w:t>3</w:t>
        </w:r>
        <w:r w:rsidRPr="00CF6D0A">
          <w:rPr>
            <w:noProof/>
            <w:webHidden/>
          </w:rPr>
          <w:fldChar w:fldCharType="end"/>
        </w:r>
      </w:hyperlink>
    </w:p>
    <w:p w:rsidR="00E03A55" w:rsidRPr="00CF6D0A" w:rsidRDefault="00E03A55" w:rsidP="00CF6D0A">
      <w:pPr>
        <w:pStyle w:val="TableofFigures"/>
        <w:tabs>
          <w:tab w:val="left" w:pos="993"/>
          <w:tab w:val="right" w:leader="dot" w:pos="7360"/>
        </w:tabs>
        <w:ind w:left="993" w:hanging="993"/>
        <w:rPr>
          <w:noProof/>
          <w:sz w:val="22"/>
          <w:szCs w:val="22"/>
          <w:lang w:val="en-US" w:eastAsia="en-US"/>
        </w:rPr>
      </w:pPr>
      <w:hyperlink w:anchor="_Toc239162877" w:history="1">
        <w:r w:rsidRPr="00CF6D0A">
          <w:rPr>
            <w:rStyle w:val="Hyperlink"/>
            <w:rFonts w:cs="Arial"/>
            <w:noProof/>
          </w:rPr>
          <w:t>Figure 2.5 Trends in Location of Births in Indonesia, by Type of Provider and Presence of Skilled Attendant</w:t>
        </w:r>
        <w:r w:rsidRPr="00CF6D0A">
          <w:rPr>
            <w:noProof/>
            <w:webHidden/>
          </w:rPr>
          <w:tab/>
        </w:r>
        <w:r w:rsidRPr="00CF6D0A">
          <w:rPr>
            <w:noProof/>
            <w:webHidden/>
          </w:rPr>
          <w:fldChar w:fldCharType="begin"/>
        </w:r>
        <w:r w:rsidRPr="00CF6D0A">
          <w:rPr>
            <w:noProof/>
            <w:webHidden/>
          </w:rPr>
          <w:instrText xml:space="preserve"> PAGEREF _Toc239162877 \h </w:instrText>
        </w:r>
        <w:r>
          <w:rPr>
            <w:noProof/>
          </w:rPr>
        </w:r>
        <w:r w:rsidRPr="00CF6D0A">
          <w:rPr>
            <w:noProof/>
            <w:webHidden/>
          </w:rPr>
          <w:fldChar w:fldCharType="separate"/>
        </w:r>
        <w:r>
          <w:rPr>
            <w:noProof/>
            <w:webHidden/>
          </w:rPr>
          <w:t>3</w:t>
        </w:r>
        <w:r w:rsidRPr="00CF6D0A">
          <w:rPr>
            <w:noProof/>
            <w:webHidden/>
          </w:rPr>
          <w:fldChar w:fldCharType="end"/>
        </w:r>
      </w:hyperlink>
    </w:p>
    <w:p w:rsidR="00E03A55" w:rsidRPr="00CF6D0A" w:rsidRDefault="00E03A55" w:rsidP="00CF6D0A">
      <w:pPr>
        <w:pStyle w:val="TableofFigures"/>
        <w:tabs>
          <w:tab w:val="left" w:pos="993"/>
          <w:tab w:val="right" w:leader="dot" w:pos="7360"/>
        </w:tabs>
        <w:ind w:left="993" w:hanging="993"/>
        <w:rPr>
          <w:noProof/>
          <w:sz w:val="22"/>
          <w:szCs w:val="22"/>
          <w:lang w:val="en-US" w:eastAsia="en-US"/>
        </w:rPr>
      </w:pPr>
      <w:hyperlink w:anchor="_Toc239162878" w:history="1">
        <w:r w:rsidRPr="00CF6D0A">
          <w:rPr>
            <w:rStyle w:val="Hyperlink"/>
            <w:rFonts w:cs="Arial"/>
            <w:noProof/>
          </w:rPr>
          <w:t>Figure 2.6 Antenatal Care: K1 and K4 Coverage, 2001-2006</w:t>
        </w:r>
        <w:r w:rsidRPr="00CF6D0A">
          <w:rPr>
            <w:noProof/>
            <w:webHidden/>
          </w:rPr>
          <w:tab/>
        </w:r>
        <w:r w:rsidRPr="00CF6D0A">
          <w:rPr>
            <w:noProof/>
            <w:webHidden/>
          </w:rPr>
          <w:fldChar w:fldCharType="begin"/>
        </w:r>
        <w:r w:rsidRPr="00CF6D0A">
          <w:rPr>
            <w:noProof/>
            <w:webHidden/>
          </w:rPr>
          <w:instrText xml:space="preserve"> PAGEREF _Toc239162878 \h </w:instrText>
        </w:r>
        <w:r>
          <w:rPr>
            <w:noProof/>
          </w:rPr>
        </w:r>
        <w:r w:rsidRPr="00CF6D0A">
          <w:rPr>
            <w:noProof/>
            <w:webHidden/>
          </w:rPr>
          <w:fldChar w:fldCharType="separate"/>
        </w:r>
        <w:r>
          <w:rPr>
            <w:noProof/>
            <w:webHidden/>
          </w:rPr>
          <w:t>3</w:t>
        </w:r>
        <w:r w:rsidRPr="00CF6D0A">
          <w:rPr>
            <w:noProof/>
            <w:webHidden/>
          </w:rPr>
          <w:fldChar w:fldCharType="end"/>
        </w:r>
      </w:hyperlink>
    </w:p>
    <w:p w:rsidR="00E03A55" w:rsidRPr="00CF6D0A" w:rsidRDefault="00E03A55" w:rsidP="00CF6D0A">
      <w:pPr>
        <w:pStyle w:val="TableofFigures"/>
        <w:tabs>
          <w:tab w:val="left" w:pos="993"/>
          <w:tab w:val="right" w:leader="dot" w:pos="7360"/>
        </w:tabs>
        <w:ind w:left="993" w:hanging="993"/>
        <w:rPr>
          <w:noProof/>
          <w:sz w:val="22"/>
          <w:szCs w:val="22"/>
          <w:lang w:val="en-US" w:eastAsia="en-US"/>
        </w:rPr>
      </w:pPr>
      <w:hyperlink w:anchor="_Toc239162879" w:history="1">
        <w:r w:rsidRPr="00CF6D0A">
          <w:rPr>
            <w:rStyle w:val="Hyperlink"/>
            <w:rFonts w:cs="Arial"/>
            <w:noProof/>
          </w:rPr>
          <w:t>Figure 2.7 Causes of Infant Deaths in Indonesia, 2005</w:t>
        </w:r>
        <w:r w:rsidRPr="00CF6D0A">
          <w:rPr>
            <w:noProof/>
            <w:webHidden/>
          </w:rPr>
          <w:tab/>
        </w:r>
        <w:r w:rsidRPr="00CF6D0A">
          <w:rPr>
            <w:noProof/>
            <w:webHidden/>
          </w:rPr>
          <w:fldChar w:fldCharType="begin"/>
        </w:r>
        <w:r w:rsidRPr="00CF6D0A">
          <w:rPr>
            <w:noProof/>
            <w:webHidden/>
          </w:rPr>
          <w:instrText xml:space="preserve"> PAGEREF _Toc239162879 \h </w:instrText>
        </w:r>
        <w:r>
          <w:rPr>
            <w:noProof/>
          </w:rPr>
        </w:r>
        <w:r w:rsidRPr="00CF6D0A">
          <w:rPr>
            <w:noProof/>
            <w:webHidden/>
          </w:rPr>
          <w:fldChar w:fldCharType="separate"/>
        </w:r>
        <w:r>
          <w:rPr>
            <w:noProof/>
            <w:webHidden/>
          </w:rPr>
          <w:t>3</w:t>
        </w:r>
        <w:r w:rsidRPr="00CF6D0A">
          <w:rPr>
            <w:noProof/>
            <w:webHidden/>
          </w:rPr>
          <w:fldChar w:fldCharType="end"/>
        </w:r>
      </w:hyperlink>
    </w:p>
    <w:p w:rsidR="00E03A55" w:rsidRPr="00CF6D0A" w:rsidRDefault="00E03A55" w:rsidP="00CF6D0A">
      <w:pPr>
        <w:pStyle w:val="TableofFigures"/>
        <w:tabs>
          <w:tab w:val="left" w:pos="993"/>
          <w:tab w:val="right" w:leader="dot" w:pos="7360"/>
        </w:tabs>
        <w:ind w:left="993" w:hanging="993"/>
        <w:rPr>
          <w:noProof/>
          <w:sz w:val="22"/>
          <w:szCs w:val="22"/>
          <w:lang w:val="en-US" w:eastAsia="en-US"/>
        </w:rPr>
      </w:pPr>
      <w:hyperlink w:anchor="_Toc239162880" w:history="1">
        <w:r w:rsidRPr="00CF6D0A">
          <w:rPr>
            <w:rStyle w:val="Hyperlink"/>
            <w:rFonts w:cs="Arial"/>
            <w:noProof/>
          </w:rPr>
          <w:t>Figure 3.1 Conceptual Frameworks for Skilled Attendance at Delivery on Infant Survival</w:t>
        </w:r>
        <w:r w:rsidRPr="00CF6D0A">
          <w:rPr>
            <w:noProof/>
            <w:webHidden/>
          </w:rPr>
          <w:tab/>
        </w:r>
        <w:r w:rsidRPr="00CF6D0A">
          <w:rPr>
            <w:noProof/>
            <w:webHidden/>
          </w:rPr>
          <w:fldChar w:fldCharType="begin"/>
        </w:r>
        <w:r w:rsidRPr="00CF6D0A">
          <w:rPr>
            <w:noProof/>
            <w:webHidden/>
          </w:rPr>
          <w:instrText xml:space="preserve"> PAGEREF _Toc239162880 \h </w:instrText>
        </w:r>
        <w:r>
          <w:rPr>
            <w:noProof/>
          </w:rPr>
        </w:r>
        <w:r w:rsidRPr="00CF6D0A">
          <w:rPr>
            <w:noProof/>
            <w:webHidden/>
          </w:rPr>
          <w:fldChar w:fldCharType="separate"/>
        </w:r>
        <w:r>
          <w:rPr>
            <w:noProof/>
            <w:webHidden/>
          </w:rPr>
          <w:t>3</w:t>
        </w:r>
        <w:r w:rsidRPr="00CF6D0A">
          <w:rPr>
            <w:noProof/>
            <w:webHidden/>
          </w:rPr>
          <w:fldChar w:fldCharType="end"/>
        </w:r>
      </w:hyperlink>
    </w:p>
    <w:p w:rsidR="00E03A55" w:rsidRPr="00CF6D0A" w:rsidRDefault="00E03A55" w:rsidP="00CF6D0A">
      <w:pPr>
        <w:pStyle w:val="TableofFigures"/>
        <w:tabs>
          <w:tab w:val="left" w:pos="993"/>
          <w:tab w:val="right" w:leader="dot" w:pos="7360"/>
        </w:tabs>
        <w:ind w:left="993" w:hanging="993"/>
        <w:rPr>
          <w:noProof/>
          <w:sz w:val="22"/>
          <w:szCs w:val="22"/>
          <w:lang w:val="en-US" w:eastAsia="en-US"/>
        </w:rPr>
      </w:pPr>
      <w:hyperlink w:anchor="_Toc239162881" w:history="1">
        <w:r w:rsidRPr="00CF6D0A">
          <w:rPr>
            <w:rStyle w:val="Hyperlink"/>
            <w:rFonts w:cs="Arial"/>
            <w:noProof/>
          </w:rPr>
          <w:t>Figure 5.1 Pattern of Relationship between Infant Mortality Rates and Per Capita Total Public Health Expenditure, 2001-2006</w:t>
        </w:r>
        <w:r w:rsidRPr="00CF6D0A">
          <w:rPr>
            <w:noProof/>
            <w:webHidden/>
          </w:rPr>
          <w:tab/>
        </w:r>
        <w:r w:rsidRPr="00CF6D0A">
          <w:rPr>
            <w:noProof/>
            <w:webHidden/>
          </w:rPr>
          <w:fldChar w:fldCharType="begin"/>
        </w:r>
        <w:r w:rsidRPr="00CF6D0A">
          <w:rPr>
            <w:noProof/>
            <w:webHidden/>
          </w:rPr>
          <w:instrText xml:space="preserve"> PAGEREF _Toc239162881 \h </w:instrText>
        </w:r>
        <w:r>
          <w:rPr>
            <w:noProof/>
          </w:rPr>
        </w:r>
        <w:r w:rsidRPr="00CF6D0A">
          <w:rPr>
            <w:noProof/>
            <w:webHidden/>
          </w:rPr>
          <w:fldChar w:fldCharType="separate"/>
        </w:r>
        <w:r>
          <w:rPr>
            <w:noProof/>
            <w:webHidden/>
          </w:rPr>
          <w:t>3</w:t>
        </w:r>
        <w:r w:rsidRPr="00CF6D0A">
          <w:rPr>
            <w:noProof/>
            <w:webHidden/>
          </w:rPr>
          <w:fldChar w:fldCharType="end"/>
        </w:r>
      </w:hyperlink>
    </w:p>
    <w:p w:rsidR="00E03A55" w:rsidRPr="00CF6D0A" w:rsidRDefault="00E03A55" w:rsidP="00CF6D0A">
      <w:pPr>
        <w:pStyle w:val="TableofFigures"/>
        <w:tabs>
          <w:tab w:val="left" w:pos="993"/>
          <w:tab w:val="right" w:leader="dot" w:pos="7360"/>
        </w:tabs>
        <w:ind w:left="993" w:hanging="993"/>
        <w:rPr>
          <w:noProof/>
          <w:sz w:val="22"/>
          <w:szCs w:val="22"/>
          <w:lang w:val="en-US" w:eastAsia="en-US"/>
        </w:rPr>
      </w:pPr>
      <w:hyperlink w:anchor="_Toc239162882" w:history="1">
        <w:r w:rsidRPr="00CF6D0A">
          <w:rPr>
            <w:rStyle w:val="Hyperlink"/>
            <w:rFonts w:cs="Arial"/>
            <w:noProof/>
          </w:rPr>
          <w:t>Figure 5.2 Pattern of Relationship between Infant Mortality Rates and Skilled Birth Attendance, 2001-2006</w:t>
        </w:r>
        <w:r w:rsidRPr="00CF6D0A">
          <w:rPr>
            <w:noProof/>
            <w:webHidden/>
          </w:rPr>
          <w:tab/>
        </w:r>
        <w:r w:rsidRPr="00CF6D0A">
          <w:rPr>
            <w:noProof/>
            <w:webHidden/>
          </w:rPr>
          <w:fldChar w:fldCharType="begin"/>
        </w:r>
        <w:r w:rsidRPr="00CF6D0A">
          <w:rPr>
            <w:noProof/>
            <w:webHidden/>
          </w:rPr>
          <w:instrText xml:space="preserve"> PAGEREF _Toc239162882 \h </w:instrText>
        </w:r>
        <w:r>
          <w:rPr>
            <w:noProof/>
          </w:rPr>
        </w:r>
        <w:r w:rsidRPr="00CF6D0A">
          <w:rPr>
            <w:noProof/>
            <w:webHidden/>
          </w:rPr>
          <w:fldChar w:fldCharType="separate"/>
        </w:r>
        <w:r>
          <w:rPr>
            <w:noProof/>
            <w:webHidden/>
          </w:rPr>
          <w:t>3</w:t>
        </w:r>
        <w:r w:rsidRPr="00CF6D0A">
          <w:rPr>
            <w:noProof/>
            <w:webHidden/>
          </w:rPr>
          <w:fldChar w:fldCharType="end"/>
        </w:r>
      </w:hyperlink>
    </w:p>
    <w:p w:rsidR="00E03A55" w:rsidRPr="00CF6D0A" w:rsidRDefault="00E03A55" w:rsidP="00CF6D0A">
      <w:pPr>
        <w:pStyle w:val="TableofFigures"/>
        <w:tabs>
          <w:tab w:val="left" w:pos="993"/>
          <w:tab w:val="right" w:leader="dot" w:pos="7360"/>
        </w:tabs>
        <w:ind w:left="993" w:hanging="993"/>
        <w:rPr>
          <w:noProof/>
          <w:sz w:val="22"/>
          <w:szCs w:val="22"/>
          <w:lang w:val="en-US" w:eastAsia="en-US"/>
        </w:rPr>
      </w:pPr>
      <w:hyperlink w:anchor="_Toc239162883" w:history="1">
        <w:r w:rsidRPr="00CF6D0A">
          <w:rPr>
            <w:rStyle w:val="Hyperlink"/>
            <w:rFonts w:cs="Arial"/>
            <w:noProof/>
          </w:rPr>
          <w:t>Figure 5.3 Pattern of Relationship between Skilled Birth Attendances and Per Capita Total Public Health Expenditure, 2001-2006</w:t>
        </w:r>
        <w:r w:rsidRPr="00CF6D0A">
          <w:rPr>
            <w:noProof/>
            <w:webHidden/>
          </w:rPr>
          <w:tab/>
        </w:r>
        <w:r w:rsidRPr="00CF6D0A">
          <w:rPr>
            <w:noProof/>
            <w:webHidden/>
          </w:rPr>
          <w:fldChar w:fldCharType="begin"/>
        </w:r>
        <w:r w:rsidRPr="00CF6D0A">
          <w:rPr>
            <w:noProof/>
            <w:webHidden/>
          </w:rPr>
          <w:instrText xml:space="preserve"> PAGEREF _Toc239162883 \h </w:instrText>
        </w:r>
        <w:r>
          <w:rPr>
            <w:noProof/>
          </w:rPr>
        </w:r>
        <w:r w:rsidRPr="00CF6D0A">
          <w:rPr>
            <w:noProof/>
            <w:webHidden/>
          </w:rPr>
          <w:fldChar w:fldCharType="separate"/>
        </w:r>
        <w:r>
          <w:rPr>
            <w:noProof/>
            <w:webHidden/>
          </w:rPr>
          <w:t>3</w:t>
        </w:r>
        <w:r w:rsidRPr="00CF6D0A">
          <w:rPr>
            <w:noProof/>
            <w:webHidden/>
          </w:rPr>
          <w:fldChar w:fldCharType="end"/>
        </w:r>
      </w:hyperlink>
    </w:p>
    <w:p w:rsidR="00E03A55" w:rsidRPr="0034310D" w:rsidRDefault="00E03A55" w:rsidP="00CF6D0A">
      <w:pPr>
        <w:pStyle w:val="Normalfirstparagraph"/>
        <w:tabs>
          <w:tab w:val="left" w:pos="993"/>
        </w:tabs>
        <w:ind w:left="993" w:hanging="993"/>
      </w:pPr>
      <w:r w:rsidRPr="00CF6D0A">
        <w:fldChar w:fldCharType="end"/>
      </w:r>
    </w:p>
    <w:p w:rsidR="00E03A55" w:rsidRPr="0034310D" w:rsidRDefault="00E03A55" w:rsidP="004F0646">
      <w:pPr>
        <w:pStyle w:val="Heading1notchapter"/>
        <w:spacing w:before="800" w:after="300"/>
        <w:rPr>
          <w:b w:val="0"/>
        </w:rPr>
      </w:pPr>
      <w:r w:rsidRPr="0034310D">
        <w:rPr>
          <w:b w:val="0"/>
        </w:rPr>
        <w:t xml:space="preserve"> </w:t>
      </w:r>
    </w:p>
    <w:p w:rsidR="00E03A55" w:rsidRPr="00D34CE3" w:rsidRDefault="00E03A55" w:rsidP="00462B7C">
      <w:pPr>
        <w:spacing w:after="400"/>
        <w:ind w:firstLine="0"/>
        <w:rPr>
          <w:b/>
        </w:rPr>
      </w:pPr>
    </w:p>
    <w:p w:rsidR="00E03A55" w:rsidRDefault="00E03A55" w:rsidP="00256D17">
      <w:pPr>
        <w:pStyle w:val="Heading1"/>
        <w:numPr>
          <w:ilvl w:val="0"/>
          <w:numId w:val="0"/>
        </w:numPr>
      </w:pPr>
      <w:bookmarkStart w:id="15" w:name="_Toc225573816"/>
      <w:bookmarkStart w:id="16" w:name="_Toc239163831"/>
      <w:r>
        <w:t>List of Acronyms</w:t>
      </w:r>
      <w:bookmarkEnd w:id="15"/>
      <w:bookmarkEnd w:id="16"/>
    </w:p>
    <w:p w:rsidR="00E03A55" w:rsidRDefault="00E03A55" w:rsidP="00B86DBB">
      <w:pPr>
        <w:pStyle w:val="Acronyms"/>
        <w:rPr>
          <w:lang w:val="en-US"/>
        </w:rPr>
      </w:pPr>
      <w:r>
        <w:rPr>
          <w:lang w:val="en-US"/>
        </w:rPr>
        <w:t>2SLS</w:t>
      </w:r>
      <w:r>
        <w:rPr>
          <w:lang w:val="en-US"/>
        </w:rPr>
        <w:tab/>
        <w:t>two-stage least square</w:t>
      </w:r>
    </w:p>
    <w:p w:rsidR="00E03A55" w:rsidRDefault="00E03A55" w:rsidP="00B86DBB">
      <w:pPr>
        <w:pStyle w:val="Acronyms"/>
        <w:rPr>
          <w:lang w:val="en-US"/>
        </w:rPr>
      </w:pPr>
      <w:r>
        <w:rPr>
          <w:lang w:val="en-US"/>
        </w:rPr>
        <w:t>APBN</w:t>
      </w:r>
      <w:r>
        <w:rPr>
          <w:lang w:val="en-US"/>
        </w:rPr>
        <w:tab/>
        <w:t>Anggaran Pendapatan dan Belanja Negara (state budget)</w:t>
      </w:r>
    </w:p>
    <w:p w:rsidR="00E03A55" w:rsidRDefault="00E03A55" w:rsidP="00B86DBB">
      <w:pPr>
        <w:pStyle w:val="Acronyms"/>
        <w:rPr>
          <w:lang w:val="en-US"/>
        </w:rPr>
      </w:pPr>
      <w:r>
        <w:rPr>
          <w:lang w:val="en-US"/>
        </w:rPr>
        <w:t>Bides</w:t>
      </w:r>
      <w:r>
        <w:rPr>
          <w:lang w:val="en-US"/>
        </w:rPr>
        <w:tab/>
        <w:t>Bidan di Desa (village midwives)</w:t>
      </w:r>
    </w:p>
    <w:p w:rsidR="00E03A55" w:rsidRDefault="00E03A55" w:rsidP="00B86DBB">
      <w:pPr>
        <w:pStyle w:val="Acronyms"/>
        <w:rPr>
          <w:lang w:val="en-US"/>
        </w:rPr>
      </w:pPr>
      <w:r>
        <w:rPr>
          <w:lang w:val="en-US"/>
        </w:rPr>
        <w:t>BUMN</w:t>
      </w:r>
      <w:r>
        <w:rPr>
          <w:lang w:val="en-US"/>
        </w:rPr>
        <w:tab/>
        <w:t xml:space="preserve">Badan Usaha Milik Negara (state-owned enterprise) </w:t>
      </w:r>
    </w:p>
    <w:p w:rsidR="00E03A55" w:rsidRDefault="00E03A55" w:rsidP="00B86DBB">
      <w:pPr>
        <w:pStyle w:val="Acronyms"/>
        <w:rPr>
          <w:lang w:val="en-US"/>
        </w:rPr>
      </w:pPr>
      <w:r>
        <w:rPr>
          <w:lang w:val="en-US"/>
        </w:rPr>
        <w:t>DAK</w:t>
      </w:r>
      <w:r>
        <w:rPr>
          <w:lang w:val="en-US"/>
        </w:rPr>
        <w:tab/>
        <w:t>Dana Alokasi Khusus (specific purpose grant)</w:t>
      </w:r>
    </w:p>
    <w:p w:rsidR="00E03A55" w:rsidRDefault="00E03A55" w:rsidP="00B86DBB">
      <w:pPr>
        <w:pStyle w:val="Acronyms"/>
        <w:rPr>
          <w:lang w:val="en-US"/>
        </w:rPr>
      </w:pPr>
      <w:r>
        <w:rPr>
          <w:lang w:val="en-US"/>
        </w:rPr>
        <w:t>DAU</w:t>
      </w:r>
      <w:r>
        <w:rPr>
          <w:lang w:val="en-US"/>
        </w:rPr>
        <w:tab/>
        <w:t>Dana Alokasi Umum (general purpose grant)</w:t>
      </w:r>
    </w:p>
    <w:p w:rsidR="00E03A55" w:rsidRDefault="00E03A55" w:rsidP="00B86DBB">
      <w:pPr>
        <w:pStyle w:val="Acronyms"/>
        <w:rPr>
          <w:lang w:val="en-US"/>
        </w:rPr>
      </w:pPr>
      <w:r>
        <w:rPr>
          <w:lang w:val="en-US"/>
        </w:rPr>
        <w:t>Dinkes</w:t>
      </w:r>
      <w:r>
        <w:rPr>
          <w:lang w:val="en-US"/>
        </w:rPr>
        <w:tab/>
        <w:t>Dinas Kesehatan Provinsi (Provincial Health Office)</w:t>
      </w:r>
    </w:p>
    <w:p w:rsidR="00E03A55" w:rsidRDefault="00E03A55" w:rsidP="00B86DBB">
      <w:pPr>
        <w:pStyle w:val="Acronyms"/>
        <w:rPr>
          <w:lang w:val="en-US"/>
        </w:rPr>
      </w:pPr>
      <w:r>
        <w:rPr>
          <w:lang w:val="en-US"/>
        </w:rPr>
        <w:t>DPT</w:t>
      </w:r>
      <w:r>
        <w:rPr>
          <w:lang w:val="en-US"/>
        </w:rPr>
        <w:tab/>
        <w:t>diphtheria, pertussis and tetanus (vaccine)</w:t>
      </w:r>
    </w:p>
    <w:p w:rsidR="00E03A55" w:rsidRDefault="00E03A55" w:rsidP="00B86DBB">
      <w:pPr>
        <w:pStyle w:val="Acronyms"/>
        <w:rPr>
          <w:lang w:val="en-US"/>
        </w:rPr>
      </w:pPr>
      <w:r>
        <w:rPr>
          <w:lang w:val="en-US"/>
        </w:rPr>
        <w:t>GDP</w:t>
      </w:r>
      <w:r>
        <w:rPr>
          <w:lang w:val="en-US"/>
        </w:rPr>
        <w:tab/>
        <w:t>Gross Domestic Product</w:t>
      </w:r>
    </w:p>
    <w:p w:rsidR="00E03A55" w:rsidRDefault="00E03A55" w:rsidP="00B86DBB">
      <w:pPr>
        <w:pStyle w:val="Acronyms"/>
        <w:rPr>
          <w:lang w:val="en-US"/>
        </w:rPr>
      </w:pPr>
      <w:r>
        <w:rPr>
          <w:lang w:val="en-US"/>
        </w:rPr>
        <w:t>GLS</w:t>
      </w:r>
      <w:r>
        <w:rPr>
          <w:lang w:val="en-US"/>
        </w:rPr>
        <w:tab/>
        <w:t>general least square</w:t>
      </w:r>
    </w:p>
    <w:p w:rsidR="00E03A55" w:rsidRDefault="00E03A55" w:rsidP="00B86DBB">
      <w:pPr>
        <w:pStyle w:val="Acronyms"/>
        <w:rPr>
          <w:lang w:val="en-US"/>
        </w:rPr>
      </w:pPr>
      <w:r w:rsidRPr="001A5461">
        <w:rPr>
          <w:lang w:val="en-US"/>
        </w:rPr>
        <w:t>IDHS</w:t>
      </w:r>
      <w:r>
        <w:tab/>
      </w:r>
      <w:r w:rsidRPr="001A5461">
        <w:rPr>
          <w:lang w:val="en-US"/>
        </w:rPr>
        <w:t>Indonesian</w:t>
      </w:r>
      <w:r>
        <w:rPr>
          <w:lang w:val="en-US"/>
        </w:rPr>
        <w:t xml:space="preserve"> Demographic and Health Survey </w:t>
      </w:r>
    </w:p>
    <w:p w:rsidR="00E03A55" w:rsidRDefault="00E03A55" w:rsidP="00B86DBB">
      <w:pPr>
        <w:pStyle w:val="Acronyms"/>
        <w:rPr>
          <w:lang w:val="en-US"/>
        </w:rPr>
      </w:pPr>
      <w:r>
        <w:rPr>
          <w:lang w:val="en-US"/>
        </w:rPr>
        <w:t>IMR</w:t>
      </w:r>
      <w:r>
        <w:rPr>
          <w:lang w:val="en-US"/>
        </w:rPr>
        <w:tab/>
      </w:r>
      <w:r w:rsidRPr="001A5461">
        <w:rPr>
          <w:lang w:val="en-US"/>
        </w:rPr>
        <w:t>Infant Mortality Rate</w:t>
      </w:r>
    </w:p>
    <w:p w:rsidR="00E03A55" w:rsidRDefault="00E03A55" w:rsidP="00B86DBB">
      <w:pPr>
        <w:pStyle w:val="Acronyms"/>
        <w:rPr>
          <w:lang w:val="en-US"/>
        </w:rPr>
      </w:pPr>
      <w:r>
        <w:rPr>
          <w:lang w:val="en-US"/>
        </w:rPr>
        <w:t>Inpres</w:t>
      </w:r>
      <w:r>
        <w:rPr>
          <w:lang w:val="en-US"/>
        </w:rPr>
        <w:tab/>
        <w:t>Instruksi Presiden (Presidential Instruction)</w:t>
      </w:r>
    </w:p>
    <w:p w:rsidR="00E03A55" w:rsidRDefault="00E03A55" w:rsidP="00B86DBB">
      <w:pPr>
        <w:pStyle w:val="Acronyms"/>
        <w:rPr>
          <w:lang w:val="en-US"/>
        </w:rPr>
      </w:pPr>
      <w:r>
        <w:rPr>
          <w:lang w:val="en-US"/>
        </w:rPr>
        <w:t>IV</w:t>
      </w:r>
      <w:r>
        <w:rPr>
          <w:lang w:val="en-US"/>
        </w:rPr>
        <w:tab/>
        <w:t>Instrumental Variable</w:t>
      </w:r>
    </w:p>
    <w:p w:rsidR="00E03A55" w:rsidRDefault="00E03A55" w:rsidP="00B86DBB">
      <w:pPr>
        <w:pStyle w:val="Acronyms"/>
        <w:rPr>
          <w:lang w:val="en-US"/>
        </w:rPr>
      </w:pPr>
      <w:r>
        <w:rPr>
          <w:lang w:val="en-US"/>
        </w:rPr>
        <w:t>KKI</w:t>
      </w:r>
      <w:r>
        <w:rPr>
          <w:lang w:val="en-US"/>
        </w:rPr>
        <w:tab/>
        <w:t xml:space="preserve">Konsil Kesehatan </w:t>
      </w:r>
      <w:smartTag w:uri="urn:schemas-microsoft-com:office:smarttags" w:element="place">
        <w:smartTag w:uri="urn:schemas-microsoft-com:office:smarttags" w:element="country-region">
          <w:r>
            <w:rPr>
              <w:lang w:val="en-US"/>
            </w:rPr>
            <w:t>Indonesia</w:t>
          </w:r>
        </w:smartTag>
      </w:smartTag>
      <w:r>
        <w:rPr>
          <w:lang w:val="en-US"/>
        </w:rPr>
        <w:t xml:space="preserve"> (Indonesian Medical Council)</w:t>
      </w:r>
    </w:p>
    <w:p w:rsidR="00E03A55" w:rsidRDefault="00E03A55" w:rsidP="00B86DBB">
      <w:pPr>
        <w:pStyle w:val="Acronyms"/>
        <w:rPr>
          <w:lang w:val="en-US"/>
        </w:rPr>
      </w:pPr>
      <w:r>
        <w:rPr>
          <w:lang w:val="en-US"/>
        </w:rPr>
        <w:t>MoF</w:t>
      </w:r>
      <w:r>
        <w:rPr>
          <w:lang w:val="en-US"/>
        </w:rPr>
        <w:tab/>
        <w:t>Ministry of Finance</w:t>
      </w:r>
    </w:p>
    <w:p w:rsidR="00E03A55" w:rsidRDefault="00E03A55" w:rsidP="00B86DBB">
      <w:pPr>
        <w:pStyle w:val="Acronyms"/>
        <w:rPr>
          <w:lang w:val="en-US"/>
        </w:rPr>
      </w:pPr>
      <w:r>
        <w:rPr>
          <w:lang w:val="en-US"/>
        </w:rPr>
        <w:t>MoH</w:t>
      </w:r>
      <w:r>
        <w:rPr>
          <w:lang w:val="en-US"/>
        </w:rPr>
        <w:tab/>
        <w:t>Ministry of Health (Departemen Kesehatan – Depkes)</w:t>
      </w:r>
    </w:p>
    <w:p w:rsidR="00E03A55" w:rsidRDefault="00E03A55" w:rsidP="00B86DBB">
      <w:pPr>
        <w:pStyle w:val="Acronyms"/>
        <w:rPr>
          <w:lang w:val="en-US"/>
        </w:rPr>
      </w:pPr>
      <w:r>
        <w:rPr>
          <w:lang w:val="en-US"/>
        </w:rPr>
        <w:t>NFHS</w:t>
      </w:r>
      <w:r>
        <w:rPr>
          <w:lang w:val="en-US"/>
        </w:rPr>
        <w:tab/>
      </w:r>
      <w:r>
        <w:t>National Family Health Survey</w:t>
      </w:r>
    </w:p>
    <w:p w:rsidR="00E03A55" w:rsidRDefault="00E03A55" w:rsidP="00B86DBB">
      <w:pPr>
        <w:pStyle w:val="Acronyms"/>
        <w:rPr>
          <w:lang w:val="en-US"/>
        </w:rPr>
      </w:pPr>
      <w:smartTag w:uri="urn:schemas-microsoft-com:office:smarttags" w:element="Street">
        <w:smartTag w:uri="urn:schemas-microsoft-com:office:smarttags" w:element="address">
          <w:r>
            <w:rPr>
              <w:lang w:val="en-US"/>
            </w:rPr>
            <w:t>OLS</w:t>
          </w:r>
          <w:r>
            <w:rPr>
              <w:lang w:val="en-US"/>
            </w:rPr>
            <w:tab/>
            <w:t>Ordinary Least Square</w:t>
          </w:r>
        </w:smartTag>
      </w:smartTag>
    </w:p>
    <w:p w:rsidR="00E03A55" w:rsidRDefault="00E03A55" w:rsidP="00B86DBB">
      <w:pPr>
        <w:pStyle w:val="Acronyms"/>
        <w:rPr>
          <w:lang w:val="en-US"/>
        </w:rPr>
      </w:pPr>
      <w:r>
        <w:rPr>
          <w:lang w:val="en-US"/>
        </w:rPr>
        <w:t>Podes</w:t>
      </w:r>
      <w:r>
        <w:rPr>
          <w:lang w:val="en-US"/>
        </w:rPr>
        <w:tab/>
        <w:t>potensi desa (village potency)</w:t>
      </w:r>
    </w:p>
    <w:p w:rsidR="00E03A55" w:rsidRDefault="00E03A55" w:rsidP="00B86DBB">
      <w:pPr>
        <w:pStyle w:val="Acronyms"/>
        <w:rPr>
          <w:lang w:val="en-US"/>
        </w:rPr>
      </w:pPr>
      <w:r>
        <w:rPr>
          <w:lang w:val="en-US"/>
        </w:rPr>
        <w:t>Polindes</w:t>
      </w:r>
      <w:r>
        <w:rPr>
          <w:lang w:val="en-US"/>
        </w:rPr>
        <w:tab/>
        <w:t>Pondok Bersalin Desa (village midwife clinic)</w:t>
      </w:r>
    </w:p>
    <w:p w:rsidR="00E03A55" w:rsidRDefault="00E03A55" w:rsidP="00B86DBB">
      <w:pPr>
        <w:pStyle w:val="Acronyms"/>
        <w:rPr>
          <w:lang w:val="en-US"/>
        </w:rPr>
      </w:pPr>
      <w:r>
        <w:rPr>
          <w:lang w:val="en-US"/>
        </w:rPr>
        <w:t>PPP</w:t>
      </w:r>
      <w:r>
        <w:rPr>
          <w:lang w:val="en-US"/>
        </w:rPr>
        <w:tab/>
        <w:t>purchasing power parity</w:t>
      </w:r>
    </w:p>
    <w:p w:rsidR="00E03A55" w:rsidRDefault="00E03A55" w:rsidP="00B86DBB">
      <w:pPr>
        <w:pStyle w:val="Acronyms"/>
        <w:rPr>
          <w:lang w:val="en-US"/>
        </w:rPr>
      </w:pPr>
      <w:r>
        <w:rPr>
          <w:lang w:val="en-US"/>
        </w:rPr>
        <w:t>PTT</w:t>
      </w:r>
      <w:r>
        <w:rPr>
          <w:lang w:val="en-US"/>
        </w:rPr>
        <w:tab/>
        <w:t>Pegawai Tidak Tetap (non-permanent employee)</w:t>
      </w:r>
    </w:p>
    <w:p w:rsidR="00E03A55" w:rsidRDefault="00E03A55" w:rsidP="00B86DBB">
      <w:pPr>
        <w:pStyle w:val="Acronyms"/>
        <w:rPr>
          <w:lang w:val="en-US"/>
        </w:rPr>
      </w:pPr>
      <w:r>
        <w:rPr>
          <w:lang w:val="en-US"/>
        </w:rPr>
        <w:t>Puskesmas</w:t>
      </w:r>
      <w:r>
        <w:rPr>
          <w:lang w:val="en-US"/>
        </w:rPr>
        <w:tab/>
        <w:t>Pusat Kesehatan Masyarakat (health centre)</w:t>
      </w:r>
    </w:p>
    <w:p w:rsidR="00E03A55" w:rsidRDefault="00E03A55" w:rsidP="00B86DBB">
      <w:pPr>
        <w:pStyle w:val="Acronyms"/>
        <w:rPr>
          <w:lang w:val="en-US"/>
        </w:rPr>
      </w:pPr>
      <w:r>
        <w:rPr>
          <w:lang w:val="en-US"/>
        </w:rPr>
        <w:t>Pusling</w:t>
      </w:r>
      <w:r>
        <w:rPr>
          <w:lang w:val="en-US"/>
        </w:rPr>
        <w:tab/>
        <w:t>Puskesmas Keliling (mobile health care clinic)</w:t>
      </w:r>
    </w:p>
    <w:p w:rsidR="00E03A55" w:rsidRDefault="00E03A55" w:rsidP="00B86DBB">
      <w:pPr>
        <w:pStyle w:val="Acronyms"/>
        <w:rPr>
          <w:lang w:val="en-US"/>
        </w:rPr>
      </w:pPr>
      <w:r>
        <w:rPr>
          <w:lang w:val="en-US"/>
        </w:rPr>
        <w:t>PUSTU</w:t>
      </w:r>
      <w:r>
        <w:rPr>
          <w:lang w:val="en-US"/>
        </w:rPr>
        <w:tab/>
        <w:t>Puskesmas Pembantu (sub health centre)</w:t>
      </w:r>
    </w:p>
    <w:p w:rsidR="00E03A55" w:rsidRDefault="00E03A55" w:rsidP="00B86DBB">
      <w:pPr>
        <w:pStyle w:val="Acronyms"/>
        <w:rPr>
          <w:rFonts w:cs="Arial"/>
          <w:color w:val="000000"/>
        </w:rPr>
      </w:pPr>
      <w:r>
        <w:rPr>
          <w:lang w:val="en-US"/>
        </w:rPr>
        <w:t>Susenas</w:t>
      </w:r>
      <w:r>
        <w:rPr>
          <w:lang w:val="en-US"/>
        </w:rPr>
        <w:tab/>
        <w:t>Survei S</w:t>
      </w:r>
      <w:r w:rsidRPr="00A62B0F">
        <w:rPr>
          <w:lang w:val="en-US"/>
        </w:rPr>
        <w:t>osial Ekonomi Nasional (</w:t>
      </w:r>
      <w:r w:rsidRPr="00A62B0F">
        <w:rPr>
          <w:rFonts w:cs="Arial"/>
          <w:color w:val="000000"/>
        </w:rPr>
        <w:t>National Socioeconomic Survey</w:t>
      </w:r>
      <w:r>
        <w:rPr>
          <w:rFonts w:cs="Arial"/>
          <w:color w:val="000000"/>
        </w:rPr>
        <w:t>)</w:t>
      </w:r>
    </w:p>
    <w:p w:rsidR="00E03A55" w:rsidRDefault="00E03A55" w:rsidP="00B86DBB">
      <w:pPr>
        <w:pStyle w:val="Acronyms"/>
        <w:rPr>
          <w:rFonts w:cs="Arial"/>
          <w:color w:val="000000"/>
        </w:rPr>
      </w:pPr>
      <w:r>
        <w:rPr>
          <w:rFonts w:cs="Arial"/>
          <w:color w:val="000000"/>
        </w:rPr>
        <w:t>UNICEF</w:t>
      </w:r>
      <w:r>
        <w:rPr>
          <w:rFonts w:cs="Arial"/>
          <w:color w:val="000000"/>
        </w:rPr>
        <w:tab/>
        <w:t xml:space="preserve">United Nations Children’s Fund </w:t>
      </w:r>
    </w:p>
    <w:p w:rsidR="00E03A55" w:rsidRDefault="00E03A55" w:rsidP="00B86DBB">
      <w:pPr>
        <w:pStyle w:val="Acronyms"/>
        <w:rPr>
          <w:lang w:val="en-US"/>
        </w:rPr>
      </w:pPr>
      <w:r>
        <w:rPr>
          <w:lang w:val="en-US"/>
        </w:rPr>
        <w:t>WHO</w:t>
      </w:r>
      <w:r>
        <w:rPr>
          <w:lang w:val="en-US"/>
        </w:rPr>
        <w:tab/>
        <w:t>World Health Organization</w:t>
      </w:r>
    </w:p>
    <w:p w:rsidR="00E03A55" w:rsidRPr="00D34CE3" w:rsidRDefault="00E03A55" w:rsidP="00256D17">
      <w:pPr>
        <w:pStyle w:val="Heading1"/>
        <w:numPr>
          <w:ilvl w:val="0"/>
          <w:numId w:val="0"/>
        </w:numPr>
      </w:pPr>
      <w:bookmarkStart w:id="17" w:name="_Toc156300935"/>
      <w:bookmarkStart w:id="18" w:name="_Toc225573817"/>
      <w:bookmarkStart w:id="19" w:name="_Toc239163832"/>
      <w:r w:rsidRPr="00DE6BDD">
        <w:t>Abstract</w:t>
      </w:r>
      <w:bookmarkEnd w:id="17"/>
      <w:bookmarkEnd w:id="18"/>
      <w:bookmarkEnd w:id="19"/>
    </w:p>
    <w:p w:rsidR="00E03A55" w:rsidRDefault="00E03A55" w:rsidP="00F91600">
      <w:pPr>
        <w:tabs>
          <w:tab w:val="left" w:pos="567"/>
          <w:tab w:val="left" w:pos="1985"/>
        </w:tabs>
        <w:ind w:firstLine="0"/>
        <w:jc w:val="both"/>
      </w:pPr>
      <w:r>
        <w:t>The research aims to investigate the relationships between public health expenditure and infant mortality using the utilization of skilled birth attendance as an intermediate channel. Using Indonesia’s data from 2001 to 2006, the fixed effect estimation suggests</w:t>
      </w:r>
      <w:r w:rsidRPr="008436FD">
        <w:t xml:space="preserve"> no effect of per capita total health expenditure on infant mortality once the utilization of skilled birth attendance is not included in the model. However, introducing an interaction variable between per capita </w:t>
      </w:r>
      <w:r>
        <w:t xml:space="preserve">public </w:t>
      </w:r>
      <w:r w:rsidRPr="008436FD">
        <w:t>health expenditure and skilled birth attendance, employing lagged skilled birth attendance and controlling for socio-economic variables, a statistically significant result emerge. The regression result</w:t>
      </w:r>
      <w:r>
        <w:t>s</w:t>
      </w:r>
      <w:r w:rsidRPr="008436FD">
        <w:t xml:space="preserve"> also shows that socio-economic variables namely proportion of households having their own house and mother’s education are associated with reduction of infant mortality. </w:t>
      </w:r>
      <w:r>
        <w:t>This</w:t>
      </w:r>
      <w:r w:rsidRPr="008436FD">
        <w:t xml:space="preserve"> paper does not find any statistical evidence to support that the presence of skilled birth attendant at delivery affects infant mortality. </w:t>
      </w:r>
    </w:p>
    <w:p w:rsidR="00E03A55" w:rsidRPr="008436FD" w:rsidRDefault="00E03A55" w:rsidP="00517298">
      <w:pPr>
        <w:tabs>
          <w:tab w:val="left" w:pos="567"/>
          <w:tab w:val="left" w:pos="1985"/>
        </w:tabs>
        <w:ind w:firstLine="0"/>
        <w:jc w:val="both"/>
      </w:pPr>
      <w:r>
        <w:tab/>
        <w:t xml:space="preserve">This study finds that per capita </w:t>
      </w:r>
      <w:r w:rsidRPr="008436FD">
        <w:t xml:space="preserve">public health </w:t>
      </w:r>
      <w:r>
        <w:t xml:space="preserve">expenditure and </w:t>
      </w:r>
      <w:r w:rsidRPr="00517298">
        <w:rPr>
          <w:i/>
        </w:rPr>
        <w:t>puskesmas</w:t>
      </w:r>
      <w:r>
        <w:rPr>
          <w:i/>
        </w:rPr>
        <w:t xml:space="preserve"> </w:t>
      </w:r>
      <w:r>
        <w:t xml:space="preserve">coverage statistically </w:t>
      </w:r>
      <w:r w:rsidRPr="008436FD">
        <w:t xml:space="preserve">significant </w:t>
      </w:r>
      <w:r>
        <w:t xml:space="preserve">affect </w:t>
      </w:r>
      <w:r w:rsidRPr="008436FD">
        <w:t>the utilization of skilled birth attendance</w:t>
      </w:r>
      <w:r>
        <w:t xml:space="preserve">. </w:t>
      </w:r>
      <w:r w:rsidRPr="008436FD">
        <w:t xml:space="preserve">An important new result is that the effect of public health spending seems to be more effective to increase the utilization of skilled birth attendance and reduce infant mortality in the areas </w:t>
      </w:r>
      <w:r>
        <w:t xml:space="preserve">with less access to </w:t>
      </w:r>
      <w:r w:rsidRPr="008436FD">
        <w:t xml:space="preserve">skilled birth attendance and </w:t>
      </w:r>
      <w:r w:rsidRPr="008436FD">
        <w:rPr>
          <w:i/>
        </w:rPr>
        <w:t>puskesmas.</w:t>
      </w:r>
      <w:r w:rsidRPr="008436FD">
        <w:rPr>
          <w:rFonts w:cs="NewAster-Italic"/>
          <w:iCs/>
        </w:rPr>
        <w:t xml:space="preserve"> </w:t>
      </w:r>
    </w:p>
    <w:p w:rsidR="00E03A55" w:rsidRPr="008B3247" w:rsidRDefault="00E03A55" w:rsidP="00F756EE">
      <w:pPr>
        <w:pStyle w:val="Normalfirstparagraph"/>
      </w:pPr>
    </w:p>
    <w:p w:rsidR="00E03A55" w:rsidRPr="001A44F6" w:rsidRDefault="00E03A55" w:rsidP="001A44F6">
      <w:pPr>
        <w:spacing w:before="800" w:after="200"/>
        <w:ind w:firstLine="0"/>
        <w:rPr>
          <w:b/>
          <w:sz w:val="32"/>
          <w:szCs w:val="32"/>
        </w:rPr>
      </w:pPr>
      <w:r w:rsidRPr="001A44F6">
        <w:rPr>
          <w:b/>
          <w:sz w:val="32"/>
          <w:szCs w:val="32"/>
        </w:rPr>
        <w:t>Relevance to Development Studies</w:t>
      </w:r>
    </w:p>
    <w:p w:rsidR="00E03A55" w:rsidRPr="008B3247" w:rsidRDefault="00E03A55" w:rsidP="002D774B">
      <w:pPr>
        <w:pStyle w:val="Normalfirstparagraph"/>
        <w:jc w:val="both"/>
      </w:pPr>
      <w:r>
        <w:t xml:space="preserve">Infant mortality is a commonly used measure of average population health and development. It mainly determined by socioeconomic factors and government’s ability to provide health care services to its people. This research examines the importance of governments expenditure on utilization of health care services and to what extend it can be translated to reduction of infant mortality.  </w:t>
      </w:r>
    </w:p>
    <w:p w:rsidR="00E03A55" w:rsidRPr="001A44F6" w:rsidRDefault="00E03A55" w:rsidP="001A44F6">
      <w:pPr>
        <w:spacing w:before="800" w:after="200"/>
        <w:ind w:firstLine="0"/>
        <w:rPr>
          <w:b/>
          <w:sz w:val="32"/>
          <w:szCs w:val="32"/>
        </w:rPr>
      </w:pPr>
      <w:r w:rsidRPr="001A44F6">
        <w:rPr>
          <w:b/>
          <w:sz w:val="32"/>
          <w:szCs w:val="32"/>
        </w:rPr>
        <w:t>Keywords</w:t>
      </w:r>
    </w:p>
    <w:p w:rsidR="00E03A55" w:rsidRPr="008276F0" w:rsidRDefault="00E03A55" w:rsidP="00F756EE">
      <w:pPr>
        <w:pStyle w:val="Normalfirstparagraph"/>
      </w:pPr>
      <w:r>
        <w:t xml:space="preserve">Public health expenditure, skilled birth attendance, infant mortality, </w:t>
      </w:r>
      <w:r w:rsidRPr="00F91600">
        <w:rPr>
          <w:i/>
        </w:rPr>
        <w:t>Susenas</w:t>
      </w:r>
      <w:r>
        <w:t>, Indonesia</w:t>
      </w:r>
    </w:p>
    <w:p w:rsidR="00E03A55" w:rsidRDefault="00E03A55" w:rsidP="009C3D05">
      <w:pPr>
        <w:pStyle w:val="Heading1"/>
        <w:sectPr w:rsidR="00E03A55" w:rsidSect="002B62FC">
          <w:footerReference w:type="even" r:id="rId8"/>
          <w:footerReference w:type="default" r:id="rId9"/>
          <w:footerReference w:type="first" r:id="rId10"/>
          <w:endnotePr>
            <w:numFmt w:val="decimal"/>
          </w:endnotePr>
          <w:pgSz w:w="11906" w:h="16838" w:code="9"/>
          <w:pgMar w:top="1701" w:right="2268" w:bottom="1701" w:left="2268" w:header="709" w:footer="1418" w:gutter="0"/>
          <w:pgNumType w:fmt="lowerRoman" w:start="1"/>
          <w:cols w:space="708"/>
          <w:titlePg/>
          <w:docGrid w:linePitch="360"/>
        </w:sectPr>
      </w:pPr>
      <w:bookmarkStart w:id="20" w:name="_Toc120098264"/>
    </w:p>
    <w:p w:rsidR="00E03A55" w:rsidRPr="0004709A" w:rsidRDefault="00E03A55" w:rsidP="004A7DEE">
      <w:pPr>
        <w:pStyle w:val="Heading1"/>
      </w:pPr>
      <w:r>
        <w:br/>
      </w:r>
      <w:bookmarkStart w:id="21" w:name="_Toc239163833"/>
      <w:bookmarkEnd w:id="20"/>
      <w:r w:rsidRPr="00B93EE8">
        <w:rPr>
          <w:szCs w:val="36"/>
        </w:rPr>
        <w:t>Introduction</w:t>
      </w:r>
      <w:bookmarkEnd w:id="21"/>
    </w:p>
    <w:p w:rsidR="00E03A55" w:rsidRPr="00F10820" w:rsidRDefault="00E03A55" w:rsidP="00092D98">
      <w:pPr>
        <w:tabs>
          <w:tab w:val="left" w:pos="567"/>
        </w:tabs>
        <w:ind w:firstLine="0"/>
        <w:jc w:val="both"/>
        <w:rPr>
          <w:lang w:val="en-US"/>
        </w:rPr>
      </w:pPr>
      <w:r w:rsidRPr="00F10820">
        <w:rPr>
          <w:lang w:val="en-US"/>
        </w:rPr>
        <w:t xml:space="preserve">Infant mortality </w:t>
      </w:r>
      <w:r>
        <w:rPr>
          <w:lang w:val="en-US"/>
        </w:rPr>
        <w:t xml:space="preserve">still </w:t>
      </w:r>
      <w:r w:rsidRPr="00F10820">
        <w:rPr>
          <w:lang w:val="en-US"/>
        </w:rPr>
        <w:t xml:space="preserve">remains a serious health challenge in Indonesia. Although significant improvement has been made in reducing infant deaths, the speed of declining appears to have slowed since 2002 (World Bank, 2009). According to The Indonesian Demographic and Health Survey (IDHS) data, infant mortality rate (IMR) decreased from 46 per 1,000 live births in 1997 to 34 per live births in 2007. In addition, significant disparities in the IMR exist across provinces and socio-economic groups. Indonesia’s IMR is also above the East Asian average and underperform compared to its closely neighbors. The World Health Statistics 2008 shows that Indonesia’s IMR is still higher than Malaysia (10), Thailand (20), and Vietnam (18). </w:t>
      </w:r>
    </w:p>
    <w:p w:rsidR="00E03A55" w:rsidRPr="00F10820" w:rsidRDefault="00E03A55" w:rsidP="00092D98">
      <w:pPr>
        <w:tabs>
          <w:tab w:val="left" w:pos="567"/>
        </w:tabs>
        <w:suppressAutoHyphens w:val="0"/>
        <w:autoSpaceDE w:val="0"/>
        <w:autoSpaceDN w:val="0"/>
        <w:adjustRightInd w:val="0"/>
        <w:ind w:firstLine="0"/>
        <w:jc w:val="both"/>
      </w:pPr>
      <w:r w:rsidRPr="00F10820">
        <w:tab/>
        <w:t xml:space="preserve">Protecting and providing maternal healthcare services for the poor and vulnerable groups in rural and remote areas, as well as in pockets of poverty in urban areas will be essential in combating infant mortality. One of these </w:t>
      </w:r>
      <w:r>
        <w:t xml:space="preserve">     </w:t>
      </w:r>
      <w:r w:rsidRPr="00F10820">
        <w:t xml:space="preserve">services is the presence of skilled birth attendants at delivery. The presence of skilled birth attendants at delivery is an important factor in preventing infant mortality since they are able to recognize the </w:t>
      </w:r>
      <w:r w:rsidRPr="00F10820">
        <w:rPr>
          <w:rFonts w:eastAsia="Arial Unicode MS" w:cs="Arial Unicode MS"/>
        </w:rPr>
        <w:t xml:space="preserve">complications </w:t>
      </w:r>
      <w:r w:rsidRPr="00F10820">
        <w:t>of unborn babies and provide appropriate interventions. They also perform assessment on the babies in the immediate post-birth period and intensive treatments for sick newborn when needed. As a result, the risk of infant deaths can be decreased (WHO, 2004).</w:t>
      </w:r>
    </w:p>
    <w:p w:rsidR="00E03A55" w:rsidRPr="008436FD" w:rsidRDefault="00E03A55" w:rsidP="00092D98">
      <w:pPr>
        <w:tabs>
          <w:tab w:val="left" w:pos="0"/>
          <w:tab w:val="left" w:pos="567"/>
        </w:tabs>
        <w:autoSpaceDE w:val="0"/>
        <w:autoSpaceDN w:val="0"/>
        <w:adjustRightInd w:val="0"/>
        <w:ind w:firstLine="567"/>
        <w:jc w:val="both"/>
      </w:pPr>
      <w:r w:rsidRPr="008436FD">
        <w:t xml:space="preserve">However, the utilization of skilled birth attendance requires a functioning health system including well-trained midwives, financial support, adequate facilities, and community partnership. The role of government is needed in supporting the health system specifically in the improvement of skilled birth attendance. In the common practice, it is reflected by public health spending. Meanwhile, the role of community is essential for its usefulness in spreading the information on the best practice of maternal care including the necessary of skilled birth attendance in the delivery process. Focusing on the role of the government, the utilization of skilled birth attendance could be increased if government, for example, improves health services coverage, reduces user fees, or increases the number of health facilities. These interventions do not only need resource allocation from government’s budget but also require an effective government to manage this resource and deliver health services to the community. A lower level of government is expected to be more effective since it is closer to the community and well inform on the needs of local people. It brings to idea of decentralization where, in the scoop of health care, the lower level of government is better to have a responsibility in delivering health services rather than the central government for its intense interaction with the local people.  </w:t>
      </w:r>
    </w:p>
    <w:p w:rsidR="00E03A55" w:rsidRPr="001A5461" w:rsidRDefault="00E03A55" w:rsidP="00092D98">
      <w:pPr>
        <w:tabs>
          <w:tab w:val="left" w:pos="567"/>
        </w:tabs>
        <w:ind w:firstLine="0"/>
        <w:jc w:val="both"/>
      </w:pPr>
      <w:r>
        <w:tab/>
      </w:r>
      <w:r w:rsidRPr="008436FD">
        <w:t>Decentralization has been implemented in Indonesia in 2001. Under decentralization, responsibility for health care provision was delegated to district governments. It was also followed by transfer of a quarter million-health workers (Rokx et al.</w:t>
      </w:r>
      <w:r>
        <w:t xml:space="preserve">, 2009). It then might affect the public health care supply. Focusing on the utilization of skilled birth attendance, </w:t>
      </w:r>
      <w:r>
        <w:rPr>
          <w:i/>
        </w:rPr>
        <w:t xml:space="preserve">Susenas </w:t>
      </w:r>
      <w:r>
        <w:t>data confirm that a skilled medical staff such as a doctor, midwife or nurse attended about 64 percent of live births</w:t>
      </w:r>
      <w:r w:rsidRPr="00B21A78">
        <w:t xml:space="preserve"> </w:t>
      </w:r>
      <w:r>
        <w:t>in 2001. This percentage increases to 72 percent in 2006. At the same time, th</w:t>
      </w:r>
      <w:r w:rsidRPr="008436FD">
        <w:t xml:space="preserve">e public spending trend shows that the majority of health expenditure </w:t>
      </w:r>
      <w:r>
        <w:t>wa</w:t>
      </w:r>
      <w:r w:rsidRPr="008436FD">
        <w:t>s spent in district government. Districts spent 4.4 billion rupiah in 2001 and became 9.9 billion rupiah in 2005.</w:t>
      </w:r>
      <w:r>
        <w:t xml:space="preserve">  </w:t>
      </w:r>
    </w:p>
    <w:p w:rsidR="00E03A55" w:rsidRPr="008436FD" w:rsidRDefault="00E03A55" w:rsidP="00075D71">
      <w:pPr>
        <w:tabs>
          <w:tab w:val="left" w:pos="0"/>
          <w:tab w:val="left" w:pos="567"/>
        </w:tabs>
        <w:autoSpaceDE w:val="0"/>
        <w:autoSpaceDN w:val="0"/>
        <w:adjustRightInd w:val="0"/>
        <w:ind w:firstLine="0"/>
        <w:jc w:val="both"/>
      </w:pPr>
      <w:r w:rsidRPr="008436FD">
        <w:tab/>
        <w:t>Regarding the</w:t>
      </w:r>
      <w:r>
        <w:t>se trends</w:t>
      </w:r>
      <w:r w:rsidRPr="008436FD">
        <w:t>, it is interesting to investigate the possible impact of improvement in public health spending and health care provision on child health status. More specific, it is essential</w:t>
      </w:r>
      <w:r>
        <w:t xml:space="preserve"> to explore not only a </w:t>
      </w:r>
      <w:r w:rsidRPr="008436FD">
        <w:t xml:space="preserve">causal relationship between </w:t>
      </w:r>
      <w:r>
        <w:t xml:space="preserve">public health </w:t>
      </w:r>
      <w:r w:rsidRPr="008436FD">
        <w:t>spending and infant mortality but also the intermediate link between them. Understanding the role of public health expenditure especially for district level is an important point for policymaking. If spending is closely associated with health service utilization and affects infant mortality, district governments should make interventions in health supply, for instance increase the number of midwives or build new health service centres (</w:t>
      </w:r>
      <w:r w:rsidRPr="008436FD">
        <w:rPr>
          <w:i/>
        </w:rPr>
        <w:t>Puskesmas</w:t>
      </w:r>
      <w:r w:rsidRPr="008436FD">
        <w:t>). These might increase the accessibility and quality of health care especially for the poor and the people living in remote and rural areas.</w:t>
      </w:r>
    </w:p>
    <w:p w:rsidR="00E03A55" w:rsidRPr="008436FD" w:rsidRDefault="00E03A55" w:rsidP="00092D98">
      <w:pPr>
        <w:tabs>
          <w:tab w:val="left" w:pos="0"/>
          <w:tab w:val="left" w:pos="567"/>
        </w:tabs>
        <w:autoSpaceDE w:val="0"/>
        <w:autoSpaceDN w:val="0"/>
        <w:adjustRightInd w:val="0"/>
        <w:ind w:firstLine="0"/>
        <w:jc w:val="both"/>
      </w:pPr>
      <w:r w:rsidRPr="008436FD">
        <w:tab/>
        <w:t>The possible impact of public health spending on infant mortality is a debatable topic among health economists. There is likely to be on-going discussion on the possible consequences of investment in health through public health expenditure. In fact, there is no clear answer about this relationship. Several studies do not find a positive relationship between public health spending on infant mortality; in contrast, other researches do.</w:t>
      </w:r>
    </w:p>
    <w:p w:rsidR="00E03A55" w:rsidRPr="007F2F3B" w:rsidRDefault="00E03A55" w:rsidP="00092D98">
      <w:pPr>
        <w:ind w:firstLine="567"/>
        <w:jc w:val="both"/>
      </w:pPr>
      <w:r w:rsidRPr="007F2F3B">
        <w:t>Most of the literature that examines the link between public health expenditure and infant mortality utilizes cross-countries data. A study by Filmer and Pritchett (199</w:t>
      </w:r>
      <w:r>
        <w:t>9) shows a small coefficient and</w:t>
      </w:r>
      <w:r w:rsidRPr="007F2F3B">
        <w:t xml:space="preserve"> not statistically significant for the impact of public health expenditure on infant and child mortality. The more influence factor is socio-economic characteristics of each country in analysis. In contrast, studies by Gupta et al (2002) and Rajkumar and Swaroop (2008) have different conclusion. They found that the increasing of public spending on health is associated with the reduction on mortality rates for infants. In addition, Rajkumar and Swaroop indicate the important of good governance for the improvement in development outcomes as well. However, these studies may suffer from inherent unobserved heterogeneity on both public spending and health outcomes. It also typically prone to measurement error, due to inconsistencies between countries in data quality, collection method and underlying data sources as well (Kruse et al., forthcoming). </w:t>
      </w:r>
      <w:r>
        <w:t>It then calls for an alternative data source that is sub-national data set.</w:t>
      </w:r>
    </w:p>
    <w:p w:rsidR="00E03A55" w:rsidRPr="008436FD" w:rsidRDefault="00E03A55" w:rsidP="00092D98">
      <w:pPr>
        <w:ind w:firstLine="567"/>
        <w:jc w:val="both"/>
        <w:rPr>
          <w:rFonts w:cs="TimesNewRomanPSMT"/>
        </w:rPr>
      </w:pPr>
      <w:r w:rsidRPr="008436FD">
        <w:t>There are some relevant works analyze in sub-national expenditure. Crémieux et al. (1999)</w:t>
      </w:r>
      <w:r w:rsidRPr="008436FD">
        <w:rPr>
          <w:rFonts w:cs="TimesNewRomanPSMT"/>
        </w:rPr>
        <w:t xml:space="preserve"> apply the homogenous data of Canadian provinces over the period of 1978-1992</w:t>
      </w:r>
      <w:r w:rsidRPr="008436FD">
        <w:t xml:space="preserve"> and confirm that lower health care spending is significantly associated with higher infant mortality rate. In Indian context, </w:t>
      </w:r>
      <w:r w:rsidRPr="008436FD">
        <w:rPr>
          <w:rFonts w:cs="TimesNewRomanPSMT"/>
        </w:rPr>
        <w:t>Bhalotra (2007) focuses on 15 states and finds a small coefficient with negative significant effect appears in the third lag of public health expenditures on child mortality for rural households. Study of Pradipta (2003) also found that provincial health expenditure has a negative significant effect on infant mortality in Indonesia.</w:t>
      </w:r>
    </w:p>
    <w:p w:rsidR="00E03A55" w:rsidRPr="008436FD" w:rsidRDefault="00E03A55" w:rsidP="00092D98">
      <w:pPr>
        <w:pStyle w:val="Default"/>
        <w:tabs>
          <w:tab w:val="left" w:pos="0"/>
          <w:tab w:val="left" w:pos="540"/>
          <w:tab w:val="left" w:pos="567"/>
          <w:tab w:val="left" w:pos="1134"/>
        </w:tabs>
        <w:spacing w:after="60"/>
        <w:ind w:right="18"/>
        <w:jc w:val="both"/>
        <w:rPr>
          <w:rFonts w:ascii="Garamond" w:hAnsi="Garamond"/>
          <w:color w:val="auto"/>
        </w:rPr>
      </w:pPr>
      <w:r w:rsidRPr="008436FD">
        <w:rPr>
          <w:rFonts w:ascii="Garamond" w:hAnsi="Garamond"/>
          <w:color w:val="auto"/>
        </w:rPr>
        <w:tab/>
        <w:t xml:space="preserve">Although the causal relationship between public health spending and </w:t>
      </w:r>
      <w:r>
        <w:rPr>
          <w:rFonts w:ascii="Garamond" w:hAnsi="Garamond"/>
          <w:color w:val="auto"/>
        </w:rPr>
        <w:t xml:space="preserve">  infant</w:t>
      </w:r>
      <w:r w:rsidRPr="008436FD">
        <w:rPr>
          <w:rFonts w:ascii="Garamond" w:hAnsi="Garamond"/>
          <w:color w:val="auto"/>
        </w:rPr>
        <w:t xml:space="preserve"> mortality has become a major interest of many researchers in the last ten years, the role of health services utilization as intermediate link between public spending and infant mortality has not been adequately assessed in the health policy research literature. For example, none of the paper reviewed so far </w:t>
      </w:r>
      <w:r>
        <w:rPr>
          <w:rFonts w:ascii="Garamond" w:hAnsi="Garamond"/>
          <w:color w:val="auto"/>
        </w:rPr>
        <w:t xml:space="preserve">   </w:t>
      </w:r>
      <w:r w:rsidRPr="008436FD">
        <w:rPr>
          <w:rFonts w:ascii="Garamond" w:hAnsi="Garamond"/>
          <w:color w:val="auto"/>
        </w:rPr>
        <w:t xml:space="preserve">examines this indirect link. Addressing this absence, this study aims to </w:t>
      </w:r>
      <w:r>
        <w:rPr>
          <w:rFonts w:ascii="Garamond" w:hAnsi="Garamond"/>
          <w:color w:val="auto"/>
        </w:rPr>
        <w:t xml:space="preserve">        </w:t>
      </w:r>
      <w:r w:rsidRPr="008436FD">
        <w:rPr>
          <w:rFonts w:ascii="Garamond" w:hAnsi="Garamond"/>
          <w:color w:val="auto"/>
        </w:rPr>
        <w:t xml:space="preserve">investigate the function of skilled birth attendant at delivery on infant mortality as well as examine the causal relationships between public health spending and infant mortality. </w:t>
      </w:r>
    </w:p>
    <w:p w:rsidR="00E03A55" w:rsidRPr="008436FD" w:rsidRDefault="00E03A55" w:rsidP="00092D98">
      <w:pPr>
        <w:pStyle w:val="Default"/>
        <w:tabs>
          <w:tab w:val="left" w:pos="567"/>
          <w:tab w:val="left" w:pos="1134"/>
        </w:tabs>
        <w:spacing w:after="60"/>
        <w:ind w:right="18" w:firstLine="567"/>
        <w:jc w:val="both"/>
        <w:rPr>
          <w:rFonts w:ascii="Garamond" w:hAnsi="Garamond"/>
          <w:color w:val="auto"/>
        </w:rPr>
      </w:pPr>
      <w:r w:rsidRPr="008436FD">
        <w:rPr>
          <w:rFonts w:ascii="Garamond" w:hAnsi="Garamond"/>
          <w:color w:val="auto"/>
        </w:rPr>
        <w:t xml:space="preserve">This paper contributes to the literature on public finance and health economics by analyzing the relationship between public health spending and infant mortality using skilled birth attendance. In particular, it investigates the extent to which public health spending results in a decrease in infant mortality and whether skilled birth attendance has positive contribution to this decline. The study based on budget data combined with Indonesian household survey </w:t>
      </w:r>
      <w:r w:rsidRPr="008436FD">
        <w:rPr>
          <w:rFonts w:ascii="Garamond" w:hAnsi="Garamond"/>
          <w:i/>
          <w:color w:val="auto"/>
        </w:rPr>
        <w:t>(Susenas)</w:t>
      </w:r>
      <w:r w:rsidRPr="008436FD">
        <w:rPr>
          <w:rFonts w:ascii="Garamond" w:hAnsi="Garamond"/>
          <w:color w:val="auto"/>
        </w:rPr>
        <w:t xml:space="preserve"> data</w:t>
      </w:r>
      <w:r w:rsidRPr="008436FD">
        <w:rPr>
          <w:rFonts w:ascii="Garamond" w:hAnsi="Garamond"/>
          <w:i/>
          <w:color w:val="auto"/>
        </w:rPr>
        <w:t xml:space="preserve"> </w:t>
      </w:r>
      <w:r w:rsidRPr="008436FD">
        <w:rPr>
          <w:rFonts w:ascii="Garamond" w:hAnsi="Garamond"/>
          <w:color w:val="auto"/>
        </w:rPr>
        <w:t xml:space="preserve">for district level in Indonesia. A panel data constructed by </w:t>
      </w:r>
      <w:r>
        <w:rPr>
          <w:rFonts w:ascii="Garamond" w:hAnsi="Garamond"/>
          <w:color w:val="auto"/>
        </w:rPr>
        <w:t xml:space="preserve">  </w:t>
      </w:r>
      <w:r w:rsidRPr="008436FD">
        <w:rPr>
          <w:rFonts w:ascii="Garamond" w:hAnsi="Garamond"/>
          <w:color w:val="auto"/>
        </w:rPr>
        <w:t xml:space="preserve">spending data from 2001 to 2004 linked with the </w:t>
      </w:r>
      <w:r w:rsidRPr="008436FD">
        <w:rPr>
          <w:rFonts w:ascii="Garamond" w:hAnsi="Garamond"/>
          <w:i/>
          <w:color w:val="auto"/>
        </w:rPr>
        <w:t>Susenas</w:t>
      </w:r>
      <w:r w:rsidRPr="008436FD">
        <w:rPr>
          <w:rFonts w:ascii="Garamond" w:hAnsi="Garamond"/>
          <w:color w:val="auto"/>
        </w:rPr>
        <w:t xml:space="preserve"> data for 2001 to 2006. However, in order to simplif</w:t>
      </w:r>
      <w:r>
        <w:rPr>
          <w:rFonts w:ascii="Garamond" w:hAnsi="Garamond"/>
          <w:color w:val="auto"/>
        </w:rPr>
        <w:t xml:space="preserve">y the analysis, these data </w:t>
      </w:r>
      <w:r w:rsidRPr="008436FD">
        <w:rPr>
          <w:rFonts w:ascii="Garamond" w:hAnsi="Garamond"/>
          <w:color w:val="auto"/>
        </w:rPr>
        <w:t xml:space="preserve">aggregated into </w:t>
      </w:r>
      <w:r>
        <w:rPr>
          <w:rFonts w:ascii="Garamond" w:hAnsi="Garamond"/>
          <w:color w:val="auto"/>
        </w:rPr>
        <w:t xml:space="preserve">        </w:t>
      </w:r>
      <w:r w:rsidRPr="008436FD">
        <w:rPr>
          <w:rFonts w:ascii="Garamond" w:hAnsi="Garamond"/>
          <w:color w:val="auto"/>
        </w:rPr>
        <w:t>provin</w:t>
      </w:r>
      <w:r>
        <w:rPr>
          <w:rFonts w:ascii="Garamond" w:hAnsi="Garamond"/>
          <w:color w:val="auto"/>
        </w:rPr>
        <w:t>ce</w:t>
      </w:r>
      <w:r w:rsidRPr="008436FD">
        <w:rPr>
          <w:rFonts w:ascii="Garamond" w:hAnsi="Garamond"/>
          <w:color w:val="auto"/>
        </w:rPr>
        <w:t xml:space="preserve"> level. It also aims to make infant mortality rate </w:t>
      </w:r>
      <w:r>
        <w:rPr>
          <w:rFonts w:ascii="Garamond" w:hAnsi="Garamond"/>
          <w:color w:val="auto"/>
        </w:rPr>
        <w:t xml:space="preserve">more </w:t>
      </w:r>
      <w:r w:rsidRPr="008436FD">
        <w:rPr>
          <w:rFonts w:ascii="Garamond" w:hAnsi="Garamond"/>
          <w:color w:val="auto"/>
        </w:rPr>
        <w:t xml:space="preserve">feasible to be calculated since data for this variable are not available. Infant mortality rate is estimated by indirect method using QFIVE software developed by United </w:t>
      </w:r>
      <w:r>
        <w:rPr>
          <w:rFonts w:ascii="Garamond" w:hAnsi="Garamond"/>
          <w:color w:val="auto"/>
        </w:rPr>
        <w:t>N</w:t>
      </w:r>
      <w:r>
        <w:rPr>
          <w:rFonts w:ascii="Garamond" w:hAnsi="Garamond"/>
          <w:color w:val="auto"/>
        </w:rPr>
        <w:t>a</w:t>
      </w:r>
      <w:r>
        <w:rPr>
          <w:rFonts w:ascii="Garamond" w:hAnsi="Garamond"/>
          <w:color w:val="auto"/>
        </w:rPr>
        <w:t>tions</w:t>
      </w:r>
      <w:r w:rsidRPr="008436FD">
        <w:rPr>
          <w:rFonts w:ascii="Garamond" w:hAnsi="Garamond"/>
          <w:color w:val="auto"/>
        </w:rPr>
        <w:t xml:space="preserve">. Moreover, this study also uses data from Ministry of Health namely </w:t>
      </w:r>
      <w:r w:rsidRPr="008436FD">
        <w:rPr>
          <w:rFonts w:ascii="Garamond" w:hAnsi="Garamond"/>
          <w:i/>
          <w:color w:val="auto"/>
        </w:rPr>
        <w:t>puskesmas</w:t>
      </w:r>
      <w:r w:rsidRPr="008436FD">
        <w:rPr>
          <w:rFonts w:ascii="Garamond" w:hAnsi="Garamond"/>
          <w:color w:val="auto"/>
        </w:rPr>
        <w:t xml:space="preserve"> coverage per 100,000 inhabitants. Only those provinces for which have complete data are included in the analysis. The balanced panel contains data fro</w:t>
      </w:r>
      <w:r>
        <w:rPr>
          <w:rFonts w:ascii="Garamond" w:hAnsi="Garamond"/>
          <w:color w:val="auto"/>
        </w:rPr>
        <w:t xml:space="preserve">m 25 provinces. This panel </w:t>
      </w:r>
      <w:r w:rsidRPr="008436FD">
        <w:rPr>
          <w:rFonts w:ascii="Garamond" w:hAnsi="Garamond"/>
          <w:color w:val="auto"/>
        </w:rPr>
        <w:t>is estimated using fixed effect regression method.</w:t>
      </w:r>
    </w:p>
    <w:p w:rsidR="00E03A55" w:rsidRPr="008436FD" w:rsidRDefault="00E03A55" w:rsidP="00092D98">
      <w:pPr>
        <w:pStyle w:val="Default"/>
        <w:tabs>
          <w:tab w:val="left" w:pos="0"/>
          <w:tab w:val="left" w:pos="567"/>
          <w:tab w:val="left" w:pos="1134"/>
        </w:tabs>
        <w:spacing w:after="60"/>
        <w:ind w:right="18"/>
        <w:jc w:val="both"/>
        <w:rPr>
          <w:rFonts w:ascii="Garamond" w:hAnsi="Garamond" w:cs="NewAster-Italic"/>
          <w:iCs/>
          <w:color w:val="auto"/>
        </w:rPr>
      </w:pPr>
      <w:r w:rsidRPr="008436FD">
        <w:rPr>
          <w:rFonts w:ascii="Garamond" w:hAnsi="Garamond"/>
          <w:color w:val="auto"/>
        </w:rPr>
        <w:tab/>
        <w:t xml:space="preserve">This study at least has three features that fit for the proposed analysis. First, this study focuses on a specific country with one data source and one definition. Consequently, it gives more robust result. Second, this study uses panel data analysis. </w:t>
      </w:r>
      <w:r w:rsidRPr="008436FD">
        <w:rPr>
          <w:rFonts w:ascii="Garamond" w:hAnsi="Garamond" w:cs="NewAster"/>
          <w:color w:val="auto"/>
        </w:rPr>
        <w:t xml:space="preserve">Combining time series of cross-section observations, panel data </w:t>
      </w:r>
      <w:r w:rsidRPr="008436FD">
        <w:rPr>
          <w:rFonts w:ascii="Garamond" w:hAnsi="Garamond" w:cs="CMR10"/>
          <w:color w:val="auto"/>
        </w:rPr>
        <w:t>have several advantages.</w:t>
      </w:r>
      <w:r w:rsidRPr="008436FD">
        <w:rPr>
          <w:rFonts w:ascii="Garamond" w:hAnsi="Garamond" w:cs="NewAster"/>
          <w:color w:val="auto"/>
        </w:rPr>
        <w:t xml:space="preserve"> I</w:t>
      </w:r>
      <w:r w:rsidRPr="008436FD">
        <w:rPr>
          <w:rFonts w:ascii="Garamond" w:hAnsi="Garamond" w:cs="CMR10"/>
          <w:color w:val="auto"/>
        </w:rPr>
        <w:t xml:space="preserve">t </w:t>
      </w:r>
      <w:r w:rsidRPr="008436FD">
        <w:rPr>
          <w:rFonts w:ascii="Garamond" w:hAnsi="Garamond" w:cs="NewAster"/>
          <w:color w:val="auto"/>
        </w:rPr>
        <w:t>gives more informative data, more variability, less collinearity among variables, more degrees of freedom and more eff</w:t>
      </w:r>
      <w:r w:rsidRPr="008436FD">
        <w:rPr>
          <w:rFonts w:ascii="Garamond" w:hAnsi="Garamond" w:cs="NewAster"/>
          <w:color w:val="auto"/>
        </w:rPr>
        <w:t>i</w:t>
      </w:r>
      <w:r w:rsidRPr="008436FD">
        <w:rPr>
          <w:rFonts w:ascii="Garamond" w:hAnsi="Garamond" w:cs="NewAster"/>
          <w:color w:val="auto"/>
        </w:rPr>
        <w:t xml:space="preserve">ciency, and can eliminate unobserved heterogeneity across individuals as well (Gujarati, 2003). Third, by studying the repeated cross section of observations, panel data are better suited to study the </w:t>
      </w:r>
      <w:r w:rsidRPr="008436FD">
        <w:rPr>
          <w:rFonts w:ascii="Garamond" w:hAnsi="Garamond" w:cs="NewAster-Italic"/>
          <w:iCs/>
          <w:color w:val="auto"/>
        </w:rPr>
        <w:t>dynamics of change as intended this paper.</w:t>
      </w:r>
    </w:p>
    <w:p w:rsidR="00E03A55" w:rsidRPr="008436FD" w:rsidRDefault="00E03A55" w:rsidP="00092D98">
      <w:pPr>
        <w:tabs>
          <w:tab w:val="left" w:pos="567"/>
          <w:tab w:val="left" w:pos="1985"/>
        </w:tabs>
        <w:jc w:val="both"/>
      </w:pPr>
      <w:r w:rsidRPr="008436FD">
        <w:t xml:space="preserve">This paper finds no effect of per capita total health expenditure on infant mortality once the utilization of skilled birth attendance is not included in the model. However, introducing an interaction variable between per capita </w:t>
      </w:r>
      <w:r>
        <w:t>public</w:t>
      </w:r>
      <w:r w:rsidRPr="008436FD">
        <w:t xml:space="preserve"> health expenditure and skilled birth attendance, employing lagged skilled birth attendance and controlling for socio-economic variables, a statistically significant result emerge. The regression result also shows that socio-economic variables namely proportion of households having their own house and mother’s education are associated with reduction of infant mortality. However, this paper does not find any statistical evidence to support that the presence of skilled birth attendant at delivery affects infant mortality. </w:t>
      </w:r>
    </w:p>
    <w:p w:rsidR="00E03A55" w:rsidRPr="008436FD" w:rsidRDefault="00E03A55" w:rsidP="00092D98">
      <w:pPr>
        <w:tabs>
          <w:tab w:val="left" w:pos="567"/>
        </w:tabs>
        <w:jc w:val="both"/>
      </w:pPr>
      <w:r w:rsidRPr="008436FD">
        <w:tab/>
        <w:t>T</w:t>
      </w:r>
      <w:r>
        <w:t>his analysis</w:t>
      </w:r>
      <w:r w:rsidRPr="008436FD">
        <w:t xml:space="preserve"> does find a significant impact of per capita public health spending on the utilization of skilled birth attendance when it includes interaction variable between public health expenditure and </w:t>
      </w:r>
      <w:r w:rsidRPr="008436FD">
        <w:rPr>
          <w:i/>
        </w:rPr>
        <w:t>puskesmas</w:t>
      </w:r>
      <w:r w:rsidRPr="008436FD">
        <w:t xml:space="preserve"> coverage. An important new result is that the effect of public health spending seems to be more effective to increase the utilization of skilled birth attendance and reduce infant mortality in the areas that fall behind in skilled birth attendance and </w:t>
      </w:r>
      <w:r w:rsidRPr="008436FD">
        <w:rPr>
          <w:i/>
        </w:rPr>
        <w:t>puskesmas.</w:t>
      </w:r>
      <w:r w:rsidRPr="008436FD">
        <w:rPr>
          <w:rFonts w:cs="NewAster-Italic"/>
          <w:iCs/>
        </w:rPr>
        <w:t xml:space="preserve"> </w:t>
      </w:r>
      <w:r w:rsidRPr="008436FD">
        <w:t xml:space="preserve">In addition, number of </w:t>
      </w:r>
      <w:r w:rsidRPr="008436FD">
        <w:rPr>
          <w:i/>
        </w:rPr>
        <w:t>puskesmas</w:t>
      </w:r>
      <w:r w:rsidRPr="008436FD">
        <w:t xml:space="preserve"> for 100,000 populations also has a significant impact on the utilization of skilled birth attendance.</w:t>
      </w:r>
    </w:p>
    <w:p w:rsidR="00E03A55" w:rsidRPr="008436FD" w:rsidRDefault="00E03A55" w:rsidP="00092D98">
      <w:pPr>
        <w:pStyle w:val="Default"/>
        <w:tabs>
          <w:tab w:val="left" w:pos="567"/>
          <w:tab w:val="left" w:pos="1134"/>
        </w:tabs>
        <w:spacing w:after="60"/>
        <w:ind w:right="18"/>
        <w:jc w:val="both"/>
        <w:rPr>
          <w:rFonts w:ascii="Garamond" w:hAnsi="Garamond"/>
          <w:color w:val="auto"/>
        </w:rPr>
      </w:pPr>
      <w:r w:rsidRPr="008436FD">
        <w:rPr>
          <w:rFonts w:ascii="Garamond" w:hAnsi="Garamond"/>
          <w:color w:val="auto"/>
        </w:rPr>
        <w:tab/>
        <w:t>The remains of this paper are organized as follows. Chapter 2 describes the overview of Indonesia’s health system, child health status and trend of government spending on health in Indonesia during the period of analysis. Chapter 3 provides the literature related to the public health spending, skilled birth attendance and infant mortality while chapter 4 focus on the data and issues related to specification and estimation methods. Chapter 5 presents the main findings and discusses their interpretation. Chapter 6 summarizes the conclusions and suggests some recommendations.</w:t>
      </w:r>
    </w:p>
    <w:p w:rsidR="00E03A55" w:rsidRPr="008436FD" w:rsidRDefault="00E03A55" w:rsidP="00092D98">
      <w:pPr>
        <w:pStyle w:val="Default"/>
        <w:tabs>
          <w:tab w:val="left" w:pos="567"/>
          <w:tab w:val="left" w:pos="1134"/>
        </w:tabs>
        <w:ind w:right="18" w:firstLine="567"/>
        <w:jc w:val="both"/>
        <w:rPr>
          <w:rFonts w:ascii="Garamond" w:hAnsi="Garamond"/>
          <w:color w:val="auto"/>
        </w:rPr>
      </w:pPr>
    </w:p>
    <w:p w:rsidR="00E03A55" w:rsidRPr="008436FD" w:rsidRDefault="00E03A55" w:rsidP="00092D98">
      <w:pPr>
        <w:pStyle w:val="Default"/>
        <w:tabs>
          <w:tab w:val="left" w:pos="567"/>
          <w:tab w:val="left" w:pos="1134"/>
        </w:tabs>
        <w:ind w:right="18" w:firstLine="567"/>
        <w:jc w:val="both"/>
        <w:rPr>
          <w:rFonts w:ascii="Garamond" w:hAnsi="Garamond"/>
          <w:color w:val="auto"/>
        </w:rPr>
      </w:pPr>
    </w:p>
    <w:p w:rsidR="00E03A55" w:rsidRPr="008436FD" w:rsidRDefault="00E03A55" w:rsidP="00092D98"/>
    <w:p w:rsidR="00E03A55" w:rsidRPr="008436FD" w:rsidRDefault="00E03A55" w:rsidP="00092D98">
      <w:pPr>
        <w:spacing w:after="0"/>
        <w:ind w:firstLine="567"/>
        <w:jc w:val="both"/>
      </w:pPr>
    </w:p>
    <w:p w:rsidR="00E03A55" w:rsidRPr="008436FD" w:rsidRDefault="00E03A55" w:rsidP="00092D98">
      <w:pPr>
        <w:tabs>
          <w:tab w:val="left" w:pos="0"/>
          <w:tab w:val="left" w:pos="567"/>
        </w:tabs>
        <w:autoSpaceDE w:val="0"/>
        <w:autoSpaceDN w:val="0"/>
        <w:adjustRightInd w:val="0"/>
        <w:spacing w:after="0"/>
        <w:ind w:firstLine="0"/>
        <w:jc w:val="both"/>
      </w:pPr>
    </w:p>
    <w:p w:rsidR="00E03A55" w:rsidRPr="008436FD" w:rsidRDefault="00E03A55" w:rsidP="00092D98">
      <w:pPr>
        <w:tabs>
          <w:tab w:val="left" w:pos="0"/>
          <w:tab w:val="left" w:pos="567"/>
        </w:tabs>
        <w:autoSpaceDE w:val="0"/>
        <w:autoSpaceDN w:val="0"/>
        <w:adjustRightInd w:val="0"/>
        <w:spacing w:after="0"/>
        <w:ind w:firstLine="0"/>
        <w:jc w:val="both"/>
      </w:pPr>
    </w:p>
    <w:p w:rsidR="00E03A55" w:rsidRPr="008436FD" w:rsidRDefault="00E03A55" w:rsidP="00092D98"/>
    <w:p w:rsidR="00E03A55" w:rsidRPr="001A5461" w:rsidRDefault="00E03A55" w:rsidP="00256D17">
      <w:pPr>
        <w:pStyle w:val="Default"/>
        <w:tabs>
          <w:tab w:val="left" w:pos="567"/>
          <w:tab w:val="left" w:pos="1134"/>
        </w:tabs>
        <w:ind w:right="18" w:firstLine="567"/>
        <w:jc w:val="both"/>
        <w:rPr>
          <w:rFonts w:ascii="Garamond" w:hAnsi="Garamond"/>
          <w:color w:val="auto"/>
        </w:rPr>
      </w:pPr>
    </w:p>
    <w:p w:rsidR="00E03A55" w:rsidRPr="002B6867" w:rsidRDefault="00E03A55" w:rsidP="00256D17">
      <w:pPr>
        <w:tabs>
          <w:tab w:val="left" w:pos="0"/>
        </w:tabs>
        <w:autoSpaceDE w:val="0"/>
        <w:autoSpaceDN w:val="0"/>
        <w:adjustRightInd w:val="0"/>
        <w:spacing w:after="0"/>
        <w:ind w:firstLine="567"/>
        <w:jc w:val="both"/>
      </w:pPr>
    </w:p>
    <w:p w:rsidR="00E03A55" w:rsidRPr="002B6867" w:rsidRDefault="00E03A55" w:rsidP="00256D17">
      <w:pPr>
        <w:tabs>
          <w:tab w:val="left" w:pos="0"/>
        </w:tabs>
        <w:autoSpaceDE w:val="0"/>
        <w:autoSpaceDN w:val="0"/>
        <w:adjustRightInd w:val="0"/>
        <w:spacing w:after="0"/>
        <w:ind w:firstLine="567"/>
        <w:jc w:val="both"/>
        <w:rPr>
          <w:rFonts w:cs="MyriadPro-Semibold"/>
          <w:bCs/>
        </w:rPr>
      </w:pPr>
    </w:p>
    <w:p w:rsidR="00E03A55" w:rsidRPr="000B2C1E" w:rsidRDefault="00E03A55" w:rsidP="00256D17">
      <w:pPr>
        <w:ind w:firstLine="0"/>
      </w:pPr>
    </w:p>
    <w:p w:rsidR="00E03A55" w:rsidRPr="008B3247" w:rsidRDefault="00E03A55" w:rsidP="00483839">
      <w:pPr>
        <w:pStyle w:val="Normalfirstparagraph"/>
      </w:pPr>
    </w:p>
    <w:p w:rsidR="00E03A55" w:rsidRDefault="00E03A55" w:rsidP="00E050A5">
      <w:pPr>
        <w:pStyle w:val="tablesourcenote"/>
        <w:rPr>
          <w:rFonts w:cs="Arial"/>
          <w:sz w:val="18"/>
          <w:szCs w:val="18"/>
        </w:rPr>
      </w:pPr>
    </w:p>
    <w:p w:rsidR="00E03A55" w:rsidRDefault="00E03A55" w:rsidP="00B42D37">
      <w:pPr>
        <w:pStyle w:val="Heading1"/>
      </w:pPr>
      <w:bookmarkStart w:id="22" w:name="_Toc120098277"/>
      <w:r>
        <w:br/>
      </w:r>
      <w:bookmarkStart w:id="23" w:name="_Toc239163834"/>
      <w:r w:rsidRPr="00981635">
        <w:rPr>
          <w:szCs w:val="36"/>
        </w:rPr>
        <w:t>Indonesia’s Health Profile</w:t>
      </w:r>
      <w:bookmarkEnd w:id="23"/>
    </w:p>
    <w:p w:rsidR="00E03A55" w:rsidRPr="008B3247" w:rsidRDefault="00E03A55" w:rsidP="00A8123B">
      <w:pPr>
        <w:tabs>
          <w:tab w:val="left" w:pos="567"/>
        </w:tabs>
        <w:ind w:firstLine="0"/>
        <w:jc w:val="both"/>
      </w:pPr>
      <w:r w:rsidRPr="00707566">
        <w:t>This chapter provides some information about the current condition of development on Indonesia heal</w:t>
      </w:r>
      <w:r>
        <w:t xml:space="preserve">th sector. This chapter first </w:t>
      </w:r>
      <w:r w:rsidRPr="00707566">
        <w:t>discusses the Indonesia’s health system</w:t>
      </w:r>
      <w:r>
        <w:t xml:space="preserve"> and development of infrastructures and human resources for</w:t>
      </w:r>
      <w:r w:rsidRPr="00605C2E">
        <w:t xml:space="preserve"> </w:t>
      </w:r>
      <w:r>
        <w:t>health</w:t>
      </w:r>
      <w:r w:rsidRPr="00707566">
        <w:t xml:space="preserve"> especially after decentralization era. </w:t>
      </w:r>
      <w:r>
        <w:t>The</w:t>
      </w:r>
      <w:r w:rsidRPr="00707566">
        <w:t xml:space="preserve"> second part of this chapter </w:t>
      </w:r>
      <w:r>
        <w:t xml:space="preserve">next </w:t>
      </w:r>
      <w:r w:rsidRPr="00707566">
        <w:t xml:space="preserve">describes </w:t>
      </w:r>
      <w:r>
        <w:t xml:space="preserve">the progress of maternal care services in Indonesia while the third part presents </w:t>
      </w:r>
      <w:r w:rsidRPr="00707566">
        <w:t>Indonesia’s health status at glance. To fit objective of the study, this paper limits the discussion about the Indonesia’s health status on the child health issues. Finally, the trend of public expenditure on health will be illustrated in the last section of this chapter.</w:t>
      </w:r>
    </w:p>
    <w:p w:rsidR="00E03A55" w:rsidRPr="00EC588C" w:rsidRDefault="00E03A55" w:rsidP="00CC072C">
      <w:pPr>
        <w:pStyle w:val="Heading2"/>
      </w:pPr>
      <w:bookmarkStart w:id="24" w:name="_Toc239163835"/>
      <w:r w:rsidRPr="00053F33">
        <w:t>Indonesia’s He</w:t>
      </w:r>
      <w:r>
        <w:t xml:space="preserve">alth System, Infrastructure, and </w:t>
      </w:r>
      <w:r w:rsidRPr="00053F33">
        <w:t>H</w:t>
      </w:r>
      <w:r>
        <w:t>ealth Workforce</w:t>
      </w:r>
      <w:bookmarkEnd w:id="24"/>
    </w:p>
    <w:p w:rsidR="00E03A55" w:rsidRPr="005B6D78" w:rsidRDefault="00E03A55" w:rsidP="00CC072C">
      <w:pPr>
        <w:pStyle w:val="Heading3"/>
      </w:pPr>
      <w:bookmarkStart w:id="25" w:name="_Toc238987722"/>
      <w:bookmarkStart w:id="26" w:name="_Toc239163836"/>
      <w:r>
        <w:t>2.1.1</w:t>
      </w:r>
      <w:r>
        <w:tab/>
        <w:t>Indonesia’s Health System</w:t>
      </w:r>
      <w:bookmarkEnd w:id="25"/>
      <w:bookmarkEnd w:id="26"/>
    </w:p>
    <w:p w:rsidR="00E03A55" w:rsidRDefault="00E03A55" w:rsidP="00D96114">
      <w:pPr>
        <w:spacing w:after="0"/>
        <w:ind w:firstLine="0"/>
        <w:jc w:val="both"/>
      </w:pPr>
      <w:r>
        <w:t xml:space="preserve">The Indonesia’s health system is a combination between private and public health service providers. In the 1990s, the government of Indonesia introduced partnership and community empowerment principles to encourage the role of private sector in delivering health services. This led to rapid growth in number of private hospitals, clinics, and emergency-trained midwives which are expected to support themselves by charging fees for services (Rokx et al., 2009). </w:t>
      </w:r>
    </w:p>
    <w:p w:rsidR="00E03A55" w:rsidRPr="00A8123B" w:rsidRDefault="00E03A55" w:rsidP="00A8123B">
      <w:pPr>
        <w:pStyle w:val="Caption"/>
        <w:jc w:val="center"/>
        <w:rPr>
          <w:rFonts w:ascii="Arial" w:hAnsi="Arial" w:cs="Arial"/>
          <w:sz w:val="18"/>
          <w:szCs w:val="18"/>
        </w:rPr>
      </w:pPr>
      <w:bookmarkStart w:id="27" w:name="_Toc239162873"/>
      <w:r w:rsidRPr="00A8123B">
        <w:rPr>
          <w:rFonts w:ascii="Arial" w:hAnsi="Arial" w:cs="Arial"/>
          <w:sz w:val="18"/>
          <w:szCs w:val="18"/>
        </w:rPr>
        <w:t xml:space="preserve">Figure </w:t>
      </w:r>
      <w:r>
        <w:rPr>
          <w:rFonts w:ascii="Arial" w:hAnsi="Arial" w:cs="Arial"/>
          <w:sz w:val="18"/>
          <w:szCs w:val="18"/>
        </w:rPr>
        <w:fldChar w:fldCharType="begin"/>
      </w:r>
      <w:r>
        <w:rPr>
          <w:rFonts w:ascii="Arial" w:hAnsi="Arial" w:cs="Arial"/>
          <w:sz w:val="18"/>
          <w:szCs w:val="18"/>
        </w:rPr>
        <w:instrText xml:space="preserve"> STYLEREF 1 \s </w:instrText>
      </w:r>
      <w:r>
        <w:rPr>
          <w:rFonts w:ascii="Arial" w:hAnsi="Arial" w:cs="Arial"/>
          <w:sz w:val="18"/>
          <w:szCs w:val="18"/>
        </w:rPr>
        <w:fldChar w:fldCharType="separate"/>
      </w:r>
      <w:r>
        <w:rPr>
          <w:rFonts w:ascii="Arial" w:hAnsi="Arial" w:cs="Arial"/>
          <w:noProof/>
          <w:sz w:val="18"/>
          <w:szCs w:val="18"/>
        </w:rPr>
        <w:t>2</w:t>
      </w:r>
      <w:r>
        <w:rPr>
          <w:rFonts w:ascii="Arial" w:hAnsi="Arial" w:cs="Arial"/>
          <w:sz w:val="18"/>
          <w:szCs w:val="18"/>
        </w:rPr>
        <w:fldChar w:fldCharType="end"/>
      </w:r>
      <w:r>
        <w:rPr>
          <w:rFonts w:ascii="Arial" w:hAnsi="Arial" w:cs="Arial"/>
          <w:sz w:val="18"/>
          <w:szCs w:val="18"/>
        </w:rPr>
        <w:t>.</w:t>
      </w:r>
      <w:r>
        <w:rPr>
          <w:rFonts w:ascii="Arial" w:hAnsi="Arial" w:cs="Arial"/>
          <w:sz w:val="18"/>
          <w:szCs w:val="18"/>
        </w:rPr>
        <w:fldChar w:fldCharType="begin"/>
      </w:r>
      <w:r>
        <w:rPr>
          <w:rFonts w:ascii="Arial" w:hAnsi="Arial" w:cs="Arial"/>
          <w:sz w:val="18"/>
          <w:szCs w:val="18"/>
        </w:rPr>
        <w:instrText xml:space="preserve"> SEQ Figure \* ARABIC \s 1 </w:instrText>
      </w:r>
      <w:r>
        <w:rPr>
          <w:rFonts w:ascii="Arial" w:hAnsi="Arial" w:cs="Arial"/>
          <w:sz w:val="18"/>
          <w:szCs w:val="18"/>
        </w:rPr>
        <w:fldChar w:fldCharType="separate"/>
      </w:r>
      <w:r>
        <w:rPr>
          <w:rFonts w:ascii="Arial" w:hAnsi="Arial" w:cs="Arial"/>
          <w:noProof/>
          <w:sz w:val="18"/>
          <w:szCs w:val="18"/>
        </w:rPr>
        <w:t>1</w:t>
      </w:r>
      <w:r>
        <w:rPr>
          <w:rFonts w:ascii="Arial" w:hAnsi="Arial" w:cs="Arial"/>
          <w:sz w:val="18"/>
          <w:szCs w:val="18"/>
        </w:rPr>
        <w:fldChar w:fldCharType="end"/>
      </w:r>
      <w:r w:rsidRPr="00A8123B">
        <w:rPr>
          <w:rFonts w:ascii="Arial" w:hAnsi="Arial" w:cs="Arial"/>
          <w:sz w:val="18"/>
          <w:szCs w:val="18"/>
        </w:rPr>
        <w:t xml:space="preserve"> Organizational Structure of Indonesia’s Health System</w:t>
      </w:r>
      <w:bookmarkEnd w:id="27"/>
    </w:p>
    <w:p w:rsidR="00E03A55" w:rsidRDefault="00E03A55" w:rsidP="00CC23E6">
      <w:pPr>
        <w:pStyle w:val="Figuretitle"/>
        <w:rPr>
          <w:b w:val="0"/>
          <w:szCs w:val="18"/>
        </w:rPr>
      </w:pPr>
      <w:r w:rsidRPr="001814BA">
        <w:rPr>
          <w:noProof/>
          <w:lang w:val="en-US" w:eastAsia="en-US"/>
        </w:rPr>
        <w:pict>
          <v:shape id="Picture 1" o:spid="_x0000_i1025" type="#_x0000_t75" style="width:255.75pt;height:232.5pt;visibility:visible">
            <v:imagedata r:id="rId11" o:title=""/>
          </v:shape>
        </w:pict>
      </w:r>
      <w:r w:rsidRPr="001829F2">
        <w:rPr>
          <w:b w:val="0"/>
          <w:szCs w:val="18"/>
        </w:rPr>
        <w:t xml:space="preserve">          </w:t>
      </w:r>
    </w:p>
    <w:p w:rsidR="00E03A55" w:rsidRPr="00CC23E6" w:rsidRDefault="00E03A55" w:rsidP="00CC23E6">
      <w:pPr>
        <w:pStyle w:val="Figuretitle"/>
        <w:ind w:firstLine="720"/>
        <w:jc w:val="left"/>
        <w:rPr>
          <w:b w:val="0"/>
          <w:sz w:val="16"/>
          <w:szCs w:val="16"/>
        </w:rPr>
      </w:pPr>
      <w:r>
        <w:rPr>
          <w:b w:val="0"/>
          <w:szCs w:val="18"/>
        </w:rPr>
        <w:t xml:space="preserve">      </w:t>
      </w:r>
      <w:r w:rsidRPr="001829F2">
        <w:rPr>
          <w:b w:val="0"/>
          <w:szCs w:val="18"/>
        </w:rPr>
        <w:t xml:space="preserve"> </w:t>
      </w:r>
      <w:r w:rsidRPr="00CC23E6">
        <w:rPr>
          <w:b w:val="0"/>
          <w:i/>
          <w:sz w:val="16"/>
          <w:szCs w:val="16"/>
        </w:rPr>
        <w:t>Source:</w:t>
      </w:r>
      <w:r w:rsidRPr="00CC23E6">
        <w:rPr>
          <w:b w:val="0"/>
          <w:sz w:val="16"/>
          <w:szCs w:val="16"/>
        </w:rPr>
        <w:t xml:space="preserve"> WHO as cited in Erlina, 2007.</w:t>
      </w:r>
    </w:p>
    <w:p w:rsidR="00E03A55" w:rsidRDefault="00E03A55" w:rsidP="00A8123B">
      <w:pPr>
        <w:ind w:firstLine="0"/>
        <w:jc w:val="both"/>
      </w:pPr>
      <w:r>
        <w:t xml:space="preserve">Meanwhile, the provision of public health is the responsibility of the Ministry of Health (MoH) and sub-national governments. Thus, it mainly related to government’s structures and administration. These public sector actors deliver not only inpatient but also outpatient services, and perform promotive and preventive health activities. Figure 2.1 presents the complete structure of Indonesia’s health system.   </w:t>
      </w:r>
    </w:p>
    <w:p w:rsidR="00E03A55" w:rsidRDefault="00E03A55" w:rsidP="00A8123B">
      <w:pPr>
        <w:tabs>
          <w:tab w:val="left" w:pos="0"/>
          <w:tab w:val="left" w:pos="567"/>
          <w:tab w:val="left" w:pos="1276"/>
        </w:tabs>
        <w:ind w:firstLine="567"/>
        <w:jc w:val="both"/>
      </w:pPr>
      <w:r>
        <w:t xml:space="preserve">The MoH has overall duties for national health policy as the highest level of Indonesia’s health system. It sets national health programs and provides guidance and supervision for the entire health system to ensure the health care quality. For instances, the MoH controls for the minimum health service standards on districts and municipalities as well as manages the accreditation and licence for private health service providers. Moreover, it regulates the standard requirements of health educational institution and professionalism certification for health workers. The MoH also remains responsible to allocate the doctors and midwives to the sub national region as non-permanent health employee or </w:t>
      </w:r>
      <w:r w:rsidRPr="001829F2">
        <w:rPr>
          <w:i/>
        </w:rPr>
        <w:t>Pegawai Tidak Tetap (PTT).</w:t>
      </w:r>
    </w:p>
    <w:p w:rsidR="00E03A55" w:rsidRDefault="00E03A55" w:rsidP="00A05997">
      <w:pPr>
        <w:tabs>
          <w:tab w:val="left" w:pos="567"/>
        </w:tabs>
        <w:spacing w:after="200"/>
        <w:ind w:firstLine="0"/>
        <w:jc w:val="both"/>
      </w:pPr>
      <w:r>
        <w:tab/>
        <w:t xml:space="preserve">Province is the second level of Indonesia’s health system. Each province in Indonesia has its own hospitals. These hospitals are part of government structure and financed by provincial budged and user fees. In contrast, local hospital does not exist in every district since the district governments face limited human resources and fiscal burden. The health services then provided at </w:t>
      </w:r>
      <w:r w:rsidRPr="001829F2">
        <w:rPr>
          <w:i/>
        </w:rPr>
        <w:t>kecamatan</w:t>
      </w:r>
      <w:r>
        <w:t xml:space="preserve"> (sub-district) level. Each sub-district has at least one </w:t>
      </w:r>
      <w:r w:rsidRPr="001829F2">
        <w:rPr>
          <w:i/>
        </w:rPr>
        <w:t xml:space="preserve">puskesmas </w:t>
      </w:r>
      <w:r>
        <w:t xml:space="preserve">(health centre) headed by a doctor. </w:t>
      </w:r>
      <w:r w:rsidRPr="001829F2">
        <w:rPr>
          <w:i/>
        </w:rPr>
        <w:t>Puskesmas</w:t>
      </w:r>
      <w:r>
        <w:t xml:space="preserve"> mainly provide eighteen services. </w:t>
      </w:r>
      <w:r w:rsidRPr="00E63D9B">
        <w:rPr>
          <w:lang w:val="en-US"/>
        </w:rPr>
        <w:t xml:space="preserve">The full list of these services can be seen in table 2.1. </w:t>
      </w:r>
    </w:p>
    <w:p w:rsidR="00E03A55" w:rsidRPr="00A8123B" w:rsidRDefault="00E03A55" w:rsidP="00A8123B">
      <w:pPr>
        <w:spacing w:after="200"/>
        <w:ind w:firstLine="0"/>
        <w:jc w:val="center"/>
        <w:rPr>
          <w:rFonts w:ascii="Arial" w:hAnsi="Arial" w:cs="Arial"/>
          <w:b/>
          <w:sz w:val="18"/>
          <w:szCs w:val="18"/>
        </w:rPr>
      </w:pPr>
      <w:bookmarkStart w:id="28" w:name="_Toc238989957"/>
      <w:bookmarkStart w:id="29" w:name="_Toc239157729"/>
      <w:r w:rsidRPr="00A8123B">
        <w:rPr>
          <w:rFonts w:ascii="Arial" w:hAnsi="Arial" w:cs="Arial"/>
          <w:b/>
          <w:sz w:val="18"/>
          <w:szCs w:val="18"/>
        </w:rPr>
        <w:t xml:space="preserve">Table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Table \* ARABIC \s 1 </w:instrText>
      </w:r>
      <w:r>
        <w:rPr>
          <w:rFonts w:ascii="Arial" w:hAnsi="Arial" w:cs="Arial"/>
          <w:b/>
          <w:sz w:val="18"/>
          <w:szCs w:val="18"/>
        </w:rPr>
        <w:fldChar w:fldCharType="separate"/>
      </w:r>
      <w:r>
        <w:rPr>
          <w:rFonts w:ascii="Arial" w:hAnsi="Arial" w:cs="Arial"/>
          <w:b/>
          <w:noProof/>
          <w:sz w:val="18"/>
          <w:szCs w:val="18"/>
        </w:rPr>
        <w:t>1</w:t>
      </w:r>
      <w:r>
        <w:rPr>
          <w:rFonts w:ascii="Arial" w:hAnsi="Arial" w:cs="Arial"/>
          <w:b/>
          <w:sz w:val="18"/>
          <w:szCs w:val="18"/>
        </w:rPr>
        <w:fldChar w:fldCharType="end"/>
      </w:r>
      <w:r w:rsidRPr="00A8123B">
        <w:rPr>
          <w:rFonts w:ascii="Arial" w:hAnsi="Arial" w:cs="Arial"/>
          <w:b/>
          <w:sz w:val="18"/>
          <w:szCs w:val="18"/>
        </w:rPr>
        <w:t xml:space="preserve"> A List of the Main</w:t>
      </w:r>
      <w:r w:rsidRPr="00A8123B">
        <w:rPr>
          <w:rFonts w:ascii="Arial" w:hAnsi="Arial" w:cs="Arial"/>
          <w:b/>
          <w:sz w:val="18"/>
          <w:szCs w:val="18"/>
          <w:lang w:val="en-US"/>
        </w:rPr>
        <w:t xml:space="preserve"> </w:t>
      </w:r>
      <w:r w:rsidRPr="00A8123B">
        <w:rPr>
          <w:rFonts w:ascii="Arial" w:hAnsi="Arial" w:cs="Arial"/>
          <w:b/>
          <w:i/>
          <w:sz w:val="18"/>
          <w:szCs w:val="18"/>
          <w:lang w:val="en-US"/>
        </w:rPr>
        <w:t>Puskesmas</w:t>
      </w:r>
      <w:r w:rsidRPr="00A8123B">
        <w:rPr>
          <w:rFonts w:ascii="Arial" w:hAnsi="Arial" w:cs="Arial"/>
          <w:b/>
          <w:sz w:val="18"/>
          <w:szCs w:val="18"/>
        </w:rPr>
        <w:t xml:space="preserve"> Activities</w:t>
      </w:r>
      <w:bookmarkEnd w:id="28"/>
      <w:bookmarkEnd w:id="29"/>
    </w:p>
    <w:tbl>
      <w:tblPr>
        <w:tblW w:w="6492" w:type="dxa"/>
        <w:jc w:val="center"/>
        <w:tblLook w:val="00A0"/>
      </w:tblPr>
      <w:tblGrid>
        <w:gridCol w:w="607"/>
        <w:gridCol w:w="5885"/>
      </w:tblGrid>
      <w:tr w:rsidR="00E03A55" w:rsidRPr="00E076F0" w:rsidTr="00A8123B">
        <w:trPr>
          <w:trHeight w:val="352"/>
          <w:jc w:val="center"/>
        </w:trPr>
        <w:tc>
          <w:tcPr>
            <w:tcW w:w="607" w:type="dxa"/>
            <w:tcBorders>
              <w:top w:val="single" w:sz="4" w:space="0" w:color="auto"/>
              <w:left w:val="nil"/>
              <w:bottom w:val="single" w:sz="4" w:space="0" w:color="auto"/>
              <w:right w:val="nil"/>
            </w:tcBorders>
            <w:shd w:val="clear" w:color="000000" w:fill="95B3D7"/>
            <w:noWrap/>
            <w:vAlign w:val="center"/>
          </w:tcPr>
          <w:p w:rsidR="00E03A55" w:rsidRPr="00E076F0" w:rsidRDefault="00E03A55" w:rsidP="00391BFE">
            <w:pPr>
              <w:suppressAutoHyphens w:val="0"/>
              <w:spacing w:after="0"/>
              <w:ind w:firstLine="0"/>
              <w:jc w:val="center"/>
              <w:rPr>
                <w:rFonts w:ascii="Arial" w:hAnsi="Arial" w:cs="Arial"/>
                <w:b/>
                <w:bCs/>
                <w:color w:val="000000"/>
                <w:sz w:val="16"/>
                <w:szCs w:val="16"/>
                <w:lang w:val="en-US" w:eastAsia="en-US"/>
              </w:rPr>
            </w:pPr>
            <w:r w:rsidRPr="00E076F0">
              <w:rPr>
                <w:rFonts w:ascii="Arial" w:hAnsi="Arial" w:cs="Arial"/>
                <w:b/>
                <w:bCs/>
                <w:color w:val="000000"/>
                <w:sz w:val="16"/>
                <w:szCs w:val="16"/>
                <w:lang w:val="en-US" w:eastAsia="en-US"/>
              </w:rPr>
              <w:t>No</w:t>
            </w:r>
          </w:p>
        </w:tc>
        <w:tc>
          <w:tcPr>
            <w:tcW w:w="5885" w:type="dxa"/>
            <w:tcBorders>
              <w:top w:val="single" w:sz="4" w:space="0" w:color="auto"/>
              <w:left w:val="nil"/>
              <w:bottom w:val="single" w:sz="4" w:space="0" w:color="auto"/>
              <w:right w:val="nil"/>
            </w:tcBorders>
            <w:shd w:val="clear" w:color="000000" w:fill="95B3D7"/>
            <w:noWrap/>
            <w:vAlign w:val="center"/>
          </w:tcPr>
          <w:p w:rsidR="00E03A55" w:rsidRPr="00E076F0" w:rsidRDefault="00E03A55" w:rsidP="00391BFE">
            <w:pPr>
              <w:suppressAutoHyphens w:val="0"/>
              <w:spacing w:after="0"/>
              <w:ind w:firstLine="0"/>
              <w:jc w:val="center"/>
              <w:rPr>
                <w:rFonts w:ascii="Arial" w:hAnsi="Arial" w:cs="Arial"/>
                <w:b/>
                <w:bCs/>
                <w:color w:val="000000"/>
                <w:sz w:val="16"/>
                <w:szCs w:val="16"/>
                <w:lang w:val="en-US" w:eastAsia="en-US"/>
              </w:rPr>
            </w:pPr>
            <w:r w:rsidRPr="00E076F0">
              <w:rPr>
                <w:rFonts w:ascii="Arial" w:hAnsi="Arial" w:cs="Arial"/>
                <w:b/>
                <w:bCs/>
                <w:color w:val="000000"/>
                <w:sz w:val="16"/>
                <w:szCs w:val="16"/>
                <w:lang w:val="en-US" w:eastAsia="en-US"/>
              </w:rPr>
              <w:t>Main Activities</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1.</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Women's and child health</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2.</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Family planning</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3.</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Nutrition</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4.</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Environmental health</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5.</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Surveillance, prevention and elimination of disease as well as immunization</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6.</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Public health education</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7.</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Treatment, including emergency treatment due to accidents</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8.</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Health in school</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9.</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Public healthcare</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10.</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Dental and oral health</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11.</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Mental health</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12.</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Optometry</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13.</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Geriatric health</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14.</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Exercise and sport</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15.</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Development of traditional medicine</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16.</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Occupational health and safety</w:t>
            </w:r>
          </w:p>
        </w:tc>
      </w:tr>
      <w:tr w:rsidR="00E03A55" w:rsidRPr="00E076F0" w:rsidTr="00A8123B">
        <w:trPr>
          <w:trHeight w:val="271"/>
          <w:jc w:val="center"/>
        </w:trPr>
        <w:tc>
          <w:tcPr>
            <w:tcW w:w="607" w:type="dxa"/>
            <w:tcBorders>
              <w:top w:val="nil"/>
              <w:left w:val="nil"/>
              <w:bottom w:val="nil"/>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17.</w:t>
            </w:r>
          </w:p>
        </w:tc>
        <w:tc>
          <w:tcPr>
            <w:tcW w:w="5885" w:type="dxa"/>
            <w:tcBorders>
              <w:top w:val="nil"/>
              <w:left w:val="nil"/>
              <w:bottom w:val="nil"/>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Basic laboratories</w:t>
            </w:r>
          </w:p>
        </w:tc>
      </w:tr>
      <w:tr w:rsidR="00E03A55" w:rsidRPr="00E076F0" w:rsidTr="00A8123B">
        <w:trPr>
          <w:trHeight w:val="271"/>
          <w:jc w:val="center"/>
        </w:trPr>
        <w:tc>
          <w:tcPr>
            <w:tcW w:w="607" w:type="dxa"/>
            <w:tcBorders>
              <w:top w:val="nil"/>
              <w:left w:val="nil"/>
              <w:bottom w:val="single" w:sz="4" w:space="0" w:color="auto"/>
              <w:right w:val="nil"/>
            </w:tcBorders>
            <w:noWrap/>
            <w:vAlign w:val="center"/>
          </w:tcPr>
          <w:p w:rsidR="00E03A55" w:rsidRPr="00E076F0" w:rsidRDefault="00E03A55" w:rsidP="00391BFE">
            <w:pPr>
              <w:suppressAutoHyphens w:val="0"/>
              <w:spacing w:after="0"/>
              <w:ind w:firstLine="0"/>
              <w:jc w:val="center"/>
              <w:rPr>
                <w:rFonts w:ascii="Arial" w:hAnsi="Arial" w:cs="Arial"/>
                <w:color w:val="000000"/>
                <w:sz w:val="16"/>
                <w:szCs w:val="16"/>
                <w:lang w:val="en-US" w:eastAsia="en-US"/>
              </w:rPr>
            </w:pPr>
            <w:r w:rsidRPr="00E076F0">
              <w:rPr>
                <w:rFonts w:ascii="Arial" w:hAnsi="Arial" w:cs="Arial"/>
                <w:color w:val="000000"/>
                <w:sz w:val="16"/>
                <w:szCs w:val="16"/>
                <w:lang w:val="en-US" w:eastAsia="en-US"/>
              </w:rPr>
              <w:t>18.</w:t>
            </w:r>
          </w:p>
        </w:tc>
        <w:tc>
          <w:tcPr>
            <w:tcW w:w="5885" w:type="dxa"/>
            <w:tcBorders>
              <w:top w:val="nil"/>
              <w:left w:val="nil"/>
              <w:bottom w:val="single" w:sz="4" w:space="0" w:color="auto"/>
              <w:right w:val="nil"/>
            </w:tcBorders>
            <w:noWrap/>
            <w:vAlign w:val="center"/>
          </w:tcPr>
          <w:p w:rsidR="00E03A55" w:rsidRPr="00E076F0" w:rsidRDefault="00E03A55" w:rsidP="00391BFE">
            <w:pPr>
              <w:suppressAutoHyphens w:val="0"/>
              <w:spacing w:after="0"/>
              <w:ind w:firstLine="0"/>
              <w:rPr>
                <w:rFonts w:ascii="Arial" w:hAnsi="Arial" w:cs="Arial"/>
                <w:color w:val="000000"/>
                <w:sz w:val="16"/>
                <w:szCs w:val="16"/>
                <w:lang w:val="en-US" w:eastAsia="en-US"/>
              </w:rPr>
            </w:pPr>
            <w:r w:rsidRPr="00E076F0">
              <w:rPr>
                <w:rFonts w:ascii="Arial" w:hAnsi="Arial" w:cs="Arial"/>
                <w:color w:val="000000"/>
                <w:sz w:val="16"/>
                <w:szCs w:val="16"/>
                <w:lang w:val="en-US" w:eastAsia="en-US"/>
              </w:rPr>
              <w:t>Information gathering and reporting for the health information system</w:t>
            </w:r>
          </w:p>
        </w:tc>
      </w:tr>
    </w:tbl>
    <w:p w:rsidR="00E03A55" w:rsidRDefault="00E03A55" w:rsidP="00CC23E6">
      <w:pPr>
        <w:pStyle w:val="Caption"/>
        <w:ind w:firstLine="567"/>
        <w:rPr>
          <w:rFonts w:ascii="Arial" w:hAnsi="Arial" w:cs="Arial"/>
          <w:sz w:val="18"/>
          <w:szCs w:val="18"/>
        </w:rPr>
      </w:pPr>
      <w:r w:rsidRPr="00CC23E6">
        <w:rPr>
          <w:rFonts w:ascii="Arial" w:hAnsi="Arial" w:cs="Arial"/>
          <w:i/>
          <w:sz w:val="18"/>
          <w:szCs w:val="18"/>
        </w:rPr>
        <w:t>Source</w:t>
      </w:r>
      <w:r w:rsidRPr="00CC23E6">
        <w:rPr>
          <w:rFonts w:ascii="Arial" w:hAnsi="Arial" w:cs="Arial"/>
          <w:sz w:val="18"/>
          <w:szCs w:val="18"/>
        </w:rPr>
        <w:t>: Smeru Research Institute, 2004</w:t>
      </w:r>
    </w:p>
    <w:p w:rsidR="00E03A55" w:rsidRDefault="00E03A55" w:rsidP="00CC23E6">
      <w:pPr>
        <w:tabs>
          <w:tab w:val="left" w:pos="567"/>
        </w:tabs>
        <w:autoSpaceDE w:val="0"/>
        <w:autoSpaceDN w:val="0"/>
        <w:adjustRightInd w:val="0"/>
        <w:spacing w:after="0"/>
        <w:ind w:firstLine="0"/>
        <w:jc w:val="both"/>
        <w:rPr>
          <w:rFonts w:cs="Goudy"/>
        </w:rPr>
      </w:pPr>
      <w:r>
        <w:rPr>
          <w:rFonts w:cs="Goudy"/>
        </w:rPr>
        <w:t>Four smaller health care units usually support a puskesmas. They are secondary health service (</w:t>
      </w:r>
      <w:r w:rsidRPr="001829F2">
        <w:rPr>
          <w:rFonts w:cs="Goudy"/>
          <w:i/>
        </w:rPr>
        <w:t>pustu</w:t>
      </w:r>
      <w:r>
        <w:rPr>
          <w:rFonts w:cs="Goudy"/>
        </w:rPr>
        <w:t>), village midwives (</w:t>
      </w:r>
      <w:r w:rsidRPr="001829F2">
        <w:rPr>
          <w:rFonts w:cs="Goudy"/>
          <w:i/>
        </w:rPr>
        <w:t>bides</w:t>
      </w:r>
      <w:r>
        <w:rPr>
          <w:rFonts w:cs="Goudy"/>
        </w:rPr>
        <w:t>), village maternity houses (</w:t>
      </w:r>
      <w:r w:rsidRPr="001829F2">
        <w:rPr>
          <w:rFonts w:cs="Goudy"/>
          <w:i/>
        </w:rPr>
        <w:t>polindes</w:t>
      </w:r>
      <w:r>
        <w:rPr>
          <w:rFonts w:cs="Goudy"/>
        </w:rPr>
        <w:t>) and mobile healthcare clinics (</w:t>
      </w:r>
      <w:r w:rsidRPr="001829F2">
        <w:rPr>
          <w:rFonts w:cs="Goudy"/>
          <w:i/>
        </w:rPr>
        <w:t>pusling</w:t>
      </w:r>
      <w:r>
        <w:rPr>
          <w:rFonts w:cs="Goudy"/>
        </w:rPr>
        <w:t xml:space="preserve">). These four support units operate to increase service coverage based on working area and the population density. They work under head of </w:t>
      </w:r>
      <w:r w:rsidRPr="001829F2">
        <w:rPr>
          <w:rFonts w:cs="Goudy"/>
          <w:i/>
        </w:rPr>
        <w:t>puskesmas</w:t>
      </w:r>
      <w:r>
        <w:rPr>
          <w:rFonts w:cs="Goudy"/>
        </w:rPr>
        <w:t xml:space="preserve"> commands and use </w:t>
      </w:r>
      <w:r w:rsidRPr="001829F2">
        <w:rPr>
          <w:rFonts w:cs="Goudy"/>
          <w:i/>
        </w:rPr>
        <w:t>puskesmas’s</w:t>
      </w:r>
      <w:r>
        <w:rPr>
          <w:rFonts w:cs="Goudy"/>
        </w:rPr>
        <w:t xml:space="preserve"> facilities and medications.</w:t>
      </w:r>
    </w:p>
    <w:p w:rsidR="00E03A55" w:rsidRPr="00783780" w:rsidRDefault="00E03A55" w:rsidP="00CC23E6">
      <w:pPr>
        <w:tabs>
          <w:tab w:val="left" w:pos="567"/>
        </w:tabs>
        <w:autoSpaceDE w:val="0"/>
        <w:autoSpaceDN w:val="0"/>
        <w:adjustRightInd w:val="0"/>
        <w:spacing w:after="0"/>
        <w:ind w:firstLine="0"/>
        <w:jc w:val="both"/>
        <w:rPr>
          <w:rFonts w:cs="Goudy"/>
        </w:rPr>
      </w:pPr>
      <w:r>
        <w:rPr>
          <w:rFonts w:cs="Goudy"/>
        </w:rPr>
        <w:tab/>
      </w:r>
      <w:r w:rsidRPr="00783780">
        <w:rPr>
          <w:rFonts w:cs="Goudy"/>
        </w:rPr>
        <w:t xml:space="preserve">A pustu is located at village or </w:t>
      </w:r>
      <w:r w:rsidRPr="001829F2">
        <w:rPr>
          <w:rFonts w:cs="Goudy"/>
          <w:i/>
        </w:rPr>
        <w:t>kelurahan</w:t>
      </w:r>
      <w:r w:rsidRPr="00783780">
        <w:rPr>
          <w:rFonts w:cs="Goudy"/>
        </w:rPr>
        <w:t xml:space="preserve"> level. It serves one or two villages based on population density. In Java and Bali, a </w:t>
      </w:r>
      <w:r w:rsidRPr="001829F2">
        <w:rPr>
          <w:rFonts w:cs="Goudy"/>
          <w:i/>
        </w:rPr>
        <w:t>pustu</w:t>
      </w:r>
      <w:r w:rsidRPr="00783780">
        <w:rPr>
          <w:rFonts w:cs="Goudy"/>
        </w:rPr>
        <w:t xml:space="preserve"> is targeted to cover 6,000 residents while it only covers 2,500 residents in outside Java. It staffed by one midwife and one nurse who are assisted by two administration staff. Meanwhile, in order to improve maternal and child health, </w:t>
      </w:r>
      <w:r>
        <w:rPr>
          <w:rFonts w:cs="Goudy"/>
        </w:rPr>
        <w:t xml:space="preserve">due to the </w:t>
      </w:r>
      <w:r>
        <w:rPr>
          <w:rFonts w:cs="Goudy"/>
          <w:i/>
        </w:rPr>
        <w:t>bides (bidan di desa)</w:t>
      </w:r>
      <w:r w:rsidRPr="00783780">
        <w:rPr>
          <w:rFonts w:cs="Goudy"/>
        </w:rPr>
        <w:t xml:space="preserve"> </w:t>
      </w:r>
      <w:r>
        <w:rPr>
          <w:rFonts w:cs="Goudy"/>
        </w:rPr>
        <w:t xml:space="preserve">program, </w:t>
      </w:r>
      <w:r w:rsidRPr="00783780">
        <w:rPr>
          <w:rFonts w:cs="Goudy"/>
        </w:rPr>
        <w:t>midwives are being deployed to the village.</w:t>
      </w:r>
      <w:r>
        <w:rPr>
          <w:rFonts w:cs="Goudy"/>
        </w:rPr>
        <w:t xml:space="preserve"> </w:t>
      </w:r>
      <w:r w:rsidRPr="001829F2">
        <w:rPr>
          <w:rFonts w:cs="Goudy"/>
          <w:i/>
        </w:rPr>
        <w:t>Polindes</w:t>
      </w:r>
      <w:r w:rsidRPr="00783780">
        <w:rPr>
          <w:rFonts w:cs="Goudy"/>
        </w:rPr>
        <w:t xml:space="preserve"> are established and managed by the community with the financial support of the government. It serves as a place to assist women giving birth and a home for midwife. However, in many cases </w:t>
      </w:r>
      <w:r w:rsidRPr="001829F2">
        <w:rPr>
          <w:rFonts w:cs="Goudy"/>
          <w:i/>
        </w:rPr>
        <w:t>polindes</w:t>
      </w:r>
      <w:r w:rsidRPr="00783780">
        <w:rPr>
          <w:rFonts w:cs="Goudy"/>
        </w:rPr>
        <w:t xml:space="preserve"> also gives a primary health service to the local communities. </w:t>
      </w:r>
      <w:r w:rsidRPr="00783780">
        <w:rPr>
          <w:rFonts w:cs="Goudy-Italic"/>
          <w:i/>
          <w:iCs/>
        </w:rPr>
        <w:t xml:space="preserve">Pusling </w:t>
      </w:r>
      <w:r w:rsidRPr="003B1EAA">
        <w:rPr>
          <w:rFonts w:cs="Goudy-Italic"/>
          <w:iCs/>
        </w:rPr>
        <w:t>is a</w:t>
      </w:r>
      <w:r w:rsidRPr="003B1EAA">
        <w:rPr>
          <w:rFonts w:cs="Goudy"/>
        </w:rPr>
        <w:t xml:space="preserve"> car</w:t>
      </w:r>
      <w:r>
        <w:rPr>
          <w:rFonts w:cs="Goudy"/>
        </w:rPr>
        <w:t xml:space="preserve"> or motorboat being used as mobile health </w:t>
      </w:r>
      <w:r w:rsidRPr="00783780">
        <w:rPr>
          <w:rFonts w:cs="Goudy"/>
        </w:rPr>
        <w:t xml:space="preserve">clinics </w:t>
      </w:r>
      <w:r>
        <w:rPr>
          <w:rFonts w:cs="Goudy"/>
        </w:rPr>
        <w:t>to</w:t>
      </w:r>
      <w:r w:rsidRPr="00783780">
        <w:rPr>
          <w:rFonts w:cs="Goudy"/>
        </w:rPr>
        <w:t xml:space="preserve"> serve communities in remote areas</w:t>
      </w:r>
      <w:r>
        <w:rPr>
          <w:rFonts w:cs="Goudy"/>
        </w:rPr>
        <w:t xml:space="preserve">. It is </w:t>
      </w:r>
      <w:r w:rsidRPr="00783780">
        <w:rPr>
          <w:rFonts w:cs="Goudy"/>
        </w:rPr>
        <w:t xml:space="preserve">staffed by one doctor or nurse, one midwife and one sanitarian with a working area equivalent to a </w:t>
      </w:r>
      <w:r w:rsidRPr="00783780">
        <w:rPr>
          <w:rFonts w:cs="Goudy-Italic"/>
          <w:i/>
          <w:iCs/>
        </w:rPr>
        <w:t>puskesmas</w:t>
      </w:r>
      <w:r>
        <w:rPr>
          <w:rFonts w:cs="Goudy-Italic"/>
          <w:i/>
          <w:iCs/>
        </w:rPr>
        <w:t xml:space="preserve"> </w:t>
      </w:r>
      <w:r>
        <w:rPr>
          <w:rFonts w:cs="Goudy-Italic"/>
          <w:iCs/>
        </w:rPr>
        <w:t>working area</w:t>
      </w:r>
      <w:r w:rsidRPr="00783780">
        <w:rPr>
          <w:rFonts w:cs="Goudy"/>
        </w:rPr>
        <w:t>.</w:t>
      </w:r>
    </w:p>
    <w:p w:rsidR="00E03A55" w:rsidRDefault="00E03A55" w:rsidP="00CC072C">
      <w:pPr>
        <w:spacing w:after="0"/>
        <w:ind w:firstLine="0"/>
        <w:jc w:val="both"/>
      </w:pPr>
      <w:r>
        <w:tab/>
      </w:r>
      <w:r w:rsidRPr="00783780">
        <w:t>There is a significant change in the roles and responsibilities of various level of government since decentralization policy has been implemented in 2001. More specific, health financing, human resources for health and service provision have been affected. Under decentralization, responsibility for health care provision was delegated to local governments at district level. It also followed by transfer</w:t>
      </w:r>
      <w:r>
        <w:t xml:space="preserve"> of a quarter million health worker (Rokx et al., 2009). The employment, deployment and payment affairs then become the responsibility of district government. Moreover, decentralization brings boarder discretion to district government to finance their health programs and plans that closely based on the local needs. There is an increasing trend of public health expenditure in district level although it still financed by intergovernmental fiscal transfers for instance general purposes grant or </w:t>
      </w:r>
      <w:r w:rsidRPr="007C14AF">
        <w:rPr>
          <w:i/>
        </w:rPr>
        <w:t xml:space="preserve">Dana Alokasi Umum (DAU) </w:t>
      </w:r>
      <w:r>
        <w:t xml:space="preserve">and specific purposes grant or </w:t>
      </w:r>
      <w:r w:rsidRPr="007C14AF">
        <w:rPr>
          <w:i/>
        </w:rPr>
        <w:t>Dana Alokasi Khusus</w:t>
      </w:r>
      <w:r>
        <w:t xml:space="preserve"> </w:t>
      </w:r>
      <w:r w:rsidRPr="007C14AF">
        <w:rPr>
          <w:i/>
        </w:rPr>
        <w:t>(DAK).</w:t>
      </w:r>
      <w:r>
        <w:t xml:space="preserve"> In contrast, province- level health offices have mainly been responsible for training and coordination efforts as well as managing of provincial hospitals </w:t>
      </w:r>
      <w:bookmarkStart w:id="30" w:name="_Toc238987723"/>
      <w:r>
        <w:t xml:space="preserve">(Rokx et al., 2009). </w:t>
      </w:r>
    </w:p>
    <w:p w:rsidR="00E03A55" w:rsidRDefault="00E03A55" w:rsidP="00CC072C">
      <w:pPr>
        <w:pStyle w:val="Heading3"/>
      </w:pPr>
      <w:bookmarkStart w:id="31" w:name="_Toc239163837"/>
      <w:r>
        <w:t>2.1.2</w:t>
      </w:r>
      <w:r>
        <w:tab/>
        <w:t>Infrastructure</w:t>
      </w:r>
      <w:bookmarkEnd w:id="30"/>
      <w:bookmarkEnd w:id="31"/>
    </w:p>
    <w:p w:rsidR="00E03A55" w:rsidRDefault="00E03A55" w:rsidP="00CC23E6">
      <w:pPr>
        <w:suppressAutoHyphens w:val="0"/>
        <w:autoSpaceDE w:val="0"/>
        <w:autoSpaceDN w:val="0"/>
        <w:adjustRightInd w:val="0"/>
        <w:spacing w:after="0"/>
        <w:ind w:firstLine="0"/>
        <w:jc w:val="both"/>
        <w:rPr>
          <w:rFonts w:cs="Arial"/>
          <w:color w:val="231F20"/>
          <w:lang w:val="en-US" w:eastAsia="en-US"/>
        </w:rPr>
      </w:pPr>
      <w:r>
        <w:rPr>
          <w:rFonts w:cs="Arial"/>
          <w:color w:val="231F20"/>
          <w:lang w:val="en-US" w:eastAsia="en-US"/>
        </w:rPr>
        <w:t>Indonesia experienced massive growth of public health infrastructure in the 1970s and 1980s. At the time, the central government funded the construction of health centers and other primary health care network</w:t>
      </w:r>
      <w:r w:rsidRPr="00572850">
        <w:t xml:space="preserve"> </w:t>
      </w:r>
      <w:r w:rsidRPr="00572850">
        <w:rPr>
          <w:rFonts w:cs="Arial"/>
          <w:color w:val="231F20"/>
          <w:lang w:val="en-US" w:eastAsia="en-US"/>
        </w:rPr>
        <w:t>through</w:t>
      </w:r>
      <w:r>
        <w:rPr>
          <w:rFonts w:cs="Arial"/>
          <w:color w:val="231F20"/>
          <w:lang w:val="en-US" w:eastAsia="en-US"/>
        </w:rPr>
        <w:t xml:space="preserve"> the </w:t>
      </w:r>
      <w:r w:rsidRPr="007C14AF">
        <w:rPr>
          <w:rFonts w:cs="Arial"/>
          <w:i/>
          <w:color w:val="231F20"/>
          <w:lang w:val="en-US" w:eastAsia="en-US"/>
        </w:rPr>
        <w:t>Inpres</w:t>
      </w:r>
      <w:r>
        <w:rPr>
          <w:rFonts w:cs="Arial"/>
          <w:color w:val="231F20"/>
          <w:lang w:val="en-US" w:eastAsia="en-US"/>
        </w:rPr>
        <w:t xml:space="preserve"> (Presidential Instruction) program and </w:t>
      </w:r>
      <w:r w:rsidRPr="007C14AF">
        <w:rPr>
          <w:rFonts w:cs="Arial"/>
          <w:i/>
          <w:color w:val="231F20"/>
          <w:lang w:val="en-US" w:eastAsia="en-US"/>
        </w:rPr>
        <w:t>Anggaran Pendapatan dan Belanja Negara</w:t>
      </w:r>
      <w:r>
        <w:rPr>
          <w:rFonts w:cs="Arial"/>
          <w:color w:val="231F20"/>
          <w:lang w:val="en-US" w:eastAsia="en-US"/>
        </w:rPr>
        <w:t xml:space="preserve"> or </w:t>
      </w:r>
      <w:r w:rsidRPr="007C14AF">
        <w:rPr>
          <w:rFonts w:cs="Arial"/>
          <w:i/>
          <w:color w:val="231F20"/>
          <w:lang w:val="en-US" w:eastAsia="en-US"/>
        </w:rPr>
        <w:t>APBN</w:t>
      </w:r>
      <w:r>
        <w:rPr>
          <w:rFonts w:cs="Arial"/>
          <w:color w:val="231F20"/>
          <w:lang w:val="en-US" w:eastAsia="en-US"/>
        </w:rPr>
        <w:t xml:space="preserve"> (the State Budget). After decentralization, the construction of health centers is mainly financed by the special allocation fund for health sector </w:t>
      </w:r>
      <w:r w:rsidRPr="007C14AF">
        <w:rPr>
          <w:rFonts w:cs="Arial"/>
          <w:i/>
          <w:color w:val="231F20"/>
          <w:lang w:val="en-US" w:eastAsia="en-US"/>
        </w:rPr>
        <w:t>(Dana Alokasi Khusus/</w:t>
      </w:r>
      <w:r>
        <w:rPr>
          <w:rFonts w:cs="Arial"/>
          <w:i/>
          <w:color w:val="231F20"/>
          <w:lang w:val="en-US" w:eastAsia="en-US"/>
        </w:rPr>
        <w:t xml:space="preserve">DAK </w:t>
      </w:r>
      <w:r w:rsidRPr="007C14AF">
        <w:rPr>
          <w:rFonts w:cs="Arial"/>
          <w:i/>
          <w:color w:val="231F20"/>
          <w:lang w:val="en-US" w:eastAsia="en-US"/>
        </w:rPr>
        <w:t>Kesehatan</w:t>
      </w:r>
      <w:r>
        <w:rPr>
          <w:rFonts w:cs="Arial"/>
          <w:color w:val="231F20"/>
          <w:lang w:val="en-US" w:eastAsia="en-US"/>
        </w:rPr>
        <w:t>) that transferred directly to district gover</w:t>
      </w:r>
      <w:r>
        <w:rPr>
          <w:rFonts w:cs="Arial"/>
          <w:color w:val="231F20"/>
          <w:lang w:val="en-US" w:eastAsia="en-US"/>
        </w:rPr>
        <w:t>n</w:t>
      </w:r>
      <w:r>
        <w:rPr>
          <w:rFonts w:cs="Arial"/>
          <w:color w:val="231F20"/>
          <w:lang w:val="en-US" w:eastAsia="en-US"/>
        </w:rPr>
        <w:t>ments.</w:t>
      </w:r>
    </w:p>
    <w:p w:rsidR="00E03A55" w:rsidRDefault="00E03A55" w:rsidP="00CC23E6">
      <w:pPr>
        <w:suppressAutoHyphens w:val="0"/>
        <w:autoSpaceDE w:val="0"/>
        <w:autoSpaceDN w:val="0"/>
        <w:adjustRightInd w:val="0"/>
        <w:spacing w:after="0"/>
        <w:ind w:firstLine="0"/>
        <w:jc w:val="both"/>
        <w:rPr>
          <w:rFonts w:cs="Arial"/>
          <w:color w:val="231F20"/>
          <w:lang w:val="en-US" w:eastAsia="en-US"/>
        </w:rPr>
      </w:pPr>
    </w:p>
    <w:p w:rsidR="00E03A55" w:rsidRDefault="00E03A55" w:rsidP="00CC23E6">
      <w:pPr>
        <w:tabs>
          <w:tab w:val="left" w:pos="567"/>
        </w:tabs>
        <w:spacing w:after="200"/>
        <w:ind w:firstLine="0"/>
        <w:jc w:val="both"/>
      </w:pPr>
      <w:r>
        <w:tab/>
        <w:t xml:space="preserve">There were 8,234 </w:t>
      </w:r>
      <w:r w:rsidRPr="007C14AF">
        <w:rPr>
          <w:i/>
        </w:rPr>
        <w:t>puskesmas</w:t>
      </w:r>
      <w:r>
        <w:t xml:space="preserve"> in 2007 and 2,683 units of them were </w:t>
      </w:r>
      <w:r w:rsidRPr="007C14AF">
        <w:rPr>
          <w:i/>
        </w:rPr>
        <w:t>puskesmas</w:t>
      </w:r>
      <w:r>
        <w:t xml:space="preserve"> with beds (MoH, 2007). During 2003-2007, numbers of puskesmas were slightly increased with the highest increased (4.51 %) in 2006. Number of </w:t>
      </w:r>
      <w:r w:rsidRPr="007C14AF">
        <w:rPr>
          <w:i/>
        </w:rPr>
        <w:t>puskesmas</w:t>
      </w:r>
      <w:r>
        <w:t xml:space="preserve"> with beds also tended to increase during that time. The most increase occurred in 2006 (20.22 %) and 2007 (7.45 %). Progress in number of </w:t>
      </w:r>
      <w:r w:rsidRPr="007C14AF">
        <w:rPr>
          <w:i/>
        </w:rPr>
        <w:t>puskesmas</w:t>
      </w:r>
      <w:r>
        <w:t xml:space="preserve"> and </w:t>
      </w:r>
      <w:r w:rsidRPr="007C14AF">
        <w:rPr>
          <w:i/>
        </w:rPr>
        <w:t>puskesmas</w:t>
      </w:r>
      <w:r>
        <w:t xml:space="preserve"> with beds in Indonesia during 2003-2007 is described in figure 2.2.</w:t>
      </w:r>
    </w:p>
    <w:p w:rsidR="00E03A55" w:rsidRDefault="00E03A55" w:rsidP="0006289C">
      <w:pPr>
        <w:pStyle w:val="Caption"/>
        <w:jc w:val="center"/>
        <w:rPr>
          <w:rFonts w:ascii="Arial" w:hAnsi="Arial" w:cs="Arial"/>
          <w:b/>
          <w:sz w:val="18"/>
          <w:szCs w:val="18"/>
        </w:rPr>
      </w:pPr>
      <w:bookmarkStart w:id="32" w:name="_Toc239162874"/>
      <w:r w:rsidRPr="009B4958">
        <w:rPr>
          <w:rFonts w:ascii="Arial" w:hAnsi="Arial" w:cs="Arial"/>
          <w:b/>
          <w:sz w:val="18"/>
          <w:szCs w:val="18"/>
        </w:rPr>
        <w:t xml:space="preserve">Figure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Figure \* ARABIC \s 1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sidRPr="009B4958">
        <w:rPr>
          <w:rFonts w:ascii="Arial" w:hAnsi="Arial" w:cs="Arial"/>
          <w:b/>
          <w:sz w:val="18"/>
          <w:szCs w:val="18"/>
        </w:rPr>
        <w:t xml:space="preserve"> Number of </w:t>
      </w:r>
      <w:r w:rsidRPr="009B4958">
        <w:rPr>
          <w:rFonts w:ascii="Arial" w:hAnsi="Arial" w:cs="Arial"/>
          <w:b/>
          <w:i/>
          <w:sz w:val="18"/>
          <w:szCs w:val="18"/>
        </w:rPr>
        <w:t>Puskesmas</w:t>
      </w:r>
      <w:r w:rsidRPr="009B4958">
        <w:rPr>
          <w:rFonts w:ascii="Arial" w:hAnsi="Arial" w:cs="Arial"/>
          <w:b/>
          <w:sz w:val="18"/>
          <w:szCs w:val="18"/>
        </w:rPr>
        <w:t xml:space="preserve"> and </w:t>
      </w:r>
      <w:r w:rsidRPr="009B4958">
        <w:rPr>
          <w:rFonts w:ascii="Arial" w:hAnsi="Arial" w:cs="Arial"/>
          <w:b/>
          <w:i/>
          <w:sz w:val="18"/>
          <w:szCs w:val="18"/>
        </w:rPr>
        <w:t>Puskesmas</w:t>
      </w:r>
      <w:r w:rsidRPr="009B4958">
        <w:rPr>
          <w:rFonts w:ascii="Arial" w:hAnsi="Arial" w:cs="Arial"/>
          <w:b/>
          <w:sz w:val="18"/>
          <w:szCs w:val="18"/>
        </w:rPr>
        <w:t xml:space="preserve"> with Beds, 2003-2007</w:t>
      </w:r>
      <w:bookmarkEnd w:id="32"/>
    </w:p>
    <w:p w:rsidR="00E03A55" w:rsidRDefault="00E03A55" w:rsidP="007C0F40">
      <w:pPr>
        <w:tabs>
          <w:tab w:val="left" w:pos="6804"/>
        </w:tabs>
        <w:ind w:firstLine="0"/>
        <w:jc w:val="center"/>
        <w:rPr>
          <w:lang w:val="en-US" w:eastAsia="en-US"/>
        </w:rPr>
      </w:pPr>
      <w:r w:rsidRPr="001814BA">
        <w:rPr>
          <w:noProof/>
          <w:lang w:val="en-US" w:eastAsia="en-US"/>
        </w:rPr>
        <w:pict>
          <v:shape id="Chart 7" o:spid="_x0000_i1026" type="#_x0000_t75" style="width:310.5pt;height:181.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">
            <v:imagedata r:id="rId12" o:title=""/>
            <o:lock v:ext="edit" aspectratio="f"/>
          </v:shape>
        </w:pict>
      </w:r>
    </w:p>
    <w:p w:rsidR="00E03A55" w:rsidRPr="0018453C" w:rsidRDefault="00E03A55" w:rsidP="00CC23E6">
      <w:pPr>
        <w:spacing w:after="200"/>
        <w:ind w:firstLine="720"/>
        <w:rPr>
          <w:rFonts w:ascii="Arial" w:hAnsi="Arial" w:cs="Arial"/>
          <w:sz w:val="16"/>
          <w:szCs w:val="16"/>
        </w:rPr>
      </w:pPr>
      <w:r w:rsidRPr="0018453C">
        <w:rPr>
          <w:rFonts w:ascii="Arial" w:hAnsi="Arial" w:cs="Arial"/>
          <w:i/>
          <w:noProof/>
          <w:sz w:val="16"/>
          <w:szCs w:val="16"/>
          <w:lang w:val="en-US" w:eastAsia="en-US"/>
        </w:rPr>
        <w:t>Source:</w:t>
      </w:r>
      <w:r w:rsidRPr="0018453C">
        <w:rPr>
          <w:rFonts w:ascii="Arial" w:hAnsi="Arial" w:cs="Arial"/>
          <w:noProof/>
          <w:sz w:val="16"/>
          <w:szCs w:val="16"/>
          <w:lang w:val="en-US" w:eastAsia="en-US"/>
        </w:rPr>
        <w:t xml:space="preserve"> MoH, 2008a</w:t>
      </w:r>
    </w:p>
    <w:p w:rsidR="00E03A55" w:rsidRDefault="00E03A55" w:rsidP="0018453C">
      <w:pPr>
        <w:tabs>
          <w:tab w:val="left" w:pos="567"/>
        </w:tabs>
        <w:spacing w:after="200"/>
        <w:ind w:firstLine="0"/>
        <w:jc w:val="both"/>
      </w:pPr>
      <w:r>
        <w:tab/>
        <w:t xml:space="preserve">In addition, during 2003-2007, ratios of </w:t>
      </w:r>
      <w:r w:rsidRPr="007C14AF">
        <w:rPr>
          <w:i/>
        </w:rPr>
        <w:t>puskesmas</w:t>
      </w:r>
      <w:r>
        <w:t xml:space="preserve"> to 100,000 populations ranged from 3.46 to 3.61. It means that every 3-4 </w:t>
      </w:r>
      <w:r w:rsidRPr="007C14AF">
        <w:rPr>
          <w:i/>
        </w:rPr>
        <w:t>puskesmas</w:t>
      </w:r>
      <w:r>
        <w:t xml:space="preserve"> served to 100,000 populations. It is considered sufficient to meet the established standard of one </w:t>
      </w:r>
      <w:r w:rsidRPr="007C14AF">
        <w:rPr>
          <w:i/>
        </w:rPr>
        <w:t>puskesmas</w:t>
      </w:r>
      <w:r>
        <w:t xml:space="preserve"> per 30,000 people. However, the distributions of </w:t>
      </w:r>
      <w:r w:rsidRPr="007C14AF">
        <w:rPr>
          <w:i/>
        </w:rPr>
        <w:t>puskesmas</w:t>
      </w:r>
      <w:r>
        <w:t xml:space="preserve"> are not equal among provinces. The availability of them also not based on needs assessments (Rokx et al., 2009). </w:t>
      </w:r>
    </w:p>
    <w:p w:rsidR="00E03A55" w:rsidRPr="007C0F40" w:rsidRDefault="00E03A55" w:rsidP="00BA265C">
      <w:pPr>
        <w:tabs>
          <w:tab w:val="left" w:pos="567"/>
        </w:tabs>
        <w:spacing w:after="200"/>
        <w:ind w:firstLine="0"/>
        <w:jc w:val="center"/>
        <w:rPr>
          <w:rFonts w:ascii="Arial" w:hAnsi="Arial" w:cs="Arial"/>
          <w:b/>
          <w:sz w:val="18"/>
          <w:szCs w:val="18"/>
        </w:rPr>
      </w:pPr>
      <w:bookmarkStart w:id="33" w:name="_Toc239162875"/>
      <w:r w:rsidRPr="007C0F40">
        <w:rPr>
          <w:rFonts w:ascii="Arial" w:hAnsi="Arial" w:cs="Arial"/>
          <w:b/>
          <w:sz w:val="18"/>
          <w:szCs w:val="18"/>
        </w:rPr>
        <w:t xml:space="preserve">Figure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Figure \* ARABIC \s 1 </w:instrText>
      </w:r>
      <w:r>
        <w:rPr>
          <w:rFonts w:ascii="Arial" w:hAnsi="Arial" w:cs="Arial"/>
          <w:b/>
          <w:sz w:val="18"/>
          <w:szCs w:val="18"/>
        </w:rPr>
        <w:fldChar w:fldCharType="separate"/>
      </w:r>
      <w:r>
        <w:rPr>
          <w:rFonts w:ascii="Arial" w:hAnsi="Arial" w:cs="Arial"/>
          <w:b/>
          <w:noProof/>
          <w:sz w:val="18"/>
          <w:szCs w:val="18"/>
        </w:rPr>
        <w:t>3</w:t>
      </w:r>
      <w:r>
        <w:rPr>
          <w:rFonts w:ascii="Arial" w:hAnsi="Arial" w:cs="Arial"/>
          <w:b/>
          <w:sz w:val="18"/>
          <w:szCs w:val="18"/>
        </w:rPr>
        <w:fldChar w:fldCharType="end"/>
      </w:r>
      <w:r w:rsidRPr="007C0F40">
        <w:rPr>
          <w:rFonts w:ascii="Arial" w:hAnsi="Arial" w:cs="Arial"/>
          <w:b/>
          <w:sz w:val="18"/>
          <w:szCs w:val="18"/>
        </w:rPr>
        <w:t xml:space="preserve"> Ratio of Puskesmas to 100,000 populations, 2003-2007</w:t>
      </w:r>
      <w:bookmarkEnd w:id="33"/>
    </w:p>
    <w:p w:rsidR="00E03A55" w:rsidRPr="007C14AF" w:rsidRDefault="00E03A55" w:rsidP="007C0F40">
      <w:pPr>
        <w:tabs>
          <w:tab w:val="left" w:pos="567"/>
          <w:tab w:val="left" w:pos="6804"/>
        </w:tabs>
        <w:spacing w:after="200"/>
        <w:ind w:firstLine="0"/>
        <w:jc w:val="center"/>
        <w:rPr>
          <w:rFonts w:ascii="Arial" w:hAnsi="Arial" w:cs="Arial"/>
          <w:b/>
          <w:sz w:val="18"/>
          <w:szCs w:val="18"/>
        </w:rPr>
      </w:pPr>
      <w:r w:rsidRPr="001814BA">
        <w:rPr>
          <w:rFonts w:ascii="Arial" w:hAnsi="Arial" w:cs="Arial"/>
          <w:b/>
          <w:noProof/>
          <w:sz w:val="18"/>
          <w:szCs w:val="18"/>
          <w:lang w:val="en-US" w:eastAsia="en-US"/>
        </w:rPr>
        <w:pict>
          <v:shape id="Chart 8" o:spid="_x0000_i1027" type="#_x0000_t75" style="width:310.5pt;height:171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">
            <v:imagedata r:id="rId13" o:title=""/>
            <o:lock v:ext="edit" aspectratio="f"/>
          </v:shape>
        </w:pict>
      </w:r>
    </w:p>
    <w:p w:rsidR="00E03A55" w:rsidRPr="0018453C" w:rsidRDefault="00E03A55" w:rsidP="00CC23E6">
      <w:pPr>
        <w:tabs>
          <w:tab w:val="left" w:pos="567"/>
        </w:tabs>
        <w:spacing w:after="200"/>
        <w:ind w:firstLine="0"/>
        <w:rPr>
          <w:rFonts w:cs="Arial"/>
          <w:color w:val="000000"/>
          <w:sz w:val="16"/>
          <w:szCs w:val="16"/>
          <w:lang w:val="en-US" w:eastAsia="en-US"/>
        </w:rPr>
      </w:pPr>
      <w:r>
        <w:rPr>
          <w:noProof/>
          <w:lang w:val="en-US" w:eastAsia="en-US"/>
        </w:rPr>
        <w:tab/>
      </w:r>
      <w:r w:rsidRPr="0018453C">
        <w:rPr>
          <w:rFonts w:ascii="Arial" w:hAnsi="Arial" w:cs="Arial"/>
          <w:i/>
          <w:noProof/>
          <w:sz w:val="16"/>
          <w:szCs w:val="16"/>
          <w:lang w:val="en-US" w:eastAsia="en-US"/>
        </w:rPr>
        <w:t>Source</w:t>
      </w:r>
      <w:r w:rsidRPr="0018453C">
        <w:rPr>
          <w:rFonts w:ascii="Arial" w:hAnsi="Arial" w:cs="Arial"/>
          <w:noProof/>
          <w:sz w:val="16"/>
          <w:szCs w:val="16"/>
          <w:lang w:val="en-US" w:eastAsia="en-US"/>
        </w:rPr>
        <w:t>: MoH, 2008a</w:t>
      </w:r>
    </w:p>
    <w:p w:rsidR="00E03A55" w:rsidRDefault="00E03A55" w:rsidP="00CC23E6">
      <w:pPr>
        <w:tabs>
          <w:tab w:val="left" w:pos="567"/>
        </w:tabs>
        <w:suppressAutoHyphens w:val="0"/>
        <w:autoSpaceDE w:val="0"/>
        <w:autoSpaceDN w:val="0"/>
        <w:adjustRightInd w:val="0"/>
        <w:spacing w:after="200"/>
        <w:ind w:firstLine="0"/>
        <w:jc w:val="both"/>
        <w:rPr>
          <w:rFonts w:cs="Arial"/>
          <w:color w:val="231F20"/>
          <w:lang w:val="en-US" w:eastAsia="en-US"/>
        </w:rPr>
      </w:pPr>
      <w:r>
        <w:rPr>
          <w:rFonts w:cs="Arial"/>
          <w:color w:val="231F20"/>
          <w:lang w:val="en-US" w:eastAsia="en-US"/>
        </w:rPr>
        <w:tab/>
      </w:r>
      <w:r w:rsidRPr="00832742">
        <w:rPr>
          <w:rFonts w:cs="Arial"/>
          <w:color w:val="231F20"/>
          <w:lang w:val="en-US" w:eastAsia="en-US"/>
        </w:rPr>
        <w:t>The number of general hospitals and hospital beds has grown slowly and has barely kept up with population growth. In 2003, there were 353 general hospitals and about 52,600 beds under the MoH, plus provinces and districts. In 2007, these numbers rose to 401 general hospitals and about 59,500 beds</w:t>
      </w:r>
      <w:r>
        <w:rPr>
          <w:rFonts w:cs="Arial"/>
          <w:color w:val="231F20"/>
          <w:lang w:val="en-US" w:eastAsia="en-US"/>
        </w:rPr>
        <w:t>.</w:t>
      </w:r>
      <w:r w:rsidRPr="00832742">
        <w:rPr>
          <w:rFonts w:cs="Arial"/>
          <w:color w:val="231F20"/>
          <w:lang w:val="en-US" w:eastAsia="en-US"/>
        </w:rPr>
        <w:t xml:space="preserve"> These numbers do not include hospitals belonging to the armed forces, the police, or other ministries and state-owned enterprises, which, although affil</w:t>
      </w:r>
      <w:r w:rsidRPr="00832742">
        <w:rPr>
          <w:rFonts w:cs="Arial"/>
          <w:color w:val="231F20"/>
          <w:lang w:val="en-US" w:eastAsia="en-US"/>
        </w:rPr>
        <w:t>i</w:t>
      </w:r>
      <w:r w:rsidRPr="00832742">
        <w:rPr>
          <w:rFonts w:cs="Arial"/>
          <w:color w:val="231F20"/>
          <w:lang w:val="en-US" w:eastAsia="en-US"/>
        </w:rPr>
        <w:t>ated with state agencies, function more like private institutions.</w:t>
      </w:r>
      <w:r>
        <w:rPr>
          <w:rFonts w:cs="Arial"/>
          <w:color w:val="231F20"/>
          <w:lang w:val="en-US" w:eastAsia="en-US"/>
        </w:rPr>
        <w:t xml:space="preserve"> The full info</w:t>
      </w:r>
      <w:r>
        <w:rPr>
          <w:rFonts w:cs="Arial"/>
          <w:color w:val="231F20"/>
          <w:lang w:val="en-US" w:eastAsia="en-US"/>
        </w:rPr>
        <w:t>r</w:t>
      </w:r>
      <w:r>
        <w:rPr>
          <w:rFonts w:cs="Arial"/>
          <w:color w:val="231F20"/>
          <w:lang w:val="en-US" w:eastAsia="en-US"/>
        </w:rPr>
        <w:t>mation about number of general hospital and its beds by ownership is pr</w:t>
      </w:r>
      <w:r>
        <w:rPr>
          <w:rFonts w:cs="Arial"/>
          <w:color w:val="231F20"/>
          <w:lang w:val="en-US" w:eastAsia="en-US"/>
        </w:rPr>
        <w:t>e</w:t>
      </w:r>
      <w:r>
        <w:rPr>
          <w:rFonts w:cs="Arial"/>
          <w:color w:val="231F20"/>
          <w:lang w:val="en-US" w:eastAsia="en-US"/>
        </w:rPr>
        <w:t xml:space="preserve">sented in table 2.2 and table 2.3. </w:t>
      </w:r>
    </w:p>
    <w:p w:rsidR="00E03A55" w:rsidRPr="0072269B" w:rsidRDefault="00E03A55" w:rsidP="0072269B">
      <w:pPr>
        <w:pStyle w:val="Caption"/>
        <w:keepNext/>
        <w:spacing w:after="200"/>
        <w:jc w:val="center"/>
        <w:rPr>
          <w:rFonts w:ascii="Arial" w:hAnsi="Arial" w:cs="Arial"/>
          <w:b/>
          <w:sz w:val="18"/>
          <w:szCs w:val="18"/>
        </w:rPr>
      </w:pPr>
      <w:bookmarkStart w:id="34" w:name="_Toc239157730"/>
      <w:r w:rsidRPr="0072269B">
        <w:rPr>
          <w:rFonts w:ascii="Arial" w:hAnsi="Arial" w:cs="Arial"/>
          <w:b/>
          <w:sz w:val="18"/>
          <w:szCs w:val="18"/>
        </w:rPr>
        <w:t xml:space="preserve">Table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Table \* ARABIC \s 1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sidRPr="0072269B">
        <w:rPr>
          <w:rFonts w:ascii="Arial" w:hAnsi="Arial" w:cs="Arial"/>
          <w:b/>
          <w:sz w:val="18"/>
          <w:szCs w:val="18"/>
        </w:rPr>
        <w:t xml:space="preserve"> Number of General Hospital by Ownership 2003-2007</w:t>
      </w:r>
      <w:bookmarkEnd w:id="34"/>
    </w:p>
    <w:tbl>
      <w:tblPr>
        <w:tblW w:w="6691" w:type="dxa"/>
        <w:jc w:val="center"/>
        <w:tblLook w:val="00A0"/>
      </w:tblPr>
      <w:tblGrid>
        <w:gridCol w:w="3721"/>
        <w:gridCol w:w="594"/>
        <w:gridCol w:w="594"/>
        <w:gridCol w:w="594"/>
        <w:gridCol w:w="594"/>
        <w:gridCol w:w="594"/>
      </w:tblGrid>
      <w:tr w:rsidR="00E03A55" w:rsidRPr="00A556C6" w:rsidTr="0072269B">
        <w:trPr>
          <w:trHeight w:val="349"/>
          <w:jc w:val="center"/>
        </w:trPr>
        <w:tc>
          <w:tcPr>
            <w:tcW w:w="3721" w:type="dxa"/>
            <w:vMerge w:val="restart"/>
            <w:tcBorders>
              <w:top w:val="single" w:sz="4" w:space="0" w:color="auto"/>
              <w:left w:val="nil"/>
              <w:bottom w:val="single" w:sz="4" w:space="0" w:color="000000"/>
              <w:right w:val="nil"/>
            </w:tcBorders>
            <w:shd w:val="clear" w:color="auto" w:fill="95B3D7"/>
            <w:noWrap/>
            <w:vAlign w:val="center"/>
          </w:tcPr>
          <w:p w:rsidR="00E03A55" w:rsidRPr="00A556C6" w:rsidRDefault="00E03A55" w:rsidP="00391BFE">
            <w:pPr>
              <w:suppressAutoHyphens w:val="0"/>
              <w:spacing w:after="0"/>
              <w:ind w:firstLine="0"/>
              <w:jc w:val="center"/>
              <w:rPr>
                <w:rFonts w:ascii="Arial" w:hAnsi="Arial" w:cs="Arial"/>
                <w:b/>
                <w:color w:val="000000"/>
                <w:sz w:val="16"/>
                <w:szCs w:val="16"/>
                <w:lang w:val="en-US" w:eastAsia="en-US"/>
              </w:rPr>
            </w:pPr>
            <w:r w:rsidRPr="00A556C6">
              <w:rPr>
                <w:rFonts w:ascii="Arial" w:hAnsi="Arial" w:cs="Arial"/>
                <w:b/>
                <w:color w:val="000000"/>
                <w:sz w:val="16"/>
                <w:szCs w:val="16"/>
                <w:lang w:val="en-US" w:eastAsia="en-US"/>
              </w:rPr>
              <w:t>Ownership</w:t>
            </w:r>
          </w:p>
        </w:tc>
        <w:tc>
          <w:tcPr>
            <w:tcW w:w="2970" w:type="dxa"/>
            <w:gridSpan w:val="5"/>
            <w:tcBorders>
              <w:top w:val="single" w:sz="4" w:space="0" w:color="auto"/>
              <w:left w:val="nil"/>
              <w:bottom w:val="nil"/>
              <w:right w:val="nil"/>
            </w:tcBorders>
            <w:shd w:val="clear" w:color="auto" w:fill="95B3D7"/>
            <w:noWrap/>
            <w:vAlign w:val="center"/>
          </w:tcPr>
          <w:p w:rsidR="00E03A55" w:rsidRPr="00A556C6" w:rsidRDefault="00E03A55" w:rsidP="00391BFE">
            <w:pPr>
              <w:suppressAutoHyphens w:val="0"/>
              <w:spacing w:after="0"/>
              <w:ind w:firstLine="0"/>
              <w:jc w:val="center"/>
              <w:rPr>
                <w:rFonts w:ascii="Arial" w:hAnsi="Arial" w:cs="Arial"/>
                <w:b/>
                <w:color w:val="000000"/>
                <w:sz w:val="16"/>
                <w:szCs w:val="16"/>
                <w:lang w:val="en-US" w:eastAsia="en-US"/>
              </w:rPr>
            </w:pPr>
            <w:r w:rsidRPr="00A556C6">
              <w:rPr>
                <w:rFonts w:ascii="Arial" w:hAnsi="Arial" w:cs="Arial"/>
                <w:b/>
                <w:color w:val="000000"/>
                <w:sz w:val="16"/>
                <w:szCs w:val="16"/>
                <w:lang w:val="en-US" w:eastAsia="en-US"/>
              </w:rPr>
              <w:t>Total General Hospital</w:t>
            </w:r>
          </w:p>
        </w:tc>
      </w:tr>
      <w:tr w:rsidR="00E03A55" w:rsidRPr="00A556C6" w:rsidTr="002B62FC">
        <w:trPr>
          <w:trHeight w:val="349"/>
          <w:jc w:val="center"/>
        </w:trPr>
        <w:tc>
          <w:tcPr>
            <w:tcW w:w="3721" w:type="dxa"/>
            <w:vMerge/>
            <w:tcBorders>
              <w:top w:val="single" w:sz="4" w:space="0" w:color="auto"/>
              <w:left w:val="nil"/>
              <w:bottom w:val="single" w:sz="4" w:space="0" w:color="000000"/>
              <w:right w:val="nil"/>
            </w:tcBorders>
            <w:shd w:val="clear" w:color="auto" w:fill="95B3D7"/>
            <w:vAlign w:val="center"/>
          </w:tcPr>
          <w:p w:rsidR="00E03A55" w:rsidRPr="00A556C6" w:rsidRDefault="00E03A55" w:rsidP="00391BFE">
            <w:pPr>
              <w:suppressAutoHyphens w:val="0"/>
              <w:spacing w:after="0"/>
              <w:ind w:firstLine="0"/>
              <w:rPr>
                <w:rFonts w:ascii="Arial" w:hAnsi="Arial" w:cs="Arial"/>
                <w:b/>
                <w:color w:val="000000"/>
                <w:sz w:val="16"/>
                <w:szCs w:val="16"/>
                <w:lang w:val="en-US" w:eastAsia="en-US"/>
              </w:rPr>
            </w:pPr>
          </w:p>
        </w:tc>
        <w:tc>
          <w:tcPr>
            <w:tcW w:w="594" w:type="dxa"/>
            <w:tcBorders>
              <w:top w:val="single" w:sz="4" w:space="0" w:color="auto"/>
              <w:left w:val="nil"/>
              <w:bottom w:val="single" w:sz="4" w:space="0" w:color="auto"/>
              <w:right w:val="nil"/>
            </w:tcBorders>
            <w:shd w:val="clear" w:color="auto" w:fill="95B3D7"/>
            <w:noWrap/>
            <w:vAlign w:val="center"/>
          </w:tcPr>
          <w:p w:rsidR="00E03A55" w:rsidRPr="00A556C6" w:rsidRDefault="00E03A55" w:rsidP="00391BFE">
            <w:pPr>
              <w:suppressAutoHyphens w:val="0"/>
              <w:spacing w:after="0"/>
              <w:ind w:firstLine="0"/>
              <w:jc w:val="center"/>
              <w:rPr>
                <w:rFonts w:ascii="Arial" w:hAnsi="Arial" w:cs="Arial"/>
                <w:b/>
                <w:color w:val="000000"/>
                <w:sz w:val="16"/>
                <w:szCs w:val="16"/>
                <w:lang w:val="en-US" w:eastAsia="en-US"/>
              </w:rPr>
            </w:pPr>
            <w:r w:rsidRPr="00A556C6">
              <w:rPr>
                <w:rFonts w:ascii="Arial" w:hAnsi="Arial" w:cs="Arial"/>
                <w:b/>
                <w:color w:val="000000"/>
                <w:sz w:val="16"/>
                <w:szCs w:val="16"/>
                <w:lang w:val="en-US" w:eastAsia="en-US"/>
              </w:rPr>
              <w:t>2003</w:t>
            </w:r>
          </w:p>
        </w:tc>
        <w:tc>
          <w:tcPr>
            <w:tcW w:w="594" w:type="dxa"/>
            <w:tcBorders>
              <w:top w:val="single" w:sz="4" w:space="0" w:color="auto"/>
              <w:left w:val="nil"/>
              <w:bottom w:val="single" w:sz="4" w:space="0" w:color="auto"/>
              <w:right w:val="nil"/>
            </w:tcBorders>
            <w:shd w:val="clear" w:color="auto" w:fill="95B3D7"/>
            <w:noWrap/>
            <w:vAlign w:val="center"/>
          </w:tcPr>
          <w:p w:rsidR="00E03A55" w:rsidRPr="00A556C6" w:rsidRDefault="00E03A55" w:rsidP="00391BFE">
            <w:pPr>
              <w:suppressAutoHyphens w:val="0"/>
              <w:spacing w:after="0"/>
              <w:ind w:firstLine="0"/>
              <w:jc w:val="center"/>
              <w:rPr>
                <w:rFonts w:ascii="Arial" w:hAnsi="Arial" w:cs="Arial"/>
                <w:b/>
                <w:color w:val="000000"/>
                <w:sz w:val="16"/>
                <w:szCs w:val="16"/>
                <w:lang w:val="en-US" w:eastAsia="en-US"/>
              </w:rPr>
            </w:pPr>
            <w:r w:rsidRPr="00A556C6">
              <w:rPr>
                <w:rFonts w:ascii="Arial" w:hAnsi="Arial" w:cs="Arial"/>
                <w:b/>
                <w:color w:val="000000"/>
                <w:sz w:val="16"/>
                <w:szCs w:val="16"/>
                <w:lang w:val="en-US" w:eastAsia="en-US"/>
              </w:rPr>
              <w:t>2004</w:t>
            </w:r>
          </w:p>
        </w:tc>
        <w:tc>
          <w:tcPr>
            <w:tcW w:w="594" w:type="dxa"/>
            <w:tcBorders>
              <w:top w:val="single" w:sz="4" w:space="0" w:color="auto"/>
              <w:left w:val="nil"/>
              <w:bottom w:val="single" w:sz="4" w:space="0" w:color="auto"/>
              <w:right w:val="nil"/>
            </w:tcBorders>
            <w:shd w:val="clear" w:color="auto" w:fill="95B3D7"/>
            <w:noWrap/>
            <w:vAlign w:val="center"/>
          </w:tcPr>
          <w:p w:rsidR="00E03A55" w:rsidRPr="00A556C6" w:rsidRDefault="00E03A55" w:rsidP="00391BFE">
            <w:pPr>
              <w:suppressAutoHyphens w:val="0"/>
              <w:spacing w:after="0"/>
              <w:ind w:firstLine="0"/>
              <w:jc w:val="center"/>
              <w:rPr>
                <w:rFonts w:ascii="Arial" w:hAnsi="Arial" w:cs="Arial"/>
                <w:b/>
                <w:color w:val="000000"/>
                <w:sz w:val="16"/>
                <w:szCs w:val="16"/>
                <w:lang w:val="en-US" w:eastAsia="en-US"/>
              </w:rPr>
            </w:pPr>
            <w:r w:rsidRPr="00A556C6">
              <w:rPr>
                <w:rFonts w:ascii="Arial" w:hAnsi="Arial" w:cs="Arial"/>
                <w:b/>
                <w:color w:val="000000"/>
                <w:sz w:val="16"/>
                <w:szCs w:val="16"/>
                <w:lang w:val="en-US" w:eastAsia="en-US"/>
              </w:rPr>
              <w:t>2005</w:t>
            </w:r>
          </w:p>
        </w:tc>
        <w:tc>
          <w:tcPr>
            <w:tcW w:w="594" w:type="dxa"/>
            <w:tcBorders>
              <w:top w:val="single" w:sz="4" w:space="0" w:color="auto"/>
              <w:left w:val="nil"/>
              <w:bottom w:val="single" w:sz="4" w:space="0" w:color="auto"/>
              <w:right w:val="nil"/>
            </w:tcBorders>
            <w:shd w:val="clear" w:color="auto" w:fill="95B3D7"/>
            <w:noWrap/>
            <w:vAlign w:val="center"/>
          </w:tcPr>
          <w:p w:rsidR="00E03A55" w:rsidRPr="00A556C6" w:rsidRDefault="00E03A55" w:rsidP="00391BFE">
            <w:pPr>
              <w:suppressAutoHyphens w:val="0"/>
              <w:spacing w:after="0"/>
              <w:ind w:firstLine="0"/>
              <w:jc w:val="center"/>
              <w:rPr>
                <w:rFonts w:ascii="Arial" w:hAnsi="Arial" w:cs="Arial"/>
                <w:b/>
                <w:color w:val="000000"/>
                <w:sz w:val="16"/>
                <w:szCs w:val="16"/>
                <w:lang w:val="en-US" w:eastAsia="en-US"/>
              </w:rPr>
            </w:pPr>
            <w:r w:rsidRPr="00A556C6">
              <w:rPr>
                <w:rFonts w:ascii="Arial" w:hAnsi="Arial" w:cs="Arial"/>
                <w:b/>
                <w:color w:val="000000"/>
                <w:sz w:val="16"/>
                <w:szCs w:val="16"/>
                <w:lang w:val="en-US" w:eastAsia="en-US"/>
              </w:rPr>
              <w:t>2006</w:t>
            </w:r>
          </w:p>
        </w:tc>
        <w:tc>
          <w:tcPr>
            <w:tcW w:w="594" w:type="dxa"/>
            <w:tcBorders>
              <w:top w:val="single" w:sz="4" w:space="0" w:color="auto"/>
              <w:left w:val="nil"/>
              <w:bottom w:val="single" w:sz="4" w:space="0" w:color="auto"/>
              <w:right w:val="nil"/>
            </w:tcBorders>
            <w:shd w:val="clear" w:color="auto" w:fill="95B3D7"/>
            <w:noWrap/>
            <w:vAlign w:val="center"/>
          </w:tcPr>
          <w:p w:rsidR="00E03A55" w:rsidRPr="00A556C6" w:rsidRDefault="00E03A55" w:rsidP="00391BFE">
            <w:pPr>
              <w:suppressAutoHyphens w:val="0"/>
              <w:spacing w:after="0"/>
              <w:ind w:firstLine="0"/>
              <w:jc w:val="center"/>
              <w:rPr>
                <w:rFonts w:ascii="Arial" w:hAnsi="Arial" w:cs="Arial"/>
                <w:b/>
                <w:color w:val="000000"/>
                <w:sz w:val="16"/>
                <w:szCs w:val="16"/>
                <w:lang w:val="en-US" w:eastAsia="en-US"/>
              </w:rPr>
            </w:pPr>
            <w:r w:rsidRPr="00A556C6">
              <w:rPr>
                <w:rFonts w:ascii="Arial" w:hAnsi="Arial" w:cs="Arial"/>
                <w:b/>
                <w:color w:val="000000"/>
                <w:sz w:val="16"/>
                <w:szCs w:val="16"/>
                <w:lang w:val="en-US" w:eastAsia="en-US"/>
              </w:rPr>
              <w:t>2007</w:t>
            </w:r>
          </w:p>
        </w:tc>
      </w:tr>
      <w:tr w:rsidR="00E03A55" w:rsidRPr="00A556C6" w:rsidTr="002B62FC">
        <w:trPr>
          <w:trHeight w:val="349"/>
          <w:jc w:val="center"/>
        </w:trPr>
        <w:tc>
          <w:tcPr>
            <w:tcW w:w="3721" w:type="dxa"/>
            <w:tcBorders>
              <w:top w:val="nil"/>
              <w:left w:val="nil"/>
              <w:bottom w:val="nil"/>
              <w:right w:val="nil"/>
            </w:tcBorders>
            <w:noWrap/>
            <w:vAlign w:val="center"/>
          </w:tcPr>
          <w:p w:rsidR="00E03A55" w:rsidRPr="00A556C6" w:rsidRDefault="00E03A55" w:rsidP="00391BFE">
            <w:pPr>
              <w:suppressAutoHyphens w:val="0"/>
              <w:spacing w:after="0"/>
              <w:ind w:firstLine="0"/>
              <w:rPr>
                <w:rFonts w:ascii="Arial" w:hAnsi="Arial" w:cs="Arial"/>
                <w:color w:val="000000"/>
                <w:sz w:val="16"/>
                <w:szCs w:val="16"/>
                <w:lang w:val="en-US" w:eastAsia="en-US"/>
              </w:rPr>
            </w:pPr>
            <w:r w:rsidRPr="00A556C6">
              <w:rPr>
                <w:rFonts w:ascii="Arial" w:hAnsi="Arial" w:cs="Arial"/>
                <w:color w:val="000000"/>
                <w:sz w:val="16"/>
                <w:szCs w:val="16"/>
                <w:lang w:val="en-US" w:eastAsia="en-US"/>
              </w:rPr>
              <w:t>Ministry of health</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14</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13</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13</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13</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13</w:t>
            </w:r>
          </w:p>
        </w:tc>
      </w:tr>
      <w:tr w:rsidR="00E03A55" w:rsidRPr="00A556C6" w:rsidTr="002B62FC">
        <w:trPr>
          <w:trHeight w:val="349"/>
          <w:jc w:val="center"/>
        </w:trPr>
        <w:tc>
          <w:tcPr>
            <w:tcW w:w="3721" w:type="dxa"/>
            <w:tcBorders>
              <w:top w:val="nil"/>
              <w:left w:val="nil"/>
              <w:bottom w:val="nil"/>
              <w:right w:val="nil"/>
            </w:tcBorders>
            <w:noWrap/>
            <w:vAlign w:val="center"/>
          </w:tcPr>
          <w:p w:rsidR="00E03A55" w:rsidRPr="00A556C6" w:rsidRDefault="00E03A55" w:rsidP="00391BFE">
            <w:pPr>
              <w:suppressAutoHyphens w:val="0"/>
              <w:spacing w:after="0"/>
              <w:ind w:firstLine="0"/>
              <w:rPr>
                <w:rFonts w:ascii="Arial" w:hAnsi="Arial" w:cs="Arial"/>
                <w:color w:val="000000"/>
                <w:sz w:val="16"/>
                <w:szCs w:val="16"/>
                <w:lang w:val="en-US" w:eastAsia="en-US"/>
              </w:rPr>
            </w:pPr>
            <w:r w:rsidRPr="00A556C6">
              <w:rPr>
                <w:rFonts w:ascii="Arial" w:hAnsi="Arial" w:cs="Arial"/>
                <w:color w:val="000000"/>
                <w:sz w:val="16"/>
                <w:szCs w:val="16"/>
                <w:lang w:val="en-US" w:eastAsia="en-US"/>
              </w:rPr>
              <w:t>Province</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45</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43</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43</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43</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43</w:t>
            </w:r>
          </w:p>
        </w:tc>
      </w:tr>
      <w:tr w:rsidR="00E03A55" w:rsidRPr="00A556C6" w:rsidTr="002B62FC">
        <w:trPr>
          <w:trHeight w:val="349"/>
          <w:jc w:val="center"/>
        </w:trPr>
        <w:tc>
          <w:tcPr>
            <w:tcW w:w="3721" w:type="dxa"/>
            <w:tcBorders>
              <w:top w:val="nil"/>
              <w:left w:val="nil"/>
              <w:right w:val="nil"/>
            </w:tcBorders>
            <w:noWrap/>
            <w:vAlign w:val="center"/>
          </w:tcPr>
          <w:p w:rsidR="00E03A55" w:rsidRPr="00A556C6" w:rsidRDefault="00E03A55" w:rsidP="00391BFE">
            <w:pPr>
              <w:suppressAutoHyphens w:val="0"/>
              <w:spacing w:after="0"/>
              <w:ind w:firstLine="0"/>
              <w:rPr>
                <w:rFonts w:ascii="Arial" w:hAnsi="Arial" w:cs="Arial"/>
                <w:color w:val="000000"/>
                <w:sz w:val="16"/>
                <w:szCs w:val="16"/>
                <w:lang w:val="en-US" w:eastAsia="en-US"/>
              </w:rPr>
            </w:pPr>
            <w:r w:rsidRPr="00A556C6">
              <w:rPr>
                <w:rFonts w:ascii="Arial" w:hAnsi="Arial" w:cs="Arial"/>
                <w:color w:val="000000"/>
                <w:sz w:val="16"/>
                <w:szCs w:val="16"/>
                <w:lang w:val="en-US" w:eastAsia="en-US"/>
              </w:rPr>
              <w:t>District/ Municipal</w:t>
            </w:r>
          </w:p>
        </w:tc>
        <w:tc>
          <w:tcPr>
            <w:tcW w:w="594" w:type="dxa"/>
            <w:tcBorders>
              <w:top w:val="nil"/>
              <w:left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294</w:t>
            </w:r>
          </w:p>
        </w:tc>
        <w:tc>
          <w:tcPr>
            <w:tcW w:w="594" w:type="dxa"/>
            <w:tcBorders>
              <w:top w:val="nil"/>
              <w:left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305</w:t>
            </w:r>
          </w:p>
        </w:tc>
        <w:tc>
          <w:tcPr>
            <w:tcW w:w="594" w:type="dxa"/>
            <w:tcBorders>
              <w:top w:val="nil"/>
              <w:left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322</w:t>
            </w:r>
          </w:p>
        </w:tc>
        <w:tc>
          <w:tcPr>
            <w:tcW w:w="594" w:type="dxa"/>
            <w:tcBorders>
              <w:top w:val="nil"/>
              <w:left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334</w:t>
            </w:r>
          </w:p>
        </w:tc>
        <w:tc>
          <w:tcPr>
            <w:tcW w:w="594" w:type="dxa"/>
            <w:tcBorders>
              <w:top w:val="nil"/>
              <w:left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345</w:t>
            </w:r>
          </w:p>
        </w:tc>
      </w:tr>
      <w:tr w:rsidR="00E03A55" w:rsidRPr="00A556C6" w:rsidTr="002B62FC">
        <w:trPr>
          <w:trHeight w:val="349"/>
          <w:jc w:val="center"/>
        </w:trPr>
        <w:tc>
          <w:tcPr>
            <w:tcW w:w="3721" w:type="dxa"/>
            <w:tcBorders>
              <w:top w:val="nil"/>
              <w:left w:val="nil"/>
              <w:bottom w:val="nil"/>
              <w:right w:val="nil"/>
            </w:tcBorders>
            <w:noWrap/>
            <w:vAlign w:val="center"/>
          </w:tcPr>
          <w:p w:rsidR="00E03A55" w:rsidRPr="00A556C6" w:rsidRDefault="00E03A55" w:rsidP="00391BFE">
            <w:pPr>
              <w:suppressAutoHyphens w:val="0"/>
              <w:spacing w:after="0"/>
              <w:ind w:firstLine="0"/>
              <w:rPr>
                <w:rFonts w:ascii="Arial" w:hAnsi="Arial" w:cs="Arial"/>
                <w:b/>
                <w:bCs/>
                <w:color w:val="000000"/>
                <w:sz w:val="16"/>
                <w:szCs w:val="16"/>
                <w:lang w:val="en-US" w:eastAsia="en-US"/>
              </w:rPr>
            </w:pPr>
            <w:r w:rsidRPr="00A556C6">
              <w:rPr>
                <w:rFonts w:ascii="Arial" w:hAnsi="Arial" w:cs="Arial"/>
                <w:b/>
                <w:bCs/>
                <w:color w:val="000000"/>
                <w:sz w:val="16"/>
                <w:szCs w:val="16"/>
                <w:lang w:val="en-US" w:eastAsia="en-US"/>
              </w:rPr>
              <w:t>MoH and Local Governments</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b/>
                <w:bCs/>
                <w:color w:val="000000"/>
                <w:sz w:val="16"/>
                <w:szCs w:val="16"/>
                <w:lang w:val="en-US" w:eastAsia="en-US"/>
              </w:rPr>
            </w:pPr>
            <w:r w:rsidRPr="00A556C6">
              <w:rPr>
                <w:rFonts w:ascii="Arial" w:hAnsi="Arial" w:cs="Arial"/>
                <w:b/>
                <w:bCs/>
                <w:color w:val="000000"/>
                <w:sz w:val="16"/>
                <w:szCs w:val="16"/>
                <w:lang w:val="en-US" w:eastAsia="en-US"/>
              </w:rPr>
              <w:t>353</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b/>
                <w:bCs/>
                <w:color w:val="000000"/>
                <w:sz w:val="16"/>
                <w:szCs w:val="16"/>
                <w:lang w:val="en-US" w:eastAsia="en-US"/>
              </w:rPr>
            </w:pPr>
            <w:r w:rsidRPr="00A556C6">
              <w:rPr>
                <w:rFonts w:ascii="Arial" w:hAnsi="Arial" w:cs="Arial"/>
                <w:b/>
                <w:bCs/>
                <w:color w:val="000000"/>
                <w:sz w:val="16"/>
                <w:szCs w:val="16"/>
                <w:lang w:val="en-US" w:eastAsia="en-US"/>
              </w:rPr>
              <w:t>361</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b/>
                <w:bCs/>
                <w:color w:val="000000"/>
                <w:sz w:val="16"/>
                <w:szCs w:val="16"/>
                <w:lang w:val="en-US" w:eastAsia="en-US"/>
              </w:rPr>
            </w:pPr>
            <w:r w:rsidRPr="00A556C6">
              <w:rPr>
                <w:rFonts w:ascii="Arial" w:hAnsi="Arial" w:cs="Arial"/>
                <w:b/>
                <w:bCs/>
                <w:color w:val="000000"/>
                <w:sz w:val="16"/>
                <w:szCs w:val="16"/>
                <w:lang w:val="en-US" w:eastAsia="en-US"/>
              </w:rPr>
              <w:t>378</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b/>
                <w:bCs/>
                <w:color w:val="000000"/>
                <w:sz w:val="16"/>
                <w:szCs w:val="16"/>
                <w:lang w:val="en-US" w:eastAsia="en-US"/>
              </w:rPr>
            </w:pPr>
            <w:r w:rsidRPr="00A556C6">
              <w:rPr>
                <w:rFonts w:ascii="Arial" w:hAnsi="Arial" w:cs="Arial"/>
                <w:b/>
                <w:bCs/>
                <w:color w:val="000000"/>
                <w:sz w:val="16"/>
                <w:szCs w:val="16"/>
                <w:lang w:val="en-US" w:eastAsia="en-US"/>
              </w:rPr>
              <w:t>390</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b/>
                <w:bCs/>
                <w:color w:val="000000"/>
                <w:sz w:val="16"/>
                <w:szCs w:val="16"/>
                <w:lang w:val="en-US" w:eastAsia="en-US"/>
              </w:rPr>
            </w:pPr>
            <w:r w:rsidRPr="00A556C6">
              <w:rPr>
                <w:rFonts w:ascii="Arial" w:hAnsi="Arial" w:cs="Arial"/>
                <w:b/>
                <w:bCs/>
                <w:color w:val="000000"/>
                <w:sz w:val="16"/>
                <w:szCs w:val="16"/>
                <w:lang w:val="en-US" w:eastAsia="en-US"/>
              </w:rPr>
              <w:t>401</w:t>
            </w:r>
          </w:p>
        </w:tc>
      </w:tr>
      <w:tr w:rsidR="00E03A55" w:rsidRPr="00A556C6" w:rsidTr="002B62FC">
        <w:trPr>
          <w:trHeight w:val="349"/>
          <w:jc w:val="center"/>
        </w:trPr>
        <w:tc>
          <w:tcPr>
            <w:tcW w:w="3721" w:type="dxa"/>
            <w:tcBorders>
              <w:top w:val="nil"/>
              <w:left w:val="nil"/>
              <w:bottom w:val="nil"/>
              <w:right w:val="nil"/>
            </w:tcBorders>
            <w:noWrap/>
            <w:vAlign w:val="center"/>
          </w:tcPr>
          <w:p w:rsidR="00E03A55" w:rsidRPr="00A556C6" w:rsidRDefault="00E03A55" w:rsidP="00391BFE">
            <w:pPr>
              <w:suppressAutoHyphens w:val="0"/>
              <w:spacing w:after="0"/>
              <w:ind w:firstLine="0"/>
              <w:rPr>
                <w:rFonts w:ascii="Arial" w:hAnsi="Arial" w:cs="Arial"/>
                <w:color w:val="000000"/>
                <w:sz w:val="16"/>
                <w:szCs w:val="16"/>
                <w:lang w:val="en-US" w:eastAsia="en-US"/>
              </w:rPr>
            </w:pPr>
            <w:r w:rsidRPr="00A556C6">
              <w:rPr>
                <w:rFonts w:ascii="Arial" w:hAnsi="Arial" w:cs="Arial"/>
                <w:color w:val="000000"/>
                <w:sz w:val="16"/>
                <w:szCs w:val="16"/>
                <w:lang w:val="en-US" w:eastAsia="en-US"/>
              </w:rPr>
              <w:t>Armed Forces/ Police</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110</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110</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110</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110</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110</w:t>
            </w:r>
          </w:p>
        </w:tc>
      </w:tr>
      <w:tr w:rsidR="00E03A55" w:rsidRPr="00A556C6" w:rsidTr="002B62FC">
        <w:trPr>
          <w:trHeight w:val="349"/>
          <w:jc w:val="center"/>
        </w:trPr>
        <w:tc>
          <w:tcPr>
            <w:tcW w:w="3721" w:type="dxa"/>
            <w:tcBorders>
              <w:top w:val="nil"/>
              <w:left w:val="nil"/>
              <w:bottom w:val="nil"/>
              <w:right w:val="nil"/>
            </w:tcBorders>
            <w:noWrap/>
            <w:vAlign w:val="center"/>
          </w:tcPr>
          <w:p w:rsidR="00E03A55" w:rsidRPr="00A556C6" w:rsidRDefault="00E03A55" w:rsidP="00391BFE">
            <w:pPr>
              <w:suppressAutoHyphens w:val="0"/>
              <w:spacing w:after="0"/>
              <w:ind w:firstLine="0"/>
              <w:rPr>
                <w:rFonts w:ascii="Arial" w:hAnsi="Arial" w:cs="Arial"/>
                <w:color w:val="000000"/>
                <w:sz w:val="16"/>
                <w:szCs w:val="16"/>
                <w:lang w:val="en-US" w:eastAsia="en-US"/>
              </w:rPr>
            </w:pPr>
            <w:r w:rsidRPr="00A556C6">
              <w:rPr>
                <w:rFonts w:ascii="Arial" w:hAnsi="Arial" w:cs="Arial"/>
                <w:color w:val="000000"/>
                <w:sz w:val="16"/>
                <w:szCs w:val="16"/>
                <w:lang w:val="en-US" w:eastAsia="en-US"/>
              </w:rPr>
              <w:t>Other Ministry/ State-owned enterprises (BUMN)</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71</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71</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71</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71</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71</w:t>
            </w:r>
          </w:p>
        </w:tc>
      </w:tr>
      <w:tr w:rsidR="00E03A55" w:rsidRPr="00A556C6" w:rsidTr="002B62FC">
        <w:trPr>
          <w:trHeight w:val="349"/>
          <w:jc w:val="center"/>
        </w:trPr>
        <w:tc>
          <w:tcPr>
            <w:tcW w:w="3721" w:type="dxa"/>
            <w:tcBorders>
              <w:top w:val="nil"/>
              <w:left w:val="nil"/>
              <w:bottom w:val="nil"/>
              <w:right w:val="nil"/>
            </w:tcBorders>
            <w:noWrap/>
            <w:vAlign w:val="center"/>
          </w:tcPr>
          <w:p w:rsidR="00E03A55" w:rsidRPr="00A556C6" w:rsidRDefault="00E03A55" w:rsidP="00391BFE">
            <w:pPr>
              <w:suppressAutoHyphens w:val="0"/>
              <w:spacing w:after="0"/>
              <w:ind w:firstLine="0"/>
              <w:rPr>
                <w:rFonts w:ascii="Arial" w:hAnsi="Arial" w:cs="Arial"/>
                <w:b/>
                <w:bCs/>
                <w:color w:val="000000"/>
                <w:sz w:val="16"/>
                <w:szCs w:val="16"/>
                <w:lang w:val="en-US" w:eastAsia="en-US"/>
              </w:rPr>
            </w:pPr>
            <w:r w:rsidRPr="00A556C6">
              <w:rPr>
                <w:rFonts w:ascii="Arial" w:hAnsi="Arial" w:cs="Arial"/>
                <w:b/>
                <w:bCs/>
                <w:color w:val="000000"/>
                <w:sz w:val="16"/>
                <w:szCs w:val="16"/>
                <w:lang w:val="en-US" w:eastAsia="en-US"/>
              </w:rPr>
              <w:t>Government</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b/>
                <w:bCs/>
                <w:color w:val="000000"/>
                <w:sz w:val="16"/>
                <w:szCs w:val="16"/>
                <w:lang w:val="en-US" w:eastAsia="en-US"/>
              </w:rPr>
            </w:pPr>
            <w:r w:rsidRPr="00A556C6">
              <w:rPr>
                <w:rFonts w:ascii="Arial" w:hAnsi="Arial" w:cs="Arial"/>
                <w:b/>
                <w:bCs/>
                <w:color w:val="000000"/>
                <w:sz w:val="16"/>
                <w:szCs w:val="16"/>
                <w:lang w:val="en-US" w:eastAsia="en-US"/>
              </w:rPr>
              <w:t>534</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b/>
                <w:bCs/>
                <w:color w:val="000000"/>
                <w:sz w:val="16"/>
                <w:szCs w:val="16"/>
                <w:lang w:val="en-US" w:eastAsia="en-US"/>
              </w:rPr>
            </w:pPr>
            <w:r w:rsidRPr="00A556C6">
              <w:rPr>
                <w:rFonts w:ascii="Arial" w:hAnsi="Arial" w:cs="Arial"/>
                <w:b/>
                <w:bCs/>
                <w:color w:val="000000"/>
                <w:sz w:val="16"/>
                <w:szCs w:val="16"/>
                <w:lang w:val="en-US" w:eastAsia="en-US"/>
              </w:rPr>
              <w:t>542</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b/>
                <w:bCs/>
                <w:color w:val="000000"/>
                <w:sz w:val="16"/>
                <w:szCs w:val="16"/>
                <w:lang w:val="en-US" w:eastAsia="en-US"/>
              </w:rPr>
            </w:pPr>
            <w:r w:rsidRPr="00A556C6">
              <w:rPr>
                <w:rFonts w:ascii="Arial" w:hAnsi="Arial" w:cs="Arial"/>
                <w:b/>
                <w:bCs/>
                <w:color w:val="000000"/>
                <w:sz w:val="16"/>
                <w:szCs w:val="16"/>
                <w:lang w:val="en-US" w:eastAsia="en-US"/>
              </w:rPr>
              <w:t>559</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b/>
                <w:bCs/>
                <w:color w:val="000000"/>
                <w:sz w:val="16"/>
                <w:szCs w:val="16"/>
                <w:lang w:val="en-US" w:eastAsia="en-US"/>
              </w:rPr>
            </w:pPr>
            <w:r w:rsidRPr="00A556C6">
              <w:rPr>
                <w:rFonts w:ascii="Arial" w:hAnsi="Arial" w:cs="Arial"/>
                <w:b/>
                <w:bCs/>
                <w:color w:val="000000"/>
                <w:sz w:val="16"/>
                <w:szCs w:val="16"/>
                <w:lang w:val="en-US" w:eastAsia="en-US"/>
              </w:rPr>
              <w:t>571</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b/>
                <w:bCs/>
                <w:color w:val="000000"/>
                <w:sz w:val="16"/>
                <w:szCs w:val="16"/>
                <w:lang w:val="en-US" w:eastAsia="en-US"/>
              </w:rPr>
            </w:pPr>
            <w:r w:rsidRPr="00A556C6">
              <w:rPr>
                <w:rFonts w:ascii="Arial" w:hAnsi="Arial" w:cs="Arial"/>
                <w:b/>
                <w:bCs/>
                <w:color w:val="000000"/>
                <w:sz w:val="16"/>
                <w:szCs w:val="16"/>
                <w:lang w:val="en-US" w:eastAsia="en-US"/>
              </w:rPr>
              <w:t>582</w:t>
            </w:r>
          </w:p>
        </w:tc>
      </w:tr>
      <w:tr w:rsidR="00E03A55" w:rsidRPr="00A556C6" w:rsidTr="002B62FC">
        <w:trPr>
          <w:trHeight w:val="349"/>
          <w:jc w:val="center"/>
        </w:trPr>
        <w:tc>
          <w:tcPr>
            <w:tcW w:w="3721" w:type="dxa"/>
            <w:tcBorders>
              <w:top w:val="nil"/>
              <w:left w:val="nil"/>
              <w:bottom w:val="nil"/>
              <w:right w:val="nil"/>
            </w:tcBorders>
            <w:noWrap/>
            <w:vAlign w:val="center"/>
          </w:tcPr>
          <w:p w:rsidR="00E03A55" w:rsidRPr="00A556C6" w:rsidRDefault="00E03A55" w:rsidP="00391BFE">
            <w:pPr>
              <w:suppressAutoHyphens w:val="0"/>
              <w:spacing w:after="0"/>
              <w:ind w:firstLine="0"/>
              <w:rPr>
                <w:rFonts w:ascii="Arial" w:hAnsi="Arial" w:cs="Arial"/>
                <w:color w:val="000000"/>
                <w:sz w:val="16"/>
                <w:szCs w:val="16"/>
                <w:lang w:val="en-US" w:eastAsia="en-US"/>
              </w:rPr>
            </w:pPr>
            <w:r w:rsidRPr="00A556C6">
              <w:rPr>
                <w:rFonts w:ascii="Arial" w:hAnsi="Arial" w:cs="Arial"/>
                <w:color w:val="000000"/>
                <w:sz w:val="16"/>
                <w:szCs w:val="16"/>
                <w:lang w:val="en-US" w:eastAsia="en-US"/>
              </w:rPr>
              <w:t>Private</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432</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434</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436</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441</w:t>
            </w:r>
          </w:p>
        </w:tc>
        <w:tc>
          <w:tcPr>
            <w:tcW w:w="594" w:type="dxa"/>
            <w:tcBorders>
              <w:top w:val="nil"/>
              <w:left w:val="nil"/>
              <w:bottom w:val="nil"/>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451</w:t>
            </w:r>
          </w:p>
        </w:tc>
      </w:tr>
      <w:tr w:rsidR="00E03A55" w:rsidRPr="00A556C6" w:rsidTr="002B62FC">
        <w:trPr>
          <w:trHeight w:val="349"/>
          <w:jc w:val="center"/>
        </w:trPr>
        <w:tc>
          <w:tcPr>
            <w:tcW w:w="3721" w:type="dxa"/>
            <w:tcBorders>
              <w:top w:val="nil"/>
              <w:left w:val="nil"/>
              <w:bottom w:val="single" w:sz="4" w:space="0" w:color="auto"/>
              <w:right w:val="nil"/>
            </w:tcBorders>
            <w:noWrap/>
            <w:vAlign w:val="center"/>
          </w:tcPr>
          <w:p w:rsidR="00E03A55" w:rsidRPr="00A556C6" w:rsidRDefault="00E03A55" w:rsidP="00391BFE">
            <w:pPr>
              <w:suppressAutoHyphens w:val="0"/>
              <w:spacing w:after="0"/>
              <w:ind w:firstLine="0"/>
              <w:rPr>
                <w:rFonts w:ascii="Arial" w:hAnsi="Arial" w:cs="Arial"/>
                <w:b/>
                <w:bCs/>
                <w:color w:val="000000"/>
                <w:sz w:val="16"/>
                <w:szCs w:val="16"/>
                <w:lang w:val="en-US" w:eastAsia="en-US"/>
              </w:rPr>
            </w:pPr>
            <w:r w:rsidRPr="00A556C6">
              <w:rPr>
                <w:rFonts w:ascii="Arial" w:hAnsi="Arial" w:cs="Arial"/>
                <w:b/>
                <w:bCs/>
                <w:color w:val="000000"/>
                <w:sz w:val="16"/>
                <w:szCs w:val="16"/>
                <w:lang w:val="en-US" w:eastAsia="en-US"/>
              </w:rPr>
              <w:t>Total General Hospital</w:t>
            </w:r>
          </w:p>
        </w:tc>
        <w:tc>
          <w:tcPr>
            <w:tcW w:w="594" w:type="dxa"/>
            <w:tcBorders>
              <w:top w:val="nil"/>
              <w:left w:val="nil"/>
              <w:bottom w:val="single" w:sz="4" w:space="0" w:color="auto"/>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966</w:t>
            </w:r>
          </w:p>
        </w:tc>
        <w:tc>
          <w:tcPr>
            <w:tcW w:w="594" w:type="dxa"/>
            <w:tcBorders>
              <w:top w:val="nil"/>
              <w:left w:val="nil"/>
              <w:bottom w:val="single" w:sz="4" w:space="0" w:color="auto"/>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976</w:t>
            </w:r>
          </w:p>
        </w:tc>
        <w:tc>
          <w:tcPr>
            <w:tcW w:w="594" w:type="dxa"/>
            <w:tcBorders>
              <w:top w:val="nil"/>
              <w:left w:val="nil"/>
              <w:bottom w:val="single" w:sz="4" w:space="0" w:color="auto"/>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995</w:t>
            </w:r>
          </w:p>
        </w:tc>
        <w:tc>
          <w:tcPr>
            <w:tcW w:w="594" w:type="dxa"/>
            <w:tcBorders>
              <w:top w:val="nil"/>
              <w:left w:val="nil"/>
              <w:bottom w:val="single" w:sz="4" w:space="0" w:color="auto"/>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1012</w:t>
            </w:r>
          </w:p>
        </w:tc>
        <w:tc>
          <w:tcPr>
            <w:tcW w:w="594" w:type="dxa"/>
            <w:tcBorders>
              <w:top w:val="nil"/>
              <w:left w:val="nil"/>
              <w:bottom w:val="single" w:sz="4" w:space="0" w:color="auto"/>
              <w:right w:val="nil"/>
            </w:tcBorders>
            <w:noWrap/>
            <w:vAlign w:val="center"/>
          </w:tcPr>
          <w:p w:rsidR="00E03A55" w:rsidRPr="00A556C6" w:rsidRDefault="00E03A55" w:rsidP="00391BFE">
            <w:pPr>
              <w:suppressAutoHyphens w:val="0"/>
              <w:spacing w:after="0"/>
              <w:ind w:firstLine="0"/>
              <w:jc w:val="center"/>
              <w:rPr>
                <w:rFonts w:ascii="Arial" w:hAnsi="Arial" w:cs="Arial"/>
                <w:color w:val="000000"/>
                <w:sz w:val="16"/>
                <w:szCs w:val="16"/>
                <w:lang w:val="en-US" w:eastAsia="en-US"/>
              </w:rPr>
            </w:pPr>
            <w:r w:rsidRPr="00A556C6">
              <w:rPr>
                <w:rFonts w:ascii="Arial" w:hAnsi="Arial" w:cs="Arial"/>
                <w:color w:val="000000"/>
                <w:sz w:val="16"/>
                <w:szCs w:val="16"/>
                <w:lang w:val="en-US" w:eastAsia="en-US"/>
              </w:rPr>
              <w:t>1033</w:t>
            </w:r>
          </w:p>
        </w:tc>
      </w:tr>
    </w:tbl>
    <w:p w:rsidR="00E03A55" w:rsidRPr="00BA265C" w:rsidRDefault="00E03A55" w:rsidP="00CC23E6">
      <w:pPr>
        <w:spacing w:after="200"/>
        <w:rPr>
          <w:sz w:val="16"/>
          <w:szCs w:val="16"/>
        </w:rPr>
      </w:pPr>
      <w:r w:rsidRPr="00BA265C">
        <w:rPr>
          <w:rFonts w:ascii="Arial" w:hAnsi="Arial" w:cs="Arial"/>
          <w:sz w:val="16"/>
          <w:szCs w:val="16"/>
        </w:rPr>
        <w:t xml:space="preserve">Source: </w:t>
      </w:r>
      <w:r w:rsidRPr="00BA265C">
        <w:rPr>
          <w:rFonts w:ascii="Arial" w:hAnsi="Arial" w:cs="Arial"/>
          <w:noProof/>
          <w:sz w:val="16"/>
          <w:szCs w:val="16"/>
          <w:lang w:val="en-US" w:eastAsia="en-US"/>
        </w:rPr>
        <w:t>MoH, 2008</w:t>
      </w:r>
      <w:r>
        <w:rPr>
          <w:rFonts w:ascii="Arial" w:hAnsi="Arial" w:cs="Arial"/>
          <w:noProof/>
          <w:sz w:val="16"/>
          <w:szCs w:val="16"/>
          <w:lang w:val="en-US" w:eastAsia="en-US"/>
        </w:rPr>
        <w:t>a</w:t>
      </w:r>
    </w:p>
    <w:p w:rsidR="00E03A55" w:rsidRDefault="00E03A55" w:rsidP="00CC23E6">
      <w:pPr>
        <w:tabs>
          <w:tab w:val="left" w:pos="567"/>
        </w:tabs>
        <w:suppressAutoHyphens w:val="0"/>
        <w:autoSpaceDE w:val="0"/>
        <w:autoSpaceDN w:val="0"/>
        <w:adjustRightInd w:val="0"/>
        <w:spacing w:after="200"/>
        <w:ind w:firstLine="0"/>
        <w:jc w:val="both"/>
        <w:rPr>
          <w:rFonts w:cs="Arial"/>
          <w:color w:val="231F20"/>
          <w:lang w:val="en-US" w:eastAsia="en-US"/>
        </w:rPr>
      </w:pPr>
      <w:r>
        <w:rPr>
          <w:rFonts w:cs="Arial"/>
          <w:color w:val="231F20"/>
          <w:lang w:val="en-US" w:eastAsia="en-US"/>
        </w:rPr>
        <w:tab/>
      </w:r>
      <w:r w:rsidRPr="00832742">
        <w:rPr>
          <w:rFonts w:cs="Arial"/>
          <w:color w:val="231F20"/>
          <w:lang w:val="en-US" w:eastAsia="en-US"/>
        </w:rPr>
        <w:t>The slow expansion in public hospitals and beds has been partly offset by an increase in private hospitals. In 2003, there were 432 private hospitals with about 42,300 beds. It was increasing in 2007 to 451 hospitals with around 45,000 beds. It was around 37 percent of the total beds in general hospitals.</w:t>
      </w:r>
    </w:p>
    <w:p w:rsidR="00E03A55" w:rsidRPr="0072269B" w:rsidRDefault="00E03A55" w:rsidP="0072269B">
      <w:pPr>
        <w:pStyle w:val="Caption"/>
        <w:spacing w:after="200"/>
        <w:jc w:val="center"/>
        <w:rPr>
          <w:rFonts w:ascii="Arial" w:hAnsi="Arial" w:cs="Arial"/>
          <w:b/>
          <w:color w:val="231F20"/>
          <w:sz w:val="18"/>
          <w:szCs w:val="18"/>
        </w:rPr>
      </w:pPr>
      <w:bookmarkStart w:id="35" w:name="_Toc239157731"/>
      <w:r w:rsidRPr="0072269B">
        <w:rPr>
          <w:rFonts w:ascii="Arial" w:hAnsi="Arial" w:cs="Arial"/>
          <w:b/>
          <w:sz w:val="18"/>
          <w:szCs w:val="18"/>
        </w:rPr>
        <w:t xml:space="preserve">Table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Table \* ARABIC \s 1 </w:instrText>
      </w:r>
      <w:r>
        <w:rPr>
          <w:rFonts w:ascii="Arial" w:hAnsi="Arial" w:cs="Arial"/>
          <w:b/>
          <w:sz w:val="18"/>
          <w:szCs w:val="18"/>
        </w:rPr>
        <w:fldChar w:fldCharType="separate"/>
      </w:r>
      <w:r>
        <w:rPr>
          <w:rFonts w:ascii="Arial" w:hAnsi="Arial" w:cs="Arial"/>
          <w:b/>
          <w:noProof/>
          <w:sz w:val="18"/>
          <w:szCs w:val="18"/>
        </w:rPr>
        <w:t>3</w:t>
      </w:r>
      <w:r>
        <w:rPr>
          <w:rFonts w:ascii="Arial" w:hAnsi="Arial" w:cs="Arial"/>
          <w:b/>
          <w:sz w:val="18"/>
          <w:szCs w:val="18"/>
        </w:rPr>
        <w:fldChar w:fldCharType="end"/>
      </w:r>
      <w:r w:rsidRPr="0072269B">
        <w:rPr>
          <w:rFonts w:ascii="Arial" w:hAnsi="Arial" w:cs="Arial"/>
          <w:b/>
          <w:sz w:val="18"/>
          <w:szCs w:val="18"/>
        </w:rPr>
        <w:t xml:space="preserve"> Number of Beds in General Hospital by Ownership 2003-2007</w:t>
      </w:r>
      <w:bookmarkEnd w:id="35"/>
    </w:p>
    <w:tbl>
      <w:tblPr>
        <w:tblW w:w="6831" w:type="dxa"/>
        <w:jc w:val="center"/>
        <w:tblInd w:w="95" w:type="dxa"/>
        <w:tblLook w:val="00A0"/>
      </w:tblPr>
      <w:tblGrid>
        <w:gridCol w:w="2856"/>
        <w:gridCol w:w="795"/>
        <w:gridCol w:w="795"/>
        <w:gridCol w:w="795"/>
        <w:gridCol w:w="795"/>
        <w:gridCol w:w="795"/>
      </w:tblGrid>
      <w:tr w:rsidR="00E03A55" w:rsidRPr="00A37081" w:rsidTr="0072269B">
        <w:trPr>
          <w:trHeight w:val="308"/>
          <w:jc w:val="center"/>
        </w:trPr>
        <w:tc>
          <w:tcPr>
            <w:tcW w:w="2856" w:type="dxa"/>
            <w:vMerge w:val="restart"/>
            <w:tcBorders>
              <w:top w:val="single" w:sz="4" w:space="0" w:color="auto"/>
              <w:left w:val="nil"/>
              <w:bottom w:val="single" w:sz="4" w:space="0" w:color="auto"/>
              <w:right w:val="nil"/>
            </w:tcBorders>
            <w:shd w:val="clear" w:color="auto" w:fill="95B3D7"/>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Ownership</w:t>
            </w:r>
          </w:p>
        </w:tc>
        <w:tc>
          <w:tcPr>
            <w:tcW w:w="3975" w:type="dxa"/>
            <w:gridSpan w:val="5"/>
            <w:tcBorders>
              <w:top w:val="single" w:sz="4" w:space="0" w:color="auto"/>
              <w:left w:val="nil"/>
              <w:bottom w:val="single" w:sz="4" w:space="0" w:color="auto"/>
              <w:right w:val="nil"/>
            </w:tcBorders>
            <w:shd w:val="clear" w:color="auto" w:fill="95B3D7"/>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Total General Hospital</w:t>
            </w:r>
          </w:p>
        </w:tc>
      </w:tr>
      <w:tr w:rsidR="00E03A55" w:rsidRPr="00A37081" w:rsidTr="0072269B">
        <w:trPr>
          <w:trHeight w:val="308"/>
          <w:jc w:val="center"/>
        </w:trPr>
        <w:tc>
          <w:tcPr>
            <w:tcW w:w="2856" w:type="dxa"/>
            <w:vMerge/>
            <w:tcBorders>
              <w:top w:val="single" w:sz="4" w:space="0" w:color="auto"/>
              <w:left w:val="nil"/>
              <w:bottom w:val="single" w:sz="4" w:space="0" w:color="auto"/>
              <w:right w:val="nil"/>
            </w:tcBorders>
            <w:shd w:val="clear" w:color="auto" w:fill="95B3D7"/>
            <w:vAlign w:val="center"/>
          </w:tcPr>
          <w:p w:rsidR="00E03A55" w:rsidRPr="00A37081" w:rsidRDefault="00E03A55" w:rsidP="00A37081">
            <w:pPr>
              <w:suppressAutoHyphens w:val="0"/>
              <w:spacing w:after="0"/>
              <w:ind w:firstLine="0"/>
              <w:rPr>
                <w:rFonts w:ascii="Arial" w:hAnsi="Arial" w:cs="Arial"/>
                <w:color w:val="000000"/>
                <w:sz w:val="16"/>
                <w:szCs w:val="16"/>
                <w:lang w:val="en-US" w:eastAsia="en-US"/>
              </w:rPr>
            </w:pPr>
          </w:p>
        </w:tc>
        <w:tc>
          <w:tcPr>
            <w:tcW w:w="795" w:type="dxa"/>
            <w:tcBorders>
              <w:top w:val="nil"/>
              <w:left w:val="nil"/>
              <w:bottom w:val="single" w:sz="4" w:space="0" w:color="auto"/>
              <w:right w:val="nil"/>
            </w:tcBorders>
            <w:shd w:val="clear" w:color="auto" w:fill="95B3D7"/>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2003</w:t>
            </w:r>
          </w:p>
        </w:tc>
        <w:tc>
          <w:tcPr>
            <w:tcW w:w="795" w:type="dxa"/>
            <w:tcBorders>
              <w:top w:val="nil"/>
              <w:left w:val="nil"/>
              <w:bottom w:val="single" w:sz="4" w:space="0" w:color="auto"/>
              <w:right w:val="nil"/>
            </w:tcBorders>
            <w:shd w:val="clear" w:color="auto" w:fill="95B3D7"/>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2004</w:t>
            </w:r>
          </w:p>
        </w:tc>
        <w:tc>
          <w:tcPr>
            <w:tcW w:w="795" w:type="dxa"/>
            <w:tcBorders>
              <w:top w:val="nil"/>
              <w:left w:val="nil"/>
              <w:bottom w:val="single" w:sz="4" w:space="0" w:color="auto"/>
              <w:right w:val="nil"/>
            </w:tcBorders>
            <w:shd w:val="clear" w:color="auto" w:fill="95B3D7"/>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2005</w:t>
            </w:r>
          </w:p>
        </w:tc>
        <w:tc>
          <w:tcPr>
            <w:tcW w:w="795" w:type="dxa"/>
            <w:tcBorders>
              <w:top w:val="nil"/>
              <w:left w:val="nil"/>
              <w:bottom w:val="single" w:sz="4" w:space="0" w:color="auto"/>
              <w:right w:val="nil"/>
            </w:tcBorders>
            <w:shd w:val="clear" w:color="auto" w:fill="95B3D7"/>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2006</w:t>
            </w:r>
          </w:p>
        </w:tc>
        <w:tc>
          <w:tcPr>
            <w:tcW w:w="795" w:type="dxa"/>
            <w:tcBorders>
              <w:top w:val="nil"/>
              <w:left w:val="nil"/>
              <w:bottom w:val="single" w:sz="4" w:space="0" w:color="auto"/>
              <w:right w:val="nil"/>
            </w:tcBorders>
            <w:shd w:val="clear" w:color="auto" w:fill="95B3D7"/>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2007</w:t>
            </w:r>
          </w:p>
        </w:tc>
      </w:tr>
      <w:tr w:rsidR="00E03A55" w:rsidRPr="00A37081" w:rsidTr="0072269B">
        <w:trPr>
          <w:trHeight w:val="308"/>
          <w:jc w:val="center"/>
        </w:trPr>
        <w:tc>
          <w:tcPr>
            <w:tcW w:w="2856" w:type="dxa"/>
            <w:tcBorders>
              <w:top w:val="nil"/>
              <w:left w:val="nil"/>
              <w:bottom w:val="nil"/>
              <w:right w:val="nil"/>
            </w:tcBorders>
            <w:noWrap/>
            <w:vAlign w:val="center"/>
          </w:tcPr>
          <w:p w:rsidR="00E03A55" w:rsidRPr="00A37081" w:rsidRDefault="00E03A55" w:rsidP="00A37081">
            <w:pPr>
              <w:suppressAutoHyphens w:val="0"/>
              <w:spacing w:after="0"/>
              <w:ind w:firstLine="0"/>
              <w:rPr>
                <w:rFonts w:ascii="Arial" w:hAnsi="Arial" w:cs="Arial"/>
                <w:color w:val="000000"/>
                <w:sz w:val="16"/>
                <w:szCs w:val="16"/>
                <w:lang w:val="en-US" w:eastAsia="en-US"/>
              </w:rPr>
            </w:pPr>
            <w:r w:rsidRPr="00A37081">
              <w:rPr>
                <w:rFonts w:ascii="Arial" w:hAnsi="Arial" w:cs="Arial"/>
                <w:color w:val="000000"/>
                <w:sz w:val="16"/>
                <w:szCs w:val="16"/>
                <w:lang w:val="en-US" w:eastAsia="en-US"/>
              </w:rPr>
              <w:t>Ministry of health</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8.858</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8.505</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8.483</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8.784</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8.777</w:t>
            </w:r>
          </w:p>
        </w:tc>
      </w:tr>
      <w:tr w:rsidR="00E03A55" w:rsidRPr="00A37081" w:rsidTr="0072269B">
        <w:trPr>
          <w:trHeight w:val="308"/>
          <w:jc w:val="center"/>
        </w:trPr>
        <w:tc>
          <w:tcPr>
            <w:tcW w:w="2856" w:type="dxa"/>
            <w:tcBorders>
              <w:top w:val="nil"/>
              <w:left w:val="nil"/>
              <w:bottom w:val="nil"/>
              <w:right w:val="nil"/>
            </w:tcBorders>
            <w:noWrap/>
            <w:vAlign w:val="center"/>
          </w:tcPr>
          <w:p w:rsidR="00E03A55" w:rsidRPr="00A37081" w:rsidRDefault="00E03A55" w:rsidP="00A37081">
            <w:pPr>
              <w:suppressAutoHyphens w:val="0"/>
              <w:spacing w:after="0"/>
              <w:ind w:firstLine="0"/>
              <w:rPr>
                <w:rFonts w:ascii="Arial" w:hAnsi="Arial" w:cs="Arial"/>
                <w:color w:val="000000"/>
                <w:sz w:val="16"/>
                <w:szCs w:val="16"/>
                <w:lang w:val="en-US" w:eastAsia="en-US"/>
              </w:rPr>
            </w:pPr>
            <w:r w:rsidRPr="00A37081">
              <w:rPr>
                <w:rFonts w:ascii="Arial" w:hAnsi="Arial" w:cs="Arial"/>
                <w:color w:val="000000"/>
                <w:sz w:val="16"/>
                <w:szCs w:val="16"/>
                <w:lang w:val="en-US" w:eastAsia="en-US"/>
              </w:rPr>
              <w:t>Province</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12.958</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12.391</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12.902</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12.834</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13.182</w:t>
            </w:r>
          </w:p>
        </w:tc>
      </w:tr>
      <w:tr w:rsidR="00E03A55" w:rsidRPr="00A37081" w:rsidTr="0072269B">
        <w:trPr>
          <w:trHeight w:val="308"/>
          <w:jc w:val="center"/>
        </w:trPr>
        <w:tc>
          <w:tcPr>
            <w:tcW w:w="2856" w:type="dxa"/>
            <w:tcBorders>
              <w:top w:val="nil"/>
              <w:left w:val="nil"/>
              <w:bottom w:val="nil"/>
              <w:right w:val="nil"/>
            </w:tcBorders>
            <w:noWrap/>
            <w:vAlign w:val="center"/>
          </w:tcPr>
          <w:p w:rsidR="00E03A55" w:rsidRPr="00A37081" w:rsidRDefault="00E03A55" w:rsidP="00A37081">
            <w:pPr>
              <w:suppressAutoHyphens w:val="0"/>
              <w:spacing w:after="0"/>
              <w:ind w:firstLine="0"/>
              <w:rPr>
                <w:rFonts w:ascii="Arial" w:hAnsi="Arial" w:cs="Arial"/>
                <w:color w:val="000000"/>
                <w:sz w:val="16"/>
                <w:szCs w:val="16"/>
                <w:lang w:val="en-US" w:eastAsia="en-US"/>
              </w:rPr>
            </w:pPr>
            <w:r w:rsidRPr="00A37081">
              <w:rPr>
                <w:rFonts w:ascii="Arial" w:hAnsi="Arial" w:cs="Arial"/>
                <w:color w:val="000000"/>
                <w:sz w:val="16"/>
                <w:szCs w:val="16"/>
                <w:lang w:val="en-US" w:eastAsia="en-US"/>
              </w:rPr>
              <w:t>District/ Municipal</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30.803</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31.959</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33.896</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35.375</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37.575</w:t>
            </w:r>
          </w:p>
        </w:tc>
      </w:tr>
      <w:tr w:rsidR="00E03A55" w:rsidRPr="00A37081" w:rsidTr="0072269B">
        <w:trPr>
          <w:trHeight w:val="308"/>
          <w:jc w:val="center"/>
        </w:trPr>
        <w:tc>
          <w:tcPr>
            <w:tcW w:w="2856" w:type="dxa"/>
            <w:tcBorders>
              <w:top w:val="nil"/>
              <w:left w:val="nil"/>
              <w:bottom w:val="nil"/>
              <w:right w:val="nil"/>
            </w:tcBorders>
            <w:noWrap/>
            <w:vAlign w:val="center"/>
          </w:tcPr>
          <w:p w:rsidR="00E03A55" w:rsidRPr="00A37081" w:rsidRDefault="00E03A55" w:rsidP="00A37081">
            <w:pPr>
              <w:suppressAutoHyphens w:val="0"/>
              <w:spacing w:after="0"/>
              <w:ind w:firstLine="0"/>
              <w:rPr>
                <w:rFonts w:ascii="Arial" w:hAnsi="Arial" w:cs="Arial"/>
                <w:b/>
                <w:bCs/>
                <w:color w:val="000000"/>
                <w:sz w:val="16"/>
                <w:szCs w:val="16"/>
                <w:lang w:val="en-US" w:eastAsia="en-US"/>
              </w:rPr>
            </w:pPr>
            <w:r w:rsidRPr="00A37081">
              <w:rPr>
                <w:rFonts w:ascii="Arial" w:hAnsi="Arial" w:cs="Arial"/>
                <w:b/>
                <w:bCs/>
                <w:color w:val="000000"/>
                <w:sz w:val="16"/>
                <w:szCs w:val="16"/>
                <w:lang w:val="en-US" w:eastAsia="en-US"/>
              </w:rPr>
              <w:t>Moh and Local Governments</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b/>
                <w:bCs/>
                <w:color w:val="000000"/>
                <w:sz w:val="16"/>
                <w:szCs w:val="16"/>
                <w:lang w:val="en-US" w:eastAsia="en-US"/>
              </w:rPr>
            </w:pPr>
            <w:r w:rsidRPr="00A37081">
              <w:rPr>
                <w:rFonts w:ascii="Arial" w:hAnsi="Arial" w:cs="Arial"/>
                <w:b/>
                <w:bCs/>
                <w:color w:val="000000"/>
                <w:sz w:val="16"/>
                <w:szCs w:val="16"/>
                <w:lang w:val="en-US" w:eastAsia="en-US"/>
              </w:rPr>
              <w:t>52.619</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b/>
                <w:bCs/>
                <w:color w:val="000000"/>
                <w:sz w:val="16"/>
                <w:szCs w:val="16"/>
                <w:lang w:val="en-US" w:eastAsia="en-US"/>
              </w:rPr>
            </w:pPr>
            <w:r w:rsidRPr="00A37081">
              <w:rPr>
                <w:rFonts w:ascii="Arial" w:hAnsi="Arial" w:cs="Arial"/>
                <w:b/>
                <w:bCs/>
                <w:color w:val="000000"/>
                <w:sz w:val="16"/>
                <w:szCs w:val="16"/>
                <w:lang w:val="en-US" w:eastAsia="en-US"/>
              </w:rPr>
              <w:t>52.855</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b/>
                <w:bCs/>
                <w:color w:val="000000"/>
                <w:sz w:val="16"/>
                <w:szCs w:val="16"/>
                <w:lang w:val="en-US" w:eastAsia="en-US"/>
              </w:rPr>
            </w:pPr>
            <w:r w:rsidRPr="00A37081">
              <w:rPr>
                <w:rFonts w:ascii="Arial" w:hAnsi="Arial" w:cs="Arial"/>
                <w:b/>
                <w:bCs/>
                <w:color w:val="000000"/>
                <w:sz w:val="16"/>
                <w:szCs w:val="16"/>
                <w:lang w:val="en-US" w:eastAsia="en-US"/>
              </w:rPr>
              <w:t>55.281</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b/>
                <w:bCs/>
                <w:color w:val="000000"/>
                <w:sz w:val="16"/>
                <w:szCs w:val="16"/>
                <w:lang w:val="en-US" w:eastAsia="en-US"/>
              </w:rPr>
            </w:pPr>
            <w:r w:rsidRPr="00A37081">
              <w:rPr>
                <w:rFonts w:ascii="Arial" w:hAnsi="Arial" w:cs="Arial"/>
                <w:b/>
                <w:bCs/>
                <w:color w:val="000000"/>
                <w:sz w:val="16"/>
                <w:szCs w:val="16"/>
                <w:lang w:val="en-US" w:eastAsia="en-US"/>
              </w:rPr>
              <w:t>56.993</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b/>
                <w:bCs/>
                <w:color w:val="000000"/>
                <w:sz w:val="16"/>
                <w:szCs w:val="16"/>
                <w:lang w:val="en-US" w:eastAsia="en-US"/>
              </w:rPr>
            </w:pPr>
            <w:r w:rsidRPr="00A37081">
              <w:rPr>
                <w:rFonts w:ascii="Arial" w:hAnsi="Arial" w:cs="Arial"/>
                <w:b/>
                <w:bCs/>
                <w:color w:val="000000"/>
                <w:sz w:val="16"/>
                <w:szCs w:val="16"/>
                <w:lang w:val="en-US" w:eastAsia="en-US"/>
              </w:rPr>
              <w:t>59.534</w:t>
            </w:r>
          </w:p>
        </w:tc>
      </w:tr>
      <w:tr w:rsidR="00E03A55" w:rsidRPr="00A37081" w:rsidTr="0072269B">
        <w:trPr>
          <w:trHeight w:val="308"/>
          <w:jc w:val="center"/>
        </w:trPr>
        <w:tc>
          <w:tcPr>
            <w:tcW w:w="2856" w:type="dxa"/>
            <w:tcBorders>
              <w:top w:val="nil"/>
              <w:left w:val="nil"/>
              <w:bottom w:val="nil"/>
              <w:right w:val="nil"/>
            </w:tcBorders>
            <w:noWrap/>
            <w:vAlign w:val="center"/>
          </w:tcPr>
          <w:p w:rsidR="00E03A55" w:rsidRPr="00A37081" w:rsidRDefault="00E03A55" w:rsidP="00A37081">
            <w:pPr>
              <w:suppressAutoHyphens w:val="0"/>
              <w:spacing w:after="0"/>
              <w:ind w:firstLine="0"/>
              <w:rPr>
                <w:rFonts w:ascii="Arial" w:hAnsi="Arial" w:cs="Arial"/>
                <w:color w:val="000000"/>
                <w:sz w:val="16"/>
                <w:szCs w:val="16"/>
                <w:lang w:val="en-US" w:eastAsia="en-US"/>
              </w:rPr>
            </w:pPr>
            <w:r w:rsidRPr="00A37081">
              <w:rPr>
                <w:rFonts w:ascii="Arial" w:hAnsi="Arial" w:cs="Arial"/>
                <w:color w:val="000000"/>
                <w:sz w:val="16"/>
                <w:szCs w:val="16"/>
                <w:lang w:val="en-US" w:eastAsia="en-US"/>
              </w:rPr>
              <w:t>Armed Forces/ Police</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10.718</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10.761</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10.814</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10.842</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10.836</w:t>
            </w:r>
          </w:p>
        </w:tc>
      </w:tr>
      <w:tr w:rsidR="00E03A55" w:rsidRPr="00A37081" w:rsidTr="0072269B">
        <w:trPr>
          <w:trHeight w:val="308"/>
          <w:jc w:val="center"/>
        </w:trPr>
        <w:tc>
          <w:tcPr>
            <w:tcW w:w="2856" w:type="dxa"/>
            <w:tcBorders>
              <w:top w:val="nil"/>
              <w:left w:val="nil"/>
              <w:bottom w:val="nil"/>
              <w:right w:val="nil"/>
            </w:tcBorders>
            <w:noWrap/>
            <w:vAlign w:val="center"/>
          </w:tcPr>
          <w:p w:rsidR="00E03A55" w:rsidRPr="00A37081" w:rsidRDefault="00E03A55" w:rsidP="00A37081">
            <w:pPr>
              <w:suppressAutoHyphens w:val="0"/>
              <w:spacing w:after="0"/>
              <w:ind w:firstLine="0"/>
              <w:rPr>
                <w:rFonts w:ascii="Arial" w:hAnsi="Arial" w:cs="Arial"/>
                <w:color w:val="000000"/>
                <w:sz w:val="16"/>
                <w:szCs w:val="16"/>
                <w:lang w:val="en-US" w:eastAsia="en-US"/>
              </w:rPr>
            </w:pPr>
            <w:r w:rsidRPr="00A37081">
              <w:rPr>
                <w:rFonts w:ascii="Arial" w:hAnsi="Arial" w:cs="Arial"/>
                <w:color w:val="000000"/>
                <w:sz w:val="16"/>
                <w:szCs w:val="16"/>
                <w:lang w:val="en-US" w:eastAsia="en-US"/>
              </w:rPr>
              <w:t>Other Ministry/ State-owned ente</w:t>
            </w:r>
            <w:r w:rsidRPr="00A37081">
              <w:rPr>
                <w:rFonts w:ascii="Arial" w:hAnsi="Arial" w:cs="Arial"/>
                <w:color w:val="000000"/>
                <w:sz w:val="16"/>
                <w:szCs w:val="16"/>
                <w:lang w:val="en-US" w:eastAsia="en-US"/>
              </w:rPr>
              <w:t>r</w:t>
            </w:r>
            <w:r w:rsidRPr="00A37081">
              <w:rPr>
                <w:rFonts w:ascii="Arial" w:hAnsi="Arial" w:cs="Arial"/>
                <w:color w:val="000000"/>
                <w:sz w:val="16"/>
                <w:szCs w:val="16"/>
                <w:lang w:val="en-US" w:eastAsia="en-US"/>
              </w:rPr>
              <w:t>prises (BUMN)</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6.758</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6.537</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6.827</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6.880</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6.851</w:t>
            </w:r>
          </w:p>
        </w:tc>
      </w:tr>
      <w:tr w:rsidR="00E03A55" w:rsidRPr="00A37081" w:rsidTr="0072269B">
        <w:trPr>
          <w:trHeight w:val="308"/>
          <w:jc w:val="center"/>
        </w:trPr>
        <w:tc>
          <w:tcPr>
            <w:tcW w:w="2856" w:type="dxa"/>
            <w:tcBorders>
              <w:top w:val="nil"/>
              <w:left w:val="nil"/>
              <w:bottom w:val="nil"/>
              <w:right w:val="nil"/>
            </w:tcBorders>
            <w:noWrap/>
            <w:vAlign w:val="center"/>
          </w:tcPr>
          <w:p w:rsidR="00E03A55" w:rsidRPr="00A37081" w:rsidRDefault="00E03A55" w:rsidP="00A37081">
            <w:pPr>
              <w:suppressAutoHyphens w:val="0"/>
              <w:spacing w:after="0"/>
              <w:ind w:firstLine="0"/>
              <w:rPr>
                <w:rFonts w:ascii="Arial" w:hAnsi="Arial" w:cs="Arial"/>
                <w:b/>
                <w:bCs/>
                <w:color w:val="000000"/>
                <w:sz w:val="16"/>
                <w:szCs w:val="16"/>
                <w:lang w:val="en-US" w:eastAsia="en-US"/>
              </w:rPr>
            </w:pPr>
            <w:r w:rsidRPr="00A37081">
              <w:rPr>
                <w:rFonts w:ascii="Arial" w:hAnsi="Arial" w:cs="Arial"/>
                <w:b/>
                <w:bCs/>
                <w:color w:val="000000"/>
                <w:sz w:val="16"/>
                <w:szCs w:val="16"/>
                <w:lang w:val="en-US" w:eastAsia="en-US"/>
              </w:rPr>
              <w:t>Government</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b/>
                <w:bCs/>
                <w:color w:val="000000"/>
                <w:sz w:val="16"/>
                <w:szCs w:val="16"/>
                <w:lang w:val="en-US" w:eastAsia="en-US"/>
              </w:rPr>
            </w:pPr>
            <w:r w:rsidRPr="00A37081">
              <w:rPr>
                <w:rFonts w:ascii="Arial" w:hAnsi="Arial" w:cs="Arial"/>
                <w:b/>
                <w:bCs/>
                <w:color w:val="000000"/>
                <w:sz w:val="16"/>
                <w:szCs w:val="16"/>
                <w:lang w:val="en-US" w:eastAsia="en-US"/>
              </w:rPr>
              <w:t>70.095</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b/>
                <w:bCs/>
                <w:color w:val="000000"/>
                <w:sz w:val="16"/>
                <w:szCs w:val="16"/>
                <w:lang w:val="en-US" w:eastAsia="en-US"/>
              </w:rPr>
            </w:pPr>
            <w:r w:rsidRPr="00A37081">
              <w:rPr>
                <w:rFonts w:ascii="Arial" w:hAnsi="Arial" w:cs="Arial"/>
                <w:b/>
                <w:bCs/>
                <w:color w:val="000000"/>
                <w:sz w:val="16"/>
                <w:szCs w:val="16"/>
                <w:lang w:val="en-US" w:eastAsia="en-US"/>
              </w:rPr>
              <w:t>70.153</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b/>
                <w:bCs/>
                <w:color w:val="000000"/>
                <w:sz w:val="16"/>
                <w:szCs w:val="16"/>
                <w:lang w:val="en-US" w:eastAsia="en-US"/>
              </w:rPr>
            </w:pPr>
            <w:r w:rsidRPr="00A37081">
              <w:rPr>
                <w:rFonts w:ascii="Arial" w:hAnsi="Arial" w:cs="Arial"/>
                <w:b/>
                <w:bCs/>
                <w:color w:val="000000"/>
                <w:sz w:val="16"/>
                <w:szCs w:val="16"/>
                <w:lang w:val="en-US" w:eastAsia="en-US"/>
              </w:rPr>
              <w:t>72.922</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b/>
                <w:bCs/>
                <w:color w:val="000000"/>
                <w:sz w:val="16"/>
                <w:szCs w:val="16"/>
                <w:lang w:val="en-US" w:eastAsia="en-US"/>
              </w:rPr>
            </w:pPr>
            <w:r w:rsidRPr="00A37081">
              <w:rPr>
                <w:rFonts w:ascii="Arial" w:hAnsi="Arial" w:cs="Arial"/>
                <w:b/>
                <w:bCs/>
                <w:color w:val="000000"/>
                <w:sz w:val="16"/>
                <w:szCs w:val="16"/>
                <w:lang w:val="en-US" w:eastAsia="en-US"/>
              </w:rPr>
              <w:t>74.715</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b/>
                <w:bCs/>
                <w:color w:val="000000"/>
                <w:sz w:val="16"/>
                <w:szCs w:val="16"/>
                <w:lang w:val="en-US" w:eastAsia="en-US"/>
              </w:rPr>
            </w:pPr>
            <w:r w:rsidRPr="00A37081">
              <w:rPr>
                <w:rFonts w:ascii="Arial" w:hAnsi="Arial" w:cs="Arial"/>
                <w:b/>
                <w:bCs/>
                <w:color w:val="000000"/>
                <w:sz w:val="16"/>
                <w:szCs w:val="16"/>
                <w:lang w:val="en-US" w:eastAsia="en-US"/>
              </w:rPr>
              <w:t>77.221</w:t>
            </w:r>
          </w:p>
        </w:tc>
      </w:tr>
      <w:tr w:rsidR="00E03A55" w:rsidRPr="00A37081" w:rsidTr="0072269B">
        <w:trPr>
          <w:trHeight w:val="308"/>
          <w:jc w:val="center"/>
        </w:trPr>
        <w:tc>
          <w:tcPr>
            <w:tcW w:w="2856" w:type="dxa"/>
            <w:tcBorders>
              <w:top w:val="nil"/>
              <w:left w:val="nil"/>
              <w:bottom w:val="nil"/>
              <w:right w:val="nil"/>
            </w:tcBorders>
            <w:noWrap/>
            <w:vAlign w:val="center"/>
          </w:tcPr>
          <w:p w:rsidR="00E03A55" w:rsidRPr="00A37081" w:rsidRDefault="00E03A55" w:rsidP="00A37081">
            <w:pPr>
              <w:suppressAutoHyphens w:val="0"/>
              <w:spacing w:after="0"/>
              <w:ind w:firstLine="0"/>
              <w:rPr>
                <w:rFonts w:ascii="Arial" w:hAnsi="Arial" w:cs="Arial"/>
                <w:color w:val="000000"/>
                <w:sz w:val="16"/>
                <w:szCs w:val="16"/>
                <w:lang w:val="en-US" w:eastAsia="en-US"/>
              </w:rPr>
            </w:pPr>
            <w:r w:rsidRPr="00A37081">
              <w:rPr>
                <w:rFonts w:ascii="Arial" w:hAnsi="Arial" w:cs="Arial"/>
                <w:color w:val="000000"/>
                <w:sz w:val="16"/>
                <w:szCs w:val="16"/>
                <w:lang w:val="en-US" w:eastAsia="en-US"/>
              </w:rPr>
              <w:t>Private</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42.284</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42.487</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43.364</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43.789</w:t>
            </w:r>
          </w:p>
        </w:tc>
        <w:tc>
          <w:tcPr>
            <w:tcW w:w="795" w:type="dxa"/>
            <w:tcBorders>
              <w:top w:val="nil"/>
              <w:left w:val="nil"/>
              <w:bottom w:val="nil"/>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45.074</w:t>
            </w:r>
          </w:p>
        </w:tc>
      </w:tr>
      <w:tr w:rsidR="00E03A55" w:rsidRPr="00A37081" w:rsidTr="0072269B">
        <w:trPr>
          <w:trHeight w:val="308"/>
          <w:jc w:val="center"/>
        </w:trPr>
        <w:tc>
          <w:tcPr>
            <w:tcW w:w="2856" w:type="dxa"/>
            <w:tcBorders>
              <w:top w:val="nil"/>
              <w:left w:val="nil"/>
              <w:bottom w:val="single" w:sz="4" w:space="0" w:color="auto"/>
              <w:right w:val="nil"/>
            </w:tcBorders>
            <w:noWrap/>
            <w:vAlign w:val="center"/>
          </w:tcPr>
          <w:p w:rsidR="00E03A55" w:rsidRPr="00A37081" w:rsidRDefault="00E03A55" w:rsidP="00A37081">
            <w:pPr>
              <w:suppressAutoHyphens w:val="0"/>
              <w:spacing w:after="0"/>
              <w:ind w:firstLine="0"/>
              <w:rPr>
                <w:rFonts w:ascii="Arial" w:hAnsi="Arial" w:cs="Arial"/>
                <w:color w:val="000000"/>
                <w:sz w:val="16"/>
                <w:szCs w:val="16"/>
                <w:lang w:val="en-US" w:eastAsia="en-US"/>
              </w:rPr>
            </w:pPr>
            <w:r w:rsidRPr="00A37081">
              <w:rPr>
                <w:rFonts w:ascii="Arial" w:hAnsi="Arial" w:cs="Arial"/>
                <w:color w:val="000000"/>
                <w:sz w:val="16"/>
                <w:szCs w:val="16"/>
                <w:lang w:val="en-US" w:eastAsia="en-US"/>
              </w:rPr>
              <w:t>Total Beds in General Hospital</w:t>
            </w:r>
          </w:p>
        </w:tc>
        <w:tc>
          <w:tcPr>
            <w:tcW w:w="795" w:type="dxa"/>
            <w:tcBorders>
              <w:top w:val="nil"/>
              <w:left w:val="nil"/>
              <w:bottom w:val="single" w:sz="4" w:space="0" w:color="auto"/>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112.379</w:t>
            </w:r>
          </w:p>
        </w:tc>
        <w:tc>
          <w:tcPr>
            <w:tcW w:w="795" w:type="dxa"/>
            <w:tcBorders>
              <w:top w:val="nil"/>
              <w:left w:val="nil"/>
              <w:bottom w:val="single" w:sz="4" w:space="0" w:color="auto"/>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112.640</w:t>
            </w:r>
          </w:p>
        </w:tc>
        <w:tc>
          <w:tcPr>
            <w:tcW w:w="795" w:type="dxa"/>
            <w:tcBorders>
              <w:top w:val="nil"/>
              <w:left w:val="nil"/>
              <w:bottom w:val="single" w:sz="4" w:space="0" w:color="auto"/>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116.286</w:t>
            </w:r>
          </w:p>
        </w:tc>
        <w:tc>
          <w:tcPr>
            <w:tcW w:w="795" w:type="dxa"/>
            <w:tcBorders>
              <w:top w:val="nil"/>
              <w:left w:val="nil"/>
              <w:bottom w:val="single" w:sz="4" w:space="0" w:color="auto"/>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118.504</w:t>
            </w:r>
          </w:p>
        </w:tc>
        <w:tc>
          <w:tcPr>
            <w:tcW w:w="795" w:type="dxa"/>
            <w:tcBorders>
              <w:top w:val="nil"/>
              <w:left w:val="nil"/>
              <w:bottom w:val="single" w:sz="4" w:space="0" w:color="auto"/>
              <w:right w:val="nil"/>
            </w:tcBorders>
            <w:noWrap/>
            <w:vAlign w:val="center"/>
          </w:tcPr>
          <w:p w:rsidR="00E03A55" w:rsidRPr="00A37081" w:rsidRDefault="00E03A55" w:rsidP="00A37081">
            <w:pPr>
              <w:suppressAutoHyphens w:val="0"/>
              <w:spacing w:after="0"/>
              <w:ind w:firstLine="0"/>
              <w:jc w:val="center"/>
              <w:rPr>
                <w:rFonts w:ascii="Arial" w:hAnsi="Arial" w:cs="Arial"/>
                <w:color w:val="000000"/>
                <w:sz w:val="16"/>
                <w:szCs w:val="16"/>
                <w:lang w:val="en-US" w:eastAsia="en-US"/>
              </w:rPr>
            </w:pPr>
            <w:r w:rsidRPr="00A37081">
              <w:rPr>
                <w:rFonts w:ascii="Arial" w:hAnsi="Arial" w:cs="Arial"/>
                <w:color w:val="000000"/>
                <w:sz w:val="16"/>
                <w:szCs w:val="16"/>
                <w:lang w:val="en-US" w:eastAsia="en-US"/>
              </w:rPr>
              <w:t>122.295</w:t>
            </w:r>
          </w:p>
        </w:tc>
      </w:tr>
    </w:tbl>
    <w:p w:rsidR="00E03A55" w:rsidRPr="00BA265C" w:rsidRDefault="00E03A55" w:rsidP="00BA265C">
      <w:pPr>
        <w:spacing w:after="200"/>
        <w:ind w:firstLine="0"/>
        <w:rPr>
          <w:sz w:val="16"/>
          <w:szCs w:val="16"/>
        </w:rPr>
      </w:pPr>
      <w:r>
        <w:t xml:space="preserve">      </w:t>
      </w:r>
      <w:r w:rsidRPr="00BA265C">
        <w:rPr>
          <w:rFonts w:ascii="Arial" w:hAnsi="Arial" w:cs="Arial"/>
          <w:sz w:val="16"/>
          <w:szCs w:val="16"/>
        </w:rPr>
        <w:t xml:space="preserve">Source: </w:t>
      </w:r>
      <w:r w:rsidRPr="00BA265C">
        <w:rPr>
          <w:rFonts w:ascii="Arial" w:hAnsi="Arial" w:cs="Arial"/>
          <w:noProof/>
          <w:sz w:val="16"/>
          <w:szCs w:val="16"/>
          <w:lang w:val="en-US" w:eastAsia="en-US"/>
        </w:rPr>
        <w:t>MoH, 2008</w:t>
      </w:r>
      <w:r>
        <w:rPr>
          <w:rFonts w:ascii="Arial" w:hAnsi="Arial" w:cs="Arial"/>
          <w:noProof/>
          <w:sz w:val="16"/>
          <w:szCs w:val="16"/>
          <w:lang w:val="en-US" w:eastAsia="en-US"/>
        </w:rPr>
        <w:t>a</w:t>
      </w:r>
    </w:p>
    <w:p w:rsidR="00E03A55" w:rsidRDefault="00E03A55" w:rsidP="00CC072C">
      <w:pPr>
        <w:pStyle w:val="Heading3"/>
      </w:pPr>
      <w:bookmarkStart w:id="36" w:name="_Toc238987724"/>
      <w:bookmarkStart w:id="37" w:name="_Toc239163838"/>
      <w:r>
        <w:t>2.1.3</w:t>
      </w:r>
      <w:r>
        <w:tab/>
        <w:t>Health Workforce</w:t>
      </w:r>
      <w:bookmarkEnd w:id="36"/>
      <w:bookmarkEnd w:id="37"/>
    </w:p>
    <w:p w:rsidR="00E03A55" w:rsidRDefault="00E03A55" w:rsidP="0072269B">
      <w:pPr>
        <w:tabs>
          <w:tab w:val="left" w:pos="567"/>
        </w:tabs>
        <w:spacing w:after="200"/>
        <w:ind w:firstLine="0"/>
        <w:jc w:val="both"/>
        <w:rPr>
          <w:rFonts w:cs="Calibri"/>
          <w:lang w:val="en-US"/>
        </w:rPr>
      </w:pPr>
      <w:r w:rsidRPr="00081EE2">
        <w:rPr>
          <w:rFonts w:cs="Arial"/>
          <w:lang w:val="en-US"/>
        </w:rPr>
        <w:t xml:space="preserve">According to Indonesian Medical Council </w:t>
      </w:r>
      <w:r w:rsidRPr="00081EE2">
        <w:rPr>
          <w:rFonts w:cs="Arial"/>
          <w:i/>
          <w:lang w:val="en-US"/>
        </w:rPr>
        <w:t>(KKI)</w:t>
      </w:r>
      <w:r w:rsidRPr="00081EE2">
        <w:rPr>
          <w:rFonts w:cs="Arial"/>
          <w:lang w:val="en-US"/>
        </w:rPr>
        <w:t xml:space="preserve">, as of July 2007, a total of 72,249 doctors, including 15, 499 specialists, were registered nationally (World Bank, 2009). It means that there were 25 doctors per 100,000 inhabitants. One should be noted that this number might include non-practicing doctors; therefore, it may be overestimate of the number of available doctors. In contrast, the </w:t>
      </w:r>
      <w:r w:rsidRPr="00081EE2">
        <w:rPr>
          <w:rFonts w:cs="Arial"/>
          <w:i/>
          <w:lang w:val="en-US"/>
        </w:rPr>
        <w:t>Podes (potensi desa</w:t>
      </w:r>
      <w:r w:rsidRPr="00081EE2">
        <w:rPr>
          <w:rFonts w:cs="Arial"/>
          <w:lang w:val="en-US"/>
        </w:rPr>
        <w:t xml:space="preserve">), </w:t>
      </w:r>
      <w:r w:rsidRPr="00081EE2">
        <w:rPr>
          <w:rFonts w:cs="Calibri"/>
          <w:lang w:val="en-US"/>
        </w:rPr>
        <w:t xml:space="preserve">census data that is gathered by interviewing </w:t>
      </w:r>
      <w:r w:rsidRPr="00081EE2">
        <w:rPr>
          <w:rFonts w:cs="Calibri-Italic"/>
          <w:i/>
          <w:iCs/>
          <w:lang w:val="en-US"/>
        </w:rPr>
        <w:t xml:space="preserve">desa </w:t>
      </w:r>
      <w:r w:rsidRPr="00081EE2">
        <w:rPr>
          <w:rFonts w:cs="Calibri"/>
          <w:lang w:val="en-US"/>
        </w:rPr>
        <w:t xml:space="preserve">(village) and </w:t>
      </w:r>
      <w:r w:rsidRPr="00081EE2">
        <w:rPr>
          <w:rFonts w:cs="Calibri-Italic"/>
          <w:i/>
          <w:iCs/>
          <w:lang w:val="en-US"/>
        </w:rPr>
        <w:t>kelurahan</w:t>
      </w:r>
      <w:r w:rsidRPr="00081EE2">
        <w:rPr>
          <w:rFonts w:cs="Calibri"/>
          <w:lang w:val="en-US"/>
        </w:rPr>
        <w:t xml:space="preserve"> heads, reported the total number of medical doctors at almost 40,000 in 2006. It means that Indonesia has more than 18 medical doctors for every 100,000 populations. It increased by 6 percent compared to 1996 data (table 2.4).</w:t>
      </w:r>
    </w:p>
    <w:p w:rsidR="00E03A55" w:rsidRPr="0072269B" w:rsidRDefault="00E03A55" w:rsidP="0072269B">
      <w:pPr>
        <w:pStyle w:val="Caption"/>
        <w:ind w:firstLine="284"/>
        <w:jc w:val="center"/>
        <w:rPr>
          <w:rFonts w:ascii="Arial" w:hAnsi="Arial" w:cs="Arial"/>
          <w:b/>
          <w:sz w:val="18"/>
          <w:szCs w:val="18"/>
        </w:rPr>
      </w:pPr>
      <w:bookmarkStart w:id="38" w:name="_Toc239157732"/>
      <w:r w:rsidRPr="0072269B">
        <w:rPr>
          <w:rFonts w:ascii="Arial" w:hAnsi="Arial" w:cs="Arial"/>
          <w:b/>
          <w:sz w:val="18"/>
          <w:szCs w:val="18"/>
        </w:rPr>
        <w:t xml:space="preserve">Table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Table \* ARABIC \s 1 </w:instrText>
      </w:r>
      <w:r>
        <w:rPr>
          <w:rFonts w:ascii="Arial" w:hAnsi="Arial" w:cs="Arial"/>
          <w:b/>
          <w:sz w:val="18"/>
          <w:szCs w:val="18"/>
        </w:rPr>
        <w:fldChar w:fldCharType="separate"/>
      </w:r>
      <w:r>
        <w:rPr>
          <w:rFonts w:ascii="Arial" w:hAnsi="Arial" w:cs="Arial"/>
          <w:b/>
          <w:noProof/>
          <w:sz w:val="18"/>
          <w:szCs w:val="18"/>
        </w:rPr>
        <w:t>4</w:t>
      </w:r>
      <w:r>
        <w:rPr>
          <w:rFonts w:ascii="Arial" w:hAnsi="Arial" w:cs="Arial"/>
          <w:b/>
          <w:sz w:val="18"/>
          <w:szCs w:val="18"/>
        </w:rPr>
        <w:fldChar w:fldCharType="end"/>
      </w:r>
      <w:r w:rsidRPr="0072269B">
        <w:rPr>
          <w:rFonts w:ascii="Arial" w:hAnsi="Arial" w:cs="Arial"/>
          <w:b/>
          <w:sz w:val="18"/>
          <w:szCs w:val="18"/>
        </w:rPr>
        <w:t xml:space="preserve"> Total Number and Ratio of General Pra</w:t>
      </w:r>
      <w:r>
        <w:rPr>
          <w:rFonts w:ascii="Arial" w:hAnsi="Arial" w:cs="Arial"/>
          <w:b/>
          <w:sz w:val="18"/>
          <w:szCs w:val="18"/>
        </w:rPr>
        <w:t>ctioner in Indonesia by Region 1996-2006</w:t>
      </w:r>
      <w:bookmarkEnd w:id="38"/>
    </w:p>
    <w:tbl>
      <w:tblPr>
        <w:tblW w:w="6922" w:type="dxa"/>
        <w:jc w:val="center"/>
        <w:tblInd w:w="97" w:type="dxa"/>
        <w:tblLook w:val="00A0"/>
      </w:tblPr>
      <w:tblGrid>
        <w:gridCol w:w="236"/>
        <w:gridCol w:w="1590"/>
        <w:gridCol w:w="730"/>
        <w:gridCol w:w="730"/>
        <w:gridCol w:w="1097"/>
        <w:gridCol w:w="668"/>
        <w:gridCol w:w="668"/>
        <w:gridCol w:w="1217"/>
      </w:tblGrid>
      <w:tr w:rsidR="00E03A55" w:rsidRPr="00181E1B" w:rsidTr="0072269B">
        <w:trPr>
          <w:trHeight w:val="240"/>
          <w:jc w:val="center"/>
        </w:trPr>
        <w:tc>
          <w:tcPr>
            <w:tcW w:w="1812" w:type="dxa"/>
            <w:gridSpan w:val="2"/>
            <w:vMerge w:val="restart"/>
            <w:tcBorders>
              <w:top w:val="single" w:sz="4" w:space="0" w:color="auto"/>
              <w:left w:val="nil"/>
              <w:bottom w:val="single" w:sz="4" w:space="0" w:color="000000"/>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Region</w:t>
            </w:r>
          </w:p>
        </w:tc>
        <w:tc>
          <w:tcPr>
            <w:tcW w:w="2557" w:type="dxa"/>
            <w:gridSpan w:val="3"/>
            <w:tcBorders>
              <w:top w:val="single" w:sz="4" w:space="0" w:color="auto"/>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Level</w:t>
            </w:r>
          </w:p>
        </w:tc>
        <w:tc>
          <w:tcPr>
            <w:tcW w:w="2553" w:type="dxa"/>
            <w:gridSpan w:val="3"/>
            <w:tcBorders>
              <w:top w:val="single" w:sz="4" w:space="0" w:color="auto"/>
              <w:left w:val="nil"/>
              <w:bottom w:val="single" w:sz="4" w:space="0" w:color="auto"/>
              <w:right w:val="nil"/>
            </w:tcBorders>
            <w:shd w:val="clear" w:color="000000" w:fill="95B3D7"/>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Ratio per 100,000 Population</w:t>
            </w:r>
          </w:p>
        </w:tc>
      </w:tr>
      <w:tr w:rsidR="00E03A55" w:rsidRPr="00181E1B" w:rsidTr="0072269B">
        <w:trPr>
          <w:trHeight w:val="240"/>
          <w:jc w:val="center"/>
        </w:trPr>
        <w:tc>
          <w:tcPr>
            <w:tcW w:w="1812" w:type="dxa"/>
            <w:gridSpan w:val="2"/>
            <w:vMerge/>
            <w:tcBorders>
              <w:top w:val="single" w:sz="4" w:space="0" w:color="auto"/>
              <w:left w:val="nil"/>
              <w:bottom w:val="single" w:sz="4" w:space="0" w:color="000000"/>
              <w:right w:val="nil"/>
            </w:tcBorders>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p>
        </w:tc>
        <w:tc>
          <w:tcPr>
            <w:tcW w:w="730" w:type="dxa"/>
            <w:tcBorders>
              <w:top w:val="nil"/>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1996</w:t>
            </w:r>
          </w:p>
        </w:tc>
        <w:tc>
          <w:tcPr>
            <w:tcW w:w="730" w:type="dxa"/>
            <w:tcBorders>
              <w:top w:val="nil"/>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2006</w:t>
            </w:r>
          </w:p>
        </w:tc>
        <w:tc>
          <w:tcPr>
            <w:tcW w:w="1097" w:type="dxa"/>
            <w:tcBorders>
              <w:top w:val="nil"/>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 Change</w:t>
            </w:r>
          </w:p>
        </w:tc>
        <w:tc>
          <w:tcPr>
            <w:tcW w:w="668" w:type="dxa"/>
            <w:tcBorders>
              <w:top w:val="nil"/>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1996</w:t>
            </w:r>
          </w:p>
        </w:tc>
        <w:tc>
          <w:tcPr>
            <w:tcW w:w="668" w:type="dxa"/>
            <w:tcBorders>
              <w:top w:val="nil"/>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2006</w:t>
            </w:r>
          </w:p>
        </w:tc>
        <w:tc>
          <w:tcPr>
            <w:tcW w:w="1217" w:type="dxa"/>
            <w:tcBorders>
              <w:top w:val="nil"/>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 Change</w:t>
            </w:r>
          </w:p>
        </w:tc>
      </w:tr>
      <w:tr w:rsidR="00E03A55" w:rsidRPr="00181E1B" w:rsidTr="0072269B">
        <w:trPr>
          <w:trHeight w:val="373"/>
          <w:jc w:val="center"/>
        </w:trPr>
        <w:tc>
          <w:tcPr>
            <w:tcW w:w="1812" w:type="dxa"/>
            <w:gridSpan w:val="2"/>
            <w:tcBorders>
              <w:top w:val="single" w:sz="4" w:space="0" w:color="auto"/>
              <w:left w:val="nil"/>
              <w:bottom w:val="nil"/>
              <w:right w:val="nil"/>
            </w:tcBorders>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Java/ Bali</w:t>
            </w:r>
          </w:p>
        </w:tc>
        <w:tc>
          <w:tcPr>
            <w:tcW w:w="730"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19,</w:t>
            </w:r>
            <w:r w:rsidRPr="00181E1B">
              <w:rPr>
                <w:rFonts w:ascii="Arial" w:hAnsi="Arial" w:cs="Arial"/>
                <w:color w:val="000000"/>
                <w:sz w:val="16"/>
                <w:szCs w:val="16"/>
                <w:lang w:val="en-US" w:eastAsia="en-US"/>
              </w:rPr>
              <w:t>635</w:t>
            </w:r>
          </w:p>
        </w:tc>
        <w:tc>
          <w:tcPr>
            <w:tcW w:w="730" w:type="dxa"/>
            <w:tcBorders>
              <w:top w:val="nil"/>
              <w:left w:val="nil"/>
              <w:bottom w:val="nil"/>
              <w:right w:val="nil"/>
            </w:tcBorders>
            <w:noWrap/>
            <w:vAlign w:val="center"/>
          </w:tcPr>
          <w:p w:rsidR="00E03A55" w:rsidRPr="00181E1B" w:rsidRDefault="00E03A55" w:rsidP="003B53C6">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23</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944</w:t>
            </w:r>
          </w:p>
        </w:tc>
        <w:tc>
          <w:tcPr>
            <w:tcW w:w="1097"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 xml:space="preserve"> 21.</w:t>
            </w:r>
            <w:r w:rsidRPr="00181E1B">
              <w:rPr>
                <w:rFonts w:ascii="Arial" w:hAnsi="Arial" w:cs="Arial"/>
                <w:color w:val="000000"/>
                <w:sz w:val="16"/>
                <w:szCs w:val="16"/>
                <w:lang w:val="en-US" w:eastAsia="en-US"/>
              </w:rPr>
              <w:t>95</w:t>
            </w:r>
          </w:p>
        </w:tc>
        <w:tc>
          <w:tcPr>
            <w:tcW w:w="66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16.</w:t>
            </w:r>
            <w:r w:rsidRPr="00181E1B">
              <w:rPr>
                <w:rFonts w:ascii="Arial" w:hAnsi="Arial" w:cs="Arial"/>
                <w:color w:val="000000"/>
                <w:sz w:val="16"/>
                <w:szCs w:val="16"/>
                <w:lang w:val="en-US" w:eastAsia="en-US"/>
              </w:rPr>
              <w:t>20</w:t>
            </w:r>
          </w:p>
        </w:tc>
        <w:tc>
          <w:tcPr>
            <w:tcW w:w="66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18.</w:t>
            </w:r>
            <w:r w:rsidRPr="00181E1B">
              <w:rPr>
                <w:rFonts w:ascii="Arial" w:hAnsi="Arial" w:cs="Arial"/>
                <w:color w:val="000000"/>
                <w:sz w:val="16"/>
                <w:szCs w:val="16"/>
                <w:lang w:val="en-US" w:eastAsia="en-US"/>
              </w:rPr>
              <w:t>50</w:t>
            </w:r>
          </w:p>
        </w:tc>
        <w:tc>
          <w:tcPr>
            <w:tcW w:w="1217" w:type="dxa"/>
            <w:tcBorders>
              <w:top w:val="nil"/>
              <w:left w:val="nil"/>
              <w:bottom w:val="nil"/>
              <w:right w:val="nil"/>
            </w:tcBorders>
            <w:noWrap/>
            <w:vAlign w:val="center"/>
          </w:tcPr>
          <w:p w:rsidR="00E03A55" w:rsidRPr="00181E1B" w:rsidRDefault="00E03A55" w:rsidP="00B762B0">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14</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20</w:t>
            </w:r>
          </w:p>
        </w:tc>
      </w:tr>
      <w:tr w:rsidR="00E03A55" w:rsidRPr="00181E1B" w:rsidTr="0072269B">
        <w:trPr>
          <w:trHeight w:val="373"/>
          <w:jc w:val="center"/>
        </w:trPr>
        <w:tc>
          <w:tcPr>
            <w:tcW w:w="222"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p>
        </w:tc>
        <w:tc>
          <w:tcPr>
            <w:tcW w:w="1590"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Urban</w:t>
            </w:r>
          </w:p>
        </w:tc>
        <w:tc>
          <w:tcPr>
            <w:tcW w:w="730"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16,</w:t>
            </w:r>
            <w:r w:rsidRPr="00181E1B">
              <w:rPr>
                <w:rFonts w:ascii="Arial" w:hAnsi="Arial" w:cs="Arial"/>
                <w:color w:val="000000"/>
                <w:sz w:val="16"/>
                <w:szCs w:val="16"/>
                <w:lang w:val="en-US" w:eastAsia="en-US"/>
              </w:rPr>
              <w:t>141</w:t>
            </w:r>
          </w:p>
        </w:tc>
        <w:tc>
          <w:tcPr>
            <w:tcW w:w="730"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20,</w:t>
            </w:r>
            <w:r w:rsidRPr="00181E1B">
              <w:rPr>
                <w:rFonts w:ascii="Arial" w:hAnsi="Arial" w:cs="Arial"/>
                <w:color w:val="000000"/>
                <w:sz w:val="16"/>
                <w:szCs w:val="16"/>
                <w:lang w:val="en-US" w:eastAsia="en-US"/>
              </w:rPr>
              <w:t>896</w:t>
            </w:r>
          </w:p>
        </w:tc>
        <w:tc>
          <w:tcPr>
            <w:tcW w:w="1097"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 xml:space="preserve"> 29.</w:t>
            </w:r>
            <w:r w:rsidRPr="00181E1B">
              <w:rPr>
                <w:rFonts w:ascii="Arial" w:hAnsi="Arial" w:cs="Arial"/>
                <w:color w:val="000000"/>
                <w:sz w:val="16"/>
                <w:szCs w:val="16"/>
                <w:lang w:val="en-US" w:eastAsia="en-US"/>
              </w:rPr>
              <w:t>46</w:t>
            </w:r>
          </w:p>
        </w:tc>
        <w:tc>
          <w:tcPr>
            <w:tcW w:w="66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39.</w:t>
            </w:r>
            <w:r w:rsidRPr="00181E1B">
              <w:rPr>
                <w:rFonts w:ascii="Arial" w:hAnsi="Arial" w:cs="Arial"/>
                <w:color w:val="000000"/>
                <w:sz w:val="16"/>
                <w:szCs w:val="16"/>
                <w:lang w:val="en-US" w:eastAsia="en-US"/>
              </w:rPr>
              <w:t>00</w:t>
            </w:r>
          </w:p>
        </w:tc>
        <w:tc>
          <w:tcPr>
            <w:tcW w:w="668" w:type="dxa"/>
            <w:tcBorders>
              <w:top w:val="nil"/>
              <w:left w:val="nil"/>
              <w:bottom w:val="nil"/>
              <w:right w:val="nil"/>
            </w:tcBorders>
            <w:noWrap/>
            <w:vAlign w:val="center"/>
          </w:tcPr>
          <w:p w:rsidR="00E03A55" w:rsidRPr="00181E1B" w:rsidRDefault="00E03A55" w:rsidP="003B53C6">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34</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10</w:t>
            </w:r>
          </w:p>
        </w:tc>
        <w:tc>
          <w:tcPr>
            <w:tcW w:w="1217"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-12.</w:t>
            </w:r>
            <w:r w:rsidRPr="00181E1B">
              <w:rPr>
                <w:rFonts w:ascii="Arial" w:hAnsi="Arial" w:cs="Arial"/>
                <w:color w:val="000000"/>
                <w:sz w:val="16"/>
                <w:szCs w:val="16"/>
                <w:lang w:val="en-US" w:eastAsia="en-US"/>
              </w:rPr>
              <w:t>56</w:t>
            </w:r>
          </w:p>
        </w:tc>
      </w:tr>
      <w:tr w:rsidR="00E03A55" w:rsidRPr="00181E1B" w:rsidTr="0072269B">
        <w:trPr>
          <w:trHeight w:val="373"/>
          <w:jc w:val="center"/>
        </w:trPr>
        <w:tc>
          <w:tcPr>
            <w:tcW w:w="222"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p>
        </w:tc>
        <w:tc>
          <w:tcPr>
            <w:tcW w:w="1590"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Rural</w:t>
            </w:r>
          </w:p>
        </w:tc>
        <w:tc>
          <w:tcPr>
            <w:tcW w:w="730"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3,</w:t>
            </w:r>
            <w:r w:rsidRPr="00181E1B">
              <w:rPr>
                <w:rFonts w:ascii="Arial" w:hAnsi="Arial" w:cs="Arial"/>
                <w:color w:val="000000"/>
                <w:sz w:val="16"/>
                <w:szCs w:val="16"/>
                <w:lang w:val="en-US" w:eastAsia="en-US"/>
              </w:rPr>
              <w:t>494</w:t>
            </w:r>
          </w:p>
        </w:tc>
        <w:tc>
          <w:tcPr>
            <w:tcW w:w="730"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3,</w:t>
            </w:r>
            <w:r w:rsidRPr="00181E1B">
              <w:rPr>
                <w:rFonts w:ascii="Arial" w:hAnsi="Arial" w:cs="Arial"/>
                <w:color w:val="000000"/>
                <w:sz w:val="16"/>
                <w:szCs w:val="16"/>
                <w:lang w:val="en-US" w:eastAsia="en-US"/>
              </w:rPr>
              <w:t>048</w:t>
            </w:r>
          </w:p>
        </w:tc>
        <w:tc>
          <w:tcPr>
            <w:tcW w:w="1097"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-12.</w:t>
            </w:r>
            <w:r w:rsidRPr="00181E1B">
              <w:rPr>
                <w:rFonts w:ascii="Arial" w:hAnsi="Arial" w:cs="Arial"/>
                <w:color w:val="000000"/>
                <w:sz w:val="16"/>
                <w:szCs w:val="16"/>
                <w:lang w:val="en-US" w:eastAsia="en-US"/>
              </w:rPr>
              <w:t>76</w:t>
            </w:r>
          </w:p>
        </w:tc>
        <w:tc>
          <w:tcPr>
            <w:tcW w:w="66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w:t>
            </w:r>
            <w:r w:rsidRPr="00181E1B">
              <w:rPr>
                <w:rFonts w:ascii="Arial" w:hAnsi="Arial" w:cs="Arial"/>
                <w:color w:val="000000"/>
                <w:sz w:val="16"/>
                <w:szCs w:val="16"/>
                <w:lang w:val="en-US" w:eastAsia="en-US"/>
              </w:rPr>
              <w:t>40</w:t>
            </w:r>
          </w:p>
        </w:tc>
        <w:tc>
          <w:tcPr>
            <w:tcW w:w="66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w:t>
            </w:r>
            <w:r w:rsidRPr="00181E1B">
              <w:rPr>
                <w:rFonts w:ascii="Arial" w:hAnsi="Arial" w:cs="Arial"/>
                <w:color w:val="000000"/>
                <w:sz w:val="16"/>
                <w:szCs w:val="16"/>
                <w:lang w:val="en-US" w:eastAsia="en-US"/>
              </w:rPr>
              <w:t>50</w:t>
            </w:r>
          </w:p>
        </w:tc>
        <w:tc>
          <w:tcPr>
            <w:tcW w:w="1217"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2.</w:t>
            </w:r>
            <w:r w:rsidRPr="00181E1B">
              <w:rPr>
                <w:rFonts w:ascii="Arial" w:hAnsi="Arial" w:cs="Arial"/>
                <w:color w:val="000000"/>
                <w:sz w:val="16"/>
                <w:szCs w:val="16"/>
                <w:lang w:val="en-US" w:eastAsia="en-US"/>
              </w:rPr>
              <w:t>27</w:t>
            </w:r>
          </w:p>
        </w:tc>
      </w:tr>
      <w:tr w:rsidR="00E03A55" w:rsidRPr="00181E1B" w:rsidTr="0072269B">
        <w:trPr>
          <w:trHeight w:val="373"/>
          <w:jc w:val="center"/>
        </w:trPr>
        <w:tc>
          <w:tcPr>
            <w:tcW w:w="1812" w:type="dxa"/>
            <w:gridSpan w:val="2"/>
            <w:tcBorders>
              <w:top w:val="nil"/>
              <w:left w:val="nil"/>
              <w:bottom w:val="nil"/>
              <w:right w:val="nil"/>
            </w:tcBorders>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Outside Java/ Bali</w:t>
            </w:r>
          </w:p>
        </w:tc>
        <w:tc>
          <w:tcPr>
            <w:tcW w:w="730" w:type="dxa"/>
            <w:tcBorders>
              <w:top w:val="nil"/>
              <w:left w:val="nil"/>
              <w:bottom w:val="nil"/>
              <w:right w:val="nil"/>
            </w:tcBorders>
            <w:noWrap/>
            <w:vAlign w:val="center"/>
          </w:tcPr>
          <w:p w:rsidR="00E03A55" w:rsidRPr="00181E1B" w:rsidRDefault="00E03A55" w:rsidP="003B53C6">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11</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908</w:t>
            </w:r>
          </w:p>
        </w:tc>
        <w:tc>
          <w:tcPr>
            <w:tcW w:w="730" w:type="dxa"/>
            <w:tcBorders>
              <w:top w:val="nil"/>
              <w:left w:val="nil"/>
              <w:bottom w:val="nil"/>
              <w:right w:val="nil"/>
            </w:tcBorders>
            <w:noWrap/>
            <w:vAlign w:val="center"/>
          </w:tcPr>
          <w:p w:rsidR="00E03A55" w:rsidRPr="00181E1B" w:rsidRDefault="00E03A55" w:rsidP="003B53C6">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15</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740</w:t>
            </w:r>
          </w:p>
        </w:tc>
        <w:tc>
          <w:tcPr>
            <w:tcW w:w="1097"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 xml:space="preserve"> 32.</w:t>
            </w:r>
            <w:r w:rsidRPr="00181E1B">
              <w:rPr>
                <w:rFonts w:ascii="Arial" w:hAnsi="Arial" w:cs="Arial"/>
                <w:color w:val="000000"/>
                <w:sz w:val="16"/>
                <w:szCs w:val="16"/>
                <w:lang w:val="en-US" w:eastAsia="en-US"/>
              </w:rPr>
              <w:t>18</w:t>
            </w:r>
          </w:p>
        </w:tc>
        <w:tc>
          <w:tcPr>
            <w:tcW w:w="668" w:type="dxa"/>
            <w:tcBorders>
              <w:top w:val="nil"/>
              <w:left w:val="nil"/>
              <w:bottom w:val="nil"/>
              <w:right w:val="nil"/>
            </w:tcBorders>
            <w:noWrap/>
            <w:vAlign w:val="center"/>
          </w:tcPr>
          <w:p w:rsidR="00E03A55" w:rsidRPr="00181E1B" w:rsidRDefault="00E03A55" w:rsidP="003B53C6">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14</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80</w:t>
            </w:r>
          </w:p>
        </w:tc>
        <w:tc>
          <w:tcPr>
            <w:tcW w:w="66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18.</w:t>
            </w:r>
            <w:r w:rsidRPr="00181E1B">
              <w:rPr>
                <w:rFonts w:ascii="Arial" w:hAnsi="Arial" w:cs="Arial"/>
                <w:color w:val="000000"/>
                <w:sz w:val="16"/>
                <w:szCs w:val="16"/>
                <w:lang w:val="en-US" w:eastAsia="en-US"/>
              </w:rPr>
              <w:t>10</w:t>
            </w:r>
          </w:p>
        </w:tc>
        <w:tc>
          <w:tcPr>
            <w:tcW w:w="1217" w:type="dxa"/>
            <w:tcBorders>
              <w:top w:val="nil"/>
              <w:left w:val="nil"/>
              <w:bottom w:val="nil"/>
              <w:right w:val="nil"/>
            </w:tcBorders>
            <w:noWrap/>
            <w:vAlign w:val="center"/>
          </w:tcPr>
          <w:p w:rsidR="00E03A55" w:rsidRPr="00181E1B" w:rsidRDefault="00E03A55" w:rsidP="00B762B0">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22</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30</w:t>
            </w:r>
          </w:p>
        </w:tc>
      </w:tr>
      <w:tr w:rsidR="00E03A55" w:rsidRPr="00181E1B" w:rsidTr="0072269B">
        <w:trPr>
          <w:trHeight w:val="373"/>
          <w:jc w:val="center"/>
        </w:trPr>
        <w:tc>
          <w:tcPr>
            <w:tcW w:w="222"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p>
        </w:tc>
        <w:tc>
          <w:tcPr>
            <w:tcW w:w="1590"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 xml:space="preserve">Urban </w:t>
            </w:r>
          </w:p>
        </w:tc>
        <w:tc>
          <w:tcPr>
            <w:tcW w:w="730"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7,</w:t>
            </w:r>
            <w:r w:rsidRPr="00181E1B">
              <w:rPr>
                <w:rFonts w:ascii="Arial" w:hAnsi="Arial" w:cs="Arial"/>
                <w:color w:val="000000"/>
                <w:sz w:val="16"/>
                <w:szCs w:val="16"/>
                <w:lang w:val="en-US" w:eastAsia="en-US"/>
              </w:rPr>
              <w:t>738</w:t>
            </w:r>
          </w:p>
        </w:tc>
        <w:tc>
          <w:tcPr>
            <w:tcW w:w="730"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11,</w:t>
            </w:r>
            <w:r w:rsidRPr="00181E1B">
              <w:rPr>
                <w:rFonts w:ascii="Arial" w:hAnsi="Arial" w:cs="Arial"/>
                <w:color w:val="000000"/>
                <w:sz w:val="16"/>
                <w:szCs w:val="16"/>
                <w:lang w:val="en-US" w:eastAsia="en-US"/>
              </w:rPr>
              <w:t>187</w:t>
            </w:r>
          </w:p>
        </w:tc>
        <w:tc>
          <w:tcPr>
            <w:tcW w:w="1097"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 xml:space="preserve"> 44.</w:t>
            </w:r>
            <w:r w:rsidRPr="00181E1B">
              <w:rPr>
                <w:rFonts w:ascii="Arial" w:hAnsi="Arial" w:cs="Arial"/>
                <w:color w:val="000000"/>
                <w:sz w:val="16"/>
                <w:szCs w:val="16"/>
                <w:lang w:val="en-US" w:eastAsia="en-US"/>
              </w:rPr>
              <w:t>57</w:t>
            </w:r>
          </w:p>
        </w:tc>
        <w:tc>
          <w:tcPr>
            <w:tcW w:w="66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43.</w:t>
            </w:r>
            <w:r w:rsidRPr="00181E1B">
              <w:rPr>
                <w:rFonts w:ascii="Arial" w:hAnsi="Arial" w:cs="Arial"/>
                <w:color w:val="000000"/>
                <w:sz w:val="16"/>
                <w:szCs w:val="16"/>
                <w:lang w:val="en-US" w:eastAsia="en-US"/>
              </w:rPr>
              <w:t>20</w:t>
            </w:r>
          </w:p>
        </w:tc>
        <w:tc>
          <w:tcPr>
            <w:tcW w:w="668" w:type="dxa"/>
            <w:tcBorders>
              <w:top w:val="nil"/>
              <w:left w:val="nil"/>
              <w:bottom w:val="nil"/>
              <w:right w:val="nil"/>
            </w:tcBorders>
            <w:noWrap/>
            <w:vAlign w:val="center"/>
          </w:tcPr>
          <w:p w:rsidR="00E03A55" w:rsidRPr="00181E1B" w:rsidRDefault="00E03A55" w:rsidP="003B53C6">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40</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90</w:t>
            </w:r>
          </w:p>
        </w:tc>
        <w:tc>
          <w:tcPr>
            <w:tcW w:w="1217"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-5.</w:t>
            </w:r>
            <w:r w:rsidRPr="00181E1B">
              <w:rPr>
                <w:rFonts w:ascii="Arial" w:hAnsi="Arial" w:cs="Arial"/>
                <w:color w:val="000000"/>
                <w:sz w:val="16"/>
                <w:szCs w:val="16"/>
                <w:lang w:val="en-US" w:eastAsia="en-US"/>
              </w:rPr>
              <w:t>32</w:t>
            </w:r>
          </w:p>
        </w:tc>
      </w:tr>
      <w:tr w:rsidR="00E03A55" w:rsidRPr="00181E1B" w:rsidTr="0072269B">
        <w:trPr>
          <w:trHeight w:val="373"/>
          <w:jc w:val="center"/>
        </w:trPr>
        <w:tc>
          <w:tcPr>
            <w:tcW w:w="222"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p>
        </w:tc>
        <w:tc>
          <w:tcPr>
            <w:tcW w:w="1590"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Rural</w:t>
            </w:r>
          </w:p>
        </w:tc>
        <w:tc>
          <w:tcPr>
            <w:tcW w:w="730"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3,</w:t>
            </w:r>
            <w:r w:rsidRPr="00181E1B">
              <w:rPr>
                <w:rFonts w:ascii="Arial" w:hAnsi="Arial" w:cs="Arial"/>
                <w:color w:val="000000"/>
                <w:sz w:val="16"/>
                <w:szCs w:val="16"/>
                <w:lang w:val="en-US" w:eastAsia="en-US"/>
              </w:rPr>
              <w:t>638</w:t>
            </w:r>
          </w:p>
        </w:tc>
        <w:tc>
          <w:tcPr>
            <w:tcW w:w="730"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3,</w:t>
            </w:r>
            <w:r w:rsidRPr="00181E1B">
              <w:rPr>
                <w:rFonts w:ascii="Arial" w:hAnsi="Arial" w:cs="Arial"/>
                <w:color w:val="000000"/>
                <w:sz w:val="16"/>
                <w:szCs w:val="16"/>
                <w:lang w:val="en-US" w:eastAsia="en-US"/>
              </w:rPr>
              <w:t>141</w:t>
            </w:r>
          </w:p>
        </w:tc>
        <w:tc>
          <w:tcPr>
            <w:tcW w:w="1097"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-13.</w:t>
            </w:r>
            <w:r w:rsidRPr="00181E1B">
              <w:rPr>
                <w:rFonts w:ascii="Arial" w:hAnsi="Arial" w:cs="Arial"/>
                <w:color w:val="000000"/>
                <w:sz w:val="16"/>
                <w:szCs w:val="16"/>
                <w:lang w:val="en-US" w:eastAsia="en-US"/>
              </w:rPr>
              <w:t>66</w:t>
            </w:r>
          </w:p>
        </w:tc>
        <w:tc>
          <w:tcPr>
            <w:tcW w:w="66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7.</w:t>
            </w:r>
            <w:r w:rsidRPr="00181E1B">
              <w:rPr>
                <w:rFonts w:ascii="Arial" w:hAnsi="Arial" w:cs="Arial"/>
                <w:color w:val="000000"/>
                <w:sz w:val="16"/>
                <w:szCs w:val="16"/>
                <w:lang w:val="en-US" w:eastAsia="en-US"/>
              </w:rPr>
              <w:t>10</w:t>
            </w:r>
          </w:p>
        </w:tc>
        <w:tc>
          <w:tcPr>
            <w:tcW w:w="66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8.</w:t>
            </w:r>
            <w:r w:rsidRPr="00181E1B">
              <w:rPr>
                <w:rFonts w:ascii="Arial" w:hAnsi="Arial" w:cs="Arial"/>
                <w:color w:val="000000"/>
                <w:sz w:val="16"/>
                <w:szCs w:val="16"/>
                <w:lang w:val="en-US" w:eastAsia="en-US"/>
              </w:rPr>
              <w:t>30</w:t>
            </w:r>
          </w:p>
        </w:tc>
        <w:tc>
          <w:tcPr>
            <w:tcW w:w="1217"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16.</w:t>
            </w:r>
            <w:r w:rsidRPr="00181E1B">
              <w:rPr>
                <w:rFonts w:ascii="Arial" w:hAnsi="Arial" w:cs="Arial"/>
                <w:color w:val="000000"/>
                <w:sz w:val="16"/>
                <w:szCs w:val="16"/>
                <w:lang w:val="en-US" w:eastAsia="en-US"/>
              </w:rPr>
              <w:t>90</w:t>
            </w:r>
          </w:p>
        </w:tc>
      </w:tr>
      <w:tr w:rsidR="00E03A55" w:rsidRPr="00181E1B" w:rsidTr="0072269B">
        <w:trPr>
          <w:trHeight w:val="373"/>
          <w:jc w:val="center"/>
        </w:trPr>
        <w:tc>
          <w:tcPr>
            <w:tcW w:w="222"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b/>
                <w:bCs/>
                <w:color w:val="000000"/>
                <w:sz w:val="16"/>
                <w:szCs w:val="16"/>
                <w:lang w:val="en-US" w:eastAsia="en-US"/>
              </w:rPr>
            </w:pPr>
          </w:p>
        </w:tc>
        <w:tc>
          <w:tcPr>
            <w:tcW w:w="1590"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Remote</w:t>
            </w:r>
          </w:p>
        </w:tc>
        <w:tc>
          <w:tcPr>
            <w:tcW w:w="730"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532</w:t>
            </w:r>
          </w:p>
        </w:tc>
        <w:tc>
          <w:tcPr>
            <w:tcW w:w="730"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w:t>
            </w:r>
            <w:r w:rsidRPr="00181E1B">
              <w:rPr>
                <w:rFonts w:ascii="Arial" w:hAnsi="Arial" w:cs="Arial"/>
                <w:color w:val="000000"/>
                <w:sz w:val="16"/>
                <w:szCs w:val="16"/>
                <w:lang w:val="en-US" w:eastAsia="en-US"/>
              </w:rPr>
              <w:t>412</w:t>
            </w:r>
          </w:p>
        </w:tc>
        <w:tc>
          <w:tcPr>
            <w:tcW w:w="1097" w:type="dxa"/>
            <w:tcBorders>
              <w:top w:val="nil"/>
              <w:left w:val="nil"/>
              <w:bottom w:val="nil"/>
              <w:right w:val="nil"/>
            </w:tcBorders>
            <w:noWrap/>
            <w:vAlign w:val="center"/>
          </w:tcPr>
          <w:p w:rsidR="00E03A55" w:rsidRPr="00181E1B" w:rsidRDefault="00E03A55" w:rsidP="003B53C6">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165</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41</w:t>
            </w:r>
          </w:p>
        </w:tc>
        <w:tc>
          <w:tcPr>
            <w:tcW w:w="66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w:t>
            </w:r>
            <w:r w:rsidRPr="00181E1B">
              <w:rPr>
                <w:rFonts w:ascii="Arial" w:hAnsi="Arial" w:cs="Arial"/>
                <w:color w:val="000000"/>
                <w:sz w:val="16"/>
                <w:szCs w:val="16"/>
                <w:lang w:val="en-US" w:eastAsia="en-US"/>
              </w:rPr>
              <w:t>70</w:t>
            </w:r>
          </w:p>
        </w:tc>
        <w:tc>
          <w:tcPr>
            <w:tcW w:w="66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6.</w:t>
            </w:r>
            <w:r w:rsidRPr="00181E1B">
              <w:rPr>
                <w:rFonts w:ascii="Arial" w:hAnsi="Arial" w:cs="Arial"/>
                <w:color w:val="000000"/>
                <w:sz w:val="16"/>
                <w:szCs w:val="16"/>
                <w:lang w:val="en-US" w:eastAsia="en-US"/>
              </w:rPr>
              <w:t>60</w:t>
            </w:r>
          </w:p>
        </w:tc>
        <w:tc>
          <w:tcPr>
            <w:tcW w:w="1217"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40.</w:t>
            </w:r>
            <w:r w:rsidRPr="00181E1B">
              <w:rPr>
                <w:rFonts w:ascii="Arial" w:hAnsi="Arial" w:cs="Arial"/>
                <w:color w:val="000000"/>
                <w:sz w:val="16"/>
                <w:szCs w:val="16"/>
                <w:lang w:val="en-US" w:eastAsia="en-US"/>
              </w:rPr>
              <w:t>43</w:t>
            </w:r>
          </w:p>
        </w:tc>
      </w:tr>
      <w:tr w:rsidR="00E03A55" w:rsidRPr="00181E1B" w:rsidTr="0072269B">
        <w:trPr>
          <w:trHeight w:val="373"/>
          <w:jc w:val="center"/>
        </w:trPr>
        <w:tc>
          <w:tcPr>
            <w:tcW w:w="1812" w:type="dxa"/>
            <w:gridSpan w:val="2"/>
            <w:tcBorders>
              <w:top w:val="nil"/>
              <w:left w:val="nil"/>
              <w:bottom w:val="single" w:sz="4" w:space="0" w:color="auto"/>
              <w:right w:val="nil"/>
            </w:tcBorders>
            <w:noWrap/>
            <w:vAlign w:val="center"/>
          </w:tcPr>
          <w:p w:rsidR="00E03A55" w:rsidRPr="00181E1B" w:rsidRDefault="00E03A55" w:rsidP="00391BFE">
            <w:pPr>
              <w:suppressAutoHyphens w:val="0"/>
              <w:spacing w:after="0"/>
              <w:ind w:firstLine="0"/>
              <w:rPr>
                <w:rFonts w:ascii="Arial" w:hAnsi="Arial" w:cs="Arial"/>
                <w:b/>
                <w:bCs/>
                <w:color w:val="000000"/>
                <w:sz w:val="16"/>
                <w:szCs w:val="16"/>
                <w:lang w:val="en-US" w:eastAsia="en-US"/>
              </w:rPr>
            </w:pPr>
            <w:r w:rsidRPr="00181E1B">
              <w:rPr>
                <w:rFonts w:ascii="Arial" w:hAnsi="Arial" w:cs="Arial"/>
                <w:b/>
                <w:bCs/>
                <w:color w:val="000000"/>
                <w:sz w:val="16"/>
                <w:szCs w:val="16"/>
                <w:lang w:val="en-US" w:eastAsia="en-US"/>
              </w:rPr>
              <w:t>Total</w:t>
            </w:r>
          </w:p>
        </w:tc>
        <w:tc>
          <w:tcPr>
            <w:tcW w:w="730" w:type="dxa"/>
            <w:tcBorders>
              <w:top w:val="nil"/>
              <w:left w:val="nil"/>
              <w:bottom w:val="single" w:sz="4" w:space="0" w:color="auto"/>
              <w:right w:val="nil"/>
            </w:tcBorders>
            <w:noWrap/>
            <w:vAlign w:val="center"/>
          </w:tcPr>
          <w:p w:rsidR="00E03A55" w:rsidRPr="00181E1B" w:rsidRDefault="00E03A55" w:rsidP="003B53C6">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31</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543</w:t>
            </w:r>
          </w:p>
        </w:tc>
        <w:tc>
          <w:tcPr>
            <w:tcW w:w="730" w:type="dxa"/>
            <w:tcBorders>
              <w:top w:val="nil"/>
              <w:left w:val="nil"/>
              <w:bottom w:val="single" w:sz="4" w:space="0" w:color="auto"/>
              <w:right w:val="nil"/>
            </w:tcBorders>
            <w:noWrap/>
            <w:vAlign w:val="center"/>
          </w:tcPr>
          <w:p w:rsidR="00E03A55" w:rsidRPr="00181E1B" w:rsidRDefault="00E03A55" w:rsidP="003B53C6">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39</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684</w:t>
            </w:r>
          </w:p>
        </w:tc>
        <w:tc>
          <w:tcPr>
            <w:tcW w:w="1097" w:type="dxa"/>
            <w:tcBorders>
              <w:top w:val="nil"/>
              <w:left w:val="nil"/>
              <w:bottom w:val="single" w:sz="4" w:space="0" w:color="auto"/>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 xml:space="preserve">  25.</w:t>
            </w:r>
            <w:r w:rsidRPr="00181E1B">
              <w:rPr>
                <w:rFonts w:ascii="Arial" w:hAnsi="Arial" w:cs="Arial"/>
                <w:color w:val="000000"/>
                <w:sz w:val="16"/>
                <w:szCs w:val="16"/>
                <w:lang w:val="en-US" w:eastAsia="en-US"/>
              </w:rPr>
              <w:t>81</w:t>
            </w:r>
          </w:p>
        </w:tc>
        <w:tc>
          <w:tcPr>
            <w:tcW w:w="668" w:type="dxa"/>
            <w:tcBorders>
              <w:top w:val="nil"/>
              <w:left w:val="nil"/>
              <w:bottom w:val="single" w:sz="4" w:space="0" w:color="auto"/>
              <w:right w:val="nil"/>
            </w:tcBorders>
            <w:noWrap/>
            <w:vAlign w:val="center"/>
          </w:tcPr>
          <w:p w:rsidR="00E03A55" w:rsidRPr="00181E1B" w:rsidRDefault="00E03A55" w:rsidP="003B53C6">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17</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30</w:t>
            </w:r>
          </w:p>
        </w:tc>
        <w:tc>
          <w:tcPr>
            <w:tcW w:w="668" w:type="dxa"/>
            <w:tcBorders>
              <w:top w:val="nil"/>
              <w:left w:val="nil"/>
              <w:bottom w:val="single" w:sz="4" w:space="0" w:color="auto"/>
              <w:right w:val="nil"/>
            </w:tcBorders>
            <w:noWrap/>
            <w:vAlign w:val="center"/>
          </w:tcPr>
          <w:p w:rsidR="00E03A55" w:rsidRPr="00181E1B" w:rsidRDefault="00E03A55" w:rsidP="003B53C6">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18</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40</w:t>
            </w:r>
          </w:p>
        </w:tc>
        <w:tc>
          <w:tcPr>
            <w:tcW w:w="1217" w:type="dxa"/>
            <w:tcBorders>
              <w:top w:val="nil"/>
              <w:left w:val="nil"/>
              <w:bottom w:val="single" w:sz="4" w:space="0" w:color="auto"/>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6.</w:t>
            </w:r>
            <w:r w:rsidRPr="00181E1B">
              <w:rPr>
                <w:rFonts w:ascii="Arial" w:hAnsi="Arial" w:cs="Arial"/>
                <w:color w:val="000000"/>
                <w:sz w:val="16"/>
                <w:szCs w:val="16"/>
                <w:lang w:val="en-US" w:eastAsia="en-US"/>
              </w:rPr>
              <w:t>36</w:t>
            </w:r>
          </w:p>
        </w:tc>
      </w:tr>
      <w:tr w:rsidR="00E03A55" w:rsidRPr="00181E1B" w:rsidTr="0072269B">
        <w:trPr>
          <w:trHeight w:val="209"/>
          <w:jc w:val="center"/>
        </w:trPr>
        <w:tc>
          <w:tcPr>
            <w:tcW w:w="6922" w:type="dxa"/>
            <w:gridSpan w:val="8"/>
            <w:tcBorders>
              <w:top w:val="single" w:sz="4" w:space="0" w:color="auto"/>
              <w:left w:val="nil"/>
              <w:bottom w:val="nil"/>
              <w:right w:val="nil"/>
            </w:tcBorders>
            <w:noWrap/>
            <w:vAlign w:val="bottom"/>
          </w:tcPr>
          <w:p w:rsidR="00E03A55" w:rsidRPr="00F17737" w:rsidRDefault="00E03A55" w:rsidP="00391BFE">
            <w:pPr>
              <w:suppressAutoHyphens w:val="0"/>
              <w:spacing w:after="0"/>
              <w:ind w:firstLine="0"/>
              <w:rPr>
                <w:rFonts w:ascii="Arial" w:hAnsi="Arial" w:cs="Arial"/>
                <w:bCs/>
                <w:color w:val="000000"/>
                <w:sz w:val="16"/>
                <w:szCs w:val="16"/>
                <w:lang w:val="en-US" w:eastAsia="en-US"/>
              </w:rPr>
            </w:pPr>
            <w:r w:rsidRPr="00F17737">
              <w:rPr>
                <w:rFonts w:ascii="Arial" w:hAnsi="Arial" w:cs="Arial"/>
                <w:bCs/>
                <w:color w:val="000000"/>
                <w:sz w:val="16"/>
                <w:szCs w:val="16"/>
                <w:lang w:val="en-US" w:eastAsia="en-US"/>
              </w:rPr>
              <w:t>Sources: World Bank, 2009</w:t>
            </w:r>
          </w:p>
        </w:tc>
      </w:tr>
    </w:tbl>
    <w:p w:rsidR="00E03A55" w:rsidRDefault="00E03A55" w:rsidP="00CC23E6">
      <w:pPr>
        <w:jc w:val="both"/>
      </w:pPr>
    </w:p>
    <w:p w:rsidR="00E03A55" w:rsidRDefault="00E03A55" w:rsidP="00CC23E6">
      <w:pPr>
        <w:tabs>
          <w:tab w:val="left" w:pos="567"/>
        </w:tabs>
        <w:jc w:val="both"/>
      </w:pPr>
      <w:r>
        <w:tab/>
      </w:r>
      <w:r w:rsidRPr="009E3527">
        <w:t>Both total numbers of general pr</w:t>
      </w:r>
      <w:r>
        <w:t>actioner and its ratio per 100,</w:t>
      </w:r>
      <w:r w:rsidRPr="009E3527">
        <w:t xml:space="preserve">000 populations has improved over time, but inequalities in distribution between provinces, between urban and rural area, and between Java/ Bali and outside Java/ Bali have not (World Bank, 2009). As can be seen in </w:t>
      </w:r>
      <w:r w:rsidRPr="00081EE2">
        <w:t>table 2.4</w:t>
      </w:r>
      <w:r w:rsidRPr="009E3527">
        <w:rPr>
          <w:b/>
        </w:rPr>
        <w:t xml:space="preserve">, </w:t>
      </w:r>
      <w:r w:rsidRPr="009E3527">
        <w:t>urban areas in all regions have more doctors than in rural and remote areas. Urban areas served by more doctors per 100,00</w:t>
      </w:r>
      <w:r>
        <w:t>0</w:t>
      </w:r>
      <w:r w:rsidRPr="009E3527">
        <w:t xml:space="preserve"> populations at ratio at least five times greater than in rural and remote areas. The data also shows that the number of doctors in both 1996 and 2006 was much higher in Java/ Bali than outside Java/ Bali.</w:t>
      </w:r>
    </w:p>
    <w:p w:rsidR="00E03A55" w:rsidRPr="009E3527" w:rsidRDefault="00E03A55" w:rsidP="00CC23E6">
      <w:pPr>
        <w:tabs>
          <w:tab w:val="left" w:pos="567"/>
        </w:tabs>
        <w:autoSpaceDE w:val="0"/>
        <w:autoSpaceDN w:val="0"/>
        <w:adjustRightInd w:val="0"/>
        <w:spacing w:after="0"/>
        <w:ind w:firstLine="0"/>
        <w:jc w:val="both"/>
        <w:rPr>
          <w:rFonts w:cs="Calibri"/>
          <w:lang w:val="en-US"/>
        </w:rPr>
      </w:pPr>
      <w:r>
        <w:tab/>
      </w:r>
      <w:r w:rsidRPr="009E3527">
        <w:t xml:space="preserve">According to PODES, Indonesia had almost 80,000 midwives in 2006. It means there was about 50 midwives per 100,000 populations or about one per village (World Bank, 2009). </w:t>
      </w:r>
      <w:r w:rsidRPr="009E3527">
        <w:rPr>
          <w:rFonts w:cs="Calibri"/>
          <w:lang w:val="en-US"/>
        </w:rPr>
        <w:t>The ratio for midwives has improved significantly</w:t>
      </w:r>
    </w:p>
    <w:p w:rsidR="00E03A55" w:rsidRPr="009E3527" w:rsidRDefault="00E03A55" w:rsidP="0072269B">
      <w:pPr>
        <w:autoSpaceDE w:val="0"/>
        <w:autoSpaceDN w:val="0"/>
        <w:adjustRightInd w:val="0"/>
        <w:spacing w:after="200"/>
        <w:ind w:firstLine="0"/>
        <w:jc w:val="both"/>
        <w:rPr>
          <w:rFonts w:cs="Calibri"/>
          <w:lang w:val="en-US"/>
        </w:rPr>
      </w:pPr>
      <w:r w:rsidRPr="009E3527">
        <w:rPr>
          <w:rFonts w:cs="Calibri"/>
          <w:lang w:val="en-US"/>
        </w:rPr>
        <w:t xml:space="preserve">over time, from 42 midwives per 100,000 in 1996 to 49 midwives per 100,000 in 2006, an increase of 17 percent </w:t>
      </w:r>
      <w:r w:rsidRPr="00081EE2">
        <w:rPr>
          <w:rFonts w:cs="Calibri"/>
          <w:lang w:val="en-US"/>
        </w:rPr>
        <w:t>(table2.5).</w:t>
      </w:r>
      <w:r w:rsidRPr="009E3527">
        <w:rPr>
          <w:rFonts w:cs="Calibri"/>
          <w:lang w:val="en-US"/>
        </w:rPr>
        <w:t xml:space="preserve"> However, for number of midwife rural areas show higher ratios than urban. This mainly happens because of </w:t>
      </w:r>
      <w:r w:rsidRPr="009E3527">
        <w:rPr>
          <w:rFonts w:cs="Calibri"/>
          <w:i/>
          <w:lang w:val="en-US"/>
        </w:rPr>
        <w:t>“Bidan di Desa” (Bides)</w:t>
      </w:r>
      <w:r w:rsidRPr="009E3527">
        <w:rPr>
          <w:rFonts w:cs="Calibri"/>
          <w:lang w:val="en-US"/>
        </w:rPr>
        <w:t xml:space="preserve"> or midwife in the village programme that launched by the government in 1989. Moreover, the total number of midwives in Java/ Bali did not change over time, but in there is a tendency that midwives are moving back to urban areas. On the other hand, there is a significant increase in outside Java/ Bali region. The ratio of midwives to population increases from 46 in 1996 to 53 in 2006, while the absolute number of midwives in remote areas increases twice from 1996.</w:t>
      </w:r>
    </w:p>
    <w:tbl>
      <w:tblPr>
        <w:tblW w:w="7477" w:type="dxa"/>
        <w:tblInd w:w="93" w:type="dxa"/>
        <w:tblLook w:val="00A0"/>
      </w:tblPr>
      <w:tblGrid>
        <w:gridCol w:w="236"/>
        <w:gridCol w:w="1721"/>
        <w:gridCol w:w="789"/>
        <w:gridCol w:w="789"/>
        <w:gridCol w:w="1188"/>
        <w:gridCol w:w="723"/>
        <w:gridCol w:w="723"/>
        <w:gridCol w:w="1178"/>
        <w:gridCol w:w="144"/>
      </w:tblGrid>
      <w:tr w:rsidR="00E03A55" w:rsidRPr="00081EE2" w:rsidTr="00CC2233">
        <w:trPr>
          <w:gridAfter w:val="1"/>
          <w:wAfter w:w="144" w:type="dxa"/>
          <w:trHeight w:val="339"/>
        </w:trPr>
        <w:tc>
          <w:tcPr>
            <w:tcW w:w="7333" w:type="dxa"/>
            <w:gridSpan w:val="8"/>
            <w:tcBorders>
              <w:top w:val="nil"/>
              <w:left w:val="nil"/>
              <w:bottom w:val="nil"/>
              <w:right w:val="nil"/>
            </w:tcBorders>
            <w:noWrap/>
            <w:vAlign w:val="center"/>
          </w:tcPr>
          <w:p w:rsidR="00E03A55" w:rsidRPr="00081EE2" w:rsidRDefault="00E03A55" w:rsidP="0072269B">
            <w:pPr>
              <w:spacing w:after="0"/>
              <w:ind w:firstLine="0"/>
              <w:rPr>
                <w:rFonts w:ascii="Arial" w:hAnsi="Arial" w:cs="Arial"/>
                <w:b/>
                <w:bCs/>
                <w:color w:val="000000"/>
                <w:sz w:val="18"/>
                <w:szCs w:val="18"/>
                <w:lang w:val="en-US"/>
              </w:rPr>
            </w:pPr>
            <w:bookmarkStart w:id="39" w:name="_Toc239157733"/>
            <w:r w:rsidRPr="0072269B">
              <w:rPr>
                <w:rFonts w:ascii="Arial" w:hAnsi="Arial" w:cs="Arial"/>
                <w:b/>
                <w:sz w:val="18"/>
                <w:szCs w:val="18"/>
              </w:rPr>
              <w:t xml:space="preserve">Table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Table \* ARABIC \s 1 </w:instrText>
            </w:r>
            <w:r>
              <w:rPr>
                <w:rFonts w:ascii="Arial" w:hAnsi="Arial" w:cs="Arial"/>
                <w:b/>
                <w:sz w:val="18"/>
                <w:szCs w:val="18"/>
              </w:rPr>
              <w:fldChar w:fldCharType="separate"/>
            </w:r>
            <w:r>
              <w:rPr>
                <w:rFonts w:ascii="Arial" w:hAnsi="Arial" w:cs="Arial"/>
                <w:b/>
                <w:noProof/>
                <w:sz w:val="18"/>
                <w:szCs w:val="18"/>
              </w:rPr>
              <w:t>5</w:t>
            </w:r>
            <w:r>
              <w:rPr>
                <w:rFonts w:ascii="Arial" w:hAnsi="Arial" w:cs="Arial"/>
                <w:b/>
                <w:sz w:val="18"/>
                <w:szCs w:val="18"/>
              </w:rPr>
              <w:fldChar w:fldCharType="end"/>
            </w:r>
            <w:r w:rsidRPr="0072269B">
              <w:rPr>
                <w:rFonts w:ascii="Arial" w:hAnsi="Arial" w:cs="Arial"/>
                <w:b/>
                <w:sz w:val="18"/>
                <w:szCs w:val="18"/>
              </w:rPr>
              <w:t xml:space="preserve"> Total Number and Ratio of Midwives in Indonesia by Region, 1996-2006</w:t>
            </w:r>
            <w:bookmarkEnd w:id="39"/>
          </w:p>
        </w:tc>
      </w:tr>
      <w:tr w:rsidR="00E03A55" w:rsidRPr="00181E1B" w:rsidTr="00CC2233">
        <w:trPr>
          <w:trHeight w:val="219"/>
        </w:trPr>
        <w:tc>
          <w:tcPr>
            <w:tcW w:w="1943" w:type="dxa"/>
            <w:gridSpan w:val="2"/>
            <w:vMerge w:val="restart"/>
            <w:tcBorders>
              <w:top w:val="single" w:sz="4" w:space="0" w:color="auto"/>
              <w:left w:val="nil"/>
              <w:bottom w:val="single" w:sz="4" w:space="0" w:color="000000"/>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Region</w:t>
            </w:r>
          </w:p>
        </w:tc>
        <w:tc>
          <w:tcPr>
            <w:tcW w:w="2766" w:type="dxa"/>
            <w:gridSpan w:val="3"/>
            <w:tcBorders>
              <w:top w:val="single" w:sz="4" w:space="0" w:color="auto"/>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Level</w:t>
            </w:r>
          </w:p>
        </w:tc>
        <w:tc>
          <w:tcPr>
            <w:tcW w:w="2768" w:type="dxa"/>
            <w:gridSpan w:val="4"/>
            <w:tcBorders>
              <w:top w:val="single" w:sz="4" w:space="0" w:color="auto"/>
              <w:left w:val="nil"/>
              <w:bottom w:val="single" w:sz="4" w:space="0" w:color="auto"/>
              <w:right w:val="nil"/>
            </w:tcBorders>
            <w:shd w:val="clear" w:color="000000" w:fill="95B3D7"/>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Ratio per 100,000 Population</w:t>
            </w:r>
          </w:p>
        </w:tc>
      </w:tr>
      <w:tr w:rsidR="00E03A55" w:rsidRPr="00181E1B" w:rsidTr="00CC2233">
        <w:trPr>
          <w:trHeight w:val="219"/>
        </w:trPr>
        <w:tc>
          <w:tcPr>
            <w:tcW w:w="1943" w:type="dxa"/>
            <w:gridSpan w:val="2"/>
            <w:vMerge/>
            <w:tcBorders>
              <w:top w:val="single" w:sz="4" w:space="0" w:color="auto"/>
              <w:left w:val="nil"/>
              <w:bottom w:val="single" w:sz="4" w:space="0" w:color="000000"/>
              <w:right w:val="nil"/>
            </w:tcBorders>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p>
        </w:tc>
        <w:tc>
          <w:tcPr>
            <w:tcW w:w="789" w:type="dxa"/>
            <w:tcBorders>
              <w:top w:val="nil"/>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1996</w:t>
            </w:r>
          </w:p>
        </w:tc>
        <w:tc>
          <w:tcPr>
            <w:tcW w:w="789" w:type="dxa"/>
            <w:tcBorders>
              <w:top w:val="nil"/>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2006</w:t>
            </w:r>
          </w:p>
        </w:tc>
        <w:tc>
          <w:tcPr>
            <w:tcW w:w="1188" w:type="dxa"/>
            <w:tcBorders>
              <w:top w:val="nil"/>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 Change</w:t>
            </w:r>
          </w:p>
        </w:tc>
        <w:tc>
          <w:tcPr>
            <w:tcW w:w="723" w:type="dxa"/>
            <w:tcBorders>
              <w:top w:val="nil"/>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1996</w:t>
            </w:r>
          </w:p>
        </w:tc>
        <w:tc>
          <w:tcPr>
            <w:tcW w:w="723" w:type="dxa"/>
            <w:tcBorders>
              <w:top w:val="nil"/>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2006</w:t>
            </w:r>
          </w:p>
        </w:tc>
        <w:tc>
          <w:tcPr>
            <w:tcW w:w="1322" w:type="dxa"/>
            <w:gridSpan w:val="2"/>
            <w:tcBorders>
              <w:top w:val="nil"/>
              <w:left w:val="nil"/>
              <w:bottom w:val="single" w:sz="4" w:space="0" w:color="auto"/>
              <w:right w:val="nil"/>
            </w:tcBorders>
            <w:shd w:val="clear" w:color="000000" w:fill="95B3D7"/>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 Change</w:t>
            </w:r>
          </w:p>
        </w:tc>
      </w:tr>
      <w:tr w:rsidR="00E03A55" w:rsidRPr="00181E1B" w:rsidTr="00CC2233">
        <w:trPr>
          <w:trHeight w:val="339"/>
        </w:trPr>
        <w:tc>
          <w:tcPr>
            <w:tcW w:w="1943" w:type="dxa"/>
            <w:gridSpan w:val="2"/>
            <w:tcBorders>
              <w:top w:val="single" w:sz="4" w:space="0" w:color="auto"/>
              <w:left w:val="nil"/>
              <w:bottom w:val="nil"/>
              <w:right w:val="nil"/>
            </w:tcBorders>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Java/ Bali</w:t>
            </w:r>
          </w:p>
        </w:tc>
        <w:tc>
          <w:tcPr>
            <w:tcW w:w="789"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33,</w:t>
            </w:r>
            <w:r w:rsidRPr="00181E1B">
              <w:rPr>
                <w:rFonts w:ascii="Arial" w:hAnsi="Arial" w:cs="Arial"/>
                <w:color w:val="000000"/>
                <w:sz w:val="16"/>
                <w:szCs w:val="16"/>
                <w:lang w:val="en-US" w:eastAsia="en-US"/>
              </w:rPr>
              <w:t>436</w:t>
            </w:r>
          </w:p>
        </w:tc>
        <w:tc>
          <w:tcPr>
            <w:tcW w:w="789"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33,</w:t>
            </w:r>
            <w:r w:rsidRPr="00181E1B">
              <w:rPr>
                <w:rFonts w:ascii="Arial" w:hAnsi="Arial" w:cs="Arial"/>
                <w:color w:val="000000"/>
                <w:sz w:val="16"/>
                <w:szCs w:val="16"/>
                <w:lang w:val="en-US" w:eastAsia="en-US"/>
              </w:rPr>
              <w:t>755</w:t>
            </w:r>
          </w:p>
        </w:tc>
        <w:tc>
          <w:tcPr>
            <w:tcW w:w="1188" w:type="dxa"/>
            <w:tcBorders>
              <w:top w:val="nil"/>
              <w:left w:val="nil"/>
              <w:bottom w:val="nil"/>
              <w:right w:val="nil"/>
            </w:tcBorders>
            <w:noWrap/>
            <w:vAlign w:val="center"/>
          </w:tcPr>
          <w:p w:rsidR="00E03A55" w:rsidRPr="00181E1B" w:rsidRDefault="00E03A55" w:rsidP="00BF7CC1">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-0</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18</w:t>
            </w:r>
          </w:p>
        </w:tc>
        <w:tc>
          <w:tcPr>
            <w:tcW w:w="723"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27.</w:t>
            </w:r>
            <w:r w:rsidRPr="00181E1B">
              <w:rPr>
                <w:rFonts w:ascii="Arial" w:hAnsi="Arial" w:cs="Arial"/>
                <w:color w:val="000000"/>
                <w:sz w:val="16"/>
                <w:szCs w:val="16"/>
                <w:lang w:val="en-US" w:eastAsia="en-US"/>
              </w:rPr>
              <w:t>50</w:t>
            </w:r>
          </w:p>
        </w:tc>
        <w:tc>
          <w:tcPr>
            <w:tcW w:w="723" w:type="dxa"/>
            <w:tcBorders>
              <w:top w:val="nil"/>
              <w:left w:val="nil"/>
              <w:bottom w:val="nil"/>
              <w:right w:val="nil"/>
            </w:tcBorders>
            <w:noWrap/>
            <w:vAlign w:val="center"/>
          </w:tcPr>
          <w:p w:rsidR="00E03A55" w:rsidRPr="00181E1B" w:rsidRDefault="00E03A55" w:rsidP="00BF7CC1">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26</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10</w:t>
            </w:r>
          </w:p>
        </w:tc>
        <w:tc>
          <w:tcPr>
            <w:tcW w:w="1322" w:type="dxa"/>
            <w:gridSpan w:val="2"/>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-5.</w:t>
            </w:r>
            <w:r w:rsidRPr="00181E1B">
              <w:rPr>
                <w:rFonts w:ascii="Arial" w:hAnsi="Arial" w:cs="Arial"/>
                <w:color w:val="000000"/>
                <w:sz w:val="16"/>
                <w:szCs w:val="16"/>
                <w:lang w:val="en-US" w:eastAsia="en-US"/>
              </w:rPr>
              <w:t>09</w:t>
            </w:r>
          </w:p>
        </w:tc>
      </w:tr>
      <w:tr w:rsidR="00E03A55" w:rsidRPr="00181E1B" w:rsidTr="00CC2233">
        <w:trPr>
          <w:trHeight w:val="339"/>
        </w:trPr>
        <w:tc>
          <w:tcPr>
            <w:tcW w:w="222"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p>
        </w:tc>
        <w:tc>
          <w:tcPr>
            <w:tcW w:w="1721"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Urban</w:t>
            </w:r>
          </w:p>
        </w:tc>
        <w:tc>
          <w:tcPr>
            <w:tcW w:w="789"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9,</w:t>
            </w:r>
            <w:r w:rsidRPr="00181E1B">
              <w:rPr>
                <w:rFonts w:ascii="Arial" w:hAnsi="Arial" w:cs="Arial"/>
                <w:color w:val="000000"/>
                <w:sz w:val="16"/>
                <w:szCs w:val="16"/>
                <w:lang w:val="en-US" w:eastAsia="en-US"/>
              </w:rPr>
              <w:t>874</w:t>
            </w:r>
          </w:p>
        </w:tc>
        <w:tc>
          <w:tcPr>
            <w:tcW w:w="789"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15,</w:t>
            </w:r>
            <w:r w:rsidRPr="00181E1B">
              <w:rPr>
                <w:rFonts w:ascii="Arial" w:hAnsi="Arial" w:cs="Arial"/>
                <w:color w:val="000000"/>
                <w:sz w:val="16"/>
                <w:szCs w:val="16"/>
                <w:lang w:val="en-US" w:eastAsia="en-US"/>
              </w:rPr>
              <w:t>388</w:t>
            </w:r>
          </w:p>
        </w:tc>
        <w:tc>
          <w:tcPr>
            <w:tcW w:w="118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55.</w:t>
            </w:r>
            <w:r w:rsidRPr="00181E1B">
              <w:rPr>
                <w:rFonts w:ascii="Arial" w:hAnsi="Arial" w:cs="Arial"/>
                <w:color w:val="000000"/>
                <w:sz w:val="16"/>
                <w:szCs w:val="16"/>
                <w:lang w:val="en-US" w:eastAsia="en-US"/>
              </w:rPr>
              <w:t>84</w:t>
            </w:r>
          </w:p>
        </w:tc>
        <w:tc>
          <w:tcPr>
            <w:tcW w:w="723"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23.</w:t>
            </w:r>
            <w:r w:rsidRPr="00181E1B">
              <w:rPr>
                <w:rFonts w:ascii="Arial" w:hAnsi="Arial" w:cs="Arial"/>
                <w:color w:val="000000"/>
                <w:sz w:val="16"/>
                <w:szCs w:val="16"/>
                <w:lang w:val="en-US" w:eastAsia="en-US"/>
              </w:rPr>
              <w:t>80</w:t>
            </w:r>
          </w:p>
        </w:tc>
        <w:tc>
          <w:tcPr>
            <w:tcW w:w="723"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25.</w:t>
            </w:r>
            <w:r w:rsidRPr="00181E1B">
              <w:rPr>
                <w:rFonts w:ascii="Arial" w:hAnsi="Arial" w:cs="Arial"/>
                <w:color w:val="000000"/>
                <w:sz w:val="16"/>
                <w:szCs w:val="16"/>
                <w:lang w:val="en-US" w:eastAsia="en-US"/>
              </w:rPr>
              <w:t>10</w:t>
            </w:r>
          </w:p>
        </w:tc>
        <w:tc>
          <w:tcPr>
            <w:tcW w:w="1322" w:type="dxa"/>
            <w:gridSpan w:val="2"/>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5.</w:t>
            </w:r>
            <w:r w:rsidRPr="00181E1B">
              <w:rPr>
                <w:rFonts w:ascii="Arial" w:hAnsi="Arial" w:cs="Arial"/>
                <w:color w:val="000000"/>
                <w:sz w:val="16"/>
                <w:szCs w:val="16"/>
                <w:lang w:val="en-US" w:eastAsia="en-US"/>
              </w:rPr>
              <w:t>46</w:t>
            </w:r>
          </w:p>
        </w:tc>
      </w:tr>
      <w:tr w:rsidR="00E03A55" w:rsidRPr="00181E1B" w:rsidTr="00CC2233">
        <w:trPr>
          <w:trHeight w:val="339"/>
        </w:trPr>
        <w:tc>
          <w:tcPr>
            <w:tcW w:w="222"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p>
        </w:tc>
        <w:tc>
          <w:tcPr>
            <w:tcW w:w="1721"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Rural</w:t>
            </w:r>
          </w:p>
        </w:tc>
        <w:tc>
          <w:tcPr>
            <w:tcW w:w="789" w:type="dxa"/>
            <w:tcBorders>
              <w:top w:val="nil"/>
              <w:left w:val="nil"/>
              <w:bottom w:val="nil"/>
              <w:right w:val="nil"/>
            </w:tcBorders>
            <w:noWrap/>
            <w:vAlign w:val="center"/>
          </w:tcPr>
          <w:p w:rsidR="00E03A55" w:rsidRPr="00181E1B" w:rsidRDefault="00E03A55" w:rsidP="00BF7CC1">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23</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562</w:t>
            </w:r>
          </w:p>
        </w:tc>
        <w:tc>
          <w:tcPr>
            <w:tcW w:w="789"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18,</w:t>
            </w:r>
            <w:r w:rsidRPr="00181E1B">
              <w:rPr>
                <w:rFonts w:ascii="Arial" w:hAnsi="Arial" w:cs="Arial"/>
                <w:color w:val="000000"/>
                <w:sz w:val="16"/>
                <w:szCs w:val="16"/>
                <w:lang w:val="en-US" w:eastAsia="en-US"/>
              </w:rPr>
              <w:t>367</w:t>
            </w:r>
          </w:p>
        </w:tc>
        <w:tc>
          <w:tcPr>
            <w:tcW w:w="118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-22.</w:t>
            </w:r>
            <w:r w:rsidRPr="00181E1B">
              <w:rPr>
                <w:rFonts w:ascii="Arial" w:hAnsi="Arial" w:cs="Arial"/>
                <w:color w:val="000000"/>
                <w:sz w:val="16"/>
                <w:szCs w:val="16"/>
                <w:lang w:val="en-US" w:eastAsia="en-US"/>
              </w:rPr>
              <w:t>05</w:t>
            </w:r>
          </w:p>
        </w:tc>
        <w:tc>
          <w:tcPr>
            <w:tcW w:w="723"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29.</w:t>
            </w:r>
            <w:r w:rsidRPr="00181E1B">
              <w:rPr>
                <w:rFonts w:ascii="Arial" w:hAnsi="Arial" w:cs="Arial"/>
                <w:color w:val="000000"/>
                <w:sz w:val="16"/>
                <w:szCs w:val="16"/>
                <w:lang w:val="en-US" w:eastAsia="en-US"/>
              </w:rPr>
              <w:t>50</w:t>
            </w:r>
          </w:p>
        </w:tc>
        <w:tc>
          <w:tcPr>
            <w:tcW w:w="723"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27.</w:t>
            </w:r>
            <w:r w:rsidRPr="00181E1B">
              <w:rPr>
                <w:rFonts w:ascii="Arial" w:hAnsi="Arial" w:cs="Arial"/>
                <w:color w:val="000000"/>
                <w:sz w:val="16"/>
                <w:szCs w:val="16"/>
                <w:lang w:val="en-US" w:eastAsia="en-US"/>
              </w:rPr>
              <w:t>10</w:t>
            </w:r>
          </w:p>
        </w:tc>
        <w:tc>
          <w:tcPr>
            <w:tcW w:w="1322" w:type="dxa"/>
            <w:gridSpan w:val="2"/>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-8.</w:t>
            </w:r>
            <w:r w:rsidRPr="00181E1B">
              <w:rPr>
                <w:rFonts w:ascii="Arial" w:hAnsi="Arial" w:cs="Arial"/>
                <w:color w:val="000000"/>
                <w:sz w:val="16"/>
                <w:szCs w:val="16"/>
                <w:lang w:val="en-US" w:eastAsia="en-US"/>
              </w:rPr>
              <w:t>14</w:t>
            </w:r>
          </w:p>
        </w:tc>
      </w:tr>
      <w:tr w:rsidR="00E03A55" w:rsidRPr="00181E1B" w:rsidTr="00CC2233">
        <w:trPr>
          <w:trHeight w:val="339"/>
        </w:trPr>
        <w:tc>
          <w:tcPr>
            <w:tcW w:w="1943" w:type="dxa"/>
            <w:gridSpan w:val="2"/>
            <w:tcBorders>
              <w:top w:val="nil"/>
              <w:left w:val="nil"/>
              <w:bottom w:val="nil"/>
              <w:right w:val="nil"/>
            </w:tcBorders>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Outside Java/ Bali</w:t>
            </w:r>
          </w:p>
        </w:tc>
        <w:tc>
          <w:tcPr>
            <w:tcW w:w="789"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37,</w:t>
            </w:r>
            <w:r w:rsidRPr="00181E1B">
              <w:rPr>
                <w:rFonts w:ascii="Arial" w:hAnsi="Arial" w:cs="Arial"/>
                <w:color w:val="000000"/>
                <w:sz w:val="16"/>
                <w:szCs w:val="16"/>
                <w:lang w:val="en-US" w:eastAsia="en-US"/>
              </w:rPr>
              <w:t>579</w:t>
            </w:r>
          </w:p>
        </w:tc>
        <w:tc>
          <w:tcPr>
            <w:tcW w:w="789"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45,</w:t>
            </w:r>
            <w:r w:rsidRPr="00181E1B">
              <w:rPr>
                <w:rFonts w:ascii="Arial" w:hAnsi="Arial" w:cs="Arial"/>
                <w:color w:val="000000"/>
                <w:sz w:val="16"/>
                <w:szCs w:val="16"/>
                <w:lang w:val="en-US" w:eastAsia="en-US"/>
              </w:rPr>
              <w:t>906</w:t>
            </w:r>
          </w:p>
        </w:tc>
        <w:tc>
          <w:tcPr>
            <w:tcW w:w="118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22.</w:t>
            </w:r>
            <w:r w:rsidRPr="00181E1B">
              <w:rPr>
                <w:rFonts w:ascii="Arial" w:hAnsi="Arial" w:cs="Arial"/>
                <w:color w:val="000000"/>
                <w:sz w:val="16"/>
                <w:szCs w:val="16"/>
                <w:lang w:val="en-US" w:eastAsia="en-US"/>
              </w:rPr>
              <w:t>16</w:t>
            </w:r>
          </w:p>
        </w:tc>
        <w:tc>
          <w:tcPr>
            <w:tcW w:w="723"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46.</w:t>
            </w:r>
            <w:r w:rsidRPr="00181E1B">
              <w:rPr>
                <w:rFonts w:ascii="Arial" w:hAnsi="Arial" w:cs="Arial"/>
                <w:color w:val="000000"/>
                <w:sz w:val="16"/>
                <w:szCs w:val="16"/>
                <w:lang w:val="en-US" w:eastAsia="en-US"/>
              </w:rPr>
              <w:t>80</w:t>
            </w:r>
          </w:p>
        </w:tc>
        <w:tc>
          <w:tcPr>
            <w:tcW w:w="723"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52.</w:t>
            </w:r>
            <w:r w:rsidRPr="00181E1B">
              <w:rPr>
                <w:rFonts w:ascii="Arial" w:hAnsi="Arial" w:cs="Arial"/>
                <w:color w:val="000000"/>
                <w:sz w:val="16"/>
                <w:szCs w:val="16"/>
                <w:lang w:val="en-US" w:eastAsia="en-US"/>
              </w:rPr>
              <w:t>80</w:t>
            </w:r>
          </w:p>
        </w:tc>
        <w:tc>
          <w:tcPr>
            <w:tcW w:w="1322" w:type="dxa"/>
            <w:gridSpan w:val="2"/>
            <w:tcBorders>
              <w:top w:val="nil"/>
              <w:left w:val="nil"/>
              <w:bottom w:val="nil"/>
              <w:right w:val="nil"/>
            </w:tcBorders>
            <w:noWrap/>
            <w:vAlign w:val="center"/>
          </w:tcPr>
          <w:p w:rsidR="00E03A55" w:rsidRPr="00181E1B" w:rsidRDefault="00E03A55" w:rsidP="00BF7CC1">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12</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82</w:t>
            </w:r>
          </w:p>
        </w:tc>
      </w:tr>
      <w:tr w:rsidR="00E03A55" w:rsidRPr="00181E1B" w:rsidTr="00CC2233">
        <w:trPr>
          <w:trHeight w:val="339"/>
        </w:trPr>
        <w:tc>
          <w:tcPr>
            <w:tcW w:w="222"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p>
        </w:tc>
        <w:tc>
          <w:tcPr>
            <w:tcW w:w="1721"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 xml:space="preserve">Urban </w:t>
            </w:r>
          </w:p>
        </w:tc>
        <w:tc>
          <w:tcPr>
            <w:tcW w:w="789"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8,</w:t>
            </w:r>
            <w:r w:rsidRPr="00181E1B">
              <w:rPr>
                <w:rFonts w:ascii="Arial" w:hAnsi="Arial" w:cs="Arial"/>
                <w:color w:val="000000"/>
                <w:sz w:val="16"/>
                <w:szCs w:val="16"/>
                <w:lang w:val="en-US" w:eastAsia="en-US"/>
              </w:rPr>
              <w:t>084</w:t>
            </w:r>
          </w:p>
        </w:tc>
        <w:tc>
          <w:tcPr>
            <w:tcW w:w="789"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12,</w:t>
            </w:r>
            <w:r w:rsidRPr="00181E1B">
              <w:rPr>
                <w:rFonts w:ascii="Arial" w:hAnsi="Arial" w:cs="Arial"/>
                <w:color w:val="000000"/>
                <w:sz w:val="16"/>
                <w:szCs w:val="16"/>
                <w:lang w:val="en-US" w:eastAsia="en-US"/>
              </w:rPr>
              <w:t>421</w:t>
            </w:r>
          </w:p>
        </w:tc>
        <w:tc>
          <w:tcPr>
            <w:tcW w:w="118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53.</w:t>
            </w:r>
            <w:r w:rsidRPr="00181E1B">
              <w:rPr>
                <w:rFonts w:ascii="Arial" w:hAnsi="Arial" w:cs="Arial"/>
                <w:color w:val="000000"/>
                <w:sz w:val="16"/>
                <w:szCs w:val="16"/>
                <w:lang w:val="en-US" w:eastAsia="en-US"/>
              </w:rPr>
              <w:t>65</w:t>
            </w:r>
          </w:p>
        </w:tc>
        <w:tc>
          <w:tcPr>
            <w:tcW w:w="723"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45.</w:t>
            </w:r>
            <w:r w:rsidRPr="00181E1B">
              <w:rPr>
                <w:rFonts w:ascii="Arial" w:hAnsi="Arial" w:cs="Arial"/>
                <w:color w:val="000000"/>
                <w:sz w:val="16"/>
                <w:szCs w:val="16"/>
                <w:lang w:val="en-US" w:eastAsia="en-US"/>
              </w:rPr>
              <w:t>10</w:t>
            </w:r>
          </w:p>
        </w:tc>
        <w:tc>
          <w:tcPr>
            <w:tcW w:w="723"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45.</w:t>
            </w:r>
            <w:r w:rsidRPr="00181E1B">
              <w:rPr>
                <w:rFonts w:ascii="Arial" w:hAnsi="Arial" w:cs="Arial"/>
                <w:color w:val="000000"/>
                <w:sz w:val="16"/>
                <w:szCs w:val="16"/>
                <w:lang w:val="en-US" w:eastAsia="en-US"/>
              </w:rPr>
              <w:t>40</w:t>
            </w:r>
          </w:p>
        </w:tc>
        <w:tc>
          <w:tcPr>
            <w:tcW w:w="1322" w:type="dxa"/>
            <w:gridSpan w:val="2"/>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181E1B">
              <w:rPr>
                <w:rFonts w:ascii="Arial" w:hAnsi="Arial" w:cs="Arial"/>
                <w:color w:val="000000"/>
                <w:sz w:val="16"/>
                <w:szCs w:val="16"/>
                <w:lang w:val="en-US" w:eastAsia="en-US"/>
              </w:rPr>
              <w:t>67</w:t>
            </w:r>
          </w:p>
        </w:tc>
      </w:tr>
      <w:tr w:rsidR="00E03A55" w:rsidRPr="00181E1B" w:rsidTr="00CC2233">
        <w:trPr>
          <w:trHeight w:val="339"/>
        </w:trPr>
        <w:tc>
          <w:tcPr>
            <w:tcW w:w="222"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p>
        </w:tc>
        <w:tc>
          <w:tcPr>
            <w:tcW w:w="1721"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Rural</w:t>
            </w:r>
          </w:p>
        </w:tc>
        <w:tc>
          <w:tcPr>
            <w:tcW w:w="789" w:type="dxa"/>
            <w:tcBorders>
              <w:top w:val="nil"/>
              <w:left w:val="nil"/>
              <w:bottom w:val="nil"/>
              <w:right w:val="nil"/>
            </w:tcBorders>
            <w:noWrap/>
            <w:vAlign w:val="center"/>
          </w:tcPr>
          <w:p w:rsidR="00E03A55" w:rsidRPr="00181E1B" w:rsidRDefault="00E03A55" w:rsidP="00BF7CC1">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23</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487</w:t>
            </w:r>
          </w:p>
        </w:tc>
        <w:tc>
          <w:tcPr>
            <w:tcW w:w="789"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20,</w:t>
            </w:r>
            <w:r w:rsidRPr="00181E1B">
              <w:rPr>
                <w:rFonts w:ascii="Arial" w:hAnsi="Arial" w:cs="Arial"/>
                <w:color w:val="000000"/>
                <w:sz w:val="16"/>
                <w:szCs w:val="16"/>
                <w:lang w:val="en-US" w:eastAsia="en-US"/>
              </w:rPr>
              <w:t>957</w:t>
            </w:r>
          </w:p>
        </w:tc>
        <w:tc>
          <w:tcPr>
            <w:tcW w:w="118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-10.</w:t>
            </w:r>
            <w:r w:rsidRPr="00181E1B">
              <w:rPr>
                <w:rFonts w:ascii="Arial" w:hAnsi="Arial" w:cs="Arial"/>
                <w:color w:val="000000"/>
                <w:sz w:val="16"/>
                <w:szCs w:val="16"/>
                <w:lang w:val="en-US" w:eastAsia="en-US"/>
              </w:rPr>
              <w:t>77</w:t>
            </w:r>
          </w:p>
        </w:tc>
        <w:tc>
          <w:tcPr>
            <w:tcW w:w="723"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46.</w:t>
            </w:r>
            <w:r w:rsidRPr="00181E1B">
              <w:rPr>
                <w:rFonts w:ascii="Arial" w:hAnsi="Arial" w:cs="Arial"/>
                <w:color w:val="000000"/>
                <w:sz w:val="16"/>
                <w:szCs w:val="16"/>
                <w:lang w:val="en-US" w:eastAsia="en-US"/>
              </w:rPr>
              <w:t>00</w:t>
            </w:r>
          </w:p>
        </w:tc>
        <w:tc>
          <w:tcPr>
            <w:tcW w:w="723"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55.</w:t>
            </w:r>
            <w:r w:rsidRPr="00181E1B">
              <w:rPr>
                <w:rFonts w:ascii="Arial" w:hAnsi="Arial" w:cs="Arial"/>
                <w:color w:val="000000"/>
                <w:sz w:val="16"/>
                <w:szCs w:val="16"/>
                <w:lang w:val="en-US" w:eastAsia="en-US"/>
              </w:rPr>
              <w:t>10</w:t>
            </w:r>
          </w:p>
        </w:tc>
        <w:tc>
          <w:tcPr>
            <w:tcW w:w="1322" w:type="dxa"/>
            <w:gridSpan w:val="2"/>
            <w:tcBorders>
              <w:top w:val="nil"/>
              <w:left w:val="nil"/>
              <w:bottom w:val="nil"/>
              <w:right w:val="nil"/>
            </w:tcBorders>
            <w:noWrap/>
            <w:vAlign w:val="center"/>
          </w:tcPr>
          <w:p w:rsidR="00E03A55" w:rsidRPr="00181E1B" w:rsidRDefault="00E03A55" w:rsidP="00BF7CC1">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19</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78</w:t>
            </w:r>
          </w:p>
        </w:tc>
      </w:tr>
      <w:tr w:rsidR="00E03A55" w:rsidRPr="00181E1B" w:rsidTr="00CC2233">
        <w:trPr>
          <w:trHeight w:val="339"/>
        </w:trPr>
        <w:tc>
          <w:tcPr>
            <w:tcW w:w="222"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b/>
                <w:bCs/>
                <w:color w:val="000000"/>
                <w:sz w:val="16"/>
                <w:szCs w:val="16"/>
                <w:lang w:val="en-US" w:eastAsia="en-US"/>
              </w:rPr>
            </w:pPr>
          </w:p>
        </w:tc>
        <w:tc>
          <w:tcPr>
            <w:tcW w:w="1721" w:type="dxa"/>
            <w:tcBorders>
              <w:top w:val="nil"/>
              <w:left w:val="nil"/>
              <w:bottom w:val="nil"/>
              <w:right w:val="nil"/>
            </w:tcBorders>
            <w:noWrap/>
            <w:vAlign w:val="center"/>
          </w:tcPr>
          <w:p w:rsidR="00E03A55" w:rsidRPr="00181E1B" w:rsidRDefault="00E03A55" w:rsidP="00391BFE">
            <w:pPr>
              <w:suppressAutoHyphens w:val="0"/>
              <w:spacing w:after="0"/>
              <w:ind w:firstLine="0"/>
              <w:rPr>
                <w:rFonts w:ascii="Arial" w:hAnsi="Arial" w:cs="Arial"/>
                <w:color w:val="000000"/>
                <w:sz w:val="16"/>
                <w:szCs w:val="16"/>
                <w:lang w:val="en-US" w:eastAsia="en-US"/>
              </w:rPr>
            </w:pPr>
            <w:r w:rsidRPr="00181E1B">
              <w:rPr>
                <w:rFonts w:ascii="Arial" w:hAnsi="Arial" w:cs="Arial"/>
                <w:color w:val="000000"/>
                <w:sz w:val="16"/>
                <w:szCs w:val="16"/>
                <w:lang w:val="en-US" w:eastAsia="en-US"/>
              </w:rPr>
              <w:t>Remote</w:t>
            </w:r>
          </w:p>
        </w:tc>
        <w:tc>
          <w:tcPr>
            <w:tcW w:w="789"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6,</w:t>
            </w:r>
            <w:r w:rsidRPr="00181E1B">
              <w:rPr>
                <w:rFonts w:ascii="Arial" w:hAnsi="Arial" w:cs="Arial"/>
                <w:color w:val="000000"/>
                <w:sz w:val="16"/>
                <w:szCs w:val="16"/>
                <w:lang w:val="en-US" w:eastAsia="en-US"/>
              </w:rPr>
              <w:t>008</w:t>
            </w:r>
          </w:p>
        </w:tc>
        <w:tc>
          <w:tcPr>
            <w:tcW w:w="789"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12,</w:t>
            </w:r>
            <w:r w:rsidRPr="00181E1B">
              <w:rPr>
                <w:rFonts w:ascii="Arial" w:hAnsi="Arial" w:cs="Arial"/>
                <w:color w:val="000000"/>
                <w:sz w:val="16"/>
                <w:szCs w:val="16"/>
                <w:lang w:val="en-US" w:eastAsia="en-US"/>
              </w:rPr>
              <w:t>528</w:t>
            </w:r>
          </w:p>
        </w:tc>
        <w:tc>
          <w:tcPr>
            <w:tcW w:w="1188"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108.</w:t>
            </w:r>
            <w:r w:rsidRPr="00181E1B">
              <w:rPr>
                <w:rFonts w:ascii="Arial" w:hAnsi="Arial" w:cs="Arial"/>
                <w:color w:val="000000"/>
                <w:sz w:val="16"/>
                <w:szCs w:val="16"/>
                <w:lang w:val="en-US" w:eastAsia="en-US"/>
              </w:rPr>
              <w:t>52</w:t>
            </w:r>
          </w:p>
        </w:tc>
        <w:tc>
          <w:tcPr>
            <w:tcW w:w="723"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53.</w:t>
            </w:r>
            <w:r w:rsidRPr="00181E1B">
              <w:rPr>
                <w:rFonts w:ascii="Arial" w:hAnsi="Arial" w:cs="Arial"/>
                <w:color w:val="000000"/>
                <w:sz w:val="16"/>
                <w:szCs w:val="16"/>
                <w:lang w:val="en-US" w:eastAsia="en-US"/>
              </w:rPr>
              <w:t>40</w:t>
            </w:r>
          </w:p>
        </w:tc>
        <w:tc>
          <w:tcPr>
            <w:tcW w:w="723" w:type="dxa"/>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58.</w:t>
            </w:r>
            <w:r w:rsidRPr="00181E1B">
              <w:rPr>
                <w:rFonts w:ascii="Arial" w:hAnsi="Arial" w:cs="Arial"/>
                <w:color w:val="000000"/>
                <w:sz w:val="16"/>
                <w:szCs w:val="16"/>
                <w:lang w:val="en-US" w:eastAsia="en-US"/>
              </w:rPr>
              <w:t>10</w:t>
            </w:r>
          </w:p>
        </w:tc>
        <w:tc>
          <w:tcPr>
            <w:tcW w:w="1322" w:type="dxa"/>
            <w:gridSpan w:val="2"/>
            <w:tcBorders>
              <w:top w:val="nil"/>
              <w:left w:val="nil"/>
              <w:bottom w:val="nil"/>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181E1B">
              <w:rPr>
                <w:rFonts w:ascii="Arial" w:hAnsi="Arial" w:cs="Arial"/>
                <w:color w:val="000000"/>
                <w:sz w:val="16"/>
                <w:szCs w:val="16"/>
                <w:lang w:val="en-US" w:eastAsia="en-US"/>
              </w:rPr>
              <w:t>09</w:t>
            </w:r>
          </w:p>
        </w:tc>
      </w:tr>
      <w:tr w:rsidR="00E03A55" w:rsidRPr="00181E1B" w:rsidTr="00CC2233">
        <w:trPr>
          <w:trHeight w:val="339"/>
        </w:trPr>
        <w:tc>
          <w:tcPr>
            <w:tcW w:w="1943" w:type="dxa"/>
            <w:gridSpan w:val="2"/>
            <w:tcBorders>
              <w:top w:val="nil"/>
              <w:left w:val="nil"/>
              <w:bottom w:val="single" w:sz="4" w:space="0" w:color="auto"/>
              <w:right w:val="nil"/>
            </w:tcBorders>
            <w:noWrap/>
            <w:vAlign w:val="center"/>
          </w:tcPr>
          <w:p w:rsidR="00E03A55" w:rsidRPr="00181E1B" w:rsidRDefault="00E03A55" w:rsidP="00391BFE">
            <w:pPr>
              <w:suppressAutoHyphens w:val="0"/>
              <w:spacing w:after="0"/>
              <w:ind w:firstLine="0"/>
              <w:rPr>
                <w:rFonts w:ascii="Arial" w:hAnsi="Arial" w:cs="Arial"/>
                <w:b/>
                <w:bCs/>
                <w:color w:val="000000"/>
                <w:sz w:val="16"/>
                <w:szCs w:val="16"/>
                <w:lang w:val="en-US" w:eastAsia="en-US"/>
              </w:rPr>
            </w:pPr>
            <w:r w:rsidRPr="00181E1B">
              <w:rPr>
                <w:rFonts w:ascii="Arial" w:hAnsi="Arial" w:cs="Arial"/>
                <w:b/>
                <w:bCs/>
                <w:color w:val="000000"/>
                <w:sz w:val="16"/>
                <w:szCs w:val="16"/>
                <w:lang w:val="en-US" w:eastAsia="en-US"/>
              </w:rPr>
              <w:t>Total</w:t>
            </w:r>
          </w:p>
        </w:tc>
        <w:tc>
          <w:tcPr>
            <w:tcW w:w="789" w:type="dxa"/>
            <w:tcBorders>
              <w:top w:val="nil"/>
              <w:left w:val="nil"/>
              <w:bottom w:val="single" w:sz="4" w:space="0" w:color="auto"/>
              <w:right w:val="nil"/>
            </w:tcBorders>
            <w:noWrap/>
            <w:vAlign w:val="center"/>
          </w:tcPr>
          <w:p w:rsidR="00E03A55" w:rsidRPr="00181E1B" w:rsidRDefault="00E03A55" w:rsidP="00BF7CC1">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71</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015</w:t>
            </w:r>
          </w:p>
        </w:tc>
        <w:tc>
          <w:tcPr>
            <w:tcW w:w="789" w:type="dxa"/>
            <w:tcBorders>
              <w:top w:val="nil"/>
              <w:left w:val="nil"/>
              <w:bottom w:val="single" w:sz="4" w:space="0" w:color="auto"/>
              <w:right w:val="nil"/>
            </w:tcBorders>
            <w:noWrap/>
            <w:vAlign w:val="center"/>
          </w:tcPr>
          <w:p w:rsidR="00E03A55" w:rsidRPr="00181E1B" w:rsidRDefault="00E03A55" w:rsidP="00BF7CC1">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79</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661</w:t>
            </w:r>
          </w:p>
        </w:tc>
        <w:tc>
          <w:tcPr>
            <w:tcW w:w="1188" w:type="dxa"/>
            <w:tcBorders>
              <w:top w:val="nil"/>
              <w:left w:val="nil"/>
              <w:bottom w:val="single" w:sz="4" w:space="0" w:color="auto"/>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12.</w:t>
            </w:r>
            <w:r w:rsidRPr="00181E1B">
              <w:rPr>
                <w:rFonts w:ascii="Arial" w:hAnsi="Arial" w:cs="Arial"/>
                <w:color w:val="000000"/>
                <w:sz w:val="16"/>
                <w:szCs w:val="16"/>
                <w:lang w:val="en-US" w:eastAsia="en-US"/>
              </w:rPr>
              <w:t>17</w:t>
            </w:r>
          </w:p>
        </w:tc>
        <w:tc>
          <w:tcPr>
            <w:tcW w:w="723" w:type="dxa"/>
            <w:tcBorders>
              <w:top w:val="nil"/>
              <w:left w:val="nil"/>
              <w:bottom w:val="single" w:sz="4" w:space="0" w:color="auto"/>
              <w:right w:val="nil"/>
            </w:tcBorders>
            <w:noWrap/>
            <w:vAlign w:val="center"/>
          </w:tcPr>
          <w:p w:rsidR="00E03A55" w:rsidRPr="00181E1B" w:rsidRDefault="00E03A55" w:rsidP="00BF7CC1">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41</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70</w:t>
            </w:r>
          </w:p>
        </w:tc>
        <w:tc>
          <w:tcPr>
            <w:tcW w:w="723" w:type="dxa"/>
            <w:tcBorders>
              <w:top w:val="nil"/>
              <w:left w:val="nil"/>
              <w:bottom w:val="single" w:sz="4" w:space="0" w:color="auto"/>
              <w:right w:val="nil"/>
            </w:tcBorders>
            <w:noWrap/>
            <w:vAlign w:val="center"/>
          </w:tcPr>
          <w:p w:rsidR="00E03A55" w:rsidRPr="00181E1B"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48.</w:t>
            </w:r>
            <w:r w:rsidRPr="00181E1B">
              <w:rPr>
                <w:rFonts w:ascii="Arial" w:hAnsi="Arial" w:cs="Arial"/>
                <w:color w:val="000000"/>
                <w:sz w:val="16"/>
                <w:szCs w:val="16"/>
                <w:lang w:val="en-US" w:eastAsia="en-US"/>
              </w:rPr>
              <w:t>60</w:t>
            </w:r>
          </w:p>
        </w:tc>
        <w:tc>
          <w:tcPr>
            <w:tcW w:w="1322" w:type="dxa"/>
            <w:gridSpan w:val="2"/>
            <w:tcBorders>
              <w:top w:val="nil"/>
              <w:left w:val="nil"/>
              <w:bottom w:val="single" w:sz="4" w:space="0" w:color="auto"/>
              <w:right w:val="nil"/>
            </w:tcBorders>
            <w:noWrap/>
            <w:vAlign w:val="center"/>
          </w:tcPr>
          <w:p w:rsidR="00E03A55" w:rsidRPr="00181E1B" w:rsidRDefault="00E03A55" w:rsidP="00BF7CC1">
            <w:pPr>
              <w:suppressAutoHyphens w:val="0"/>
              <w:spacing w:after="0"/>
              <w:ind w:firstLine="0"/>
              <w:jc w:val="center"/>
              <w:rPr>
                <w:rFonts w:ascii="Arial" w:hAnsi="Arial" w:cs="Arial"/>
                <w:color w:val="000000"/>
                <w:sz w:val="16"/>
                <w:szCs w:val="16"/>
                <w:lang w:val="en-US" w:eastAsia="en-US"/>
              </w:rPr>
            </w:pPr>
            <w:r w:rsidRPr="00181E1B">
              <w:rPr>
                <w:rFonts w:ascii="Arial" w:hAnsi="Arial" w:cs="Arial"/>
                <w:color w:val="000000"/>
                <w:sz w:val="16"/>
                <w:szCs w:val="16"/>
                <w:lang w:val="en-US" w:eastAsia="en-US"/>
              </w:rPr>
              <w:t>16</w:t>
            </w:r>
            <w:r>
              <w:rPr>
                <w:rFonts w:ascii="Arial" w:hAnsi="Arial" w:cs="Arial"/>
                <w:color w:val="000000"/>
                <w:sz w:val="16"/>
                <w:szCs w:val="16"/>
                <w:lang w:val="en-US" w:eastAsia="en-US"/>
              </w:rPr>
              <w:t>.</w:t>
            </w:r>
            <w:r w:rsidRPr="00181E1B">
              <w:rPr>
                <w:rFonts w:ascii="Arial" w:hAnsi="Arial" w:cs="Arial"/>
                <w:color w:val="000000"/>
                <w:sz w:val="16"/>
                <w:szCs w:val="16"/>
                <w:lang w:val="en-US" w:eastAsia="en-US"/>
              </w:rPr>
              <w:t>55</w:t>
            </w:r>
          </w:p>
        </w:tc>
      </w:tr>
      <w:tr w:rsidR="00E03A55" w:rsidRPr="00181E1B" w:rsidTr="00CC2233">
        <w:trPr>
          <w:trHeight w:val="190"/>
        </w:trPr>
        <w:tc>
          <w:tcPr>
            <w:tcW w:w="7477" w:type="dxa"/>
            <w:gridSpan w:val="9"/>
            <w:tcBorders>
              <w:top w:val="single" w:sz="4" w:space="0" w:color="auto"/>
              <w:left w:val="nil"/>
              <w:bottom w:val="nil"/>
              <w:right w:val="nil"/>
            </w:tcBorders>
            <w:noWrap/>
            <w:vAlign w:val="bottom"/>
          </w:tcPr>
          <w:p w:rsidR="00E03A55" w:rsidRPr="007A5025" w:rsidRDefault="00E03A55" w:rsidP="00CC2233">
            <w:pPr>
              <w:suppressAutoHyphens w:val="0"/>
              <w:spacing w:after="0"/>
              <w:ind w:firstLine="0"/>
              <w:rPr>
                <w:lang w:val="en-US" w:eastAsia="en-US"/>
              </w:rPr>
            </w:pPr>
            <w:r w:rsidRPr="00F17737">
              <w:rPr>
                <w:rFonts w:ascii="Arial" w:hAnsi="Arial" w:cs="Arial"/>
                <w:bCs/>
                <w:color w:val="000000"/>
                <w:sz w:val="16"/>
                <w:szCs w:val="16"/>
                <w:lang w:val="en-US" w:eastAsia="en-US"/>
              </w:rPr>
              <w:t>Sources: World Bank, 2009</w:t>
            </w:r>
          </w:p>
        </w:tc>
      </w:tr>
    </w:tbl>
    <w:p w:rsidR="00E03A55" w:rsidRPr="00115A7D" w:rsidRDefault="00E03A55" w:rsidP="00115A7D">
      <w:pPr>
        <w:pStyle w:val="Heading2"/>
      </w:pPr>
      <w:bookmarkStart w:id="40" w:name="_Toc239163839"/>
      <w:r w:rsidRPr="00115A7D">
        <w:t>Maternal Care</w:t>
      </w:r>
      <w:r>
        <w:t xml:space="preserve"> Service</w:t>
      </w:r>
      <w:bookmarkEnd w:id="40"/>
    </w:p>
    <w:p w:rsidR="00E03A55" w:rsidRDefault="00E03A55" w:rsidP="00CC2233">
      <w:pPr>
        <w:pStyle w:val="Normalfirstparagraph"/>
        <w:jc w:val="both"/>
      </w:pPr>
      <w:r>
        <w:rPr>
          <w:lang w:val="en-US" w:eastAsia="en-US"/>
        </w:rPr>
        <w:t xml:space="preserve">Adequate infrastructure and availability of health worker supply are essential factors that determine utilization of two maternal care services namely skilled birth attendant at delivery and antenatal care in Indonesia. </w:t>
      </w:r>
      <w:r>
        <w:rPr>
          <w:lang w:val="en-US"/>
        </w:rPr>
        <w:t xml:space="preserve">In general, Indonesia has made progress in the utilization of maternal care. </w:t>
      </w:r>
      <w:r>
        <w:t>In 2006, 72.41% of delivery babies had helped by skilled birth attendances. Among this number, midwife is the most health workforce helps in the delivery process (60.73%). Doctor 10.79% and nurse 0.89% followed it. From the non-health workforce, traditional birth attendant accounted for 25.30% in baby born process. The other 2% was reported for helps from other family members (figure 2.4).</w:t>
      </w:r>
    </w:p>
    <w:p w:rsidR="00E03A55" w:rsidRPr="00CC2233" w:rsidRDefault="00E03A55" w:rsidP="00CC2233">
      <w:pPr>
        <w:pStyle w:val="Normalfirstparagraph"/>
        <w:jc w:val="center"/>
        <w:rPr>
          <w:rFonts w:ascii="Arial" w:hAnsi="Arial" w:cs="Arial"/>
          <w:b/>
          <w:sz w:val="18"/>
          <w:szCs w:val="18"/>
        </w:rPr>
      </w:pPr>
      <w:bookmarkStart w:id="41" w:name="_Toc239162876"/>
      <w:r w:rsidRPr="00CC2233">
        <w:rPr>
          <w:rFonts w:ascii="Arial" w:hAnsi="Arial" w:cs="Arial"/>
          <w:b/>
          <w:sz w:val="18"/>
          <w:szCs w:val="18"/>
        </w:rPr>
        <w:t xml:space="preserve">Figure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Figure \* ARABIC \s 1 </w:instrText>
      </w:r>
      <w:r>
        <w:rPr>
          <w:rFonts w:ascii="Arial" w:hAnsi="Arial" w:cs="Arial"/>
          <w:b/>
          <w:sz w:val="18"/>
          <w:szCs w:val="18"/>
        </w:rPr>
        <w:fldChar w:fldCharType="separate"/>
      </w:r>
      <w:r>
        <w:rPr>
          <w:rFonts w:ascii="Arial" w:hAnsi="Arial" w:cs="Arial"/>
          <w:b/>
          <w:noProof/>
          <w:sz w:val="18"/>
          <w:szCs w:val="18"/>
        </w:rPr>
        <w:t>4</w:t>
      </w:r>
      <w:r>
        <w:rPr>
          <w:rFonts w:ascii="Arial" w:hAnsi="Arial" w:cs="Arial"/>
          <w:b/>
          <w:sz w:val="18"/>
          <w:szCs w:val="18"/>
        </w:rPr>
        <w:fldChar w:fldCharType="end"/>
      </w:r>
      <w:r w:rsidRPr="00CC2233">
        <w:rPr>
          <w:rFonts w:ascii="Arial" w:hAnsi="Arial" w:cs="Arial"/>
          <w:b/>
          <w:sz w:val="18"/>
          <w:szCs w:val="18"/>
        </w:rPr>
        <w:t xml:space="preserve"> Type of Delivery Assistance, 2006</w:t>
      </w:r>
      <w:bookmarkEnd w:id="41"/>
    </w:p>
    <w:p w:rsidR="00E03A55" w:rsidRPr="005D7289" w:rsidRDefault="00E03A55" w:rsidP="00CC2233">
      <w:pPr>
        <w:ind w:firstLine="0"/>
        <w:jc w:val="center"/>
      </w:pPr>
      <w:r w:rsidRPr="001814BA">
        <w:rPr>
          <w:noProof/>
          <w:lang w:val="en-US" w:eastAsia="en-US"/>
        </w:rPr>
        <w:pict>
          <v:shape id="Chart 16" o:spid="_x0000_i1028" type="#_x0000_t75" style="width:239.25pt;height:152.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">
            <v:imagedata r:id="rId14" o:title=""/>
            <o:lock v:ext="edit" aspectratio="f"/>
          </v:shape>
        </w:pict>
      </w:r>
    </w:p>
    <w:p w:rsidR="00E03A55" w:rsidRPr="00CC2233" w:rsidRDefault="00E03A55" w:rsidP="007E6AB6">
      <w:pPr>
        <w:autoSpaceDE w:val="0"/>
        <w:autoSpaceDN w:val="0"/>
        <w:adjustRightInd w:val="0"/>
        <w:spacing w:after="200"/>
        <w:jc w:val="both"/>
        <w:rPr>
          <w:rFonts w:ascii="Arial" w:hAnsi="Arial" w:cs="Arial"/>
          <w:sz w:val="16"/>
          <w:szCs w:val="16"/>
          <w:lang w:val="en-US"/>
        </w:rPr>
      </w:pPr>
      <w:r>
        <w:rPr>
          <w:rFonts w:ascii="Arial" w:hAnsi="Arial" w:cs="Arial"/>
          <w:sz w:val="16"/>
          <w:szCs w:val="16"/>
          <w:lang w:val="en-US"/>
        </w:rPr>
        <w:t xml:space="preserve">                 </w:t>
      </w:r>
      <w:r w:rsidRPr="00CC2233">
        <w:rPr>
          <w:rFonts w:ascii="Arial" w:hAnsi="Arial" w:cs="Arial"/>
          <w:i/>
          <w:sz w:val="16"/>
          <w:szCs w:val="16"/>
          <w:lang w:val="en-US"/>
        </w:rPr>
        <w:t>Source:</w:t>
      </w:r>
      <w:r w:rsidRPr="00CC2233">
        <w:rPr>
          <w:rFonts w:ascii="Arial" w:hAnsi="Arial" w:cs="Arial"/>
          <w:sz w:val="16"/>
          <w:szCs w:val="16"/>
          <w:lang w:val="en-US"/>
        </w:rPr>
        <w:t xml:space="preserve"> Author calculations based on </w:t>
      </w:r>
      <w:r w:rsidRPr="00CC2233">
        <w:rPr>
          <w:rFonts w:ascii="Arial" w:hAnsi="Arial" w:cs="Arial"/>
          <w:i/>
          <w:sz w:val="16"/>
          <w:szCs w:val="16"/>
          <w:lang w:val="en-US"/>
        </w:rPr>
        <w:t xml:space="preserve">Susenas </w:t>
      </w:r>
      <w:r w:rsidRPr="00CC2233">
        <w:rPr>
          <w:rFonts w:ascii="Arial" w:hAnsi="Arial" w:cs="Arial"/>
          <w:sz w:val="16"/>
          <w:szCs w:val="16"/>
          <w:lang w:val="en-US"/>
        </w:rPr>
        <w:t>Data, 2006</w:t>
      </w:r>
    </w:p>
    <w:p w:rsidR="00E03A55" w:rsidRPr="00F11E8E" w:rsidRDefault="00E03A55" w:rsidP="00CC2233">
      <w:pPr>
        <w:autoSpaceDE w:val="0"/>
        <w:autoSpaceDN w:val="0"/>
        <w:adjustRightInd w:val="0"/>
        <w:spacing w:after="0"/>
        <w:jc w:val="both"/>
        <w:rPr>
          <w:rFonts w:cs="AGaramondPro-Regular"/>
          <w:lang w:val="en-US"/>
        </w:rPr>
      </w:pPr>
      <w:r w:rsidRPr="00F11E8E">
        <w:rPr>
          <w:rFonts w:cs="Calibri-Bold"/>
          <w:bCs/>
          <w:lang w:val="en-US"/>
        </w:rPr>
        <w:t xml:space="preserve">In addition, there is a positive trend of women to deliver their babies in a health facility instead of at home. </w:t>
      </w:r>
      <w:r w:rsidRPr="00F11E8E">
        <w:rPr>
          <w:lang w:val="en-US"/>
        </w:rPr>
        <w:t xml:space="preserve">Figure 2.5 illustrates trends in location of births by type of provider and presence of skilled birth attendant in Indonesia. </w:t>
      </w:r>
      <w:r w:rsidRPr="00F11E8E">
        <w:rPr>
          <w:rFonts w:cs="AGaramondPro-Regular"/>
          <w:lang w:val="en-US"/>
        </w:rPr>
        <w:t xml:space="preserve">The percent of live births attended by a health professional increased nearly 100% from 1986 to 2002. It increased from 35% (1986–1989) to 69% (2000–2002) of live births. Home births attended by a health professional increased from 14% in 1986–1989 to 32% in 2000–2002, while health facility births increased from 20% to 37% over the same period. There is also increasing trend of delivery occurred in private facilities. </w:t>
      </w:r>
    </w:p>
    <w:p w:rsidR="00E03A55" w:rsidRPr="005411F4" w:rsidRDefault="00E03A55" w:rsidP="00CC2233">
      <w:pPr>
        <w:autoSpaceDE w:val="0"/>
        <w:autoSpaceDN w:val="0"/>
        <w:adjustRightInd w:val="0"/>
        <w:spacing w:after="0"/>
        <w:jc w:val="both"/>
        <w:rPr>
          <w:rFonts w:cs="AGaramondPro-Regular"/>
          <w:lang w:val="en-US"/>
        </w:rPr>
      </w:pPr>
    </w:p>
    <w:p w:rsidR="00E03A55" w:rsidRPr="00CC2233" w:rsidRDefault="00E03A55" w:rsidP="00CC2233">
      <w:pPr>
        <w:pStyle w:val="Caption"/>
        <w:keepNext/>
        <w:jc w:val="center"/>
        <w:rPr>
          <w:rFonts w:ascii="Arial" w:hAnsi="Arial" w:cs="Arial"/>
          <w:b/>
          <w:sz w:val="18"/>
          <w:szCs w:val="18"/>
        </w:rPr>
      </w:pPr>
      <w:bookmarkStart w:id="42" w:name="_Toc239162877"/>
      <w:r w:rsidRPr="00CC2233">
        <w:rPr>
          <w:rFonts w:ascii="Arial" w:hAnsi="Arial" w:cs="Arial"/>
          <w:b/>
          <w:sz w:val="18"/>
          <w:szCs w:val="18"/>
        </w:rPr>
        <w:t xml:space="preserve">Figure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Figure \* ARABIC \s 1 </w:instrText>
      </w:r>
      <w:r>
        <w:rPr>
          <w:rFonts w:ascii="Arial" w:hAnsi="Arial" w:cs="Arial"/>
          <w:b/>
          <w:sz w:val="18"/>
          <w:szCs w:val="18"/>
        </w:rPr>
        <w:fldChar w:fldCharType="separate"/>
      </w:r>
      <w:r>
        <w:rPr>
          <w:rFonts w:ascii="Arial" w:hAnsi="Arial" w:cs="Arial"/>
          <w:b/>
          <w:noProof/>
          <w:sz w:val="18"/>
          <w:szCs w:val="18"/>
        </w:rPr>
        <w:t>5</w:t>
      </w:r>
      <w:r>
        <w:rPr>
          <w:rFonts w:ascii="Arial" w:hAnsi="Arial" w:cs="Arial"/>
          <w:b/>
          <w:sz w:val="18"/>
          <w:szCs w:val="18"/>
        </w:rPr>
        <w:fldChar w:fldCharType="end"/>
      </w:r>
      <w:r w:rsidRPr="00CC2233">
        <w:rPr>
          <w:rFonts w:ascii="Arial" w:hAnsi="Arial" w:cs="Arial"/>
          <w:b/>
          <w:sz w:val="18"/>
          <w:szCs w:val="18"/>
        </w:rPr>
        <w:t xml:space="preserve"> Trends in Location of Births in Indonesia, by Type of Provider and Presence of Skilled Attendant</w:t>
      </w:r>
      <w:bookmarkEnd w:id="42"/>
    </w:p>
    <w:p w:rsidR="00E03A55" w:rsidRDefault="00E03A55" w:rsidP="00CC2233">
      <w:pPr>
        <w:ind w:firstLine="0"/>
        <w:jc w:val="center"/>
        <w:rPr>
          <w:noProof/>
          <w:lang w:val="en-US" w:eastAsia="en-US"/>
        </w:rPr>
      </w:pPr>
      <w:r w:rsidRPr="001814BA">
        <w:rPr>
          <w:noProof/>
          <w:lang w:val="en-US" w:eastAsia="en-US"/>
        </w:rPr>
        <w:pict>
          <v:shape id="_x0000_i1029" type="#_x0000_t75" style="width:358.5pt;height:245.25pt;visibility:visible">
            <v:imagedata r:id="rId15" o:title=""/>
          </v:shape>
        </w:pict>
      </w:r>
    </w:p>
    <w:p w:rsidR="00E03A55" w:rsidRPr="008F2C3A" w:rsidRDefault="00E03A55" w:rsidP="008F2C3A">
      <w:pPr>
        <w:spacing w:after="200"/>
        <w:ind w:firstLine="0"/>
        <w:rPr>
          <w:rFonts w:ascii="Arial" w:hAnsi="Arial" w:cs="Arial"/>
          <w:sz w:val="16"/>
          <w:szCs w:val="16"/>
        </w:rPr>
      </w:pPr>
      <w:r>
        <w:rPr>
          <w:rFonts w:ascii="Arial" w:hAnsi="Arial" w:cs="Arial"/>
          <w:noProof/>
          <w:sz w:val="16"/>
          <w:szCs w:val="16"/>
          <w:lang w:val="en-US" w:eastAsia="en-US"/>
        </w:rPr>
        <w:t xml:space="preserve">          </w:t>
      </w:r>
      <w:r w:rsidRPr="008F2C3A">
        <w:rPr>
          <w:rFonts w:ascii="Arial" w:hAnsi="Arial" w:cs="Arial"/>
          <w:noProof/>
          <w:sz w:val="16"/>
          <w:szCs w:val="16"/>
          <w:lang w:val="en-US" w:eastAsia="en-US"/>
        </w:rPr>
        <w:t>Source: IDHS Reference 15 as cited in Hatt et al., 2006</w:t>
      </w:r>
    </w:p>
    <w:p w:rsidR="00E03A55" w:rsidRDefault="00E03A55" w:rsidP="00CC2233">
      <w:pPr>
        <w:ind w:firstLine="550"/>
        <w:jc w:val="both"/>
      </w:pPr>
      <w:r>
        <w:t>Other</w:t>
      </w:r>
      <w:r w:rsidRPr="005D7289">
        <w:t xml:space="preserve"> indicator of maternal health services is the antenatal care. Antenatal care is a service for mother during her pregnancy provided by professional health workforce </w:t>
      </w:r>
      <w:r>
        <w:t>(</w:t>
      </w:r>
      <w:r w:rsidRPr="00650A3A">
        <w:t xml:space="preserve">obstetric and gynaecologic specialist, physician, midwife and nurse). </w:t>
      </w:r>
      <w:r w:rsidRPr="005D7289">
        <w:t xml:space="preserve">This service covers weighing and blood pressure measurement, </w:t>
      </w:r>
      <w:r w:rsidRPr="005D7289">
        <w:rPr>
          <w:i/>
        </w:rPr>
        <w:t>fundus uteri</w:t>
      </w:r>
      <w:r w:rsidRPr="005D7289">
        <w:t xml:space="preserve"> height, Tetanus Toxoid (TT) immunization, and zinc supplement. Antenatal care can be reflected from K1 and K4 coverage</w:t>
      </w:r>
      <w:r>
        <w:t xml:space="preserve"> (MoH, 2008a)</w:t>
      </w:r>
      <w:r w:rsidRPr="005D7289">
        <w:t xml:space="preserve">. K1 coverage represents the number of pregnant women who made </w:t>
      </w:r>
      <w:r>
        <w:t>the</w:t>
      </w:r>
      <w:r w:rsidRPr="005D7289">
        <w:t xml:space="preserve"> first visit to get antenatal care. While K4 expresses the number of pregnant women who accomplished the standardized antenatal care by taking at least four visits: once at the first three months, once at the second three months, and twice at the third three months. </w:t>
      </w:r>
    </w:p>
    <w:p w:rsidR="00E03A55" w:rsidRPr="00091E20" w:rsidRDefault="00E03A55" w:rsidP="0065177E">
      <w:pPr>
        <w:ind w:firstLine="550"/>
        <w:jc w:val="both"/>
      </w:pPr>
      <w:r>
        <w:t>Figure 2.6</w:t>
      </w:r>
      <w:r w:rsidRPr="005D7289">
        <w:t xml:space="preserve"> displays the percentage of K1 and K4 coverage from 2001-2006. </w:t>
      </w:r>
      <w:r>
        <w:t>The differences in the percentage between K1 and K4 imply the decreasing in number of visit to get antenatal care. It is because the first three months usually is the essential time for the growth of a baby. In 2001,</w:t>
      </w:r>
      <w:r w:rsidRPr="005D7289">
        <w:t xml:space="preserve"> </w:t>
      </w:r>
      <w:r>
        <w:t xml:space="preserve">there was a </w:t>
      </w:r>
      <w:r w:rsidRPr="007828B2">
        <w:t>high number</w:t>
      </w:r>
      <w:r>
        <w:t xml:space="preserve"> of pregnant women took their</w:t>
      </w:r>
      <w:r w:rsidRPr="005D7289">
        <w:t xml:space="preserve"> </w:t>
      </w:r>
      <w:r>
        <w:t>first visit for antenatal care (K1). However, the percentage of K1</w:t>
      </w:r>
      <w:r w:rsidRPr="00650A3A">
        <w:t xml:space="preserve"> decreased</w:t>
      </w:r>
      <w:r>
        <w:t xml:space="preserve"> for the next two years, from 93.03% in 2001 felt to 88.56% and 87.73% in 2002 and 2003 respectively. Then, it steadily increased in 2004 to 2006. For K4, there was also a decreasing in percentage from 2001 to 2002 as much as 4.37%. In the next following years, percentage of K4 increased and reached the highest point during the last six years</w:t>
      </w:r>
      <w:r w:rsidRPr="00B15E16">
        <w:t xml:space="preserve"> </w:t>
      </w:r>
      <w:r>
        <w:t>at 79.63% in 2006. The increasing in K1 and K4 indicates the improvement in maternal health services</w:t>
      </w:r>
    </w:p>
    <w:p w:rsidR="00E03A55" w:rsidRPr="0065177E" w:rsidRDefault="00E03A55" w:rsidP="0065177E">
      <w:pPr>
        <w:pStyle w:val="Caption"/>
        <w:keepNext/>
        <w:spacing w:after="200"/>
        <w:jc w:val="center"/>
        <w:rPr>
          <w:rFonts w:ascii="Arial" w:hAnsi="Arial" w:cs="Arial"/>
          <w:b/>
          <w:sz w:val="18"/>
          <w:szCs w:val="18"/>
        </w:rPr>
      </w:pPr>
      <w:bookmarkStart w:id="43" w:name="_Toc239162878"/>
      <w:r w:rsidRPr="0065177E">
        <w:rPr>
          <w:rFonts w:ascii="Arial" w:hAnsi="Arial" w:cs="Arial"/>
          <w:b/>
          <w:sz w:val="18"/>
          <w:szCs w:val="18"/>
        </w:rPr>
        <w:t xml:space="preserve">Figure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Figure \* ARABIC \s 1 </w:instrText>
      </w:r>
      <w:r>
        <w:rPr>
          <w:rFonts w:ascii="Arial" w:hAnsi="Arial" w:cs="Arial"/>
          <w:b/>
          <w:sz w:val="18"/>
          <w:szCs w:val="18"/>
        </w:rPr>
        <w:fldChar w:fldCharType="separate"/>
      </w:r>
      <w:r>
        <w:rPr>
          <w:rFonts w:ascii="Arial" w:hAnsi="Arial" w:cs="Arial"/>
          <w:b/>
          <w:noProof/>
          <w:sz w:val="18"/>
          <w:szCs w:val="18"/>
        </w:rPr>
        <w:t>6</w:t>
      </w:r>
      <w:r>
        <w:rPr>
          <w:rFonts w:ascii="Arial" w:hAnsi="Arial" w:cs="Arial"/>
          <w:b/>
          <w:sz w:val="18"/>
          <w:szCs w:val="18"/>
        </w:rPr>
        <w:fldChar w:fldCharType="end"/>
      </w:r>
      <w:r w:rsidRPr="0065177E">
        <w:rPr>
          <w:rFonts w:ascii="Arial" w:hAnsi="Arial" w:cs="Arial"/>
          <w:b/>
          <w:sz w:val="18"/>
          <w:szCs w:val="18"/>
        </w:rPr>
        <w:t xml:space="preserve"> Antenatal Care: K1 and K4 Coverage, 2001-2006</w:t>
      </w:r>
      <w:bookmarkEnd w:id="43"/>
    </w:p>
    <w:p w:rsidR="00E03A55" w:rsidRDefault="00E03A55" w:rsidP="00CC2233">
      <w:pPr>
        <w:ind w:firstLine="550"/>
      </w:pPr>
      <w:r w:rsidRPr="001814BA">
        <w:rPr>
          <w:noProof/>
          <w:lang w:val="en-US" w:eastAsia="en-US"/>
        </w:rPr>
        <w:pict>
          <v:shape id="Chart 11" o:spid="_x0000_i1030" type="#_x0000_t75" style="width:321pt;height:185.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">
            <v:imagedata r:id="rId16" o:title=""/>
            <o:lock v:ext="edit" aspectratio="f"/>
          </v:shape>
        </w:pict>
      </w:r>
    </w:p>
    <w:p w:rsidR="00E03A55" w:rsidRPr="0065177E" w:rsidRDefault="00E03A55" w:rsidP="00CC2233">
      <w:pPr>
        <w:ind w:firstLine="550"/>
        <w:jc w:val="both"/>
        <w:rPr>
          <w:rFonts w:ascii="Arial" w:hAnsi="Arial" w:cs="Arial"/>
          <w:sz w:val="16"/>
          <w:szCs w:val="16"/>
        </w:rPr>
      </w:pPr>
      <w:r w:rsidRPr="0065177E">
        <w:rPr>
          <w:rFonts w:ascii="Arial" w:hAnsi="Arial" w:cs="Arial"/>
          <w:sz w:val="16"/>
          <w:szCs w:val="16"/>
        </w:rPr>
        <w:t>Source: MoH, 2008a</w:t>
      </w:r>
    </w:p>
    <w:p w:rsidR="00E03A55" w:rsidRPr="00EC588C" w:rsidRDefault="00E03A55" w:rsidP="00256D17">
      <w:pPr>
        <w:pStyle w:val="Heading2"/>
      </w:pPr>
      <w:bookmarkStart w:id="44" w:name="_Toc239163840"/>
      <w:r w:rsidRPr="00053F33">
        <w:t xml:space="preserve">Indonesia’s </w:t>
      </w:r>
      <w:r>
        <w:t xml:space="preserve">Child </w:t>
      </w:r>
      <w:r w:rsidRPr="00053F33">
        <w:t>Health S</w:t>
      </w:r>
      <w:r>
        <w:t>tatus</w:t>
      </w:r>
      <w:bookmarkEnd w:id="44"/>
    </w:p>
    <w:p w:rsidR="00E03A55" w:rsidRDefault="00E03A55" w:rsidP="00CC23E6">
      <w:pPr>
        <w:tabs>
          <w:tab w:val="left" w:pos="567"/>
        </w:tabs>
        <w:ind w:firstLine="0"/>
        <w:jc w:val="both"/>
      </w:pPr>
      <w:r>
        <w:t xml:space="preserve">Health conditions of the Indonesian population have improved dramatically over the years. Infant mortality rate decreased from 46 per 1,000 live births in 1997 to 34 per 1,000 live births in 2007 (MoH, 2008a). The same pattern is found in declining of under-five mortality rate. The Indonesian Demographic and Health Survey (IDHS) data confirm that under-five mortality rate fell down from 97 per 1,000 live births in 1991 to 44 per 1,000 live births in 2007. </w:t>
      </w:r>
    </w:p>
    <w:p w:rsidR="00E03A55" w:rsidRDefault="00E03A55" w:rsidP="00CC23E6">
      <w:pPr>
        <w:tabs>
          <w:tab w:val="left" w:pos="567"/>
        </w:tabs>
        <w:ind w:firstLine="0"/>
        <w:jc w:val="both"/>
      </w:pPr>
      <w:r>
        <w:tab/>
        <w:t xml:space="preserve">Mortality in early childhood is related to neonatal and post-neonatal factors (MoH, 2008a). Neonatal mortality defines as the death of infants occurred in the months after the baby born. It caused by several reasons associated with child condition obtained from conception or during pregnancy. Meanwhile, post-neonatal death is infant mortality that happened between the age of one month and the age of one year. It influenced by the external environments for example house condition and access to sanitation or safe water. </w:t>
      </w:r>
    </w:p>
    <w:p w:rsidR="00E03A55" w:rsidRDefault="00E03A55" w:rsidP="00CC23E6">
      <w:pPr>
        <w:tabs>
          <w:tab w:val="left" w:pos="567"/>
        </w:tabs>
        <w:spacing w:after="200"/>
        <w:ind w:firstLine="0"/>
        <w:jc w:val="both"/>
      </w:pPr>
      <w:r>
        <w:tab/>
      </w:r>
      <w:r w:rsidRPr="001006D3">
        <w:t xml:space="preserve">Statistics shows that </w:t>
      </w:r>
      <w:r>
        <w:t xml:space="preserve">in 2005 </w:t>
      </w:r>
      <w:r w:rsidRPr="001006D3">
        <w:t xml:space="preserve">both neonatal and pneumonia are the main causes of infant mortality. They contributed to 68 percent of infant deaths. In addition, 9 percent of infant deaths are caused by </w:t>
      </w:r>
      <w:r w:rsidRPr="001006D3">
        <w:rPr>
          <w:rFonts w:cs="Arial"/>
          <w:lang w:val="en-US" w:eastAsia="en-US"/>
        </w:rPr>
        <w:t xml:space="preserve">diarrhea. </w:t>
      </w:r>
      <w:r>
        <w:rPr>
          <w:rFonts w:cs="Arial"/>
          <w:lang w:val="en-US" w:eastAsia="en-US"/>
        </w:rPr>
        <w:t xml:space="preserve">It suspects that poor sanitation and clean water contributes to high degree of diarrhea. </w:t>
      </w:r>
      <w:bookmarkStart w:id="45" w:name="OLE_LINK3"/>
      <w:bookmarkStart w:id="46" w:name="OLE_LINK4"/>
      <w:r>
        <w:rPr>
          <w:rFonts w:cs="Arial"/>
          <w:lang w:val="en-US" w:eastAsia="en-US"/>
        </w:rPr>
        <w:t>Surprisingly</w:t>
      </w:r>
      <w:bookmarkEnd w:id="45"/>
      <w:bookmarkEnd w:id="46"/>
      <w:r>
        <w:rPr>
          <w:rFonts w:cs="Arial"/>
          <w:lang w:val="en-US" w:eastAsia="en-US"/>
        </w:rPr>
        <w:t xml:space="preserve">, only 1.7 percent of infant deaths occurred because of malnutrition. </w:t>
      </w:r>
      <w:r>
        <w:t>It seems that Indonesia has made substantial progress in child nutrition in order to reduce infant mortality.</w:t>
      </w:r>
    </w:p>
    <w:p w:rsidR="00E03A55" w:rsidRDefault="00E03A55" w:rsidP="00CC23E6">
      <w:pPr>
        <w:tabs>
          <w:tab w:val="left" w:pos="567"/>
        </w:tabs>
        <w:spacing w:after="200"/>
        <w:ind w:firstLine="0"/>
        <w:jc w:val="both"/>
      </w:pPr>
    </w:p>
    <w:p w:rsidR="00E03A55" w:rsidRPr="008C56E8" w:rsidRDefault="00E03A55" w:rsidP="008C56E8">
      <w:pPr>
        <w:pStyle w:val="Caption"/>
        <w:spacing w:after="200"/>
        <w:jc w:val="center"/>
        <w:rPr>
          <w:rFonts w:ascii="Arial" w:hAnsi="Arial" w:cs="Arial"/>
          <w:b/>
          <w:sz w:val="18"/>
          <w:szCs w:val="18"/>
        </w:rPr>
      </w:pPr>
      <w:bookmarkStart w:id="47" w:name="_Toc239162879"/>
      <w:r w:rsidRPr="008C56E8">
        <w:rPr>
          <w:rFonts w:ascii="Arial" w:hAnsi="Arial" w:cs="Arial"/>
          <w:b/>
          <w:sz w:val="18"/>
          <w:szCs w:val="18"/>
        </w:rPr>
        <w:t xml:space="preserve">Figure </w:t>
      </w:r>
      <w:r w:rsidRPr="008C56E8">
        <w:rPr>
          <w:rFonts w:ascii="Arial" w:hAnsi="Arial" w:cs="Arial"/>
          <w:b/>
          <w:sz w:val="18"/>
          <w:szCs w:val="18"/>
        </w:rPr>
        <w:fldChar w:fldCharType="begin"/>
      </w:r>
      <w:r w:rsidRPr="008C56E8">
        <w:rPr>
          <w:rFonts w:ascii="Arial" w:hAnsi="Arial" w:cs="Arial"/>
          <w:b/>
          <w:sz w:val="18"/>
          <w:szCs w:val="18"/>
        </w:rPr>
        <w:instrText xml:space="preserve"> STYLEREF 1 \s </w:instrText>
      </w:r>
      <w:r w:rsidRPr="008C56E8">
        <w:rPr>
          <w:rFonts w:ascii="Arial" w:hAnsi="Arial" w:cs="Arial"/>
          <w:b/>
          <w:sz w:val="18"/>
          <w:szCs w:val="18"/>
        </w:rPr>
        <w:fldChar w:fldCharType="separate"/>
      </w:r>
      <w:r w:rsidRPr="008C56E8">
        <w:rPr>
          <w:rFonts w:ascii="Arial" w:hAnsi="Arial" w:cs="Arial"/>
          <w:b/>
          <w:noProof/>
          <w:sz w:val="18"/>
          <w:szCs w:val="18"/>
        </w:rPr>
        <w:t>2</w:t>
      </w:r>
      <w:r w:rsidRPr="008C56E8">
        <w:rPr>
          <w:rFonts w:ascii="Arial" w:hAnsi="Arial" w:cs="Arial"/>
          <w:b/>
          <w:sz w:val="18"/>
          <w:szCs w:val="18"/>
        </w:rPr>
        <w:fldChar w:fldCharType="end"/>
      </w:r>
      <w:r w:rsidRPr="008C56E8">
        <w:rPr>
          <w:rFonts w:ascii="Arial" w:hAnsi="Arial" w:cs="Arial"/>
          <w:b/>
          <w:sz w:val="18"/>
          <w:szCs w:val="18"/>
        </w:rPr>
        <w:t>.</w:t>
      </w:r>
      <w:r w:rsidRPr="008C56E8">
        <w:rPr>
          <w:rFonts w:ascii="Arial" w:hAnsi="Arial" w:cs="Arial"/>
          <w:b/>
          <w:sz w:val="18"/>
          <w:szCs w:val="18"/>
        </w:rPr>
        <w:fldChar w:fldCharType="begin"/>
      </w:r>
      <w:r w:rsidRPr="008C56E8">
        <w:rPr>
          <w:rFonts w:ascii="Arial" w:hAnsi="Arial" w:cs="Arial"/>
          <w:b/>
          <w:sz w:val="18"/>
          <w:szCs w:val="18"/>
        </w:rPr>
        <w:instrText xml:space="preserve"> SEQ Figure \* ARABIC \s 1 </w:instrText>
      </w:r>
      <w:r w:rsidRPr="008C56E8">
        <w:rPr>
          <w:rFonts w:ascii="Arial" w:hAnsi="Arial" w:cs="Arial"/>
          <w:b/>
          <w:sz w:val="18"/>
          <w:szCs w:val="18"/>
        </w:rPr>
        <w:fldChar w:fldCharType="separate"/>
      </w:r>
      <w:r w:rsidRPr="008C56E8">
        <w:rPr>
          <w:rFonts w:ascii="Arial" w:hAnsi="Arial" w:cs="Arial"/>
          <w:b/>
          <w:noProof/>
          <w:sz w:val="18"/>
          <w:szCs w:val="18"/>
        </w:rPr>
        <w:t>7</w:t>
      </w:r>
      <w:r w:rsidRPr="008C56E8">
        <w:rPr>
          <w:rFonts w:ascii="Arial" w:hAnsi="Arial" w:cs="Arial"/>
          <w:b/>
          <w:sz w:val="18"/>
          <w:szCs w:val="18"/>
        </w:rPr>
        <w:fldChar w:fldCharType="end"/>
      </w:r>
      <w:r w:rsidRPr="008C56E8">
        <w:rPr>
          <w:rFonts w:ascii="Arial" w:hAnsi="Arial" w:cs="Arial"/>
          <w:b/>
          <w:sz w:val="18"/>
          <w:szCs w:val="18"/>
        </w:rPr>
        <w:t xml:space="preserve"> Causes of Infant Deaths in Indonesia, 2005</w:t>
      </w:r>
      <w:bookmarkEnd w:id="47"/>
    </w:p>
    <w:p w:rsidR="00E03A55" w:rsidRDefault="00E03A55" w:rsidP="00CC23E6">
      <w:pPr>
        <w:ind w:firstLine="0"/>
        <w:jc w:val="center"/>
        <w:rPr>
          <w:rFonts w:ascii="Arial" w:hAnsi="Arial" w:cs="Arial"/>
          <w:b/>
          <w:sz w:val="18"/>
          <w:szCs w:val="18"/>
        </w:rPr>
      </w:pPr>
      <w:r w:rsidRPr="001814BA">
        <w:rPr>
          <w:rFonts w:ascii="Arial" w:hAnsi="Arial" w:cs="Arial"/>
          <w:b/>
          <w:noProof/>
          <w:sz w:val="18"/>
          <w:szCs w:val="18"/>
          <w:lang w:val="en-US" w:eastAsia="en-US"/>
        </w:rPr>
        <w:pict>
          <v:shape id="Chart 4" o:spid="_x0000_i1031" type="#_x0000_t75" style="width:311.25pt;height:184.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">
            <v:imagedata r:id="rId17" o:title=""/>
            <o:lock v:ext="edit" aspectratio="f"/>
          </v:shape>
        </w:pict>
      </w:r>
    </w:p>
    <w:p w:rsidR="00E03A55" w:rsidRPr="00F17737" w:rsidRDefault="00E03A55" w:rsidP="00CC23E6">
      <w:pPr>
        <w:spacing w:after="200"/>
        <w:ind w:firstLine="0"/>
        <w:jc w:val="both"/>
        <w:rPr>
          <w:sz w:val="16"/>
          <w:szCs w:val="16"/>
        </w:rPr>
      </w:pPr>
      <w:r w:rsidRPr="00F17737">
        <w:rPr>
          <w:rFonts w:ascii="Arial" w:hAnsi="Arial" w:cs="Arial"/>
          <w:sz w:val="16"/>
          <w:szCs w:val="16"/>
        </w:rPr>
        <w:t xml:space="preserve">            Source: MoH, 2008b</w:t>
      </w:r>
    </w:p>
    <w:p w:rsidR="00E03A55" w:rsidRDefault="00E03A55" w:rsidP="00CC23E6">
      <w:pPr>
        <w:tabs>
          <w:tab w:val="left" w:pos="567"/>
        </w:tabs>
        <w:ind w:firstLine="0"/>
        <w:jc w:val="both"/>
      </w:pPr>
      <w:r>
        <w:tab/>
        <w:t xml:space="preserve">Although significant progress in reducing child mortality has been achieved, Indonesia is still facing several problems. Firstly, there is a geographical disparity among provinces. The Indonesia’s Health Profile 2007 confirmed this problem. It reported that the lowest IMR with 19 deaths per 1,000 live births was achieved by Yogyakarta, while the highest IMR performed by West Sulawesi with 74 infant deaths for every 1,000 live births. This condition implies that the IMR in West Sulawesi is four times higher than Yogyakarta. On the other hand, the high rate of under-five mortality rate appeared dominantly in east region of Indonesia. They were West Sulawesi (96), Maluku (93) and West Nusa Tenggara (92). Their performances were far below Yogyakarta (22), Central Java (32) and Central Kalimantan (34). </w:t>
      </w:r>
    </w:p>
    <w:p w:rsidR="00E03A55" w:rsidRDefault="00E03A55" w:rsidP="00CC23E6">
      <w:pPr>
        <w:tabs>
          <w:tab w:val="left" w:pos="567"/>
        </w:tabs>
        <w:ind w:firstLine="0"/>
        <w:jc w:val="both"/>
      </w:pPr>
      <w:r>
        <w:tab/>
        <w:t xml:space="preserve">The second problem is significant disparities emerged across socio-economic groups (World Bank, 2007, 2008). The IDHS data for 2002-2003 showed that under-five mortality rate as high as 77 per 1,000 live births among the poorest households compared to about 22 per 1,000 among the wealthiest households. It means that the children who live in the poor households face higher probability to be dying than those in rich households. </w:t>
      </w:r>
    </w:p>
    <w:p w:rsidR="00E03A55" w:rsidRDefault="00E03A55" w:rsidP="00CC23E6">
      <w:pPr>
        <w:tabs>
          <w:tab w:val="left" w:pos="567"/>
        </w:tabs>
        <w:spacing w:after="200"/>
        <w:ind w:firstLine="0"/>
        <w:jc w:val="both"/>
      </w:pPr>
      <w:r>
        <w:tab/>
        <w:t>Thirdly, Indonesia’s performance is still below its closely neighbour countries in South East Asia. According to World Health Statistics 2008, Indonesia’s IMR is still higher than Malaysia (10), Thailand (20) and Vietnam (18). For under-five mortality rate, again Indonesia performed poorly compare to Thailand (8), Malaysia (12) or Vietnam (17).</w:t>
      </w:r>
    </w:p>
    <w:p w:rsidR="00E03A55" w:rsidRDefault="00E03A55" w:rsidP="00CC23E6">
      <w:pPr>
        <w:pStyle w:val="Heading2"/>
        <w:numPr>
          <w:ilvl w:val="0"/>
          <w:numId w:val="0"/>
        </w:numPr>
        <w:tabs>
          <w:tab w:val="left" w:pos="0"/>
        </w:tabs>
        <w:spacing w:before="0" w:after="200"/>
      </w:pPr>
      <w:bookmarkStart w:id="48" w:name="_Toc238987726"/>
      <w:bookmarkStart w:id="49" w:name="_Toc239163841"/>
      <w:r>
        <w:t>2.4</w:t>
      </w:r>
      <w:r>
        <w:tab/>
      </w:r>
      <w:r w:rsidRPr="004B5791">
        <w:t>Public Expenditure on Health</w:t>
      </w:r>
      <w:bookmarkEnd w:id="48"/>
      <w:bookmarkEnd w:id="49"/>
    </w:p>
    <w:p w:rsidR="00E03A55" w:rsidRDefault="00E03A55" w:rsidP="00CC23E6">
      <w:pPr>
        <w:spacing w:after="200"/>
        <w:ind w:firstLine="0"/>
        <w:jc w:val="both"/>
      </w:pPr>
      <w:r w:rsidRPr="00081EE2">
        <w:t>Public health expenditure in Indonesia has risen substantially sin</w:t>
      </w:r>
      <w:r>
        <w:t>ce 2001. It was doubling from 9.</w:t>
      </w:r>
      <w:r w:rsidRPr="00081EE2">
        <w:t>3 trillion rupiah in 2001 to 22</w:t>
      </w:r>
      <w:r>
        <w:t>.</w:t>
      </w:r>
      <w:r w:rsidRPr="00081EE2">
        <w:t xml:space="preserve"> 2 trillion rupiah in 2005 (table 2.6). In addition, budget allocation for 2006 showed that public health expenditure increase 63 percent compared with 2005. It was projected become 39 trillion rupiah</w:t>
      </w:r>
      <w:r>
        <w:t xml:space="preserve"> in 2007 and 39.7 trillion rupiah in 2008. </w:t>
      </w:r>
    </w:p>
    <w:p w:rsidR="00E03A55" w:rsidRPr="0072269B" w:rsidRDefault="00E03A55" w:rsidP="0072269B">
      <w:pPr>
        <w:pStyle w:val="Caption"/>
        <w:spacing w:after="200"/>
        <w:jc w:val="center"/>
        <w:rPr>
          <w:rFonts w:ascii="Arial" w:hAnsi="Arial" w:cs="Arial"/>
          <w:b/>
          <w:sz w:val="18"/>
          <w:szCs w:val="18"/>
        </w:rPr>
      </w:pPr>
      <w:bookmarkStart w:id="50" w:name="_Toc239157734"/>
      <w:r w:rsidRPr="0072269B">
        <w:rPr>
          <w:rFonts w:ascii="Arial" w:hAnsi="Arial" w:cs="Arial"/>
          <w:b/>
          <w:sz w:val="18"/>
          <w:szCs w:val="18"/>
        </w:rPr>
        <w:t xml:space="preserve">Table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Table \* ARABIC \s 1 </w:instrText>
      </w:r>
      <w:r>
        <w:rPr>
          <w:rFonts w:ascii="Arial" w:hAnsi="Arial" w:cs="Arial"/>
          <w:b/>
          <w:sz w:val="18"/>
          <w:szCs w:val="18"/>
        </w:rPr>
        <w:fldChar w:fldCharType="separate"/>
      </w:r>
      <w:r>
        <w:rPr>
          <w:rFonts w:ascii="Arial" w:hAnsi="Arial" w:cs="Arial"/>
          <w:b/>
          <w:noProof/>
          <w:sz w:val="18"/>
          <w:szCs w:val="18"/>
        </w:rPr>
        <w:t>6</w:t>
      </w:r>
      <w:r>
        <w:rPr>
          <w:rFonts w:ascii="Arial" w:hAnsi="Arial" w:cs="Arial"/>
          <w:b/>
          <w:sz w:val="18"/>
          <w:szCs w:val="18"/>
        </w:rPr>
        <w:fldChar w:fldCharType="end"/>
      </w:r>
      <w:r w:rsidRPr="0072269B">
        <w:rPr>
          <w:rFonts w:ascii="Arial" w:hAnsi="Arial" w:cs="Arial"/>
          <w:b/>
          <w:sz w:val="18"/>
          <w:szCs w:val="18"/>
        </w:rPr>
        <w:t xml:space="preserve"> Trends in Indonesia Public Health Expenditures, 2001-2007</w:t>
      </w:r>
      <w:bookmarkEnd w:id="50"/>
    </w:p>
    <w:tbl>
      <w:tblPr>
        <w:tblW w:w="7459" w:type="dxa"/>
        <w:jc w:val="center"/>
        <w:tblInd w:w="5" w:type="dxa"/>
        <w:tblLook w:val="00A0"/>
      </w:tblPr>
      <w:tblGrid>
        <w:gridCol w:w="2033"/>
        <w:gridCol w:w="656"/>
        <w:gridCol w:w="656"/>
        <w:gridCol w:w="656"/>
        <w:gridCol w:w="656"/>
        <w:gridCol w:w="656"/>
        <w:gridCol w:w="656"/>
        <w:gridCol w:w="713"/>
        <w:gridCol w:w="777"/>
      </w:tblGrid>
      <w:tr w:rsidR="00E03A55" w:rsidRPr="000C4FEF" w:rsidTr="0006289C">
        <w:trPr>
          <w:trHeight w:val="288"/>
          <w:jc w:val="center"/>
        </w:trPr>
        <w:tc>
          <w:tcPr>
            <w:tcW w:w="2033" w:type="dxa"/>
            <w:tcBorders>
              <w:top w:val="single" w:sz="4" w:space="0" w:color="auto"/>
              <w:left w:val="nil"/>
              <w:bottom w:val="single" w:sz="4" w:space="0" w:color="auto"/>
              <w:right w:val="nil"/>
            </w:tcBorders>
            <w:shd w:val="clear" w:color="000000" w:fill="95B3D7"/>
            <w:noWrap/>
            <w:vAlign w:val="center"/>
          </w:tcPr>
          <w:p w:rsidR="00E03A55" w:rsidRPr="000C4FEF" w:rsidRDefault="00E03A55" w:rsidP="00391BFE">
            <w:pPr>
              <w:suppressAutoHyphens w:val="0"/>
              <w:spacing w:after="0"/>
              <w:ind w:firstLine="0"/>
              <w:jc w:val="center"/>
              <w:rPr>
                <w:rFonts w:ascii="Arial" w:hAnsi="Arial" w:cs="Arial"/>
                <w:b/>
                <w:bCs/>
                <w:sz w:val="16"/>
                <w:szCs w:val="16"/>
                <w:lang w:val="en-US" w:eastAsia="en-US"/>
              </w:rPr>
            </w:pPr>
            <w:r w:rsidRPr="000C4FEF">
              <w:rPr>
                <w:rFonts w:ascii="Arial" w:hAnsi="Arial" w:cs="Arial"/>
                <w:b/>
                <w:bCs/>
                <w:sz w:val="16"/>
                <w:szCs w:val="16"/>
                <w:lang w:val="en-US" w:eastAsia="en-US"/>
              </w:rPr>
              <w:t> </w:t>
            </w:r>
          </w:p>
        </w:tc>
        <w:tc>
          <w:tcPr>
            <w:tcW w:w="656" w:type="dxa"/>
            <w:tcBorders>
              <w:top w:val="single" w:sz="4" w:space="0" w:color="auto"/>
              <w:left w:val="nil"/>
              <w:bottom w:val="single" w:sz="4" w:space="0" w:color="auto"/>
              <w:right w:val="nil"/>
            </w:tcBorders>
            <w:shd w:val="clear" w:color="000000" w:fill="95B3D7"/>
            <w:noWrap/>
            <w:vAlign w:val="center"/>
          </w:tcPr>
          <w:p w:rsidR="00E03A55" w:rsidRPr="000C4FEF" w:rsidRDefault="00E03A55" w:rsidP="00391BFE">
            <w:pPr>
              <w:suppressAutoHyphens w:val="0"/>
              <w:spacing w:after="0"/>
              <w:ind w:firstLine="0"/>
              <w:jc w:val="center"/>
              <w:rPr>
                <w:rFonts w:ascii="Arial" w:hAnsi="Arial" w:cs="Arial"/>
                <w:b/>
                <w:bCs/>
                <w:sz w:val="16"/>
                <w:szCs w:val="16"/>
                <w:lang w:val="en-US" w:eastAsia="en-US"/>
              </w:rPr>
            </w:pPr>
            <w:r w:rsidRPr="000C4FEF">
              <w:rPr>
                <w:rFonts w:ascii="Arial" w:hAnsi="Arial" w:cs="Arial"/>
                <w:b/>
                <w:bCs/>
                <w:sz w:val="16"/>
                <w:szCs w:val="16"/>
                <w:lang w:val="en-US" w:eastAsia="en-US"/>
              </w:rPr>
              <w:t>2001</w:t>
            </w:r>
          </w:p>
        </w:tc>
        <w:tc>
          <w:tcPr>
            <w:tcW w:w="656" w:type="dxa"/>
            <w:tcBorders>
              <w:top w:val="single" w:sz="4" w:space="0" w:color="auto"/>
              <w:left w:val="nil"/>
              <w:bottom w:val="single" w:sz="4" w:space="0" w:color="auto"/>
              <w:right w:val="nil"/>
            </w:tcBorders>
            <w:shd w:val="clear" w:color="000000" w:fill="95B3D7"/>
            <w:noWrap/>
            <w:vAlign w:val="center"/>
          </w:tcPr>
          <w:p w:rsidR="00E03A55" w:rsidRPr="000C4FEF" w:rsidRDefault="00E03A55" w:rsidP="00391BFE">
            <w:pPr>
              <w:suppressAutoHyphens w:val="0"/>
              <w:spacing w:after="0"/>
              <w:ind w:firstLine="0"/>
              <w:jc w:val="center"/>
              <w:rPr>
                <w:rFonts w:ascii="Arial" w:hAnsi="Arial" w:cs="Arial"/>
                <w:b/>
                <w:bCs/>
                <w:sz w:val="16"/>
                <w:szCs w:val="16"/>
                <w:lang w:val="en-US" w:eastAsia="en-US"/>
              </w:rPr>
            </w:pPr>
            <w:r w:rsidRPr="000C4FEF">
              <w:rPr>
                <w:rFonts w:ascii="Arial" w:hAnsi="Arial" w:cs="Arial"/>
                <w:b/>
                <w:bCs/>
                <w:sz w:val="16"/>
                <w:szCs w:val="16"/>
                <w:lang w:val="en-US" w:eastAsia="en-US"/>
              </w:rPr>
              <w:t>2002</w:t>
            </w:r>
          </w:p>
        </w:tc>
        <w:tc>
          <w:tcPr>
            <w:tcW w:w="656" w:type="dxa"/>
            <w:tcBorders>
              <w:top w:val="single" w:sz="4" w:space="0" w:color="auto"/>
              <w:left w:val="nil"/>
              <w:bottom w:val="single" w:sz="4" w:space="0" w:color="auto"/>
              <w:right w:val="nil"/>
            </w:tcBorders>
            <w:shd w:val="clear" w:color="000000" w:fill="95B3D7"/>
            <w:noWrap/>
            <w:vAlign w:val="center"/>
          </w:tcPr>
          <w:p w:rsidR="00E03A55" w:rsidRPr="000C4FEF" w:rsidRDefault="00E03A55" w:rsidP="00391BFE">
            <w:pPr>
              <w:suppressAutoHyphens w:val="0"/>
              <w:spacing w:after="0"/>
              <w:ind w:firstLine="0"/>
              <w:jc w:val="center"/>
              <w:rPr>
                <w:rFonts w:ascii="Arial" w:hAnsi="Arial" w:cs="Arial"/>
                <w:b/>
                <w:bCs/>
                <w:sz w:val="16"/>
                <w:szCs w:val="16"/>
                <w:lang w:val="en-US" w:eastAsia="en-US"/>
              </w:rPr>
            </w:pPr>
            <w:r w:rsidRPr="000C4FEF">
              <w:rPr>
                <w:rFonts w:ascii="Arial" w:hAnsi="Arial" w:cs="Arial"/>
                <w:b/>
                <w:bCs/>
                <w:sz w:val="16"/>
                <w:szCs w:val="16"/>
                <w:lang w:val="en-US" w:eastAsia="en-US"/>
              </w:rPr>
              <w:t>2003</w:t>
            </w:r>
          </w:p>
        </w:tc>
        <w:tc>
          <w:tcPr>
            <w:tcW w:w="656" w:type="dxa"/>
            <w:tcBorders>
              <w:top w:val="single" w:sz="4" w:space="0" w:color="auto"/>
              <w:left w:val="nil"/>
              <w:bottom w:val="single" w:sz="4" w:space="0" w:color="auto"/>
              <w:right w:val="nil"/>
            </w:tcBorders>
            <w:shd w:val="clear" w:color="000000" w:fill="95B3D7"/>
            <w:noWrap/>
            <w:vAlign w:val="center"/>
          </w:tcPr>
          <w:p w:rsidR="00E03A55" w:rsidRPr="000C4FEF" w:rsidRDefault="00E03A55" w:rsidP="00391BFE">
            <w:pPr>
              <w:suppressAutoHyphens w:val="0"/>
              <w:spacing w:after="0"/>
              <w:ind w:firstLine="0"/>
              <w:jc w:val="center"/>
              <w:rPr>
                <w:rFonts w:ascii="Arial" w:hAnsi="Arial" w:cs="Arial"/>
                <w:b/>
                <w:bCs/>
                <w:sz w:val="16"/>
                <w:szCs w:val="16"/>
                <w:lang w:val="en-US" w:eastAsia="en-US"/>
              </w:rPr>
            </w:pPr>
            <w:r w:rsidRPr="000C4FEF">
              <w:rPr>
                <w:rFonts w:ascii="Arial" w:hAnsi="Arial" w:cs="Arial"/>
                <w:b/>
                <w:bCs/>
                <w:sz w:val="16"/>
                <w:szCs w:val="16"/>
                <w:lang w:val="en-US" w:eastAsia="en-US"/>
              </w:rPr>
              <w:t>2004</w:t>
            </w:r>
          </w:p>
        </w:tc>
        <w:tc>
          <w:tcPr>
            <w:tcW w:w="656" w:type="dxa"/>
            <w:tcBorders>
              <w:top w:val="single" w:sz="4" w:space="0" w:color="auto"/>
              <w:left w:val="nil"/>
              <w:bottom w:val="single" w:sz="4" w:space="0" w:color="auto"/>
              <w:right w:val="nil"/>
            </w:tcBorders>
            <w:shd w:val="clear" w:color="000000" w:fill="95B3D7"/>
            <w:noWrap/>
            <w:vAlign w:val="center"/>
          </w:tcPr>
          <w:p w:rsidR="00E03A55" w:rsidRPr="000C4FEF" w:rsidRDefault="00E03A55" w:rsidP="00391BFE">
            <w:pPr>
              <w:suppressAutoHyphens w:val="0"/>
              <w:spacing w:after="0"/>
              <w:ind w:firstLine="0"/>
              <w:jc w:val="center"/>
              <w:rPr>
                <w:rFonts w:ascii="Arial" w:hAnsi="Arial" w:cs="Arial"/>
                <w:b/>
                <w:bCs/>
                <w:sz w:val="16"/>
                <w:szCs w:val="16"/>
                <w:lang w:val="en-US" w:eastAsia="en-US"/>
              </w:rPr>
            </w:pPr>
            <w:r w:rsidRPr="000C4FEF">
              <w:rPr>
                <w:rFonts w:ascii="Arial" w:hAnsi="Arial" w:cs="Arial"/>
                <w:b/>
                <w:bCs/>
                <w:sz w:val="16"/>
                <w:szCs w:val="16"/>
                <w:lang w:val="en-US" w:eastAsia="en-US"/>
              </w:rPr>
              <w:t>2005</w:t>
            </w:r>
          </w:p>
        </w:tc>
        <w:tc>
          <w:tcPr>
            <w:tcW w:w="656" w:type="dxa"/>
            <w:tcBorders>
              <w:top w:val="single" w:sz="4" w:space="0" w:color="auto"/>
              <w:left w:val="nil"/>
              <w:bottom w:val="single" w:sz="4" w:space="0" w:color="auto"/>
              <w:right w:val="nil"/>
            </w:tcBorders>
            <w:shd w:val="clear" w:color="000000" w:fill="95B3D7"/>
            <w:noWrap/>
            <w:vAlign w:val="center"/>
          </w:tcPr>
          <w:p w:rsidR="00E03A55" w:rsidRPr="000C4FEF" w:rsidRDefault="00E03A55" w:rsidP="00391BFE">
            <w:pPr>
              <w:suppressAutoHyphens w:val="0"/>
              <w:spacing w:after="0"/>
              <w:ind w:firstLine="0"/>
              <w:jc w:val="center"/>
              <w:rPr>
                <w:rFonts w:ascii="Arial" w:hAnsi="Arial" w:cs="Arial"/>
                <w:b/>
                <w:bCs/>
                <w:sz w:val="16"/>
                <w:szCs w:val="16"/>
                <w:lang w:val="en-US" w:eastAsia="en-US"/>
              </w:rPr>
            </w:pPr>
            <w:r w:rsidRPr="000C4FEF">
              <w:rPr>
                <w:rFonts w:ascii="Arial" w:hAnsi="Arial" w:cs="Arial"/>
                <w:b/>
                <w:bCs/>
                <w:sz w:val="16"/>
                <w:szCs w:val="16"/>
                <w:lang w:val="en-US" w:eastAsia="en-US"/>
              </w:rPr>
              <w:t>2006*</w:t>
            </w:r>
          </w:p>
        </w:tc>
        <w:tc>
          <w:tcPr>
            <w:tcW w:w="713" w:type="dxa"/>
            <w:tcBorders>
              <w:top w:val="single" w:sz="4" w:space="0" w:color="auto"/>
              <w:left w:val="nil"/>
              <w:bottom w:val="single" w:sz="4" w:space="0" w:color="auto"/>
              <w:right w:val="nil"/>
            </w:tcBorders>
            <w:shd w:val="clear" w:color="000000" w:fill="95B3D7"/>
            <w:noWrap/>
            <w:vAlign w:val="center"/>
          </w:tcPr>
          <w:p w:rsidR="00E03A55" w:rsidRPr="000C4FEF" w:rsidRDefault="00E03A55" w:rsidP="00391BFE">
            <w:pPr>
              <w:suppressAutoHyphens w:val="0"/>
              <w:spacing w:after="0"/>
              <w:ind w:firstLine="0"/>
              <w:jc w:val="center"/>
              <w:rPr>
                <w:rFonts w:ascii="Arial" w:hAnsi="Arial" w:cs="Arial"/>
                <w:b/>
                <w:bCs/>
                <w:sz w:val="16"/>
                <w:szCs w:val="16"/>
                <w:lang w:val="en-US" w:eastAsia="en-US"/>
              </w:rPr>
            </w:pPr>
            <w:r w:rsidRPr="000C4FEF">
              <w:rPr>
                <w:rFonts w:ascii="Arial" w:hAnsi="Arial" w:cs="Arial"/>
                <w:b/>
                <w:bCs/>
                <w:sz w:val="16"/>
                <w:szCs w:val="16"/>
                <w:lang w:val="en-US" w:eastAsia="en-US"/>
              </w:rPr>
              <w:t>2007**</w:t>
            </w:r>
          </w:p>
        </w:tc>
        <w:tc>
          <w:tcPr>
            <w:tcW w:w="777" w:type="dxa"/>
            <w:tcBorders>
              <w:top w:val="single" w:sz="4" w:space="0" w:color="auto"/>
              <w:left w:val="nil"/>
              <w:bottom w:val="single" w:sz="4" w:space="0" w:color="auto"/>
              <w:right w:val="nil"/>
            </w:tcBorders>
            <w:shd w:val="clear" w:color="000000" w:fill="95B3D7"/>
            <w:noWrap/>
            <w:vAlign w:val="center"/>
          </w:tcPr>
          <w:p w:rsidR="00E03A55" w:rsidRPr="000C4FEF" w:rsidRDefault="00E03A55" w:rsidP="00391BFE">
            <w:pPr>
              <w:suppressAutoHyphens w:val="0"/>
              <w:spacing w:after="0"/>
              <w:ind w:firstLine="0"/>
              <w:jc w:val="center"/>
              <w:rPr>
                <w:rFonts w:ascii="Arial" w:hAnsi="Arial" w:cs="Arial"/>
                <w:b/>
                <w:bCs/>
                <w:sz w:val="16"/>
                <w:szCs w:val="16"/>
                <w:lang w:val="en-US" w:eastAsia="en-US"/>
              </w:rPr>
            </w:pPr>
            <w:r w:rsidRPr="000C4FEF">
              <w:rPr>
                <w:rFonts w:ascii="Arial" w:hAnsi="Arial" w:cs="Arial"/>
                <w:b/>
                <w:bCs/>
                <w:sz w:val="16"/>
                <w:szCs w:val="16"/>
                <w:lang w:val="en-US" w:eastAsia="en-US"/>
              </w:rPr>
              <w:t>2008***</w:t>
            </w:r>
          </w:p>
        </w:tc>
      </w:tr>
      <w:tr w:rsidR="00E03A55" w:rsidRPr="000C4FEF" w:rsidTr="0006289C">
        <w:trPr>
          <w:trHeight w:val="561"/>
          <w:jc w:val="center"/>
        </w:trPr>
        <w:tc>
          <w:tcPr>
            <w:tcW w:w="2033" w:type="dxa"/>
            <w:tcBorders>
              <w:top w:val="nil"/>
              <w:left w:val="nil"/>
              <w:bottom w:val="nil"/>
              <w:right w:val="nil"/>
            </w:tcBorders>
            <w:vAlign w:val="center"/>
          </w:tcPr>
          <w:p w:rsidR="00E03A55" w:rsidRPr="0006289C" w:rsidRDefault="00E03A55" w:rsidP="00391BFE">
            <w:pPr>
              <w:suppressAutoHyphens w:val="0"/>
              <w:spacing w:after="0"/>
              <w:ind w:firstLine="0"/>
              <w:rPr>
                <w:rFonts w:ascii="Arial" w:hAnsi="Arial" w:cs="Arial"/>
                <w:color w:val="000000"/>
                <w:sz w:val="14"/>
                <w:szCs w:val="14"/>
                <w:lang w:val="en-US" w:eastAsia="en-US"/>
              </w:rPr>
            </w:pPr>
            <w:r w:rsidRPr="0006289C">
              <w:rPr>
                <w:rFonts w:ascii="Arial" w:hAnsi="Arial" w:cs="Arial"/>
                <w:color w:val="000000"/>
                <w:sz w:val="14"/>
                <w:szCs w:val="14"/>
                <w:lang w:val="en-US" w:eastAsia="en-US"/>
              </w:rPr>
              <w:t>National nominal health expenditures</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9,3</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11,0</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16,0</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16,7</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19,1</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31,2</w:t>
            </w:r>
          </w:p>
        </w:tc>
        <w:tc>
          <w:tcPr>
            <w:tcW w:w="713"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39,0</w:t>
            </w:r>
          </w:p>
        </w:tc>
        <w:tc>
          <w:tcPr>
            <w:tcW w:w="777"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39,7</w:t>
            </w:r>
          </w:p>
        </w:tc>
      </w:tr>
      <w:tr w:rsidR="00E03A55" w:rsidRPr="000C4FEF" w:rsidTr="0006289C">
        <w:trPr>
          <w:trHeight w:val="561"/>
          <w:jc w:val="center"/>
        </w:trPr>
        <w:tc>
          <w:tcPr>
            <w:tcW w:w="2033" w:type="dxa"/>
            <w:tcBorders>
              <w:top w:val="nil"/>
              <w:left w:val="nil"/>
              <w:bottom w:val="nil"/>
              <w:right w:val="nil"/>
            </w:tcBorders>
            <w:vAlign w:val="center"/>
          </w:tcPr>
          <w:p w:rsidR="00E03A55" w:rsidRPr="0006289C" w:rsidRDefault="00E03A55" w:rsidP="00391BFE">
            <w:pPr>
              <w:suppressAutoHyphens w:val="0"/>
              <w:spacing w:after="0"/>
              <w:ind w:firstLine="0"/>
              <w:rPr>
                <w:rFonts w:ascii="Arial" w:hAnsi="Arial" w:cs="Arial"/>
                <w:color w:val="000000"/>
                <w:sz w:val="14"/>
                <w:szCs w:val="14"/>
                <w:lang w:val="en-US" w:eastAsia="en-US"/>
              </w:rPr>
            </w:pPr>
            <w:r w:rsidRPr="0006289C">
              <w:rPr>
                <w:rFonts w:ascii="Arial" w:hAnsi="Arial" w:cs="Arial"/>
                <w:color w:val="000000"/>
                <w:sz w:val="14"/>
                <w:szCs w:val="14"/>
                <w:lang w:val="en-US" w:eastAsia="en-US"/>
              </w:rPr>
              <w:t>National health expenditures at constant prices (100=2000)</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8,3</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8,8</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12,1</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11,8</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12,2</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18,0</w:t>
            </w:r>
          </w:p>
        </w:tc>
        <w:tc>
          <w:tcPr>
            <w:tcW w:w="713"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20,9</w:t>
            </w:r>
          </w:p>
        </w:tc>
        <w:tc>
          <w:tcPr>
            <w:tcW w:w="777"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20,3</w:t>
            </w:r>
          </w:p>
        </w:tc>
      </w:tr>
      <w:tr w:rsidR="00E03A55" w:rsidRPr="000C4FEF" w:rsidTr="0006289C">
        <w:trPr>
          <w:trHeight w:val="561"/>
          <w:jc w:val="center"/>
        </w:trPr>
        <w:tc>
          <w:tcPr>
            <w:tcW w:w="2033" w:type="dxa"/>
            <w:tcBorders>
              <w:top w:val="nil"/>
              <w:left w:val="nil"/>
              <w:bottom w:val="nil"/>
              <w:right w:val="nil"/>
            </w:tcBorders>
            <w:vAlign w:val="center"/>
          </w:tcPr>
          <w:p w:rsidR="00E03A55" w:rsidRPr="0006289C" w:rsidRDefault="00E03A55" w:rsidP="00391BFE">
            <w:pPr>
              <w:suppressAutoHyphens w:val="0"/>
              <w:spacing w:after="0"/>
              <w:ind w:firstLine="0"/>
              <w:rPr>
                <w:rFonts w:ascii="Arial" w:hAnsi="Arial" w:cs="Arial"/>
                <w:color w:val="000000"/>
                <w:sz w:val="14"/>
                <w:szCs w:val="14"/>
                <w:lang w:val="en-US" w:eastAsia="en-US"/>
              </w:rPr>
            </w:pPr>
            <w:r w:rsidRPr="0006289C">
              <w:rPr>
                <w:rFonts w:ascii="Arial" w:hAnsi="Arial" w:cs="Arial"/>
                <w:color w:val="000000"/>
                <w:sz w:val="14"/>
                <w:szCs w:val="14"/>
                <w:lang w:val="en-US" w:eastAsia="en-US"/>
              </w:rPr>
              <w:t>Annual growth real national health expenditures (%)</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42,8</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19,0</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45,8</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4,1</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14,4</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63,3</w:t>
            </w:r>
          </w:p>
        </w:tc>
        <w:tc>
          <w:tcPr>
            <w:tcW w:w="713"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24,9</w:t>
            </w:r>
          </w:p>
        </w:tc>
        <w:tc>
          <w:tcPr>
            <w:tcW w:w="777"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1,8</w:t>
            </w:r>
          </w:p>
        </w:tc>
      </w:tr>
      <w:tr w:rsidR="00E03A55" w:rsidRPr="000C4FEF" w:rsidTr="0006289C">
        <w:trPr>
          <w:trHeight w:val="561"/>
          <w:jc w:val="center"/>
        </w:trPr>
        <w:tc>
          <w:tcPr>
            <w:tcW w:w="2033" w:type="dxa"/>
            <w:tcBorders>
              <w:top w:val="nil"/>
              <w:left w:val="nil"/>
              <w:bottom w:val="nil"/>
              <w:right w:val="nil"/>
            </w:tcBorders>
            <w:vAlign w:val="center"/>
          </w:tcPr>
          <w:p w:rsidR="00E03A55" w:rsidRPr="0006289C" w:rsidRDefault="00E03A55" w:rsidP="00391BFE">
            <w:pPr>
              <w:suppressAutoHyphens w:val="0"/>
              <w:spacing w:after="0"/>
              <w:ind w:firstLine="0"/>
              <w:rPr>
                <w:rFonts w:ascii="Arial" w:hAnsi="Arial" w:cs="Arial"/>
                <w:color w:val="000000"/>
                <w:sz w:val="14"/>
                <w:szCs w:val="14"/>
                <w:lang w:val="en-US" w:eastAsia="en-US"/>
              </w:rPr>
            </w:pPr>
            <w:r w:rsidRPr="0006289C">
              <w:rPr>
                <w:rFonts w:ascii="Arial" w:hAnsi="Arial" w:cs="Arial"/>
                <w:color w:val="000000"/>
                <w:sz w:val="14"/>
                <w:szCs w:val="14"/>
                <w:lang w:val="en-US" w:eastAsia="en-US"/>
              </w:rPr>
              <w:t>Public health expenditures as % of national total public expenditure (%)</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2,6</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3,2</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3,9</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3,6</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3,5</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4,4</w:t>
            </w:r>
          </w:p>
        </w:tc>
        <w:tc>
          <w:tcPr>
            <w:tcW w:w="713"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4,8</w:t>
            </w:r>
          </w:p>
        </w:tc>
        <w:tc>
          <w:tcPr>
            <w:tcW w:w="777"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4,4</w:t>
            </w:r>
          </w:p>
        </w:tc>
      </w:tr>
      <w:tr w:rsidR="00E03A55" w:rsidRPr="000C4FEF" w:rsidTr="0006289C">
        <w:trPr>
          <w:trHeight w:val="561"/>
          <w:jc w:val="center"/>
        </w:trPr>
        <w:tc>
          <w:tcPr>
            <w:tcW w:w="2033" w:type="dxa"/>
            <w:tcBorders>
              <w:top w:val="nil"/>
              <w:left w:val="nil"/>
              <w:bottom w:val="nil"/>
              <w:right w:val="nil"/>
            </w:tcBorders>
            <w:vAlign w:val="center"/>
          </w:tcPr>
          <w:p w:rsidR="00E03A55" w:rsidRPr="0006289C" w:rsidRDefault="00E03A55" w:rsidP="00391BFE">
            <w:pPr>
              <w:suppressAutoHyphens w:val="0"/>
              <w:spacing w:after="0"/>
              <w:ind w:firstLine="0"/>
              <w:rPr>
                <w:rFonts w:ascii="Arial" w:hAnsi="Arial" w:cs="Arial"/>
                <w:color w:val="000000"/>
                <w:sz w:val="14"/>
                <w:szCs w:val="14"/>
                <w:lang w:val="en-US" w:eastAsia="en-US"/>
              </w:rPr>
            </w:pPr>
            <w:r w:rsidRPr="0006289C">
              <w:rPr>
                <w:rFonts w:ascii="Arial" w:hAnsi="Arial" w:cs="Arial"/>
                <w:color w:val="000000"/>
                <w:sz w:val="14"/>
                <w:szCs w:val="14"/>
                <w:lang w:val="en-US" w:eastAsia="en-US"/>
              </w:rPr>
              <w:t xml:space="preserve">National public health </w:t>
            </w:r>
            <w:r>
              <w:rPr>
                <w:rFonts w:ascii="Arial" w:hAnsi="Arial" w:cs="Arial"/>
                <w:color w:val="000000"/>
                <w:sz w:val="14"/>
                <w:szCs w:val="14"/>
                <w:lang w:val="en-US" w:eastAsia="en-US"/>
              </w:rPr>
              <w:t xml:space="preserve">   </w:t>
            </w:r>
            <w:r w:rsidRPr="0006289C">
              <w:rPr>
                <w:rFonts w:ascii="Arial" w:hAnsi="Arial" w:cs="Arial"/>
                <w:color w:val="000000"/>
                <w:sz w:val="14"/>
                <w:szCs w:val="14"/>
                <w:lang w:val="en-US" w:eastAsia="en-US"/>
              </w:rPr>
              <w:t>expenditure as % of GDP (%)</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0,5</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0,6</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0,8</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0,7</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0,7</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0,9</w:t>
            </w:r>
          </w:p>
        </w:tc>
        <w:tc>
          <w:tcPr>
            <w:tcW w:w="713"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1,1</w:t>
            </w:r>
          </w:p>
        </w:tc>
        <w:tc>
          <w:tcPr>
            <w:tcW w:w="777"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1,1</w:t>
            </w:r>
          </w:p>
        </w:tc>
      </w:tr>
      <w:tr w:rsidR="00E03A55" w:rsidRPr="000C4FEF" w:rsidTr="0006289C">
        <w:trPr>
          <w:trHeight w:val="561"/>
          <w:jc w:val="center"/>
        </w:trPr>
        <w:tc>
          <w:tcPr>
            <w:tcW w:w="2033" w:type="dxa"/>
            <w:tcBorders>
              <w:top w:val="nil"/>
              <w:left w:val="nil"/>
              <w:bottom w:val="nil"/>
              <w:right w:val="nil"/>
            </w:tcBorders>
            <w:vAlign w:val="center"/>
          </w:tcPr>
          <w:p w:rsidR="00E03A55" w:rsidRPr="0006289C" w:rsidRDefault="00E03A55" w:rsidP="00391BFE">
            <w:pPr>
              <w:suppressAutoHyphens w:val="0"/>
              <w:spacing w:after="0"/>
              <w:ind w:firstLine="0"/>
              <w:rPr>
                <w:rFonts w:ascii="Arial" w:hAnsi="Arial" w:cs="Arial"/>
                <w:color w:val="000000"/>
                <w:sz w:val="14"/>
                <w:szCs w:val="14"/>
                <w:lang w:val="en-US" w:eastAsia="en-US"/>
              </w:rPr>
            </w:pPr>
            <w:r w:rsidRPr="0006289C">
              <w:rPr>
                <w:rFonts w:ascii="Arial" w:hAnsi="Arial" w:cs="Arial"/>
                <w:color w:val="000000"/>
                <w:sz w:val="14"/>
                <w:szCs w:val="14"/>
                <w:lang w:val="en-US" w:eastAsia="en-US"/>
              </w:rPr>
              <w:t xml:space="preserve">Total national public </w:t>
            </w:r>
            <w:r>
              <w:rPr>
                <w:rFonts w:ascii="Arial" w:hAnsi="Arial" w:cs="Arial"/>
                <w:color w:val="000000"/>
                <w:sz w:val="14"/>
                <w:szCs w:val="14"/>
                <w:lang w:val="en-US" w:eastAsia="en-US"/>
              </w:rPr>
              <w:t xml:space="preserve">     </w:t>
            </w:r>
            <w:r w:rsidRPr="0006289C">
              <w:rPr>
                <w:rFonts w:ascii="Arial" w:hAnsi="Arial" w:cs="Arial"/>
                <w:color w:val="000000"/>
                <w:sz w:val="14"/>
                <w:szCs w:val="14"/>
                <w:lang w:val="en-US" w:eastAsia="en-US"/>
              </w:rPr>
              <w:t>expenditure at current prices</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355,2</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339,6</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411,2</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459,8</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547,2</w:t>
            </w:r>
          </w:p>
        </w:tc>
        <w:tc>
          <w:tcPr>
            <w:tcW w:w="656"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714,7</w:t>
            </w:r>
          </w:p>
        </w:tc>
        <w:tc>
          <w:tcPr>
            <w:tcW w:w="713"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812,0</w:t>
            </w:r>
          </w:p>
        </w:tc>
        <w:tc>
          <w:tcPr>
            <w:tcW w:w="777" w:type="dxa"/>
            <w:tcBorders>
              <w:top w:val="nil"/>
              <w:left w:val="nil"/>
              <w:bottom w:val="nil"/>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891,8</w:t>
            </w:r>
          </w:p>
        </w:tc>
      </w:tr>
      <w:tr w:rsidR="00E03A55" w:rsidRPr="000C4FEF" w:rsidTr="0006289C">
        <w:trPr>
          <w:trHeight w:val="561"/>
          <w:jc w:val="center"/>
        </w:trPr>
        <w:tc>
          <w:tcPr>
            <w:tcW w:w="2033" w:type="dxa"/>
            <w:tcBorders>
              <w:top w:val="nil"/>
              <w:left w:val="nil"/>
              <w:bottom w:val="single" w:sz="4" w:space="0" w:color="auto"/>
              <w:right w:val="nil"/>
            </w:tcBorders>
            <w:vAlign w:val="center"/>
          </w:tcPr>
          <w:p w:rsidR="00E03A55" w:rsidRPr="0006289C" w:rsidRDefault="00E03A55" w:rsidP="00391BFE">
            <w:pPr>
              <w:suppressAutoHyphens w:val="0"/>
              <w:spacing w:after="0"/>
              <w:ind w:firstLine="0"/>
              <w:rPr>
                <w:rFonts w:ascii="Arial" w:hAnsi="Arial" w:cs="Arial"/>
                <w:color w:val="000000"/>
                <w:sz w:val="14"/>
                <w:szCs w:val="14"/>
                <w:lang w:val="en-US" w:eastAsia="en-US"/>
              </w:rPr>
            </w:pPr>
            <w:r w:rsidRPr="0006289C">
              <w:rPr>
                <w:rFonts w:ascii="Arial" w:hAnsi="Arial" w:cs="Arial"/>
                <w:color w:val="000000"/>
                <w:sz w:val="14"/>
                <w:szCs w:val="14"/>
                <w:lang w:val="en-US" w:eastAsia="en-US"/>
              </w:rPr>
              <w:t xml:space="preserve">Total national public </w:t>
            </w:r>
            <w:r>
              <w:rPr>
                <w:rFonts w:ascii="Arial" w:hAnsi="Arial" w:cs="Arial"/>
                <w:color w:val="000000"/>
                <w:sz w:val="14"/>
                <w:szCs w:val="14"/>
                <w:lang w:val="en-US" w:eastAsia="en-US"/>
              </w:rPr>
              <w:t xml:space="preserve">     </w:t>
            </w:r>
            <w:r w:rsidRPr="0006289C">
              <w:rPr>
                <w:rFonts w:ascii="Arial" w:hAnsi="Arial" w:cs="Arial"/>
                <w:color w:val="000000"/>
                <w:sz w:val="14"/>
                <w:szCs w:val="14"/>
                <w:lang w:val="en-US" w:eastAsia="en-US"/>
              </w:rPr>
              <w:t>expenditure at constant prices (2000=100)</w:t>
            </w:r>
          </w:p>
        </w:tc>
        <w:tc>
          <w:tcPr>
            <w:tcW w:w="656" w:type="dxa"/>
            <w:tcBorders>
              <w:top w:val="nil"/>
              <w:left w:val="nil"/>
              <w:bottom w:val="single" w:sz="4" w:space="0" w:color="auto"/>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318,6</w:t>
            </w:r>
          </w:p>
        </w:tc>
        <w:tc>
          <w:tcPr>
            <w:tcW w:w="656" w:type="dxa"/>
            <w:tcBorders>
              <w:top w:val="nil"/>
              <w:left w:val="nil"/>
              <w:bottom w:val="single" w:sz="4" w:space="0" w:color="auto"/>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272,2</w:t>
            </w:r>
          </w:p>
        </w:tc>
        <w:tc>
          <w:tcPr>
            <w:tcW w:w="656" w:type="dxa"/>
            <w:tcBorders>
              <w:top w:val="nil"/>
              <w:left w:val="nil"/>
              <w:bottom w:val="single" w:sz="4" w:space="0" w:color="auto"/>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309,3</w:t>
            </w:r>
          </w:p>
        </w:tc>
        <w:tc>
          <w:tcPr>
            <w:tcW w:w="656" w:type="dxa"/>
            <w:tcBorders>
              <w:top w:val="nil"/>
              <w:left w:val="nil"/>
              <w:bottom w:val="single" w:sz="4" w:space="0" w:color="auto"/>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325,6</w:t>
            </w:r>
          </w:p>
        </w:tc>
        <w:tc>
          <w:tcPr>
            <w:tcW w:w="656" w:type="dxa"/>
            <w:tcBorders>
              <w:top w:val="nil"/>
              <w:left w:val="nil"/>
              <w:bottom w:val="single" w:sz="4" w:space="0" w:color="auto"/>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350,8</w:t>
            </w:r>
          </w:p>
        </w:tc>
        <w:tc>
          <w:tcPr>
            <w:tcW w:w="656" w:type="dxa"/>
            <w:tcBorders>
              <w:top w:val="nil"/>
              <w:left w:val="nil"/>
              <w:bottom w:val="single" w:sz="4" w:space="0" w:color="auto"/>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412,0</w:t>
            </w:r>
          </w:p>
        </w:tc>
        <w:tc>
          <w:tcPr>
            <w:tcW w:w="713" w:type="dxa"/>
            <w:tcBorders>
              <w:top w:val="nil"/>
              <w:left w:val="nil"/>
              <w:bottom w:val="single" w:sz="4" w:space="0" w:color="auto"/>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435,0</w:t>
            </w:r>
          </w:p>
        </w:tc>
        <w:tc>
          <w:tcPr>
            <w:tcW w:w="777" w:type="dxa"/>
            <w:tcBorders>
              <w:top w:val="nil"/>
              <w:left w:val="nil"/>
              <w:bottom w:val="single" w:sz="4" w:space="0" w:color="auto"/>
              <w:right w:val="nil"/>
            </w:tcBorders>
            <w:noWrap/>
            <w:vAlign w:val="center"/>
          </w:tcPr>
          <w:p w:rsidR="00E03A55" w:rsidRPr="0006289C" w:rsidRDefault="00E03A55" w:rsidP="00391BFE">
            <w:pPr>
              <w:suppressAutoHyphens w:val="0"/>
              <w:spacing w:after="0"/>
              <w:ind w:firstLine="0"/>
              <w:jc w:val="center"/>
              <w:rPr>
                <w:rFonts w:ascii="Arial" w:hAnsi="Arial" w:cs="Arial"/>
                <w:color w:val="000000"/>
                <w:sz w:val="14"/>
                <w:szCs w:val="14"/>
                <w:lang w:val="en-US" w:eastAsia="en-US"/>
              </w:rPr>
            </w:pPr>
            <w:r w:rsidRPr="0006289C">
              <w:rPr>
                <w:rFonts w:ascii="Arial" w:hAnsi="Arial" w:cs="Arial"/>
                <w:color w:val="000000"/>
                <w:sz w:val="14"/>
                <w:szCs w:val="14"/>
                <w:lang w:val="en-US" w:eastAsia="en-US"/>
              </w:rPr>
              <w:t>455,4</w:t>
            </w:r>
          </w:p>
        </w:tc>
      </w:tr>
    </w:tbl>
    <w:p w:rsidR="00E03A55" w:rsidRPr="0006289C" w:rsidRDefault="00E03A55" w:rsidP="00CC23E6">
      <w:pPr>
        <w:spacing w:after="200"/>
        <w:ind w:firstLine="0"/>
        <w:jc w:val="both"/>
        <w:rPr>
          <w:rFonts w:ascii="Arial" w:hAnsi="Arial" w:cs="Arial"/>
          <w:sz w:val="16"/>
          <w:szCs w:val="16"/>
        </w:rPr>
      </w:pPr>
      <w:r>
        <w:t xml:space="preserve">  </w:t>
      </w:r>
      <w:r w:rsidRPr="0006289C">
        <w:rPr>
          <w:rFonts w:ascii="Arial" w:hAnsi="Arial" w:cs="Arial"/>
          <w:i/>
          <w:sz w:val="16"/>
          <w:szCs w:val="16"/>
        </w:rPr>
        <w:t>Source</w:t>
      </w:r>
      <w:r w:rsidRPr="0006289C">
        <w:rPr>
          <w:rFonts w:ascii="Arial" w:hAnsi="Arial" w:cs="Arial"/>
          <w:sz w:val="16"/>
          <w:szCs w:val="16"/>
        </w:rPr>
        <w:t>: World Bank 2008</w:t>
      </w:r>
    </w:p>
    <w:p w:rsidR="00E03A55" w:rsidRDefault="00E03A55" w:rsidP="00CC23E6">
      <w:pPr>
        <w:tabs>
          <w:tab w:val="left" w:pos="567"/>
        </w:tabs>
        <w:ind w:firstLine="0"/>
        <w:jc w:val="both"/>
      </w:pPr>
      <w:r>
        <w:tab/>
        <w:t>Public health expenditure has also increased relative to overall national expenditure, from 2.6 percent in 2001 to 3.5 percent in 2005. However, health expenditure as a share of GDP remains low. It only increased from 0.5 percent to 0.7 percent over the same period. The share was estimated to 0.9 percent in 2006 and 1.1percent in 2007.</w:t>
      </w:r>
      <w:r w:rsidRPr="00F018ED">
        <w:t xml:space="preserve"> </w:t>
      </w:r>
    </w:p>
    <w:p w:rsidR="00E03A55" w:rsidRDefault="00E03A55" w:rsidP="00CC23E6">
      <w:pPr>
        <w:tabs>
          <w:tab w:val="left" w:pos="567"/>
        </w:tabs>
        <w:spacing w:after="200"/>
        <w:ind w:firstLine="0"/>
        <w:jc w:val="both"/>
      </w:pPr>
      <w:r>
        <w:tab/>
        <w:t xml:space="preserve">Over the period 2001 to 2005, the average annual rate of health spending growth was 29 percent for all level of government. More specific, it was 41 percent for central government, 23 percent for provincial government, and 24 percent for district spending (World Bank, 2008). Furthermore, the majority of health expenditure was spent by the district level </w:t>
      </w:r>
      <w:r w:rsidRPr="00081EE2">
        <w:t>(table 2.7).</w:t>
      </w:r>
      <w:r>
        <w:rPr>
          <w:b/>
        </w:rPr>
        <w:t xml:space="preserve"> </w:t>
      </w:r>
      <w:r>
        <w:t>Districts spent 4.4 billion in 2001 and it became 9.9 in 2005. In 2005 district contributed for 52 percent of total expenditure while provinces and central contributed for 17 and 31 percent. This trend has remained consistent until 2006. In 2006 central level share of health expenditure started to increase. In 2006 and 2007, share of districts and central were relatively the same. The increase amount of health expenditure in central government is caused by the increase in social spending or the Askeskin health insurance program for the poor that is classified as central level expenditure (World Bank, 2008).</w:t>
      </w:r>
    </w:p>
    <w:p w:rsidR="00E03A55" w:rsidRPr="0072269B" w:rsidRDefault="00E03A55" w:rsidP="0072269B">
      <w:pPr>
        <w:pStyle w:val="Caption"/>
        <w:spacing w:after="200"/>
        <w:jc w:val="center"/>
        <w:rPr>
          <w:rFonts w:ascii="Arial" w:hAnsi="Arial" w:cs="Arial"/>
          <w:b/>
          <w:sz w:val="18"/>
          <w:szCs w:val="18"/>
        </w:rPr>
      </w:pPr>
      <w:bookmarkStart w:id="51" w:name="_Toc239157735"/>
      <w:r w:rsidRPr="0072269B">
        <w:rPr>
          <w:rFonts w:ascii="Arial" w:hAnsi="Arial" w:cs="Arial"/>
          <w:b/>
          <w:sz w:val="18"/>
          <w:szCs w:val="18"/>
        </w:rPr>
        <w:t xml:space="preserve">Table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Table \* ARABIC \s 1 </w:instrText>
      </w:r>
      <w:r>
        <w:rPr>
          <w:rFonts w:ascii="Arial" w:hAnsi="Arial" w:cs="Arial"/>
          <w:b/>
          <w:sz w:val="18"/>
          <w:szCs w:val="18"/>
        </w:rPr>
        <w:fldChar w:fldCharType="separate"/>
      </w:r>
      <w:r>
        <w:rPr>
          <w:rFonts w:ascii="Arial" w:hAnsi="Arial" w:cs="Arial"/>
          <w:b/>
          <w:noProof/>
          <w:sz w:val="18"/>
          <w:szCs w:val="18"/>
        </w:rPr>
        <w:t>7</w:t>
      </w:r>
      <w:r>
        <w:rPr>
          <w:rFonts w:ascii="Arial" w:hAnsi="Arial" w:cs="Arial"/>
          <w:b/>
          <w:sz w:val="18"/>
          <w:szCs w:val="18"/>
        </w:rPr>
        <w:fldChar w:fldCharType="end"/>
      </w:r>
      <w:r w:rsidRPr="0072269B">
        <w:rPr>
          <w:rFonts w:ascii="Arial" w:hAnsi="Arial" w:cs="Arial"/>
          <w:b/>
          <w:sz w:val="18"/>
          <w:szCs w:val="18"/>
        </w:rPr>
        <w:t xml:space="preserve"> Public Health Expenditures by Level of Government, 2001-2005</w:t>
      </w:r>
      <w:bookmarkEnd w:id="51"/>
    </w:p>
    <w:tbl>
      <w:tblPr>
        <w:tblW w:w="6760" w:type="dxa"/>
        <w:tblInd w:w="93" w:type="dxa"/>
        <w:tblLook w:val="00A0"/>
      </w:tblPr>
      <w:tblGrid>
        <w:gridCol w:w="839"/>
        <w:gridCol w:w="810"/>
        <w:gridCol w:w="483"/>
        <w:gridCol w:w="810"/>
        <w:gridCol w:w="483"/>
        <w:gridCol w:w="810"/>
        <w:gridCol w:w="483"/>
        <w:gridCol w:w="810"/>
        <w:gridCol w:w="483"/>
        <w:gridCol w:w="810"/>
        <w:gridCol w:w="483"/>
      </w:tblGrid>
      <w:tr w:rsidR="00E03A55" w:rsidRPr="00227D33" w:rsidTr="00391BFE">
        <w:trPr>
          <w:trHeight w:val="225"/>
        </w:trPr>
        <w:tc>
          <w:tcPr>
            <w:tcW w:w="760" w:type="dxa"/>
            <w:vMerge w:val="restart"/>
            <w:tcBorders>
              <w:top w:val="single" w:sz="4" w:space="0" w:color="auto"/>
              <w:left w:val="nil"/>
              <w:bottom w:val="single" w:sz="4" w:space="0" w:color="auto"/>
              <w:right w:val="nil"/>
            </w:tcBorders>
            <w:shd w:val="clear" w:color="000000" w:fill="95B3D7"/>
            <w:vAlign w:val="bottom"/>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Level of Gov.</w:t>
            </w:r>
          </w:p>
        </w:tc>
        <w:tc>
          <w:tcPr>
            <w:tcW w:w="1200" w:type="dxa"/>
            <w:gridSpan w:val="2"/>
            <w:tcBorders>
              <w:top w:val="single" w:sz="4" w:space="0" w:color="auto"/>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2001</w:t>
            </w:r>
          </w:p>
        </w:tc>
        <w:tc>
          <w:tcPr>
            <w:tcW w:w="1200" w:type="dxa"/>
            <w:gridSpan w:val="2"/>
            <w:tcBorders>
              <w:top w:val="single" w:sz="4" w:space="0" w:color="auto"/>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2002</w:t>
            </w:r>
          </w:p>
        </w:tc>
        <w:tc>
          <w:tcPr>
            <w:tcW w:w="1200" w:type="dxa"/>
            <w:gridSpan w:val="2"/>
            <w:tcBorders>
              <w:top w:val="single" w:sz="4" w:space="0" w:color="auto"/>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2003</w:t>
            </w:r>
          </w:p>
        </w:tc>
        <w:tc>
          <w:tcPr>
            <w:tcW w:w="1200" w:type="dxa"/>
            <w:gridSpan w:val="2"/>
            <w:tcBorders>
              <w:top w:val="single" w:sz="4" w:space="0" w:color="auto"/>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2004</w:t>
            </w:r>
          </w:p>
        </w:tc>
        <w:tc>
          <w:tcPr>
            <w:tcW w:w="1200" w:type="dxa"/>
            <w:gridSpan w:val="2"/>
            <w:tcBorders>
              <w:top w:val="single" w:sz="4" w:space="0" w:color="auto"/>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2005</w:t>
            </w:r>
          </w:p>
        </w:tc>
      </w:tr>
      <w:tr w:rsidR="00E03A55" w:rsidRPr="00227D33" w:rsidTr="00391BFE">
        <w:trPr>
          <w:trHeight w:val="225"/>
        </w:trPr>
        <w:tc>
          <w:tcPr>
            <w:tcW w:w="760" w:type="dxa"/>
            <w:vMerge/>
            <w:tcBorders>
              <w:top w:val="single" w:sz="4" w:space="0" w:color="auto"/>
              <w:left w:val="nil"/>
              <w:bottom w:val="single" w:sz="4" w:space="0" w:color="auto"/>
              <w:right w:val="nil"/>
            </w:tcBorders>
            <w:vAlign w:val="center"/>
          </w:tcPr>
          <w:p w:rsidR="00E03A55" w:rsidRPr="00227D33" w:rsidRDefault="00E03A55" w:rsidP="00391BFE">
            <w:pPr>
              <w:suppressAutoHyphens w:val="0"/>
              <w:spacing w:after="0"/>
              <w:ind w:firstLine="0"/>
              <w:rPr>
                <w:rFonts w:ascii="Arial" w:hAnsi="Arial" w:cs="Arial"/>
                <w:color w:val="000000"/>
                <w:sz w:val="16"/>
                <w:szCs w:val="16"/>
                <w:lang w:val="en-US" w:eastAsia="en-US"/>
              </w:rPr>
            </w:pPr>
          </w:p>
        </w:tc>
        <w:tc>
          <w:tcPr>
            <w:tcW w:w="810" w:type="dxa"/>
            <w:tcBorders>
              <w:top w:val="nil"/>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Nominal</w:t>
            </w:r>
          </w:p>
        </w:tc>
        <w:tc>
          <w:tcPr>
            <w:tcW w:w="390" w:type="dxa"/>
            <w:tcBorders>
              <w:top w:val="nil"/>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w:t>
            </w:r>
          </w:p>
        </w:tc>
        <w:tc>
          <w:tcPr>
            <w:tcW w:w="810" w:type="dxa"/>
            <w:tcBorders>
              <w:top w:val="nil"/>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Nominal</w:t>
            </w:r>
          </w:p>
        </w:tc>
        <w:tc>
          <w:tcPr>
            <w:tcW w:w="390" w:type="dxa"/>
            <w:tcBorders>
              <w:top w:val="nil"/>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w:t>
            </w:r>
          </w:p>
        </w:tc>
        <w:tc>
          <w:tcPr>
            <w:tcW w:w="810" w:type="dxa"/>
            <w:tcBorders>
              <w:top w:val="nil"/>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Nominal</w:t>
            </w:r>
          </w:p>
        </w:tc>
        <w:tc>
          <w:tcPr>
            <w:tcW w:w="390" w:type="dxa"/>
            <w:tcBorders>
              <w:top w:val="nil"/>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w:t>
            </w:r>
          </w:p>
        </w:tc>
        <w:tc>
          <w:tcPr>
            <w:tcW w:w="810" w:type="dxa"/>
            <w:tcBorders>
              <w:top w:val="nil"/>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Nominal</w:t>
            </w:r>
          </w:p>
        </w:tc>
        <w:tc>
          <w:tcPr>
            <w:tcW w:w="390" w:type="dxa"/>
            <w:tcBorders>
              <w:top w:val="nil"/>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w:t>
            </w:r>
          </w:p>
        </w:tc>
        <w:tc>
          <w:tcPr>
            <w:tcW w:w="810" w:type="dxa"/>
            <w:tcBorders>
              <w:top w:val="nil"/>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Nominal</w:t>
            </w:r>
          </w:p>
        </w:tc>
        <w:tc>
          <w:tcPr>
            <w:tcW w:w="390" w:type="dxa"/>
            <w:tcBorders>
              <w:top w:val="nil"/>
              <w:left w:val="nil"/>
              <w:bottom w:val="single" w:sz="4" w:space="0" w:color="auto"/>
              <w:right w:val="nil"/>
            </w:tcBorders>
            <w:shd w:val="clear" w:color="000000" w:fill="95B3D7"/>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w:t>
            </w:r>
          </w:p>
        </w:tc>
      </w:tr>
      <w:tr w:rsidR="00E03A55" w:rsidRPr="00227D33" w:rsidTr="00391BFE">
        <w:trPr>
          <w:trHeight w:val="225"/>
        </w:trPr>
        <w:tc>
          <w:tcPr>
            <w:tcW w:w="760" w:type="dxa"/>
            <w:tcBorders>
              <w:top w:val="nil"/>
              <w:left w:val="nil"/>
              <w:bottom w:val="nil"/>
              <w:right w:val="nil"/>
            </w:tcBorders>
            <w:noWrap/>
            <w:vAlign w:val="bottom"/>
          </w:tcPr>
          <w:p w:rsidR="00E03A55" w:rsidRPr="00227D33" w:rsidRDefault="00E03A55" w:rsidP="00391BFE">
            <w:pPr>
              <w:suppressAutoHyphens w:val="0"/>
              <w:spacing w:after="0"/>
              <w:ind w:firstLine="0"/>
              <w:rPr>
                <w:rFonts w:ascii="Arial" w:hAnsi="Arial" w:cs="Arial"/>
                <w:color w:val="000000"/>
                <w:sz w:val="16"/>
                <w:szCs w:val="16"/>
                <w:lang w:val="en-US" w:eastAsia="en-US"/>
              </w:rPr>
            </w:pPr>
            <w:r w:rsidRPr="00227D33">
              <w:rPr>
                <w:rFonts w:ascii="Arial" w:hAnsi="Arial" w:cs="Arial"/>
                <w:color w:val="000000"/>
                <w:sz w:val="16"/>
                <w:szCs w:val="16"/>
                <w:lang w:val="en-US" w:eastAsia="en-US"/>
              </w:rPr>
              <w:t xml:space="preserve">Central </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3,119</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34</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2,907</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26</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5,752</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36</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5,595</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33</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5,837</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31</w:t>
            </w:r>
          </w:p>
        </w:tc>
      </w:tr>
      <w:tr w:rsidR="00E03A55" w:rsidRPr="00227D33" w:rsidTr="00391BFE">
        <w:trPr>
          <w:trHeight w:val="225"/>
        </w:trPr>
        <w:tc>
          <w:tcPr>
            <w:tcW w:w="760" w:type="dxa"/>
            <w:tcBorders>
              <w:top w:val="nil"/>
              <w:left w:val="nil"/>
              <w:bottom w:val="nil"/>
              <w:right w:val="nil"/>
            </w:tcBorders>
            <w:noWrap/>
            <w:vAlign w:val="bottom"/>
          </w:tcPr>
          <w:p w:rsidR="00E03A55" w:rsidRPr="00227D33" w:rsidRDefault="00E03A55" w:rsidP="00391BFE">
            <w:pPr>
              <w:suppressAutoHyphens w:val="0"/>
              <w:spacing w:after="0"/>
              <w:ind w:firstLine="0"/>
              <w:rPr>
                <w:rFonts w:ascii="Arial" w:hAnsi="Arial" w:cs="Arial"/>
                <w:color w:val="000000"/>
                <w:sz w:val="16"/>
                <w:szCs w:val="16"/>
                <w:lang w:val="en-US" w:eastAsia="en-US"/>
              </w:rPr>
            </w:pPr>
            <w:r w:rsidRPr="00227D33">
              <w:rPr>
                <w:rFonts w:ascii="Arial" w:hAnsi="Arial" w:cs="Arial"/>
                <w:color w:val="000000"/>
                <w:sz w:val="16"/>
                <w:szCs w:val="16"/>
                <w:lang w:val="en-US" w:eastAsia="en-US"/>
              </w:rPr>
              <w:t>Province</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1,745</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19</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2,372</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22</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2,821</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18</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3,000</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18</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3,316</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17</w:t>
            </w:r>
          </w:p>
        </w:tc>
      </w:tr>
      <w:tr w:rsidR="00E03A55" w:rsidRPr="00227D33" w:rsidTr="00391BFE">
        <w:trPr>
          <w:trHeight w:val="225"/>
        </w:trPr>
        <w:tc>
          <w:tcPr>
            <w:tcW w:w="760" w:type="dxa"/>
            <w:tcBorders>
              <w:top w:val="nil"/>
              <w:left w:val="nil"/>
              <w:bottom w:val="nil"/>
              <w:right w:val="nil"/>
            </w:tcBorders>
            <w:noWrap/>
            <w:vAlign w:val="bottom"/>
          </w:tcPr>
          <w:p w:rsidR="00E03A55" w:rsidRPr="00227D33" w:rsidRDefault="00E03A55" w:rsidP="00391BFE">
            <w:pPr>
              <w:suppressAutoHyphens w:val="0"/>
              <w:spacing w:after="0"/>
              <w:ind w:firstLine="0"/>
              <w:rPr>
                <w:rFonts w:ascii="Arial" w:hAnsi="Arial" w:cs="Arial"/>
                <w:color w:val="000000"/>
                <w:sz w:val="16"/>
                <w:szCs w:val="16"/>
                <w:lang w:val="en-US" w:eastAsia="en-US"/>
              </w:rPr>
            </w:pPr>
            <w:r w:rsidRPr="00227D33">
              <w:rPr>
                <w:rFonts w:ascii="Arial" w:hAnsi="Arial" w:cs="Arial"/>
                <w:color w:val="000000"/>
                <w:sz w:val="16"/>
                <w:szCs w:val="16"/>
                <w:lang w:val="en-US" w:eastAsia="en-US"/>
              </w:rPr>
              <w:t>District</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4,387</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47</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5,725</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52</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7,473</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47</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8,108</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49</w:t>
            </w:r>
          </w:p>
        </w:tc>
        <w:tc>
          <w:tcPr>
            <w:tcW w:w="81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9,948</w:t>
            </w:r>
          </w:p>
        </w:tc>
        <w:tc>
          <w:tcPr>
            <w:tcW w:w="390" w:type="dxa"/>
            <w:tcBorders>
              <w:top w:val="nil"/>
              <w:left w:val="nil"/>
              <w:bottom w:val="nil"/>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52</w:t>
            </w:r>
          </w:p>
        </w:tc>
      </w:tr>
      <w:tr w:rsidR="00E03A55" w:rsidRPr="00227D33" w:rsidTr="00391BFE">
        <w:trPr>
          <w:trHeight w:val="225"/>
        </w:trPr>
        <w:tc>
          <w:tcPr>
            <w:tcW w:w="760" w:type="dxa"/>
            <w:tcBorders>
              <w:top w:val="nil"/>
              <w:left w:val="nil"/>
              <w:bottom w:val="single" w:sz="4" w:space="0" w:color="auto"/>
              <w:right w:val="nil"/>
            </w:tcBorders>
            <w:noWrap/>
            <w:vAlign w:val="bottom"/>
          </w:tcPr>
          <w:p w:rsidR="00E03A55" w:rsidRPr="00227D33" w:rsidRDefault="00E03A55" w:rsidP="00391BFE">
            <w:pPr>
              <w:suppressAutoHyphens w:val="0"/>
              <w:spacing w:after="0"/>
              <w:ind w:firstLine="0"/>
              <w:rPr>
                <w:rFonts w:ascii="Arial" w:hAnsi="Arial" w:cs="Arial"/>
                <w:color w:val="000000"/>
                <w:sz w:val="16"/>
                <w:szCs w:val="16"/>
                <w:lang w:val="en-US" w:eastAsia="en-US"/>
              </w:rPr>
            </w:pPr>
            <w:r w:rsidRPr="00227D33">
              <w:rPr>
                <w:rFonts w:ascii="Arial" w:hAnsi="Arial" w:cs="Arial"/>
                <w:color w:val="000000"/>
                <w:sz w:val="16"/>
                <w:szCs w:val="16"/>
                <w:lang w:val="en-US" w:eastAsia="en-US"/>
              </w:rPr>
              <w:t>Total</w:t>
            </w:r>
          </w:p>
        </w:tc>
        <w:tc>
          <w:tcPr>
            <w:tcW w:w="810" w:type="dxa"/>
            <w:tcBorders>
              <w:top w:val="nil"/>
              <w:left w:val="nil"/>
              <w:bottom w:val="single" w:sz="4" w:space="0" w:color="auto"/>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9,250</w:t>
            </w:r>
          </w:p>
        </w:tc>
        <w:tc>
          <w:tcPr>
            <w:tcW w:w="390" w:type="dxa"/>
            <w:tcBorders>
              <w:top w:val="nil"/>
              <w:left w:val="nil"/>
              <w:bottom w:val="single" w:sz="4" w:space="0" w:color="auto"/>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100</w:t>
            </w:r>
          </w:p>
        </w:tc>
        <w:tc>
          <w:tcPr>
            <w:tcW w:w="810" w:type="dxa"/>
            <w:tcBorders>
              <w:top w:val="nil"/>
              <w:left w:val="nil"/>
              <w:bottom w:val="single" w:sz="4" w:space="0" w:color="auto"/>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11,004</w:t>
            </w:r>
          </w:p>
        </w:tc>
        <w:tc>
          <w:tcPr>
            <w:tcW w:w="390" w:type="dxa"/>
            <w:tcBorders>
              <w:top w:val="nil"/>
              <w:left w:val="nil"/>
              <w:bottom w:val="single" w:sz="4" w:space="0" w:color="auto"/>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100</w:t>
            </w:r>
          </w:p>
        </w:tc>
        <w:tc>
          <w:tcPr>
            <w:tcW w:w="810" w:type="dxa"/>
            <w:tcBorders>
              <w:top w:val="nil"/>
              <w:left w:val="nil"/>
              <w:bottom w:val="single" w:sz="4" w:space="0" w:color="auto"/>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16,045</w:t>
            </w:r>
          </w:p>
        </w:tc>
        <w:tc>
          <w:tcPr>
            <w:tcW w:w="390" w:type="dxa"/>
            <w:tcBorders>
              <w:top w:val="nil"/>
              <w:left w:val="nil"/>
              <w:bottom w:val="single" w:sz="4" w:space="0" w:color="auto"/>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100</w:t>
            </w:r>
          </w:p>
        </w:tc>
        <w:tc>
          <w:tcPr>
            <w:tcW w:w="810" w:type="dxa"/>
            <w:tcBorders>
              <w:top w:val="nil"/>
              <w:left w:val="nil"/>
              <w:bottom w:val="single" w:sz="4" w:space="0" w:color="auto"/>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16,703</w:t>
            </w:r>
          </w:p>
        </w:tc>
        <w:tc>
          <w:tcPr>
            <w:tcW w:w="390" w:type="dxa"/>
            <w:tcBorders>
              <w:top w:val="nil"/>
              <w:left w:val="nil"/>
              <w:bottom w:val="single" w:sz="4" w:space="0" w:color="auto"/>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100</w:t>
            </w:r>
          </w:p>
        </w:tc>
        <w:tc>
          <w:tcPr>
            <w:tcW w:w="810" w:type="dxa"/>
            <w:tcBorders>
              <w:top w:val="nil"/>
              <w:left w:val="nil"/>
              <w:bottom w:val="single" w:sz="4" w:space="0" w:color="auto"/>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19,101</w:t>
            </w:r>
          </w:p>
        </w:tc>
        <w:tc>
          <w:tcPr>
            <w:tcW w:w="390" w:type="dxa"/>
            <w:tcBorders>
              <w:top w:val="nil"/>
              <w:left w:val="nil"/>
              <w:bottom w:val="single" w:sz="4" w:space="0" w:color="auto"/>
              <w:right w:val="nil"/>
            </w:tcBorders>
            <w:noWrap/>
            <w:vAlign w:val="center"/>
          </w:tcPr>
          <w:p w:rsidR="00E03A55" w:rsidRPr="00227D33" w:rsidRDefault="00E03A55" w:rsidP="00391BFE">
            <w:pPr>
              <w:suppressAutoHyphens w:val="0"/>
              <w:spacing w:after="0"/>
              <w:ind w:firstLine="0"/>
              <w:jc w:val="center"/>
              <w:rPr>
                <w:rFonts w:ascii="Arial" w:hAnsi="Arial" w:cs="Arial"/>
                <w:color w:val="000000"/>
                <w:sz w:val="16"/>
                <w:szCs w:val="16"/>
                <w:lang w:val="en-US" w:eastAsia="en-US"/>
              </w:rPr>
            </w:pPr>
            <w:r w:rsidRPr="00227D33">
              <w:rPr>
                <w:rFonts w:ascii="Arial" w:hAnsi="Arial" w:cs="Arial"/>
                <w:color w:val="000000"/>
                <w:sz w:val="16"/>
                <w:szCs w:val="16"/>
                <w:lang w:val="en-US" w:eastAsia="en-US"/>
              </w:rPr>
              <w:t>100</w:t>
            </w:r>
          </w:p>
        </w:tc>
      </w:tr>
    </w:tbl>
    <w:p w:rsidR="00E03A55" w:rsidRPr="0006289C" w:rsidRDefault="00E03A55" w:rsidP="00CC23E6">
      <w:pPr>
        <w:tabs>
          <w:tab w:val="left" w:pos="567"/>
        </w:tabs>
        <w:spacing w:after="200"/>
        <w:ind w:firstLine="0"/>
        <w:jc w:val="both"/>
        <w:rPr>
          <w:rFonts w:ascii="Arial" w:hAnsi="Arial" w:cs="Arial"/>
          <w:sz w:val="16"/>
          <w:szCs w:val="16"/>
        </w:rPr>
      </w:pPr>
      <w:r w:rsidRPr="0006289C">
        <w:rPr>
          <w:rFonts w:ascii="Arial" w:hAnsi="Arial" w:cs="Arial"/>
          <w:i/>
          <w:sz w:val="16"/>
          <w:szCs w:val="16"/>
        </w:rPr>
        <w:t>Source:</w:t>
      </w:r>
      <w:r w:rsidRPr="0006289C">
        <w:rPr>
          <w:rFonts w:ascii="Arial" w:hAnsi="Arial" w:cs="Arial"/>
          <w:sz w:val="16"/>
          <w:szCs w:val="16"/>
        </w:rPr>
        <w:t xml:space="preserve"> World Bank 2008</w:t>
      </w:r>
    </w:p>
    <w:p w:rsidR="00E03A55" w:rsidRDefault="00E03A55" w:rsidP="00CC23E6">
      <w:pPr>
        <w:tabs>
          <w:tab w:val="left" w:pos="567"/>
        </w:tabs>
        <w:ind w:firstLine="0"/>
        <w:jc w:val="both"/>
      </w:pPr>
      <w:r>
        <w:tab/>
        <w:t xml:space="preserve">Before 2005, Indonesia used the traditional classification of “routine” and “development” expenditure. Development expenditure is defined as expenditure creating future benefits. It is government investments, for instance construction or upgrading of health facilities. On other hand, routine expenditure consists of recurrent items, mainly salaries and allowances. In 2005, Indonesia introduced a unified budgeting system and the “routine” and “development” classification no longer being used (World Bank, 2008). Instead, the new budget categorizes between :(i) discretionary spending (similar to what was previously called “development”); (ii) non-discretionary spending (part of what used to be labelled “routine”); and (iii) an economic classification that includes personnel, material, social assistance and capital. These sub-classifications are used to be called “routine”. </w:t>
      </w:r>
    </w:p>
    <w:p w:rsidR="00E03A55" w:rsidRDefault="00E03A55" w:rsidP="00CC23E6">
      <w:pPr>
        <w:tabs>
          <w:tab w:val="left" w:pos="567"/>
        </w:tabs>
        <w:ind w:firstLine="0"/>
        <w:jc w:val="both"/>
      </w:pPr>
      <w:r>
        <w:tab/>
        <w:t xml:space="preserve">Using the “routine” and “development classification, it confirms that routine expenditure remained constant during period 2001 to 2005. A small decrease at central and provincial level was compensated by an increase at district level </w:t>
      </w:r>
      <w:r w:rsidRPr="0057323C">
        <w:t>(table 2.8).</w:t>
      </w:r>
      <w:r>
        <w:rPr>
          <w:b/>
        </w:rPr>
        <w:t xml:space="preserve"> </w:t>
      </w:r>
      <w:r>
        <w:t>In contrast, there</w:t>
      </w:r>
      <w:r w:rsidRPr="004744DD">
        <w:t xml:space="preserve"> </w:t>
      </w:r>
      <w:r>
        <w:t xml:space="preserve">was an increase in development expenditure. Development expenditure increased significantly from 2001 to 2004 at all level of governments. There was an increase of about 15 percent per annum during that time. Meanwhile, there was significant increase of health expenditure at district level. In 2005, it was account for 40 percent of total district’s health expenditure. </w:t>
      </w:r>
    </w:p>
    <w:p w:rsidR="00E03A55" w:rsidRDefault="00E03A55" w:rsidP="00CC23E6">
      <w:pPr>
        <w:tabs>
          <w:tab w:val="left" w:pos="567"/>
        </w:tabs>
        <w:spacing w:after="200"/>
        <w:ind w:firstLine="0"/>
        <w:jc w:val="both"/>
      </w:pPr>
      <w:r>
        <w:tab/>
        <w:t xml:space="preserve">The increase in development expenditure at district level after 2001 was probably a result of decentralization (World Bank, 2008). This comes from increased purchasing and procurements executed by district governments since most of functions of healthcare provision became their responsibilities. Moreover, introduction of </w:t>
      </w:r>
      <w:r>
        <w:rPr>
          <w:i/>
        </w:rPr>
        <w:t>DAK</w:t>
      </w:r>
      <w:r>
        <w:t xml:space="preserve"> for health sector that mainly used for infrastructure construction contributed to increase of development spending. </w:t>
      </w:r>
    </w:p>
    <w:p w:rsidR="00E03A55" w:rsidRPr="0072269B" w:rsidRDefault="00E03A55" w:rsidP="0072269B">
      <w:pPr>
        <w:pStyle w:val="Caption"/>
        <w:jc w:val="center"/>
        <w:rPr>
          <w:rFonts w:ascii="Arial" w:hAnsi="Arial" w:cs="Arial"/>
          <w:b/>
          <w:sz w:val="18"/>
          <w:szCs w:val="18"/>
        </w:rPr>
      </w:pPr>
      <w:bookmarkStart w:id="52" w:name="_Toc239157736"/>
      <w:r w:rsidRPr="0072269B">
        <w:rPr>
          <w:rFonts w:ascii="Arial" w:hAnsi="Arial" w:cs="Arial"/>
          <w:b/>
          <w:sz w:val="18"/>
          <w:szCs w:val="18"/>
        </w:rPr>
        <w:t xml:space="preserve">Table </w:t>
      </w:r>
      <w:r w:rsidRPr="0072269B">
        <w:rPr>
          <w:rFonts w:ascii="Arial" w:hAnsi="Arial" w:cs="Arial"/>
          <w:b/>
          <w:sz w:val="18"/>
          <w:szCs w:val="18"/>
        </w:rPr>
        <w:fldChar w:fldCharType="begin"/>
      </w:r>
      <w:r w:rsidRPr="0072269B">
        <w:rPr>
          <w:rFonts w:ascii="Arial" w:hAnsi="Arial" w:cs="Arial"/>
          <w:b/>
          <w:sz w:val="18"/>
          <w:szCs w:val="18"/>
        </w:rPr>
        <w:instrText xml:space="preserve"> STYLEREF 1 \s </w:instrText>
      </w:r>
      <w:r w:rsidRPr="0072269B">
        <w:rPr>
          <w:rFonts w:ascii="Arial" w:hAnsi="Arial" w:cs="Arial"/>
          <w:b/>
          <w:sz w:val="18"/>
          <w:szCs w:val="18"/>
        </w:rPr>
        <w:fldChar w:fldCharType="separate"/>
      </w:r>
      <w:r>
        <w:rPr>
          <w:rFonts w:ascii="Arial" w:hAnsi="Arial" w:cs="Arial"/>
          <w:b/>
          <w:noProof/>
          <w:sz w:val="18"/>
          <w:szCs w:val="18"/>
        </w:rPr>
        <w:t>2</w:t>
      </w:r>
      <w:r w:rsidRPr="0072269B">
        <w:rPr>
          <w:rFonts w:ascii="Arial" w:hAnsi="Arial" w:cs="Arial"/>
          <w:b/>
          <w:sz w:val="18"/>
          <w:szCs w:val="18"/>
        </w:rPr>
        <w:fldChar w:fldCharType="end"/>
      </w:r>
      <w:r w:rsidRPr="0072269B">
        <w:rPr>
          <w:rFonts w:ascii="Arial" w:hAnsi="Arial" w:cs="Arial"/>
          <w:b/>
          <w:sz w:val="18"/>
          <w:szCs w:val="18"/>
        </w:rPr>
        <w:t>.</w:t>
      </w:r>
      <w:r w:rsidRPr="0072269B">
        <w:rPr>
          <w:rFonts w:ascii="Arial" w:hAnsi="Arial" w:cs="Arial"/>
          <w:b/>
          <w:sz w:val="18"/>
          <w:szCs w:val="18"/>
        </w:rPr>
        <w:fldChar w:fldCharType="begin"/>
      </w:r>
      <w:r w:rsidRPr="0072269B">
        <w:rPr>
          <w:rFonts w:ascii="Arial" w:hAnsi="Arial" w:cs="Arial"/>
          <w:b/>
          <w:sz w:val="18"/>
          <w:szCs w:val="18"/>
        </w:rPr>
        <w:instrText xml:space="preserve"> SEQ Table \* ARABIC \s 1 </w:instrText>
      </w:r>
      <w:r w:rsidRPr="0072269B">
        <w:rPr>
          <w:rFonts w:ascii="Arial" w:hAnsi="Arial" w:cs="Arial"/>
          <w:b/>
          <w:sz w:val="18"/>
          <w:szCs w:val="18"/>
        </w:rPr>
        <w:fldChar w:fldCharType="separate"/>
      </w:r>
      <w:r>
        <w:rPr>
          <w:rFonts w:ascii="Arial" w:hAnsi="Arial" w:cs="Arial"/>
          <w:b/>
          <w:noProof/>
          <w:sz w:val="18"/>
          <w:szCs w:val="18"/>
        </w:rPr>
        <w:t>8</w:t>
      </w:r>
      <w:r w:rsidRPr="0072269B">
        <w:rPr>
          <w:rFonts w:ascii="Arial" w:hAnsi="Arial" w:cs="Arial"/>
          <w:b/>
          <w:sz w:val="18"/>
          <w:szCs w:val="18"/>
        </w:rPr>
        <w:fldChar w:fldCharType="end"/>
      </w:r>
      <w:r w:rsidRPr="0072269B">
        <w:rPr>
          <w:rFonts w:ascii="Arial" w:hAnsi="Arial" w:cs="Arial"/>
          <w:b/>
          <w:sz w:val="18"/>
          <w:szCs w:val="18"/>
        </w:rPr>
        <w:t xml:space="preserve"> Levels and Shares of Health Expenditures at Different Levels of Government, 2001-2005</w:t>
      </w:r>
      <w:bookmarkEnd w:id="52"/>
    </w:p>
    <w:tbl>
      <w:tblPr>
        <w:tblW w:w="7423" w:type="dxa"/>
        <w:tblInd w:w="93" w:type="dxa"/>
        <w:tblLook w:val="00A0"/>
      </w:tblPr>
      <w:tblGrid>
        <w:gridCol w:w="1433"/>
        <w:gridCol w:w="697"/>
        <w:gridCol w:w="501"/>
        <w:gridCol w:w="697"/>
        <w:gridCol w:w="501"/>
        <w:gridCol w:w="697"/>
        <w:gridCol w:w="501"/>
        <w:gridCol w:w="697"/>
        <w:gridCol w:w="501"/>
        <w:gridCol w:w="697"/>
        <w:gridCol w:w="501"/>
      </w:tblGrid>
      <w:tr w:rsidR="00E03A55" w:rsidRPr="00E2213F" w:rsidTr="001D50DE">
        <w:trPr>
          <w:trHeight w:val="231"/>
        </w:trPr>
        <w:tc>
          <w:tcPr>
            <w:tcW w:w="1433" w:type="dxa"/>
            <w:tcBorders>
              <w:top w:val="single" w:sz="4" w:space="0" w:color="auto"/>
              <w:left w:val="nil"/>
              <w:bottom w:val="nil"/>
              <w:right w:val="nil"/>
            </w:tcBorders>
            <w:shd w:val="clear" w:color="000000" w:fill="95B3D7"/>
            <w:noWrap/>
            <w:vAlign w:val="center"/>
          </w:tcPr>
          <w:p w:rsidR="00E03A55" w:rsidRPr="00E2213F" w:rsidRDefault="00E03A55" w:rsidP="00391BFE">
            <w:pPr>
              <w:suppressAutoHyphens w:val="0"/>
              <w:spacing w:after="0"/>
              <w:ind w:firstLine="0"/>
              <w:rPr>
                <w:rFonts w:ascii="Arial" w:hAnsi="Arial" w:cs="Arial"/>
                <w:color w:val="000000"/>
                <w:sz w:val="16"/>
                <w:szCs w:val="16"/>
                <w:lang w:val="en-US" w:eastAsia="en-US"/>
              </w:rPr>
            </w:pPr>
            <w:r w:rsidRPr="00E2213F">
              <w:rPr>
                <w:rFonts w:ascii="Arial" w:hAnsi="Arial" w:cs="Arial"/>
                <w:color w:val="000000"/>
                <w:sz w:val="16"/>
                <w:szCs w:val="16"/>
                <w:lang w:val="en-US" w:eastAsia="en-US"/>
              </w:rPr>
              <w:t> </w:t>
            </w:r>
          </w:p>
        </w:tc>
        <w:tc>
          <w:tcPr>
            <w:tcW w:w="1198" w:type="dxa"/>
            <w:gridSpan w:val="2"/>
            <w:tcBorders>
              <w:top w:val="single" w:sz="4" w:space="0" w:color="auto"/>
              <w:left w:val="nil"/>
              <w:bottom w:val="nil"/>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2001</w:t>
            </w:r>
          </w:p>
        </w:tc>
        <w:tc>
          <w:tcPr>
            <w:tcW w:w="1198" w:type="dxa"/>
            <w:gridSpan w:val="2"/>
            <w:tcBorders>
              <w:top w:val="single" w:sz="4" w:space="0" w:color="auto"/>
              <w:left w:val="nil"/>
              <w:bottom w:val="nil"/>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2002</w:t>
            </w:r>
          </w:p>
        </w:tc>
        <w:tc>
          <w:tcPr>
            <w:tcW w:w="1198" w:type="dxa"/>
            <w:gridSpan w:val="2"/>
            <w:tcBorders>
              <w:top w:val="single" w:sz="4" w:space="0" w:color="auto"/>
              <w:left w:val="nil"/>
              <w:bottom w:val="nil"/>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2003</w:t>
            </w:r>
          </w:p>
        </w:tc>
        <w:tc>
          <w:tcPr>
            <w:tcW w:w="1198" w:type="dxa"/>
            <w:gridSpan w:val="2"/>
            <w:tcBorders>
              <w:top w:val="single" w:sz="4" w:space="0" w:color="auto"/>
              <w:left w:val="nil"/>
              <w:bottom w:val="nil"/>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2004</w:t>
            </w:r>
          </w:p>
        </w:tc>
        <w:tc>
          <w:tcPr>
            <w:tcW w:w="1198" w:type="dxa"/>
            <w:gridSpan w:val="2"/>
            <w:tcBorders>
              <w:top w:val="single" w:sz="4" w:space="0" w:color="auto"/>
              <w:left w:val="nil"/>
              <w:bottom w:val="nil"/>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2005</w:t>
            </w:r>
          </w:p>
        </w:tc>
      </w:tr>
      <w:tr w:rsidR="00E03A55" w:rsidRPr="00E2213F" w:rsidTr="001D50DE">
        <w:trPr>
          <w:trHeight w:val="231"/>
        </w:trPr>
        <w:tc>
          <w:tcPr>
            <w:tcW w:w="1433" w:type="dxa"/>
            <w:tcBorders>
              <w:top w:val="nil"/>
              <w:left w:val="nil"/>
              <w:bottom w:val="single" w:sz="4" w:space="0" w:color="auto"/>
              <w:right w:val="nil"/>
            </w:tcBorders>
            <w:shd w:val="clear" w:color="000000" w:fill="95B3D7"/>
            <w:noWrap/>
            <w:vAlign w:val="center"/>
          </w:tcPr>
          <w:p w:rsidR="00E03A55" w:rsidRPr="00E2213F" w:rsidRDefault="00E03A55" w:rsidP="00391BFE">
            <w:pPr>
              <w:suppressAutoHyphens w:val="0"/>
              <w:spacing w:after="0"/>
              <w:ind w:firstLine="0"/>
              <w:rPr>
                <w:rFonts w:ascii="Arial" w:hAnsi="Arial" w:cs="Arial"/>
                <w:color w:val="000000"/>
                <w:sz w:val="16"/>
                <w:szCs w:val="16"/>
                <w:lang w:val="en-US" w:eastAsia="en-US"/>
              </w:rPr>
            </w:pPr>
            <w:r w:rsidRPr="00E2213F">
              <w:rPr>
                <w:rFonts w:ascii="Arial" w:hAnsi="Arial" w:cs="Arial"/>
                <w:color w:val="000000"/>
                <w:sz w:val="16"/>
                <w:szCs w:val="16"/>
                <w:lang w:val="en-US" w:eastAsia="en-US"/>
              </w:rPr>
              <w:t> </w:t>
            </w:r>
          </w:p>
        </w:tc>
        <w:tc>
          <w:tcPr>
            <w:tcW w:w="697" w:type="dxa"/>
            <w:tcBorders>
              <w:top w:val="single" w:sz="4" w:space="0" w:color="auto"/>
              <w:left w:val="nil"/>
              <w:bottom w:val="single" w:sz="4" w:space="0" w:color="auto"/>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Nom.</w:t>
            </w:r>
          </w:p>
        </w:tc>
        <w:tc>
          <w:tcPr>
            <w:tcW w:w="501" w:type="dxa"/>
            <w:tcBorders>
              <w:top w:val="single" w:sz="4" w:space="0" w:color="auto"/>
              <w:left w:val="nil"/>
              <w:bottom w:val="single" w:sz="4" w:space="0" w:color="auto"/>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w:t>
            </w:r>
          </w:p>
        </w:tc>
        <w:tc>
          <w:tcPr>
            <w:tcW w:w="697" w:type="dxa"/>
            <w:tcBorders>
              <w:top w:val="single" w:sz="4" w:space="0" w:color="auto"/>
              <w:left w:val="nil"/>
              <w:bottom w:val="single" w:sz="4" w:space="0" w:color="auto"/>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Nom.</w:t>
            </w:r>
          </w:p>
        </w:tc>
        <w:tc>
          <w:tcPr>
            <w:tcW w:w="501" w:type="dxa"/>
            <w:tcBorders>
              <w:top w:val="single" w:sz="4" w:space="0" w:color="auto"/>
              <w:left w:val="nil"/>
              <w:bottom w:val="single" w:sz="4" w:space="0" w:color="auto"/>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w:t>
            </w:r>
          </w:p>
        </w:tc>
        <w:tc>
          <w:tcPr>
            <w:tcW w:w="697" w:type="dxa"/>
            <w:tcBorders>
              <w:top w:val="single" w:sz="4" w:space="0" w:color="auto"/>
              <w:left w:val="nil"/>
              <w:bottom w:val="single" w:sz="4" w:space="0" w:color="auto"/>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Nom.</w:t>
            </w:r>
          </w:p>
        </w:tc>
        <w:tc>
          <w:tcPr>
            <w:tcW w:w="501" w:type="dxa"/>
            <w:tcBorders>
              <w:top w:val="single" w:sz="4" w:space="0" w:color="auto"/>
              <w:left w:val="nil"/>
              <w:bottom w:val="single" w:sz="4" w:space="0" w:color="auto"/>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w:t>
            </w:r>
          </w:p>
        </w:tc>
        <w:tc>
          <w:tcPr>
            <w:tcW w:w="697" w:type="dxa"/>
            <w:tcBorders>
              <w:top w:val="single" w:sz="4" w:space="0" w:color="auto"/>
              <w:left w:val="nil"/>
              <w:bottom w:val="single" w:sz="4" w:space="0" w:color="auto"/>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Nom.</w:t>
            </w:r>
          </w:p>
        </w:tc>
        <w:tc>
          <w:tcPr>
            <w:tcW w:w="501" w:type="dxa"/>
            <w:tcBorders>
              <w:top w:val="single" w:sz="4" w:space="0" w:color="auto"/>
              <w:left w:val="nil"/>
              <w:bottom w:val="single" w:sz="4" w:space="0" w:color="auto"/>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w:t>
            </w:r>
          </w:p>
        </w:tc>
        <w:tc>
          <w:tcPr>
            <w:tcW w:w="697" w:type="dxa"/>
            <w:tcBorders>
              <w:top w:val="single" w:sz="4" w:space="0" w:color="auto"/>
              <w:left w:val="nil"/>
              <w:bottom w:val="single" w:sz="4" w:space="0" w:color="auto"/>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Nom.</w:t>
            </w:r>
          </w:p>
        </w:tc>
        <w:tc>
          <w:tcPr>
            <w:tcW w:w="501" w:type="dxa"/>
            <w:tcBorders>
              <w:top w:val="single" w:sz="4" w:space="0" w:color="auto"/>
              <w:left w:val="nil"/>
              <w:bottom w:val="single" w:sz="4" w:space="0" w:color="auto"/>
              <w:right w:val="nil"/>
            </w:tcBorders>
            <w:shd w:val="clear" w:color="000000" w:fill="95B3D7"/>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w:t>
            </w:r>
          </w:p>
        </w:tc>
      </w:tr>
      <w:tr w:rsidR="00E03A55" w:rsidRPr="00E2213F" w:rsidTr="001D50DE">
        <w:trPr>
          <w:trHeight w:val="445"/>
        </w:trPr>
        <w:tc>
          <w:tcPr>
            <w:tcW w:w="1433" w:type="dxa"/>
            <w:tcBorders>
              <w:top w:val="nil"/>
              <w:left w:val="nil"/>
              <w:bottom w:val="nil"/>
              <w:right w:val="nil"/>
            </w:tcBorders>
            <w:vAlign w:val="center"/>
          </w:tcPr>
          <w:p w:rsidR="00E03A55" w:rsidRPr="00E2213F" w:rsidRDefault="00E03A55" w:rsidP="00391BFE">
            <w:pPr>
              <w:suppressAutoHyphens w:val="0"/>
              <w:spacing w:after="0"/>
              <w:ind w:firstLine="0"/>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 xml:space="preserve">Central </w:t>
            </w:r>
            <w:r>
              <w:rPr>
                <w:rFonts w:ascii="Arial" w:hAnsi="Arial" w:cs="Arial"/>
                <w:b/>
                <w:bCs/>
                <w:color w:val="000000"/>
                <w:sz w:val="16"/>
                <w:szCs w:val="16"/>
                <w:lang w:val="en-US" w:eastAsia="en-US"/>
              </w:rPr>
              <w:t xml:space="preserve">      </w:t>
            </w:r>
            <w:r w:rsidRPr="00E2213F">
              <w:rPr>
                <w:rFonts w:ascii="Arial" w:hAnsi="Arial" w:cs="Arial"/>
                <w:b/>
                <w:bCs/>
                <w:color w:val="000000"/>
                <w:sz w:val="16"/>
                <w:szCs w:val="16"/>
                <w:lang w:val="en-US" w:eastAsia="en-US"/>
              </w:rPr>
              <w:t>government</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3,1</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34</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2,9</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26</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5,8</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36</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5,6</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34</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5,8</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31</w:t>
            </w:r>
          </w:p>
        </w:tc>
      </w:tr>
      <w:tr w:rsidR="00E03A55" w:rsidRPr="00E2213F" w:rsidTr="001D50DE">
        <w:trPr>
          <w:trHeight w:val="231"/>
        </w:trPr>
        <w:tc>
          <w:tcPr>
            <w:tcW w:w="1433" w:type="dxa"/>
            <w:tcBorders>
              <w:top w:val="nil"/>
              <w:left w:val="nil"/>
              <w:bottom w:val="nil"/>
              <w:right w:val="nil"/>
            </w:tcBorders>
            <w:noWrap/>
            <w:vAlign w:val="center"/>
          </w:tcPr>
          <w:p w:rsidR="00E03A55" w:rsidRPr="00E2213F" w:rsidRDefault="00E03A55" w:rsidP="00391BFE">
            <w:pPr>
              <w:suppressAutoHyphens w:val="0"/>
              <w:spacing w:after="0"/>
              <w:ind w:firstLine="0"/>
              <w:rPr>
                <w:rFonts w:ascii="Arial" w:hAnsi="Arial" w:cs="Arial"/>
                <w:color w:val="000000"/>
                <w:sz w:val="16"/>
                <w:szCs w:val="16"/>
                <w:lang w:val="en-US" w:eastAsia="en-US"/>
              </w:rPr>
            </w:pPr>
            <w:r w:rsidRPr="00E2213F">
              <w:rPr>
                <w:rFonts w:ascii="Arial" w:hAnsi="Arial" w:cs="Arial"/>
                <w:color w:val="000000"/>
                <w:sz w:val="16"/>
                <w:szCs w:val="16"/>
                <w:lang w:val="en-US" w:eastAsia="en-US"/>
              </w:rPr>
              <w:t>Development</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2,3</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74</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2,4</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84</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5,3</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92</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5,0</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89</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w:t>
            </w:r>
          </w:p>
        </w:tc>
      </w:tr>
      <w:tr w:rsidR="00E03A55" w:rsidRPr="00E2213F" w:rsidTr="001D50DE">
        <w:trPr>
          <w:trHeight w:val="231"/>
        </w:trPr>
        <w:tc>
          <w:tcPr>
            <w:tcW w:w="1433" w:type="dxa"/>
            <w:tcBorders>
              <w:top w:val="nil"/>
              <w:left w:val="nil"/>
              <w:bottom w:val="nil"/>
              <w:right w:val="nil"/>
            </w:tcBorders>
            <w:noWrap/>
            <w:vAlign w:val="center"/>
          </w:tcPr>
          <w:p w:rsidR="00E03A55" w:rsidRPr="00E2213F" w:rsidRDefault="00E03A55" w:rsidP="00391BFE">
            <w:pPr>
              <w:suppressAutoHyphens w:val="0"/>
              <w:spacing w:after="0"/>
              <w:ind w:firstLine="0"/>
              <w:rPr>
                <w:rFonts w:ascii="Arial" w:hAnsi="Arial" w:cs="Arial"/>
                <w:color w:val="000000"/>
                <w:sz w:val="16"/>
                <w:szCs w:val="16"/>
                <w:lang w:val="en-US" w:eastAsia="en-US"/>
              </w:rPr>
            </w:pPr>
            <w:r w:rsidRPr="00E2213F">
              <w:rPr>
                <w:rFonts w:ascii="Arial" w:hAnsi="Arial" w:cs="Arial"/>
                <w:color w:val="000000"/>
                <w:sz w:val="16"/>
                <w:szCs w:val="16"/>
                <w:lang w:val="en-US" w:eastAsia="en-US"/>
              </w:rPr>
              <w:t>Routine</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0,8</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26</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0,5</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16</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0,5</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8</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0,6</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11</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w:t>
            </w:r>
          </w:p>
        </w:tc>
      </w:tr>
      <w:tr w:rsidR="00E03A55" w:rsidRPr="00E2213F" w:rsidTr="001D50DE">
        <w:trPr>
          <w:trHeight w:val="445"/>
        </w:trPr>
        <w:tc>
          <w:tcPr>
            <w:tcW w:w="1433" w:type="dxa"/>
            <w:tcBorders>
              <w:top w:val="nil"/>
              <w:left w:val="nil"/>
              <w:bottom w:val="nil"/>
              <w:right w:val="nil"/>
            </w:tcBorders>
            <w:vAlign w:val="center"/>
          </w:tcPr>
          <w:p w:rsidR="00E03A55" w:rsidRPr="00E2213F" w:rsidRDefault="00E03A55" w:rsidP="00391BFE">
            <w:pPr>
              <w:suppressAutoHyphens w:val="0"/>
              <w:spacing w:after="0"/>
              <w:ind w:firstLine="0"/>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 xml:space="preserve">Provincial </w:t>
            </w:r>
            <w:r>
              <w:rPr>
                <w:rFonts w:ascii="Arial" w:hAnsi="Arial" w:cs="Arial"/>
                <w:b/>
                <w:bCs/>
                <w:color w:val="000000"/>
                <w:sz w:val="16"/>
                <w:szCs w:val="16"/>
                <w:lang w:val="en-US" w:eastAsia="en-US"/>
              </w:rPr>
              <w:t xml:space="preserve"> </w:t>
            </w:r>
            <w:r w:rsidRPr="00E2213F">
              <w:rPr>
                <w:rFonts w:ascii="Arial" w:hAnsi="Arial" w:cs="Arial"/>
                <w:b/>
                <w:bCs/>
                <w:color w:val="000000"/>
                <w:sz w:val="16"/>
                <w:szCs w:val="16"/>
                <w:lang w:val="en-US" w:eastAsia="en-US"/>
              </w:rPr>
              <w:t>government</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1,7</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19</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2,4</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22</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2,8</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18</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3,0</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18</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3,3</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17</w:t>
            </w:r>
          </w:p>
        </w:tc>
      </w:tr>
      <w:tr w:rsidR="00E03A55" w:rsidRPr="00E2213F" w:rsidTr="001D50DE">
        <w:trPr>
          <w:trHeight w:val="231"/>
        </w:trPr>
        <w:tc>
          <w:tcPr>
            <w:tcW w:w="1433" w:type="dxa"/>
            <w:tcBorders>
              <w:top w:val="nil"/>
              <w:left w:val="nil"/>
              <w:bottom w:val="nil"/>
              <w:right w:val="nil"/>
            </w:tcBorders>
            <w:noWrap/>
            <w:vAlign w:val="center"/>
          </w:tcPr>
          <w:p w:rsidR="00E03A55" w:rsidRPr="00E2213F" w:rsidRDefault="00E03A55" w:rsidP="00391BFE">
            <w:pPr>
              <w:suppressAutoHyphens w:val="0"/>
              <w:spacing w:after="0"/>
              <w:ind w:firstLine="0"/>
              <w:rPr>
                <w:rFonts w:ascii="Arial" w:hAnsi="Arial" w:cs="Arial"/>
                <w:color w:val="000000"/>
                <w:sz w:val="16"/>
                <w:szCs w:val="16"/>
                <w:lang w:val="en-US" w:eastAsia="en-US"/>
              </w:rPr>
            </w:pPr>
            <w:r w:rsidRPr="00E2213F">
              <w:rPr>
                <w:rFonts w:ascii="Arial" w:hAnsi="Arial" w:cs="Arial"/>
                <w:color w:val="000000"/>
                <w:sz w:val="16"/>
                <w:szCs w:val="16"/>
                <w:lang w:val="en-US" w:eastAsia="en-US"/>
              </w:rPr>
              <w:t>Development</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0,6</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33</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0,9</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39</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1,5</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52</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1,8</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60</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1,8</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54</w:t>
            </w:r>
          </w:p>
        </w:tc>
      </w:tr>
      <w:tr w:rsidR="00E03A55" w:rsidRPr="00E2213F" w:rsidTr="001D50DE">
        <w:trPr>
          <w:trHeight w:val="231"/>
        </w:trPr>
        <w:tc>
          <w:tcPr>
            <w:tcW w:w="1433" w:type="dxa"/>
            <w:tcBorders>
              <w:top w:val="nil"/>
              <w:left w:val="nil"/>
              <w:bottom w:val="nil"/>
              <w:right w:val="nil"/>
            </w:tcBorders>
            <w:noWrap/>
            <w:vAlign w:val="center"/>
          </w:tcPr>
          <w:p w:rsidR="00E03A55" w:rsidRPr="00E2213F" w:rsidRDefault="00E03A55" w:rsidP="00391BFE">
            <w:pPr>
              <w:suppressAutoHyphens w:val="0"/>
              <w:spacing w:after="0"/>
              <w:ind w:firstLine="0"/>
              <w:rPr>
                <w:rFonts w:ascii="Arial" w:hAnsi="Arial" w:cs="Arial"/>
                <w:color w:val="000000"/>
                <w:sz w:val="16"/>
                <w:szCs w:val="16"/>
                <w:lang w:val="en-US" w:eastAsia="en-US"/>
              </w:rPr>
            </w:pPr>
            <w:r w:rsidRPr="00E2213F">
              <w:rPr>
                <w:rFonts w:ascii="Arial" w:hAnsi="Arial" w:cs="Arial"/>
                <w:color w:val="000000"/>
                <w:sz w:val="16"/>
                <w:szCs w:val="16"/>
                <w:lang w:val="en-US" w:eastAsia="en-US"/>
              </w:rPr>
              <w:t>Routine</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1,2</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67</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1,4</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61</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1,4</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48</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1,2</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40</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1,5</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46</w:t>
            </w:r>
          </w:p>
        </w:tc>
      </w:tr>
      <w:tr w:rsidR="00E03A55" w:rsidRPr="00E2213F" w:rsidTr="001D50DE">
        <w:trPr>
          <w:trHeight w:val="445"/>
        </w:trPr>
        <w:tc>
          <w:tcPr>
            <w:tcW w:w="1433" w:type="dxa"/>
            <w:tcBorders>
              <w:top w:val="nil"/>
              <w:left w:val="nil"/>
              <w:bottom w:val="nil"/>
              <w:right w:val="nil"/>
            </w:tcBorders>
            <w:vAlign w:val="center"/>
          </w:tcPr>
          <w:p w:rsidR="00E03A55" w:rsidRPr="00E2213F" w:rsidRDefault="00E03A55" w:rsidP="00391BFE">
            <w:pPr>
              <w:suppressAutoHyphens w:val="0"/>
              <w:spacing w:after="0"/>
              <w:ind w:firstLine="0"/>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 xml:space="preserve">District </w:t>
            </w:r>
            <w:r>
              <w:rPr>
                <w:rFonts w:ascii="Arial" w:hAnsi="Arial" w:cs="Arial"/>
                <w:b/>
                <w:bCs/>
                <w:color w:val="000000"/>
                <w:sz w:val="16"/>
                <w:szCs w:val="16"/>
                <w:lang w:val="en-US" w:eastAsia="en-US"/>
              </w:rPr>
              <w:t xml:space="preserve">      </w:t>
            </w:r>
            <w:r w:rsidRPr="00E2213F">
              <w:rPr>
                <w:rFonts w:ascii="Arial" w:hAnsi="Arial" w:cs="Arial"/>
                <w:b/>
                <w:bCs/>
                <w:color w:val="000000"/>
                <w:sz w:val="16"/>
                <w:szCs w:val="16"/>
                <w:lang w:val="en-US" w:eastAsia="en-US"/>
              </w:rPr>
              <w:t>government</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4,4</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47</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5,7</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52</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7,5</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47</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8,1</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48</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9,9</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52</w:t>
            </w:r>
          </w:p>
        </w:tc>
      </w:tr>
      <w:tr w:rsidR="00E03A55" w:rsidRPr="00E2213F" w:rsidTr="001D50DE">
        <w:trPr>
          <w:trHeight w:val="231"/>
        </w:trPr>
        <w:tc>
          <w:tcPr>
            <w:tcW w:w="1433" w:type="dxa"/>
            <w:tcBorders>
              <w:top w:val="nil"/>
              <w:left w:val="nil"/>
              <w:bottom w:val="nil"/>
              <w:right w:val="nil"/>
            </w:tcBorders>
            <w:noWrap/>
            <w:vAlign w:val="center"/>
          </w:tcPr>
          <w:p w:rsidR="00E03A55" w:rsidRPr="00E2213F" w:rsidRDefault="00E03A55" w:rsidP="00391BFE">
            <w:pPr>
              <w:suppressAutoHyphens w:val="0"/>
              <w:spacing w:after="0"/>
              <w:ind w:firstLine="0"/>
              <w:rPr>
                <w:rFonts w:ascii="Arial" w:hAnsi="Arial" w:cs="Arial"/>
                <w:color w:val="000000"/>
                <w:sz w:val="16"/>
                <w:szCs w:val="16"/>
                <w:lang w:val="en-US" w:eastAsia="en-US"/>
              </w:rPr>
            </w:pPr>
            <w:r w:rsidRPr="00E2213F">
              <w:rPr>
                <w:rFonts w:ascii="Arial" w:hAnsi="Arial" w:cs="Arial"/>
                <w:color w:val="000000"/>
                <w:sz w:val="16"/>
                <w:szCs w:val="16"/>
                <w:lang w:val="en-US" w:eastAsia="en-US"/>
              </w:rPr>
              <w:t>Development</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1,2</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28</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1,5</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26</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2,9</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39</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3,1</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38</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4,0</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40</w:t>
            </w:r>
          </w:p>
        </w:tc>
      </w:tr>
      <w:tr w:rsidR="00E03A55" w:rsidRPr="00E2213F" w:rsidTr="001D50DE">
        <w:trPr>
          <w:trHeight w:val="231"/>
        </w:trPr>
        <w:tc>
          <w:tcPr>
            <w:tcW w:w="1433" w:type="dxa"/>
            <w:tcBorders>
              <w:top w:val="nil"/>
              <w:left w:val="nil"/>
              <w:bottom w:val="nil"/>
              <w:right w:val="nil"/>
            </w:tcBorders>
            <w:noWrap/>
            <w:vAlign w:val="center"/>
          </w:tcPr>
          <w:p w:rsidR="00E03A55" w:rsidRPr="00E2213F" w:rsidRDefault="00E03A55" w:rsidP="00391BFE">
            <w:pPr>
              <w:suppressAutoHyphens w:val="0"/>
              <w:spacing w:after="0"/>
              <w:ind w:firstLine="0"/>
              <w:rPr>
                <w:rFonts w:ascii="Arial" w:hAnsi="Arial" w:cs="Arial"/>
                <w:color w:val="000000"/>
                <w:sz w:val="16"/>
                <w:szCs w:val="16"/>
                <w:lang w:val="en-US" w:eastAsia="en-US"/>
              </w:rPr>
            </w:pPr>
            <w:r w:rsidRPr="00E2213F">
              <w:rPr>
                <w:rFonts w:ascii="Arial" w:hAnsi="Arial" w:cs="Arial"/>
                <w:color w:val="000000"/>
                <w:sz w:val="16"/>
                <w:szCs w:val="16"/>
                <w:lang w:val="en-US" w:eastAsia="en-US"/>
              </w:rPr>
              <w:t>Routine</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3,2</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72</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4,2</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74</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4,6</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61</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5,0</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62</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6,0</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color w:val="000000"/>
                <w:sz w:val="16"/>
                <w:szCs w:val="16"/>
                <w:lang w:val="en-US" w:eastAsia="en-US"/>
              </w:rPr>
            </w:pPr>
            <w:r w:rsidRPr="00E2213F">
              <w:rPr>
                <w:rFonts w:ascii="Arial" w:hAnsi="Arial" w:cs="Arial"/>
                <w:color w:val="000000"/>
                <w:sz w:val="16"/>
                <w:szCs w:val="16"/>
                <w:lang w:val="en-US" w:eastAsia="en-US"/>
              </w:rPr>
              <w:t>60</w:t>
            </w:r>
          </w:p>
        </w:tc>
      </w:tr>
      <w:tr w:rsidR="00E03A55" w:rsidRPr="00E2213F" w:rsidTr="001D50DE">
        <w:trPr>
          <w:trHeight w:val="445"/>
        </w:trPr>
        <w:tc>
          <w:tcPr>
            <w:tcW w:w="1433" w:type="dxa"/>
            <w:tcBorders>
              <w:top w:val="nil"/>
              <w:left w:val="nil"/>
              <w:bottom w:val="nil"/>
              <w:right w:val="nil"/>
            </w:tcBorders>
            <w:vAlign w:val="center"/>
          </w:tcPr>
          <w:p w:rsidR="00E03A55" w:rsidRPr="00E2213F" w:rsidRDefault="00E03A55" w:rsidP="00391BFE">
            <w:pPr>
              <w:suppressAutoHyphens w:val="0"/>
              <w:spacing w:after="0"/>
              <w:ind w:firstLine="0"/>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Total National Expenditures</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9,3</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100</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11,0</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100</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16,0</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100</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16,7</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100</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19,1</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100</w:t>
            </w:r>
          </w:p>
        </w:tc>
      </w:tr>
      <w:tr w:rsidR="00E03A55" w:rsidRPr="00E2213F" w:rsidTr="001D50DE">
        <w:trPr>
          <w:trHeight w:val="445"/>
        </w:trPr>
        <w:tc>
          <w:tcPr>
            <w:tcW w:w="1433" w:type="dxa"/>
            <w:tcBorders>
              <w:top w:val="nil"/>
              <w:left w:val="nil"/>
              <w:bottom w:val="nil"/>
              <w:right w:val="nil"/>
            </w:tcBorders>
            <w:vAlign w:val="center"/>
          </w:tcPr>
          <w:p w:rsidR="00E03A55" w:rsidRPr="00E2213F" w:rsidRDefault="00E03A55" w:rsidP="00391BFE">
            <w:pPr>
              <w:suppressAutoHyphens w:val="0"/>
              <w:spacing w:after="0"/>
              <w:ind w:firstLine="0"/>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 xml:space="preserve">Total </w:t>
            </w:r>
            <w:r>
              <w:rPr>
                <w:rFonts w:ascii="Arial" w:hAnsi="Arial" w:cs="Arial"/>
                <w:b/>
                <w:bCs/>
                <w:color w:val="000000"/>
                <w:sz w:val="16"/>
                <w:szCs w:val="16"/>
                <w:lang w:val="en-US" w:eastAsia="en-US"/>
              </w:rPr>
              <w:t xml:space="preserve">          </w:t>
            </w:r>
            <w:r w:rsidRPr="00E2213F">
              <w:rPr>
                <w:rFonts w:ascii="Arial" w:hAnsi="Arial" w:cs="Arial"/>
                <w:b/>
                <w:bCs/>
                <w:color w:val="000000"/>
                <w:sz w:val="16"/>
                <w:szCs w:val="16"/>
                <w:lang w:val="en-US" w:eastAsia="en-US"/>
              </w:rPr>
              <w:t>Development</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4,1</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44</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4,8</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44</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9,7</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61</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9,9</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59</w:t>
            </w:r>
          </w:p>
        </w:tc>
        <w:tc>
          <w:tcPr>
            <w:tcW w:w="697"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5,8</w:t>
            </w:r>
          </w:p>
        </w:tc>
        <w:tc>
          <w:tcPr>
            <w:tcW w:w="501" w:type="dxa"/>
            <w:tcBorders>
              <w:top w:val="nil"/>
              <w:left w:val="nil"/>
              <w:bottom w:val="nil"/>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30</w:t>
            </w:r>
          </w:p>
        </w:tc>
      </w:tr>
      <w:tr w:rsidR="00E03A55" w:rsidRPr="00E2213F" w:rsidTr="001D50DE">
        <w:trPr>
          <w:trHeight w:val="359"/>
        </w:trPr>
        <w:tc>
          <w:tcPr>
            <w:tcW w:w="1433" w:type="dxa"/>
            <w:tcBorders>
              <w:top w:val="nil"/>
              <w:left w:val="nil"/>
              <w:bottom w:val="single" w:sz="4" w:space="0" w:color="auto"/>
              <w:right w:val="nil"/>
            </w:tcBorders>
            <w:vAlign w:val="center"/>
          </w:tcPr>
          <w:p w:rsidR="00E03A55" w:rsidRPr="00E2213F" w:rsidRDefault="00E03A55" w:rsidP="00391BFE">
            <w:pPr>
              <w:suppressAutoHyphens w:val="0"/>
              <w:spacing w:after="0"/>
              <w:ind w:firstLine="0"/>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Total Routine</w:t>
            </w:r>
          </w:p>
        </w:tc>
        <w:tc>
          <w:tcPr>
            <w:tcW w:w="697" w:type="dxa"/>
            <w:tcBorders>
              <w:top w:val="nil"/>
              <w:left w:val="nil"/>
              <w:bottom w:val="single" w:sz="4" w:space="0" w:color="auto"/>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5,2</w:t>
            </w:r>
          </w:p>
        </w:tc>
        <w:tc>
          <w:tcPr>
            <w:tcW w:w="501" w:type="dxa"/>
            <w:tcBorders>
              <w:top w:val="nil"/>
              <w:left w:val="nil"/>
              <w:bottom w:val="single" w:sz="4" w:space="0" w:color="auto"/>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56</w:t>
            </w:r>
          </w:p>
        </w:tc>
        <w:tc>
          <w:tcPr>
            <w:tcW w:w="697" w:type="dxa"/>
            <w:tcBorders>
              <w:top w:val="nil"/>
              <w:left w:val="nil"/>
              <w:bottom w:val="single" w:sz="4" w:space="0" w:color="auto"/>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6,1</w:t>
            </w:r>
          </w:p>
        </w:tc>
        <w:tc>
          <w:tcPr>
            <w:tcW w:w="501" w:type="dxa"/>
            <w:tcBorders>
              <w:top w:val="nil"/>
              <w:left w:val="nil"/>
              <w:bottom w:val="single" w:sz="4" w:space="0" w:color="auto"/>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56</w:t>
            </w:r>
          </w:p>
        </w:tc>
        <w:tc>
          <w:tcPr>
            <w:tcW w:w="697" w:type="dxa"/>
            <w:tcBorders>
              <w:top w:val="nil"/>
              <w:left w:val="nil"/>
              <w:bottom w:val="single" w:sz="4" w:space="0" w:color="auto"/>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6,5</w:t>
            </w:r>
          </w:p>
        </w:tc>
        <w:tc>
          <w:tcPr>
            <w:tcW w:w="501" w:type="dxa"/>
            <w:tcBorders>
              <w:top w:val="nil"/>
              <w:left w:val="nil"/>
              <w:bottom w:val="single" w:sz="4" w:space="0" w:color="auto"/>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39</w:t>
            </w:r>
          </w:p>
        </w:tc>
        <w:tc>
          <w:tcPr>
            <w:tcW w:w="697" w:type="dxa"/>
            <w:tcBorders>
              <w:top w:val="nil"/>
              <w:left w:val="nil"/>
              <w:bottom w:val="single" w:sz="4" w:space="0" w:color="auto"/>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6,8</w:t>
            </w:r>
          </w:p>
        </w:tc>
        <w:tc>
          <w:tcPr>
            <w:tcW w:w="501" w:type="dxa"/>
            <w:tcBorders>
              <w:top w:val="nil"/>
              <w:left w:val="nil"/>
              <w:bottom w:val="single" w:sz="4" w:space="0" w:color="auto"/>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42</w:t>
            </w:r>
          </w:p>
        </w:tc>
        <w:tc>
          <w:tcPr>
            <w:tcW w:w="697" w:type="dxa"/>
            <w:tcBorders>
              <w:top w:val="nil"/>
              <w:left w:val="nil"/>
              <w:bottom w:val="single" w:sz="4" w:space="0" w:color="auto"/>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7,5</w:t>
            </w:r>
          </w:p>
        </w:tc>
        <w:tc>
          <w:tcPr>
            <w:tcW w:w="501" w:type="dxa"/>
            <w:tcBorders>
              <w:top w:val="nil"/>
              <w:left w:val="nil"/>
              <w:bottom w:val="single" w:sz="4" w:space="0" w:color="auto"/>
              <w:right w:val="nil"/>
            </w:tcBorders>
            <w:noWrap/>
            <w:vAlign w:val="center"/>
          </w:tcPr>
          <w:p w:rsidR="00E03A55" w:rsidRPr="00E2213F" w:rsidRDefault="00E03A55" w:rsidP="00391BFE">
            <w:pPr>
              <w:suppressAutoHyphens w:val="0"/>
              <w:spacing w:after="0"/>
              <w:ind w:firstLine="0"/>
              <w:jc w:val="center"/>
              <w:rPr>
                <w:rFonts w:ascii="Arial" w:hAnsi="Arial" w:cs="Arial"/>
                <w:b/>
                <w:bCs/>
                <w:color w:val="000000"/>
                <w:sz w:val="16"/>
                <w:szCs w:val="16"/>
                <w:lang w:val="en-US" w:eastAsia="en-US"/>
              </w:rPr>
            </w:pPr>
            <w:r w:rsidRPr="00E2213F">
              <w:rPr>
                <w:rFonts w:ascii="Arial" w:hAnsi="Arial" w:cs="Arial"/>
                <w:b/>
                <w:bCs/>
                <w:color w:val="000000"/>
                <w:sz w:val="16"/>
                <w:szCs w:val="16"/>
                <w:lang w:val="en-US" w:eastAsia="en-US"/>
              </w:rPr>
              <w:t>39</w:t>
            </w:r>
          </w:p>
        </w:tc>
      </w:tr>
    </w:tbl>
    <w:p w:rsidR="00E03A55" w:rsidRPr="0006289C" w:rsidRDefault="00E03A55" w:rsidP="00CC23E6">
      <w:pPr>
        <w:spacing w:after="200"/>
        <w:ind w:firstLine="0"/>
        <w:jc w:val="both"/>
        <w:rPr>
          <w:sz w:val="16"/>
          <w:szCs w:val="16"/>
        </w:rPr>
        <w:sectPr w:rsidR="00E03A55" w:rsidRPr="0006289C" w:rsidSect="002B62FC">
          <w:footerReference w:type="default" r:id="rId18"/>
          <w:footerReference w:type="first" r:id="rId19"/>
          <w:endnotePr>
            <w:numFmt w:val="decimal"/>
          </w:endnotePr>
          <w:pgSz w:w="11906" w:h="16838" w:code="9"/>
          <w:pgMar w:top="1701" w:right="2268" w:bottom="1701" w:left="2268" w:header="709" w:footer="1418" w:gutter="0"/>
          <w:pgNumType w:start="8"/>
          <w:cols w:space="708"/>
          <w:titlePg/>
          <w:docGrid w:linePitch="360"/>
        </w:sectPr>
      </w:pPr>
      <w:r>
        <w:rPr>
          <w:rFonts w:ascii="Arial" w:hAnsi="Arial" w:cs="Arial"/>
          <w:b/>
          <w:sz w:val="18"/>
          <w:szCs w:val="18"/>
        </w:rPr>
        <w:t xml:space="preserve">  </w:t>
      </w:r>
      <w:r w:rsidRPr="0006289C">
        <w:rPr>
          <w:rFonts w:ascii="Arial" w:hAnsi="Arial" w:cs="Arial"/>
          <w:sz w:val="16"/>
          <w:szCs w:val="16"/>
        </w:rPr>
        <w:t>Source: World Bank 2008</w:t>
      </w:r>
      <w:r w:rsidRPr="0006289C">
        <w:rPr>
          <w:sz w:val="16"/>
          <w:szCs w:val="16"/>
        </w:rPr>
        <w:tab/>
        <w:t xml:space="preserve"> </w:t>
      </w:r>
    </w:p>
    <w:p w:rsidR="00E03A55" w:rsidRPr="0004709A" w:rsidRDefault="00E03A55" w:rsidP="00B42D37">
      <w:pPr>
        <w:pStyle w:val="Heading1"/>
      </w:pPr>
      <w:r>
        <w:br/>
      </w:r>
      <w:bookmarkStart w:id="53" w:name="_Toc239163842"/>
      <w:r w:rsidRPr="00B93EE8">
        <w:rPr>
          <w:szCs w:val="36"/>
        </w:rPr>
        <w:t>Literature Review</w:t>
      </w:r>
      <w:bookmarkEnd w:id="53"/>
    </w:p>
    <w:p w:rsidR="00E03A55" w:rsidRPr="00B6422F" w:rsidRDefault="00E03A55" w:rsidP="00CC23E6">
      <w:pPr>
        <w:pStyle w:val="Normalfirstparagraph"/>
        <w:jc w:val="both"/>
        <w:rPr>
          <w:lang w:val="en-US"/>
        </w:rPr>
      </w:pPr>
      <w:r>
        <w:t xml:space="preserve">This chapter briefly highlights the literature associated with infant mortality with emphasize on its relationship with public health spending and skilled birth attendance. The first subchapter presents previous studies that examine how government’s investment on health through its public spending affect infant mortality rate. This subchapter discuss model, methodology and empirical findings of these studies. The second subchapter aims to provide conceptual framework for skilled birth attendance on infant survival. It also followed by presentation of several studies that </w:t>
      </w:r>
      <w:r w:rsidRPr="007147B3">
        <w:t>have been carried</w:t>
      </w:r>
      <w:r>
        <w:t xml:space="preserve"> out to examine the role of skilled birth attendance on infant mortality.  </w:t>
      </w:r>
    </w:p>
    <w:p w:rsidR="00E03A55" w:rsidRDefault="00E03A55" w:rsidP="00256D17">
      <w:pPr>
        <w:pStyle w:val="Heading2"/>
      </w:pPr>
      <w:bookmarkStart w:id="54" w:name="_Toc239163843"/>
      <w:r>
        <w:t>Public Health Expenditure and Infant Mortality</w:t>
      </w:r>
      <w:bookmarkEnd w:id="54"/>
    </w:p>
    <w:p w:rsidR="00E03A55" w:rsidRPr="008436FD" w:rsidRDefault="00E03A55" w:rsidP="00D00F6A">
      <w:pPr>
        <w:tabs>
          <w:tab w:val="left" w:pos="0"/>
          <w:tab w:val="left" w:pos="567"/>
        </w:tabs>
        <w:autoSpaceDE w:val="0"/>
        <w:autoSpaceDN w:val="0"/>
        <w:adjustRightInd w:val="0"/>
        <w:ind w:firstLine="0"/>
        <w:jc w:val="both"/>
      </w:pPr>
      <w:r w:rsidRPr="008436FD">
        <w:t>The possible impact of public health spending on infant mortality is a debatable topic among health economists. There is likely to be on-going discussion on the possible consequences of investment in health through public health expenditure. In fact, there is no clear answer about this relationship. Several studies do not find a positive relationship between public health spending on infant mortality; in contrast, other researches do.</w:t>
      </w:r>
    </w:p>
    <w:p w:rsidR="00E03A55" w:rsidRPr="00A75544" w:rsidRDefault="00E03A55" w:rsidP="007A597E">
      <w:pPr>
        <w:tabs>
          <w:tab w:val="left" w:pos="567"/>
        </w:tabs>
        <w:ind w:firstLine="0"/>
        <w:jc w:val="both"/>
      </w:pPr>
      <w:r>
        <w:tab/>
        <w:t xml:space="preserve">A number of cross-country studies of the relationship between spending and health outcomes have been carried out over the last ten years. </w:t>
      </w:r>
      <w:r w:rsidRPr="00A75544">
        <w:t>Using cross-national data, Filmer and Pritchett (1999) find that the impact public health expenditure on infant and child (under 5 years old) mortality is relatively small across countries and insignificant at conventional level of significance. Their estimation is based on aggregate ‘health productions function’ that assumes that health outcomes depend on countries’ income, knowledge, and social capability. The model is</w:t>
      </w:r>
    </w:p>
    <w:p w:rsidR="00E03A55" w:rsidRPr="00A75544" w:rsidRDefault="00E03A55" w:rsidP="007A597E">
      <w:pPr>
        <w:ind w:firstLine="0"/>
        <w:jc w:val="center"/>
        <w:rPr>
          <w:i/>
        </w:rPr>
      </w:pPr>
      <w:r w:rsidRPr="00A75544">
        <w:rPr>
          <w:i/>
        </w:rPr>
        <w:t>ln(M</w:t>
      </w:r>
      <w:r w:rsidRPr="00A75544">
        <w:rPr>
          <w:i/>
          <w:vertAlign w:val="subscript"/>
        </w:rPr>
        <w:t>i</w:t>
      </w:r>
      <w:r w:rsidRPr="00A75544">
        <w:rPr>
          <w:i/>
        </w:rPr>
        <w:t>) =β</w:t>
      </w:r>
      <w:r w:rsidRPr="00A75544">
        <w:rPr>
          <w:i/>
          <w:vertAlign w:val="subscript"/>
        </w:rPr>
        <w:t>1</w:t>
      </w:r>
      <w:r w:rsidRPr="00A75544">
        <w:rPr>
          <w:i/>
        </w:rPr>
        <w:t xml:space="preserve"> ln (GDP</w:t>
      </w:r>
      <w:r w:rsidRPr="00A75544">
        <w:rPr>
          <w:i/>
          <w:vertAlign w:val="subscript"/>
        </w:rPr>
        <w:t>i</w:t>
      </w:r>
      <w:r w:rsidRPr="00A75544">
        <w:rPr>
          <w:i/>
        </w:rPr>
        <w:t>/N</w:t>
      </w:r>
      <w:r w:rsidRPr="00A75544">
        <w:rPr>
          <w:i/>
          <w:vertAlign w:val="subscript"/>
        </w:rPr>
        <w:t>i</w:t>
      </w:r>
      <w:r w:rsidRPr="00A75544">
        <w:rPr>
          <w:i/>
        </w:rPr>
        <w:t>) + β</w:t>
      </w:r>
      <w:r w:rsidRPr="00A75544">
        <w:rPr>
          <w:i/>
          <w:vertAlign w:val="subscript"/>
        </w:rPr>
        <w:t>2</w:t>
      </w:r>
      <w:r w:rsidRPr="00A75544">
        <w:rPr>
          <w:i/>
        </w:rPr>
        <w:t xml:space="preserve"> ln (H</w:t>
      </w:r>
      <w:r w:rsidRPr="00A75544">
        <w:rPr>
          <w:i/>
          <w:vertAlign w:val="subscript"/>
        </w:rPr>
        <w:t>i</w:t>
      </w:r>
      <w:r w:rsidRPr="00A75544">
        <w:rPr>
          <w:i/>
        </w:rPr>
        <w:t>/GDP</w:t>
      </w:r>
      <w:r w:rsidRPr="00A75544">
        <w:rPr>
          <w:i/>
          <w:vertAlign w:val="subscript"/>
        </w:rPr>
        <w:t>i</w:t>
      </w:r>
      <w:r w:rsidRPr="00A75544">
        <w:rPr>
          <w:i/>
        </w:rPr>
        <w:t>) + β</w:t>
      </w:r>
      <w:r w:rsidRPr="00A75544">
        <w:rPr>
          <w:i/>
          <w:vertAlign w:val="subscript"/>
        </w:rPr>
        <w:t>3</w:t>
      </w:r>
      <w:r w:rsidRPr="00A75544">
        <w:rPr>
          <w:i/>
        </w:rPr>
        <w:t xml:space="preserve"> ln X</w:t>
      </w:r>
      <w:r w:rsidRPr="00A75544">
        <w:rPr>
          <w:i/>
          <w:vertAlign w:val="subscript"/>
        </w:rPr>
        <w:t>i</w:t>
      </w:r>
      <w:r w:rsidRPr="00A75544">
        <w:rPr>
          <w:i/>
        </w:rPr>
        <w:t xml:space="preserve"> + ε</w:t>
      </w:r>
      <w:r w:rsidRPr="00A75544">
        <w:rPr>
          <w:i/>
          <w:vertAlign w:val="subscript"/>
        </w:rPr>
        <w:t>i</w:t>
      </w:r>
    </w:p>
    <w:p w:rsidR="00E03A55" w:rsidRDefault="00E03A55" w:rsidP="007A597E">
      <w:pPr>
        <w:ind w:firstLine="0"/>
        <w:jc w:val="both"/>
        <w:rPr>
          <w:rFonts w:cs="Arial"/>
          <w:color w:val="000000"/>
        </w:rPr>
      </w:pPr>
      <w:r w:rsidRPr="00A75544">
        <w:t xml:space="preserve">where M denotes the (natural) log of child or infant mortality; GDP/N is the log of mean per capita income; H/GDP is the log of the share public spending as a fraction of GDP, and X is a set of socio-economic variables. These variables are the level of female education, income inequality, </w:t>
      </w:r>
      <w:r w:rsidRPr="00A75544">
        <w:rPr>
          <w:rFonts w:cs="Arial"/>
          <w:color w:val="000000"/>
        </w:rPr>
        <w:t>percentage</w:t>
      </w:r>
      <w:r>
        <w:rPr>
          <w:rFonts w:cs="Arial"/>
          <w:color w:val="000000"/>
        </w:rPr>
        <w:t xml:space="preserve"> people that live in urban area, predominantly muslim,</w:t>
      </w:r>
      <w:r w:rsidRPr="00A75544">
        <w:rPr>
          <w:rFonts w:cs="Arial"/>
          <w:color w:val="000000"/>
        </w:rPr>
        <w:t xml:space="preserve"> etno-linguistic</w:t>
      </w:r>
      <w:r>
        <w:rPr>
          <w:rFonts w:cs="Arial"/>
          <w:color w:val="000000"/>
        </w:rPr>
        <w:t xml:space="preserve"> fractionalization, access to safe water,</w:t>
      </w:r>
      <w:r w:rsidRPr="00A75544">
        <w:rPr>
          <w:rFonts w:cs="Arial"/>
          <w:color w:val="000000"/>
        </w:rPr>
        <w:t xml:space="preserve"> </w:t>
      </w:r>
      <w:r>
        <w:rPr>
          <w:rFonts w:cs="Arial"/>
          <w:color w:val="000000"/>
        </w:rPr>
        <w:t>dummy tropical country, dummy oil exporter, years independent, and</w:t>
      </w:r>
      <w:r w:rsidRPr="00A75544">
        <w:rPr>
          <w:rFonts w:cs="Arial"/>
          <w:color w:val="000000"/>
        </w:rPr>
        <w:t xml:space="preserve"> </w:t>
      </w:r>
      <w:r>
        <w:rPr>
          <w:rFonts w:cs="Arial"/>
          <w:color w:val="000000"/>
        </w:rPr>
        <w:t>defens</w:t>
      </w:r>
      <w:r w:rsidRPr="00A75544">
        <w:rPr>
          <w:rFonts w:cs="Arial"/>
          <w:color w:val="000000"/>
        </w:rPr>
        <w:t>e spending as a share of GDP.</w:t>
      </w:r>
      <w:r>
        <w:rPr>
          <w:rFonts w:cs="Arial"/>
          <w:color w:val="000000"/>
        </w:rPr>
        <w:t xml:space="preserve"> </w:t>
      </w:r>
    </w:p>
    <w:p w:rsidR="00E03A55" w:rsidRDefault="00E03A55" w:rsidP="007A597E">
      <w:pPr>
        <w:tabs>
          <w:tab w:val="left" w:pos="567"/>
        </w:tabs>
        <w:ind w:firstLine="0"/>
        <w:jc w:val="both"/>
        <w:rPr>
          <w:rFonts w:cs="TimesNewRomanPSMT"/>
        </w:rPr>
      </w:pPr>
      <w:r>
        <w:rPr>
          <w:rFonts w:cs="Arial"/>
          <w:color w:val="000000"/>
        </w:rPr>
        <w:tab/>
        <w:t xml:space="preserve">The model estimates using OLS method and Instrumental Variables (IV). The reason is to take into account not only for possible endogeneity between infant or child mortality and public health spending but also for measurement error in health spending. </w:t>
      </w:r>
      <w:r w:rsidRPr="00A75544">
        <w:t>Filmer and Pritchett</w:t>
      </w:r>
      <w:r>
        <w:t xml:space="preserve"> use the average public sector health care spending as a share of GDP and the average defense spending as a share of GDP of a country’s geographic neighbours as instruments of their IV estimation. However, both OLS and IV estimation shows insignificant results. Therefore, they do not have enough statistical evidence to conclude that public health spending affects infant and child mortality. They conclude that </w:t>
      </w:r>
      <w:r w:rsidRPr="00DF6FCE">
        <w:rPr>
          <w:rFonts w:cs="TimesNewRomanPSMT"/>
        </w:rPr>
        <w:t>public health spending is not a powerful determinant of infant mortality because 95 % of cross-national differences can be explained by socio-economic characteristics of each country</w:t>
      </w:r>
      <w:r>
        <w:rPr>
          <w:rFonts w:cs="TimesNewRomanPSMT"/>
        </w:rPr>
        <w:t>, for examples inequality of income distribution, female education, level of ethnic fragmentation, and predominantly religion.</w:t>
      </w:r>
    </w:p>
    <w:p w:rsidR="00E03A55" w:rsidRPr="00822851" w:rsidRDefault="00E03A55" w:rsidP="007A597E">
      <w:pPr>
        <w:tabs>
          <w:tab w:val="left" w:pos="567"/>
        </w:tabs>
        <w:ind w:firstLine="0"/>
        <w:jc w:val="both"/>
      </w:pPr>
      <w:r>
        <w:rPr>
          <w:rFonts w:cs="TimesNewRomanPSMT"/>
        </w:rPr>
        <w:tab/>
        <w:t xml:space="preserve">Study of </w:t>
      </w:r>
      <w:r w:rsidRPr="00822851">
        <w:t xml:space="preserve">Gupta et al. (2002) </w:t>
      </w:r>
      <w:r>
        <w:t xml:space="preserve">found that public health spending is associated with reduction in child mortality. They </w:t>
      </w:r>
      <w:r w:rsidRPr="00822851">
        <w:t xml:space="preserve">use cross-sectional data for 50 countries and employ </w:t>
      </w:r>
      <w:r>
        <w:t xml:space="preserve">the </w:t>
      </w:r>
      <w:r w:rsidRPr="00822851">
        <w:t>following equation to evaluate the impact of public spending on health care</w:t>
      </w:r>
      <w:r>
        <w:t>.</w:t>
      </w:r>
    </w:p>
    <w:p w:rsidR="00E03A55" w:rsidRDefault="00E03A55" w:rsidP="007A597E">
      <w:pPr>
        <w:ind w:firstLine="0"/>
        <w:jc w:val="center"/>
      </w:pPr>
      <w:r>
        <w:rPr>
          <w:i/>
        </w:rPr>
        <w:t>Y</w:t>
      </w:r>
      <w:r>
        <w:rPr>
          <w:i/>
          <w:vertAlign w:val="subscript"/>
        </w:rPr>
        <w:t>i</w:t>
      </w:r>
      <w:r>
        <w:rPr>
          <w:i/>
        </w:rPr>
        <w:t xml:space="preserve"> = f (X</w:t>
      </w:r>
      <w:r>
        <w:rPr>
          <w:i/>
          <w:vertAlign w:val="subscript"/>
        </w:rPr>
        <w:t>1i</w:t>
      </w:r>
      <w:r>
        <w:rPr>
          <w:i/>
        </w:rPr>
        <w:t>, X</w:t>
      </w:r>
      <w:r>
        <w:rPr>
          <w:i/>
          <w:vertAlign w:val="subscript"/>
        </w:rPr>
        <w:t>21</w:t>
      </w:r>
      <w:r>
        <w:rPr>
          <w:i/>
        </w:rPr>
        <w:t>, Z</w:t>
      </w:r>
      <w:r>
        <w:rPr>
          <w:i/>
          <w:vertAlign w:val="subscript"/>
        </w:rPr>
        <w:t>i</w:t>
      </w:r>
      <w:r>
        <w:rPr>
          <w:i/>
        </w:rPr>
        <w:t>)</w:t>
      </w:r>
    </w:p>
    <w:p w:rsidR="00E03A55" w:rsidRDefault="00E03A55" w:rsidP="007A597E">
      <w:pPr>
        <w:ind w:firstLine="0"/>
        <w:jc w:val="both"/>
        <w:rPr>
          <w:rFonts w:cs="Arial"/>
          <w:color w:val="000000"/>
        </w:rPr>
      </w:pPr>
      <w:r>
        <w:t xml:space="preserve">where </w:t>
      </w:r>
      <w:r>
        <w:rPr>
          <w:i/>
        </w:rPr>
        <w:t>Y</w:t>
      </w:r>
      <w:r>
        <w:rPr>
          <w:i/>
          <w:vertAlign w:val="subscript"/>
        </w:rPr>
        <w:t>i</w:t>
      </w:r>
      <w:r>
        <w:rPr>
          <w:i/>
        </w:rPr>
        <w:t xml:space="preserve"> </w:t>
      </w:r>
      <w:r w:rsidRPr="00DA49E2">
        <w:t>is</w:t>
      </w:r>
      <w:r>
        <w:t xml:space="preserve"> a social indicator reflecting health status for a country </w:t>
      </w:r>
      <w:r>
        <w:rPr>
          <w:i/>
        </w:rPr>
        <w:t>i</w:t>
      </w:r>
      <w:r>
        <w:t xml:space="preserve">. Two indicators are used: infant and child mortality rates. </w:t>
      </w:r>
      <w:r w:rsidRPr="00DA49E2">
        <w:rPr>
          <w:i/>
        </w:rPr>
        <w:t>X</w:t>
      </w:r>
      <w:r>
        <w:rPr>
          <w:i/>
          <w:vertAlign w:val="subscript"/>
        </w:rPr>
        <w:t>1i</w:t>
      </w:r>
      <w:r>
        <w:rPr>
          <w:i/>
        </w:rPr>
        <w:t xml:space="preserve"> </w:t>
      </w:r>
      <w:r>
        <w:t xml:space="preserve">is public health spending as percentage of GDP, while </w:t>
      </w:r>
      <w:r>
        <w:rPr>
          <w:i/>
        </w:rPr>
        <w:t>X</w:t>
      </w:r>
      <w:r>
        <w:rPr>
          <w:i/>
          <w:vertAlign w:val="subscript"/>
        </w:rPr>
        <w:t>2i</w:t>
      </w:r>
      <w:r>
        <w:t xml:space="preserve"> is primary health care spending as percentage of total health care spending. </w:t>
      </w:r>
      <w:r>
        <w:rPr>
          <w:i/>
        </w:rPr>
        <w:t>Z</w:t>
      </w:r>
      <w:r>
        <w:rPr>
          <w:i/>
          <w:vertAlign w:val="subscript"/>
        </w:rPr>
        <w:t>i</w:t>
      </w:r>
      <w:r>
        <w:rPr>
          <w:i/>
        </w:rPr>
        <w:t xml:space="preserve"> </w:t>
      </w:r>
      <w:r w:rsidRPr="00DA49E2">
        <w:t>is</w:t>
      </w:r>
      <w:r>
        <w:t xml:space="preserve"> a vector of socio-economic variables including </w:t>
      </w:r>
      <w:r w:rsidRPr="00DA49E2">
        <w:rPr>
          <w:rFonts w:cs="Arial"/>
          <w:color w:val="000000"/>
        </w:rPr>
        <w:t>adult illiteracy rate</w:t>
      </w:r>
      <w:r>
        <w:rPr>
          <w:rFonts w:cs="Arial"/>
          <w:color w:val="000000"/>
        </w:rPr>
        <w:t xml:space="preserve">, </w:t>
      </w:r>
      <w:r w:rsidRPr="00DA49E2">
        <w:rPr>
          <w:rFonts w:cs="Arial"/>
          <w:color w:val="000000"/>
        </w:rPr>
        <w:t>income per capita in PPP term</w:t>
      </w:r>
      <w:r>
        <w:rPr>
          <w:rFonts w:cs="Arial"/>
          <w:color w:val="000000"/>
        </w:rPr>
        <w:t>,</w:t>
      </w:r>
      <w:r w:rsidRPr="00DA49E2">
        <w:rPr>
          <w:rFonts w:cs="Arial"/>
          <w:color w:val="000000"/>
        </w:rPr>
        <w:t xml:space="preserve"> urbanization (percent of population)</w:t>
      </w:r>
      <w:r>
        <w:rPr>
          <w:rFonts w:cs="Arial"/>
          <w:color w:val="000000"/>
        </w:rPr>
        <w:t>, and</w:t>
      </w:r>
      <w:r w:rsidRPr="00DA49E2">
        <w:rPr>
          <w:rFonts w:cs="Arial"/>
          <w:color w:val="000000"/>
        </w:rPr>
        <w:t xml:space="preserve"> access to sanitation.</w:t>
      </w:r>
      <w:r>
        <w:rPr>
          <w:rFonts w:cs="Arial"/>
          <w:color w:val="000000"/>
        </w:rPr>
        <w:t xml:space="preserve"> This equation estimates in log-log regressions using OLS (correcting for </w:t>
      </w:r>
      <w:r w:rsidRPr="00DA49E2">
        <w:rPr>
          <w:rFonts w:cs="Arial"/>
          <w:i/>
          <w:color w:val="000000"/>
        </w:rPr>
        <w:t>heteroskedasticity</w:t>
      </w:r>
      <w:r>
        <w:rPr>
          <w:rFonts w:cs="Arial"/>
          <w:color w:val="000000"/>
        </w:rPr>
        <w:t>) and two-stage least square (2SLS).</w:t>
      </w:r>
    </w:p>
    <w:p w:rsidR="00E03A55" w:rsidRDefault="00E03A55" w:rsidP="007A597E">
      <w:pPr>
        <w:tabs>
          <w:tab w:val="left" w:pos="567"/>
        </w:tabs>
        <w:ind w:firstLine="0"/>
        <w:jc w:val="both"/>
      </w:pPr>
      <w:r>
        <w:rPr>
          <w:rFonts w:cs="Arial"/>
          <w:color w:val="000000"/>
        </w:rPr>
        <w:tab/>
        <w:t xml:space="preserve">The results are as follows. First, total health spending is found statistically significant both when they utilize OLS and 2SLS but the share of </w:t>
      </w:r>
      <w:r>
        <w:t>primary health care spending as percentage of total health care spending is not. The coefficient of estimations suggest that increasing the share of total public spending in GDP by 1 percentage point will decrease either child or child mortality rates by about 3 deaths per 1000 live births. Therefore, one can conclude that public health spending is an important element in determine infant or child mortality rates. Second, almost all control variables are found statistically significant affect mortality rates and have signs as expected, except for access to sanitation. Adult illiteracy rate and per capita income variables show consistent results in all regressions, while urbanization variable is only statistically significant for OLS regression.</w:t>
      </w:r>
    </w:p>
    <w:p w:rsidR="00E03A55" w:rsidRPr="00DA49E2" w:rsidRDefault="00E03A55" w:rsidP="007A597E">
      <w:pPr>
        <w:tabs>
          <w:tab w:val="left" w:pos="567"/>
        </w:tabs>
        <w:ind w:firstLine="0"/>
        <w:jc w:val="both"/>
        <w:rPr>
          <w:rFonts w:cs="Arial"/>
          <w:color w:val="000000"/>
        </w:rPr>
      </w:pPr>
      <w:r>
        <w:tab/>
        <w:t>Moreover, Rajkumar and Swaroop (2008) provide further explanation that helps to understand why public spending often does not yield the expected improvement in outcomes. They argue that the differences in the effectiveness of public health spending across countries are the source of incoherent impact of public spending on certain outcomes.  The effectiveness of public health spending itself can be largely explained by the quality of governance. Therefore, one can conclude that the positive link between public spending and development outcomes will emerge only if the good governance establish.</w:t>
      </w:r>
    </w:p>
    <w:p w:rsidR="00E03A55" w:rsidRPr="00360DBA" w:rsidRDefault="00E03A55" w:rsidP="007A597E">
      <w:pPr>
        <w:tabs>
          <w:tab w:val="left" w:pos="567"/>
        </w:tabs>
        <w:ind w:firstLine="0"/>
        <w:jc w:val="both"/>
      </w:pPr>
      <w:r>
        <w:tab/>
        <w:t xml:space="preserve">In their study, Rajkumar and Swaroop use cross-sectional data for 91 countries over three years: 1990, 1997, and 2003.  Like Filmer and Pritchett (1999), their key spending variable is total public health. On governance, they use two measures to interact with public health spending in order to assess the impact of health spending on under 5 mortality. These measures are corruption and bureaucratic quality. Corruption is measured on a scale of 0 to 6, and bureaucratic quality ranges from 1 to 4. In addition, they also utilize several control variables. They include </w:t>
      </w:r>
      <w:r w:rsidRPr="00360DBA">
        <w:rPr>
          <w:rFonts w:cs="Arial"/>
          <w:color w:val="000000"/>
        </w:rPr>
        <w:t>per capita GDP in PPP adjusted 2000,</w:t>
      </w:r>
      <w:r>
        <w:rPr>
          <w:rFonts w:cs="Arial"/>
          <w:color w:val="000000"/>
        </w:rPr>
        <w:t xml:space="preserve"> predominantly muslim,</w:t>
      </w:r>
      <w:r w:rsidRPr="00360DBA">
        <w:rPr>
          <w:rFonts w:cs="Arial"/>
          <w:color w:val="000000"/>
        </w:rPr>
        <w:t xml:space="preserve"> etno-linguistic fractionalization, female education, income inequality, access to safe water, degree of urbanization, and percentage of population aged under 5.</w:t>
      </w:r>
      <w:r>
        <w:rPr>
          <w:rFonts w:cs="Arial"/>
          <w:color w:val="000000"/>
        </w:rPr>
        <w:t xml:space="preserve"> The estimations used in this paper are OLS and 2SLS.</w:t>
      </w:r>
    </w:p>
    <w:p w:rsidR="00E03A55" w:rsidRDefault="00E03A55" w:rsidP="007A597E">
      <w:pPr>
        <w:tabs>
          <w:tab w:val="left" w:pos="567"/>
        </w:tabs>
        <w:ind w:firstLine="0"/>
        <w:jc w:val="both"/>
      </w:pPr>
      <w:r>
        <w:tab/>
        <w:t>The regression results show that governance is the key determinant of public health spending effectiveness. More specific, 1 percentage point increase in the share of public health spending in GDP declines the under-5 mortality rate by 0.32 % in countries with good governance as measured by a corruption index. Similarly, it reduces 0.20 % the under-5 mortality in countries with average governance. In fact, it has no impact in countries with weak governance. The same result is attained when spending variables is interacted with the quality of bureaucracy. It has a negative coefficient which is statistically significant all level of significance. These results confirm that rich countries have lower child mortality, and the sign of relationship between public health spending and child mortality is negative. It also suggests that the effectiveness of public health spending is positively related with the level of governance.</w:t>
      </w:r>
    </w:p>
    <w:p w:rsidR="00E03A55" w:rsidRDefault="00E03A55" w:rsidP="00391BFE">
      <w:pPr>
        <w:tabs>
          <w:tab w:val="left" w:pos="567"/>
        </w:tabs>
        <w:ind w:firstLine="0"/>
        <w:jc w:val="both"/>
        <w:rPr>
          <w:rFonts w:ascii="Times New Roman" w:hAnsi="Times New Roman"/>
          <w:sz w:val="20"/>
          <w:szCs w:val="20"/>
          <w:lang w:val="en-US" w:eastAsia="en-US"/>
        </w:rPr>
      </w:pPr>
      <w:r>
        <w:tab/>
        <w:t xml:space="preserve">Although the cross-country analysis could explain the possible link between public health spending and health outcomes, several concerns have been raised. First, they suffer from the inherent unobserved heterogeneity, for example historic and institutional factors, that affect both public spending and health outcomes. This has made cross-country analysis of public health spending less than optimal to determine the impact of health spending on health outcomes. More precisely, unobserved heterogeneity would lead to omitted variable biased. Second, the quality and comparability of the data themselves have been questioned. The data come from various sources with different data collection and treatment. Moreover, variable definition may not be uniform across countries. For instance, the definition of “total public health spending” may be different between Indonesia and Kenya. As a result, measurement error typically exists in cross-country analysis. </w:t>
      </w:r>
    </w:p>
    <w:p w:rsidR="00E03A55" w:rsidRDefault="00E03A55" w:rsidP="00391BFE">
      <w:pPr>
        <w:tabs>
          <w:tab w:val="left" w:pos="567"/>
        </w:tabs>
        <w:ind w:firstLine="0"/>
        <w:jc w:val="both"/>
      </w:pPr>
      <w:r>
        <w:tab/>
        <w:t xml:space="preserve">Analyzing relationship between public health spending and infant mortality in sub national context may reduce possibility of omitted variable bias since the sub national governments have the same institutional setting, and often share data collection tools (Kruse et al., forthcoming). In other word, the use of homogenous data might yield a more precise estimate of the relationship between infant mortality and public health spending. Cremieux et al.(1999) examined the impact of private and public health spending on health outcomes using Canadian provinces data over period 1978-1992. They argue that inherent heterogeneity associated with cross-country studies is the reason why previous studies found an insignificant relationship between mortality rates and public health spending. Therefore, using provincial data will limit both specification bias and data heterogeneity. It will lead to a more robust result. </w:t>
      </w:r>
    </w:p>
    <w:p w:rsidR="00E03A55" w:rsidRDefault="00E03A55" w:rsidP="007A597E">
      <w:pPr>
        <w:tabs>
          <w:tab w:val="left" w:pos="567"/>
        </w:tabs>
        <w:ind w:firstLine="0"/>
        <w:jc w:val="both"/>
      </w:pPr>
      <w:r>
        <w:tab/>
        <w:t>Cremieux et al. take five groups of independent variables that expected to explain the variation in infant mortality rates as well as life expectancies at birth by sex. First group consist of health and economic variables including health spending per capita, GDP per capita, and number of physicians per capita. Second group captures socio-demographic aspects using number of graduates per capita, poverty rate, and population density. Third group draws lifestyle variables including percentage of smokers and alcohol consumption per capita, while fourth group represents nutritional variables including spending on meat and fat. The last group is provincial variables consist of ten provinces in Canada. The model is an aggregate function that examines these four determinants of health outcomes based on a general least squares estimation with provincial fixed effects. A GLS method correcting for both autocorrelation and heteroskedasticity in panel data that suspected to exist. Moreover, provincial variables are introduced to control systematic time invariant differences among provinces. The regressions are conducted not only in level but also in log variables.</w:t>
      </w:r>
    </w:p>
    <w:p w:rsidR="00E03A55" w:rsidRDefault="00E03A55" w:rsidP="00391BFE">
      <w:pPr>
        <w:tabs>
          <w:tab w:val="left" w:pos="567"/>
        </w:tabs>
        <w:ind w:firstLine="0"/>
        <w:jc w:val="both"/>
      </w:pPr>
      <w:r>
        <w:tab/>
        <w:t>The regression results confirm that lower health care spending in Canada is statistically significant associated with reduction in life expectancies and higher infant mortality rates. More specific, a 10 % reduction in health care spending will increase infant mortality by 0.5 % for male and 0.4 % for female. Similarly, a 10 % decrease in health care spending is associated with lower life expectancies by 6 months for men and 3 months for women. Cremieux et al. also found that even though the lifestyles and nutrition data are excluded, the results are still the same. Therefore, they conclude that the previous studies’ failure to find a significant relationship between health spending and health outcomes more caused by data heterogeneity inherently from cross-country studies rather than specification bias.</w:t>
      </w:r>
    </w:p>
    <w:p w:rsidR="00E03A55" w:rsidRDefault="00E03A55" w:rsidP="00391BFE">
      <w:pPr>
        <w:tabs>
          <w:tab w:val="left" w:pos="567"/>
        </w:tabs>
        <w:ind w:firstLine="0"/>
        <w:jc w:val="both"/>
      </w:pPr>
      <w:r>
        <w:tab/>
        <w:t>In Indian context, Bhalotra (2007) investigate the impact of variations in state health expenditure on infant mortality. She use the micro-data from the second round of the National Family Health Survey of India (NFHS-2) that informs complete fertility histories for ever-married women aged 15-49 in 1998-1999 including the time and incidence of child deaths. These data are used to construct individual-level indicators of infant mortality. These micro-data then are merged by state and year of birth with a panel data on health expenditure and other relevant variables for the 15 Indian states. Bhalotra runs the baseline model as follows.</w:t>
      </w:r>
    </w:p>
    <w:p w:rsidR="00E03A55" w:rsidRDefault="00E03A55" w:rsidP="00391BFE">
      <w:pPr>
        <w:ind w:firstLine="567"/>
        <w:jc w:val="center"/>
      </w:pPr>
      <w:r w:rsidRPr="001814BA">
        <w:rPr>
          <w:sz w:val="16"/>
          <w:szCs w:val="16"/>
        </w:rPr>
        <w:pict>
          <v:shape id="_x0000_i1032" type="#_x0000_t75" style="width:368.25pt;height:31.5pt" equationxml="&lt;">
            <v:imagedata r:id="rId20" o:title="" chromakey="white"/>
          </v:shape>
        </w:pict>
      </w:r>
    </w:p>
    <w:p w:rsidR="00E03A55" w:rsidRDefault="00E03A55" w:rsidP="00391BFE">
      <w:pPr>
        <w:suppressAutoHyphens w:val="0"/>
        <w:autoSpaceDE w:val="0"/>
        <w:autoSpaceDN w:val="0"/>
        <w:adjustRightInd w:val="0"/>
        <w:spacing w:after="0"/>
        <w:ind w:firstLine="0"/>
        <w:jc w:val="both"/>
        <w:rPr>
          <w:lang w:val="en-US" w:eastAsia="en-US"/>
        </w:rPr>
      </w:pPr>
      <w:r w:rsidRPr="00D968F3">
        <w:rPr>
          <w:lang w:val="en-US" w:eastAsia="en-US"/>
        </w:rPr>
        <w:t xml:space="preserve">Subscripts </w:t>
      </w:r>
      <w:r w:rsidRPr="00D968F3">
        <w:rPr>
          <w:i/>
          <w:iCs/>
          <w:lang w:val="en-US" w:eastAsia="en-US"/>
        </w:rPr>
        <w:t xml:space="preserve">s </w:t>
      </w:r>
      <w:r w:rsidRPr="00D968F3">
        <w:rPr>
          <w:lang w:val="en-US" w:eastAsia="en-US"/>
        </w:rPr>
        <w:t xml:space="preserve">and </w:t>
      </w:r>
      <w:r w:rsidRPr="00D968F3">
        <w:rPr>
          <w:i/>
          <w:iCs/>
          <w:lang w:val="en-US" w:eastAsia="en-US"/>
        </w:rPr>
        <w:t xml:space="preserve">t </w:t>
      </w:r>
      <w:r w:rsidRPr="00D968F3">
        <w:rPr>
          <w:lang w:val="en-US" w:eastAsia="en-US"/>
        </w:rPr>
        <w:t xml:space="preserve">indicate state and year and </w:t>
      </w:r>
      <w:r w:rsidRPr="00D968F3">
        <w:rPr>
          <w:i/>
          <w:iCs/>
          <w:lang w:val="en-US" w:eastAsia="en-US"/>
        </w:rPr>
        <w:t xml:space="preserve">i </w:t>
      </w:r>
      <w:r w:rsidRPr="00D968F3">
        <w:rPr>
          <w:lang w:val="en-US" w:eastAsia="en-US"/>
        </w:rPr>
        <w:t xml:space="preserve">and </w:t>
      </w:r>
      <w:r w:rsidRPr="00D968F3">
        <w:rPr>
          <w:i/>
          <w:iCs/>
          <w:lang w:val="en-US" w:eastAsia="en-US"/>
        </w:rPr>
        <w:t xml:space="preserve">m </w:t>
      </w:r>
      <w:r w:rsidRPr="00D968F3">
        <w:rPr>
          <w:lang w:val="en-US" w:eastAsia="en-US"/>
        </w:rPr>
        <w:t xml:space="preserve">indicate the individual child and mother respectively, ln denotes logarithm. </w:t>
      </w:r>
      <w:r w:rsidRPr="00D968F3">
        <w:rPr>
          <w:i/>
          <w:lang w:val="en-US" w:eastAsia="en-US"/>
        </w:rPr>
        <w:t>M*</w:t>
      </w:r>
      <w:r w:rsidRPr="00D968F3">
        <w:rPr>
          <w:lang w:val="en-US" w:eastAsia="en-US"/>
        </w:rPr>
        <w:t xml:space="preserve"> is a latent variable measuring the probability of infant death, </w:t>
      </w:r>
      <w:r w:rsidRPr="00D968F3">
        <w:rPr>
          <w:i/>
          <w:lang w:val="en-US" w:eastAsia="en-US"/>
        </w:rPr>
        <w:t>H</w:t>
      </w:r>
      <w:r w:rsidRPr="00D968F3">
        <w:rPr>
          <w:lang w:val="en-US" w:eastAsia="en-US"/>
        </w:rPr>
        <w:t xml:space="preserve"> is per capita real health expend</w:t>
      </w:r>
      <w:r w:rsidRPr="00D968F3">
        <w:rPr>
          <w:lang w:val="en-US" w:eastAsia="en-US"/>
        </w:rPr>
        <w:t>i</w:t>
      </w:r>
      <w:r w:rsidRPr="00D968F3">
        <w:rPr>
          <w:lang w:val="en-US" w:eastAsia="en-US"/>
        </w:rPr>
        <w:t xml:space="preserve">ture, </w:t>
      </w:r>
      <w:r w:rsidRPr="00D968F3">
        <w:rPr>
          <w:i/>
          <w:lang w:val="en-US" w:eastAsia="en-US"/>
        </w:rPr>
        <w:t>Y</w:t>
      </w:r>
      <w:r w:rsidRPr="00D968F3">
        <w:rPr>
          <w:lang w:val="en-US" w:eastAsia="en-US"/>
        </w:rPr>
        <w:t xml:space="preserve"> is per capita real net domestic product and </w:t>
      </w:r>
      <w:r w:rsidRPr="00D968F3">
        <w:rPr>
          <w:rFonts w:cs="Symbol,Italic"/>
          <w:i/>
          <w:iCs/>
          <w:lang w:val="en-US" w:eastAsia="en-US"/>
        </w:rPr>
        <w:t xml:space="preserve">β </w:t>
      </w:r>
      <w:r w:rsidRPr="00D968F3">
        <w:rPr>
          <w:lang w:val="en-US" w:eastAsia="en-US"/>
        </w:rPr>
        <w:t>is the parameter of inte</w:t>
      </w:r>
      <w:r w:rsidRPr="00D968F3">
        <w:rPr>
          <w:lang w:val="en-US" w:eastAsia="en-US"/>
        </w:rPr>
        <w:t>r</w:t>
      </w:r>
      <w:r w:rsidRPr="00D968F3">
        <w:rPr>
          <w:lang w:val="en-US" w:eastAsia="en-US"/>
        </w:rPr>
        <w:t>est</w:t>
      </w:r>
      <w:r w:rsidRPr="00D968F3">
        <w:rPr>
          <w:i/>
          <w:iCs/>
          <w:lang w:val="en-US" w:eastAsia="en-US"/>
        </w:rPr>
        <w:t xml:space="preserve">. </w:t>
      </w:r>
      <w:r w:rsidRPr="00D968F3">
        <w:rPr>
          <w:i/>
          <w:lang w:val="en-US" w:eastAsia="en-US"/>
        </w:rPr>
        <w:t xml:space="preserve">X </w:t>
      </w:r>
      <w:r w:rsidRPr="00D968F3">
        <w:rPr>
          <w:lang w:val="en-US" w:eastAsia="en-US"/>
        </w:rPr>
        <w:t xml:space="preserve">is a vector of variables observed at the child or mother level, </w:t>
      </w:r>
      <w:r w:rsidRPr="00D968F3">
        <w:rPr>
          <w:i/>
          <w:lang w:val="en-US" w:eastAsia="en-US"/>
        </w:rPr>
        <w:t xml:space="preserve">Z </w:t>
      </w:r>
      <w:r w:rsidRPr="00D968F3">
        <w:rPr>
          <w:lang w:val="en-US" w:eastAsia="en-US"/>
        </w:rPr>
        <w:t>is a ve</w:t>
      </w:r>
      <w:r w:rsidRPr="00D968F3">
        <w:rPr>
          <w:lang w:val="en-US" w:eastAsia="en-US"/>
        </w:rPr>
        <w:t>c</w:t>
      </w:r>
      <w:r w:rsidRPr="00D968F3">
        <w:rPr>
          <w:lang w:val="en-US" w:eastAsia="en-US"/>
        </w:rPr>
        <w:t xml:space="preserve">tor of state- level controls and </w:t>
      </w:r>
      <w:r w:rsidRPr="00D968F3">
        <w:rPr>
          <w:i/>
          <w:lang w:val="en-US" w:eastAsia="en-US"/>
        </w:rPr>
        <w:t>R</w:t>
      </w:r>
      <w:r w:rsidRPr="00D968F3">
        <w:rPr>
          <w:i/>
          <w:vertAlign w:val="superscript"/>
          <w:lang w:val="en-US" w:eastAsia="en-US"/>
        </w:rPr>
        <w:t>f</w:t>
      </w:r>
      <w:r w:rsidRPr="00D968F3">
        <w:rPr>
          <w:i/>
          <w:lang w:val="en-US" w:eastAsia="en-US"/>
        </w:rPr>
        <w:t xml:space="preserve"> </w:t>
      </w:r>
      <w:r w:rsidRPr="00D968F3">
        <w:rPr>
          <w:lang w:val="en-US" w:eastAsia="en-US"/>
        </w:rPr>
        <w:t xml:space="preserve">and </w:t>
      </w:r>
      <w:r w:rsidRPr="00D968F3">
        <w:rPr>
          <w:i/>
          <w:lang w:val="en-US" w:eastAsia="en-US"/>
        </w:rPr>
        <w:t>R</w:t>
      </w:r>
      <w:r w:rsidRPr="00D968F3">
        <w:rPr>
          <w:vertAlign w:val="superscript"/>
          <w:lang w:val="en-US" w:eastAsia="en-US"/>
        </w:rPr>
        <w:t>d</w:t>
      </w:r>
      <w:r w:rsidRPr="00D968F3">
        <w:rPr>
          <w:lang w:val="en-US" w:eastAsia="en-US"/>
        </w:rPr>
        <w:t xml:space="preserve"> are vectors of positive and negative state-specific rainfall shocks (superscripts </w:t>
      </w:r>
      <w:r w:rsidRPr="00D968F3">
        <w:rPr>
          <w:i/>
          <w:lang w:val="en-US" w:eastAsia="en-US"/>
        </w:rPr>
        <w:t xml:space="preserve">f </w:t>
      </w:r>
      <w:r w:rsidRPr="00D968F3">
        <w:rPr>
          <w:lang w:val="en-US" w:eastAsia="en-US"/>
        </w:rPr>
        <w:t xml:space="preserve">and </w:t>
      </w:r>
      <w:r w:rsidRPr="00D968F3">
        <w:rPr>
          <w:i/>
          <w:lang w:val="en-US" w:eastAsia="en-US"/>
        </w:rPr>
        <w:t>d</w:t>
      </w:r>
      <w:r w:rsidRPr="00D968F3">
        <w:rPr>
          <w:lang w:val="en-US" w:eastAsia="en-US"/>
        </w:rPr>
        <w:t xml:space="preserve"> denote “flood” and “drought” respectively). </w:t>
      </w:r>
      <w:r w:rsidRPr="00D968F3">
        <w:rPr>
          <w:i/>
          <w:lang w:val="en-US" w:eastAsia="en-US"/>
        </w:rPr>
        <w:t>α</w:t>
      </w:r>
      <w:r w:rsidRPr="00D968F3">
        <w:rPr>
          <w:i/>
          <w:vertAlign w:val="subscript"/>
          <w:lang w:val="en-US" w:eastAsia="en-US"/>
        </w:rPr>
        <w:t>s</w:t>
      </w:r>
      <w:r w:rsidRPr="00D968F3">
        <w:rPr>
          <w:i/>
          <w:iCs/>
          <w:lang w:val="en-US" w:eastAsia="en-US"/>
        </w:rPr>
        <w:t xml:space="preserve"> </w:t>
      </w:r>
      <w:r w:rsidRPr="00D968F3">
        <w:rPr>
          <w:lang w:val="en-US" w:eastAsia="en-US"/>
        </w:rPr>
        <w:t xml:space="preserve">and </w:t>
      </w:r>
      <w:r w:rsidRPr="00D968F3">
        <w:rPr>
          <w:i/>
          <w:lang w:val="en-US" w:eastAsia="en-US"/>
        </w:rPr>
        <w:t>α</w:t>
      </w:r>
      <w:r w:rsidRPr="00D968F3">
        <w:rPr>
          <w:i/>
          <w:vertAlign w:val="subscript"/>
          <w:lang w:val="en-US" w:eastAsia="en-US"/>
        </w:rPr>
        <w:t>t</w:t>
      </w:r>
      <w:r w:rsidRPr="00D968F3">
        <w:rPr>
          <w:i/>
          <w:iCs/>
          <w:lang w:val="en-US" w:eastAsia="en-US"/>
        </w:rPr>
        <w:t xml:space="preserve"> </w:t>
      </w:r>
      <w:r w:rsidRPr="00D968F3">
        <w:rPr>
          <w:lang w:val="en-US" w:eastAsia="en-US"/>
        </w:rPr>
        <w:t xml:space="preserve">are state and year fixed effects and </w:t>
      </w:r>
      <w:r w:rsidRPr="00D968F3">
        <w:rPr>
          <w:i/>
          <w:lang w:val="en-US" w:eastAsia="en-US"/>
        </w:rPr>
        <w:t>u</w:t>
      </w:r>
      <w:r w:rsidRPr="00953440">
        <w:rPr>
          <w:i/>
          <w:iCs/>
          <w:vertAlign w:val="subscript"/>
          <w:lang w:val="en-US" w:eastAsia="en-US"/>
        </w:rPr>
        <w:t>st</w:t>
      </w:r>
      <w:r w:rsidRPr="00D968F3">
        <w:rPr>
          <w:i/>
          <w:iCs/>
          <w:lang w:val="en-US" w:eastAsia="en-US"/>
        </w:rPr>
        <w:t xml:space="preserve"> </w:t>
      </w:r>
      <w:r w:rsidRPr="00D968F3">
        <w:rPr>
          <w:lang w:val="en-US" w:eastAsia="en-US"/>
        </w:rPr>
        <w:t xml:space="preserve">are state-specific trends. </w:t>
      </w:r>
      <w:r>
        <w:rPr>
          <w:lang w:val="en-US" w:eastAsia="en-US"/>
        </w:rPr>
        <w:t xml:space="preserve">The baseline model is estimated as a probit. Moreover, the model also adjusts for </w:t>
      </w:r>
      <w:r w:rsidRPr="00D968F3">
        <w:rPr>
          <w:lang w:val="en-US" w:eastAsia="en-US"/>
        </w:rPr>
        <w:t>conditional heteroskedasticity and for conditional autocorrelation within states</w:t>
      </w:r>
      <w:r>
        <w:rPr>
          <w:lang w:val="en-US" w:eastAsia="en-US"/>
        </w:rPr>
        <w:t xml:space="preserve">. </w:t>
      </w:r>
    </w:p>
    <w:p w:rsidR="00E03A55" w:rsidRDefault="00E03A55" w:rsidP="00391BFE">
      <w:pPr>
        <w:suppressAutoHyphens w:val="0"/>
        <w:autoSpaceDE w:val="0"/>
        <w:autoSpaceDN w:val="0"/>
        <w:adjustRightInd w:val="0"/>
        <w:spacing w:after="0"/>
        <w:ind w:firstLine="0"/>
        <w:jc w:val="both"/>
        <w:rPr>
          <w:lang w:val="en-US" w:eastAsia="en-US"/>
        </w:rPr>
      </w:pPr>
    </w:p>
    <w:p w:rsidR="00E03A55" w:rsidRPr="00CF5F84" w:rsidRDefault="00E03A55" w:rsidP="00391BFE">
      <w:pPr>
        <w:suppressAutoHyphens w:val="0"/>
        <w:autoSpaceDE w:val="0"/>
        <w:autoSpaceDN w:val="0"/>
        <w:adjustRightInd w:val="0"/>
        <w:spacing w:after="0"/>
        <w:ind w:firstLine="0"/>
        <w:jc w:val="both"/>
        <w:rPr>
          <w:lang w:val="en-US" w:eastAsia="en-US"/>
        </w:rPr>
      </w:pPr>
      <w:r>
        <w:rPr>
          <w:lang w:val="en-US" w:eastAsia="en-US"/>
        </w:rPr>
        <w:t>In addition, to gain at least an indicative sense of the state-specific relatio</w:t>
      </w:r>
      <w:r>
        <w:rPr>
          <w:lang w:val="en-US" w:eastAsia="en-US"/>
        </w:rPr>
        <w:t>n</w:t>
      </w:r>
      <w:r>
        <w:rPr>
          <w:lang w:val="en-US" w:eastAsia="en-US"/>
        </w:rPr>
        <w:t xml:space="preserve">ships, Bhalotra also estimates simple linear model for each state using the time series </w:t>
      </w:r>
      <w:r w:rsidRPr="00CF5F84">
        <w:rPr>
          <w:lang w:val="en-US" w:eastAsia="en-US"/>
        </w:rPr>
        <w:t>(T = 28):</w:t>
      </w:r>
    </w:p>
    <w:p w:rsidR="00E03A55" w:rsidRDefault="00E03A55" w:rsidP="00391BFE">
      <w:pPr>
        <w:ind w:firstLine="0"/>
        <w:jc w:val="both"/>
      </w:pPr>
      <w:r w:rsidRPr="001814BA">
        <w:pict>
          <v:shape id="_x0000_i1033" type="#_x0000_t75" style="width:368.25pt;height:31.5pt" equationxml="&lt;">
            <v:imagedata r:id="rId21" o:title="" chromakey="white"/>
          </v:shape>
        </w:pict>
      </w:r>
    </w:p>
    <w:p w:rsidR="00E03A55" w:rsidRDefault="00E03A55" w:rsidP="007A597E">
      <w:pPr>
        <w:tabs>
          <w:tab w:val="left" w:pos="567"/>
        </w:tabs>
        <w:ind w:firstLine="0"/>
        <w:jc w:val="both"/>
      </w:pPr>
      <w:r>
        <w:tab/>
        <w:t xml:space="preserve">The results from baseline model show that health spending has no effects on infant mortality, while the state-specific model reveals that health expenditure has a significant negative effect only in three of 15 states in India. However, when Bhalotra restricts the sample to rural households, allows a distributed lag, and includes state-specific trends in the model, a significant impact of health expenditure emerges in the third lag of health expenditure. A possible explanation is that health expenditure is endogenous, and that this endogeneity is being limited by factoring out state-specific trends and by lagging health expenditure. In addition, Bhalotra also examines the differences in the impact of health expenditure by social group. She found that the impact is greater for rural and scheduled tribe households than for urban or higher-caste households.  </w:t>
      </w:r>
    </w:p>
    <w:p w:rsidR="00E03A55" w:rsidRDefault="00E03A55" w:rsidP="00391BFE">
      <w:pPr>
        <w:tabs>
          <w:tab w:val="left" w:pos="567"/>
        </w:tabs>
        <w:ind w:firstLine="0"/>
        <w:jc w:val="both"/>
      </w:pPr>
      <w:r>
        <w:tab/>
        <w:t xml:space="preserve">There is a relevant recent work for Indonesia (Pradipta, 2003). The paper analyzes the link between total public health spending in provincial level and infant mortality rate in Indonesia while control for </w:t>
      </w:r>
      <w:r>
        <w:rPr>
          <w:rFonts w:cs="Arial"/>
          <w:color w:val="000000"/>
        </w:rPr>
        <w:t>i</w:t>
      </w:r>
      <w:r w:rsidRPr="00435A3C">
        <w:rPr>
          <w:rFonts w:cs="Arial"/>
          <w:color w:val="000000"/>
        </w:rPr>
        <w:t>ncome per capita</w:t>
      </w:r>
      <w:r>
        <w:rPr>
          <w:rFonts w:cs="Arial"/>
          <w:color w:val="000000"/>
        </w:rPr>
        <w:t>,</w:t>
      </w:r>
      <w:r w:rsidRPr="00435A3C">
        <w:rPr>
          <w:rFonts w:cs="Arial"/>
          <w:color w:val="000000"/>
        </w:rPr>
        <w:t xml:space="preserve"> public health expenditure</w:t>
      </w:r>
      <w:r>
        <w:rPr>
          <w:rFonts w:cs="Arial"/>
          <w:color w:val="000000"/>
        </w:rPr>
        <w:t>,</w:t>
      </w:r>
      <w:r w:rsidRPr="00435A3C">
        <w:rPr>
          <w:rFonts w:cs="Arial"/>
          <w:color w:val="000000"/>
        </w:rPr>
        <w:t xml:space="preserve"> DPT1 Immunization</w:t>
      </w:r>
      <w:r>
        <w:rPr>
          <w:rFonts w:cs="Arial"/>
          <w:color w:val="000000"/>
        </w:rPr>
        <w:t>,</w:t>
      </w:r>
      <w:r w:rsidRPr="00435A3C">
        <w:rPr>
          <w:rFonts w:cs="Arial"/>
          <w:color w:val="000000"/>
        </w:rPr>
        <w:t xml:space="preserve"> access to safe water</w:t>
      </w:r>
      <w:r>
        <w:rPr>
          <w:rFonts w:cs="Arial"/>
          <w:color w:val="000000"/>
        </w:rPr>
        <w:t>, and</w:t>
      </w:r>
      <w:r w:rsidRPr="00435A3C">
        <w:rPr>
          <w:rFonts w:cs="Arial"/>
          <w:color w:val="000000"/>
        </w:rPr>
        <w:t xml:space="preserve"> adult illiteracy rate.</w:t>
      </w:r>
      <w:r>
        <w:rPr>
          <w:rFonts w:cs="Arial"/>
          <w:color w:val="000000"/>
        </w:rPr>
        <w:t xml:space="preserve"> </w:t>
      </w:r>
      <w:r>
        <w:t>The study uses a balance panel of 26 provinces in Indonesia over period 1997 to 2000 with fixed effect estimation.</w:t>
      </w:r>
    </w:p>
    <w:p w:rsidR="00E03A55" w:rsidRDefault="00E03A55" w:rsidP="00391BFE">
      <w:pPr>
        <w:tabs>
          <w:tab w:val="left" w:pos="567"/>
        </w:tabs>
        <w:ind w:firstLine="0"/>
        <w:jc w:val="both"/>
        <w:rPr>
          <w:rFonts w:cs="Arial"/>
          <w:color w:val="000000"/>
        </w:rPr>
      </w:pPr>
      <w:r>
        <w:tab/>
        <w:t>The results show that p</w:t>
      </w:r>
      <w:r w:rsidRPr="00435A3C">
        <w:rPr>
          <w:rFonts w:cs="Arial"/>
          <w:color w:val="000000"/>
        </w:rPr>
        <w:t>ublic health expenditure is significant</w:t>
      </w:r>
      <w:r>
        <w:rPr>
          <w:rFonts w:cs="Arial"/>
          <w:color w:val="000000"/>
        </w:rPr>
        <w:t xml:space="preserve">ly affect infant mortality </w:t>
      </w:r>
      <w:r w:rsidRPr="00435A3C">
        <w:rPr>
          <w:rFonts w:cs="Arial"/>
          <w:color w:val="000000"/>
        </w:rPr>
        <w:t>with negative sign</w:t>
      </w:r>
      <w:r>
        <w:rPr>
          <w:rFonts w:cs="Arial"/>
          <w:color w:val="000000"/>
        </w:rPr>
        <w:t xml:space="preserve"> as expected</w:t>
      </w:r>
      <w:r w:rsidRPr="00435A3C">
        <w:rPr>
          <w:rFonts w:cs="Arial"/>
          <w:color w:val="000000"/>
        </w:rPr>
        <w:t xml:space="preserve">. </w:t>
      </w:r>
      <w:r>
        <w:rPr>
          <w:rFonts w:cs="Arial"/>
          <w:color w:val="000000"/>
        </w:rPr>
        <w:t xml:space="preserve">The author concludes that public health expenditure in provincial level affects the reduction of infant mortality rate in Indonesia. The results also shows that all control variables are </w:t>
      </w:r>
      <w:r w:rsidRPr="00435A3C">
        <w:rPr>
          <w:rFonts w:cs="Arial"/>
          <w:color w:val="000000"/>
        </w:rPr>
        <w:t>significant with expected sign</w:t>
      </w:r>
      <w:r>
        <w:rPr>
          <w:rFonts w:cs="Arial"/>
          <w:color w:val="000000"/>
        </w:rPr>
        <w:t xml:space="preserve"> accept for a</w:t>
      </w:r>
      <w:r w:rsidRPr="00435A3C">
        <w:rPr>
          <w:rFonts w:cs="Arial"/>
          <w:color w:val="000000"/>
        </w:rPr>
        <w:t xml:space="preserve">ccess to safe water </w:t>
      </w:r>
      <w:r>
        <w:rPr>
          <w:rFonts w:cs="Arial"/>
          <w:color w:val="000000"/>
        </w:rPr>
        <w:t>that is also significant</w:t>
      </w:r>
      <w:r w:rsidRPr="00435A3C">
        <w:rPr>
          <w:rFonts w:cs="Arial"/>
          <w:color w:val="000000"/>
        </w:rPr>
        <w:t xml:space="preserve"> but with positive sign. </w:t>
      </w:r>
      <w:r>
        <w:rPr>
          <w:rFonts w:cs="Arial"/>
          <w:color w:val="000000"/>
        </w:rPr>
        <w:t xml:space="preserve">One possible explanation is that </w:t>
      </w:r>
      <w:r w:rsidRPr="00435A3C">
        <w:rPr>
          <w:rFonts w:cs="Arial"/>
          <w:color w:val="000000"/>
        </w:rPr>
        <w:t xml:space="preserve">reducing in infant mortality </w:t>
      </w:r>
      <w:r>
        <w:rPr>
          <w:rFonts w:cs="Arial"/>
          <w:color w:val="000000"/>
        </w:rPr>
        <w:t xml:space="preserve">efforts </w:t>
      </w:r>
      <w:r w:rsidRPr="00435A3C">
        <w:rPr>
          <w:rFonts w:cs="Arial"/>
          <w:color w:val="000000"/>
        </w:rPr>
        <w:t>in Indonesia did not followed by increasing access to safe water to the people</w:t>
      </w:r>
      <w:r>
        <w:rPr>
          <w:rFonts w:cs="Arial"/>
          <w:color w:val="000000"/>
        </w:rPr>
        <w:t xml:space="preserve">.  </w:t>
      </w:r>
    </w:p>
    <w:p w:rsidR="00E03A55" w:rsidRDefault="00E03A55" w:rsidP="007A597E">
      <w:pPr>
        <w:tabs>
          <w:tab w:val="left" w:pos="567"/>
        </w:tabs>
        <w:ind w:firstLine="0"/>
        <w:jc w:val="both"/>
        <w:rPr>
          <w:rFonts w:cs="Arial"/>
          <w:color w:val="000000"/>
        </w:rPr>
      </w:pPr>
      <w:r>
        <w:rPr>
          <w:rFonts w:cs="Arial"/>
          <w:color w:val="000000"/>
        </w:rPr>
        <w:tab/>
        <w:t xml:space="preserve">To summary the discussion so far, at least two aspects need to be </w:t>
      </w:r>
      <w:r w:rsidRPr="00F91822">
        <w:rPr>
          <w:rFonts w:cs="Arial"/>
          <w:color w:val="000000"/>
        </w:rPr>
        <w:t>highlight</w:t>
      </w:r>
      <w:r>
        <w:rPr>
          <w:rFonts w:cs="Arial"/>
          <w:color w:val="000000"/>
        </w:rPr>
        <w:t xml:space="preserve">ed. First, there is no clear answer about the relationship between public health spending and infant mortality. The differences in findings are mainly caused by the quality of data and methods being used. There is a possibility of  unobserved heterogeneity that make the estimation less than optimal setting to determine the impact of health care spending on infant mortality. However, using more homogenous data and utilizing panel data analysis can solve this problem. Second, none of the paper reviewed before examine indirect link or channel between public health expenditure and infant mortality. It is then become interesting to investigate the role of maternal care namely skilled birth attendant at delivery as channel for infant mortality reduction. </w:t>
      </w:r>
    </w:p>
    <w:p w:rsidR="00E03A55" w:rsidRDefault="00E03A55" w:rsidP="007A597E">
      <w:pPr>
        <w:tabs>
          <w:tab w:val="left" w:pos="567"/>
        </w:tabs>
        <w:spacing w:after="0"/>
        <w:ind w:firstLine="0"/>
        <w:jc w:val="both"/>
        <w:rPr>
          <w:rFonts w:cs="Arial"/>
          <w:color w:val="000000"/>
        </w:rPr>
      </w:pPr>
      <w:r>
        <w:rPr>
          <w:rFonts w:cs="Arial"/>
          <w:color w:val="000000"/>
        </w:rPr>
        <w:tab/>
        <w:t xml:space="preserve">Addressing these two aspects, this paper aims to examine the direct effect of public health spending on infant mortality through the utilization of skilled birth attendance in Indonesia. </w:t>
      </w:r>
      <w:r w:rsidRPr="001A5461">
        <w:t>In particular, it investigates the extent to which public health spending result</w:t>
      </w:r>
      <w:r>
        <w:t>s</w:t>
      </w:r>
      <w:r w:rsidRPr="001A5461">
        <w:t xml:space="preserve"> in a decrease in infant mortality and whether skilled birth attendance has positive contribution to this decline.</w:t>
      </w:r>
      <w:r>
        <w:t xml:space="preserve"> Using district data that aggregate to province level from 2001 to 2006, this study has better quality of spending data in the sub-national level since 60% of public health spending is spent by district governments as the effect of decentralization. The different condition experienced by the study of Pradibta (2003) that used pre-decentralization data from 1997 to 2000 to analyze the impact of province’s public health spending on infant mortality. Since public health spending before 2001 mainly occurs at central level, data used by this study might not be adequate to analyze the impact of public health spending on infant mortality in the province level. Moreover, Pradibta also failed taking into account population in his analysis since he use total health expenditure instead of per capita public health expenditure as a variable.</w:t>
      </w:r>
    </w:p>
    <w:p w:rsidR="00E03A55" w:rsidRDefault="00E03A55" w:rsidP="007A597E">
      <w:pPr>
        <w:pStyle w:val="Heading2"/>
        <w:spacing w:before="200"/>
      </w:pPr>
      <w:bookmarkStart w:id="55" w:name="_Toc239163844"/>
      <w:r>
        <w:t>The Role of Skilled Birth Attendance on In</w:t>
      </w:r>
      <w:r w:rsidRPr="00D10AA8">
        <w:t xml:space="preserve">fant </w:t>
      </w:r>
      <w:r>
        <w:t>Survival</w:t>
      </w:r>
      <w:bookmarkEnd w:id="55"/>
    </w:p>
    <w:p w:rsidR="00E03A55" w:rsidRDefault="00E03A55" w:rsidP="007A597E">
      <w:pPr>
        <w:suppressAutoHyphens w:val="0"/>
        <w:autoSpaceDE w:val="0"/>
        <w:autoSpaceDN w:val="0"/>
        <w:adjustRightInd w:val="0"/>
        <w:ind w:firstLine="0"/>
        <w:jc w:val="both"/>
      </w:pPr>
      <w:r w:rsidRPr="00194D47">
        <w:t xml:space="preserve">The presence of skilled birth attendants at delivery is an important factor in preventing infant mortality. Skilled birth attendants at delivery, for example, are able to recognize the </w:t>
      </w:r>
      <w:r w:rsidRPr="00194D47">
        <w:rPr>
          <w:rFonts w:eastAsia="Arial Unicode MS" w:cs="Arial Unicode MS"/>
          <w:color w:val="333333"/>
        </w:rPr>
        <w:t xml:space="preserve">complications </w:t>
      </w:r>
      <w:r w:rsidRPr="00194D47">
        <w:t>of unborn babies and provide appropriate interventions.</w:t>
      </w:r>
      <w:r>
        <w:t xml:space="preserve"> They also perform assessment on the babies in the immediate post-birth period and intensive treatments for sick newborn when needed. Therefore, the risk of infant deaths can be reduced.</w:t>
      </w:r>
    </w:p>
    <w:p w:rsidR="00E03A55" w:rsidRDefault="00E03A55" w:rsidP="007A597E">
      <w:pPr>
        <w:tabs>
          <w:tab w:val="left" w:pos="567"/>
        </w:tabs>
        <w:suppressAutoHyphens w:val="0"/>
        <w:autoSpaceDE w:val="0"/>
        <w:autoSpaceDN w:val="0"/>
        <w:adjustRightInd w:val="0"/>
        <w:ind w:firstLine="0"/>
        <w:jc w:val="both"/>
      </w:pPr>
      <w:r>
        <w:tab/>
        <w:t xml:space="preserve">Several aspects determine the utilization of skilled birth attendance and provide a conceptual framework concerning its role on infant survival </w:t>
      </w:r>
      <w:r w:rsidRPr="004E5241">
        <w:t>(figure 3.1). First, the utilization of skilled birth attendance is mainly associated with</w:t>
      </w:r>
      <w:r>
        <w:t xml:space="preserve"> government’s policy context and socio-cultural attributes. The government, for instances, can provide intensive maternal care or increase the number of mi</w:t>
      </w:r>
      <w:r>
        <w:t>d</w:t>
      </w:r>
      <w:r>
        <w:t>wives to serve the community especially in rural areas in order to reduce infant mortality. On the other hand, the difference on socio-cultural attributes could diminish demand for skilled birth attendance. For examples, the preferences of people with skilled birth attendance at delivery are varies across religion, i</w:t>
      </w:r>
      <w:r>
        <w:t>n</w:t>
      </w:r>
      <w:r>
        <w:t xml:space="preserve">come groups or geographical locations. </w:t>
      </w:r>
    </w:p>
    <w:p w:rsidR="00E03A55" w:rsidRDefault="00E03A55" w:rsidP="007A597E">
      <w:pPr>
        <w:tabs>
          <w:tab w:val="left" w:pos="567"/>
        </w:tabs>
        <w:suppressAutoHyphens w:val="0"/>
        <w:autoSpaceDE w:val="0"/>
        <w:autoSpaceDN w:val="0"/>
        <w:adjustRightInd w:val="0"/>
        <w:ind w:firstLine="0"/>
        <w:jc w:val="both"/>
      </w:pPr>
      <w:r>
        <w:tab/>
        <w:t>Second, the degree of skilled birth attendance utilization is also affected by its inputs. For the skilled attendance to function effectively, at least the fo</w:t>
      </w:r>
      <w:r>
        <w:t>l</w:t>
      </w:r>
      <w:r>
        <w:t>lowing must be in place. First, it needs high human resources competencies. The skilled attendants must have knowledge and personal attributes including life-saving skills to provide a good quality care. Second, it requires financial resources, for examples to ensure availability of all essential drugs, supplies and equipment. The financial resources itself can be come from either public e</w:t>
      </w:r>
      <w:r>
        <w:t>x</w:t>
      </w:r>
      <w:r>
        <w:t xml:space="preserve">penditure or user fees. Third, the adequate infrastructure and transportation are needed to ensure the provision of effective care especially in an emergency. Fourth, interactions, communications and partnerships should exist between the health services and communities. This community empowerment aims to guarantee the quality of service delivery. </w:t>
      </w:r>
    </w:p>
    <w:p w:rsidR="00E03A55" w:rsidRDefault="00E03A55" w:rsidP="007A597E">
      <w:pPr>
        <w:suppressAutoHyphens w:val="0"/>
        <w:autoSpaceDE w:val="0"/>
        <w:autoSpaceDN w:val="0"/>
        <w:adjustRightInd w:val="0"/>
        <w:spacing w:after="0"/>
        <w:ind w:firstLine="0"/>
        <w:jc w:val="both"/>
      </w:pPr>
    </w:p>
    <w:p w:rsidR="00E03A55" w:rsidRPr="00160AF5" w:rsidRDefault="00E03A55" w:rsidP="0073200D">
      <w:pPr>
        <w:pStyle w:val="Caption"/>
        <w:jc w:val="center"/>
        <w:rPr>
          <w:rFonts w:ascii="Arial" w:hAnsi="Arial" w:cs="Arial"/>
          <w:b/>
          <w:iCs/>
          <w:sz w:val="18"/>
          <w:szCs w:val="18"/>
        </w:rPr>
      </w:pPr>
      <w:r>
        <w:rPr>
          <w:noProof/>
        </w:rPr>
        <w:pict>
          <v:shape id="Diagram 4" o:spid="_x0000_s1027" type="#_x0000_t75" style="position:absolute;left:0;text-align:left;margin-left:12.75pt;margin-top:27.1pt;width:347.1pt;height:222.15pt;z-index:251659264;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">
            <v:imagedata r:id="rId22" o:title=""/>
            <o:lock v:ext="edit" aspectratio="f"/>
            <w10:wrap type="square"/>
          </v:shape>
        </w:pict>
      </w:r>
      <w:bookmarkStart w:id="56" w:name="_Toc239162880"/>
      <w:r w:rsidRPr="00160AF5">
        <w:rPr>
          <w:rFonts w:ascii="Arial" w:hAnsi="Arial" w:cs="Arial"/>
          <w:b/>
          <w:sz w:val="18"/>
          <w:szCs w:val="18"/>
        </w:rPr>
        <w:t xml:space="preserve">Figure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3</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Figure \* ARABIC \s 1 </w:instrText>
      </w:r>
      <w:r>
        <w:rPr>
          <w:rFonts w:ascii="Arial" w:hAnsi="Arial" w:cs="Arial"/>
          <w:b/>
          <w:sz w:val="18"/>
          <w:szCs w:val="18"/>
        </w:rPr>
        <w:fldChar w:fldCharType="separate"/>
      </w:r>
      <w:r>
        <w:rPr>
          <w:rFonts w:ascii="Arial" w:hAnsi="Arial" w:cs="Arial"/>
          <w:b/>
          <w:noProof/>
          <w:sz w:val="18"/>
          <w:szCs w:val="18"/>
        </w:rPr>
        <w:t>1</w:t>
      </w:r>
      <w:r>
        <w:rPr>
          <w:rFonts w:ascii="Arial" w:hAnsi="Arial" w:cs="Arial"/>
          <w:b/>
          <w:sz w:val="18"/>
          <w:szCs w:val="18"/>
        </w:rPr>
        <w:fldChar w:fldCharType="end"/>
      </w:r>
      <w:r w:rsidRPr="00160AF5">
        <w:rPr>
          <w:rFonts w:ascii="Arial" w:hAnsi="Arial" w:cs="Arial"/>
          <w:b/>
          <w:sz w:val="18"/>
          <w:szCs w:val="18"/>
        </w:rPr>
        <w:t xml:space="preserve"> Conceptual Frameworks for Skilled Attendance at Delivery on Infant Survival</w:t>
      </w:r>
      <w:bookmarkEnd w:id="56"/>
    </w:p>
    <w:p w:rsidR="00E03A55" w:rsidRPr="00332599" w:rsidRDefault="00E03A55" w:rsidP="00391BFE">
      <w:pPr>
        <w:suppressAutoHyphens w:val="0"/>
        <w:autoSpaceDE w:val="0"/>
        <w:autoSpaceDN w:val="0"/>
        <w:adjustRightInd w:val="0"/>
        <w:spacing w:after="200"/>
        <w:ind w:firstLine="0"/>
        <w:rPr>
          <w:rFonts w:ascii="Arial" w:hAnsi="Arial" w:cs="Arial"/>
          <w:noProof/>
          <w:sz w:val="18"/>
          <w:szCs w:val="18"/>
          <w:lang w:val="en-US"/>
        </w:rPr>
      </w:pPr>
      <w:r>
        <w:rPr>
          <w:rFonts w:ascii="Arial" w:hAnsi="Arial" w:cs="Arial"/>
          <w:noProof/>
          <w:sz w:val="18"/>
          <w:szCs w:val="18"/>
          <w:lang w:val="en-US"/>
        </w:rPr>
        <w:t xml:space="preserve">       Source: Graham et al., </w:t>
      </w:r>
      <w:r w:rsidRPr="00332599">
        <w:rPr>
          <w:rFonts w:ascii="Arial" w:hAnsi="Arial" w:cs="Arial"/>
          <w:noProof/>
          <w:sz w:val="18"/>
          <w:szCs w:val="18"/>
          <w:lang w:val="en-US"/>
        </w:rPr>
        <w:t>200</w:t>
      </w:r>
      <w:r>
        <w:rPr>
          <w:rFonts w:ascii="Arial" w:hAnsi="Arial" w:cs="Arial"/>
          <w:noProof/>
          <w:sz w:val="18"/>
          <w:szCs w:val="18"/>
          <w:lang w:val="en-US"/>
        </w:rPr>
        <w:t>1</w:t>
      </w:r>
      <w:r w:rsidRPr="00332599">
        <w:rPr>
          <w:rFonts w:ascii="Arial" w:hAnsi="Arial" w:cs="Arial"/>
          <w:noProof/>
          <w:sz w:val="18"/>
          <w:szCs w:val="18"/>
          <w:lang w:val="en-US"/>
        </w:rPr>
        <w:t xml:space="preserve"> </w:t>
      </w:r>
      <w:r>
        <w:rPr>
          <w:rFonts w:ascii="Arial" w:hAnsi="Arial" w:cs="Arial"/>
          <w:noProof/>
          <w:sz w:val="18"/>
          <w:szCs w:val="18"/>
          <w:lang w:val="en-US"/>
        </w:rPr>
        <w:t>e</w:t>
      </w:r>
      <w:r w:rsidRPr="00332599">
        <w:rPr>
          <w:rFonts w:ascii="Arial" w:hAnsi="Arial" w:cs="Arial"/>
          <w:noProof/>
          <w:sz w:val="18"/>
          <w:szCs w:val="18"/>
          <w:lang w:val="en-US"/>
        </w:rPr>
        <w:t>dited by author</w:t>
      </w:r>
      <w:r>
        <w:rPr>
          <w:rFonts w:ascii="Arial" w:hAnsi="Arial" w:cs="Arial"/>
          <w:noProof/>
          <w:sz w:val="18"/>
          <w:szCs w:val="18"/>
          <w:lang w:val="en-US"/>
        </w:rPr>
        <w:t>.</w:t>
      </w:r>
    </w:p>
    <w:p w:rsidR="00E03A55" w:rsidRPr="007147B3" w:rsidRDefault="00E03A55" w:rsidP="007A597E">
      <w:pPr>
        <w:tabs>
          <w:tab w:val="left" w:pos="567"/>
        </w:tabs>
        <w:suppressAutoHyphens w:val="0"/>
        <w:autoSpaceDE w:val="0"/>
        <w:autoSpaceDN w:val="0"/>
        <w:adjustRightInd w:val="0"/>
        <w:ind w:firstLine="0"/>
        <w:jc w:val="both"/>
        <w:rPr>
          <w:rFonts w:cs="Arial"/>
          <w:color w:val="000000"/>
        </w:rPr>
      </w:pPr>
      <w:r>
        <w:tab/>
        <w:t>The last aspect</w:t>
      </w:r>
      <w:r w:rsidRPr="007147B3">
        <w:t xml:space="preserve"> that determines </w:t>
      </w:r>
      <w:r>
        <w:t>the utilization of skilled birth attendance is</w:t>
      </w:r>
      <w:r w:rsidRPr="007147B3">
        <w:t xml:space="preserve"> the affordability and health facility characteristics. The skilled birth atte</w:t>
      </w:r>
      <w:r w:rsidRPr="007147B3">
        <w:t>n</w:t>
      </w:r>
      <w:r w:rsidRPr="007147B3">
        <w:t xml:space="preserve">dance can be found both in private and public health provider. </w:t>
      </w:r>
      <w:r>
        <w:rPr>
          <w:rFonts w:cs="Arial"/>
          <w:color w:val="000000"/>
        </w:rPr>
        <w:t>T</w:t>
      </w:r>
      <w:r>
        <w:t xml:space="preserve">he users can choose based on their preferences. </w:t>
      </w:r>
      <w:r w:rsidRPr="007147B3">
        <w:t xml:space="preserve">The </w:t>
      </w:r>
      <w:r>
        <w:t xml:space="preserve">users’ preferences are </w:t>
      </w:r>
      <w:r w:rsidRPr="007147B3">
        <w:t>mainly affected by the price they are paid for services and quality of services that they received. In fact, p</w:t>
      </w:r>
      <w:r w:rsidRPr="007147B3">
        <w:rPr>
          <w:rFonts w:cs="Arial"/>
          <w:color w:val="000000"/>
        </w:rPr>
        <w:t>ublic facilities tend to deliver services of lower quality than private facilities, but at a much lower price.</w:t>
      </w:r>
      <w:r>
        <w:rPr>
          <w:rFonts w:cs="Arial"/>
          <w:color w:val="000000"/>
        </w:rPr>
        <w:t xml:space="preserve"> On the other hand</w:t>
      </w:r>
      <w:r w:rsidRPr="007147B3">
        <w:rPr>
          <w:rFonts w:cs="Arial"/>
          <w:color w:val="000000"/>
        </w:rPr>
        <w:t>, the health facilities a</w:t>
      </w:r>
      <w:r w:rsidRPr="007147B3">
        <w:rPr>
          <w:rFonts w:cs="Arial"/>
          <w:color w:val="000000"/>
        </w:rPr>
        <w:t>t</w:t>
      </w:r>
      <w:r w:rsidRPr="007147B3">
        <w:rPr>
          <w:rFonts w:cs="Arial"/>
          <w:color w:val="000000"/>
        </w:rPr>
        <w:t xml:space="preserve">tributes also affect </w:t>
      </w:r>
      <w:r>
        <w:t xml:space="preserve">the utilization of </w:t>
      </w:r>
      <w:r w:rsidRPr="007147B3">
        <w:t>skilled birth attendance</w:t>
      </w:r>
      <w:r>
        <w:t xml:space="preserve">. The </w:t>
      </w:r>
      <w:r w:rsidRPr="007147B3">
        <w:rPr>
          <w:lang w:val="en-US"/>
        </w:rPr>
        <w:t>availability</w:t>
      </w:r>
      <w:r>
        <w:rPr>
          <w:lang w:val="en-US"/>
        </w:rPr>
        <w:t xml:space="preserve"> </w:t>
      </w:r>
      <w:r>
        <w:t xml:space="preserve">and accessibility of health facilities by taking into account the location, distance from residence, transport time and cost are also important. </w:t>
      </w:r>
    </w:p>
    <w:p w:rsidR="00E03A55" w:rsidRDefault="00E03A55" w:rsidP="007A597E">
      <w:pPr>
        <w:tabs>
          <w:tab w:val="left" w:pos="567"/>
        </w:tabs>
        <w:suppressAutoHyphens w:val="0"/>
        <w:autoSpaceDE w:val="0"/>
        <w:autoSpaceDN w:val="0"/>
        <w:adjustRightInd w:val="0"/>
        <w:ind w:firstLine="0"/>
        <w:jc w:val="both"/>
      </w:pPr>
      <w:r>
        <w:tab/>
      </w:r>
      <w:r w:rsidRPr="007147B3">
        <w:t>Some studies have been carried</w:t>
      </w:r>
      <w:r>
        <w:t xml:space="preserve"> out to examine the impact of skilled birth attendance on infant survival. </w:t>
      </w:r>
      <w:r w:rsidRPr="00DF6FCE">
        <w:t>Panis and Lillard (1994)</w:t>
      </w:r>
      <w:r>
        <w:t>, for example, e</w:t>
      </w:r>
      <w:r>
        <w:t>x</w:t>
      </w:r>
      <w:r>
        <w:t xml:space="preserve">amine the relationship of prenatal care and institutional delivery on child </w:t>
      </w:r>
      <w:r w:rsidRPr="00DF6FCE">
        <w:t>su</w:t>
      </w:r>
      <w:r w:rsidRPr="00DF6FCE">
        <w:t>r</w:t>
      </w:r>
      <w:r w:rsidRPr="00DF6FCE">
        <w:t>vival rate in Malaysia</w:t>
      </w:r>
      <w:r>
        <w:t xml:space="preserve"> during period 1950-1988. Using probit estimation, they found that the children who delivered in a clinic or hospital are having higher probability to survive than those who do not. Then, they conclude that instit</w:t>
      </w:r>
      <w:r>
        <w:t>u</w:t>
      </w:r>
      <w:r>
        <w:t>tional delivery is strongly associated with child survival. Moreover, they also found that higher income would lead to the increase of demand for instit</w:t>
      </w:r>
      <w:r>
        <w:t>u</w:t>
      </w:r>
      <w:r>
        <w:t>tional delivery.</w:t>
      </w:r>
    </w:p>
    <w:p w:rsidR="00E03A55" w:rsidRDefault="00E03A55" w:rsidP="007A597E">
      <w:pPr>
        <w:tabs>
          <w:tab w:val="left" w:pos="567"/>
        </w:tabs>
        <w:suppressAutoHyphens w:val="0"/>
        <w:autoSpaceDE w:val="0"/>
        <w:autoSpaceDN w:val="0"/>
        <w:adjustRightInd w:val="0"/>
        <w:ind w:firstLine="0"/>
        <w:jc w:val="both"/>
      </w:pPr>
      <w:r>
        <w:tab/>
        <w:t>McGuire (2006) analyses the cross-section data for 94 developing cou</w:t>
      </w:r>
      <w:r>
        <w:t>n</w:t>
      </w:r>
      <w:r>
        <w:t>tries in 1990 and confirms the same result. He demonstrates that the share of birth attended by trained personnel is strongly associated with decrease in u</w:t>
      </w:r>
      <w:r>
        <w:t>n</w:t>
      </w:r>
      <w:r>
        <w:t>der-5 mortality rates, while control for per capita GDP, female schooling, i</w:t>
      </w:r>
      <w:r>
        <w:t>n</w:t>
      </w:r>
      <w:r>
        <w:t>come inequality, ethnolinguistic fractionalization, and predominantly muslim. In contrast, this study also finds that health public health spending not assoc</w:t>
      </w:r>
      <w:r>
        <w:t>i</w:t>
      </w:r>
      <w:r>
        <w:t xml:space="preserve">ated with under-5 mortality reduction. These findings suggest that having a high degree of public health financing is insufficient to reduce child mortality if it is not followed by improvement in maternal and infant health care services. </w:t>
      </w:r>
    </w:p>
    <w:p w:rsidR="00E03A55" w:rsidRDefault="00E03A55" w:rsidP="00391BFE">
      <w:pPr>
        <w:tabs>
          <w:tab w:val="left" w:pos="567"/>
        </w:tabs>
        <w:suppressAutoHyphens w:val="0"/>
        <w:autoSpaceDE w:val="0"/>
        <w:autoSpaceDN w:val="0"/>
        <w:adjustRightInd w:val="0"/>
        <w:spacing w:after="0"/>
        <w:ind w:firstLine="0"/>
        <w:jc w:val="both"/>
      </w:pPr>
      <w:r>
        <w:tab/>
        <w:t>However, the contradictory result is obtained by Hatt et al.(2009). They used four Indonesian Demographic and Health Survey (DHS) conducted in 1991, 1994, 1997, and 2002/2003 to examine the effect of skilled birth atte</w:t>
      </w:r>
      <w:r>
        <w:t>n</w:t>
      </w:r>
      <w:r>
        <w:t>dance, including place and type of providers, on improved infant survival b</w:t>
      </w:r>
      <w:r>
        <w:t>e</w:t>
      </w:r>
      <w:r>
        <w:t>tween 1986 and 2002. They pooled these four surveys become cross-sectional dataset and investigated live birth occurring during the 5 years before each su</w:t>
      </w:r>
      <w:r>
        <w:t>r</w:t>
      </w:r>
      <w:r>
        <w:t>vey conducted. The multivariate logistic results show that first-day mortality did not decrease significantly between 1986 and 2002 as early neonatal morta</w:t>
      </w:r>
      <w:r>
        <w:t>l</w:t>
      </w:r>
      <w:r>
        <w:t>ity rates did.</w:t>
      </w:r>
      <w:r w:rsidRPr="00B627C9">
        <w:t xml:space="preserve"> </w:t>
      </w:r>
      <w:r>
        <w:t>The results also confirm that decrease in early neonatal mortality is not statistically significant associated with professional attendance at home birth and private providers, while public facilities are statistically significant at 5% level of confidence. On the other hand, fertility factors such as birth inte</w:t>
      </w:r>
      <w:r>
        <w:t>r</w:t>
      </w:r>
      <w:r>
        <w:t>val and mother’s age at delivery are significantly affecting infant mortality. This paper concludes that although early neonatal mortality in Indonesia decreased by an impressive amount between 1986 and 2002, they are unable to provide an empirical finding that the increased skilled birth attendance contributed to this decrease. These findings finally suggest three policy recommendations. First, it is important to increase the midwife’s skills for immediate newborn through specific trainings. Second, the improvement in midwife’s compete</w:t>
      </w:r>
      <w:r>
        <w:t>n</w:t>
      </w:r>
      <w:r>
        <w:t>cies should also be complemented with increasing in public health facilities. Third, since fertility factors are the main determinant of infant deaths, the po</w:t>
      </w:r>
      <w:r>
        <w:t>l</w:t>
      </w:r>
      <w:r>
        <w:t xml:space="preserve">icy supports for family planning programme should be continued.  </w:t>
      </w:r>
    </w:p>
    <w:p w:rsidR="00E03A55" w:rsidRDefault="00E03A55" w:rsidP="00391BFE">
      <w:pPr>
        <w:suppressAutoHyphens w:val="0"/>
        <w:autoSpaceDE w:val="0"/>
        <w:autoSpaceDN w:val="0"/>
        <w:adjustRightInd w:val="0"/>
        <w:spacing w:after="0"/>
        <w:ind w:firstLine="0"/>
        <w:jc w:val="both"/>
      </w:pPr>
    </w:p>
    <w:p w:rsidR="00E03A55" w:rsidRPr="00435A3C" w:rsidRDefault="00E03A55" w:rsidP="00391BFE">
      <w:pPr>
        <w:suppressAutoHyphens w:val="0"/>
        <w:autoSpaceDE w:val="0"/>
        <w:autoSpaceDN w:val="0"/>
        <w:adjustRightInd w:val="0"/>
        <w:spacing w:after="0"/>
        <w:ind w:firstLine="0"/>
        <w:jc w:val="both"/>
      </w:pPr>
    </w:p>
    <w:p w:rsidR="00E03A55" w:rsidRDefault="00E03A55" w:rsidP="00256D17">
      <w:pPr>
        <w:pStyle w:val="Maptitle"/>
      </w:pPr>
    </w:p>
    <w:p w:rsidR="00E03A55" w:rsidRPr="0004709A" w:rsidRDefault="00E03A55" w:rsidP="004A7DEE">
      <w:pPr>
        <w:pStyle w:val="Heading1"/>
      </w:pPr>
      <w:r>
        <w:br/>
      </w:r>
      <w:bookmarkStart w:id="57" w:name="_Toc239163845"/>
      <w:r w:rsidRPr="00985FF9">
        <w:rPr>
          <w:szCs w:val="36"/>
        </w:rPr>
        <w:t>Methodology</w:t>
      </w:r>
      <w:bookmarkEnd w:id="57"/>
    </w:p>
    <w:p w:rsidR="00E03A55" w:rsidRDefault="00E03A55" w:rsidP="00391BFE">
      <w:pPr>
        <w:pStyle w:val="Heading2"/>
      </w:pPr>
      <w:bookmarkStart w:id="58" w:name="_Toc239163846"/>
      <w:r w:rsidRPr="00985FF9">
        <w:t>Infant Mortality Rate: Definition and Estimation Approaches</w:t>
      </w:r>
      <w:bookmarkEnd w:id="58"/>
    </w:p>
    <w:p w:rsidR="00E03A55" w:rsidRPr="00985FF9" w:rsidRDefault="00E03A55" w:rsidP="00CF259D">
      <w:pPr>
        <w:pStyle w:val="Default"/>
        <w:tabs>
          <w:tab w:val="left" w:pos="540"/>
        </w:tabs>
        <w:spacing w:after="60"/>
        <w:ind w:right="18"/>
        <w:jc w:val="both"/>
        <w:rPr>
          <w:rFonts w:ascii="Garamond" w:hAnsi="Garamond"/>
          <w:color w:val="auto"/>
        </w:rPr>
      </w:pPr>
      <w:r w:rsidRPr="00985FF9">
        <w:rPr>
          <w:rFonts w:ascii="Garamond" w:hAnsi="Garamond"/>
          <w:color w:val="auto"/>
        </w:rPr>
        <w:t>Infant mortality rate (IMR) is the number of deaths occurring in the first year of life per 1,000 live births. It measures the probability of a child born in a sp</w:t>
      </w:r>
      <w:r w:rsidRPr="00985FF9">
        <w:rPr>
          <w:rFonts w:ascii="Garamond" w:hAnsi="Garamond"/>
          <w:color w:val="auto"/>
        </w:rPr>
        <w:t>e</w:t>
      </w:r>
      <w:r w:rsidRPr="00985FF9">
        <w:rPr>
          <w:rFonts w:ascii="Garamond" w:hAnsi="Garamond"/>
          <w:color w:val="auto"/>
        </w:rPr>
        <w:t>cific year will die before reaching the age of one (</w:t>
      </w:r>
      <w:r>
        <w:rPr>
          <w:rFonts w:ascii="Garamond" w:hAnsi="Garamond"/>
          <w:color w:val="auto"/>
        </w:rPr>
        <w:t>O’Donnel et al.</w:t>
      </w:r>
      <w:r w:rsidRPr="00985FF9">
        <w:rPr>
          <w:rFonts w:ascii="Garamond" w:hAnsi="Garamond"/>
          <w:color w:val="auto"/>
        </w:rPr>
        <w:t>, 2008). The IMR are estimated using two approaches including a direct and indirect method. Choice of methods used to estimate the IMR depends on availability and reliability of data source on infant deaths.</w:t>
      </w:r>
    </w:p>
    <w:p w:rsidR="00E03A55" w:rsidRPr="00985FF9" w:rsidRDefault="00E03A55" w:rsidP="00CF259D">
      <w:pPr>
        <w:tabs>
          <w:tab w:val="left" w:pos="567"/>
        </w:tabs>
        <w:suppressAutoHyphens w:val="0"/>
        <w:autoSpaceDE w:val="0"/>
        <w:autoSpaceDN w:val="0"/>
        <w:adjustRightInd w:val="0"/>
        <w:ind w:firstLine="0"/>
        <w:jc w:val="both"/>
        <w:rPr>
          <w:rFonts w:cs="Tahoma"/>
        </w:rPr>
      </w:pPr>
      <w:r w:rsidRPr="00985FF9">
        <w:rPr>
          <w:rFonts w:cs="Tahoma"/>
        </w:rPr>
        <w:tab/>
        <w:t>Reliable data to estimate infant mortality rates mainly come from two data sources. The first is a vital registration system. It is a preferred source of data on infant mortality because it records all information about live births and deaths on prospective basis where a live birth or death is directly reported after it occurs. This makes vital registration system always inform statistical records of live births and deaths based on the actual condition of the population. As a result, it will provide more reliable and accurate data on infant mortality. Ho</w:t>
      </w:r>
      <w:r w:rsidRPr="00985FF9">
        <w:rPr>
          <w:rFonts w:cs="Tahoma"/>
        </w:rPr>
        <w:t>w</w:t>
      </w:r>
      <w:r w:rsidRPr="00985FF9">
        <w:rPr>
          <w:rFonts w:cs="Tahoma"/>
        </w:rPr>
        <w:t xml:space="preserve">ever, an accurate vital registration system have not yet established for large part of the world, especially in developing countries. Then, it calls for an alternative source in order to estimate the IMR.  </w:t>
      </w:r>
    </w:p>
    <w:p w:rsidR="00E03A55" w:rsidRPr="00985FF9" w:rsidRDefault="00E03A55" w:rsidP="00CF259D">
      <w:pPr>
        <w:pStyle w:val="Default"/>
        <w:tabs>
          <w:tab w:val="left" w:pos="540"/>
        </w:tabs>
        <w:spacing w:after="60"/>
        <w:ind w:right="18"/>
        <w:jc w:val="both"/>
        <w:rPr>
          <w:rFonts w:ascii="Garamond" w:hAnsi="Garamond" w:cs="Tahoma"/>
          <w:color w:val="auto"/>
        </w:rPr>
      </w:pPr>
      <w:r w:rsidRPr="00985FF9">
        <w:rPr>
          <w:rFonts w:ascii="Garamond" w:hAnsi="Garamond" w:cs="Tahoma"/>
          <w:color w:val="auto"/>
        </w:rPr>
        <w:tab/>
        <w:t>The alternative source of data on infant mortality is household surveys. In the surveys, the women of fertility age are asked to answer some questions about births and deaths of children born to them. From this information, the fertility histories then can be constructed. There are two types of the fertility histories. They are a complete or truncated fertility history and incomplete or summary fertility history</w:t>
      </w:r>
      <w:r w:rsidRPr="00985FF9">
        <w:rPr>
          <w:rFonts w:ascii="Garamond" w:hAnsi="Garamond"/>
          <w:color w:val="auto"/>
        </w:rPr>
        <w:t xml:space="preserve"> (</w:t>
      </w:r>
      <w:r>
        <w:rPr>
          <w:rFonts w:ascii="Garamond" w:hAnsi="Garamond"/>
          <w:color w:val="auto"/>
        </w:rPr>
        <w:t>O’Donnel et al.</w:t>
      </w:r>
      <w:r w:rsidRPr="00985FF9">
        <w:rPr>
          <w:rFonts w:ascii="Garamond" w:hAnsi="Garamond"/>
          <w:color w:val="auto"/>
        </w:rPr>
        <w:t xml:space="preserve">, 2008). </w:t>
      </w:r>
      <w:r w:rsidRPr="00985FF9">
        <w:rPr>
          <w:rFonts w:ascii="Garamond" w:hAnsi="Garamond" w:cs="Tahoma"/>
          <w:color w:val="auto"/>
        </w:rPr>
        <w:t>A complete fertility history uncovers the dates of births, survival status and date or age at death of all chi</w:t>
      </w:r>
      <w:r w:rsidRPr="00985FF9">
        <w:rPr>
          <w:rFonts w:ascii="Garamond" w:hAnsi="Garamond" w:cs="Tahoma"/>
          <w:color w:val="auto"/>
        </w:rPr>
        <w:t>l</w:t>
      </w:r>
      <w:r w:rsidRPr="00985FF9">
        <w:rPr>
          <w:rFonts w:ascii="Garamond" w:hAnsi="Garamond" w:cs="Tahoma"/>
          <w:color w:val="auto"/>
        </w:rPr>
        <w:t>dren born to the interviewed woman. On the other hand, an incomplete ferti</w:t>
      </w:r>
      <w:r w:rsidRPr="00985FF9">
        <w:rPr>
          <w:rFonts w:ascii="Garamond" w:hAnsi="Garamond" w:cs="Tahoma"/>
          <w:color w:val="auto"/>
        </w:rPr>
        <w:t>l</w:t>
      </w:r>
      <w:r w:rsidRPr="00985FF9">
        <w:rPr>
          <w:rFonts w:ascii="Garamond" w:hAnsi="Garamond" w:cs="Tahoma"/>
          <w:color w:val="auto"/>
        </w:rPr>
        <w:t xml:space="preserve">ity history reveals only the number of children ever born and the number still alive or the number who have died. </w:t>
      </w:r>
    </w:p>
    <w:p w:rsidR="00E03A55" w:rsidRPr="00985FF9" w:rsidRDefault="00E03A55" w:rsidP="00CF259D">
      <w:pPr>
        <w:tabs>
          <w:tab w:val="left" w:pos="567"/>
        </w:tabs>
        <w:suppressAutoHyphens w:val="0"/>
        <w:ind w:firstLine="0"/>
        <w:jc w:val="both"/>
        <w:rPr>
          <w:rFonts w:cs="Tahoma"/>
        </w:rPr>
      </w:pPr>
      <w:r w:rsidRPr="00985FF9">
        <w:rPr>
          <w:rFonts w:cs="Tahoma"/>
        </w:rPr>
        <w:tab/>
        <w:t>In order to estimate infant mortality rate, a direct method requires data for each child’s date of birth, survival status, and date or age at death. This i</w:t>
      </w:r>
      <w:r w:rsidRPr="00985FF9">
        <w:rPr>
          <w:rFonts w:cs="Tahoma"/>
        </w:rPr>
        <w:t>n</w:t>
      </w:r>
      <w:r w:rsidRPr="00985FF9">
        <w:rPr>
          <w:rFonts w:cs="Tahoma"/>
        </w:rPr>
        <w:t>formation can be found both in vital registration systems and in household surveys with complete fertility histories. In contrast, an indirect method r</w:t>
      </w:r>
      <w:r w:rsidRPr="00985FF9">
        <w:rPr>
          <w:rFonts w:cs="Tahoma"/>
        </w:rPr>
        <w:t>e</w:t>
      </w:r>
      <w:r w:rsidRPr="00985FF9">
        <w:rPr>
          <w:rFonts w:cs="Tahoma"/>
        </w:rPr>
        <w:t>quires less data that can be found in household surveys that do not collect d</w:t>
      </w:r>
      <w:r w:rsidRPr="00985FF9">
        <w:rPr>
          <w:rFonts w:cs="Tahoma"/>
        </w:rPr>
        <w:t>e</w:t>
      </w:r>
      <w:r w:rsidRPr="00985FF9">
        <w:rPr>
          <w:rFonts w:cs="Tahoma"/>
        </w:rPr>
        <w:t>tailed fertility histories. The only information required are: the number of chi</w:t>
      </w:r>
      <w:r w:rsidRPr="00985FF9">
        <w:rPr>
          <w:rFonts w:cs="Tahoma"/>
        </w:rPr>
        <w:t>l</w:t>
      </w:r>
      <w:r w:rsidRPr="00985FF9">
        <w:rPr>
          <w:rFonts w:cs="Tahoma"/>
        </w:rPr>
        <w:t>dren ever born, the number of children surviving (or dead), and the total nu</w:t>
      </w:r>
      <w:r w:rsidRPr="00985FF9">
        <w:rPr>
          <w:rFonts w:cs="Tahoma"/>
        </w:rPr>
        <w:t>m</w:t>
      </w:r>
      <w:r w:rsidRPr="00985FF9">
        <w:rPr>
          <w:rFonts w:cs="Tahoma"/>
        </w:rPr>
        <w:t>ber of women classified by five year age groups.</w:t>
      </w:r>
    </w:p>
    <w:p w:rsidR="00E03A55" w:rsidRPr="000B6FC6" w:rsidRDefault="00E03A55" w:rsidP="00CF259D">
      <w:pPr>
        <w:tabs>
          <w:tab w:val="left" w:pos="567"/>
        </w:tabs>
        <w:suppressAutoHyphens w:val="0"/>
        <w:autoSpaceDE w:val="0"/>
        <w:autoSpaceDN w:val="0"/>
        <w:adjustRightInd w:val="0"/>
        <w:spacing w:after="200"/>
        <w:ind w:firstLine="0"/>
        <w:jc w:val="both"/>
        <w:rPr>
          <w:rFonts w:cs="Tahoma"/>
        </w:rPr>
      </w:pPr>
      <w:r w:rsidRPr="00985FF9">
        <w:rPr>
          <w:rFonts w:cs="Tahoma"/>
        </w:rPr>
        <w:tab/>
        <w:t xml:space="preserve">The indirect approach uses the Brass method, after William Brass who developed a procedure to convert the proportion of death among children ever born reported by women in the age groups into estimates of the probability of dying before a certain age. Brass’s method assumes that the age of the mother can function as a proxy for the age of her children and therefore for how long they have been exposed to the </w:t>
      </w:r>
      <w:r w:rsidRPr="000B6FC6">
        <w:rPr>
          <w:rFonts w:cs="Tahoma"/>
        </w:rPr>
        <w:t>risk of dying (</w:t>
      </w:r>
      <w:r w:rsidRPr="000B6FC6">
        <w:rPr>
          <w:rFonts w:cs="TimesNewRoman"/>
          <w:lang w:val="en-US" w:eastAsia="en-US"/>
        </w:rPr>
        <w:t>UNICEF, WHO, The World Bank and UN Population Division, 2007).</w:t>
      </w:r>
      <w:r w:rsidRPr="000B6FC6">
        <w:rPr>
          <w:rFonts w:cs="Tahoma"/>
        </w:rPr>
        <w:t xml:space="preserve"> The procedures to calculate infant mortality rate using the indirect method can be explained as follows. </w:t>
      </w:r>
    </w:p>
    <w:p w:rsidR="00E03A55" w:rsidRPr="00985FF9" w:rsidRDefault="00E03A55" w:rsidP="00CF259D">
      <w:pPr>
        <w:tabs>
          <w:tab w:val="left" w:pos="567"/>
        </w:tabs>
        <w:suppressAutoHyphens w:val="0"/>
        <w:spacing w:after="200" w:line="276" w:lineRule="auto"/>
        <w:ind w:firstLine="0"/>
        <w:jc w:val="both"/>
        <w:rPr>
          <w:rFonts w:cs="Tahoma"/>
        </w:rPr>
      </w:pPr>
      <w:r w:rsidRPr="00985FF9">
        <w:rPr>
          <w:rFonts w:cs="Tahoma"/>
        </w:rPr>
        <w:t>Step 1. Calculation of average parity per woman</w:t>
      </w:r>
    </w:p>
    <w:p w:rsidR="00E03A55" w:rsidRPr="00985FF9" w:rsidRDefault="00E03A55" w:rsidP="00391BFE">
      <w:pPr>
        <w:tabs>
          <w:tab w:val="left" w:pos="567"/>
        </w:tabs>
        <w:suppressAutoHyphens w:val="0"/>
        <w:spacing w:after="200"/>
        <w:ind w:firstLine="0"/>
        <w:jc w:val="both"/>
        <w:rPr>
          <w:rFonts w:cs="Tahoma"/>
        </w:rPr>
      </w:pPr>
      <w:r w:rsidRPr="00985FF9">
        <w:rPr>
          <w:rFonts w:cs="Tahoma"/>
        </w:rPr>
        <w:t>Average parity per woman is the average number of children ever born by women in a given five-year age group. It is calculated as</w:t>
      </w:r>
    </w:p>
    <w:p w:rsidR="00E03A55" w:rsidRPr="00985FF9" w:rsidRDefault="00E03A55" w:rsidP="00CF259D">
      <w:pPr>
        <w:tabs>
          <w:tab w:val="left" w:pos="567"/>
          <w:tab w:val="left" w:pos="7088"/>
        </w:tabs>
        <w:suppressAutoHyphens w:val="0"/>
        <w:ind w:firstLine="2835"/>
        <w:jc w:val="center"/>
        <w:rPr>
          <w:rFonts w:cs="Tahoma"/>
        </w:rPr>
      </w:pPr>
      <w:r>
        <w:rPr>
          <w:rFonts w:cs="Tahoma"/>
        </w:rPr>
        <w:t>P(i) = CEB(i)/FP(i)</w:t>
      </w:r>
      <w:r w:rsidRPr="00391BFE">
        <w:rPr>
          <w:rFonts w:cs="Tahoma"/>
        </w:rPr>
        <w:fldChar w:fldCharType="begin"/>
      </w:r>
      <w:r w:rsidRPr="00391BFE">
        <w:rPr>
          <w:rFonts w:cs="Tahoma"/>
        </w:rPr>
        <w:instrText xml:space="preserve"> QUOTE </w:instrText>
      </w:r>
      <w:r w:rsidRPr="001814BA">
        <w:rPr>
          <w:position w:val="-17"/>
        </w:rPr>
        <w:pict>
          <v:shape id="_x0000_i1034" type="#_x0000_t75" style="width:65.25pt;height:22.5pt" equationxml="&lt;">
            <v:imagedata r:id="rId23" o:title="" chromakey="white"/>
          </v:shape>
        </w:pict>
      </w:r>
      <w:r w:rsidRPr="00391BFE">
        <w:rPr>
          <w:rFonts w:cs="Tahoma"/>
        </w:rPr>
        <w:instrText xml:space="preserve"> </w:instrText>
      </w:r>
      <w:r w:rsidRPr="00391BFE">
        <w:rPr>
          <w:rFonts w:cs="Tahoma"/>
        </w:rPr>
        <w:fldChar w:fldCharType="end"/>
      </w:r>
      <w:r w:rsidRPr="00985FF9">
        <w:rPr>
          <w:rFonts w:cs="Tahoma"/>
        </w:rPr>
        <w:tab/>
        <w:t>(1)</w:t>
      </w:r>
    </w:p>
    <w:p w:rsidR="00E03A55" w:rsidRPr="00985FF9" w:rsidRDefault="00E03A55" w:rsidP="00CF259D">
      <w:pPr>
        <w:tabs>
          <w:tab w:val="left" w:pos="567"/>
        </w:tabs>
        <w:suppressAutoHyphens w:val="0"/>
        <w:ind w:firstLine="0"/>
        <w:jc w:val="both"/>
        <w:rPr>
          <w:rFonts w:cs="Tahoma"/>
        </w:rPr>
      </w:pPr>
      <w:r w:rsidRPr="00985FF9">
        <w:rPr>
          <w:rFonts w:cs="Tahoma"/>
        </w:rPr>
        <w:t xml:space="preserve">where </w:t>
      </w:r>
      <w:r w:rsidRPr="00985FF9">
        <w:rPr>
          <w:rFonts w:cs="Tahoma"/>
          <w:i/>
        </w:rPr>
        <w:t>P (i)</w:t>
      </w:r>
      <w:r w:rsidRPr="00985FF9">
        <w:rPr>
          <w:rFonts w:cs="Tahoma"/>
        </w:rPr>
        <w:t xml:space="preserve"> is the average parity of women of age group </w:t>
      </w:r>
      <w:r w:rsidRPr="00985FF9">
        <w:rPr>
          <w:rFonts w:cs="Tahoma"/>
          <w:i/>
        </w:rPr>
        <w:t>i</w:t>
      </w:r>
      <w:r w:rsidRPr="00985FF9">
        <w:rPr>
          <w:rFonts w:cs="Tahoma"/>
        </w:rPr>
        <w:t xml:space="preserve">, </w:t>
      </w:r>
      <w:r w:rsidRPr="00985FF9">
        <w:rPr>
          <w:rFonts w:cs="Tahoma"/>
          <w:i/>
        </w:rPr>
        <w:t>CEB (i)</w:t>
      </w:r>
      <w:r w:rsidRPr="00985FF9">
        <w:rPr>
          <w:rFonts w:cs="Tahoma"/>
        </w:rPr>
        <w:t xml:space="preserve"> is the total number of children ever born by these women, and </w:t>
      </w:r>
      <w:r w:rsidRPr="00985FF9">
        <w:rPr>
          <w:rFonts w:cs="Tahoma"/>
          <w:i/>
        </w:rPr>
        <w:t>FP (i)</w:t>
      </w:r>
      <w:r w:rsidRPr="00985FF9">
        <w:rPr>
          <w:rFonts w:cs="Tahoma"/>
        </w:rPr>
        <w:t xml:space="preserve"> is the total number of women in the age groups. Although parity values are needed only for age groups 15-19, 20-24, and 25-29, that are </w:t>
      </w:r>
      <w:r w:rsidRPr="00985FF9">
        <w:rPr>
          <w:rFonts w:cs="Tahoma"/>
          <w:i/>
        </w:rPr>
        <w:t>P(1)</w:t>
      </w:r>
      <w:r w:rsidRPr="00985FF9">
        <w:rPr>
          <w:rFonts w:cs="Tahoma"/>
        </w:rPr>
        <w:t xml:space="preserve">, </w:t>
      </w:r>
      <w:r w:rsidRPr="00985FF9">
        <w:rPr>
          <w:rFonts w:cs="Tahoma"/>
          <w:i/>
        </w:rPr>
        <w:t>P(2)</w:t>
      </w:r>
      <w:r w:rsidRPr="00985FF9">
        <w:rPr>
          <w:rFonts w:cs="Tahoma"/>
        </w:rPr>
        <w:t xml:space="preserve"> and </w:t>
      </w:r>
      <w:r w:rsidRPr="00985FF9">
        <w:rPr>
          <w:rFonts w:cs="Tahoma"/>
          <w:i/>
        </w:rPr>
        <w:t>P(3)</w:t>
      </w:r>
      <w:r w:rsidRPr="00985FF9">
        <w:rPr>
          <w:rFonts w:cs="Tahoma"/>
        </w:rPr>
        <w:t xml:space="preserve">, it is important to calculating the whole set up to age group 45-49 in order to check the quality of the basic data (United Nations, 1990). </w:t>
      </w:r>
    </w:p>
    <w:p w:rsidR="00E03A55" w:rsidRPr="00985FF9" w:rsidRDefault="00E03A55" w:rsidP="00CF259D">
      <w:pPr>
        <w:tabs>
          <w:tab w:val="left" w:pos="567"/>
        </w:tabs>
        <w:suppressAutoHyphens w:val="0"/>
        <w:spacing w:before="200" w:after="200"/>
        <w:ind w:firstLine="0"/>
        <w:jc w:val="both"/>
        <w:rPr>
          <w:rFonts w:cs="Tahoma"/>
        </w:rPr>
      </w:pPr>
      <w:r w:rsidRPr="00985FF9">
        <w:rPr>
          <w:rFonts w:cs="Tahoma"/>
        </w:rPr>
        <w:t>Step 2. Calculation of the proportion dead among children ever born</w:t>
      </w:r>
    </w:p>
    <w:p w:rsidR="00E03A55" w:rsidRPr="00985FF9" w:rsidRDefault="00E03A55" w:rsidP="00CF259D">
      <w:pPr>
        <w:tabs>
          <w:tab w:val="left" w:pos="567"/>
        </w:tabs>
        <w:suppressAutoHyphens w:val="0"/>
        <w:ind w:firstLine="0"/>
        <w:jc w:val="both"/>
        <w:rPr>
          <w:rFonts w:cs="Tahoma"/>
        </w:rPr>
      </w:pPr>
      <w:r w:rsidRPr="00985FF9">
        <w:rPr>
          <w:rFonts w:cs="Tahoma"/>
        </w:rPr>
        <w:t>The proportion dead among children ever born is given by ratio of the total number of dead children to the total number of children ever born for each age group. Therefore,</w:t>
      </w:r>
    </w:p>
    <w:p w:rsidR="00E03A55" w:rsidRPr="00985FF9" w:rsidRDefault="00E03A55" w:rsidP="00391BFE">
      <w:pPr>
        <w:tabs>
          <w:tab w:val="left" w:pos="567"/>
          <w:tab w:val="left" w:pos="7088"/>
        </w:tabs>
        <w:suppressAutoHyphens w:val="0"/>
        <w:spacing w:after="200" w:line="276" w:lineRule="auto"/>
        <w:ind w:firstLine="2835"/>
        <w:jc w:val="both"/>
        <w:rPr>
          <w:rFonts w:cs="Tahoma"/>
        </w:rPr>
      </w:pPr>
      <w:r w:rsidRPr="00B83B7A">
        <w:rPr>
          <w:rFonts w:cs="Tahoma"/>
          <w:i/>
        </w:rPr>
        <w:fldChar w:fldCharType="begin"/>
      </w:r>
      <w:r w:rsidRPr="00B83B7A">
        <w:rPr>
          <w:rFonts w:cs="Tahoma"/>
          <w:i/>
        </w:rPr>
        <w:instrText xml:space="preserve"> QUOTE </w:instrText>
      </w:r>
      <w:r w:rsidRPr="001814BA">
        <w:rPr>
          <w:i/>
          <w:position w:val="-17"/>
        </w:rPr>
        <w:pict>
          <v:shape id="_x0000_i1035" type="#_x0000_t75" style="width:67.5pt;height:22.5pt" equationxml="&lt;">
            <v:imagedata r:id="rId24" o:title="" chromakey="white"/>
          </v:shape>
        </w:pict>
      </w:r>
      <w:r w:rsidRPr="00B83B7A">
        <w:rPr>
          <w:rFonts w:cs="Tahoma"/>
          <w:i/>
        </w:rPr>
        <w:instrText xml:space="preserve"> </w:instrText>
      </w:r>
      <w:r w:rsidRPr="00B83B7A">
        <w:rPr>
          <w:rFonts w:cs="Tahoma"/>
          <w:i/>
        </w:rPr>
        <w:fldChar w:fldCharType="end"/>
      </w:r>
      <w:r w:rsidRPr="00B83B7A">
        <w:rPr>
          <w:rFonts w:cs="Tahoma"/>
          <w:i/>
        </w:rPr>
        <w:t xml:space="preserve"> D(i) =CD(i)/CEB(i)</w:t>
      </w:r>
      <w:r w:rsidRPr="00985FF9">
        <w:rPr>
          <w:rFonts w:cs="Tahoma"/>
        </w:rPr>
        <w:tab/>
        <w:t>(2)</w:t>
      </w:r>
    </w:p>
    <w:p w:rsidR="00E03A55" w:rsidRPr="00985FF9" w:rsidRDefault="00E03A55" w:rsidP="00CF259D">
      <w:pPr>
        <w:tabs>
          <w:tab w:val="left" w:pos="567"/>
          <w:tab w:val="left" w:pos="7088"/>
        </w:tabs>
        <w:suppressAutoHyphens w:val="0"/>
        <w:ind w:firstLine="0"/>
        <w:jc w:val="both"/>
        <w:rPr>
          <w:rFonts w:cs="Tahoma"/>
        </w:rPr>
      </w:pPr>
      <w:r w:rsidRPr="00985FF9">
        <w:rPr>
          <w:rFonts w:cs="Tahoma"/>
        </w:rPr>
        <w:t xml:space="preserve">Where </w:t>
      </w:r>
      <w:r w:rsidRPr="00985FF9">
        <w:rPr>
          <w:rFonts w:cs="Tahoma"/>
          <w:i/>
        </w:rPr>
        <w:t xml:space="preserve">D(i) </w:t>
      </w:r>
      <w:r w:rsidRPr="00985FF9">
        <w:rPr>
          <w:rFonts w:cs="Tahoma"/>
        </w:rPr>
        <w:t xml:space="preserve">is the proportion of children dead for women of age group </w:t>
      </w:r>
      <w:r w:rsidRPr="00985FF9">
        <w:rPr>
          <w:rFonts w:cs="Tahoma"/>
          <w:i/>
        </w:rPr>
        <w:t xml:space="preserve">i, CD(i) </w:t>
      </w:r>
      <w:r w:rsidRPr="00985FF9">
        <w:rPr>
          <w:rFonts w:cs="Tahoma"/>
        </w:rPr>
        <w:t xml:space="preserve">is the number of children dead reported by those women, and </w:t>
      </w:r>
      <w:r w:rsidRPr="00985FF9">
        <w:rPr>
          <w:rFonts w:cs="Tahoma"/>
          <w:i/>
        </w:rPr>
        <w:t>CEB (i)</w:t>
      </w:r>
      <w:r w:rsidRPr="00985FF9">
        <w:rPr>
          <w:rFonts w:cs="Tahoma"/>
        </w:rPr>
        <w:t xml:space="preserve"> is the total number of children ever born by those women.</w:t>
      </w:r>
    </w:p>
    <w:p w:rsidR="00E03A55" w:rsidRPr="00985FF9" w:rsidRDefault="00E03A55" w:rsidP="00CF259D">
      <w:pPr>
        <w:tabs>
          <w:tab w:val="left" w:pos="567"/>
        </w:tabs>
        <w:suppressAutoHyphens w:val="0"/>
        <w:spacing w:before="200" w:after="200"/>
        <w:ind w:firstLine="0"/>
        <w:jc w:val="both"/>
        <w:rPr>
          <w:rFonts w:cs="Tahoma"/>
          <w:i/>
        </w:rPr>
      </w:pPr>
      <w:r w:rsidRPr="00985FF9">
        <w:rPr>
          <w:rFonts w:cs="Tahoma"/>
        </w:rPr>
        <w:t xml:space="preserve">Step 3. Calculation of the multipliers, </w:t>
      </w:r>
      <w:r w:rsidRPr="00985FF9">
        <w:rPr>
          <w:rFonts w:cs="Tahoma"/>
          <w:i/>
        </w:rPr>
        <w:t>k(i)</w:t>
      </w:r>
    </w:p>
    <w:p w:rsidR="00E03A55" w:rsidRPr="00967803" w:rsidRDefault="00E03A55" w:rsidP="00A06595">
      <w:pPr>
        <w:spacing w:after="0"/>
        <w:ind w:firstLine="0"/>
        <w:jc w:val="both"/>
      </w:pPr>
      <w:r>
        <w:t xml:space="preserve">The </w:t>
      </w:r>
      <w:r w:rsidRPr="00967803">
        <w:t xml:space="preserve">Brass method assumes that ages of mothers and ages of their children are associated. However, these connections are not exact and depend on the nature of reproductive histories in a particular group of women who are reporting their birth. This makes adjustment factors, k (i) are needed to adjust for the particular reproductive histories of a group of women. The adjustment factor in Brass’s approach depends on </w:t>
      </w:r>
      <w:r w:rsidRPr="00F436A2">
        <w:rPr>
          <w:i/>
        </w:rPr>
        <w:t>P(1)/P(2),</w:t>
      </w:r>
      <w:r w:rsidRPr="00967803">
        <w:t xml:space="preserve"> which is an index of the earliness of fertility.</w:t>
      </w:r>
    </w:p>
    <w:p w:rsidR="00E03A55" w:rsidRPr="00985FF9" w:rsidRDefault="00E03A55" w:rsidP="00CF259D">
      <w:pPr>
        <w:tabs>
          <w:tab w:val="left" w:pos="567"/>
        </w:tabs>
        <w:suppressAutoHyphens w:val="0"/>
        <w:ind w:firstLine="0"/>
        <w:jc w:val="both"/>
        <w:rPr>
          <w:rFonts w:cs="Tahoma"/>
        </w:rPr>
      </w:pPr>
      <w:r w:rsidRPr="00985FF9">
        <w:rPr>
          <w:rFonts w:cs="Tahoma"/>
        </w:rPr>
        <w:t>The multiplier equation is</w:t>
      </w:r>
    </w:p>
    <w:p w:rsidR="00E03A55" w:rsidRPr="00985FF9" w:rsidRDefault="00E03A55" w:rsidP="00CF259D">
      <w:pPr>
        <w:tabs>
          <w:tab w:val="left" w:pos="567"/>
          <w:tab w:val="left" w:pos="7088"/>
        </w:tabs>
        <w:suppressAutoHyphens w:val="0"/>
        <w:ind w:firstLine="1843"/>
        <w:jc w:val="both"/>
        <w:rPr>
          <w:rFonts w:cs="Tahoma"/>
        </w:rPr>
      </w:pPr>
      <w:r>
        <w:pict>
          <v:shape id="_x0000_i1036" type="#_x0000_t75" style="width:140.25pt;height:24pt" equationxml="&lt;">
            <v:imagedata r:id="rId25" o:title="" chromakey="white"/>
          </v:shape>
        </w:pict>
      </w:r>
      <w:r w:rsidRPr="00391BFE">
        <w:rPr>
          <w:rFonts w:cs="Tahoma"/>
        </w:rPr>
        <w:fldChar w:fldCharType="begin"/>
      </w:r>
      <w:r w:rsidRPr="00391BFE">
        <w:rPr>
          <w:rFonts w:cs="Tahoma"/>
        </w:rPr>
        <w:instrText xml:space="preserve"> QUOTE </w:instrText>
      </w:r>
      <w:r w:rsidRPr="001814BA">
        <w:rPr>
          <w:position w:val="-17"/>
        </w:rPr>
        <w:pict>
          <v:shape id="_x0000_i1037" type="#_x0000_t75" style="width:173.25pt;height:22.5pt" equationxml="&lt;">
            <v:imagedata r:id="rId26" o:title="" chromakey="white"/>
          </v:shape>
        </w:pict>
      </w:r>
      <w:r w:rsidRPr="00391BFE">
        <w:rPr>
          <w:rFonts w:cs="Tahoma"/>
        </w:rPr>
        <w:instrText xml:space="preserve"> </w:instrText>
      </w:r>
      <w:r w:rsidRPr="00391BFE">
        <w:rPr>
          <w:rFonts w:cs="Tahoma"/>
        </w:rPr>
        <w:fldChar w:fldCharType="end"/>
      </w:r>
      <w:r w:rsidRPr="00985FF9">
        <w:rPr>
          <w:rFonts w:cs="Tahoma"/>
        </w:rPr>
        <w:tab/>
        <w:t>(3)</w:t>
      </w:r>
    </w:p>
    <w:p w:rsidR="00E03A55" w:rsidRDefault="00E03A55" w:rsidP="00CF259D">
      <w:pPr>
        <w:tabs>
          <w:tab w:val="left" w:pos="567"/>
          <w:tab w:val="left" w:pos="7088"/>
        </w:tabs>
        <w:suppressAutoHyphens w:val="0"/>
        <w:spacing w:after="200"/>
        <w:ind w:firstLine="0"/>
        <w:jc w:val="both"/>
        <w:rPr>
          <w:rFonts w:cs="Tahoma"/>
        </w:rPr>
      </w:pPr>
      <w:r w:rsidRPr="00985FF9">
        <w:rPr>
          <w:rFonts w:cs="Tahoma"/>
        </w:rPr>
        <w:t xml:space="preserve">The equation (3) shows that multiplier factor </w:t>
      </w:r>
      <w:r w:rsidRPr="00985FF9">
        <w:rPr>
          <w:rFonts w:cs="Tahoma"/>
          <w:i/>
        </w:rPr>
        <w:t>k(i)</w:t>
      </w:r>
      <w:r w:rsidRPr="00985FF9">
        <w:rPr>
          <w:rFonts w:cs="Tahoma"/>
        </w:rPr>
        <w:t xml:space="preserve"> is determined by the parity ratios </w:t>
      </w:r>
      <w:r w:rsidRPr="00985FF9">
        <w:rPr>
          <w:rFonts w:cs="Tahoma"/>
          <w:i/>
        </w:rPr>
        <w:t>P(1)/ P(2)</w:t>
      </w:r>
      <w:r w:rsidRPr="00985FF9">
        <w:rPr>
          <w:rFonts w:cs="Tahoma"/>
        </w:rPr>
        <w:t xml:space="preserve"> and </w:t>
      </w:r>
      <w:r w:rsidRPr="00985FF9">
        <w:rPr>
          <w:rFonts w:cs="Tahoma"/>
          <w:i/>
        </w:rPr>
        <w:t>P(2)/P(3)</w:t>
      </w:r>
      <w:r w:rsidRPr="00985FF9">
        <w:rPr>
          <w:rFonts w:cs="Tahoma"/>
        </w:rPr>
        <w:t xml:space="preserve"> and three coefficient </w:t>
      </w:r>
      <w:r w:rsidRPr="00985FF9">
        <w:rPr>
          <w:rFonts w:cs="Tahoma"/>
          <w:i/>
        </w:rPr>
        <w:t>a(i), b(i), and c(i).</w:t>
      </w:r>
      <w:r w:rsidRPr="00985FF9">
        <w:rPr>
          <w:rFonts w:cs="Tahoma"/>
        </w:rPr>
        <w:t xml:space="preserve"> These c</w:t>
      </w:r>
      <w:r w:rsidRPr="00985FF9">
        <w:rPr>
          <w:rFonts w:cs="Tahoma"/>
        </w:rPr>
        <w:t>o</w:t>
      </w:r>
      <w:r w:rsidRPr="00985FF9">
        <w:rPr>
          <w:rFonts w:cs="Tahoma"/>
        </w:rPr>
        <w:t>efficients were estimated by regression analysis of simulated model cases. One common approach is using the four regional families of the Coale-Demeny model life tables.</w:t>
      </w:r>
    </w:p>
    <w:p w:rsidR="00E03A55" w:rsidRPr="00985FF9" w:rsidRDefault="00E03A55" w:rsidP="00CF259D">
      <w:pPr>
        <w:tabs>
          <w:tab w:val="left" w:pos="567"/>
          <w:tab w:val="left" w:pos="7088"/>
        </w:tabs>
        <w:suppressAutoHyphens w:val="0"/>
        <w:spacing w:after="200"/>
        <w:ind w:firstLine="0"/>
        <w:jc w:val="both"/>
        <w:rPr>
          <w:rFonts w:cs="Tahoma"/>
        </w:rPr>
      </w:pPr>
      <w:r w:rsidRPr="00985FF9">
        <w:rPr>
          <w:rFonts w:cs="Tahoma"/>
        </w:rPr>
        <w:t xml:space="preserve">Step 4. Calculation of the probability of dying by age x, </w:t>
      </w:r>
      <w:r w:rsidRPr="00985FF9">
        <w:rPr>
          <w:rFonts w:cs="Tahoma"/>
          <w:i/>
        </w:rPr>
        <w:t>q(x)</w:t>
      </w:r>
    </w:p>
    <w:p w:rsidR="00E03A55" w:rsidRPr="00985FF9" w:rsidRDefault="00E03A55" w:rsidP="00CF259D">
      <w:pPr>
        <w:tabs>
          <w:tab w:val="left" w:pos="567"/>
          <w:tab w:val="left" w:pos="7088"/>
        </w:tabs>
        <w:suppressAutoHyphens w:val="0"/>
        <w:ind w:firstLine="0"/>
        <w:jc w:val="both"/>
        <w:rPr>
          <w:rFonts w:cs="Tahoma"/>
        </w:rPr>
      </w:pPr>
      <w:r w:rsidRPr="00985FF9">
        <w:rPr>
          <w:rFonts w:cs="Tahoma"/>
        </w:rPr>
        <w:t xml:space="preserve">As </w:t>
      </w:r>
      <w:r w:rsidRPr="00985FF9">
        <w:rPr>
          <w:rFonts w:cs="Tahoma"/>
          <w:i/>
        </w:rPr>
        <w:t>D(i)</w:t>
      </w:r>
      <w:r w:rsidRPr="00985FF9">
        <w:rPr>
          <w:rFonts w:cs="Tahoma"/>
        </w:rPr>
        <w:t xml:space="preserve"> and </w:t>
      </w:r>
      <w:r w:rsidRPr="00985FF9">
        <w:rPr>
          <w:rFonts w:cs="Tahoma"/>
          <w:i/>
        </w:rPr>
        <w:t>k(i)</w:t>
      </w:r>
      <w:r w:rsidRPr="00985FF9">
        <w:rPr>
          <w:rFonts w:cs="Tahoma"/>
        </w:rPr>
        <w:t xml:space="preserve"> have been calculated for each age group </w:t>
      </w:r>
      <w:r w:rsidRPr="00985FF9">
        <w:rPr>
          <w:rFonts w:cs="Tahoma"/>
          <w:i/>
        </w:rPr>
        <w:t>i</w:t>
      </w:r>
      <w:r w:rsidRPr="00985FF9">
        <w:rPr>
          <w:rFonts w:cs="Tahoma"/>
        </w:rPr>
        <w:t xml:space="preserve">, the estimates of </w:t>
      </w:r>
      <w:r w:rsidRPr="00985FF9">
        <w:rPr>
          <w:rFonts w:cs="Tahoma"/>
          <w:i/>
        </w:rPr>
        <w:t>q(i)</w:t>
      </w:r>
      <w:r w:rsidRPr="00985FF9">
        <w:rPr>
          <w:rFonts w:cs="Tahoma"/>
        </w:rPr>
        <w:t xml:space="preserve"> are obtained as their product.</w:t>
      </w:r>
    </w:p>
    <w:p w:rsidR="00E03A55" w:rsidRDefault="00E03A55" w:rsidP="00391BFE">
      <w:pPr>
        <w:tabs>
          <w:tab w:val="left" w:pos="567"/>
          <w:tab w:val="left" w:pos="7088"/>
        </w:tabs>
        <w:suppressAutoHyphens w:val="0"/>
        <w:spacing w:after="200"/>
        <w:ind w:firstLine="2835"/>
        <w:jc w:val="both"/>
        <w:rPr>
          <w:rFonts w:cs="Tahoma"/>
        </w:rPr>
      </w:pPr>
      <w:r w:rsidRPr="00985FF9">
        <w:rPr>
          <w:rFonts w:cs="Tahoma"/>
          <w:i/>
        </w:rPr>
        <w:t>q(x) = k (i) D(i)</w:t>
      </w:r>
      <w:r w:rsidRPr="00985FF9">
        <w:rPr>
          <w:rFonts w:cs="Tahoma"/>
          <w:i/>
        </w:rPr>
        <w:tab/>
      </w:r>
      <w:r w:rsidRPr="00985FF9">
        <w:rPr>
          <w:rFonts w:cs="Tahoma"/>
        </w:rPr>
        <w:t>(4)</w:t>
      </w:r>
    </w:p>
    <w:p w:rsidR="00E03A55" w:rsidRPr="00985FF9" w:rsidRDefault="00E03A55" w:rsidP="00B951AE">
      <w:pPr>
        <w:pStyle w:val="Default"/>
        <w:tabs>
          <w:tab w:val="left" w:pos="540"/>
          <w:tab w:val="left" w:pos="1418"/>
          <w:tab w:val="left" w:pos="8647"/>
        </w:tabs>
        <w:spacing w:after="60"/>
        <w:ind w:right="17"/>
        <w:jc w:val="both"/>
        <w:rPr>
          <w:rFonts w:ascii="Garamond" w:hAnsi="Garamond" w:cs="Tahoma"/>
          <w:color w:val="auto"/>
        </w:rPr>
      </w:pPr>
      <w:r w:rsidRPr="00985FF9">
        <w:rPr>
          <w:rFonts w:ascii="Garamond" w:hAnsi="Garamond" w:cs="Tahoma"/>
          <w:color w:val="auto"/>
        </w:rPr>
        <w:tab/>
        <w:t xml:space="preserve">However, the indirect method has several limitations. </w:t>
      </w:r>
      <w:r w:rsidRPr="008E619C">
        <w:rPr>
          <w:rFonts w:ascii="Garamond" w:hAnsi="Garamond" w:cs="Tahoma"/>
          <w:color w:val="auto"/>
        </w:rPr>
        <w:t>First, since model life tables required to adjust the data for the age pattern of mortality in the general population are mainly derived from European experiences, they might not fit the population pattern in other countries. Choosing an appropriate life table to a specific population is important to generating accurate estimates (Ahmad et al., 2000). Second, the Brass method assumption that fertility and child mortality have remained constant in the recent past has been questioned. If, for example, fertility has been changing, the ratios of average parities and age pattern of childbearing</w:t>
      </w:r>
      <w:r>
        <w:rPr>
          <w:rFonts w:ascii="Garamond" w:hAnsi="Garamond" w:cs="Tahoma"/>
          <w:color w:val="auto"/>
        </w:rPr>
        <w:t xml:space="preserve"> will be affected. I</w:t>
      </w:r>
      <w:r w:rsidRPr="008E619C">
        <w:rPr>
          <w:rFonts w:ascii="Garamond" w:hAnsi="Garamond" w:cs="Tahoma"/>
          <w:color w:val="auto"/>
        </w:rPr>
        <w:t xml:space="preserve">t will lead </w:t>
      </w:r>
      <w:r>
        <w:rPr>
          <w:rFonts w:ascii="Garamond" w:hAnsi="Garamond" w:cs="Tahoma"/>
          <w:color w:val="auto"/>
        </w:rPr>
        <w:t xml:space="preserve">to bias results, </w:t>
      </w:r>
      <w:r w:rsidRPr="008E619C">
        <w:rPr>
          <w:rFonts w:ascii="Garamond" w:hAnsi="Garamond" w:cs="Tahoma"/>
          <w:color w:val="auto"/>
        </w:rPr>
        <w:t>over</w:t>
      </w:r>
      <w:r w:rsidRPr="00985FF9">
        <w:rPr>
          <w:rFonts w:ascii="Garamond" w:hAnsi="Garamond" w:cs="Tahoma"/>
          <w:color w:val="auto"/>
        </w:rPr>
        <w:t xml:space="preserve"> or under estimate of </w:t>
      </w:r>
      <w:r>
        <w:rPr>
          <w:rFonts w:ascii="Garamond" w:hAnsi="Garamond" w:cs="Tahoma"/>
          <w:color w:val="auto"/>
        </w:rPr>
        <w:t>child mortality (United Nations</w:t>
      </w:r>
      <w:r w:rsidRPr="00985FF9">
        <w:rPr>
          <w:rFonts w:ascii="Garamond" w:hAnsi="Garamond" w:cs="Tahoma"/>
          <w:color w:val="auto"/>
        </w:rPr>
        <w:t xml:space="preserve"> 1983</w:t>
      </w:r>
      <w:r>
        <w:rPr>
          <w:rFonts w:ascii="Garamond" w:hAnsi="Garamond" w:cs="Tahoma"/>
          <w:color w:val="auto"/>
        </w:rPr>
        <w:t>, Preston et al. 2001</w:t>
      </w:r>
      <w:r w:rsidRPr="00985FF9">
        <w:rPr>
          <w:rFonts w:ascii="Garamond" w:hAnsi="Garamond" w:cs="Tahoma"/>
          <w:color w:val="auto"/>
        </w:rPr>
        <w:t xml:space="preserve">). </w:t>
      </w:r>
    </w:p>
    <w:p w:rsidR="00E03A55" w:rsidRPr="00985FF9" w:rsidRDefault="00E03A55" w:rsidP="00B951AE">
      <w:pPr>
        <w:pStyle w:val="Default"/>
        <w:tabs>
          <w:tab w:val="left" w:pos="540"/>
          <w:tab w:val="left" w:pos="1418"/>
          <w:tab w:val="left" w:pos="8647"/>
        </w:tabs>
        <w:ind w:right="17"/>
        <w:jc w:val="both"/>
        <w:rPr>
          <w:rFonts w:ascii="Garamond" w:hAnsi="Garamond" w:cs="Tahoma"/>
          <w:color w:val="auto"/>
        </w:rPr>
      </w:pPr>
      <w:r w:rsidRPr="00985FF9">
        <w:rPr>
          <w:rFonts w:ascii="Garamond" w:hAnsi="Garamond" w:cs="Tahoma"/>
          <w:color w:val="auto"/>
        </w:rPr>
        <w:tab/>
        <w:t xml:space="preserve">In this paper, data to estimate province’s infant mortality rates come from Indonesia’s socio-economic household survey </w:t>
      </w:r>
      <w:r w:rsidRPr="00985FF9">
        <w:rPr>
          <w:rFonts w:ascii="Garamond" w:hAnsi="Garamond" w:cs="Tahoma"/>
          <w:i/>
          <w:color w:val="auto"/>
        </w:rPr>
        <w:t>(Susenas)</w:t>
      </w:r>
      <w:r w:rsidRPr="00985FF9">
        <w:rPr>
          <w:rFonts w:ascii="Garamond" w:hAnsi="Garamond" w:cs="Tahoma"/>
          <w:color w:val="auto"/>
        </w:rPr>
        <w:t xml:space="preserve"> data from 2001 to 2006. </w:t>
      </w:r>
      <w:r w:rsidRPr="00985FF9">
        <w:rPr>
          <w:rFonts w:ascii="Garamond" w:hAnsi="Garamond" w:cs="Tahoma"/>
          <w:i/>
          <w:color w:val="auto"/>
        </w:rPr>
        <w:t xml:space="preserve">Susenas </w:t>
      </w:r>
      <w:r w:rsidRPr="00985FF9">
        <w:rPr>
          <w:rFonts w:ascii="Garamond" w:hAnsi="Garamond" w:cs="Tahoma"/>
          <w:color w:val="auto"/>
        </w:rPr>
        <w:t xml:space="preserve">data provides information about: (i) the number of children ever born, (ii) the number of children surviving, and (iii) the total number of women classified by five-year age groups. Based on this data, infant mortality rates are calculated using the United Nation’s software, QFIVE. </w:t>
      </w:r>
      <w:r>
        <w:rPr>
          <w:rFonts w:ascii="Garamond" w:hAnsi="Garamond" w:cs="Tahoma"/>
          <w:color w:val="auto"/>
        </w:rPr>
        <w:t>Coaled-Demeny West table have been chosen to adjust for age pattern of mortality. This is based on argument that this life table is suit on mortality pattern in I</w:t>
      </w:r>
      <w:r>
        <w:rPr>
          <w:rFonts w:ascii="Garamond" w:hAnsi="Garamond" w:cs="Tahoma"/>
          <w:color w:val="auto"/>
        </w:rPr>
        <w:t>n</w:t>
      </w:r>
      <w:r>
        <w:rPr>
          <w:rFonts w:ascii="Garamond" w:hAnsi="Garamond" w:cs="Tahoma"/>
          <w:color w:val="auto"/>
        </w:rPr>
        <w:t>donesia</w:t>
      </w:r>
      <w:r w:rsidRPr="00195E26">
        <w:rPr>
          <w:rFonts w:ascii="Garamond" w:hAnsi="Garamond" w:cs="Tahoma"/>
          <w:color w:val="auto"/>
        </w:rPr>
        <w:t xml:space="preserve"> </w:t>
      </w:r>
      <w:r>
        <w:rPr>
          <w:rFonts w:ascii="Garamond" w:hAnsi="Garamond" w:cs="Tahoma"/>
          <w:color w:val="auto"/>
        </w:rPr>
        <w:t>(Bos</w:t>
      </w:r>
      <w:r w:rsidRPr="00195E26">
        <w:rPr>
          <w:rFonts w:ascii="Garamond" w:hAnsi="Garamond" w:cs="Tahoma"/>
          <w:color w:val="auto"/>
        </w:rPr>
        <w:t xml:space="preserve"> </w:t>
      </w:r>
      <w:r>
        <w:rPr>
          <w:rFonts w:ascii="Garamond" w:hAnsi="Garamond" w:cs="Tahoma"/>
          <w:color w:val="auto"/>
        </w:rPr>
        <w:t xml:space="preserve">and Saadah 1999). This life table also become main reference of Statistics Indonesia when calculate infant mortality rates. One should be noted that since the study period of this paper only six years, the fertility patterns across provinces are likely remain constant. This study period is too short for any meaningful changes in fertility to materialize. As a result, infant mortality rates are reliable to be used for the further analysis. </w:t>
      </w:r>
    </w:p>
    <w:p w:rsidR="00E03A55" w:rsidRDefault="00E03A55" w:rsidP="00B951AE">
      <w:pPr>
        <w:pStyle w:val="Heading2"/>
      </w:pPr>
      <w:bookmarkStart w:id="59" w:name="_Toc239163847"/>
      <w:r w:rsidRPr="00985FF9">
        <w:t>Data</w:t>
      </w:r>
      <w:bookmarkEnd w:id="59"/>
    </w:p>
    <w:p w:rsidR="00E03A55" w:rsidRPr="00985FF9" w:rsidRDefault="00E03A55" w:rsidP="00B951AE">
      <w:pPr>
        <w:tabs>
          <w:tab w:val="left" w:pos="567"/>
        </w:tabs>
        <w:ind w:firstLine="0"/>
        <w:jc w:val="both"/>
      </w:pPr>
      <w:r w:rsidRPr="00985FF9">
        <w:t>The empirical analysis in this paper uses a balanced panel of 25 Indonesian Provinces during the period 2001-2006, for which complete data can be found from three sources. The first is Indonesia’s socio-economic household survey (</w:t>
      </w:r>
      <w:r w:rsidRPr="00985FF9">
        <w:rPr>
          <w:i/>
        </w:rPr>
        <w:t>Susenas</w:t>
      </w:r>
      <w:r w:rsidRPr="00985FF9">
        <w:t xml:space="preserve">), which provides information on household characteristics and the presence of skilled birth attendant at delivery. The </w:t>
      </w:r>
      <w:r w:rsidRPr="00985FF9">
        <w:rPr>
          <w:i/>
        </w:rPr>
        <w:t>Susenas</w:t>
      </w:r>
      <w:r w:rsidRPr="00985FF9">
        <w:t xml:space="preserve"> data also contains information that can be used to calculate infant mortality rates with the indirect method. The </w:t>
      </w:r>
      <w:r w:rsidRPr="00985FF9">
        <w:rPr>
          <w:i/>
        </w:rPr>
        <w:t>Susenas</w:t>
      </w:r>
      <w:r w:rsidRPr="00985FF9">
        <w:t xml:space="preserve"> data for this paper are available from 2001 to 2006.</w:t>
      </w:r>
    </w:p>
    <w:p w:rsidR="00E03A55" w:rsidRPr="00985FF9" w:rsidRDefault="00E03A55" w:rsidP="00B951AE">
      <w:pPr>
        <w:tabs>
          <w:tab w:val="left" w:pos="567"/>
        </w:tabs>
        <w:ind w:firstLine="567"/>
        <w:jc w:val="both"/>
      </w:pPr>
      <w:r w:rsidRPr="00985FF9">
        <w:t xml:space="preserve">The second source is the Ministry of Finance (MoF) data. It records district expenditure that can be broken down by sector, including health. It is then divided into two types of health expenditure, routine and development expenditure. Since the Indonesian government changed the financial report format for provincial and district level spending according to Government Regulation Number 24 year 2005 about Governmental Accounting Standard, time consistent data for public expenditure on health are available only for 2001 to 2004. </w:t>
      </w:r>
    </w:p>
    <w:p w:rsidR="00E03A55" w:rsidRPr="00985FF9" w:rsidRDefault="00E03A55" w:rsidP="00B951AE">
      <w:pPr>
        <w:tabs>
          <w:tab w:val="left" w:pos="567"/>
        </w:tabs>
        <w:ind w:firstLine="567"/>
        <w:jc w:val="both"/>
      </w:pPr>
      <w:r w:rsidRPr="00985FF9">
        <w:t xml:space="preserve">The last source is Ministry of Health (MoH) data on the ratio of </w:t>
      </w:r>
      <w:r w:rsidRPr="00985FF9">
        <w:rPr>
          <w:i/>
        </w:rPr>
        <w:t xml:space="preserve">puskesmas </w:t>
      </w:r>
      <w:r w:rsidRPr="00985FF9">
        <w:t xml:space="preserve">per 100,000 inhabitants as proxy for health care supply provided by government. This data are available for every province from 2001 to 1006. This information is taken from various years of Indonesia Health Profile published by the MoH. </w:t>
      </w:r>
    </w:p>
    <w:p w:rsidR="00E03A55" w:rsidRPr="00985FF9" w:rsidRDefault="00E03A55" w:rsidP="001C03BE">
      <w:pPr>
        <w:tabs>
          <w:tab w:val="left" w:pos="567"/>
        </w:tabs>
        <w:suppressAutoHyphens w:val="0"/>
        <w:autoSpaceDE w:val="0"/>
        <w:autoSpaceDN w:val="0"/>
        <w:adjustRightInd w:val="0"/>
        <w:spacing w:after="200"/>
        <w:ind w:firstLine="567"/>
        <w:jc w:val="both"/>
      </w:pPr>
      <w:r w:rsidRPr="00985FF9">
        <w:t>This study combines these three data sources to construct a panel data set. In order to simplify the analysis, these data aggregated into province level.  It also aims to make infant mortality rates feasible to be calculated. Four pro</w:t>
      </w:r>
      <w:r w:rsidRPr="00985FF9">
        <w:t>v</w:t>
      </w:r>
      <w:r w:rsidRPr="00985FF9">
        <w:t xml:space="preserve">inces are excluded from analysis since they do not have complete data namely </w:t>
      </w:r>
      <w:r w:rsidRPr="00985FF9">
        <w:rPr>
          <w:i/>
        </w:rPr>
        <w:t>Nanggroe Aceh Darussalam, North Maluku, Maluku, Papua</w:t>
      </w:r>
      <w:r w:rsidRPr="00985FF9">
        <w:t xml:space="preserve">, and </w:t>
      </w:r>
      <w:r w:rsidRPr="00985FF9">
        <w:rPr>
          <w:i/>
        </w:rPr>
        <w:t>DKI Jakarta</w:t>
      </w:r>
      <w:r w:rsidRPr="00985FF9">
        <w:t>. A balance panel then consist of 25 Indonesia provinces during the period 2001-2006. Table 4.1 lists the variables with their definitions and sources</w:t>
      </w:r>
      <w:r>
        <w:t xml:space="preserve"> while t</w:t>
      </w:r>
      <w:r w:rsidRPr="00985FF9">
        <w:t>able 4.2 presents descriptive statistics of province panel.</w:t>
      </w:r>
      <w:r>
        <w:t xml:space="preserve"> </w:t>
      </w:r>
    </w:p>
    <w:p w:rsidR="00E03A55" w:rsidRDefault="00E03A55" w:rsidP="0073200D">
      <w:pPr>
        <w:pStyle w:val="Caption"/>
        <w:spacing w:after="200"/>
        <w:jc w:val="center"/>
        <w:rPr>
          <w:rFonts w:ascii="Arial" w:hAnsi="Arial" w:cs="Arial"/>
          <w:b/>
          <w:sz w:val="18"/>
          <w:szCs w:val="18"/>
        </w:rPr>
      </w:pPr>
      <w:bookmarkStart w:id="60" w:name="_Toc239157737"/>
      <w:r w:rsidRPr="0073200D">
        <w:rPr>
          <w:rFonts w:ascii="Arial" w:hAnsi="Arial" w:cs="Arial"/>
          <w:b/>
          <w:sz w:val="18"/>
          <w:szCs w:val="18"/>
        </w:rPr>
        <w:t xml:space="preserve">Table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4</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Table \* ARABIC \s 1 </w:instrText>
      </w:r>
      <w:r>
        <w:rPr>
          <w:rFonts w:ascii="Arial" w:hAnsi="Arial" w:cs="Arial"/>
          <w:b/>
          <w:sz w:val="18"/>
          <w:szCs w:val="18"/>
        </w:rPr>
        <w:fldChar w:fldCharType="separate"/>
      </w:r>
      <w:r>
        <w:rPr>
          <w:rFonts w:ascii="Arial" w:hAnsi="Arial" w:cs="Arial"/>
          <w:b/>
          <w:noProof/>
          <w:sz w:val="18"/>
          <w:szCs w:val="18"/>
        </w:rPr>
        <w:t>1</w:t>
      </w:r>
      <w:r>
        <w:rPr>
          <w:rFonts w:ascii="Arial" w:hAnsi="Arial" w:cs="Arial"/>
          <w:b/>
          <w:sz w:val="18"/>
          <w:szCs w:val="18"/>
        </w:rPr>
        <w:fldChar w:fldCharType="end"/>
      </w:r>
      <w:r w:rsidRPr="0073200D">
        <w:rPr>
          <w:rFonts w:ascii="Arial" w:hAnsi="Arial" w:cs="Arial"/>
          <w:b/>
          <w:sz w:val="18"/>
          <w:szCs w:val="18"/>
        </w:rPr>
        <w:t xml:space="preserve"> Definitions </w:t>
      </w:r>
      <w:r>
        <w:rPr>
          <w:rFonts w:ascii="Arial" w:hAnsi="Arial" w:cs="Arial"/>
          <w:b/>
          <w:sz w:val="18"/>
          <w:szCs w:val="18"/>
        </w:rPr>
        <w:t>and Sources o</w:t>
      </w:r>
      <w:r w:rsidRPr="0073200D">
        <w:rPr>
          <w:rFonts w:ascii="Arial" w:hAnsi="Arial" w:cs="Arial"/>
          <w:b/>
          <w:sz w:val="18"/>
          <w:szCs w:val="18"/>
        </w:rPr>
        <w:t xml:space="preserve">f The Variables Used </w:t>
      </w:r>
      <w:r>
        <w:rPr>
          <w:rFonts w:ascii="Arial" w:hAnsi="Arial" w:cs="Arial"/>
          <w:b/>
          <w:sz w:val="18"/>
          <w:szCs w:val="18"/>
        </w:rPr>
        <w:t>i</w:t>
      </w:r>
      <w:r w:rsidRPr="0073200D">
        <w:rPr>
          <w:rFonts w:ascii="Arial" w:hAnsi="Arial" w:cs="Arial"/>
          <w:b/>
          <w:sz w:val="18"/>
          <w:szCs w:val="18"/>
        </w:rPr>
        <w:t>n The Analysis</w:t>
      </w:r>
      <w:bookmarkEnd w:id="60"/>
    </w:p>
    <w:tbl>
      <w:tblPr>
        <w:tblW w:w="7794" w:type="dxa"/>
        <w:jc w:val="center"/>
        <w:tblInd w:w="98" w:type="dxa"/>
        <w:tblLook w:val="00A0"/>
      </w:tblPr>
      <w:tblGrid>
        <w:gridCol w:w="1938"/>
        <w:gridCol w:w="4120"/>
        <w:gridCol w:w="1736"/>
      </w:tblGrid>
      <w:tr w:rsidR="00E03A55" w:rsidRPr="00985FF9" w:rsidTr="00A06595">
        <w:trPr>
          <w:trHeight w:val="342"/>
          <w:jc w:val="center"/>
        </w:trPr>
        <w:tc>
          <w:tcPr>
            <w:tcW w:w="1938" w:type="dxa"/>
            <w:tcBorders>
              <w:top w:val="single" w:sz="4" w:space="0" w:color="auto"/>
              <w:left w:val="nil"/>
              <w:bottom w:val="single" w:sz="4" w:space="0" w:color="auto"/>
              <w:right w:val="nil"/>
            </w:tcBorders>
            <w:vAlign w:val="center"/>
          </w:tcPr>
          <w:p w:rsidR="00E03A55" w:rsidRPr="00985FF9" w:rsidRDefault="00E03A55" w:rsidP="00391BFE">
            <w:pPr>
              <w:suppressAutoHyphens w:val="0"/>
              <w:spacing w:after="0"/>
              <w:ind w:firstLine="0"/>
              <w:jc w:val="center"/>
              <w:rPr>
                <w:rFonts w:ascii="Arial" w:hAnsi="Arial" w:cs="Arial"/>
                <w:b/>
                <w:bCs/>
                <w:sz w:val="16"/>
                <w:szCs w:val="16"/>
                <w:lang w:val="en-US" w:eastAsia="en-US"/>
              </w:rPr>
            </w:pPr>
            <w:r w:rsidRPr="00985FF9">
              <w:rPr>
                <w:rFonts w:ascii="Arial" w:hAnsi="Arial" w:cs="Arial"/>
                <w:b/>
                <w:bCs/>
                <w:sz w:val="16"/>
                <w:szCs w:val="16"/>
                <w:lang w:val="en-US" w:eastAsia="en-US"/>
              </w:rPr>
              <w:t>Variable</w:t>
            </w:r>
          </w:p>
        </w:tc>
        <w:tc>
          <w:tcPr>
            <w:tcW w:w="4120" w:type="dxa"/>
            <w:tcBorders>
              <w:top w:val="single" w:sz="4" w:space="0" w:color="auto"/>
              <w:left w:val="nil"/>
              <w:bottom w:val="single" w:sz="4" w:space="0" w:color="auto"/>
              <w:right w:val="nil"/>
            </w:tcBorders>
            <w:vAlign w:val="center"/>
          </w:tcPr>
          <w:p w:rsidR="00E03A55" w:rsidRPr="00985FF9" w:rsidRDefault="00E03A55" w:rsidP="00391BFE">
            <w:pPr>
              <w:suppressAutoHyphens w:val="0"/>
              <w:spacing w:after="0"/>
              <w:ind w:firstLine="0"/>
              <w:jc w:val="center"/>
              <w:rPr>
                <w:rFonts w:ascii="Arial" w:hAnsi="Arial" w:cs="Arial"/>
                <w:b/>
                <w:bCs/>
                <w:sz w:val="16"/>
                <w:szCs w:val="16"/>
                <w:lang w:val="en-US" w:eastAsia="en-US"/>
              </w:rPr>
            </w:pPr>
            <w:r w:rsidRPr="00985FF9">
              <w:rPr>
                <w:rFonts w:ascii="Arial" w:hAnsi="Arial" w:cs="Arial"/>
                <w:b/>
                <w:bCs/>
                <w:sz w:val="16"/>
                <w:szCs w:val="16"/>
                <w:lang w:val="en-US" w:eastAsia="en-US"/>
              </w:rPr>
              <w:t>Definition</w:t>
            </w:r>
          </w:p>
        </w:tc>
        <w:tc>
          <w:tcPr>
            <w:tcW w:w="1736" w:type="dxa"/>
            <w:tcBorders>
              <w:top w:val="single" w:sz="4" w:space="0" w:color="auto"/>
              <w:left w:val="nil"/>
              <w:bottom w:val="single" w:sz="4" w:space="0" w:color="auto"/>
              <w:right w:val="nil"/>
            </w:tcBorders>
            <w:vAlign w:val="center"/>
          </w:tcPr>
          <w:p w:rsidR="00E03A55" w:rsidRPr="00985FF9" w:rsidRDefault="00E03A55" w:rsidP="00391BFE">
            <w:pPr>
              <w:suppressAutoHyphens w:val="0"/>
              <w:spacing w:after="0"/>
              <w:ind w:firstLine="0"/>
              <w:jc w:val="center"/>
              <w:rPr>
                <w:rFonts w:ascii="Arial" w:hAnsi="Arial" w:cs="Arial"/>
                <w:b/>
                <w:bCs/>
                <w:sz w:val="16"/>
                <w:szCs w:val="16"/>
                <w:lang w:val="en-US" w:eastAsia="en-US"/>
              </w:rPr>
            </w:pPr>
            <w:r w:rsidRPr="00985FF9">
              <w:rPr>
                <w:rFonts w:ascii="Arial" w:hAnsi="Arial" w:cs="Arial"/>
                <w:b/>
                <w:bCs/>
                <w:sz w:val="16"/>
                <w:szCs w:val="16"/>
                <w:lang w:val="en-US" w:eastAsia="en-US"/>
              </w:rPr>
              <w:t>Source</w:t>
            </w:r>
          </w:p>
        </w:tc>
      </w:tr>
      <w:tr w:rsidR="00E03A55" w:rsidRPr="00985FF9" w:rsidTr="00A06595">
        <w:trPr>
          <w:trHeight w:val="841"/>
          <w:jc w:val="center"/>
        </w:trPr>
        <w:tc>
          <w:tcPr>
            <w:tcW w:w="1938"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Infant Mortality Rate (IMR)</w:t>
            </w:r>
          </w:p>
        </w:tc>
        <w:tc>
          <w:tcPr>
            <w:tcW w:w="4120"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The total number of deaths to children under the age of one year for every 1,000 live births.</w:t>
            </w:r>
          </w:p>
        </w:tc>
        <w:tc>
          <w:tcPr>
            <w:tcW w:w="1736" w:type="dxa"/>
            <w:tcBorders>
              <w:top w:val="nil"/>
              <w:left w:val="nil"/>
              <w:bottom w:val="nil"/>
              <w:right w:val="nil"/>
            </w:tcBorders>
            <w:vAlign w:val="center"/>
          </w:tcPr>
          <w:p w:rsidR="00E03A55" w:rsidRPr="00985FF9" w:rsidRDefault="00E03A55" w:rsidP="00391BFE">
            <w:pPr>
              <w:suppressAutoHyphens w:val="0"/>
              <w:spacing w:after="0"/>
              <w:ind w:firstLine="0"/>
              <w:jc w:val="center"/>
              <w:rPr>
                <w:rFonts w:ascii="Arial" w:hAnsi="Arial" w:cs="Arial"/>
                <w:sz w:val="16"/>
                <w:szCs w:val="16"/>
                <w:lang w:val="en-US" w:eastAsia="en-US"/>
              </w:rPr>
            </w:pPr>
            <w:r w:rsidRPr="00985FF9">
              <w:rPr>
                <w:rFonts w:ascii="Arial" w:hAnsi="Arial" w:cs="Arial"/>
                <w:sz w:val="16"/>
                <w:szCs w:val="16"/>
                <w:lang w:val="en-US" w:eastAsia="en-US"/>
              </w:rPr>
              <w:t xml:space="preserve">Own calculation using </w:t>
            </w:r>
            <w:r w:rsidRPr="00985FF9">
              <w:rPr>
                <w:rFonts w:ascii="Arial" w:hAnsi="Arial" w:cs="Arial"/>
                <w:i/>
                <w:iCs/>
                <w:sz w:val="16"/>
                <w:szCs w:val="16"/>
                <w:lang w:val="en-US" w:eastAsia="en-US"/>
              </w:rPr>
              <w:t xml:space="preserve">Susenas </w:t>
            </w:r>
            <w:r w:rsidRPr="00985FF9">
              <w:rPr>
                <w:rFonts w:ascii="Arial" w:hAnsi="Arial" w:cs="Arial"/>
                <w:sz w:val="16"/>
                <w:szCs w:val="16"/>
                <w:lang w:val="en-US" w:eastAsia="en-US"/>
              </w:rPr>
              <w:t>data and QFIVE software</w:t>
            </w:r>
          </w:p>
        </w:tc>
      </w:tr>
      <w:tr w:rsidR="00E03A55" w:rsidRPr="00985FF9" w:rsidTr="00A06595">
        <w:trPr>
          <w:trHeight w:val="568"/>
          <w:jc w:val="center"/>
        </w:trPr>
        <w:tc>
          <w:tcPr>
            <w:tcW w:w="1938"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Public health expend</w:t>
            </w:r>
            <w:r w:rsidRPr="00985FF9">
              <w:rPr>
                <w:rFonts w:ascii="Arial" w:hAnsi="Arial" w:cs="Arial"/>
                <w:sz w:val="16"/>
                <w:szCs w:val="16"/>
                <w:lang w:val="en-US" w:eastAsia="en-US"/>
              </w:rPr>
              <w:t>i</w:t>
            </w:r>
            <w:r w:rsidRPr="00985FF9">
              <w:rPr>
                <w:rFonts w:ascii="Arial" w:hAnsi="Arial" w:cs="Arial"/>
                <w:sz w:val="16"/>
                <w:szCs w:val="16"/>
                <w:lang w:val="en-US" w:eastAsia="en-US"/>
              </w:rPr>
              <w:t>ture</w:t>
            </w:r>
          </w:p>
        </w:tc>
        <w:tc>
          <w:tcPr>
            <w:tcW w:w="4120"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Per capita public health expenditure.</w:t>
            </w:r>
          </w:p>
        </w:tc>
        <w:tc>
          <w:tcPr>
            <w:tcW w:w="1736" w:type="dxa"/>
            <w:tcBorders>
              <w:top w:val="nil"/>
              <w:left w:val="nil"/>
              <w:bottom w:val="nil"/>
              <w:right w:val="nil"/>
            </w:tcBorders>
            <w:vAlign w:val="center"/>
          </w:tcPr>
          <w:p w:rsidR="00E03A55" w:rsidRPr="00985FF9" w:rsidRDefault="00E03A55" w:rsidP="00391BFE">
            <w:pPr>
              <w:suppressAutoHyphens w:val="0"/>
              <w:spacing w:after="0"/>
              <w:ind w:firstLine="0"/>
              <w:jc w:val="center"/>
              <w:rPr>
                <w:rFonts w:ascii="Arial" w:hAnsi="Arial" w:cs="Arial"/>
                <w:sz w:val="16"/>
                <w:szCs w:val="16"/>
                <w:lang w:val="en-US" w:eastAsia="en-US"/>
              </w:rPr>
            </w:pPr>
            <w:r w:rsidRPr="00985FF9">
              <w:rPr>
                <w:rFonts w:ascii="Arial" w:hAnsi="Arial" w:cs="Arial"/>
                <w:sz w:val="16"/>
                <w:szCs w:val="16"/>
                <w:lang w:val="en-US" w:eastAsia="en-US"/>
              </w:rPr>
              <w:t>Ministry of Finance</w:t>
            </w:r>
          </w:p>
        </w:tc>
      </w:tr>
      <w:tr w:rsidR="00E03A55" w:rsidRPr="00985FF9" w:rsidTr="00A06595">
        <w:trPr>
          <w:trHeight w:val="568"/>
          <w:jc w:val="center"/>
        </w:trPr>
        <w:tc>
          <w:tcPr>
            <w:tcW w:w="1938"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Development health expenditure</w:t>
            </w:r>
          </w:p>
        </w:tc>
        <w:tc>
          <w:tcPr>
            <w:tcW w:w="4120"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Per capita development health expenditure.</w:t>
            </w:r>
          </w:p>
        </w:tc>
        <w:tc>
          <w:tcPr>
            <w:tcW w:w="1736" w:type="dxa"/>
            <w:tcBorders>
              <w:top w:val="nil"/>
              <w:left w:val="nil"/>
              <w:bottom w:val="nil"/>
              <w:right w:val="nil"/>
            </w:tcBorders>
            <w:vAlign w:val="center"/>
          </w:tcPr>
          <w:p w:rsidR="00E03A55" w:rsidRPr="00985FF9" w:rsidRDefault="00E03A55" w:rsidP="00391BFE">
            <w:pPr>
              <w:suppressAutoHyphens w:val="0"/>
              <w:spacing w:after="0"/>
              <w:ind w:firstLine="0"/>
              <w:jc w:val="center"/>
              <w:rPr>
                <w:rFonts w:ascii="Arial" w:hAnsi="Arial" w:cs="Arial"/>
                <w:sz w:val="16"/>
                <w:szCs w:val="16"/>
                <w:lang w:val="en-US" w:eastAsia="en-US"/>
              </w:rPr>
            </w:pPr>
            <w:r w:rsidRPr="00985FF9">
              <w:rPr>
                <w:rFonts w:ascii="Arial" w:hAnsi="Arial" w:cs="Arial"/>
                <w:sz w:val="16"/>
                <w:szCs w:val="16"/>
                <w:lang w:val="en-US" w:eastAsia="en-US"/>
              </w:rPr>
              <w:t>Ministry of Finance</w:t>
            </w:r>
          </w:p>
        </w:tc>
      </w:tr>
      <w:tr w:rsidR="00E03A55" w:rsidRPr="00985FF9" w:rsidTr="00A06595">
        <w:trPr>
          <w:trHeight w:val="568"/>
          <w:jc w:val="center"/>
        </w:trPr>
        <w:tc>
          <w:tcPr>
            <w:tcW w:w="1938"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Routine health expend</w:t>
            </w:r>
            <w:r w:rsidRPr="00985FF9">
              <w:rPr>
                <w:rFonts w:ascii="Arial" w:hAnsi="Arial" w:cs="Arial"/>
                <w:sz w:val="16"/>
                <w:szCs w:val="16"/>
                <w:lang w:val="en-US" w:eastAsia="en-US"/>
              </w:rPr>
              <w:t>i</w:t>
            </w:r>
            <w:r w:rsidRPr="00985FF9">
              <w:rPr>
                <w:rFonts w:ascii="Arial" w:hAnsi="Arial" w:cs="Arial"/>
                <w:sz w:val="16"/>
                <w:szCs w:val="16"/>
                <w:lang w:val="en-US" w:eastAsia="en-US"/>
              </w:rPr>
              <w:t>ture</w:t>
            </w:r>
          </w:p>
        </w:tc>
        <w:tc>
          <w:tcPr>
            <w:tcW w:w="4120"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Per capita routine health expenditure.</w:t>
            </w:r>
          </w:p>
        </w:tc>
        <w:tc>
          <w:tcPr>
            <w:tcW w:w="1736" w:type="dxa"/>
            <w:tcBorders>
              <w:top w:val="nil"/>
              <w:left w:val="nil"/>
              <w:bottom w:val="nil"/>
              <w:right w:val="nil"/>
            </w:tcBorders>
            <w:vAlign w:val="center"/>
          </w:tcPr>
          <w:p w:rsidR="00E03A55" w:rsidRPr="00985FF9" w:rsidRDefault="00E03A55" w:rsidP="00391BFE">
            <w:pPr>
              <w:suppressAutoHyphens w:val="0"/>
              <w:spacing w:after="0"/>
              <w:ind w:firstLine="0"/>
              <w:jc w:val="center"/>
              <w:rPr>
                <w:rFonts w:ascii="Arial" w:hAnsi="Arial" w:cs="Arial"/>
                <w:sz w:val="16"/>
                <w:szCs w:val="16"/>
                <w:lang w:val="en-US" w:eastAsia="en-US"/>
              </w:rPr>
            </w:pPr>
            <w:r w:rsidRPr="00985FF9">
              <w:rPr>
                <w:rFonts w:ascii="Arial" w:hAnsi="Arial" w:cs="Arial"/>
                <w:sz w:val="16"/>
                <w:szCs w:val="16"/>
                <w:lang w:val="en-US" w:eastAsia="en-US"/>
              </w:rPr>
              <w:t>Ministry of Finance</w:t>
            </w:r>
          </w:p>
        </w:tc>
      </w:tr>
      <w:tr w:rsidR="00E03A55" w:rsidRPr="00985FF9" w:rsidTr="00A06595">
        <w:trPr>
          <w:trHeight w:val="568"/>
          <w:jc w:val="center"/>
        </w:trPr>
        <w:tc>
          <w:tcPr>
            <w:tcW w:w="1938"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Skilled birth attendance</w:t>
            </w:r>
          </w:p>
        </w:tc>
        <w:tc>
          <w:tcPr>
            <w:tcW w:w="4120"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The proportion of child born last year that helped by a trained health professional (doctor, midwife or nurse).</w:t>
            </w:r>
          </w:p>
        </w:tc>
        <w:tc>
          <w:tcPr>
            <w:tcW w:w="1736" w:type="dxa"/>
            <w:tcBorders>
              <w:top w:val="nil"/>
              <w:left w:val="nil"/>
              <w:bottom w:val="nil"/>
              <w:right w:val="nil"/>
            </w:tcBorders>
            <w:vAlign w:val="center"/>
          </w:tcPr>
          <w:p w:rsidR="00E03A55" w:rsidRPr="00985FF9" w:rsidRDefault="00E03A55" w:rsidP="00391BFE">
            <w:pPr>
              <w:suppressAutoHyphens w:val="0"/>
              <w:spacing w:after="0"/>
              <w:ind w:firstLine="0"/>
              <w:jc w:val="center"/>
              <w:rPr>
                <w:rFonts w:ascii="Arial" w:hAnsi="Arial" w:cs="Arial"/>
                <w:i/>
                <w:iCs/>
                <w:sz w:val="16"/>
                <w:szCs w:val="16"/>
                <w:lang w:val="en-US" w:eastAsia="en-US"/>
              </w:rPr>
            </w:pPr>
            <w:r w:rsidRPr="00985FF9">
              <w:rPr>
                <w:rFonts w:ascii="Arial" w:hAnsi="Arial" w:cs="Arial"/>
                <w:i/>
                <w:iCs/>
                <w:sz w:val="16"/>
                <w:szCs w:val="16"/>
                <w:lang w:val="en-US" w:eastAsia="en-US"/>
              </w:rPr>
              <w:t>Susenas</w:t>
            </w:r>
          </w:p>
        </w:tc>
      </w:tr>
      <w:tr w:rsidR="00E03A55" w:rsidRPr="00985FF9" w:rsidTr="00A06595">
        <w:trPr>
          <w:trHeight w:val="568"/>
          <w:jc w:val="center"/>
        </w:trPr>
        <w:tc>
          <w:tcPr>
            <w:tcW w:w="1938"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Rural population</w:t>
            </w:r>
          </w:p>
        </w:tc>
        <w:tc>
          <w:tcPr>
            <w:tcW w:w="4120"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The fraction of population living in rural area.</w:t>
            </w:r>
          </w:p>
        </w:tc>
        <w:tc>
          <w:tcPr>
            <w:tcW w:w="1736" w:type="dxa"/>
            <w:tcBorders>
              <w:top w:val="nil"/>
              <w:left w:val="nil"/>
              <w:bottom w:val="nil"/>
              <w:right w:val="nil"/>
            </w:tcBorders>
            <w:vAlign w:val="center"/>
          </w:tcPr>
          <w:p w:rsidR="00E03A55" w:rsidRPr="00985FF9" w:rsidRDefault="00E03A55" w:rsidP="00391BFE">
            <w:pPr>
              <w:suppressAutoHyphens w:val="0"/>
              <w:spacing w:after="0"/>
              <w:ind w:firstLine="0"/>
              <w:jc w:val="center"/>
              <w:rPr>
                <w:rFonts w:ascii="Arial" w:hAnsi="Arial" w:cs="Arial"/>
                <w:i/>
                <w:iCs/>
                <w:sz w:val="16"/>
                <w:szCs w:val="16"/>
                <w:lang w:val="en-US" w:eastAsia="en-US"/>
              </w:rPr>
            </w:pPr>
            <w:r w:rsidRPr="00985FF9">
              <w:rPr>
                <w:rFonts w:ascii="Arial" w:hAnsi="Arial" w:cs="Arial"/>
                <w:i/>
                <w:iCs/>
                <w:sz w:val="16"/>
                <w:szCs w:val="16"/>
                <w:lang w:val="en-US" w:eastAsia="en-US"/>
              </w:rPr>
              <w:t>Susenas</w:t>
            </w:r>
          </w:p>
        </w:tc>
      </w:tr>
      <w:tr w:rsidR="00E03A55" w:rsidRPr="00985FF9" w:rsidTr="00A06595">
        <w:trPr>
          <w:trHeight w:val="568"/>
          <w:jc w:val="center"/>
        </w:trPr>
        <w:tc>
          <w:tcPr>
            <w:tcW w:w="1938"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Mother's education 1</w:t>
            </w:r>
          </w:p>
        </w:tc>
        <w:tc>
          <w:tcPr>
            <w:tcW w:w="4120"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Primary education highest attended by women that ever gave birth.</w:t>
            </w:r>
          </w:p>
        </w:tc>
        <w:tc>
          <w:tcPr>
            <w:tcW w:w="1736" w:type="dxa"/>
            <w:tcBorders>
              <w:top w:val="nil"/>
              <w:left w:val="nil"/>
              <w:bottom w:val="nil"/>
              <w:right w:val="nil"/>
            </w:tcBorders>
            <w:vAlign w:val="center"/>
          </w:tcPr>
          <w:p w:rsidR="00E03A55" w:rsidRPr="00985FF9" w:rsidRDefault="00E03A55" w:rsidP="00391BFE">
            <w:pPr>
              <w:suppressAutoHyphens w:val="0"/>
              <w:spacing w:after="0"/>
              <w:ind w:firstLine="0"/>
              <w:jc w:val="center"/>
              <w:rPr>
                <w:rFonts w:ascii="Arial" w:hAnsi="Arial" w:cs="Arial"/>
                <w:i/>
                <w:iCs/>
                <w:sz w:val="16"/>
                <w:szCs w:val="16"/>
                <w:lang w:val="en-US" w:eastAsia="en-US"/>
              </w:rPr>
            </w:pPr>
            <w:r w:rsidRPr="00985FF9">
              <w:rPr>
                <w:rFonts w:ascii="Arial" w:hAnsi="Arial" w:cs="Arial"/>
                <w:i/>
                <w:iCs/>
                <w:sz w:val="16"/>
                <w:szCs w:val="16"/>
                <w:lang w:val="en-US" w:eastAsia="en-US"/>
              </w:rPr>
              <w:t>Susenas</w:t>
            </w:r>
          </w:p>
        </w:tc>
      </w:tr>
      <w:tr w:rsidR="00E03A55" w:rsidRPr="00985FF9" w:rsidTr="00A06595">
        <w:trPr>
          <w:trHeight w:val="568"/>
          <w:jc w:val="center"/>
        </w:trPr>
        <w:tc>
          <w:tcPr>
            <w:tcW w:w="1938"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Mother's education 2</w:t>
            </w:r>
          </w:p>
        </w:tc>
        <w:tc>
          <w:tcPr>
            <w:tcW w:w="4120"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Junior secondary education highest attended by women that ever gave birth.</w:t>
            </w:r>
          </w:p>
        </w:tc>
        <w:tc>
          <w:tcPr>
            <w:tcW w:w="1736" w:type="dxa"/>
            <w:tcBorders>
              <w:top w:val="nil"/>
              <w:left w:val="nil"/>
              <w:bottom w:val="nil"/>
              <w:right w:val="nil"/>
            </w:tcBorders>
            <w:vAlign w:val="center"/>
          </w:tcPr>
          <w:p w:rsidR="00E03A55" w:rsidRPr="00985FF9" w:rsidRDefault="00E03A55" w:rsidP="00391BFE">
            <w:pPr>
              <w:suppressAutoHyphens w:val="0"/>
              <w:spacing w:after="0"/>
              <w:ind w:firstLine="0"/>
              <w:jc w:val="center"/>
              <w:rPr>
                <w:rFonts w:ascii="Arial" w:hAnsi="Arial" w:cs="Arial"/>
                <w:i/>
                <w:iCs/>
                <w:sz w:val="16"/>
                <w:szCs w:val="16"/>
                <w:lang w:val="en-US" w:eastAsia="en-US"/>
              </w:rPr>
            </w:pPr>
            <w:r w:rsidRPr="00985FF9">
              <w:rPr>
                <w:rFonts w:ascii="Arial" w:hAnsi="Arial" w:cs="Arial"/>
                <w:i/>
                <w:iCs/>
                <w:sz w:val="16"/>
                <w:szCs w:val="16"/>
                <w:lang w:val="en-US" w:eastAsia="en-US"/>
              </w:rPr>
              <w:t>Susenas</w:t>
            </w:r>
          </w:p>
        </w:tc>
      </w:tr>
      <w:tr w:rsidR="00E03A55" w:rsidRPr="00985FF9" w:rsidTr="00A06595">
        <w:trPr>
          <w:trHeight w:val="568"/>
          <w:jc w:val="center"/>
        </w:trPr>
        <w:tc>
          <w:tcPr>
            <w:tcW w:w="1938"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Mother's education 3</w:t>
            </w:r>
          </w:p>
        </w:tc>
        <w:tc>
          <w:tcPr>
            <w:tcW w:w="4120"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Senior secondary education highest attended by women that ever gave birth.</w:t>
            </w:r>
          </w:p>
        </w:tc>
        <w:tc>
          <w:tcPr>
            <w:tcW w:w="1736" w:type="dxa"/>
            <w:tcBorders>
              <w:top w:val="nil"/>
              <w:left w:val="nil"/>
              <w:bottom w:val="nil"/>
              <w:right w:val="nil"/>
            </w:tcBorders>
            <w:vAlign w:val="center"/>
          </w:tcPr>
          <w:p w:rsidR="00E03A55" w:rsidRPr="00985FF9" w:rsidRDefault="00E03A55" w:rsidP="00391BFE">
            <w:pPr>
              <w:suppressAutoHyphens w:val="0"/>
              <w:spacing w:after="0"/>
              <w:ind w:firstLine="0"/>
              <w:jc w:val="center"/>
              <w:rPr>
                <w:rFonts w:ascii="Arial" w:hAnsi="Arial" w:cs="Arial"/>
                <w:i/>
                <w:iCs/>
                <w:sz w:val="16"/>
                <w:szCs w:val="16"/>
                <w:lang w:val="en-US" w:eastAsia="en-US"/>
              </w:rPr>
            </w:pPr>
            <w:r w:rsidRPr="00985FF9">
              <w:rPr>
                <w:rFonts w:ascii="Arial" w:hAnsi="Arial" w:cs="Arial"/>
                <w:i/>
                <w:iCs/>
                <w:sz w:val="16"/>
                <w:szCs w:val="16"/>
                <w:lang w:val="en-US" w:eastAsia="en-US"/>
              </w:rPr>
              <w:t>Susenas</w:t>
            </w:r>
          </w:p>
        </w:tc>
      </w:tr>
      <w:tr w:rsidR="00E03A55" w:rsidRPr="00985FF9" w:rsidTr="00A06595">
        <w:trPr>
          <w:trHeight w:val="568"/>
          <w:jc w:val="center"/>
        </w:trPr>
        <w:tc>
          <w:tcPr>
            <w:tcW w:w="1938"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Mother's education 4</w:t>
            </w:r>
          </w:p>
        </w:tc>
        <w:tc>
          <w:tcPr>
            <w:tcW w:w="4120"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Higher education highest attended by women that ever gave birth.</w:t>
            </w:r>
          </w:p>
        </w:tc>
        <w:tc>
          <w:tcPr>
            <w:tcW w:w="1736" w:type="dxa"/>
            <w:tcBorders>
              <w:top w:val="nil"/>
              <w:left w:val="nil"/>
              <w:bottom w:val="nil"/>
              <w:right w:val="nil"/>
            </w:tcBorders>
            <w:vAlign w:val="center"/>
          </w:tcPr>
          <w:p w:rsidR="00E03A55" w:rsidRPr="00985FF9" w:rsidRDefault="00E03A55" w:rsidP="00391BFE">
            <w:pPr>
              <w:suppressAutoHyphens w:val="0"/>
              <w:spacing w:after="0"/>
              <w:ind w:firstLine="0"/>
              <w:jc w:val="center"/>
              <w:rPr>
                <w:rFonts w:ascii="Arial" w:hAnsi="Arial" w:cs="Arial"/>
                <w:i/>
                <w:iCs/>
                <w:sz w:val="16"/>
                <w:szCs w:val="16"/>
                <w:lang w:val="en-US" w:eastAsia="en-US"/>
              </w:rPr>
            </w:pPr>
            <w:r w:rsidRPr="00985FF9">
              <w:rPr>
                <w:rFonts w:ascii="Arial" w:hAnsi="Arial" w:cs="Arial"/>
                <w:i/>
                <w:iCs/>
                <w:sz w:val="16"/>
                <w:szCs w:val="16"/>
                <w:lang w:val="en-US" w:eastAsia="en-US"/>
              </w:rPr>
              <w:t>Susenas</w:t>
            </w:r>
          </w:p>
        </w:tc>
      </w:tr>
      <w:tr w:rsidR="00E03A55" w:rsidRPr="00985FF9" w:rsidTr="00A06595">
        <w:trPr>
          <w:trHeight w:val="568"/>
          <w:jc w:val="center"/>
        </w:trPr>
        <w:tc>
          <w:tcPr>
            <w:tcW w:w="1938"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Own house</w:t>
            </w:r>
          </w:p>
        </w:tc>
        <w:tc>
          <w:tcPr>
            <w:tcW w:w="4120"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The fraction of population having its own house.</w:t>
            </w:r>
          </w:p>
        </w:tc>
        <w:tc>
          <w:tcPr>
            <w:tcW w:w="1736" w:type="dxa"/>
            <w:tcBorders>
              <w:top w:val="nil"/>
              <w:left w:val="nil"/>
              <w:bottom w:val="nil"/>
              <w:right w:val="nil"/>
            </w:tcBorders>
            <w:vAlign w:val="center"/>
          </w:tcPr>
          <w:p w:rsidR="00E03A55" w:rsidRPr="00985FF9" w:rsidRDefault="00E03A55" w:rsidP="00391BFE">
            <w:pPr>
              <w:suppressAutoHyphens w:val="0"/>
              <w:spacing w:after="0"/>
              <w:ind w:firstLine="0"/>
              <w:jc w:val="center"/>
              <w:rPr>
                <w:rFonts w:ascii="Arial" w:hAnsi="Arial" w:cs="Arial"/>
                <w:i/>
                <w:iCs/>
                <w:sz w:val="16"/>
                <w:szCs w:val="16"/>
                <w:lang w:val="en-US" w:eastAsia="en-US"/>
              </w:rPr>
            </w:pPr>
            <w:r w:rsidRPr="00985FF9">
              <w:rPr>
                <w:rFonts w:ascii="Arial" w:hAnsi="Arial" w:cs="Arial"/>
                <w:i/>
                <w:iCs/>
                <w:sz w:val="16"/>
                <w:szCs w:val="16"/>
                <w:lang w:val="en-US" w:eastAsia="en-US"/>
              </w:rPr>
              <w:t>Susenas</w:t>
            </w:r>
          </w:p>
        </w:tc>
      </w:tr>
      <w:tr w:rsidR="00E03A55" w:rsidRPr="00985FF9" w:rsidTr="00A06595">
        <w:trPr>
          <w:trHeight w:val="568"/>
          <w:jc w:val="center"/>
        </w:trPr>
        <w:tc>
          <w:tcPr>
            <w:tcW w:w="1938"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Access to sanitation</w:t>
            </w:r>
          </w:p>
        </w:tc>
        <w:tc>
          <w:tcPr>
            <w:tcW w:w="4120"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The proportion of households with closed sewage disposal.</w:t>
            </w:r>
          </w:p>
        </w:tc>
        <w:tc>
          <w:tcPr>
            <w:tcW w:w="1736" w:type="dxa"/>
            <w:tcBorders>
              <w:top w:val="nil"/>
              <w:left w:val="nil"/>
              <w:bottom w:val="nil"/>
              <w:right w:val="nil"/>
            </w:tcBorders>
            <w:vAlign w:val="center"/>
          </w:tcPr>
          <w:p w:rsidR="00E03A55" w:rsidRPr="00985FF9" w:rsidRDefault="00E03A55" w:rsidP="00391BFE">
            <w:pPr>
              <w:suppressAutoHyphens w:val="0"/>
              <w:spacing w:after="0"/>
              <w:ind w:firstLine="0"/>
              <w:jc w:val="center"/>
              <w:rPr>
                <w:rFonts w:ascii="Arial" w:hAnsi="Arial" w:cs="Arial"/>
                <w:i/>
                <w:iCs/>
                <w:sz w:val="16"/>
                <w:szCs w:val="16"/>
                <w:lang w:val="en-US" w:eastAsia="en-US"/>
              </w:rPr>
            </w:pPr>
            <w:r w:rsidRPr="00985FF9">
              <w:rPr>
                <w:rFonts w:ascii="Arial" w:hAnsi="Arial" w:cs="Arial"/>
                <w:i/>
                <w:iCs/>
                <w:sz w:val="16"/>
                <w:szCs w:val="16"/>
                <w:lang w:val="en-US" w:eastAsia="en-US"/>
              </w:rPr>
              <w:t>Susenas</w:t>
            </w:r>
          </w:p>
        </w:tc>
      </w:tr>
      <w:tr w:rsidR="00E03A55" w:rsidRPr="00985FF9" w:rsidTr="00A06595">
        <w:trPr>
          <w:trHeight w:val="568"/>
          <w:jc w:val="center"/>
        </w:trPr>
        <w:tc>
          <w:tcPr>
            <w:tcW w:w="1938"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Households size</w:t>
            </w:r>
          </w:p>
        </w:tc>
        <w:tc>
          <w:tcPr>
            <w:tcW w:w="4120" w:type="dxa"/>
            <w:tcBorders>
              <w:top w:val="nil"/>
              <w:left w:val="nil"/>
              <w:bottom w:val="nil"/>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average number of members of a household.</w:t>
            </w:r>
          </w:p>
        </w:tc>
        <w:tc>
          <w:tcPr>
            <w:tcW w:w="1736" w:type="dxa"/>
            <w:tcBorders>
              <w:top w:val="nil"/>
              <w:left w:val="nil"/>
              <w:bottom w:val="nil"/>
              <w:right w:val="nil"/>
            </w:tcBorders>
            <w:vAlign w:val="center"/>
          </w:tcPr>
          <w:p w:rsidR="00E03A55" w:rsidRPr="00985FF9" w:rsidRDefault="00E03A55" w:rsidP="00391BFE">
            <w:pPr>
              <w:suppressAutoHyphens w:val="0"/>
              <w:spacing w:after="0"/>
              <w:ind w:firstLine="0"/>
              <w:jc w:val="center"/>
              <w:rPr>
                <w:rFonts w:ascii="Arial" w:hAnsi="Arial" w:cs="Arial"/>
                <w:i/>
                <w:iCs/>
                <w:sz w:val="16"/>
                <w:szCs w:val="16"/>
                <w:lang w:val="en-US" w:eastAsia="en-US"/>
              </w:rPr>
            </w:pPr>
            <w:r w:rsidRPr="00985FF9">
              <w:rPr>
                <w:rFonts w:ascii="Arial" w:hAnsi="Arial" w:cs="Arial"/>
                <w:i/>
                <w:iCs/>
                <w:sz w:val="16"/>
                <w:szCs w:val="16"/>
                <w:lang w:val="en-US" w:eastAsia="en-US"/>
              </w:rPr>
              <w:t>Susenas</w:t>
            </w:r>
          </w:p>
        </w:tc>
      </w:tr>
      <w:tr w:rsidR="00E03A55" w:rsidRPr="00985FF9" w:rsidTr="00A06595">
        <w:trPr>
          <w:trHeight w:val="568"/>
          <w:jc w:val="center"/>
        </w:trPr>
        <w:tc>
          <w:tcPr>
            <w:tcW w:w="1938" w:type="dxa"/>
            <w:tcBorders>
              <w:top w:val="nil"/>
              <w:left w:val="nil"/>
              <w:bottom w:val="single" w:sz="4" w:space="0" w:color="auto"/>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i/>
                <w:iCs/>
                <w:sz w:val="16"/>
                <w:szCs w:val="16"/>
                <w:lang w:val="en-US" w:eastAsia="en-US"/>
              </w:rPr>
              <w:t>Puskesmas</w:t>
            </w:r>
            <w:r w:rsidRPr="00985FF9">
              <w:rPr>
                <w:rFonts w:ascii="Arial" w:hAnsi="Arial" w:cs="Arial"/>
                <w:sz w:val="16"/>
                <w:szCs w:val="16"/>
                <w:lang w:val="en-US" w:eastAsia="en-US"/>
              </w:rPr>
              <w:t xml:space="preserve"> coverage</w:t>
            </w:r>
          </w:p>
        </w:tc>
        <w:tc>
          <w:tcPr>
            <w:tcW w:w="4120" w:type="dxa"/>
            <w:tcBorders>
              <w:top w:val="nil"/>
              <w:left w:val="nil"/>
              <w:bottom w:val="single" w:sz="4" w:space="0" w:color="auto"/>
              <w:right w:val="nil"/>
            </w:tcBorders>
            <w:vAlign w:val="center"/>
          </w:tcPr>
          <w:p w:rsidR="00E03A55" w:rsidRPr="00985FF9" w:rsidRDefault="00E03A55" w:rsidP="00391BFE">
            <w:pPr>
              <w:suppressAutoHyphens w:val="0"/>
              <w:spacing w:after="0"/>
              <w:ind w:firstLine="0"/>
              <w:rPr>
                <w:rFonts w:ascii="Arial" w:hAnsi="Arial" w:cs="Arial"/>
                <w:sz w:val="16"/>
                <w:szCs w:val="16"/>
                <w:lang w:val="en-US" w:eastAsia="en-US"/>
              </w:rPr>
            </w:pPr>
            <w:r w:rsidRPr="00985FF9">
              <w:rPr>
                <w:rFonts w:ascii="Arial" w:hAnsi="Arial" w:cs="Arial"/>
                <w:sz w:val="16"/>
                <w:szCs w:val="16"/>
                <w:lang w:val="en-US" w:eastAsia="en-US"/>
              </w:rPr>
              <w:t xml:space="preserve">The ratio of </w:t>
            </w:r>
            <w:r w:rsidRPr="00985FF9">
              <w:rPr>
                <w:rFonts w:ascii="Arial" w:hAnsi="Arial" w:cs="Arial"/>
                <w:i/>
                <w:iCs/>
                <w:sz w:val="16"/>
                <w:szCs w:val="16"/>
                <w:lang w:val="en-US" w:eastAsia="en-US"/>
              </w:rPr>
              <w:t>puskesmas</w:t>
            </w:r>
            <w:r w:rsidRPr="00985FF9">
              <w:rPr>
                <w:rFonts w:ascii="Arial" w:hAnsi="Arial" w:cs="Arial"/>
                <w:sz w:val="16"/>
                <w:szCs w:val="16"/>
                <w:lang w:val="en-US" w:eastAsia="en-US"/>
              </w:rPr>
              <w:t xml:space="preserve"> per 100,000 inhabitants.</w:t>
            </w:r>
          </w:p>
        </w:tc>
        <w:tc>
          <w:tcPr>
            <w:tcW w:w="1736" w:type="dxa"/>
            <w:tcBorders>
              <w:top w:val="nil"/>
              <w:left w:val="nil"/>
              <w:bottom w:val="single" w:sz="4" w:space="0" w:color="auto"/>
              <w:right w:val="nil"/>
            </w:tcBorders>
            <w:vAlign w:val="center"/>
          </w:tcPr>
          <w:p w:rsidR="00E03A55" w:rsidRPr="00985FF9" w:rsidRDefault="00E03A55" w:rsidP="00391BFE">
            <w:pPr>
              <w:suppressAutoHyphens w:val="0"/>
              <w:spacing w:after="0"/>
              <w:ind w:firstLine="0"/>
              <w:jc w:val="center"/>
              <w:rPr>
                <w:rFonts w:ascii="Arial" w:hAnsi="Arial" w:cs="Arial"/>
                <w:sz w:val="16"/>
                <w:szCs w:val="16"/>
                <w:lang w:val="en-US" w:eastAsia="en-US"/>
              </w:rPr>
            </w:pPr>
            <w:r w:rsidRPr="00985FF9">
              <w:rPr>
                <w:rFonts w:ascii="Arial" w:hAnsi="Arial" w:cs="Arial"/>
                <w:sz w:val="16"/>
                <w:szCs w:val="16"/>
                <w:lang w:val="en-US" w:eastAsia="en-US"/>
              </w:rPr>
              <w:t>Ministry of Health</w:t>
            </w:r>
          </w:p>
        </w:tc>
      </w:tr>
    </w:tbl>
    <w:p w:rsidR="00E03A55" w:rsidRDefault="00E03A55" w:rsidP="0073200D">
      <w:pPr>
        <w:pStyle w:val="Caption"/>
        <w:spacing w:after="200"/>
        <w:jc w:val="center"/>
        <w:rPr>
          <w:rFonts w:ascii="Arial" w:hAnsi="Arial" w:cs="Arial"/>
          <w:b/>
          <w:sz w:val="18"/>
          <w:szCs w:val="18"/>
        </w:rPr>
      </w:pPr>
    </w:p>
    <w:p w:rsidR="00E03A55" w:rsidRPr="0073200D" w:rsidRDefault="00E03A55" w:rsidP="0073200D">
      <w:pPr>
        <w:pStyle w:val="Caption"/>
        <w:spacing w:after="200"/>
        <w:jc w:val="center"/>
        <w:rPr>
          <w:rFonts w:ascii="Arial" w:hAnsi="Arial" w:cs="Arial"/>
          <w:b/>
          <w:sz w:val="18"/>
          <w:szCs w:val="18"/>
        </w:rPr>
      </w:pPr>
      <w:bookmarkStart w:id="61" w:name="_Toc239157738"/>
      <w:r w:rsidRPr="0073200D">
        <w:rPr>
          <w:rFonts w:ascii="Arial" w:hAnsi="Arial" w:cs="Arial"/>
          <w:b/>
          <w:sz w:val="18"/>
          <w:szCs w:val="18"/>
        </w:rPr>
        <w:t xml:space="preserve">Table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4</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Table \* ARABIC \s 1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sidRPr="0073200D">
        <w:rPr>
          <w:rFonts w:ascii="Arial" w:hAnsi="Arial" w:cs="Arial"/>
          <w:b/>
          <w:sz w:val="18"/>
          <w:szCs w:val="18"/>
        </w:rPr>
        <w:t xml:space="preserve"> Descriptive Statistics</w:t>
      </w:r>
      <w:bookmarkEnd w:id="61"/>
    </w:p>
    <w:tbl>
      <w:tblPr>
        <w:tblW w:w="6758" w:type="dxa"/>
        <w:jc w:val="center"/>
        <w:tblInd w:w="93" w:type="dxa"/>
        <w:tblLook w:val="00A0"/>
      </w:tblPr>
      <w:tblGrid>
        <w:gridCol w:w="2010"/>
        <w:gridCol w:w="1212"/>
        <w:gridCol w:w="884"/>
        <w:gridCol w:w="884"/>
        <w:gridCol w:w="795"/>
        <w:gridCol w:w="973"/>
      </w:tblGrid>
      <w:tr w:rsidR="00E03A55" w:rsidRPr="00987668" w:rsidTr="00391BFE">
        <w:trPr>
          <w:trHeight w:val="351"/>
          <w:jc w:val="center"/>
        </w:trPr>
        <w:tc>
          <w:tcPr>
            <w:tcW w:w="2064" w:type="dxa"/>
            <w:tcBorders>
              <w:top w:val="single" w:sz="4" w:space="0" w:color="auto"/>
              <w:left w:val="nil"/>
              <w:bottom w:val="single" w:sz="4" w:space="0" w:color="auto"/>
              <w:right w:val="nil"/>
            </w:tcBorders>
            <w:vAlign w:val="center"/>
          </w:tcPr>
          <w:p w:rsidR="00E03A55" w:rsidRPr="00987668" w:rsidRDefault="00E03A55" w:rsidP="00391BFE">
            <w:pPr>
              <w:suppressAutoHyphens w:val="0"/>
              <w:spacing w:after="0"/>
              <w:ind w:firstLine="0"/>
              <w:jc w:val="center"/>
              <w:rPr>
                <w:rFonts w:ascii="Arial" w:hAnsi="Arial" w:cs="Arial"/>
                <w:b/>
                <w:bCs/>
                <w:color w:val="000000"/>
                <w:sz w:val="16"/>
                <w:szCs w:val="16"/>
                <w:lang w:val="en-US" w:eastAsia="en-US"/>
              </w:rPr>
            </w:pPr>
            <w:r w:rsidRPr="00987668">
              <w:rPr>
                <w:rFonts w:ascii="Arial" w:hAnsi="Arial" w:cs="Arial"/>
                <w:b/>
                <w:bCs/>
                <w:color w:val="000000"/>
                <w:sz w:val="16"/>
                <w:szCs w:val="16"/>
                <w:lang w:val="en-US" w:eastAsia="en-US"/>
              </w:rPr>
              <w:t>Variable</w:t>
            </w:r>
          </w:p>
        </w:tc>
        <w:tc>
          <w:tcPr>
            <w:tcW w:w="1198" w:type="dxa"/>
            <w:tcBorders>
              <w:top w:val="single" w:sz="4" w:space="0" w:color="auto"/>
              <w:left w:val="nil"/>
              <w:bottom w:val="single" w:sz="4" w:space="0" w:color="auto"/>
              <w:right w:val="nil"/>
            </w:tcBorders>
            <w:vAlign w:val="center"/>
          </w:tcPr>
          <w:p w:rsidR="00E03A55" w:rsidRPr="00987668" w:rsidRDefault="00E03A55" w:rsidP="00391BFE">
            <w:pPr>
              <w:suppressAutoHyphens w:val="0"/>
              <w:spacing w:after="0"/>
              <w:ind w:firstLine="0"/>
              <w:jc w:val="center"/>
              <w:rPr>
                <w:rFonts w:ascii="Arial" w:hAnsi="Arial" w:cs="Arial"/>
                <w:b/>
                <w:bCs/>
                <w:color w:val="000000"/>
                <w:sz w:val="16"/>
                <w:szCs w:val="16"/>
                <w:lang w:val="en-US" w:eastAsia="en-US"/>
              </w:rPr>
            </w:pPr>
            <w:r w:rsidRPr="00987668">
              <w:rPr>
                <w:rFonts w:ascii="Arial" w:hAnsi="Arial" w:cs="Arial"/>
                <w:b/>
                <w:bCs/>
                <w:color w:val="000000"/>
                <w:sz w:val="16"/>
                <w:szCs w:val="16"/>
                <w:lang w:val="en-US" w:eastAsia="en-US"/>
              </w:rPr>
              <w:t>Number of observations</w:t>
            </w:r>
          </w:p>
        </w:tc>
        <w:tc>
          <w:tcPr>
            <w:tcW w:w="874" w:type="dxa"/>
            <w:tcBorders>
              <w:top w:val="single" w:sz="4" w:space="0" w:color="auto"/>
              <w:left w:val="nil"/>
              <w:bottom w:val="single" w:sz="4" w:space="0" w:color="auto"/>
              <w:right w:val="nil"/>
            </w:tcBorders>
            <w:vAlign w:val="center"/>
          </w:tcPr>
          <w:p w:rsidR="00E03A55" w:rsidRPr="00987668" w:rsidRDefault="00E03A55" w:rsidP="00391BFE">
            <w:pPr>
              <w:suppressAutoHyphens w:val="0"/>
              <w:spacing w:after="0"/>
              <w:ind w:firstLine="0"/>
              <w:jc w:val="center"/>
              <w:rPr>
                <w:rFonts w:ascii="Arial" w:hAnsi="Arial" w:cs="Arial"/>
                <w:b/>
                <w:bCs/>
                <w:color w:val="000000"/>
                <w:sz w:val="16"/>
                <w:szCs w:val="16"/>
                <w:lang w:val="en-US" w:eastAsia="en-US"/>
              </w:rPr>
            </w:pPr>
            <w:r w:rsidRPr="00987668">
              <w:rPr>
                <w:rFonts w:ascii="Arial" w:hAnsi="Arial" w:cs="Arial"/>
                <w:b/>
                <w:bCs/>
                <w:color w:val="000000"/>
                <w:sz w:val="16"/>
                <w:szCs w:val="16"/>
                <w:lang w:val="en-US" w:eastAsia="en-US"/>
              </w:rPr>
              <w:t>Mean</w:t>
            </w:r>
          </w:p>
        </w:tc>
        <w:tc>
          <w:tcPr>
            <w:tcW w:w="874" w:type="dxa"/>
            <w:tcBorders>
              <w:top w:val="single" w:sz="4" w:space="0" w:color="auto"/>
              <w:left w:val="nil"/>
              <w:bottom w:val="single" w:sz="4" w:space="0" w:color="auto"/>
              <w:right w:val="nil"/>
            </w:tcBorders>
            <w:vAlign w:val="center"/>
          </w:tcPr>
          <w:p w:rsidR="00E03A55" w:rsidRPr="00987668" w:rsidRDefault="00E03A55" w:rsidP="00391BFE">
            <w:pPr>
              <w:suppressAutoHyphens w:val="0"/>
              <w:spacing w:after="0"/>
              <w:ind w:firstLine="0"/>
              <w:jc w:val="center"/>
              <w:rPr>
                <w:rFonts w:ascii="Arial" w:hAnsi="Arial" w:cs="Arial"/>
                <w:b/>
                <w:bCs/>
                <w:color w:val="000000"/>
                <w:sz w:val="16"/>
                <w:szCs w:val="16"/>
                <w:lang w:val="en-US" w:eastAsia="en-US"/>
              </w:rPr>
            </w:pPr>
            <w:r w:rsidRPr="00987668">
              <w:rPr>
                <w:rFonts w:ascii="Arial" w:hAnsi="Arial" w:cs="Arial"/>
                <w:b/>
                <w:bCs/>
                <w:color w:val="000000"/>
                <w:sz w:val="16"/>
                <w:szCs w:val="16"/>
                <w:lang w:val="en-US" w:eastAsia="en-US"/>
              </w:rPr>
              <w:t>Std. Dev.</w:t>
            </w:r>
          </w:p>
        </w:tc>
        <w:tc>
          <w:tcPr>
            <w:tcW w:w="786" w:type="dxa"/>
            <w:tcBorders>
              <w:top w:val="single" w:sz="4" w:space="0" w:color="auto"/>
              <w:left w:val="nil"/>
              <w:bottom w:val="single" w:sz="4" w:space="0" w:color="auto"/>
              <w:right w:val="nil"/>
            </w:tcBorders>
            <w:vAlign w:val="center"/>
          </w:tcPr>
          <w:p w:rsidR="00E03A55" w:rsidRPr="00987668" w:rsidRDefault="00E03A55" w:rsidP="00391BFE">
            <w:pPr>
              <w:suppressAutoHyphens w:val="0"/>
              <w:spacing w:after="0"/>
              <w:ind w:firstLine="0"/>
              <w:jc w:val="center"/>
              <w:rPr>
                <w:rFonts w:ascii="Arial" w:hAnsi="Arial" w:cs="Arial"/>
                <w:b/>
                <w:bCs/>
                <w:color w:val="000000"/>
                <w:sz w:val="16"/>
                <w:szCs w:val="16"/>
                <w:lang w:val="en-US" w:eastAsia="en-US"/>
              </w:rPr>
            </w:pPr>
            <w:r w:rsidRPr="00987668">
              <w:rPr>
                <w:rFonts w:ascii="Arial" w:hAnsi="Arial" w:cs="Arial"/>
                <w:b/>
                <w:bCs/>
                <w:color w:val="000000"/>
                <w:sz w:val="16"/>
                <w:szCs w:val="16"/>
                <w:lang w:val="en-US" w:eastAsia="en-US"/>
              </w:rPr>
              <w:t>Min</w:t>
            </w:r>
          </w:p>
        </w:tc>
        <w:tc>
          <w:tcPr>
            <w:tcW w:w="962" w:type="dxa"/>
            <w:tcBorders>
              <w:top w:val="single" w:sz="4" w:space="0" w:color="auto"/>
              <w:left w:val="nil"/>
              <w:bottom w:val="single" w:sz="4" w:space="0" w:color="auto"/>
              <w:right w:val="nil"/>
            </w:tcBorders>
            <w:vAlign w:val="center"/>
          </w:tcPr>
          <w:p w:rsidR="00E03A55" w:rsidRPr="00987668" w:rsidRDefault="00E03A55" w:rsidP="00391BFE">
            <w:pPr>
              <w:suppressAutoHyphens w:val="0"/>
              <w:spacing w:after="0"/>
              <w:ind w:firstLine="0"/>
              <w:jc w:val="center"/>
              <w:rPr>
                <w:rFonts w:ascii="Arial" w:hAnsi="Arial" w:cs="Arial"/>
                <w:b/>
                <w:bCs/>
                <w:color w:val="000000"/>
                <w:sz w:val="16"/>
                <w:szCs w:val="16"/>
                <w:lang w:val="en-US" w:eastAsia="en-US"/>
              </w:rPr>
            </w:pPr>
            <w:r w:rsidRPr="00987668">
              <w:rPr>
                <w:rFonts w:ascii="Arial" w:hAnsi="Arial" w:cs="Arial"/>
                <w:b/>
                <w:bCs/>
                <w:color w:val="000000"/>
                <w:sz w:val="16"/>
                <w:szCs w:val="16"/>
                <w:lang w:val="en-US" w:eastAsia="en-US"/>
              </w:rPr>
              <w:t>Max</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Year</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150</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2003.</w:t>
            </w:r>
            <w:r w:rsidRPr="00987668">
              <w:rPr>
                <w:rFonts w:ascii="Arial" w:hAnsi="Arial" w:cs="Arial"/>
                <w:color w:val="000000"/>
                <w:sz w:val="16"/>
                <w:szCs w:val="16"/>
                <w:lang w:val="en-US" w:eastAsia="en-US"/>
              </w:rPr>
              <w:t>5</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w:t>
            </w:r>
            <w:r w:rsidRPr="00987668">
              <w:rPr>
                <w:rFonts w:ascii="Arial" w:hAnsi="Arial" w:cs="Arial"/>
                <w:color w:val="000000"/>
                <w:sz w:val="16"/>
                <w:szCs w:val="16"/>
                <w:lang w:val="en-US" w:eastAsia="en-US"/>
              </w:rPr>
              <w:t>71</w:t>
            </w:r>
          </w:p>
        </w:tc>
        <w:tc>
          <w:tcPr>
            <w:tcW w:w="786"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2001</w:t>
            </w:r>
          </w:p>
        </w:tc>
        <w:tc>
          <w:tcPr>
            <w:tcW w:w="962"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2006</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Per capita public health expenditure</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100</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32535.</w:t>
            </w:r>
            <w:r w:rsidRPr="00987668">
              <w:rPr>
                <w:rFonts w:ascii="Arial" w:hAnsi="Arial" w:cs="Arial"/>
                <w:color w:val="000000"/>
                <w:sz w:val="16"/>
                <w:szCs w:val="16"/>
                <w:lang w:val="en-US" w:eastAsia="en-US"/>
              </w:rPr>
              <w:t>74</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15245.</w:t>
            </w:r>
            <w:r w:rsidRPr="00987668">
              <w:rPr>
                <w:rFonts w:ascii="Arial" w:hAnsi="Arial" w:cs="Arial"/>
                <w:color w:val="000000"/>
                <w:sz w:val="16"/>
                <w:szCs w:val="16"/>
                <w:lang w:val="en-US" w:eastAsia="en-US"/>
              </w:rPr>
              <w:t>15</w:t>
            </w:r>
          </w:p>
        </w:tc>
        <w:tc>
          <w:tcPr>
            <w:tcW w:w="786"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9378.</w:t>
            </w:r>
            <w:r w:rsidRPr="00987668">
              <w:rPr>
                <w:rFonts w:ascii="Arial" w:hAnsi="Arial" w:cs="Arial"/>
                <w:color w:val="000000"/>
                <w:sz w:val="16"/>
                <w:szCs w:val="16"/>
                <w:lang w:val="en-US" w:eastAsia="en-US"/>
              </w:rPr>
              <w:t>90</w:t>
            </w:r>
          </w:p>
        </w:tc>
        <w:tc>
          <w:tcPr>
            <w:tcW w:w="962"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118512.</w:t>
            </w:r>
            <w:r w:rsidRPr="00987668">
              <w:rPr>
                <w:rFonts w:ascii="Arial" w:hAnsi="Arial" w:cs="Arial"/>
                <w:color w:val="000000"/>
                <w:sz w:val="16"/>
                <w:szCs w:val="16"/>
                <w:lang w:val="en-US" w:eastAsia="en-US"/>
              </w:rPr>
              <w:t>90</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Per capita development health expenditure</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100</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11631</w:t>
            </w:r>
            <w:r>
              <w:rPr>
                <w:rFonts w:ascii="Arial" w:hAnsi="Arial" w:cs="Arial"/>
                <w:color w:val="000000"/>
                <w:sz w:val="16"/>
                <w:szCs w:val="16"/>
                <w:lang w:val="en-US" w:eastAsia="en-US"/>
              </w:rPr>
              <w:t>.</w:t>
            </w:r>
            <w:r w:rsidRPr="00987668">
              <w:rPr>
                <w:rFonts w:ascii="Arial" w:hAnsi="Arial" w:cs="Arial"/>
                <w:color w:val="000000"/>
                <w:sz w:val="16"/>
                <w:szCs w:val="16"/>
                <w:lang w:val="en-US" w:eastAsia="en-US"/>
              </w:rPr>
              <w:t>12</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11377</w:t>
            </w:r>
            <w:r>
              <w:rPr>
                <w:rFonts w:ascii="Arial" w:hAnsi="Arial" w:cs="Arial"/>
                <w:color w:val="000000"/>
                <w:sz w:val="16"/>
                <w:szCs w:val="16"/>
                <w:lang w:val="en-US" w:eastAsia="en-US"/>
              </w:rPr>
              <w:t>.</w:t>
            </w:r>
            <w:r w:rsidRPr="00987668">
              <w:rPr>
                <w:rFonts w:ascii="Arial" w:hAnsi="Arial" w:cs="Arial"/>
                <w:color w:val="000000"/>
                <w:sz w:val="16"/>
                <w:szCs w:val="16"/>
                <w:lang w:val="en-US" w:eastAsia="en-US"/>
              </w:rPr>
              <w:t>15</w:t>
            </w:r>
          </w:p>
        </w:tc>
        <w:tc>
          <w:tcPr>
            <w:tcW w:w="786"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1338.</w:t>
            </w:r>
            <w:r w:rsidRPr="00987668">
              <w:rPr>
                <w:rFonts w:ascii="Arial" w:hAnsi="Arial" w:cs="Arial"/>
                <w:color w:val="000000"/>
                <w:sz w:val="16"/>
                <w:szCs w:val="16"/>
                <w:lang w:val="en-US" w:eastAsia="en-US"/>
              </w:rPr>
              <w:t>03</w:t>
            </w:r>
          </w:p>
        </w:tc>
        <w:tc>
          <w:tcPr>
            <w:tcW w:w="962"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91781.</w:t>
            </w:r>
            <w:r w:rsidRPr="00987668">
              <w:rPr>
                <w:rFonts w:ascii="Arial" w:hAnsi="Arial" w:cs="Arial"/>
                <w:color w:val="000000"/>
                <w:sz w:val="16"/>
                <w:szCs w:val="16"/>
                <w:lang w:val="en-US" w:eastAsia="en-US"/>
              </w:rPr>
              <w:t>22</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Per capita routine health expenditure</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100</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21045.</w:t>
            </w:r>
            <w:r w:rsidRPr="00987668">
              <w:rPr>
                <w:rFonts w:ascii="Arial" w:hAnsi="Arial" w:cs="Arial"/>
                <w:color w:val="000000"/>
                <w:sz w:val="16"/>
                <w:szCs w:val="16"/>
                <w:lang w:val="en-US" w:eastAsia="en-US"/>
              </w:rPr>
              <w:t>61</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6354</w:t>
            </w:r>
            <w:r>
              <w:rPr>
                <w:rFonts w:ascii="Arial" w:hAnsi="Arial" w:cs="Arial"/>
                <w:color w:val="000000"/>
                <w:sz w:val="16"/>
                <w:szCs w:val="16"/>
                <w:lang w:val="en-US" w:eastAsia="en-US"/>
              </w:rPr>
              <w:t>.</w:t>
            </w:r>
            <w:r w:rsidRPr="00987668">
              <w:rPr>
                <w:rFonts w:ascii="Arial" w:hAnsi="Arial" w:cs="Arial"/>
                <w:color w:val="000000"/>
                <w:sz w:val="16"/>
                <w:szCs w:val="16"/>
                <w:lang w:val="en-US" w:eastAsia="en-US"/>
              </w:rPr>
              <w:t>81</w:t>
            </w:r>
          </w:p>
        </w:tc>
        <w:tc>
          <w:tcPr>
            <w:tcW w:w="786"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7895.</w:t>
            </w:r>
            <w:r w:rsidRPr="00987668">
              <w:rPr>
                <w:rFonts w:ascii="Arial" w:hAnsi="Arial" w:cs="Arial"/>
                <w:color w:val="000000"/>
                <w:sz w:val="16"/>
                <w:szCs w:val="16"/>
                <w:lang w:val="en-US" w:eastAsia="en-US"/>
              </w:rPr>
              <w:t>78</w:t>
            </w:r>
          </w:p>
        </w:tc>
        <w:tc>
          <w:tcPr>
            <w:tcW w:w="962"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38912</w:t>
            </w:r>
            <w:r>
              <w:rPr>
                <w:rFonts w:ascii="Arial" w:hAnsi="Arial" w:cs="Arial"/>
                <w:color w:val="000000"/>
                <w:sz w:val="16"/>
                <w:szCs w:val="16"/>
                <w:lang w:val="en-US" w:eastAsia="en-US"/>
              </w:rPr>
              <w:t>.</w:t>
            </w:r>
            <w:r w:rsidRPr="00987668">
              <w:rPr>
                <w:rFonts w:ascii="Arial" w:hAnsi="Arial" w:cs="Arial"/>
                <w:color w:val="000000"/>
                <w:sz w:val="16"/>
                <w:szCs w:val="16"/>
                <w:lang w:val="en-US" w:eastAsia="en-US"/>
              </w:rPr>
              <w:t>55</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ln IMR</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150</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3.</w:t>
            </w:r>
            <w:r w:rsidRPr="00987668">
              <w:rPr>
                <w:rFonts w:ascii="Arial" w:hAnsi="Arial" w:cs="Arial"/>
                <w:color w:val="000000"/>
                <w:sz w:val="16"/>
                <w:szCs w:val="16"/>
                <w:lang w:val="en-US" w:eastAsia="en-US"/>
              </w:rPr>
              <w:t>61</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43</w:t>
            </w:r>
          </w:p>
        </w:tc>
        <w:tc>
          <w:tcPr>
            <w:tcW w:w="786"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2.</w:t>
            </w:r>
            <w:r w:rsidRPr="00987668">
              <w:rPr>
                <w:rFonts w:ascii="Arial" w:hAnsi="Arial" w:cs="Arial"/>
                <w:color w:val="000000"/>
                <w:sz w:val="16"/>
                <w:szCs w:val="16"/>
                <w:lang w:val="en-US" w:eastAsia="en-US"/>
              </w:rPr>
              <w:t>08</w:t>
            </w:r>
          </w:p>
        </w:tc>
        <w:tc>
          <w:tcPr>
            <w:tcW w:w="962"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w:t>
            </w:r>
            <w:r w:rsidRPr="00987668">
              <w:rPr>
                <w:rFonts w:ascii="Arial" w:hAnsi="Arial" w:cs="Arial"/>
                <w:color w:val="000000"/>
                <w:sz w:val="16"/>
                <w:szCs w:val="16"/>
                <w:lang w:val="en-US" w:eastAsia="en-US"/>
              </w:rPr>
              <w:t>83</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Skilled birth attendance</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150</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71</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14</w:t>
            </w:r>
          </w:p>
        </w:tc>
        <w:tc>
          <w:tcPr>
            <w:tcW w:w="786"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36</w:t>
            </w:r>
          </w:p>
        </w:tc>
        <w:tc>
          <w:tcPr>
            <w:tcW w:w="962"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97</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Rural population</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150</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63</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12</w:t>
            </w:r>
          </w:p>
        </w:tc>
        <w:tc>
          <w:tcPr>
            <w:tcW w:w="786"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40</w:t>
            </w:r>
          </w:p>
        </w:tc>
        <w:tc>
          <w:tcPr>
            <w:tcW w:w="962"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84</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Mother's education 1</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150</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65</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11</w:t>
            </w:r>
          </w:p>
        </w:tc>
        <w:tc>
          <w:tcPr>
            <w:tcW w:w="786"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41</w:t>
            </w:r>
          </w:p>
        </w:tc>
        <w:tc>
          <w:tcPr>
            <w:tcW w:w="962"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89</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Mother's education 2</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150</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16</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05</w:t>
            </w:r>
          </w:p>
        </w:tc>
        <w:tc>
          <w:tcPr>
            <w:tcW w:w="786"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05</w:t>
            </w:r>
          </w:p>
        </w:tc>
        <w:tc>
          <w:tcPr>
            <w:tcW w:w="962"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27</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Mother's education 3</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150</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15</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05</w:t>
            </w:r>
          </w:p>
        </w:tc>
        <w:tc>
          <w:tcPr>
            <w:tcW w:w="786"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05</w:t>
            </w:r>
          </w:p>
        </w:tc>
        <w:tc>
          <w:tcPr>
            <w:tcW w:w="962"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28</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Mother's education 4</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150</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04</w:t>
            </w:r>
          </w:p>
        </w:tc>
        <w:tc>
          <w:tcPr>
            <w:tcW w:w="874"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02</w:t>
            </w:r>
          </w:p>
        </w:tc>
        <w:tc>
          <w:tcPr>
            <w:tcW w:w="786"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02</w:t>
            </w:r>
          </w:p>
        </w:tc>
        <w:tc>
          <w:tcPr>
            <w:tcW w:w="962"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11</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Own house</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150</w:t>
            </w:r>
          </w:p>
        </w:tc>
        <w:tc>
          <w:tcPr>
            <w:tcW w:w="874" w:type="dxa"/>
            <w:tcBorders>
              <w:top w:val="nil"/>
              <w:left w:val="nil"/>
              <w:bottom w:val="nil"/>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83</w:t>
            </w:r>
          </w:p>
        </w:tc>
        <w:tc>
          <w:tcPr>
            <w:tcW w:w="874" w:type="dxa"/>
            <w:tcBorders>
              <w:top w:val="nil"/>
              <w:left w:val="nil"/>
              <w:bottom w:val="nil"/>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57</w:t>
            </w:r>
          </w:p>
        </w:tc>
        <w:tc>
          <w:tcPr>
            <w:tcW w:w="786" w:type="dxa"/>
            <w:tcBorders>
              <w:top w:val="nil"/>
              <w:left w:val="nil"/>
              <w:bottom w:val="nil"/>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70</w:t>
            </w:r>
          </w:p>
        </w:tc>
        <w:tc>
          <w:tcPr>
            <w:tcW w:w="962" w:type="dxa"/>
            <w:tcBorders>
              <w:top w:val="nil"/>
              <w:left w:val="nil"/>
              <w:bottom w:val="nil"/>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92</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Access to sanitation</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125</w:t>
            </w:r>
          </w:p>
        </w:tc>
        <w:tc>
          <w:tcPr>
            <w:tcW w:w="874" w:type="dxa"/>
            <w:tcBorders>
              <w:top w:val="nil"/>
              <w:left w:val="nil"/>
              <w:bottom w:val="nil"/>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37</w:t>
            </w:r>
          </w:p>
        </w:tc>
        <w:tc>
          <w:tcPr>
            <w:tcW w:w="874" w:type="dxa"/>
            <w:tcBorders>
              <w:top w:val="nil"/>
              <w:left w:val="nil"/>
              <w:bottom w:val="nil"/>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12</w:t>
            </w:r>
          </w:p>
        </w:tc>
        <w:tc>
          <w:tcPr>
            <w:tcW w:w="786" w:type="dxa"/>
            <w:tcBorders>
              <w:top w:val="nil"/>
              <w:left w:val="nil"/>
              <w:bottom w:val="nil"/>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12</w:t>
            </w:r>
          </w:p>
        </w:tc>
        <w:tc>
          <w:tcPr>
            <w:tcW w:w="962" w:type="dxa"/>
            <w:tcBorders>
              <w:top w:val="nil"/>
              <w:left w:val="nil"/>
              <w:bottom w:val="nil"/>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66</w:t>
            </w:r>
          </w:p>
        </w:tc>
      </w:tr>
      <w:tr w:rsidR="00E03A55" w:rsidRPr="00987668" w:rsidTr="00391BFE">
        <w:trPr>
          <w:trHeight w:val="235"/>
          <w:jc w:val="center"/>
        </w:trPr>
        <w:tc>
          <w:tcPr>
            <w:tcW w:w="2064" w:type="dxa"/>
            <w:tcBorders>
              <w:top w:val="nil"/>
              <w:left w:val="nil"/>
              <w:bottom w:val="nil"/>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color w:val="000000"/>
                <w:sz w:val="16"/>
                <w:szCs w:val="16"/>
                <w:lang w:val="en-US" w:eastAsia="en-US"/>
              </w:rPr>
              <w:t>Household size</w:t>
            </w:r>
          </w:p>
        </w:tc>
        <w:tc>
          <w:tcPr>
            <w:tcW w:w="1198" w:type="dxa"/>
            <w:tcBorders>
              <w:top w:val="nil"/>
              <w:left w:val="nil"/>
              <w:bottom w:val="nil"/>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150</w:t>
            </w:r>
          </w:p>
        </w:tc>
        <w:tc>
          <w:tcPr>
            <w:tcW w:w="874" w:type="dxa"/>
            <w:tcBorders>
              <w:top w:val="nil"/>
              <w:left w:val="nil"/>
              <w:bottom w:val="nil"/>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w:t>
            </w:r>
            <w:r w:rsidRPr="00987668">
              <w:rPr>
                <w:rFonts w:ascii="Arial" w:hAnsi="Arial" w:cs="Arial"/>
                <w:color w:val="000000"/>
                <w:sz w:val="16"/>
                <w:szCs w:val="16"/>
                <w:lang w:val="en-US" w:eastAsia="en-US"/>
              </w:rPr>
              <w:t>78</w:t>
            </w:r>
          </w:p>
        </w:tc>
        <w:tc>
          <w:tcPr>
            <w:tcW w:w="874" w:type="dxa"/>
            <w:tcBorders>
              <w:top w:val="nil"/>
              <w:left w:val="nil"/>
              <w:bottom w:val="nil"/>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0.</w:t>
            </w:r>
            <w:r w:rsidRPr="00987668">
              <w:rPr>
                <w:rFonts w:ascii="Arial" w:hAnsi="Arial" w:cs="Arial"/>
                <w:color w:val="000000"/>
                <w:sz w:val="16"/>
                <w:szCs w:val="16"/>
                <w:lang w:val="en-US" w:eastAsia="en-US"/>
              </w:rPr>
              <w:t>35</w:t>
            </w:r>
          </w:p>
        </w:tc>
        <w:tc>
          <w:tcPr>
            <w:tcW w:w="786" w:type="dxa"/>
            <w:tcBorders>
              <w:top w:val="nil"/>
              <w:left w:val="nil"/>
              <w:bottom w:val="nil"/>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w:t>
            </w:r>
            <w:r w:rsidRPr="00987668">
              <w:rPr>
                <w:rFonts w:ascii="Arial" w:hAnsi="Arial" w:cs="Arial"/>
                <w:color w:val="000000"/>
                <w:sz w:val="16"/>
                <w:szCs w:val="16"/>
                <w:lang w:val="en-US" w:eastAsia="en-US"/>
              </w:rPr>
              <w:t>07</w:t>
            </w:r>
          </w:p>
        </w:tc>
        <w:tc>
          <w:tcPr>
            <w:tcW w:w="962" w:type="dxa"/>
            <w:tcBorders>
              <w:top w:val="nil"/>
              <w:left w:val="nil"/>
              <w:bottom w:val="nil"/>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5.</w:t>
            </w:r>
            <w:r w:rsidRPr="00987668">
              <w:rPr>
                <w:rFonts w:ascii="Arial" w:hAnsi="Arial" w:cs="Arial"/>
                <w:color w:val="000000"/>
                <w:sz w:val="16"/>
                <w:szCs w:val="16"/>
                <w:lang w:val="en-US" w:eastAsia="en-US"/>
              </w:rPr>
              <w:t>65</w:t>
            </w:r>
          </w:p>
        </w:tc>
      </w:tr>
      <w:tr w:rsidR="00E03A55" w:rsidRPr="00987668" w:rsidTr="00391BFE">
        <w:trPr>
          <w:trHeight w:val="235"/>
          <w:jc w:val="center"/>
        </w:trPr>
        <w:tc>
          <w:tcPr>
            <w:tcW w:w="2064" w:type="dxa"/>
            <w:tcBorders>
              <w:top w:val="nil"/>
              <w:left w:val="nil"/>
              <w:bottom w:val="single" w:sz="4" w:space="0" w:color="auto"/>
              <w:right w:val="nil"/>
            </w:tcBorders>
            <w:vAlign w:val="center"/>
          </w:tcPr>
          <w:p w:rsidR="00E03A55" w:rsidRPr="00987668" w:rsidRDefault="00E03A55" w:rsidP="00391BFE">
            <w:pPr>
              <w:suppressAutoHyphens w:val="0"/>
              <w:spacing w:after="0"/>
              <w:ind w:firstLine="0"/>
              <w:rPr>
                <w:rFonts w:ascii="Arial" w:hAnsi="Arial" w:cs="Arial"/>
                <w:color w:val="000000"/>
                <w:sz w:val="16"/>
                <w:szCs w:val="16"/>
                <w:lang w:val="en-US" w:eastAsia="en-US"/>
              </w:rPr>
            </w:pPr>
            <w:r w:rsidRPr="00987668">
              <w:rPr>
                <w:rFonts w:ascii="Arial" w:hAnsi="Arial" w:cs="Arial"/>
                <w:i/>
                <w:iCs/>
                <w:color w:val="000000"/>
                <w:sz w:val="16"/>
                <w:szCs w:val="16"/>
                <w:lang w:val="en-US" w:eastAsia="en-US"/>
              </w:rPr>
              <w:t>Puskesmas</w:t>
            </w:r>
            <w:r w:rsidRPr="00987668">
              <w:rPr>
                <w:rFonts w:ascii="Arial" w:hAnsi="Arial" w:cs="Arial"/>
                <w:color w:val="000000"/>
                <w:sz w:val="16"/>
                <w:szCs w:val="16"/>
                <w:lang w:val="en-US" w:eastAsia="en-US"/>
              </w:rPr>
              <w:t xml:space="preserve"> coverage</w:t>
            </w:r>
          </w:p>
        </w:tc>
        <w:tc>
          <w:tcPr>
            <w:tcW w:w="1198" w:type="dxa"/>
            <w:tcBorders>
              <w:top w:val="nil"/>
              <w:left w:val="nil"/>
              <w:bottom w:val="single" w:sz="4" w:space="0" w:color="auto"/>
              <w:right w:val="nil"/>
            </w:tcBorders>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sidRPr="00987668">
              <w:rPr>
                <w:rFonts w:ascii="Arial" w:hAnsi="Arial" w:cs="Arial"/>
                <w:color w:val="000000"/>
                <w:sz w:val="16"/>
                <w:szCs w:val="16"/>
                <w:lang w:val="en-US" w:eastAsia="en-US"/>
              </w:rPr>
              <w:t>150</w:t>
            </w:r>
          </w:p>
        </w:tc>
        <w:tc>
          <w:tcPr>
            <w:tcW w:w="874" w:type="dxa"/>
            <w:tcBorders>
              <w:top w:val="nil"/>
              <w:left w:val="nil"/>
              <w:bottom w:val="single" w:sz="4" w:space="0" w:color="auto"/>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4.</w:t>
            </w:r>
            <w:r w:rsidRPr="00987668">
              <w:rPr>
                <w:rFonts w:ascii="Arial" w:hAnsi="Arial" w:cs="Arial"/>
                <w:color w:val="000000"/>
                <w:sz w:val="16"/>
                <w:szCs w:val="16"/>
                <w:lang w:val="en-US" w:eastAsia="en-US"/>
              </w:rPr>
              <w:t>48</w:t>
            </w:r>
          </w:p>
        </w:tc>
        <w:tc>
          <w:tcPr>
            <w:tcW w:w="874" w:type="dxa"/>
            <w:tcBorders>
              <w:top w:val="nil"/>
              <w:left w:val="nil"/>
              <w:bottom w:val="single" w:sz="4" w:space="0" w:color="auto"/>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w:t>
            </w:r>
            <w:r w:rsidRPr="00987668">
              <w:rPr>
                <w:rFonts w:ascii="Arial" w:hAnsi="Arial" w:cs="Arial"/>
                <w:color w:val="000000"/>
                <w:sz w:val="16"/>
                <w:szCs w:val="16"/>
                <w:lang w:val="en-US" w:eastAsia="en-US"/>
              </w:rPr>
              <w:t>58</w:t>
            </w:r>
          </w:p>
        </w:tc>
        <w:tc>
          <w:tcPr>
            <w:tcW w:w="786" w:type="dxa"/>
            <w:tcBorders>
              <w:top w:val="nil"/>
              <w:left w:val="nil"/>
              <w:bottom w:val="single" w:sz="4" w:space="0" w:color="auto"/>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1.</w:t>
            </w:r>
            <w:r w:rsidRPr="00987668">
              <w:rPr>
                <w:rFonts w:ascii="Arial" w:hAnsi="Arial" w:cs="Arial"/>
                <w:color w:val="000000"/>
                <w:sz w:val="16"/>
                <w:szCs w:val="16"/>
                <w:lang w:val="en-US" w:eastAsia="en-US"/>
              </w:rPr>
              <w:t>88</w:t>
            </w:r>
          </w:p>
        </w:tc>
        <w:tc>
          <w:tcPr>
            <w:tcW w:w="962" w:type="dxa"/>
            <w:tcBorders>
              <w:top w:val="nil"/>
              <w:left w:val="nil"/>
              <w:bottom w:val="single" w:sz="4" w:space="0" w:color="auto"/>
              <w:right w:val="nil"/>
            </w:tcBorders>
            <w:noWrap/>
            <w:vAlign w:val="center"/>
          </w:tcPr>
          <w:p w:rsidR="00E03A55" w:rsidRPr="00987668" w:rsidRDefault="00E03A55" w:rsidP="00391BFE">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8.</w:t>
            </w:r>
            <w:r w:rsidRPr="00987668">
              <w:rPr>
                <w:rFonts w:ascii="Arial" w:hAnsi="Arial" w:cs="Arial"/>
                <w:color w:val="000000"/>
                <w:sz w:val="16"/>
                <w:szCs w:val="16"/>
                <w:lang w:val="en-US" w:eastAsia="en-US"/>
              </w:rPr>
              <w:t>61</w:t>
            </w:r>
          </w:p>
        </w:tc>
      </w:tr>
    </w:tbl>
    <w:p w:rsidR="00E03A55" w:rsidRPr="00985FF9" w:rsidRDefault="00E03A55" w:rsidP="0072076E">
      <w:pPr>
        <w:tabs>
          <w:tab w:val="left" w:pos="567"/>
        </w:tabs>
        <w:spacing w:after="0"/>
        <w:ind w:firstLine="0"/>
        <w:rPr>
          <w:rFonts w:ascii="Arial" w:hAnsi="Arial" w:cs="Arial"/>
          <w:sz w:val="16"/>
          <w:szCs w:val="16"/>
        </w:rPr>
      </w:pPr>
      <w:r>
        <w:rPr>
          <w:rFonts w:ascii="Arial" w:hAnsi="Arial" w:cs="Arial"/>
          <w:sz w:val="18"/>
          <w:szCs w:val="18"/>
        </w:rPr>
        <w:t xml:space="preserve"> </w:t>
      </w:r>
      <w:r w:rsidRPr="00985FF9">
        <w:rPr>
          <w:rFonts w:ascii="Arial" w:hAnsi="Arial" w:cs="Arial"/>
          <w:sz w:val="18"/>
          <w:szCs w:val="18"/>
        </w:rPr>
        <w:t xml:space="preserve">       </w:t>
      </w:r>
      <w:r w:rsidRPr="0072076E">
        <w:rPr>
          <w:rFonts w:ascii="Arial" w:hAnsi="Arial" w:cs="Arial"/>
          <w:i/>
          <w:sz w:val="16"/>
          <w:szCs w:val="16"/>
        </w:rPr>
        <w:t>Source</w:t>
      </w:r>
      <w:r w:rsidRPr="00985FF9">
        <w:rPr>
          <w:rFonts w:ascii="Arial" w:hAnsi="Arial" w:cs="Arial"/>
          <w:sz w:val="16"/>
          <w:szCs w:val="16"/>
        </w:rPr>
        <w:t>: author analysis of panel data</w:t>
      </w:r>
    </w:p>
    <w:p w:rsidR="00E03A55" w:rsidRDefault="00E03A55" w:rsidP="00256D17">
      <w:pPr>
        <w:pStyle w:val="Heading2"/>
      </w:pPr>
      <w:bookmarkStart w:id="62" w:name="_Toc239163848"/>
      <w:r w:rsidRPr="00985FF9">
        <w:t>Econometric</w:t>
      </w:r>
      <w:r>
        <w:t>s</w:t>
      </w:r>
      <w:r w:rsidRPr="00985FF9">
        <w:t xml:space="preserve"> Model</w:t>
      </w:r>
      <w:bookmarkEnd w:id="62"/>
    </w:p>
    <w:p w:rsidR="00E03A55" w:rsidRPr="00985FF9" w:rsidRDefault="00E03A55" w:rsidP="00391BFE">
      <w:pPr>
        <w:ind w:firstLine="0"/>
        <w:jc w:val="both"/>
      </w:pPr>
      <w:r w:rsidRPr="00985FF9">
        <w:t>This paper first estimates a regression model examining the effect of public health spending on infant mortality, and then it explores the relationship between the public health spending on skilled birth attendance. Finally, this study will investigate whether infant mortality is affected by skilled birth attendance. This paper introduces a fixed effect parameter in order to capture unobserved heterogeneity associated with the provinces and a time specific effects.</w:t>
      </w:r>
    </w:p>
    <w:p w:rsidR="00E03A55" w:rsidRPr="00985FF9" w:rsidRDefault="00E03A55" w:rsidP="00391BFE">
      <w:pPr>
        <w:tabs>
          <w:tab w:val="left" w:pos="567"/>
        </w:tabs>
        <w:spacing w:after="200"/>
        <w:ind w:firstLine="0"/>
        <w:jc w:val="both"/>
      </w:pPr>
      <w:r w:rsidRPr="00985FF9">
        <w:tab/>
        <w:t xml:space="preserve">Representing the provinces by the subscript </w:t>
      </w:r>
      <w:r w:rsidRPr="00985FF9">
        <w:rPr>
          <w:i/>
        </w:rPr>
        <w:t>i</w:t>
      </w:r>
      <w:r w:rsidRPr="00985FF9">
        <w:t xml:space="preserve"> and the year of observations available by the subscript </w:t>
      </w:r>
      <w:r w:rsidRPr="00985FF9">
        <w:rPr>
          <w:i/>
        </w:rPr>
        <w:t>t</w:t>
      </w:r>
      <w:r w:rsidRPr="00985FF9">
        <w:t>, the relationship between IMR and public health spending is specified as</w:t>
      </w:r>
    </w:p>
    <w:p w:rsidR="00E03A55" w:rsidRPr="00985FF9" w:rsidRDefault="00E03A55" w:rsidP="00391BFE">
      <w:pPr>
        <w:tabs>
          <w:tab w:val="left" w:pos="567"/>
          <w:tab w:val="left" w:pos="6946"/>
        </w:tabs>
        <w:spacing w:after="200"/>
        <w:ind w:firstLine="0"/>
        <w:jc w:val="both"/>
      </w:pPr>
      <w:r w:rsidRPr="00985FF9">
        <w:rPr>
          <w:b/>
          <w:i/>
        </w:rPr>
        <w:tab/>
        <w:t>H</w:t>
      </w:r>
      <w:r w:rsidRPr="00985FF9">
        <w:rPr>
          <w:b/>
          <w:i/>
          <w:vertAlign w:val="subscript"/>
        </w:rPr>
        <w:t>it</w:t>
      </w:r>
      <w:r w:rsidRPr="00985FF9">
        <w:rPr>
          <w:b/>
          <w:i/>
        </w:rPr>
        <w:t xml:space="preserve"> = β</w:t>
      </w:r>
      <w:r w:rsidRPr="00985FF9">
        <w:rPr>
          <w:b/>
          <w:i/>
          <w:vertAlign w:val="subscript"/>
        </w:rPr>
        <w:t>0</w:t>
      </w:r>
      <w:r w:rsidRPr="00985FF9">
        <w:rPr>
          <w:b/>
          <w:i/>
        </w:rPr>
        <w:t xml:space="preserve"> + β</w:t>
      </w:r>
      <w:r w:rsidRPr="00985FF9">
        <w:rPr>
          <w:b/>
          <w:i/>
          <w:vertAlign w:val="subscript"/>
        </w:rPr>
        <w:t xml:space="preserve">1 </w:t>
      </w:r>
      <w:r w:rsidRPr="00985FF9">
        <w:rPr>
          <w:b/>
          <w:i/>
        </w:rPr>
        <w:t>S</w:t>
      </w:r>
      <w:r w:rsidRPr="00985FF9">
        <w:rPr>
          <w:b/>
          <w:i/>
          <w:vertAlign w:val="subscript"/>
        </w:rPr>
        <w:t>it</w:t>
      </w:r>
      <w:r w:rsidRPr="00985FF9">
        <w:rPr>
          <w:b/>
          <w:i/>
        </w:rPr>
        <w:t xml:space="preserve"> + β</w:t>
      </w:r>
      <w:r w:rsidRPr="00985FF9">
        <w:rPr>
          <w:b/>
          <w:i/>
          <w:vertAlign w:val="subscript"/>
        </w:rPr>
        <w:t xml:space="preserve">2 </w:t>
      </w:r>
      <w:r w:rsidRPr="00985FF9">
        <w:rPr>
          <w:b/>
          <w:i/>
        </w:rPr>
        <w:t>X</w:t>
      </w:r>
      <w:r w:rsidRPr="00985FF9">
        <w:rPr>
          <w:b/>
          <w:i/>
          <w:vertAlign w:val="subscript"/>
        </w:rPr>
        <w:t>it</w:t>
      </w:r>
      <w:r w:rsidRPr="00985FF9">
        <w:rPr>
          <w:b/>
          <w:i/>
        </w:rPr>
        <w:t xml:space="preserve"> + α</w:t>
      </w:r>
      <w:r w:rsidRPr="00985FF9">
        <w:rPr>
          <w:b/>
          <w:i/>
          <w:vertAlign w:val="subscript"/>
        </w:rPr>
        <w:t>i</w:t>
      </w:r>
      <w:r w:rsidRPr="00985FF9">
        <w:rPr>
          <w:b/>
          <w:i/>
        </w:rPr>
        <w:t xml:space="preserve"> + δ</w:t>
      </w:r>
      <w:r w:rsidRPr="00985FF9">
        <w:rPr>
          <w:b/>
          <w:i/>
          <w:vertAlign w:val="subscript"/>
        </w:rPr>
        <w:t>t</w:t>
      </w:r>
      <w:r w:rsidRPr="00985FF9">
        <w:rPr>
          <w:b/>
          <w:i/>
        </w:rPr>
        <w:t xml:space="preserve"> + ε</w:t>
      </w:r>
      <w:r w:rsidRPr="00985FF9">
        <w:rPr>
          <w:b/>
          <w:i/>
          <w:vertAlign w:val="subscript"/>
        </w:rPr>
        <w:t>it</w:t>
      </w:r>
      <w:r w:rsidRPr="00985FF9">
        <w:rPr>
          <w:b/>
          <w:i/>
        </w:rPr>
        <w:tab/>
      </w:r>
      <w:r w:rsidRPr="00985FF9">
        <w:rPr>
          <w:b/>
        </w:rPr>
        <w:t>(1)</w:t>
      </w:r>
    </w:p>
    <w:p w:rsidR="00E03A55" w:rsidRPr="00985FF9" w:rsidRDefault="00E03A55" w:rsidP="00391BFE">
      <w:pPr>
        <w:tabs>
          <w:tab w:val="left" w:pos="567"/>
          <w:tab w:val="left" w:pos="6946"/>
        </w:tabs>
        <w:ind w:firstLine="0"/>
        <w:jc w:val="both"/>
      </w:pPr>
      <w:r w:rsidRPr="00985FF9">
        <w:t xml:space="preserve">where </w:t>
      </w:r>
      <w:r w:rsidRPr="00985FF9">
        <w:rPr>
          <w:i/>
        </w:rPr>
        <w:t>H</w:t>
      </w:r>
      <w:r w:rsidRPr="00985FF9">
        <w:t xml:space="preserve"> is log infant mortality and </w:t>
      </w:r>
      <w:r w:rsidRPr="00985FF9">
        <w:rPr>
          <w:i/>
        </w:rPr>
        <w:t>S</w:t>
      </w:r>
      <w:r w:rsidRPr="00985FF9">
        <w:t xml:space="preserve"> is per capita total public health expenditure. </w:t>
      </w:r>
      <w:r w:rsidRPr="00985FF9">
        <w:rPr>
          <w:i/>
        </w:rPr>
        <w:t>X</w:t>
      </w:r>
      <w:r w:rsidRPr="00985FF9">
        <w:rPr>
          <w:vertAlign w:val="subscript"/>
        </w:rPr>
        <w:t xml:space="preserve"> </w:t>
      </w:r>
      <w:r w:rsidRPr="00985FF9">
        <w:t xml:space="preserve">is a set of control variables, which include average house ownership in the province as proxy of average province welfare, the fraction of population living in rural area, the proportion of households with a closed sewage disposal system, and mother’s level of education. This model also controls for </w:t>
      </w:r>
      <w:bookmarkStart w:id="63" w:name="OLE_LINK8"/>
      <w:bookmarkStart w:id="64" w:name="OLE_LINK9"/>
      <w:r w:rsidRPr="00985FF9">
        <w:t xml:space="preserve">the ratio of </w:t>
      </w:r>
      <w:r w:rsidRPr="00985FF9">
        <w:rPr>
          <w:i/>
        </w:rPr>
        <w:t xml:space="preserve">puskesmas </w:t>
      </w:r>
      <w:r w:rsidRPr="00985FF9">
        <w:t>per 100,000 inhabitants as proxy of health care supply provided by government</w:t>
      </w:r>
      <w:bookmarkEnd w:id="63"/>
      <w:bookmarkEnd w:id="64"/>
      <w:r w:rsidRPr="00985FF9">
        <w:t xml:space="preserve">. </w:t>
      </w:r>
    </w:p>
    <w:p w:rsidR="00E03A55" w:rsidRPr="00985FF9" w:rsidRDefault="00E03A55" w:rsidP="00391BFE">
      <w:pPr>
        <w:tabs>
          <w:tab w:val="left" w:pos="567"/>
          <w:tab w:val="left" w:pos="6946"/>
        </w:tabs>
        <w:ind w:firstLine="0"/>
        <w:jc w:val="both"/>
      </w:pPr>
      <w:r w:rsidRPr="00985FF9">
        <w:tab/>
        <w:t xml:space="preserve">Time specific effects, represented in </w:t>
      </w:r>
      <w:r w:rsidRPr="00985FF9">
        <w:rPr>
          <w:i/>
        </w:rPr>
        <w:t>δ</w:t>
      </w:r>
      <w:r w:rsidRPr="00985FF9">
        <w:rPr>
          <w:i/>
          <w:vertAlign w:val="subscript"/>
        </w:rPr>
        <w:t>t</w:t>
      </w:r>
      <w:r w:rsidRPr="00985FF9">
        <w:t>, are captured by a dummy variables for each year. This term incorporates average trends associated with economic development, for instance technological progress. The province fixed effect</w:t>
      </w:r>
      <w:r w:rsidRPr="00985FF9">
        <w:rPr>
          <w:b/>
          <w:i/>
        </w:rPr>
        <w:t xml:space="preserve"> </w:t>
      </w:r>
      <w:r w:rsidRPr="00985FF9">
        <w:rPr>
          <w:i/>
        </w:rPr>
        <w:t>α</w:t>
      </w:r>
      <w:r w:rsidRPr="00985FF9">
        <w:rPr>
          <w:i/>
          <w:vertAlign w:val="subscript"/>
        </w:rPr>
        <w:t>i</w:t>
      </w:r>
      <w:r w:rsidRPr="00985FF9">
        <w:t>, captures all unobserved, time invariant factors that might affect infant mortality rates, for examples geographical features and wide variations on cultural perspectives on how to care for newborn children.</w:t>
      </w:r>
    </w:p>
    <w:p w:rsidR="00E03A55" w:rsidRPr="00985FF9" w:rsidRDefault="00E03A55" w:rsidP="00391BFE">
      <w:pPr>
        <w:pStyle w:val="ListParagraph"/>
        <w:tabs>
          <w:tab w:val="left" w:pos="567"/>
        </w:tabs>
        <w:spacing w:line="240" w:lineRule="auto"/>
        <w:ind w:left="0"/>
        <w:jc w:val="both"/>
        <w:rPr>
          <w:rFonts w:ascii="Garamond" w:hAnsi="Garamond"/>
          <w:sz w:val="24"/>
          <w:szCs w:val="24"/>
        </w:rPr>
      </w:pPr>
      <w:r w:rsidRPr="00985FF9">
        <w:rPr>
          <w:rFonts w:ascii="Garamond" w:hAnsi="Garamond"/>
          <w:sz w:val="24"/>
          <w:szCs w:val="24"/>
        </w:rPr>
        <w:tab/>
        <w:t>The second model investigates the role of public health spending on skilled birth attendance. This model also examines role of the intermediate effect on utilization of skilled birth attendance as transmission channel through which public health spending may affect infant mortality rate. The model is</w:t>
      </w:r>
    </w:p>
    <w:p w:rsidR="00E03A55" w:rsidRPr="00985FF9" w:rsidRDefault="00E03A55" w:rsidP="00391BFE">
      <w:pPr>
        <w:tabs>
          <w:tab w:val="left" w:pos="567"/>
          <w:tab w:val="left" w:pos="6946"/>
        </w:tabs>
        <w:spacing w:after="200"/>
        <w:ind w:firstLine="0"/>
        <w:jc w:val="both"/>
      </w:pPr>
      <w:r w:rsidRPr="00985FF9">
        <w:rPr>
          <w:b/>
          <w:i/>
        </w:rPr>
        <w:tab/>
        <w:t>U</w:t>
      </w:r>
      <w:r w:rsidRPr="00985FF9">
        <w:rPr>
          <w:b/>
          <w:i/>
          <w:vertAlign w:val="subscript"/>
        </w:rPr>
        <w:t>it</w:t>
      </w:r>
      <w:r w:rsidRPr="00985FF9">
        <w:rPr>
          <w:b/>
          <w:i/>
        </w:rPr>
        <w:t xml:space="preserve"> = β</w:t>
      </w:r>
      <w:r w:rsidRPr="00985FF9">
        <w:rPr>
          <w:b/>
          <w:i/>
          <w:vertAlign w:val="subscript"/>
        </w:rPr>
        <w:t>0</w:t>
      </w:r>
      <w:r w:rsidRPr="00985FF9">
        <w:rPr>
          <w:b/>
          <w:i/>
        </w:rPr>
        <w:t xml:space="preserve"> + β</w:t>
      </w:r>
      <w:r w:rsidRPr="00985FF9">
        <w:rPr>
          <w:b/>
          <w:i/>
          <w:vertAlign w:val="subscript"/>
        </w:rPr>
        <w:t xml:space="preserve">1 </w:t>
      </w:r>
      <w:r w:rsidRPr="00985FF9">
        <w:rPr>
          <w:b/>
          <w:i/>
        </w:rPr>
        <w:t>S</w:t>
      </w:r>
      <w:r w:rsidRPr="00985FF9">
        <w:rPr>
          <w:b/>
          <w:i/>
          <w:vertAlign w:val="subscript"/>
        </w:rPr>
        <w:t>it</w:t>
      </w:r>
      <w:r w:rsidRPr="00985FF9">
        <w:rPr>
          <w:b/>
          <w:i/>
        </w:rPr>
        <w:t xml:space="preserve"> + β</w:t>
      </w:r>
      <w:r w:rsidRPr="00985FF9">
        <w:rPr>
          <w:b/>
          <w:i/>
          <w:vertAlign w:val="subscript"/>
        </w:rPr>
        <w:t xml:space="preserve">2 </w:t>
      </w:r>
      <w:r w:rsidRPr="00985FF9">
        <w:rPr>
          <w:b/>
          <w:i/>
        </w:rPr>
        <w:t>X</w:t>
      </w:r>
      <w:r w:rsidRPr="00985FF9">
        <w:rPr>
          <w:b/>
          <w:i/>
          <w:vertAlign w:val="subscript"/>
        </w:rPr>
        <w:t>it</w:t>
      </w:r>
      <w:r w:rsidRPr="00985FF9">
        <w:rPr>
          <w:b/>
          <w:i/>
        </w:rPr>
        <w:t xml:space="preserve"> + α</w:t>
      </w:r>
      <w:r w:rsidRPr="00985FF9">
        <w:rPr>
          <w:b/>
          <w:i/>
          <w:vertAlign w:val="subscript"/>
        </w:rPr>
        <w:t>i</w:t>
      </w:r>
      <w:r w:rsidRPr="00985FF9">
        <w:rPr>
          <w:b/>
          <w:i/>
        </w:rPr>
        <w:t xml:space="preserve"> + δ</w:t>
      </w:r>
      <w:r w:rsidRPr="00985FF9">
        <w:rPr>
          <w:b/>
          <w:i/>
          <w:vertAlign w:val="subscript"/>
        </w:rPr>
        <w:t>t</w:t>
      </w:r>
      <w:r w:rsidRPr="00985FF9">
        <w:rPr>
          <w:b/>
          <w:i/>
        </w:rPr>
        <w:t xml:space="preserve"> + ε</w:t>
      </w:r>
      <w:r w:rsidRPr="00985FF9">
        <w:rPr>
          <w:b/>
          <w:i/>
          <w:vertAlign w:val="subscript"/>
        </w:rPr>
        <w:t>it</w:t>
      </w:r>
      <w:r w:rsidRPr="00985FF9">
        <w:rPr>
          <w:b/>
          <w:i/>
        </w:rPr>
        <w:tab/>
      </w:r>
      <w:r w:rsidRPr="00985FF9">
        <w:rPr>
          <w:b/>
        </w:rPr>
        <w:t>(2)</w:t>
      </w:r>
    </w:p>
    <w:p w:rsidR="00E03A55" w:rsidRPr="00985FF9" w:rsidRDefault="00E03A55" w:rsidP="0072076E">
      <w:pPr>
        <w:pStyle w:val="ListParagraph"/>
        <w:tabs>
          <w:tab w:val="left" w:pos="0"/>
          <w:tab w:val="left" w:pos="1134"/>
        </w:tabs>
        <w:spacing w:after="60" w:line="240" w:lineRule="auto"/>
        <w:ind w:left="0"/>
        <w:jc w:val="both"/>
        <w:rPr>
          <w:rFonts w:ascii="Garamond" w:hAnsi="Garamond"/>
          <w:sz w:val="24"/>
          <w:szCs w:val="24"/>
        </w:rPr>
      </w:pPr>
      <w:r w:rsidRPr="00985FF9">
        <w:rPr>
          <w:rFonts w:ascii="Garamond" w:hAnsi="Garamond"/>
          <w:sz w:val="24"/>
          <w:szCs w:val="24"/>
        </w:rPr>
        <w:t xml:space="preserve">where </w:t>
      </w:r>
      <w:r w:rsidRPr="00985FF9">
        <w:rPr>
          <w:rFonts w:ascii="Garamond" w:hAnsi="Garamond"/>
          <w:i/>
          <w:sz w:val="24"/>
          <w:szCs w:val="24"/>
        </w:rPr>
        <w:t>U</w:t>
      </w:r>
      <w:r w:rsidRPr="00985FF9">
        <w:rPr>
          <w:rFonts w:ascii="Garamond" w:hAnsi="Garamond"/>
          <w:sz w:val="24"/>
          <w:szCs w:val="24"/>
        </w:rPr>
        <w:t xml:space="preserve"> is utilization of skilled birth attendance, and </w:t>
      </w:r>
      <w:r w:rsidRPr="00985FF9">
        <w:rPr>
          <w:rFonts w:ascii="Garamond" w:hAnsi="Garamond"/>
          <w:i/>
          <w:sz w:val="24"/>
          <w:szCs w:val="24"/>
        </w:rPr>
        <w:t>X</w:t>
      </w:r>
      <w:r w:rsidRPr="00985FF9">
        <w:rPr>
          <w:rFonts w:ascii="Garamond" w:hAnsi="Garamond"/>
          <w:sz w:val="24"/>
          <w:szCs w:val="24"/>
        </w:rPr>
        <w:t xml:space="preserve"> are control variables including average house ownership in the province, the fraction of population living in rural area, household size, mother’s education and </w:t>
      </w:r>
      <w:r w:rsidRPr="00985FF9">
        <w:rPr>
          <w:rFonts w:ascii="Garamond" w:hAnsi="Garamond"/>
          <w:i/>
          <w:sz w:val="24"/>
          <w:szCs w:val="24"/>
        </w:rPr>
        <w:t xml:space="preserve">puskesmas </w:t>
      </w:r>
      <w:r w:rsidRPr="00985FF9">
        <w:rPr>
          <w:rFonts w:ascii="Garamond" w:hAnsi="Garamond"/>
          <w:sz w:val="24"/>
          <w:szCs w:val="24"/>
        </w:rPr>
        <w:t>coverage.</w:t>
      </w:r>
    </w:p>
    <w:p w:rsidR="00E03A55" w:rsidRPr="00985FF9" w:rsidRDefault="00E03A55" w:rsidP="00391BFE">
      <w:pPr>
        <w:pStyle w:val="ListParagraph"/>
        <w:tabs>
          <w:tab w:val="left" w:pos="0"/>
          <w:tab w:val="left" w:pos="567"/>
        </w:tabs>
        <w:spacing w:line="240" w:lineRule="auto"/>
        <w:ind w:left="0"/>
        <w:jc w:val="both"/>
        <w:rPr>
          <w:rFonts w:ascii="Garamond" w:hAnsi="Garamond" w:cs="AdvTimes"/>
          <w:sz w:val="24"/>
          <w:szCs w:val="24"/>
        </w:rPr>
      </w:pPr>
      <w:r w:rsidRPr="00985FF9">
        <w:rPr>
          <w:rFonts w:ascii="Garamond" w:hAnsi="Garamond"/>
          <w:sz w:val="24"/>
          <w:szCs w:val="24"/>
        </w:rPr>
        <w:tab/>
        <w:t>Finally, in order to identify the effect of skilled birth attendance on infant mortality, this paper is examining the following model:</w:t>
      </w:r>
      <w:r w:rsidRPr="00985FF9">
        <w:rPr>
          <w:rFonts w:ascii="Garamond" w:hAnsi="Garamond"/>
          <w:sz w:val="24"/>
          <w:szCs w:val="24"/>
        </w:rPr>
        <w:tab/>
      </w:r>
    </w:p>
    <w:p w:rsidR="00E03A55" w:rsidRPr="00985FF9" w:rsidRDefault="00E03A55" w:rsidP="00391BFE">
      <w:pPr>
        <w:tabs>
          <w:tab w:val="left" w:pos="567"/>
          <w:tab w:val="left" w:pos="6946"/>
        </w:tabs>
        <w:spacing w:after="200"/>
        <w:ind w:firstLine="0"/>
        <w:jc w:val="both"/>
      </w:pPr>
      <w:r w:rsidRPr="00985FF9">
        <w:rPr>
          <w:rFonts w:eastAsia="Arial Unicode MS" w:cs="Arial"/>
        </w:rPr>
        <w:tab/>
      </w:r>
      <w:r w:rsidRPr="00985FF9">
        <w:rPr>
          <w:b/>
          <w:i/>
        </w:rPr>
        <w:t>H</w:t>
      </w:r>
      <w:r w:rsidRPr="00985FF9">
        <w:rPr>
          <w:b/>
          <w:i/>
          <w:vertAlign w:val="subscript"/>
        </w:rPr>
        <w:t>it</w:t>
      </w:r>
      <w:r w:rsidRPr="00985FF9">
        <w:rPr>
          <w:b/>
          <w:i/>
        </w:rPr>
        <w:t xml:space="preserve"> = β</w:t>
      </w:r>
      <w:r w:rsidRPr="00985FF9">
        <w:rPr>
          <w:b/>
          <w:i/>
          <w:vertAlign w:val="subscript"/>
        </w:rPr>
        <w:t>0</w:t>
      </w:r>
      <w:r w:rsidRPr="00985FF9">
        <w:rPr>
          <w:b/>
          <w:i/>
        </w:rPr>
        <w:t xml:space="preserve"> + β</w:t>
      </w:r>
      <w:r w:rsidRPr="00985FF9">
        <w:rPr>
          <w:b/>
          <w:i/>
          <w:vertAlign w:val="subscript"/>
        </w:rPr>
        <w:t xml:space="preserve">1 </w:t>
      </w:r>
      <w:r w:rsidRPr="00985FF9">
        <w:rPr>
          <w:b/>
          <w:i/>
        </w:rPr>
        <w:t>U</w:t>
      </w:r>
      <w:r w:rsidRPr="00985FF9">
        <w:rPr>
          <w:b/>
          <w:i/>
          <w:vertAlign w:val="subscript"/>
        </w:rPr>
        <w:t>it</w:t>
      </w:r>
      <w:r w:rsidRPr="00985FF9">
        <w:rPr>
          <w:b/>
          <w:i/>
        </w:rPr>
        <w:t xml:space="preserve"> + β</w:t>
      </w:r>
      <w:r w:rsidRPr="00985FF9">
        <w:rPr>
          <w:b/>
          <w:i/>
          <w:vertAlign w:val="subscript"/>
        </w:rPr>
        <w:t xml:space="preserve">2 </w:t>
      </w:r>
      <w:r w:rsidRPr="00985FF9">
        <w:rPr>
          <w:b/>
          <w:i/>
        </w:rPr>
        <w:t>X</w:t>
      </w:r>
      <w:r w:rsidRPr="00985FF9">
        <w:rPr>
          <w:b/>
          <w:i/>
          <w:vertAlign w:val="subscript"/>
        </w:rPr>
        <w:t>it</w:t>
      </w:r>
      <w:r w:rsidRPr="00985FF9">
        <w:rPr>
          <w:b/>
          <w:i/>
        </w:rPr>
        <w:t xml:space="preserve"> + α</w:t>
      </w:r>
      <w:r w:rsidRPr="00985FF9">
        <w:rPr>
          <w:b/>
          <w:i/>
          <w:vertAlign w:val="subscript"/>
        </w:rPr>
        <w:t>i</w:t>
      </w:r>
      <w:r w:rsidRPr="00985FF9">
        <w:rPr>
          <w:b/>
          <w:i/>
        </w:rPr>
        <w:t xml:space="preserve"> + δ</w:t>
      </w:r>
      <w:r w:rsidRPr="00985FF9">
        <w:rPr>
          <w:b/>
          <w:i/>
          <w:vertAlign w:val="subscript"/>
        </w:rPr>
        <w:t>t</w:t>
      </w:r>
      <w:r w:rsidRPr="00985FF9">
        <w:rPr>
          <w:b/>
          <w:i/>
        </w:rPr>
        <w:t xml:space="preserve"> + ε</w:t>
      </w:r>
      <w:r w:rsidRPr="00985FF9">
        <w:rPr>
          <w:b/>
          <w:i/>
          <w:vertAlign w:val="subscript"/>
        </w:rPr>
        <w:t>it</w:t>
      </w:r>
      <w:r w:rsidRPr="00985FF9">
        <w:rPr>
          <w:b/>
          <w:i/>
        </w:rPr>
        <w:tab/>
      </w:r>
      <w:r w:rsidRPr="00985FF9">
        <w:rPr>
          <w:b/>
        </w:rPr>
        <w:t>(3)</w:t>
      </w:r>
    </w:p>
    <w:p w:rsidR="00E03A55" w:rsidRPr="00985FF9" w:rsidRDefault="00E03A55" w:rsidP="00391BFE">
      <w:pPr>
        <w:pStyle w:val="ListParagraph"/>
        <w:tabs>
          <w:tab w:val="left" w:pos="0"/>
          <w:tab w:val="left" w:pos="1134"/>
        </w:tabs>
        <w:spacing w:line="240" w:lineRule="auto"/>
        <w:ind w:left="0"/>
        <w:jc w:val="both"/>
        <w:rPr>
          <w:rFonts w:ascii="Garamond" w:hAnsi="Garamond"/>
          <w:sz w:val="24"/>
          <w:szCs w:val="24"/>
        </w:rPr>
      </w:pPr>
      <w:r w:rsidRPr="00985FF9">
        <w:rPr>
          <w:rFonts w:ascii="Garamond" w:hAnsi="Garamond"/>
          <w:sz w:val="24"/>
          <w:szCs w:val="24"/>
        </w:rPr>
        <w:t xml:space="preserve">where the control variables </w:t>
      </w:r>
      <w:r w:rsidRPr="00985FF9">
        <w:rPr>
          <w:rFonts w:ascii="Garamond" w:hAnsi="Garamond"/>
          <w:i/>
          <w:sz w:val="24"/>
          <w:szCs w:val="24"/>
        </w:rPr>
        <w:t>X</w:t>
      </w:r>
      <w:r w:rsidRPr="00985FF9">
        <w:rPr>
          <w:rFonts w:ascii="Garamond" w:hAnsi="Garamond"/>
          <w:sz w:val="24"/>
          <w:szCs w:val="24"/>
        </w:rPr>
        <w:t xml:space="preserve"> are the same as in equation (1).</w:t>
      </w:r>
    </w:p>
    <w:p w:rsidR="00E03A55" w:rsidRDefault="00E03A55" w:rsidP="00AF01E5">
      <w:pPr>
        <w:spacing w:after="0"/>
        <w:jc w:val="both"/>
      </w:pPr>
      <w:r>
        <w:t xml:space="preserve">One should be noted that fixed effect approach assume that </w:t>
      </w:r>
      <w:r w:rsidRPr="00967803">
        <w:t>both of time invariant unobserved effect and idiosyncratic error (usually called the composite error) are uncorrelated with each explanatory variable</w:t>
      </w:r>
      <w:r>
        <w:t xml:space="preserve">. Under </w:t>
      </w:r>
      <w:r w:rsidRPr="00967803">
        <w:t xml:space="preserve">fixed effect model means that it </w:t>
      </w:r>
      <w:r>
        <w:t xml:space="preserve">only </w:t>
      </w:r>
      <w:r w:rsidRPr="00967803">
        <w:t xml:space="preserve">controls for time invariant unobserved heterogeneity. </w:t>
      </w:r>
      <w:r>
        <w:t>Equally, a</w:t>
      </w:r>
      <w:r w:rsidRPr="00967803">
        <w:t>ny explanatory variable that is constant over time is swept away by fixed effect transformation, but the idiosyncratic error is not.</w:t>
      </w:r>
      <w:r>
        <w:t xml:space="preserve"> This condition makes the </w:t>
      </w:r>
      <w:r w:rsidRPr="00967803">
        <w:t>idiosyncratic error</w:t>
      </w:r>
      <w:r>
        <w:t xml:space="preserve">s are potentially become sources of bias. </w:t>
      </w:r>
      <w:r w:rsidRPr="00967803">
        <w:t xml:space="preserve">Therefore, </w:t>
      </w:r>
      <w:r>
        <w:t>it needs</w:t>
      </w:r>
      <w:r w:rsidRPr="00967803">
        <w:t xml:space="preserve"> a strict exogeneity assumption on the explanatory variables that is the idiosyncratic error should be uncorrelated with each explanatory variable across all time periods. The other assumptions needed are that the idiosyncratic errors are homoskedastic and serially uncorrelated across time. These assumptions are hold in this paper.</w:t>
      </w:r>
    </w:p>
    <w:p w:rsidR="00E03A55" w:rsidRPr="00967803" w:rsidRDefault="00E03A55" w:rsidP="00AF01E5">
      <w:pPr>
        <w:spacing w:after="0"/>
        <w:jc w:val="both"/>
      </w:pPr>
    </w:p>
    <w:p w:rsidR="00E03A55" w:rsidRPr="00985FF9" w:rsidRDefault="00E03A55" w:rsidP="00391BFE">
      <w:pPr>
        <w:pStyle w:val="ListParagraph"/>
        <w:tabs>
          <w:tab w:val="left" w:pos="0"/>
          <w:tab w:val="left" w:pos="567"/>
        </w:tabs>
        <w:spacing w:line="240" w:lineRule="auto"/>
        <w:ind w:left="0"/>
        <w:jc w:val="both"/>
        <w:rPr>
          <w:rFonts w:ascii="Garamond" w:hAnsi="Garamond"/>
          <w:sz w:val="24"/>
          <w:szCs w:val="24"/>
        </w:rPr>
      </w:pPr>
      <w:r w:rsidRPr="00985FF9">
        <w:rPr>
          <w:rFonts w:ascii="Garamond" w:hAnsi="Garamond"/>
          <w:sz w:val="24"/>
          <w:szCs w:val="24"/>
        </w:rPr>
        <w:t xml:space="preserve"> </w:t>
      </w:r>
    </w:p>
    <w:p w:rsidR="00E03A55" w:rsidRPr="00985FF9" w:rsidRDefault="00E03A55" w:rsidP="00391BFE">
      <w:pPr>
        <w:tabs>
          <w:tab w:val="left" w:pos="567"/>
          <w:tab w:val="left" w:pos="6946"/>
        </w:tabs>
        <w:ind w:firstLine="0"/>
        <w:jc w:val="both"/>
      </w:pPr>
    </w:p>
    <w:p w:rsidR="00E03A55" w:rsidRPr="00985FF9" w:rsidRDefault="00E03A55" w:rsidP="00391BFE"/>
    <w:p w:rsidR="00E03A55" w:rsidRPr="0004709A" w:rsidRDefault="00E03A55" w:rsidP="00256D17">
      <w:pPr>
        <w:pStyle w:val="Heading1"/>
      </w:pPr>
      <w:r>
        <w:br/>
      </w:r>
      <w:bookmarkStart w:id="65" w:name="_Toc239163849"/>
      <w:r w:rsidRPr="009D7863">
        <w:rPr>
          <w:szCs w:val="36"/>
        </w:rPr>
        <w:t>Results</w:t>
      </w:r>
      <w:bookmarkEnd w:id="65"/>
    </w:p>
    <w:p w:rsidR="00E03A55" w:rsidRDefault="00E03A55" w:rsidP="00256D17">
      <w:pPr>
        <w:pStyle w:val="Heading2"/>
      </w:pPr>
      <w:bookmarkStart w:id="66" w:name="_Toc239163850"/>
      <w:r>
        <w:t>Descriptive Analysis</w:t>
      </w:r>
      <w:bookmarkEnd w:id="66"/>
    </w:p>
    <w:p w:rsidR="00E03A55" w:rsidRDefault="00E03A55" w:rsidP="0073200D">
      <w:pPr>
        <w:pStyle w:val="Normalfirstparagraph"/>
        <w:spacing w:after="200"/>
      </w:pPr>
      <w:r>
        <w:t>The correlation between infant mortality, public health expenditure and skilled birth attendant at delivery from province panel data set are present in figure 5.1 to figure 5.3.</w:t>
      </w:r>
    </w:p>
    <w:p w:rsidR="00E03A55" w:rsidRPr="005A54A5" w:rsidRDefault="00E03A55" w:rsidP="005A54A5">
      <w:pPr>
        <w:pStyle w:val="Caption"/>
        <w:jc w:val="center"/>
        <w:rPr>
          <w:rFonts w:ascii="Arial" w:hAnsi="Arial" w:cs="Arial"/>
          <w:b/>
          <w:sz w:val="18"/>
          <w:szCs w:val="18"/>
        </w:rPr>
      </w:pPr>
      <w:bookmarkStart w:id="67" w:name="_Toc239162881"/>
      <w:r w:rsidRPr="005A54A5">
        <w:rPr>
          <w:rFonts w:ascii="Arial" w:hAnsi="Arial" w:cs="Arial"/>
          <w:b/>
          <w:sz w:val="18"/>
          <w:szCs w:val="18"/>
        </w:rPr>
        <w:t xml:space="preserve">Figure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5</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Figure \* ARABIC \s 1 </w:instrText>
      </w:r>
      <w:r>
        <w:rPr>
          <w:rFonts w:ascii="Arial" w:hAnsi="Arial" w:cs="Arial"/>
          <w:b/>
          <w:sz w:val="18"/>
          <w:szCs w:val="18"/>
        </w:rPr>
        <w:fldChar w:fldCharType="separate"/>
      </w:r>
      <w:r>
        <w:rPr>
          <w:rFonts w:ascii="Arial" w:hAnsi="Arial" w:cs="Arial"/>
          <w:b/>
          <w:noProof/>
          <w:sz w:val="18"/>
          <w:szCs w:val="18"/>
        </w:rPr>
        <w:t>1</w:t>
      </w:r>
      <w:r>
        <w:rPr>
          <w:rFonts w:ascii="Arial" w:hAnsi="Arial" w:cs="Arial"/>
          <w:b/>
          <w:sz w:val="18"/>
          <w:szCs w:val="18"/>
        </w:rPr>
        <w:fldChar w:fldCharType="end"/>
      </w:r>
      <w:r w:rsidRPr="005A54A5">
        <w:rPr>
          <w:rFonts w:ascii="Arial" w:hAnsi="Arial" w:cs="Arial"/>
          <w:b/>
          <w:sz w:val="18"/>
          <w:szCs w:val="18"/>
        </w:rPr>
        <w:t xml:space="preserve"> Pattern of Relationship between Infant Mortality Rates and Per Capita Total Public Health Expenditure, 2001-2006</w:t>
      </w:r>
      <w:bookmarkEnd w:id="67"/>
    </w:p>
    <w:p w:rsidR="00E03A55" w:rsidRPr="001A1C01" w:rsidRDefault="00E03A55" w:rsidP="00134C2D">
      <w:pPr>
        <w:spacing w:after="0"/>
      </w:pPr>
      <w:r>
        <w:rPr>
          <w:noProof/>
          <w:lang w:val="en-US" w:eastAsia="en-US"/>
        </w:rPr>
        <w:pict>
          <v:rect id="_x0000_s1028" style="position:absolute;left:0;text-align:left;margin-left:53.85pt;margin-top:5.65pt;width:282.75pt;height:410.25pt;z-index:251660288">
            <v:textbox style="mso-next-textbox:#_x0000_s1028">
              <w:txbxContent>
                <w:p w:rsidR="00E03A55" w:rsidRDefault="00E03A55" w:rsidP="0073200D">
                  <w:pPr>
                    <w:ind w:firstLine="0"/>
                  </w:pPr>
                  <w:r w:rsidRPr="001814BA">
                    <w:rPr>
                      <w:noProof/>
                      <w:lang w:val="en-US" w:eastAsia="en-US"/>
                    </w:rPr>
                    <w:pict>
                      <v:shape id="Picture 3" o:spid="_x0000_i1040" type="#_x0000_t75" style="width:265.5pt;height:194.25pt;visibility:visible">
                        <v:imagedata r:id="rId27" o:title=""/>
                      </v:shape>
                    </w:pict>
                  </w:r>
                </w:p>
                <w:p w:rsidR="00E03A55" w:rsidRDefault="00E03A55" w:rsidP="0073200D">
                  <w:pPr>
                    <w:ind w:firstLine="0"/>
                  </w:pPr>
                  <w:r w:rsidRPr="001814BA">
                    <w:rPr>
                      <w:noProof/>
                      <w:lang w:val="en-US" w:eastAsia="en-US"/>
                    </w:rPr>
                    <w:pict>
                      <v:shape id="Picture 6" o:spid="_x0000_i1041" type="#_x0000_t75" style="width:265.5pt;height:194.25pt;visibility:visible">
                        <v:imagedata r:id="rId28" o:title=""/>
                      </v:shape>
                    </w:pict>
                  </w:r>
                </w:p>
              </w:txbxContent>
            </v:textbox>
          </v:rect>
        </w:pict>
      </w: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Pr="004D45CC" w:rsidRDefault="00E03A55" w:rsidP="00134C2D">
      <w:pPr>
        <w:spacing w:after="0"/>
        <w:rPr>
          <w:rFonts w:ascii="Arial" w:hAnsi="Arial" w:cs="Arial"/>
          <w:sz w:val="16"/>
          <w:szCs w:val="16"/>
        </w:rPr>
      </w:pPr>
      <w:r>
        <w:tab/>
        <w:t xml:space="preserve">       </w:t>
      </w:r>
      <w:r w:rsidRPr="0073200D">
        <w:rPr>
          <w:rFonts w:ascii="Arial" w:hAnsi="Arial" w:cs="Arial"/>
          <w:i/>
          <w:sz w:val="16"/>
          <w:szCs w:val="16"/>
        </w:rPr>
        <w:t>Source</w:t>
      </w:r>
      <w:r w:rsidRPr="004D45CC">
        <w:rPr>
          <w:rFonts w:ascii="Arial" w:hAnsi="Arial" w:cs="Arial"/>
          <w:sz w:val="16"/>
          <w:szCs w:val="16"/>
        </w:rPr>
        <w:t>: author analysis from panel data</w:t>
      </w:r>
    </w:p>
    <w:p w:rsidR="00E03A55" w:rsidRDefault="00E03A55" w:rsidP="00134C2D">
      <w:pPr>
        <w:spacing w:after="0"/>
      </w:pPr>
    </w:p>
    <w:p w:rsidR="00E03A55" w:rsidRDefault="00E03A55" w:rsidP="00134C2D">
      <w:pPr>
        <w:tabs>
          <w:tab w:val="left" w:pos="567"/>
        </w:tabs>
        <w:spacing w:after="0"/>
        <w:jc w:val="both"/>
      </w:pPr>
      <w:r>
        <w:tab/>
      </w:r>
      <w:r w:rsidRPr="004D45CC">
        <w:t>As seen in figure 5.1, there is a negative correlation between p</w:t>
      </w:r>
      <w:r>
        <w:t>er capita</w:t>
      </w:r>
      <w:r w:rsidRPr="004D45CC">
        <w:t xml:space="preserve"> public total health expenditure and infant mortality rate both in level and log-log form. Numerically, the coefficient of correlation between public health expenditure and infant mortality rate is – 0</w:t>
      </w:r>
      <w:r>
        <w:t>.</w:t>
      </w:r>
      <w:r w:rsidRPr="004D45CC">
        <w:t>2777 and statistically significant. The association remains unchanged</w:t>
      </w:r>
      <w:r>
        <w:t xml:space="preserve"> when log-log form is examined (the coefficient correlation -0.2743).</w:t>
      </w:r>
      <w:r w:rsidRPr="004D45CC">
        <w:t xml:space="preserve"> </w:t>
      </w:r>
      <w:r>
        <w:t xml:space="preserve">One should be noted, this patterns do not imply causal relationship. It could be driven by confounding trends. </w:t>
      </w:r>
    </w:p>
    <w:p w:rsidR="00E03A55" w:rsidRPr="004D45CC" w:rsidRDefault="00E03A55" w:rsidP="00134C2D">
      <w:pPr>
        <w:tabs>
          <w:tab w:val="left" w:pos="567"/>
        </w:tabs>
        <w:spacing w:after="0"/>
        <w:jc w:val="both"/>
      </w:pPr>
    </w:p>
    <w:p w:rsidR="00E03A55" w:rsidRPr="005A54A5" w:rsidRDefault="00E03A55" w:rsidP="005A54A5">
      <w:pPr>
        <w:pStyle w:val="Caption"/>
        <w:jc w:val="center"/>
        <w:rPr>
          <w:rFonts w:ascii="Arial" w:hAnsi="Arial" w:cs="Arial"/>
          <w:b/>
          <w:sz w:val="18"/>
          <w:szCs w:val="18"/>
        </w:rPr>
      </w:pPr>
      <w:bookmarkStart w:id="68" w:name="_Toc239162882"/>
      <w:r w:rsidRPr="005A54A5">
        <w:rPr>
          <w:rFonts w:ascii="Arial" w:hAnsi="Arial" w:cs="Arial"/>
          <w:b/>
          <w:sz w:val="18"/>
          <w:szCs w:val="18"/>
        </w:rPr>
        <w:t xml:space="preserve">Figure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5</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Figure \* ARABIC \s 1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sidRPr="005A54A5">
        <w:rPr>
          <w:rFonts w:ascii="Arial" w:hAnsi="Arial" w:cs="Arial"/>
          <w:b/>
          <w:sz w:val="18"/>
          <w:szCs w:val="18"/>
        </w:rPr>
        <w:t xml:space="preserve"> Pattern of Relationship between Infant Mortality Rates and Skilled Birth Attendance, 2001-2006</w:t>
      </w:r>
      <w:bookmarkEnd w:id="68"/>
    </w:p>
    <w:p w:rsidR="00E03A55" w:rsidRPr="0073200D" w:rsidRDefault="00E03A55" w:rsidP="0073200D">
      <w:pPr>
        <w:rPr>
          <w:lang w:val="en-US" w:eastAsia="en-US"/>
        </w:rPr>
      </w:pPr>
      <w:r>
        <w:rPr>
          <w:noProof/>
          <w:lang w:val="en-US" w:eastAsia="en-US"/>
        </w:rPr>
        <w:pict>
          <v:rect id="_x0000_s1029" style="position:absolute;left:0;text-align:left;margin-left:56.1pt;margin-top:6.55pt;width:282.75pt;height:410.25pt;z-index:251661312">
            <v:textbox style="mso-next-textbox:#_x0000_s1029">
              <w:txbxContent>
                <w:p w:rsidR="00E03A55" w:rsidRDefault="00E03A55" w:rsidP="0073200D">
                  <w:pPr>
                    <w:ind w:firstLine="0"/>
                  </w:pPr>
                  <w:r>
                    <w:rPr>
                      <w:noProof/>
                    </w:rPr>
                    <w:pict>
                      <v:shape id="Picture 7" o:spid="_x0000_i1044" type="#_x0000_t75" style="width:265.5pt;height:194.25pt;visibility:visible">
                        <v:imagedata r:id="rId29" o:title=""/>
                      </v:shape>
                    </w:pict>
                  </w:r>
                </w:p>
                <w:p w:rsidR="00E03A55" w:rsidRDefault="00E03A55" w:rsidP="0073200D">
                  <w:pPr>
                    <w:ind w:firstLine="0"/>
                  </w:pPr>
                  <w:r>
                    <w:rPr>
                      <w:noProof/>
                    </w:rPr>
                    <w:pict>
                      <v:shape id="Picture 8" o:spid="_x0000_i1045" type="#_x0000_t75" style="width:265.5pt;height:194.25pt;visibility:visible">
                        <v:imagedata r:id="rId30" o:title=""/>
                      </v:shape>
                    </w:pict>
                  </w:r>
                </w:p>
              </w:txbxContent>
            </v:textbox>
          </v:rect>
        </w:pict>
      </w:r>
    </w:p>
    <w:p w:rsidR="00E03A55" w:rsidRPr="001A1C01"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134C2D"/>
    <w:p w:rsidR="00E03A55" w:rsidRDefault="00E03A55" w:rsidP="0073200D">
      <w:pPr>
        <w:spacing w:after="200"/>
      </w:pPr>
      <w:r>
        <w:t xml:space="preserve">            </w:t>
      </w:r>
      <w:r w:rsidRPr="0073200D">
        <w:rPr>
          <w:rFonts w:ascii="Arial" w:hAnsi="Arial" w:cs="Arial"/>
          <w:i/>
          <w:sz w:val="16"/>
          <w:szCs w:val="16"/>
        </w:rPr>
        <w:t>Source:</w:t>
      </w:r>
      <w:r w:rsidRPr="004D45CC">
        <w:rPr>
          <w:rFonts w:ascii="Arial" w:hAnsi="Arial" w:cs="Arial"/>
          <w:sz w:val="16"/>
          <w:szCs w:val="16"/>
        </w:rPr>
        <w:t xml:space="preserve"> author analysis from panel data</w:t>
      </w:r>
    </w:p>
    <w:p w:rsidR="00E03A55" w:rsidRPr="00444FDE" w:rsidRDefault="00E03A55" w:rsidP="00134C2D">
      <w:pPr>
        <w:tabs>
          <w:tab w:val="left" w:pos="567"/>
        </w:tabs>
        <w:spacing w:after="0"/>
        <w:jc w:val="both"/>
      </w:pPr>
      <w:r>
        <w:tab/>
      </w:r>
      <w:r w:rsidRPr="00444FDE">
        <w:t>Table 5.2 presents the relationship between infant mortality rate and skilled birth attendant at delivery both in level and log-log form. It shows a clear pattern of n</w:t>
      </w:r>
      <w:r>
        <w:t>egative relationship between the</w:t>
      </w:r>
      <w:r w:rsidRPr="00444FDE">
        <w:t>se two variables. Statistical examination using simple correlation provides support of this argument. The degree of association is -0</w:t>
      </w:r>
      <w:r>
        <w:t>.</w:t>
      </w:r>
      <w:r w:rsidRPr="00444FDE">
        <w:t>4979. The log-to-log association is resulted in slightly increase negative correlation (-0</w:t>
      </w:r>
      <w:r>
        <w:t>.</w:t>
      </w:r>
      <w:r w:rsidRPr="00444FDE">
        <w:t>5120).</w:t>
      </w:r>
    </w:p>
    <w:p w:rsidR="00E03A55" w:rsidRDefault="00E03A55" w:rsidP="00134C2D">
      <w:pPr>
        <w:tabs>
          <w:tab w:val="left" w:pos="567"/>
        </w:tabs>
        <w:spacing w:after="0"/>
        <w:jc w:val="both"/>
      </w:pPr>
      <w:r>
        <w:tab/>
        <w:t>In addition, there is a positive correlation between skilled birth attendant present at delivery and per capita total public health expenditure (figure 5.3). In level, the degree of association is +0.1813 and statistically significant. However, it slightly decreases when the log-to-log association is utilized (+ 0. 1574).</w:t>
      </w:r>
    </w:p>
    <w:p w:rsidR="00E03A55" w:rsidRDefault="00E03A55" w:rsidP="00134C2D">
      <w:pPr>
        <w:tabs>
          <w:tab w:val="left" w:pos="1970"/>
        </w:tabs>
        <w:spacing w:after="0"/>
        <w:jc w:val="both"/>
      </w:pPr>
      <w:r>
        <w:tab/>
      </w:r>
    </w:p>
    <w:p w:rsidR="00E03A55" w:rsidRPr="005A54A5" w:rsidRDefault="00E03A55" w:rsidP="005A54A5">
      <w:pPr>
        <w:pStyle w:val="Caption"/>
        <w:jc w:val="center"/>
        <w:rPr>
          <w:rFonts w:ascii="Arial" w:hAnsi="Arial" w:cs="Arial"/>
          <w:b/>
          <w:sz w:val="18"/>
          <w:szCs w:val="18"/>
        </w:rPr>
      </w:pPr>
      <w:bookmarkStart w:id="69" w:name="_Toc239162883"/>
      <w:r w:rsidRPr="005A54A5">
        <w:rPr>
          <w:rFonts w:ascii="Arial" w:hAnsi="Arial" w:cs="Arial"/>
          <w:b/>
          <w:sz w:val="18"/>
          <w:szCs w:val="18"/>
        </w:rPr>
        <w:t xml:space="preserve">Figure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5</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Figure \* ARABIC \s 1 </w:instrText>
      </w:r>
      <w:r>
        <w:rPr>
          <w:rFonts w:ascii="Arial" w:hAnsi="Arial" w:cs="Arial"/>
          <w:b/>
          <w:sz w:val="18"/>
          <w:szCs w:val="18"/>
        </w:rPr>
        <w:fldChar w:fldCharType="separate"/>
      </w:r>
      <w:r>
        <w:rPr>
          <w:rFonts w:ascii="Arial" w:hAnsi="Arial" w:cs="Arial"/>
          <w:b/>
          <w:noProof/>
          <w:sz w:val="18"/>
          <w:szCs w:val="18"/>
        </w:rPr>
        <w:t>3</w:t>
      </w:r>
      <w:r>
        <w:rPr>
          <w:rFonts w:ascii="Arial" w:hAnsi="Arial" w:cs="Arial"/>
          <w:b/>
          <w:sz w:val="18"/>
          <w:szCs w:val="18"/>
        </w:rPr>
        <w:fldChar w:fldCharType="end"/>
      </w:r>
      <w:r w:rsidRPr="005A54A5">
        <w:rPr>
          <w:rFonts w:ascii="Arial" w:hAnsi="Arial" w:cs="Arial"/>
          <w:b/>
          <w:sz w:val="18"/>
          <w:szCs w:val="18"/>
        </w:rPr>
        <w:t xml:space="preserve"> Pattern of Relationship between Skilled Birth Attendances and Per Capita Total Public Health Expenditure, 2001-2006</w:t>
      </w:r>
      <w:bookmarkEnd w:id="69"/>
    </w:p>
    <w:p w:rsidR="00E03A55" w:rsidRDefault="00E03A55" w:rsidP="00134C2D">
      <w:pPr>
        <w:pStyle w:val="Caption"/>
        <w:spacing w:after="0"/>
      </w:pPr>
      <w:r>
        <w:rPr>
          <w:noProof/>
        </w:rPr>
        <w:pict>
          <v:rect id="_x0000_s1030" style="position:absolute;margin-left:54.6pt;margin-top:2.7pt;width:282.75pt;height:410.25pt;z-index:251662336">
            <v:textbox style="mso-next-textbox:#_x0000_s1030">
              <w:txbxContent>
                <w:p w:rsidR="00E03A55" w:rsidRDefault="00E03A55" w:rsidP="0073200D">
                  <w:pPr>
                    <w:ind w:firstLine="0"/>
                  </w:pPr>
                  <w:r w:rsidRPr="001814BA">
                    <w:rPr>
                      <w:noProof/>
                    </w:rPr>
                    <w:pict>
                      <v:shape id="Picture 9" o:spid="_x0000_i1048" type="#_x0000_t75" style="width:265.5pt;height:194.25pt;visibility:visible">
                        <v:imagedata r:id="rId31" o:title=""/>
                      </v:shape>
                    </w:pict>
                  </w:r>
                </w:p>
                <w:p w:rsidR="00E03A55" w:rsidRDefault="00E03A55" w:rsidP="0073200D">
                  <w:pPr>
                    <w:ind w:firstLine="0"/>
                  </w:pPr>
                  <w:r w:rsidRPr="001814BA">
                    <w:rPr>
                      <w:noProof/>
                    </w:rPr>
                    <w:pict>
                      <v:shape id="Picture 10" o:spid="_x0000_i1049" type="#_x0000_t75" style="width:265.5pt;height:194.25pt;visibility:visible">
                        <v:imagedata r:id="rId32" o:title=""/>
                      </v:shape>
                    </w:pict>
                  </w:r>
                </w:p>
              </w:txbxContent>
            </v:textbox>
          </v:rect>
        </w:pict>
      </w: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pPr>
    </w:p>
    <w:p w:rsidR="00E03A55" w:rsidRDefault="00E03A55" w:rsidP="00134C2D">
      <w:pPr>
        <w:spacing w:after="0"/>
        <w:ind w:firstLine="720"/>
      </w:pPr>
      <w:r>
        <w:rPr>
          <w:rFonts w:ascii="Arial" w:hAnsi="Arial" w:cs="Arial"/>
          <w:sz w:val="16"/>
          <w:szCs w:val="16"/>
        </w:rPr>
        <w:t xml:space="preserve">        </w:t>
      </w:r>
      <w:r w:rsidRPr="0073200D">
        <w:rPr>
          <w:rFonts w:ascii="Arial" w:hAnsi="Arial" w:cs="Arial"/>
          <w:i/>
          <w:sz w:val="16"/>
          <w:szCs w:val="16"/>
        </w:rPr>
        <w:t>Source:</w:t>
      </w:r>
      <w:r w:rsidRPr="004D45CC">
        <w:rPr>
          <w:rFonts w:ascii="Arial" w:hAnsi="Arial" w:cs="Arial"/>
          <w:sz w:val="16"/>
          <w:szCs w:val="16"/>
        </w:rPr>
        <w:t xml:space="preserve"> author analysis from panel data</w:t>
      </w:r>
    </w:p>
    <w:p w:rsidR="00E03A55" w:rsidRDefault="00E03A55" w:rsidP="00134C2D">
      <w:pPr>
        <w:pStyle w:val="Heading2"/>
      </w:pPr>
      <w:bookmarkStart w:id="70" w:name="_Toc239163851"/>
      <w:r w:rsidRPr="00CB0937">
        <w:t>Impact of Public Health Spending on Infant Mortality</w:t>
      </w:r>
      <w:bookmarkEnd w:id="70"/>
    </w:p>
    <w:p w:rsidR="00E03A55" w:rsidRPr="00010877" w:rsidRDefault="00E03A55" w:rsidP="00134C2D">
      <w:pPr>
        <w:pStyle w:val="Normalfirstparagraph"/>
        <w:spacing w:after="0"/>
        <w:jc w:val="both"/>
      </w:pPr>
      <w:r w:rsidRPr="00010877">
        <w:t xml:space="preserve">Table 5.1 presents the results of fixed effect analysis of public spending impact on infant mortality. In general, all coefficients have the expected sign except for </w:t>
      </w:r>
      <w:r w:rsidRPr="00010877">
        <w:rPr>
          <w:i/>
        </w:rPr>
        <w:t>puskesmas</w:t>
      </w:r>
      <w:r w:rsidRPr="00010877">
        <w:t xml:space="preserve"> coverage. However, almost all variables are statistically not significant. There are two specification presented, (1) Baseline specification </w:t>
      </w:r>
      <w:r>
        <w:t xml:space="preserve">using </w:t>
      </w:r>
      <w:r w:rsidRPr="00010877">
        <w:t xml:space="preserve">per capita total public health expenditure; and (2) Specification with </w:t>
      </w:r>
      <w:r>
        <w:t xml:space="preserve">per capita </w:t>
      </w:r>
      <w:r w:rsidRPr="00010877">
        <w:t>development and routine expenditure. These two specifications control for province and time effects.</w:t>
      </w:r>
    </w:p>
    <w:p w:rsidR="00E03A55" w:rsidRDefault="00E03A55" w:rsidP="00134C2D">
      <w:pPr>
        <w:tabs>
          <w:tab w:val="left" w:pos="567"/>
        </w:tabs>
        <w:spacing w:after="0"/>
        <w:jc w:val="both"/>
      </w:pPr>
      <w:r w:rsidRPr="00010877">
        <w:tab/>
        <w:t xml:space="preserve">Specification 1 shows that per capita public health spending is not statistically associated with reduction in infant mortality rate. </w:t>
      </w:r>
      <w:r>
        <w:t xml:space="preserve">One </w:t>
      </w:r>
      <w:r w:rsidRPr="00010877">
        <w:t>possible explanation is that</w:t>
      </w:r>
      <w:r>
        <w:t xml:space="preserve"> public health spending takes </w:t>
      </w:r>
      <w:r w:rsidRPr="00010877">
        <w:t>time to affect infant mortality rate.</w:t>
      </w:r>
      <w:r>
        <w:t xml:space="preserve"> The spending on health at current year probably will have significant effect in the coming years.</w:t>
      </w:r>
      <w:r w:rsidRPr="00010877">
        <w:t xml:space="preserve"> In other word, it suggests a lag structure in order to investigate the </w:t>
      </w:r>
      <w:r>
        <w:t xml:space="preserve">spending </w:t>
      </w:r>
      <w:r w:rsidRPr="00010877">
        <w:t xml:space="preserve">impact. However, using the lag structure is also problematic. This study </w:t>
      </w:r>
      <w:r>
        <w:t xml:space="preserve">does not have enough observations to employ more than two lags since it </w:t>
      </w:r>
      <w:r w:rsidRPr="00010877">
        <w:t>only ha</w:t>
      </w:r>
      <w:r>
        <w:t>d</w:t>
      </w:r>
      <w:r w:rsidRPr="00010877">
        <w:t xml:space="preserve"> four years </w:t>
      </w:r>
      <w:r>
        <w:t>data</w:t>
      </w:r>
      <w:r w:rsidRPr="00010877">
        <w:t xml:space="preserve"> for public health expenditure. </w:t>
      </w:r>
      <w:r>
        <w:t>In fact, Bhalotra (2007) needs three lags in 19 years data to conclude that public health spending has strong effects in combating infant mortality. This study does try to use lag structure, but it seems do not change the results. Therefore, the best option for this study is to keep on estimation in level.</w:t>
      </w:r>
    </w:p>
    <w:p w:rsidR="00E03A55" w:rsidRDefault="00E03A55" w:rsidP="002A0C77">
      <w:pPr>
        <w:tabs>
          <w:tab w:val="left" w:pos="567"/>
        </w:tabs>
        <w:spacing w:after="200"/>
        <w:jc w:val="both"/>
      </w:pPr>
      <w:r>
        <w:tab/>
      </w:r>
      <w:r w:rsidRPr="004C5B62">
        <w:t xml:space="preserve">The same situation also faced by specification 2 when total public spending divided into per capita development and routine expenditure. These two forms of expenditure have a negative sign as expected but statistically insignificant. Therefore, there is no enough </w:t>
      </w:r>
      <w:r>
        <w:t xml:space="preserve">statistical </w:t>
      </w:r>
      <w:r w:rsidRPr="004C5B62">
        <w:t xml:space="preserve">evidence to argue that these variables affect infant mortality rate. </w:t>
      </w:r>
      <w:r>
        <w:t>Meanwhile</w:t>
      </w:r>
      <w:r w:rsidRPr="004C5B62">
        <w:t>, both in specification 1 and 2, the proportion of population that having its own house and proportion of mother</w:t>
      </w:r>
      <w:r>
        <w:t>s</w:t>
      </w:r>
      <w:r w:rsidRPr="004C5B62">
        <w:t xml:space="preserve"> </w:t>
      </w:r>
      <w:r>
        <w:t>with h</w:t>
      </w:r>
      <w:r w:rsidRPr="004C5B62">
        <w:t xml:space="preserve">igher education level </w:t>
      </w:r>
      <w:r>
        <w:t>completed compared to</w:t>
      </w:r>
      <w:r w:rsidRPr="004C5B62">
        <w:t xml:space="preserve"> </w:t>
      </w:r>
      <w:r>
        <w:t>that with p</w:t>
      </w:r>
      <w:r w:rsidRPr="004C5B62">
        <w:t xml:space="preserve">rimary education highest </w:t>
      </w:r>
      <w:r>
        <w:t>completed show a significant result. These findings then support the arguments that wealth and mother’s education factors determine the utilization of skilled birth attendance.</w:t>
      </w:r>
    </w:p>
    <w:tbl>
      <w:tblPr>
        <w:tblW w:w="6725" w:type="dxa"/>
        <w:jc w:val="center"/>
        <w:tblInd w:w="-1010" w:type="dxa"/>
        <w:tblLook w:val="00A0"/>
      </w:tblPr>
      <w:tblGrid>
        <w:gridCol w:w="7779"/>
      </w:tblGrid>
      <w:tr w:rsidR="00E03A55" w:rsidRPr="00005F5F" w:rsidTr="002A0C77">
        <w:trPr>
          <w:trHeight w:val="229"/>
          <w:jc w:val="center"/>
        </w:trPr>
        <w:tc>
          <w:tcPr>
            <w:tcW w:w="6725" w:type="dxa"/>
            <w:tcBorders>
              <w:top w:val="nil"/>
              <w:left w:val="nil"/>
              <w:bottom w:val="nil"/>
              <w:right w:val="nil"/>
            </w:tcBorders>
            <w:noWrap/>
            <w:vAlign w:val="bottom"/>
          </w:tcPr>
          <w:p w:rsidR="00E03A55" w:rsidRDefault="00E03A55" w:rsidP="005A54A5">
            <w:pPr>
              <w:spacing w:after="0"/>
              <w:jc w:val="center"/>
              <w:rPr>
                <w:rFonts w:ascii="Arial" w:hAnsi="Arial" w:cs="Arial"/>
                <w:b/>
                <w:sz w:val="18"/>
                <w:szCs w:val="18"/>
              </w:rPr>
            </w:pPr>
            <w:bookmarkStart w:id="71" w:name="_Toc239157739"/>
            <w:r w:rsidRPr="005A54A5">
              <w:rPr>
                <w:rFonts w:ascii="Arial" w:hAnsi="Arial" w:cs="Arial"/>
                <w:b/>
                <w:sz w:val="18"/>
                <w:szCs w:val="18"/>
              </w:rPr>
              <w:t xml:space="preserve">Table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5</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Table \* ARABIC \s 1 </w:instrText>
            </w:r>
            <w:r>
              <w:rPr>
                <w:rFonts w:ascii="Arial" w:hAnsi="Arial" w:cs="Arial"/>
                <w:b/>
                <w:sz w:val="18"/>
                <w:szCs w:val="18"/>
              </w:rPr>
              <w:fldChar w:fldCharType="separate"/>
            </w:r>
            <w:r>
              <w:rPr>
                <w:rFonts w:ascii="Arial" w:hAnsi="Arial" w:cs="Arial"/>
                <w:b/>
                <w:noProof/>
                <w:sz w:val="18"/>
                <w:szCs w:val="18"/>
              </w:rPr>
              <w:t>1</w:t>
            </w:r>
            <w:r>
              <w:rPr>
                <w:rFonts w:ascii="Arial" w:hAnsi="Arial" w:cs="Arial"/>
                <w:b/>
                <w:sz w:val="18"/>
                <w:szCs w:val="18"/>
              </w:rPr>
              <w:fldChar w:fldCharType="end"/>
            </w:r>
            <w:r w:rsidRPr="005A54A5">
              <w:rPr>
                <w:rFonts w:ascii="Arial" w:hAnsi="Arial" w:cs="Arial"/>
                <w:b/>
                <w:sz w:val="18"/>
                <w:szCs w:val="18"/>
              </w:rPr>
              <w:t xml:space="preserve"> Impact </w:t>
            </w:r>
            <w:r>
              <w:rPr>
                <w:rFonts w:ascii="Arial" w:hAnsi="Arial" w:cs="Arial"/>
                <w:b/>
                <w:sz w:val="18"/>
                <w:szCs w:val="18"/>
              </w:rPr>
              <w:t>of Total Public Health Spending o</w:t>
            </w:r>
            <w:r w:rsidRPr="005A54A5">
              <w:rPr>
                <w:rFonts w:ascii="Arial" w:hAnsi="Arial" w:cs="Arial"/>
                <w:b/>
                <w:sz w:val="18"/>
                <w:szCs w:val="18"/>
              </w:rPr>
              <w:t>n Infant Mortality</w:t>
            </w:r>
            <w:bookmarkEnd w:id="71"/>
          </w:p>
          <w:p w:rsidR="00E03A55" w:rsidRDefault="00E03A55" w:rsidP="005A54A5">
            <w:pPr>
              <w:spacing w:after="0"/>
              <w:jc w:val="center"/>
              <w:rPr>
                <w:rFonts w:ascii="Arial" w:hAnsi="Arial" w:cs="Arial"/>
                <w:b/>
                <w:sz w:val="18"/>
                <w:szCs w:val="18"/>
              </w:rPr>
            </w:pPr>
          </w:p>
          <w:tbl>
            <w:tblPr>
              <w:tblW w:w="7563" w:type="dxa"/>
              <w:tblLook w:val="00A0"/>
            </w:tblPr>
            <w:tblGrid>
              <w:gridCol w:w="225"/>
              <w:gridCol w:w="2085"/>
              <w:gridCol w:w="1312"/>
              <w:gridCol w:w="1314"/>
              <w:gridCol w:w="1312"/>
              <w:gridCol w:w="1315"/>
            </w:tblGrid>
            <w:tr w:rsidR="00E03A55" w:rsidRPr="002A0C77" w:rsidTr="007E0490">
              <w:trPr>
                <w:trHeight w:val="219"/>
              </w:trPr>
              <w:tc>
                <w:tcPr>
                  <w:tcW w:w="2310" w:type="dxa"/>
                  <w:gridSpan w:val="2"/>
                  <w:vMerge w:val="restart"/>
                  <w:tcBorders>
                    <w:top w:val="single" w:sz="4" w:space="0" w:color="auto"/>
                    <w:left w:val="nil"/>
                    <w:bottom w:val="single" w:sz="4" w:space="0" w:color="000000"/>
                    <w:right w:val="nil"/>
                  </w:tcBorders>
                  <w:vAlign w:val="center"/>
                </w:tcPr>
                <w:p w:rsidR="00E03A55" w:rsidRPr="002A0C77" w:rsidRDefault="00E03A55" w:rsidP="002A0C77">
                  <w:pPr>
                    <w:suppressAutoHyphens w:val="0"/>
                    <w:spacing w:after="0"/>
                    <w:ind w:firstLine="0"/>
                    <w:jc w:val="center"/>
                    <w:rPr>
                      <w:rFonts w:ascii="Arial" w:hAnsi="Arial" w:cs="Arial"/>
                      <w:b/>
                      <w:bCs/>
                      <w:color w:val="000000"/>
                      <w:sz w:val="16"/>
                      <w:szCs w:val="16"/>
                      <w:lang w:val="en-US" w:eastAsia="en-US"/>
                    </w:rPr>
                  </w:pPr>
                  <w:r w:rsidRPr="002A0C77">
                    <w:rPr>
                      <w:rFonts w:ascii="Arial" w:hAnsi="Arial" w:cs="Arial"/>
                      <w:b/>
                      <w:bCs/>
                      <w:color w:val="000000"/>
                      <w:sz w:val="16"/>
                      <w:szCs w:val="16"/>
                      <w:lang w:val="en-US" w:eastAsia="en-US"/>
                    </w:rPr>
                    <w:t>Variable</w:t>
                  </w:r>
                </w:p>
              </w:tc>
              <w:tc>
                <w:tcPr>
                  <w:tcW w:w="2625" w:type="dxa"/>
                  <w:gridSpan w:val="2"/>
                  <w:tcBorders>
                    <w:top w:val="single" w:sz="4" w:space="0" w:color="auto"/>
                    <w:left w:val="nil"/>
                    <w:bottom w:val="single" w:sz="4" w:space="0" w:color="auto"/>
                    <w:right w:val="nil"/>
                  </w:tcBorders>
                  <w:vAlign w:val="center"/>
                </w:tcPr>
                <w:p w:rsidR="00E03A55" w:rsidRPr="002A0C77" w:rsidRDefault="00E03A55" w:rsidP="002A0C77">
                  <w:pPr>
                    <w:suppressAutoHyphens w:val="0"/>
                    <w:spacing w:after="0"/>
                    <w:ind w:firstLine="0"/>
                    <w:jc w:val="center"/>
                    <w:rPr>
                      <w:rFonts w:ascii="Arial" w:hAnsi="Arial" w:cs="Arial"/>
                      <w:b/>
                      <w:bCs/>
                      <w:color w:val="000000"/>
                      <w:sz w:val="16"/>
                      <w:szCs w:val="16"/>
                      <w:lang w:val="en-US" w:eastAsia="en-US"/>
                    </w:rPr>
                  </w:pPr>
                  <w:r w:rsidRPr="002A0C77">
                    <w:rPr>
                      <w:rFonts w:ascii="Arial" w:hAnsi="Arial" w:cs="Arial"/>
                      <w:b/>
                      <w:bCs/>
                      <w:color w:val="000000"/>
                      <w:sz w:val="16"/>
                      <w:szCs w:val="16"/>
                      <w:lang w:val="en-US" w:eastAsia="en-US"/>
                    </w:rPr>
                    <w:t>Specification 1</w:t>
                  </w:r>
                </w:p>
              </w:tc>
              <w:tc>
                <w:tcPr>
                  <w:tcW w:w="2626" w:type="dxa"/>
                  <w:gridSpan w:val="2"/>
                  <w:tcBorders>
                    <w:top w:val="single" w:sz="4" w:space="0" w:color="auto"/>
                    <w:left w:val="nil"/>
                    <w:bottom w:val="single" w:sz="4" w:space="0" w:color="auto"/>
                    <w:right w:val="nil"/>
                  </w:tcBorders>
                  <w:vAlign w:val="center"/>
                </w:tcPr>
                <w:p w:rsidR="00E03A55" w:rsidRPr="002A0C77" w:rsidRDefault="00E03A55" w:rsidP="002A0C77">
                  <w:pPr>
                    <w:suppressAutoHyphens w:val="0"/>
                    <w:spacing w:after="0"/>
                    <w:ind w:firstLine="0"/>
                    <w:jc w:val="center"/>
                    <w:rPr>
                      <w:rFonts w:ascii="Arial" w:hAnsi="Arial" w:cs="Arial"/>
                      <w:b/>
                      <w:bCs/>
                      <w:color w:val="000000"/>
                      <w:sz w:val="16"/>
                      <w:szCs w:val="16"/>
                      <w:lang w:val="en-US" w:eastAsia="en-US"/>
                    </w:rPr>
                  </w:pPr>
                  <w:r w:rsidRPr="002A0C77">
                    <w:rPr>
                      <w:rFonts w:ascii="Arial" w:hAnsi="Arial" w:cs="Arial"/>
                      <w:b/>
                      <w:bCs/>
                      <w:color w:val="000000"/>
                      <w:sz w:val="16"/>
                      <w:szCs w:val="16"/>
                      <w:lang w:val="en-US" w:eastAsia="en-US"/>
                    </w:rPr>
                    <w:t>Specification 2</w:t>
                  </w:r>
                </w:p>
              </w:tc>
            </w:tr>
            <w:tr w:rsidR="00E03A55" w:rsidRPr="002A0C77" w:rsidTr="007E0490">
              <w:trPr>
                <w:trHeight w:val="329"/>
              </w:trPr>
              <w:tc>
                <w:tcPr>
                  <w:tcW w:w="2310" w:type="dxa"/>
                  <w:gridSpan w:val="2"/>
                  <w:vMerge/>
                  <w:tcBorders>
                    <w:top w:val="single" w:sz="4" w:space="0" w:color="auto"/>
                    <w:left w:val="nil"/>
                    <w:bottom w:val="single" w:sz="4" w:space="0" w:color="000000"/>
                    <w:right w:val="nil"/>
                  </w:tcBorders>
                  <w:vAlign w:val="center"/>
                </w:tcPr>
                <w:p w:rsidR="00E03A55" w:rsidRPr="002A0C77" w:rsidRDefault="00E03A55" w:rsidP="002A0C77">
                  <w:pPr>
                    <w:suppressAutoHyphens w:val="0"/>
                    <w:spacing w:after="0"/>
                    <w:ind w:firstLine="0"/>
                    <w:rPr>
                      <w:rFonts w:ascii="Arial" w:hAnsi="Arial" w:cs="Arial"/>
                      <w:b/>
                      <w:bCs/>
                      <w:color w:val="000000"/>
                      <w:sz w:val="16"/>
                      <w:szCs w:val="16"/>
                      <w:lang w:val="en-US" w:eastAsia="en-US"/>
                    </w:rPr>
                  </w:pPr>
                </w:p>
              </w:tc>
              <w:tc>
                <w:tcPr>
                  <w:tcW w:w="1312" w:type="dxa"/>
                  <w:tcBorders>
                    <w:top w:val="nil"/>
                    <w:left w:val="nil"/>
                    <w:bottom w:val="single" w:sz="4" w:space="0" w:color="auto"/>
                    <w:right w:val="nil"/>
                  </w:tcBorders>
                  <w:vAlign w:val="center"/>
                </w:tcPr>
                <w:p w:rsidR="00E03A55" w:rsidRPr="002A0C77" w:rsidRDefault="00E03A55" w:rsidP="002A0C77">
                  <w:pPr>
                    <w:suppressAutoHyphens w:val="0"/>
                    <w:spacing w:after="0"/>
                    <w:ind w:firstLine="0"/>
                    <w:jc w:val="center"/>
                    <w:rPr>
                      <w:rFonts w:ascii="Arial" w:hAnsi="Arial" w:cs="Arial"/>
                      <w:b/>
                      <w:bCs/>
                      <w:color w:val="000000"/>
                      <w:sz w:val="16"/>
                      <w:szCs w:val="16"/>
                      <w:lang w:val="en-US" w:eastAsia="en-US"/>
                    </w:rPr>
                  </w:pPr>
                  <w:r w:rsidRPr="002A0C77">
                    <w:rPr>
                      <w:rFonts w:ascii="Arial" w:hAnsi="Arial" w:cs="Arial"/>
                      <w:b/>
                      <w:bCs/>
                      <w:color w:val="000000"/>
                      <w:sz w:val="16"/>
                      <w:szCs w:val="16"/>
                      <w:lang w:val="en-US" w:eastAsia="en-US"/>
                    </w:rPr>
                    <w:t>Coefficient</w:t>
                  </w:r>
                </w:p>
              </w:tc>
              <w:tc>
                <w:tcPr>
                  <w:tcW w:w="1314" w:type="dxa"/>
                  <w:tcBorders>
                    <w:top w:val="nil"/>
                    <w:left w:val="nil"/>
                    <w:bottom w:val="single" w:sz="4" w:space="0" w:color="auto"/>
                    <w:right w:val="nil"/>
                  </w:tcBorders>
                  <w:vAlign w:val="center"/>
                </w:tcPr>
                <w:p w:rsidR="00E03A55" w:rsidRPr="002A0C77" w:rsidRDefault="00E03A55" w:rsidP="002A0C77">
                  <w:pPr>
                    <w:suppressAutoHyphens w:val="0"/>
                    <w:spacing w:after="0"/>
                    <w:ind w:firstLine="0"/>
                    <w:jc w:val="center"/>
                    <w:rPr>
                      <w:rFonts w:ascii="Arial" w:hAnsi="Arial" w:cs="Arial"/>
                      <w:b/>
                      <w:bCs/>
                      <w:color w:val="000000"/>
                      <w:sz w:val="16"/>
                      <w:szCs w:val="16"/>
                      <w:lang w:val="en-US" w:eastAsia="en-US"/>
                    </w:rPr>
                  </w:pPr>
                  <w:r w:rsidRPr="002A0C77">
                    <w:rPr>
                      <w:rFonts w:ascii="Arial" w:hAnsi="Arial" w:cs="Arial"/>
                      <w:b/>
                      <w:bCs/>
                      <w:color w:val="000000"/>
                      <w:sz w:val="16"/>
                      <w:szCs w:val="16"/>
                      <w:lang w:val="en-US" w:eastAsia="en-US"/>
                    </w:rPr>
                    <w:t>Robust Std. Error</w:t>
                  </w:r>
                </w:p>
              </w:tc>
              <w:tc>
                <w:tcPr>
                  <w:tcW w:w="1312" w:type="dxa"/>
                  <w:tcBorders>
                    <w:top w:val="nil"/>
                    <w:left w:val="nil"/>
                    <w:bottom w:val="single" w:sz="4" w:space="0" w:color="auto"/>
                    <w:right w:val="nil"/>
                  </w:tcBorders>
                  <w:vAlign w:val="center"/>
                </w:tcPr>
                <w:p w:rsidR="00E03A55" w:rsidRPr="002A0C77" w:rsidRDefault="00E03A55" w:rsidP="002A0C77">
                  <w:pPr>
                    <w:suppressAutoHyphens w:val="0"/>
                    <w:spacing w:after="0"/>
                    <w:ind w:firstLine="0"/>
                    <w:jc w:val="center"/>
                    <w:rPr>
                      <w:rFonts w:ascii="Arial" w:hAnsi="Arial" w:cs="Arial"/>
                      <w:b/>
                      <w:bCs/>
                      <w:color w:val="000000"/>
                      <w:sz w:val="16"/>
                      <w:szCs w:val="16"/>
                      <w:lang w:val="en-US" w:eastAsia="en-US"/>
                    </w:rPr>
                  </w:pPr>
                  <w:r w:rsidRPr="002A0C77">
                    <w:rPr>
                      <w:rFonts w:ascii="Arial" w:hAnsi="Arial" w:cs="Arial"/>
                      <w:b/>
                      <w:bCs/>
                      <w:color w:val="000000"/>
                      <w:sz w:val="16"/>
                      <w:szCs w:val="16"/>
                      <w:lang w:val="en-US" w:eastAsia="en-US"/>
                    </w:rPr>
                    <w:t>Coefficient</w:t>
                  </w:r>
                </w:p>
              </w:tc>
              <w:tc>
                <w:tcPr>
                  <w:tcW w:w="1315" w:type="dxa"/>
                  <w:tcBorders>
                    <w:top w:val="nil"/>
                    <w:left w:val="nil"/>
                    <w:bottom w:val="single" w:sz="4" w:space="0" w:color="auto"/>
                    <w:right w:val="nil"/>
                  </w:tcBorders>
                  <w:vAlign w:val="center"/>
                </w:tcPr>
                <w:p w:rsidR="00E03A55" w:rsidRPr="002A0C77" w:rsidRDefault="00E03A55" w:rsidP="002A0C77">
                  <w:pPr>
                    <w:suppressAutoHyphens w:val="0"/>
                    <w:spacing w:after="0"/>
                    <w:ind w:firstLine="0"/>
                    <w:jc w:val="center"/>
                    <w:rPr>
                      <w:rFonts w:ascii="Arial" w:hAnsi="Arial" w:cs="Arial"/>
                      <w:b/>
                      <w:bCs/>
                      <w:color w:val="000000"/>
                      <w:sz w:val="16"/>
                      <w:szCs w:val="16"/>
                      <w:lang w:val="en-US" w:eastAsia="en-US"/>
                    </w:rPr>
                  </w:pPr>
                  <w:r w:rsidRPr="002A0C77">
                    <w:rPr>
                      <w:rFonts w:ascii="Arial" w:hAnsi="Arial" w:cs="Arial"/>
                      <w:b/>
                      <w:bCs/>
                      <w:color w:val="000000"/>
                      <w:sz w:val="16"/>
                      <w:szCs w:val="16"/>
                      <w:lang w:val="en-US" w:eastAsia="en-US"/>
                    </w:rPr>
                    <w:t>Robust Std. Error</w:t>
                  </w:r>
                </w:p>
              </w:tc>
            </w:tr>
            <w:tr w:rsidR="00E03A55" w:rsidRPr="002A0C77" w:rsidTr="007E0490">
              <w:trPr>
                <w:trHeight w:val="321"/>
              </w:trPr>
              <w:tc>
                <w:tcPr>
                  <w:tcW w:w="2310" w:type="dxa"/>
                  <w:gridSpan w:val="2"/>
                  <w:tcBorders>
                    <w:top w:val="single" w:sz="4" w:space="0" w:color="auto"/>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Total health expenditure</w:t>
                  </w:r>
                </w:p>
              </w:tc>
              <w:tc>
                <w:tcPr>
                  <w:tcW w:w="1312"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-0.00000314</w:t>
                  </w:r>
                </w:p>
              </w:tc>
              <w:tc>
                <w:tcPr>
                  <w:tcW w:w="1314"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-0.00000315</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p>
              </w:tc>
              <w:tc>
                <w:tcPr>
                  <w:tcW w:w="1315"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p>
              </w:tc>
            </w:tr>
            <w:tr w:rsidR="00E03A55" w:rsidRPr="002A0C77" w:rsidTr="007E0490">
              <w:trPr>
                <w:trHeight w:val="321"/>
              </w:trPr>
              <w:tc>
                <w:tcPr>
                  <w:tcW w:w="2310" w:type="dxa"/>
                  <w:gridSpan w:val="2"/>
                  <w:tcBorders>
                    <w:top w:val="nil"/>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 xml:space="preserve">Development health </w:t>
                  </w:r>
                  <w:r>
                    <w:rPr>
                      <w:rFonts w:ascii="Arial" w:hAnsi="Arial" w:cs="Arial"/>
                      <w:color w:val="000000"/>
                      <w:sz w:val="16"/>
                      <w:szCs w:val="16"/>
                      <w:lang w:val="en-US" w:eastAsia="en-US"/>
                    </w:rPr>
                    <w:t xml:space="preserve">       </w:t>
                  </w:r>
                  <w:r w:rsidRPr="002A0C77">
                    <w:rPr>
                      <w:rFonts w:ascii="Arial" w:hAnsi="Arial" w:cs="Arial"/>
                      <w:color w:val="000000"/>
                      <w:sz w:val="16"/>
                      <w:szCs w:val="16"/>
                      <w:lang w:val="en-US" w:eastAsia="en-US"/>
                    </w:rPr>
                    <w:t>expenditure</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p>
              </w:tc>
              <w:tc>
                <w:tcPr>
                  <w:tcW w:w="1314"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p>
              </w:tc>
              <w:tc>
                <w:tcPr>
                  <w:tcW w:w="1312"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-0.00000423</w:t>
                  </w:r>
                </w:p>
              </w:tc>
              <w:tc>
                <w:tcPr>
                  <w:tcW w:w="1315"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0.00000365</w:t>
                  </w:r>
                </w:p>
              </w:tc>
            </w:tr>
            <w:tr w:rsidR="00E03A55" w:rsidRPr="002A0C77" w:rsidTr="007E0490">
              <w:trPr>
                <w:trHeight w:val="321"/>
              </w:trPr>
              <w:tc>
                <w:tcPr>
                  <w:tcW w:w="2310" w:type="dxa"/>
                  <w:gridSpan w:val="2"/>
                  <w:tcBorders>
                    <w:top w:val="nil"/>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Routine health expenditure</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p>
              </w:tc>
              <w:tc>
                <w:tcPr>
                  <w:tcW w:w="1314"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p>
              </w:tc>
              <w:tc>
                <w:tcPr>
                  <w:tcW w:w="1312"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-0.000000259</w:t>
                  </w:r>
                </w:p>
              </w:tc>
              <w:tc>
                <w:tcPr>
                  <w:tcW w:w="1315"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0.00000911</w:t>
                  </w:r>
                </w:p>
              </w:tc>
            </w:tr>
            <w:tr w:rsidR="00E03A55" w:rsidRPr="002A0C77" w:rsidTr="007E0490">
              <w:trPr>
                <w:trHeight w:val="321"/>
              </w:trPr>
              <w:tc>
                <w:tcPr>
                  <w:tcW w:w="2310" w:type="dxa"/>
                  <w:gridSpan w:val="2"/>
                  <w:tcBorders>
                    <w:top w:val="nil"/>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Own house</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-4.697</w:t>
                  </w:r>
                </w:p>
              </w:tc>
              <w:tc>
                <w:tcPr>
                  <w:tcW w:w="1314"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2.438*</w:t>
                  </w:r>
                </w:p>
              </w:tc>
              <w:tc>
                <w:tcPr>
                  <w:tcW w:w="1312"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-4.444</w:t>
                  </w:r>
                </w:p>
              </w:tc>
              <w:tc>
                <w:tcPr>
                  <w:tcW w:w="1315"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2.430*</w:t>
                  </w:r>
                </w:p>
              </w:tc>
            </w:tr>
            <w:tr w:rsidR="00E03A55" w:rsidRPr="002A0C77" w:rsidTr="007E0490">
              <w:trPr>
                <w:trHeight w:val="321"/>
              </w:trPr>
              <w:tc>
                <w:tcPr>
                  <w:tcW w:w="2310" w:type="dxa"/>
                  <w:gridSpan w:val="2"/>
                  <w:tcBorders>
                    <w:top w:val="nil"/>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Access to sanitation</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-0.969</w:t>
                  </w:r>
                </w:p>
              </w:tc>
              <w:tc>
                <w:tcPr>
                  <w:tcW w:w="1314"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1.437</w:t>
                  </w:r>
                </w:p>
              </w:tc>
              <w:tc>
                <w:tcPr>
                  <w:tcW w:w="1312"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-1.070</w:t>
                  </w:r>
                </w:p>
              </w:tc>
              <w:tc>
                <w:tcPr>
                  <w:tcW w:w="1315"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1.470</w:t>
                  </w:r>
                </w:p>
              </w:tc>
            </w:tr>
            <w:tr w:rsidR="00E03A55" w:rsidRPr="002A0C77" w:rsidTr="007E0490">
              <w:trPr>
                <w:trHeight w:val="321"/>
              </w:trPr>
              <w:tc>
                <w:tcPr>
                  <w:tcW w:w="2310" w:type="dxa"/>
                  <w:gridSpan w:val="2"/>
                  <w:tcBorders>
                    <w:top w:val="nil"/>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i/>
                      <w:iCs/>
                      <w:color w:val="000000"/>
                      <w:sz w:val="16"/>
                      <w:szCs w:val="16"/>
                      <w:lang w:val="en-US" w:eastAsia="en-US"/>
                    </w:rPr>
                    <w:t>Puskesmas</w:t>
                  </w:r>
                  <w:r w:rsidRPr="002A0C77">
                    <w:rPr>
                      <w:rFonts w:ascii="Arial" w:hAnsi="Arial" w:cs="Arial"/>
                      <w:color w:val="000000"/>
                      <w:sz w:val="16"/>
                      <w:szCs w:val="16"/>
                      <w:lang w:val="en-US" w:eastAsia="en-US"/>
                    </w:rPr>
                    <w:t xml:space="preserve"> coverage</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 xml:space="preserve"> </w:t>
                  </w:r>
                  <w:r w:rsidRPr="002A0C77">
                    <w:rPr>
                      <w:rFonts w:ascii="Arial" w:hAnsi="Arial" w:cs="Arial"/>
                      <w:color w:val="000000"/>
                      <w:sz w:val="16"/>
                      <w:szCs w:val="16"/>
                      <w:lang w:val="en-US" w:eastAsia="en-US"/>
                    </w:rPr>
                    <w:t>0.076</w:t>
                  </w:r>
                </w:p>
              </w:tc>
              <w:tc>
                <w:tcPr>
                  <w:tcW w:w="1314"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0.088</w:t>
                  </w:r>
                </w:p>
              </w:tc>
              <w:tc>
                <w:tcPr>
                  <w:tcW w:w="1312"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0.071</w:t>
                  </w:r>
                </w:p>
              </w:tc>
              <w:tc>
                <w:tcPr>
                  <w:tcW w:w="1315"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0.089</w:t>
                  </w:r>
                </w:p>
              </w:tc>
            </w:tr>
            <w:tr w:rsidR="00E03A55" w:rsidRPr="002A0C77" w:rsidTr="007E0490">
              <w:trPr>
                <w:trHeight w:val="321"/>
              </w:trPr>
              <w:tc>
                <w:tcPr>
                  <w:tcW w:w="2310" w:type="dxa"/>
                  <w:gridSpan w:val="2"/>
                  <w:tcBorders>
                    <w:top w:val="nil"/>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Rural population</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 xml:space="preserve"> </w:t>
                  </w:r>
                  <w:r w:rsidRPr="002A0C77">
                    <w:rPr>
                      <w:rFonts w:ascii="Arial" w:hAnsi="Arial" w:cs="Arial"/>
                      <w:color w:val="000000"/>
                      <w:sz w:val="16"/>
                      <w:szCs w:val="16"/>
                      <w:lang w:val="en-US" w:eastAsia="en-US"/>
                    </w:rPr>
                    <w:t>3.239</w:t>
                  </w:r>
                </w:p>
              </w:tc>
              <w:tc>
                <w:tcPr>
                  <w:tcW w:w="1314"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3.070</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3.509</w:t>
                  </w:r>
                </w:p>
              </w:tc>
              <w:tc>
                <w:tcPr>
                  <w:tcW w:w="1315"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3.090</w:t>
                  </w:r>
                </w:p>
              </w:tc>
            </w:tr>
            <w:tr w:rsidR="00E03A55" w:rsidRPr="002A0C77" w:rsidTr="007E0490">
              <w:trPr>
                <w:trHeight w:val="321"/>
              </w:trPr>
              <w:tc>
                <w:tcPr>
                  <w:tcW w:w="2310" w:type="dxa"/>
                  <w:gridSpan w:val="2"/>
                  <w:tcBorders>
                    <w:top w:val="nil"/>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 xml:space="preserve">Mother's education (reference: primary school) </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p>
              </w:tc>
              <w:tc>
                <w:tcPr>
                  <w:tcW w:w="1314"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p>
              </w:tc>
              <w:tc>
                <w:tcPr>
                  <w:tcW w:w="1315"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p>
              </w:tc>
            </w:tr>
            <w:tr w:rsidR="00E03A55" w:rsidRPr="002A0C77" w:rsidTr="007E0490">
              <w:trPr>
                <w:trHeight w:val="321"/>
              </w:trPr>
              <w:tc>
                <w:tcPr>
                  <w:tcW w:w="225" w:type="dxa"/>
                  <w:tcBorders>
                    <w:top w:val="nil"/>
                    <w:left w:val="nil"/>
                    <w:bottom w:val="nil"/>
                    <w:right w:val="nil"/>
                  </w:tcBorders>
                  <w:noWrap/>
                  <w:vAlign w:val="center"/>
                </w:tcPr>
                <w:p w:rsidR="00E03A55" w:rsidRPr="002A0C77" w:rsidRDefault="00E03A55" w:rsidP="002A0C77">
                  <w:pPr>
                    <w:suppressAutoHyphens w:val="0"/>
                    <w:spacing w:after="0"/>
                    <w:ind w:firstLine="0"/>
                    <w:rPr>
                      <w:rFonts w:ascii="Calibri" w:hAnsi="Calibri"/>
                      <w:color w:val="000000"/>
                      <w:sz w:val="22"/>
                      <w:szCs w:val="22"/>
                      <w:lang w:val="en-US" w:eastAsia="en-US"/>
                    </w:rPr>
                  </w:pPr>
                </w:p>
              </w:tc>
              <w:tc>
                <w:tcPr>
                  <w:tcW w:w="2085" w:type="dxa"/>
                  <w:tcBorders>
                    <w:top w:val="nil"/>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Junior secondary</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-4.224</w:t>
                  </w:r>
                </w:p>
              </w:tc>
              <w:tc>
                <w:tcPr>
                  <w:tcW w:w="1314"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3.184</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-4.309</w:t>
                  </w:r>
                </w:p>
              </w:tc>
              <w:tc>
                <w:tcPr>
                  <w:tcW w:w="1315"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3.178</w:t>
                  </w:r>
                </w:p>
              </w:tc>
            </w:tr>
            <w:tr w:rsidR="00E03A55" w:rsidRPr="002A0C77" w:rsidTr="007E0490">
              <w:trPr>
                <w:trHeight w:val="321"/>
              </w:trPr>
              <w:tc>
                <w:tcPr>
                  <w:tcW w:w="225" w:type="dxa"/>
                  <w:tcBorders>
                    <w:top w:val="nil"/>
                    <w:left w:val="nil"/>
                    <w:bottom w:val="nil"/>
                    <w:right w:val="nil"/>
                  </w:tcBorders>
                  <w:noWrap/>
                  <w:vAlign w:val="center"/>
                </w:tcPr>
                <w:p w:rsidR="00E03A55" w:rsidRPr="002A0C77" w:rsidRDefault="00E03A55" w:rsidP="002A0C77">
                  <w:pPr>
                    <w:suppressAutoHyphens w:val="0"/>
                    <w:spacing w:after="0"/>
                    <w:ind w:firstLine="0"/>
                    <w:rPr>
                      <w:rFonts w:ascii="Calibri" w:hAnsi="Calibri"/>
                      <w:color w:val="000000"/>
                      <w:sz w:val="22"/>
                      <w:szCs w:val="22"/>
                      <w:lang w:val="en-US" w:eastAsia="en-US"/>
                    </w:rPr>
                  </w:pPr>
                </w:p>
              </w:tc>
              <w:tc>
                <w:tcPr>
                  <w:tcW w:w="2085" w:type="dxa"/>
                  <w:tcBorders>
                    <w:top w:val="nil"/>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Senior secondary</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-1.716</w:t>
                  </w:r>
                </w:p>
              </w:tc>
              <w:tc>
                <w:tcPr>
                  <w:tcW w:w="1314"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3.889</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-1.602</w:t>
                  </w:r>
                </w:p>
              </w:tc>
              <w:tc>
                <w:tcPr>
                  <w:tcW w:w="1315"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3.877</w:t>
                  </w:r>
                </w:p>
              </w:tc>
            </w:tr>
            <w:tr w:rsidR="00E03A55" w:rsidRPr="002A0C77" w:rsidTr="007E0490">
              <w:trPr>
                <w:trHeight w:val="321"/>
              </w:trPr>
              <w:tc>
                <w:tcPr>
                  <w:tcW w:w="225" w:type="dxa"/>
                  <w:tcBorders>
                    <w:top w:val="nil"/>
                    <w:left w:val="nil"/>
                    <w:bottom w:val="nil"/>
                    <w:right w:val="nil"/>
                  </w:tcBorders>
                  <w:noWrap/>
                  <w:vAlign w:val="center"/>
                </w:tcPr>
                <w:p w:rsidR="00E03A55" w:rsidRPr="002A0C77" w:rsidRDefault="00E03A55" w:rsidP="002A0C77">
                  <w:pPr>
                    <w:suppressAutoHyphens w:val="0"/>
                    <w:spacing w:after="0"/>
                    <w:ind w:firstLine="0"/>
                    <w:rPr>
                      <w:rFonts w:ascii="Calibri" w:hAnsi="Calibri"/>
                      <w:color w:val="000000"/>
                      <w:sz w:val="22"/>
                      <w:szCs w:val="22"/>
                      <w:lang w:val="en-US" w:eastAsia="en-US"/>
                    </w:rPr>
                  </w:pPr>
                </w:p>
              </w:tc>
              <w:tc>
                <w:tcPr>
                  <w:tcW w:w="2085" w:type="dxa"/>
                  <w:tcBorders>
                    <w:top w:val="nil"/>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Higher education</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-11.244</w:t>
                  </w:r>
                </w:p>
              </w:tc>
              <w:tc>
                <w:tcPr>
                  <w:tcW w:w="1314"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 xml:space="preserve">   </w:t>
                  </w:r>
                  <w:r w:rsidRPr="002A0C77">
                    <w:rPr>
                      <w:rFonts w:ascii="Arial" w:hAnsi="Arial" w:cs="Arial"/>
                      <w:color w:val="000000"/>
                      <w:sz w:val="16"/>
                      <w:szCs w:val="16"/>
                      <w:lang w:val="en-US" w:eastAsia="en-US"/>
                    </w:rPr>
                    <w:t>4.641**</w:t>
                  </w:r>
                </w:p>
              </w:tc>
              <w:tc>
                <w:tcPr>
                  <w:tcW w:w="1312"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-10.736</w:t>
                  </w:r>
                </w:p>
              </w:tc>
              <w:tc>
                <w:tcPr>
                  <w:tcW w:w="1315" w:type="dxa"/>
                  <w:tcBorders>
                    <w:top w:val="nil"/>
                    <w:left w:val="nil"/>
                    <w:bottom w:val="nil"/>
                    <w:right w:val="nil"/>
                  </w:tcBorders>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 xml:space="preserve">  </w:t>
                  </w:r>
                  <w:r w:rsidRPr="002A0C77">
                    <w:rPr>
                      <w:rFonts w:ascii="Arial" w:hAnsi="Arial" w:cs="Arial"/>
                      <w:color w:val="000000"/>
                      <w:sz w:val="16"/>
                      <w:szCs w:val="16"/>
                      <w:lang w:val="en-US" w:eastAsia="en-US"/>
                    </w:rPr>
                    <w:t>4.225**</w:t>
                  </w:r>
                </w:p>
              </w:tc>
            </w:tr>
            <w:tr w:rsidR="00E03A55" w:rsidRPr="002A0C77" w:rsidTr="007E0490">
              <w:trPr>
                <w:trHeight w:val="321"/>
              </w:trPr>
              <w:tc>
                <w:tcPr>
                  <w:tcW w:w="2310" w:type="dxa"/>
                  <w:gridSpan w:val="2"/>
                  <w:tcBorders>
                    <w:top w:val="nil"/>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Constant</w:t>
                  </w:r>
                </w:p>
              </w:tc>
              <w:tc>
                <w:tcPr>
                  <w:tcW w:w="1312"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 xml:space="preserve"> </w:t>
                  </w:r>
                  <w:r w:rsidRPr="002A0C77">
                    <w:rPr>
                      <w:rFonts w:ascii="Arial" w:hAnsi="Arial" w:cs="Arial"/>
                      <w:color w:val="000000"/>
                      <w:sz w:val="16"/>
                      <w:szCs w:val="16"/>
                      <w:lang w:val="en-US" w:eastAsia="en-US"/>
                    </w:rPr>
                    <w:t>6.997</w:t>
                  </w:r>
                </w:p>
              </w:tc>
              <w:tc>
                <w:tcPr>
                  <w:tcW w:w="1314"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3.368</w:t>
                  </w:r>
                </w:p>
              </w:tc>
              <w:tc>
                <w:tcPr>
                  <w:tcW w:w="1312"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Pr>
                      <w:rFonts w:ascii="Arial" w:hAnsi="Arial" w:cs="Arial"/>
                      <w:color w:val="000000"/>
                      <w:sz w:val="16"/>
                      <w:szCs w:val="16"/>
                      <w:lang w:val="en-US" w:eastAsia="en-US"/>
                    </w:rPr>
                    <w:t xml:space="preserve"> </w:t>
                  </w:r>
                  <w:r w:rsidRPr="002A0C77">
                    <w:rPr>
                      <w:rFonts w:ascii="Arial" w:hAnsi="Arial" w:cs="Arial"/>
                      <w:color w:val="000000"/>
                      <w:sz w:val="16"/>
                      <w:szCs w:val="16"/>
                      <w:lang w:val="en-US" w:eastAsia="en-US"/>
                    </w:rPr>
                    <w:t>6.612</w:t>
                  </w:r>
                </w:p>
              </w:tc>
              <w:tc>
                <w:tcPr>
                  <w:tcW w:w="1315" w:type="dxa"/>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3.306</w:t>
                  </w:r>
                </w:p>
              </w:tc>
            </w:tr>
            <w:tr w:rsidR="00E03A55" w:rsidRPr="002A0C77" w:rsidTr="007E0490">
              <w:trPr>
                <w:trHeight w:val="321"/>
              </w:trPr>
              <w:tc>
                <w:tcPr>
                  <w:tcW w:w="2310" w:type="dxa"/>
                  <w:gridSpan w:val="2"/>
                  <w:tcBorders>
                    <w:top w:val="nil"/>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Observations</w:t>
                  </w:r>
                </w:p>
              </w:tc>
              <w:tc>
                <w:tcPr>
                  <w:tcW w:w="2625" w:type="dxa"/>
                  <w:gridSpan w:val="2"/>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100</w:t>
                  </w:r>
                </w:p>
              </w:tc>
              <w:tc>
                <w:tcPr>
                  <w:tcW w:w="2626" w:type="dxa"/>
                  <w:gridSpan w:val="2"/>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100</w:t>
                  </w:r>
                </w:p>
              </w:tc>
            </w:tr>
            <w:tr w:rsidR="00E03A55" w:rsidRPr="002A0C77" w:rsidTr="007E0490">
              <w:trPr>
                <w:trHeight w:val="321"/>
              </w:trPr>
              <w:tc>
                <w:tcPr>
                  <w:tcW w:w="2310" w:type="dxa"/>
                  <w:gridSpan w:val="2"/>
                  <w:tcBorders>
                    <w:top w:val="nil"/>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Number of provinces</w:t>
                  </w:r>
                </w:p>
              </w:tc>
              <w:tc>
                <w:tcPr>
                  <w:tcW w:w="2625" w:type="dxa"/>
                  <w:gridSpan w:val="2"/>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25</w:t>
                  </w:r>
                </w:p>
              </w:tc>
              <w:tc>
                <w:tcPr>
                  <w:tcW w:w="2626" w:type="dxa"/>
                  <w:gridSpan w:val="2"/>
                  <w:tcBorders>
                    <w:top w:val="nil"/>
                    <w:left w:val="nil"/>
                    <w:bottom w:val="nil"/>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25</w:t>
                  </w:r>
                </w:p>
              </w:tc>
            </w:tr>
            <w:tr w:rsidR="00E03A55" w:rsidRPr="002A0C77" w:rsidTr="007E0490">
              <w:trPr>
                <w:trHeight w:val="321"/>
              </w:trPr>
              <w:tc>
                <w:tcPr>
                  <w:tcW w:w="2310" w:type="dxa"/>
                  <w:gridSpan w:val="2"/>
                  <w:tcBorders>
                    <w:top w:val="nil"/>
                    <w:left w:val="nil"/>
                    <w:bottom w:val="single" w:sz="4" w:space="0" w:color="auto"/>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R</w:t>
                  </w:r>
                  <w:r w:rsidRPr="002A0C77">
                    <w:rPr>
                      <w:rFonts w:ascii="Arial" w:hAnsi="Arial" w:cs="Arial"/>
                      <w:color w:val="000000"/>
                      <w:sz w:val="16"/>
                      <w:szCs w:val="16"/>
                      <w:vertAlign w:val="superscript"/>
                      <w:lang w:val="en-US" w:eastAsia="en-US"/>
                    </w:rPr>
                    <w:t>2</w:t>
                  </w:r>
                  <w:r w:rsidRPr="002A0C77">
                    <w:rPr>
                      <w:rFonts w:ascii="Arial" w:hAnsi="Arial" w:cs="Arial"/>
                      <w:color w:val="000000"/>
                      <w:sz w:val="16"/>
                      <w:szCs w:val="16"/>
                      <w:lang w:val="en-US" w:eastAsia="en-US"/>
                    </w:rPr>
                    <w:t xml:space="preserve"> (within)</w:t>
                  </w:r>
                </w:p>
              </w:tc>
              <w:tc>
                <w:tcPr>
                  <w:tcW w:w="2625" w:type="dxa"/>
                  <w:gridSpan w:val="2"/>
                  <w:tcBorders>
                    <w:top w:val="nil"/>
                    <w:left w:val="nil"/>
                    <w:bottom w:val="single" w:sz="4" w:space="0" w:color="auto"/>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0.4489</w:t>
                  </w:r>
                </w:p>
              </w:tc>
              <w:tc>
                <w:tcPr>
                  <w:tcW w:w="2626" w:type="dxa"/>
                  <w:gridSpan w:val="2"/>
                  <w:tcBorders>
                    <w:top w:val="nil"/>
                    <w:left w:val="nil"/>
                    <w:bottom w:val="single" w:sz="4" w:space="0" w:color="auto"/>
                    <w:right w:val="nil"/>
                  </w:tcBorders>
                  <w:noWrap/>
                  <w:vAlign w:val="center"/>
                </w:tcPr>
                <w:p w:rsidR="00E03A55" w:rsidRPr="002A0C77" w:rsidRDefault="00E03A55" w:rsidP="002A0C77">
                  <w:pPr>
                    <w:suppressAutoHyphens w:val="0"/>
                    <w:spacing w:after="0"/>
                    <w:ind w:firstLine="0"/>
                    <w:jc w:val="center"/>
                    <w:rPr>
                      <w:rFonts w:ascii="Arial" w:hAnsi="Arial" w:cs="Arial"/>
                      <w:color w:val="000000"/>
                      <w:sz w:val="16"/>
                      <w:szCs w:val="16"/>
                      <w:lang w:val="en-US" w:eastAsia="en-US"/>
                    </w:rPr>
                  </w:pPr>
                  <w:r w:rsidRPr="002A0C77">
                    <w:rPr>
                      <w:rFonts w:ascii="Arial" w:hAnsi="Arial" w:cs="Arial"/>
                      <w:color w:val="000000"/>
                      <w:sz w:val="16"/>
                      <w:szCs w:val="16"/>
                      <w:lang w:val="en-US" w:eastAsia="en-US"/>
                    </w:rPr>
                    <w:t>0.4502</w:t>
                  </w:r>
                </w:p>
              </w:tc>
            </w:tr>
            <w:tr w:rsidR="00E03A55" w:rsidRPr="002A0C77" w:rsidTr="007E0490">
              <w:trPr>
                <w:trHeight w:val="396"/>
              </w:trPr>
              <w:tc>
                <w:tcPr>
                  <w:tcW w:w="7562" w:type="dxa"/>
                  <w:gridSpan w:val="6"/>
                  <w:tcBorders>
                    <w:top w:val="single" w:sz="4" w:space="0" w:color="auto"/>
                    <w:left w:val="nil"/>
                    <w:bottom w:val="nil"/>
                    <w:right w:val="nil"/>
                  </w:tcBorders>
                  <w:vAlign w:val="center"/>
                </w:tcPr>
                <w:p w:rsidR="00E03A55" w:rsidRPr="002A0C77" w:rsidRDefault="00E03A55" w:rsidP="002A0C77">
                  <w:pPr>
                    <w:suppressAutoHyphens w:val="0"/>
                    <w:spacing w:after="0"/>
                    <w:ind w:firstLine="0"/>
                    <w:rPr>
                      <w:rFonts w:ascii="Arial" w:hAnsi="Arial" w:cs="Arial"/>
                      <w:color w:val="000000"/>
                      <w:sz w:val="16"/>
                      <w:szCs w:val="16"/>
                      <w:lang w:val="en-US" w:eastAsia="en-US"/>
                    </w:rPr>
                  </w:pPr>
                  <w:r w:rsidRPr="002A0C77">
                    <w:rPr>
                      <w:rFonts w:ascii="Arial" w:hAnsi="Arial" w:cs="Arial"/>
                      <w:color w:val="000000"/>
                      <w:sz w:val="16"/>
                      <w:szCs w:val="16"/>
                      <w:lang w:val="en-US" w:eastAsia="en-US"/>
                    </w:rPr>
                    <w:t>Statistical significance: * at 10%, ** at 5%, and *** at 1% level of significance. Both specifications controls for province and time specific effects.</w:t>
                  </w:r>
                </w:p>
              </w:tc>
            </w:tr>
          </w:tbl>
          <w:p w:rsidR="00E03A55" w:rsidRPr="005A54A5" w:rsidRDefault="00E03A55" w:rsidP="002A0C77">
            <w:pPr>
              <w:spacing w:after="0"/>
              <w:ind w:firstLine="0"/>
              <w:rPr>
                <w:rFonts w:ascii="Arial" w:hAnsi="Arial" w:cs="Arial"/>
                <w:b/>
                <w:bCs/>
                <w:color w:val="000000"/>
                <w:sz w:val="18"/>
                <w:szCs w:val="18"/>
                <w:lang w:val="en-US"/>
              </w:rPr>
            </w:pPr>
          </w:p>
        </w:tc>
      </w:tr>
      <w:tr w:rsidR="00E03A55" w:rsidRPr="00005F5F" w:rsidTr="002A0C77">
        <w:trPr>
          <w:trHeight w:val="229"/>
          <w:jc w:val="center"/>
        </w:trPr>
        <w:tc>
          <w:tcPr>
            <w:tcW w:w="6725" w:type="dxa"/>
            <w:tcBorders>
              <w:top w:val="nil"/>
              <w:left w:val="nil"/>
              <w:bottom w:val="nil"/>
              <w:right w:val="nil"/>
            </w:tcBorders>
            <w:noWrap/>
            <w:vAlign w:val="bottom"/>
          </w:tcPr>
          <w:p w:rsidR="00E03A55" w:rsidRPr="005A54A5" w:rsidRDefault="00E03A55" w:rsidP="002A0C77">
            <w:pPr>
              <w:spacing w:after="0"/>
              <w:ind w:left="-613" w:firstLine="0"/>
              <w:rPr>
                <w:rFonts w:ascii="Arial" w:hAnsi="Arial" w:cs="Arial"/>
                <w:b/>
                <w:sz w:val="18"/>
                <w:szCs w:val="18"/>
              </w:rPr>
            </w:pPr>
          </w:p>
        </w:tc>
      </w:tr>
    </w:tbl>
    <w:p w:rsidR="00E03A55" w:rsidRDefault="00E03A55" w:rsidP="00134C2D">
      <w:pPr>
        <w:pStyle w:val="Heading2"/>
      </w:pPr>
      <w:bookmarkStart w:id="72" w:name="_Toc237239725"/>
      <w:bookmarkStart w:id="73" w:name="_Toc239163852"/>
      <w:r w:rsidRPr="00B72F6B">
        <w:t>Impact of Public Health Spending on Skilled Birth Attendance</w:t>
      </w:r>
      <w:bookmarkEnd w:id="72"/>
      <w:bookmarkEnd w:id="73"/>
    </w:p>
    <w:p w:rsidR="00E03A55" w:rsidRDefault="00E03A55" w:rsidP="007147C6">
      <w:pPr>
        <w:spacing w:after="200"/>
        <w:jc w:val="both"/>
      </w:pPr>
      <w:r w:rsidRPr="00CB2501">
        <w:t>Table 5.2 presents the link between public health spending and the presence of skilled birth attendant at delivery. There are two specification presented: (1) specification with per capita total public expenditure, and (2) specification with per capita routine and development expenditures. The result shows that a 1-rupiah increase in per capita total public health spending is as</w:t>
      </w:r>
      <w:r>
        <w:t>sociated with 0.</w:t>
      </w:r>
      <w:r w:rsidRPr="00CB2501">
        <w:t xml:space="preserve">00000509 increases in the presence of skilled birth attendant at delivery. </w:t>
      </w:r>
      <w:r>
        <w:t xml:space="preserve">It also can be interpreted as a 10 % increase in average of per capita public health spending will increase the utilization of skilled birth attendance by 0.016. </w:t>
      </w:r>
      <w:r w:rsidRPr="00CB2501">
        <w:t xml:space="preserve">This result is statistically significant </w:t>
      </w:r>
      <w:r>
        <w:t>at 1% level of significance and</w:t>
      </w:r>
      <w:r w:rsidRPr="00CB2501">
        <w:t xml:space="preserve"> implies that investment of district governments on health sector will increase </w:t>
      </w:r>
      <w:r>
        <w:t xml:space="preserve">as </w:t>
      </w:r>
      <w:r w:rsidRPr="00CB2501">
        <w:t>the utilization of skilled birth attendance</w:t>
      </w:r>
      <w:r>
        <w:t xml:space="preserve"> increase</w:t>
      </w:r>
      <w:r w:rsidRPr="00CB2501">
        <w:t xml:space="preserve">. </w:t>
      </w:r>
    </w:p>
    <w:p w:rsidR="00E03A55" w:rsidRDefault="00E03A55" w:rsidP="007147C6">
      <w:pPr>
        <w:pStyle w:val="Caption"/>
        <w:keepNext/>
        <w:spacing w:after="200"/>
        <w:jc w:val="center"/>
      </w:pPr>
      <w:bookmarkStart w:id="74" w:name="_Toc239157740"/>
      <w:r w:rsidRPr="005A54A5">
        <w:rPr>
          <w:rFonts w:ascii="Arial" w:hAnsi="Arial" w:cs="Arial"/>
          <w:b/>
          <w:sz w:val="18"/>
          <w:szCs w:val="18"/>
        </w:rPr>
        <w:t xml:space="preserve">Table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5</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Table \* ARABIC \s 1 </w:instrText>
      </w:r>
      <w:r>
        <w:rPr>
          <w:rFonts w:ascii="Arial" w:hAnsi="Arial" w:cs="Arial"/>
          <w:b/>
          <w:sz w:val="18"/>
          <w:szCs w:val="18"/>
        </w:rPr>
        <w:fldChar w:fldCharType="separate"/>
      </w:r>
      <w:r>
        <w:rPr>
          <w:rFonts w:ascii="Arial" w:hAnsi="Arial" w:cs="Arial"/>
          <w:b/>
          <w:noProof/>
          <w:sz w:val="18"/>
          <w:szCs w:val="18"/>
        </w:rPr>
        <w:t>2</w:t>
      </w:r>
      <w:r>
        <w:rPr>
          <w:rFonts w:ascii="Arial" w:hAnsi="Arial" w:cs="Arial"/>
          <w:b/>
          <w:sz w:val="18"/>
          <w:szCs w:val="18"/>
        </w:rPr>
        <w:fldChar w:fldCharType="end"/>
      </w:r>
      <w:r w:rsidRPr="005A54A5">
        <w:rPr>
          <w:rFonts w:ascii="Arial" w:hAnsi="Arial" w:cs="Arial"/>
          <w:b/>
          <w:sz w:val="18"/>
          <w:szCs w:val="18"/>
        </w:rPr>
        <w:t xml:space="preserve"> Impact of</w:t>
      </w:r>
      <w:r>
        <w:rPr>
          <w:rFonts w:ascii="Arial" w:hAnsi="Arial" w:cs="Arial"/>
          <w:b/>
          <w:sz w:val="18"/>
          <w:szCs w:val="18"/>
        </w:rPr>
        <w:t xml:space="preserve"> Public Health Spending o</w:t>
      </w:r>
      <w:r w:rsidRPr="005A54A5">
        <w:rPr>
          <w:rFonts w:ascii="Arial" w:hAnsi="Arial" w:cs="Arial"/>
          <w:b/>
          <w:sz w:val="18"/>
          <w:szCs w:val="18"/>
        </w:rPr>
        <w:t>n Skilled Birth Attendance</w:t>
      </w:r>
      <w:bookmarkEnd w:id="74"/>
    </w:p>
    <w:tbl>
      <w:tblPr>
        <w:tblW w:w="7376" w:type="dxa"/>
        <w:tblInd w:w="95" w:type="dxa"/>
        <w:tblLook w:val="00A0"/>
      </w:tblPr>
      <w:tblGrid>
        <w:gridCol w:w="222"/>
        <w:gridCol w:w="2032"/>
        <w:gridCol w:w="1280"/>
        <w:gridCol w:w="1281"/>
        <w:gridCol w:w="1280"/>
        <w:gridCol w:w="1281"/>
      </w:tblGrid>
      <w:tr w:rsidR="00E03A55" w:rsidRPr="007147C6" w:rsidTr="007147C6">
        <w:trPr>
          <w:trHeight w:val="210"/>
        </w:trPr>
        <w:tc>
          <w:tcPr>
            <w:tcW w:w="2253" w:type="dxa"/>
            <w:gridSpan w:val="2"/>
            <w:vMerge w:val="restart"/>
            <w:tcBorders>
              <w:top w:val="single" w:sz="4" w:space="0" w:color="auto"/>
              <w:left w:val="nil"/>
              <w:bottom w:val="single" w:sz="4" w:space="0" w:color="000000"/>
              <w:right w:val="nil"/>
            </w:tcBorders>
            <w:vAlign w:val="center"/>
          </w:tcPr>
          <w:p w:rsidR="00E03A55" w:rsidRPr="007147C6" w:rsidRDefault="00E03A55" w:rsidP="007147C6">
            <w:pPr>
              <w:suppressAutoHyphens w:val="0"/>
              <w:spacing w:after="0"/>
              <w:ind w:firstLine="0"/>
              <w:jc w:val="center"/>
              <w:rPr>
                <w:rFonts w:ascii="Arial" w:hAnsi="Arial" w:cs="Arial"/>
                <w:b/>
                <w:bCs/>
                <w:color w:val="000000"/>
                <w:sz w:val="16"/>
                <w:szCs w:val="16"/>
                <w:lang w:val="en-US" w:eastAsia="en-US"/>
              </w:rPr>
            </w:pPr>
            <w:r w:rsidRPr="007147C6">
              <w:rPr>
                <w:rFonts w:ascii="Arial" w:hAnsi="Arial" w:cs="Arial"/>
                <w:b/>
                <w:bCs/>
                <w:color w:val="000000"/>
                <w:sz w:val="16"/>
                <w:szCs w:val="16"/>
                <w:lang w:val="en-US" w:eastAsia="en-US"/>
              </w:rPr>
              <w:t>Variable</w:t>
            </w:r>
          </w:p>
        </w:tc>
        <w:tc>
          <w:tcPr>
            <w:tcW w:w="2561" w:type="dxa"/>
            <w:gridSpan w:val="2"/>
            <w:tcBorders>
              <w:top w:val="single" w:sz="4" w:space="0" w:color="auto"/>
              <w:left w:val="nil"/>
              <w:bottom w:val="single" w:sz="4" w:space="0" w:color="auto"/>
              <w:right w:val="nil"/>
            </w:tcBorders>
            <w:vAlign w:val="center"/>
          </w:tcPr>
          <w:p w:rsidR="00E03A55" w:rsidRPr="007147C6" w:rsidRDefault="00E03A55" w:rsidP="007147C6">
            <w:pPr>
              <w:suppressAutoHyphens w:val="0"/>
              <w:spacing w:after="0"/>
              <w:ind w:firstLine="0"/>
              <w:jc w:val="center"/>
              <w:rPr>
                <w:rFonts w:ascii="Arial" w:hAnsi="Arial" w:cs="Arial"/>
                <w:b/>
                <w:bCs/>
                <w:color w:val="000000"/>
                <w:sz w:val="16"/>
                <w:szCs w:val="16"/>
                <w:lang w:val="en-US" w:eastAsia="en-US"/>
              </w:rPr>
            </w:pPr>
            <w:r w:rsidRPr="007147C6">
              <w:rPr>
                <w:rFonts w:ascii="Arial" w:hAnsi="Arial" w:cs="Arial"/>
                <w:b/>
                <w:bCs/>
                <w:color w:val="000000"/>
                <w:sz w:val="16"/>
                <w:szCs w:val="16"/>
                <w:lang w:val="en-US" w:eastAsia="en-US"/>
              </w:rPr>
              <w:t>Specification 1</w:t>
            </w:r>
          </w:p>
        </w:tc>
        <w:tc>
          <w:tcPr>
            <w:tcW w:w="2561" w:type="dxa"/>
            <w:gridSpan w:val="2"/>
            <w:tcBorders>
              <w:top w:val="single" w:sz="4" w:space="0" w:color="auto"/>
              <w:left w:val="nil"/>
              <w:bottom w:val="single" w:sz="4" w:space="0" w:color="auto"/>
              <w:right w:val="nil"/>
            </w:tcBorders>
            <w:vAlign w:val="center"/>
          </w:tcPr>
          <w:p w:rsidR="00E03A55" w:rsidRPr="007147C6" w:rsidRDefault="00E03A55" w:rsidP="007147C6">
            <w:pPr>
              <w:suppressAutoHyphens w:val="0"/>
              <w:spacing w:after="0"/>
              <w:ind w:firstLine="0"/>
              <w:jc w:val="center"/>
              <w:rPr>
                <w:rFonts w:ascii="Arial" w:hAnsi="Arial" w:cs="Arial"/>
                <w:b/>
                <w:bCs/>
                <w:color w:val="000000"/>
                <w:sz w:val="16"/>
                <w:szCs w:val="16"/>
                <w:lang w:val="en-US" w:eastAsia="en-US"/>
              </w:rPr>
            </w:pPr>
            <w:r w:rsidRPr="007147C6">
              <w:rPr>
                <w:rFonts w:ascii="Arial" w:hAnsi="Arial" w:cs="Arial"/>
                <w:b/>
                <w:bCs/>
                <w:color w:val="000000"/>
                <w:sz w:val="16"/>
                <w:szCs w:val="16"/>
                <w:lang w:val="en-US" w:eastAsia="en-US"/>
              </w:rPr>
              <w:t>Specification 2</w:t>
            </w:r>
          </w:p>
        </w:tc>
      </w:tr>
      <w:tr w:rsidR="00E03A55" w:rsidRPr="007147C6" w:rsidTr="007147C6">
        <w:trPr>
          <w:trHeight w:val="419"/>
        </w:trPr>
        <w:tc>
          <w:tcPr>
            <w:tcW w:w="2253" w:type="dxa"/>
            <w:gridSpan w:val="2"/>
            <w:vMerge/>
            <w:tcBorders>
              <w:top w:val="single" w:sz="4" w:space="0" w:color="auto"/>
              <w:left w:val="nil"/>
              <w:bottom w:val="single" w:sz="4" w:space="0" w:color="000000"/>
              <w:right w:val="nil"/>
            </w:tcBorders>
            <w:vAlign w:val="center"/>
          </w:tcPr>
          <w:p w:rsidR="00E03A55" w:rsidRPr="007147C6" w:rsidRDefault="00E03A55" w:rsidP="007147C6">
            <w:pPr>
              <w:suppressAutoHyphens w:val="0"/>
              <w:spacing w:after="0"/>
              <w:ind w:firstLine="0"/>
              <w:rPr>
                <w:rFonts w:ascii="Arial" w:hAnsi="Arial" w:cs="Arial"/>
                <w:b/>
                <w:bCs/>
                <w:color w:val="000000"/>
                <w:sz w:val="16"/>
                <w:szCs w:val="16"/>
                <w:lang w:val="en-US" w:eastAsia="en-US"/>
              </w:rPr>
            </w:pPr>
          </w:p>
        </w:tc>
        <w:tc>
          <w:tcPr>
            <w:tcW w:w="1280" w:type="dxa"/>
            <w:tcBorders>
              <w:top w:val="nil"/>
              <w:left w:val="nil"/>
              <w:bottom w:val="single" w:sz="4" w:space="0" w:color="auto"/>
              <w:right w:val="nil"/>
            </w:tcBorders>
            <w:vAlign w:val="center"/>
          </w:tcPr>
          <w:p w:rsidR="00E03A55" w:rsidRPr="007147C6" w:rsidRDefault="00E03A55" w:rsidP="007147C6">
            <w:pPr>
              <w:suppressAutoHyphens w:val="0"/>
              <w:spacing w:after="0"/>
              <w:ind w:firstLine="0"/>
              <w:jc w:val="center"/>
              <w:rPr>
                <w:rFonts w:ascii="Arial" w:hAnsi="Arial" w:cs="Arial"/>
                <w:b/>
                <w:bCs/>
                <w:color w:val="000000"/>
                <w:sz w:val="16"/>
                <w:szCs w:val="16"/>
                <w:lang w:val="en-US" w:eastAsia="en-US"/>
              </w:rPr>
            </w:pPr>
            <w:r w:rsidRPr="007147C6">
              <w:rPr>
                <w:rFonts w:ascii="Arial" w:hAnsi="Arial" w:cs="Arial"/>
                <w:b/>
                <w:bCs/>
                <w:color w:val="000000"/>
                <w:sz w:val="16"/>
                <w:szCs w:val="16"/>
                <w:lang w:val="en-US" w:eastAsia="en-US"/>
              </w:rPr>
              <w:t>Coefficient</w:t>
            </w:r>
          </w:p>
        </w:tc>
        <w:tc>
          <w:tcPr>
            <w:tcW w:w="1281" w:type="dxa"/>
            <w:tcBorders>
              <w:top w:val="nil"/>
              <w:left w:val="nil"/>
              <w:bottom w:val="single" w:sz="4" w:space="0" w:color="auto"/>
              <w:right w:val="nil"/>
            </w:tcBorders>
            <w:vAlign w:val="center"/>
          </w:tcPr>
          <w:p w:rsidR="00E03A55" w:rsidRPr="007147C6" w:rsidRDefault="00E03A55" w:rsidP="007147C6">
            <w:pPr>
              <w:suppressAutoHyphens w:val="0"/>
              <w:spacing w:after="0"/>
              <w:ind w:firstLine="0"/>
              <w:jc w:val="center"/>
              <w:rPr>
                <w:rFonts w:ascii="Arial" w:hAnsi="Arial" w:cs="Arial"/>
                <w:b/>
                <w:bCs/>
                <w:color w:val="000000"/>
                <w:sz w:val="16"/>
                <w:szCs w:val="16"/>
                <w:lang w:val="en-US" w:eastAsia="en-US"/>
              </w:rPr>
            </w:pPr>
            <w:r w:rsidRPr="007147C6">
              <w:rPr>
                <w:rFonts w:ascii="Arial" w:hAnsi="Arial" w:cs="Arial"/>
                <w:b/>
                <w:bCs/>
                <w:color w:val="000000"/>
                <w:sz w:val="16"/>
                <w:szCs w:val="16"/>
                <w:lang w:val="en-US" w:eastAsia="en-US"/>
              </w:rPr>
              <w:t>Robust Std. Error</w:t>
            </w:r>
          </w:p>
        </w:tc>
        <w:tc>
          <w:tcPr>
            <w:tcW w:w="1280" w:type="dxa"/>
            <w:tcBorders>
              <w:top w:val="nil"/>
              <w:left w:val="nil"/>
              <w:bottom w:val="single" w:sz="4" w:space="0" w:color="auto"/>
              <w:right w:val="nil"/>
            </w:tcBorders>
            <w:vAlign w:val="center"/>
          </w:tcPr>
          <w:p w:rsidR="00E03A55" w:rsidRPr="007147C6" w:rsidRDefault="00E03A55" w:rsidP="007147C6">
            <w:pPr>
              <w:suppressAutoHyphens w:val="0"/>
              <w:spacing w:after="0"/>
              <w:ind w:firstLine="0"/>
              <w:jc w:val="center"/>
              <w:rPr>
                <w:rFonts w:ascii="Arial" w:hAnsi="Arial" w:cs="Arial"/>
                <w:b/>
                <w:bCs/>
                <w:color w:val="000000"/>
                <w:sz w:val="16"/>
                <w:szCs w:val="16"/>
                <w:lang w:val="en-US" w:eastAsia="en-US"/>
              </w:rPr>
            </w:pPr>
            <w:r w:rsidRPr="007147C6">
              <w:rPr>
                <w:rFonts w:ascii="Arial" w:hAnsi="Arial" w:cs="Arial"/>
                <w:b/>
                <w:bCs/>
                <w:color w:val="000000"/>
                <w:sz w:val="16"/>
                <w:szCs w:val="16"/>
                <w:lang w:val="en-US" w:eastAsia="en-US"/>
              </w:rPr>
              <w:t>Coefficient</w:t>
            </w:r>
          </w:p>
        </w:tc>
        <w:tc>
          <w:tcPr>
            <w:tcW w:w="1281" w:type="dxa"/>
            <w:tcBorders>
              <w:top w:val="nil"/>
              <w:left w:val="nil"/>
              <w:bottom w:val="single" w:sz="4" w:space="0" w:color="auto"/>
              <w:right w:val="nil"/>
            </w:tcBorders>
            <w:vAlign w:val="center"/>
          </w:tcPr>
          <w:p w:rsidR="00E03A55" w:rsidRPr="007147C6" w:rsidRDefault="00E03A55" w:rsidP="007147C6">
            <w:pPr>
              <w:suppressAutoHyphens w:val="0"/>
              <w:spacing w:after="0"/>
              <w:ind w:firstLine="0"/>
              <w:jc w:val="center"/>
              <w:rPr>
                <w:rFonts w:ascii="Arial" w:hAnsi="Arial" w:cs="Arial"/>
                <w:b/>
                <w:bCs/>
                <w:color w:val="000000"/>
                <w:sz w:val="16"/>
                <w:szCs w:val="16"/>
                <w:lang w:val="en-US" w:eastAsia="en-US"/>
              </w:rPr>
            </w:pPr>
            <w:r w:rsidRPr="007147C6">
              <w:rPr>
                <w:rFonts w:ascii="Arial" w:hAnsi="Arial" w:cs="Arial"/>
                <w:b/>
                <w:bCs/>
                <w:color w:val="000000"/>
                <w:sz w:val="16"/>
                <w:szCs w:val="16"/>
                <w:lang w:val="en-US" w:eastAsia="en-US"/>
              </w:rPr>
              <w:t>Robust Std. Error</w:t>
            </w:r>
          </w:p>
        </w:tc>
      </w:tr>
      <w:tr w:rsidR="00E03A55" w:rsidRPr="007147C6" w:rsidTr="007147C6">
        <w:trPr>
          <w:trHeight w:val="409"/>
        </w:trPr>
        <w:tc>
          <w:tcPr>
            <w:tcW w:w="2253" w:type="dxa"/>
            <w:gridSpan w:val="2"/>
            <w:tcBorders>
              <w:top w:val="single" w:sz="4" w:space="0" w:color="auto"/>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Total health expenditure</w:t>
            </w:r>
          </w:p>
        </w:tc>
        <w:tc>
          <w:tcPr>
            <w:tcW w:w="1280"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0.00000509</w:t>
            </w: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0.0000018***</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r>
      <w:tr w:rsidR="00E03A55" w:rsidRPr="007147C6" w:rsidTr="007147C6">
        <w:trPr>
          <w:trHeight w:val="409"/>
        </w:trPr>
        <w:tc>
          <w:tcPr>
            <w:tcW w:w="2253" w:type="dxa"/>
            <w:gridSpan w:val="2"/>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 xml:space="preserve">Development health </w:t>
            </w:r>
            <w:r>
              <w:rPr>
                <w:rFonts w:ascii="Arial" w:hAnsi="Arial" w:cs="Arial"/>
                <w:color w:val="000000"/>
                <w:sz w:val="16"/>
                <w:szCs w:val="16"/>
                <w:lang w:val="en-US" w:eastAsia="en-US"/>
              </w:rPr>
              <w:t xml:space="preserve">       </w:t>
            </w:r>
            <w:r w:rsidRPr="007147C6">
              <w:rPr>
                <w:rFonts w:ascii="Arial" w:hAnsi="Arial" w:cs="Arial"/>
                <w:color w:val="000000"/>
                <w:sz w:val="16"/>
                <w:szCs w:val="16"/>
                <w:lang w:val="en-US" w:eastAsia="en-US"/>
              </w:rPr>
              <w:t>expenditure</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0.00000525</w:t>
            </w: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0.00000230**</w:t>
            </w:r>
          </w:p>
        </w:tc>
      </w:tr>
      <w:tr w:rsidR="00E03A55" w:rsidRPr="007147C6" w:rsidTr="007147C6">
        <w:trPr>
          <w:trHeight w:val="409"/>
        </w:trPr>
        <w:tc>
          <w:tcPr>
            <w:tcW w:w="2253" w:type="dxa"/>
            <w:gridSpan w:val="2"/>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Routine health expenditure</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c>
          <w:tcPr>
            <w:tcW w:w="1280"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0.00000327</w:t>
            </w: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0.00000452</w:t>
            </w:r>
          </w:p>
        </w:tc>
      </w:tr>
      <w:tr w:rsidR="00E03A55" w:rsidRPr="007147C6" w:rsidTr="007147C6">
        <w:trPr>
          <w:trHeight w:val="409"/>
        </w:trPr>
        <w:tc>
          <w:tcPr>
            <w:tcW w:w="2253" w:type="dxa"/>
            <w:gridSpan w:val="2"/>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Own house</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0.064</w:t>
            </w: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0.394</w:t>
            </w:r>
          </w:p>
        </w:tc>
        <w:tc>
          <w:tcPr>
            <w:tcW w:w="1280"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-0.146</w:t>
            </w: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0.394</w:t>
            </w:r>
          </w:p>
        </w:tc>
      </w:tr>
      <w:tr w:rsidR="00E03A55" w:rsidRPr="007147C6" w:rsidTr="007147C6">
        <w:trPr>
          <w:trHeight w:val="409"/>
        </w:trPr>
        <w:tc>
          <w:tcPr>
            <w:tcW w:w="2253" w:type="dxa"/>
            <w:gridSpan w:val="2"/>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Household size</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0.038</w:t>
            </w: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0.080</w:t>
            </w:r>
          </w:p>
        </w:tc>
        <w:tc>
          <w:tcPr>
            <w:tcW w:w="1280"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0.034</w:t>
            </w: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0.078</w:t>
            </w:r>
          </w:p>
        </w:tc>
      </w:tr>
      <w:tr w:rsidR="00E03A55" w:rsidRPr="007147C6" w:rsidTr="007147C6">
        <w:trPr>
          <w:trHeight w:val="409"/>
        </w:trPr>
        <w:tc>
          <w:tcPr>
            <w:tcW w:w="2253" w:type="dxa"/>
            <w:gridSpan w:val="2"/>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Rural population</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-0.657</w:t>
            </w: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0.576</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-0.887</w:t>
            </w: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0.637</w:t>
            </w:r>
          </w:p>
        </w:tc>
      </w:tr>
      <w:tr w:rsidR="00E03A55" w:rsidRPr="007147C6" w:rsidTr="007147C6">
        <w:trPr>
          <w:trHeight w:val="409"/>
        </w:trPr>
        <w:tc>
          <w:tcPr>
            <w:tcW w:w="2253" w:type="dxa"/>
            <w:gridSpan w:val="2"/>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 xml:space="preserve">Mother's education </w:t>
            </w:r>
            <w:r>
              <w:rPr>
                <w:rFonts w:ascii="Arial" w:hAnsi="Arial" w:cs="Arial"/>
                <w:color w:val="000000"/>
                <w:sz w:val="16"/>
                <w:szCs w:val="16"/>
                <w:lang w:val="en-US" w:eastAsia="en-US"/>
              </w:rPr>
              <w:t xml:space="preserve">         </w:t>
            </w:r>
            <w:r w:rsidRPr="007147C6">
              <w:rPr>
                <w:rFonts w:ascii="Arial" w:hAnsi="Arial" w:cs="Arial"/>
                <w:color w:val="000000"/>
                <w:sz w:val="16"/>
                <w:szCs w:val="16"/>
                <w:lang w:val="en-US" w:eastAsia="en-US"/>
              </w:rPr>
              <w:t xml:space="preserve">(reference: primary school) </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r>
      <w:tr w:rsidR="00E03A55" w:rsidRPr="007147C6" w:rsidTr="007147C6">
        <w:trPr>
          <w:trHeight w:val="409"/>
        </w:trPr>
        <w:tc>
          <w:tcPr>
            <w:tcW w:w="220" w:type="dxa"/>
            <w:tcBorders>
              <w:top w:val="nil"/>
              <w:left w:val="nil"/>
              <w:bottom w:val="nil"/>
              <w:right w:val="nil"/>
            </w:tcBorders>
            <w:noWrap/>
            <w:vAlign w:val="bottom"/>
          </w:tcPr>
          <w:p w:rsidR="00E03A55" w:rsidRPr="007147C6" w:rsidRDefault="00E03A55" w:rsidP="007147C6">
            <w:pPr>
              <w:suppressAutoHyphens w:val="0"/>
              <w:spacing w:after="0"/>
              <w:ind w:firstLine="0"/>
              <w:rPr>
                <w:rFonts w:ascii="Calibri" w:hAnsi="Calibri"/>
                <w:color w:val="000000"/>
                <w:sz w:val="22"/>
                <w:szCs w:val="22"/>
                <w:lang w:val="en-US" w:eastAsia="en-US"/>
              </w:rPr>
            </w:pPr>
          </w:p>
        </w:tc>
        <w:tc>
          <w:tcPr>
            <w:tcW w:w="2034" w:type="dxa"/>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Junior secondary</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0.569</w:t>
            </w: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0.413</w:t>
            </w:r>
          </w:p>
        </w:tc>
        <w:tc>
          <w:tcPr>
            <w:tcW w:w="1280"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0.624</w:t>
            </w: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0.428</w:t>
            </w:r>
          </w:p>
        </w:tc>
      </w:tr>
      <w:tr w:rsidR="00E03A55" w:rsidRPr="007147C6" w:rsidTr="007147C6">
        <w:trPr>
          <w:trHeight w:val="409"/>
        </w:trPr>
        <w:tc>
          <w:tcPr>
            <w:tcW w:w="220" w:type="dxa"/>
            <w:tcBorders>
              <w:top w:val="nil"/>
              <w:left w:val="nil"/>
              <w:bottom w:val="nil"/>
              <w:right w:val="nil"/>
            </w:tcBorders>
            <w:noWrap/>
            <w:vAlign w:val="bottom"/>
          </w:tcPr>
          <w:p w:rsidR="00E03A55" w:rsidRPr="007147C6" w:rsidRDefault="00E03A55" w:rsidP="007147C6">
            <w:pPr>
              <w:suppressAutoHyphens w:val="0"/>
              <w:spacing w:after="0"/>
              <w:ind w:firstLine="0"/>
              <w:rPr>
                <w:rFonts w:ascii="Calibri" w:hAnsi="Calibri"/>
                <w:color w:val="000000"/>
                <w:sz w:val="22"/>
                <w:szCs w:val="22"/>
                <w:lang w:val="en-US" w:eastAsia="en-US"/>
              </w:rPr>
            </w:pPr>
          </w:p>
        </w:tc>
        <w:tc>
          <w:tcPr>
            <w:tcW w:w="2034" w:type="dxa"/>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Senior secondary</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-0.858</w:t>
            </w: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0.440</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-0.954</w:t>
            </w: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0.440</w:t>
            </w:r>
            <w:r>
              <w:rPr>
                <w:rFonts w:ascii="Arial" w:hAnsi="Arial" w:cs="Arial"/>
                <w:color w:val="000000"/>
                <w:sz w:val="16"/>
                <w:szCs w:val="16"/>
                <w:lang w:val="en-US" w:eastAsia="en-US"/>
              </w:rPr>
              <w:t>**</w:t>
            </w:r>
          </w:p>
        </w:tc>
      </w:tr>
      <w:tr w:rsidR="00E03A55" w:rsidRPr="007147C6" w:rsidTr="007147C6">
        <w:trPr>
          <w:trHeight w:val="409"/>
        </w:trPr>
        <w:tc>
          <w:tcPr>
            <w:tcW w:w="220" w:type="dxa"/>
            <w:tcBorders>
              <w:top w:val="nil"/>
              <w:left w:val="nil"/>
              <w:bottom w:val="nil"/>
              <w:right w:val="nil"/>
            </w:tcBorders>
            <w:noWrap/>
            <w:vAlign w:val="bottom"/>
          </w:tcPr>
          <w:p w:rsidR="00E03A55" w:rsidRPr="007147C6" w:rsidRDefault="00E03A55" w:rsidP="007147C6">
            <w:pPr>
              <w:suppressAutoHyphens w:val="0"/>
              <w:spacing w:after="0"/>
              <w:ind w:firstLine="0"/>
              <w:rPr>
                <w:rFonts w:ascii="Calibri" w:hAnsi="Calibri"/>
                <w:color w:val="000000"/>
                <w:sz w:val="22"/>
                <w:szCs w:val="22"/>
                <w:lang w:val="en-US" w:eastAsia="en-US"/>
              </w:rPr>
            </w:pPr>
          </w:p>
        </w:tc>
        <w:tc>
          <w:tcPr>
            <w:tcW w:w="2034" w:type="dxa"/>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Higher education</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0.095</w:t>
            </w: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0.716</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0.206</w:t>
            </w:r>
          </w:p>
        </w:tc>
        <w:tc>
          <w:tcPr>
            <w:tcW w:w="1281"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0.634</w:t>
            </w:r>
          </w:p>
        </w:tc>
      </w:tr>
      <w:tr w:rsidR="00E03A55" w:rsidRPr="007147C6" w:rsidTr="007147C6">
        <w:trPr>
          <w:trHeight w:val="409"/>
        </w:trPr>
        <w:tc>
          <w:tcPr>
            <w:tcW w:w="2253" w:type="dxa"/>
            <w:gridSpan w:val="2"/>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i/>
                <w:iCs/>
                <w:color w:val="000000"/>
                <w:sz w:val="16"/>
                <w:szCs w:val="16"/>
                <w:lang w:val="en-US" w:eastAsia="en-US"/>
              </w:rPr>
              <w:t>Puskesmas</w:t>
            </w:r>
            <w:r w:rsidRPr="007147C6">
              <w:rPr>
                <w:rFonts w:ascii="Arial" w:hAnsi="Arial" w:cs="Arial"/>
                <w:color w:val="000000"/>
                <w:sz w:val="16"/>
                <w:szCs w:val="16"/>
                <w:lang w:val="en-US" w:eastAsia="en-US"/>
              </w:rPr>
              <w:t xml:space="preserve"> coverage</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0.729</w:t>
            </w: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0.021*</w:t>
            </w:r>
          </w:p>
        </w:tc>
        <w:tc>
          <w:tcPr>
            <w:tcW w:w="1280" w:type="dxa"/>
            <w:tcBorders>
              <w:top w:val="nil"/>
              <w:left w:val="nil"/>
              <w:bottom w:val="nil"/>
              <w:right w:val="nil"/>
            </w:tcBorders>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0.047</w:t>
            </w: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0.028</w:t>
            </w:r>
          </w:p>
        </w:tc>
      </w:tr>
      <w:tr w:rsidR="00E03A55" w:rsidRPr="007147C6" w:rsidTr="007147C6">
        <w:trPr>
          <w:trHeight w:val="409"/>
        </w:trPr>
        <w:tc>
          <w:tcPr>
            <w:tcW w:w="2253" w:type="dxa"/>
            <w:gridSpan w:val="2"/>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 xml:space="preserve">Total health expenditure  x </w:t>
            </w:r>
            <w:r w:rsidRPr="007147C6">
              <w:rPr>
                <w:rFonts w:ascii="Arial" w:hAnsi="Arial" w:cs="Arial"/>
                <w:i/>
                <w:iCs/>
                <w:color w:val="000000"/>
                <w:sz w:val="16"/>
                <w:szCs w:val="16"/>
                <w:lang w:val="en-US" w:eastAsia="en-US"/>
              </w:rPr>
              <w:t xml:space="preserve">puskesmas </w:t>
            </w:r>
            <w:r w:rsidRPr="007147C6">
              <w:rPr>
                <w:rFonts w:ascii="Arial" w:hAnsi="Arial" w:cs="Arial"/>
                <w:color w:val="000000"/>
                <w:sz w:val="16"/>
                <w:szCs w:val="16"/>
                <w:lang w:val="en-US" w:eastAsia="en-US"/>
              </w:rPr>
              <w:t>coverage</w:t>
            </w:r>
          </w:p>
        </w:tc>
        <w:tc>
          <w:tcPr>
            <w:tcW w:w="1280"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-0.000000836</w:t>
            </w: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0.000000336**</w:t>
            </w:r>
          </w:p>
        </w:tc>
        <w:tc>
          <w:tcPr>
            <w:tcW w:w="1280"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r>
      <w:tr w:rsidR="00E03A55" w:rsidRPr="007147C6" w:rsidTr="007147C6">
        <w:trPr>
          <w:trHeight w:val="409"/>
        </w:trPr>
        <w:tc>
          <w:tcPr>
            <w:tcW w:w="2253" w:type="dxa"/>
            <w:gridSpan w:val="2"/>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 xml:space="preserve">Development expenditure  x </w:t>
            </w:r>
            <w:r w:rsidRPr="007147C6">
              <w:rPr>
                <w:rFonts w:ascii="Arial" w:hAnsi="Arial" w:cs="Arial"/>
                <w:i/>
                <w:iCs/>
                <w:color w:val="000000"/>
                <w:sz w:val="16"/>
                <w:szCs w:val="16"/>
                <w:lang w:val="en-US" w:eastAsia="en-US"/>
              </w:rPr>
              <w:t xml:space="preserve">puskesmas </w:t>
            </w:r>
            <w:r w:rsidRPr="007147C6">
              <w:rPr>
                <w:rFonts w:ascii="Arial" w:hAnsi="Arial" w:cs="Arial"/>
                <w:color w:val="000000"/>
                <w:sz w:val="16"/>
                <w:szCs w:val="16"/>
                <w:lang w:val="en-US" w:eastAsia="en-US"/>
              </w:rPr>
              <w:t>coverage</w:t>
            </w:r>
          </w:p>
        </w:tc>
        <w:tc>
          <w:tcPr>
            <w:tcW w:w="1280"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c>
          <w:tcPr>
            <w:tcW w:w="1280"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-0.000000760</w:t>
            </w: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0.000000427*</w:t>
            </w:r>
          </w:p>
        </w:tc>
      </w:tr>
      <w:tr w:rsidR="00E03A55" w:rsidRPr="007147C6" w:rsidTr="007147C6">
        <w:trPr>
          <w:trHeight w:val="409"/>
        </w:trPr>
        <w:tc>
          <w:tcPr>
            <w:tcW w:w="2253" w:type="dxa"/>
            <w:gridSpan w:val="2"/>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 xml:space="preserve">Routine expenditure  x </w:t>
            </w:r>
            <w:r w:rsidRPr="007147C6">
              <w:rPr>
                <w:rFonts w:ascii="Arial" w:hAnsi="Arial" w:cs="Arial"/>
                <w:i/>
                <w:iCs/>
                <w:color w:val="000000"/>
                <w:sz w:val="16"/>
                <w:szCs w:val="16"/>
                <w:lang w:val="en-US" w:eastAsia="en-US"/>
              </w:rPr>
              <w:t xml:space="preserve">puskesmas </w:t>
            </w:r>
            <w:r w:rsidRPr="007147C6">
              <w:rPr>
                <w:rFonts w:ascii="Arial" w:hAnsi="Arial" w:cs="Arial"/>
                <w:color w:val="000000"/>
                <w:sz w:val="16"/>
                <w:szCs w:val="16"/>
                <w:lang w:val="en-US" w:eastAsia="en-US"/>
              </w:rPr>
              <w:t>coverage</w:t>
            </w:r>
          </w:p>
        </w:tc>
        <w:tc>
          <w:tcPr>
            <w:tcW w:w="1280"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p>
        </w:tc>
        <w:tc>
          <w:tcPr>
            <w:tcW w:w="1280"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-0.000000919</w:t>
            </w: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0.000000892</w:t>
            </w:r>
          </w:p>
        </w:tc>
      </w:tr>
      <w:tr w:rsidR="00E03A55" w:rsidRPr="007147C6" w:rsidTr="007147C6">
        <w:trPr>
          <w:trHeight w:val="409"/>
        </w:trPr>
        <w:tc>
          <w:tcPr>
            <w:tcW w:w="2253" w:type="dxa"/>
            <w:gridSpan w:val="2"/>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Constant</w:t>
            </w:r>
          </w:p>
        </w:tc>
        <w:tc>
          <w:tcPr>
            <w:tcW w:w="1280"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0.729</w:t>
            </w: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0.579</w:t>
            </w:r>
          </w:p>
        </w:tc>
        <w:tc>
          <w:tcPr>
            <w:tcW w:w="1280"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1.110</w:t>
            </w:r>
          </w:p>
        </w:tc>
        <w:tc>
          <w:tcPr>
            <w:tcW w:w="1281" w:type="dxa"/>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0.696</w:t>
            </w:r>
          </w:p>
        </w:tc>
      </w:tr>
      <w:tr w:rsidR="00E03A55" w:rsidRPr="007147C6" w:rsidTr="007147C6">
        <w:trPr>
          <w:trHeight w:val="409"/>
        </w:trPr>
        <w:tc>
          <w:tcPr>
            <w:tcW w:w="2253" w:type="dxa"/>
            <w:gridSpan w:val="2"/>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Observations</w:t>
            </w:r>
          </w:p>
        </w:tc>
        <w:tc>
          <w:tcPr>
            <w:tcW w:w="2561" w:type="dxa"/>
            <w:gridSpan w:val="2"/>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100</w:t>
            </w:r>
          </w:p>
        </w:tc>
        <w:tc>
          <w:tcPr>
            <w:tcW w:w="2561" w:type="dxa"/>
            <w:gridSpan w:val="2"/>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100</w:t>
            </w:r>
          </w:p>
        </w:tc>
      </w:tr>
      <w:tr w:rsidR="00E03A55" w:rsidRPr="007147C6" w:rsidTr="007147C6">
        <w:trPr>
          <w:trHeight w:val="409"/>
        </w:trPr>
        <w:tc>
          <w:tcPr>
            <w:tcW w:w="2253" w:type="dxa"/>
            <w:gridSpan w:val="2"/>
            <w:tcBorders>
              <w:top w:val="nil"/>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Number of provinces</w:t>
            </w:r>
          </w:p>
        </w:tc>
        <w:tc>
          <w:tcPr>
            <w:tcW w:w="2561" w:type="dxa"/>
            <w:gridSpan w:val="2"/>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25</w:t>
            </w:r>
          </w:p>
        </w:tc>
        <w:tc>
          <w:tcPr>
            <w:tcW w:w="2561" w:type="dxa"/>
            <w:gridSpan w:val="2"/>
            <w:tcBorders>
              <w:top w:val="nil"/>
              <w:left w:val="nil"/>
              <w:bottom w:val="nil"/>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25</w:t>
            </w:r>
          </w:p>
        </w:tc>
      </w:tr>
      <w:tr w:rsidR="00E03A55" w:rsidRPr="007147C6" w:rsidTr="007147C6">
        <w:trPr>
          <w:trHeight w:val="409"/>
        </w:trPr>
        <w:tc>
          <w:tcPr>
            <w:tcW w:w="2253" w:type="dxa"/>
            <w:gridSpan w:val="2"/>
            <w:tcBorders>
              <w:top w:val="nil"/>
              <w:left w:val="nil"/>
              <w:bottom w:val="single" w:sz="4" w:space="0" w:color="auto"/>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R</w:t>
            </w:r>
            <w:r w:rsidRPr="007147C6">
              <w:rPr>
                <w:rFonts w:ascii="Arial" w:hAnsi="Arial" w:cs="Arial"/>
                <w:color w:val="000000"/>
                <w:sz w:val="16"/>
                <w:szCs w:val="16"/>
                <w:vertAlign w:val="superscript"/>
                <w:lang w:val="en-US" w:eastAsia="en-US"/>
              </w:rPr>
              <w:t>2</w:t>
            </w:r>
            <w:r w:rsidRPr="007147C6">
              <w:rPr>
                <w:rFonts w:ascii="Arial" w:hAnsi="Arial" w:cs="Arial"/>
                <w:color w:val="000000"/>
                <w:sz w:val="16"/>
                <w:szCs w:val="16"/>
                <w:lang w:val="en-US" w:eastAsia="en-US"/>
              </w:rPr>
              <w:t xml:space="preserve"> (within)</w:t>
            </w:r>
          </w:p>
        </w:tc>
        <w:tc>
          <w:tcPr>
            <w:tcW w:w="2561" w:type="dxa"/>
            <w:gridSpan w:val="2"/>
            <w:tcBorders>
              <w:top w:val="nil"/>
              <w:left w:val="nil"/>
              <w:bottom w:val="single" w:sz="4" w:space="0" w:color="auto"/>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0.4631</w:t>
            </w:r>
          </w:p>
        </w:tc>
        <w:tc>
          <w:tcPr>
            <w:tcW w:w="2561" w:type="dxa"/>
            <w:gridSpan w:val="2"/>
            <w:tcBorders>
              <w:top w:val="nil"/>
              <w:left w:val="nil"/>
              <w:bottom w:val="single" w:sz="4" w:space="0" w:color="auto"/>
              <w:right w:val="nil"/>
            </w:tcBorders>
            <w:noWrap/>
            <w:vAlign w:val="center"/>
          </w:tcPr>
          <w:p w:rsidR="00E03A55" w:rsidRPr="007147C6" w:rsidRDefault="00E03A55" w:rsidP="007147C6">
            <w:pPr>
              <w:suppressAutoHyphens w:val="0"/>
              <w:spacing w:after="0"/>
              <w:ind w:firstLine="0"/>
              <w:jc w:val="center"/>
              <w:rPr>
                <w:rFonts w:ascii="Arial" w:hAnsi="Arial" w:cs="Arial"/>
                <w:color w:val="000000"/>
                <w:sz w:val="16"/>
                <w:szCs w:val="16"/>
                <w:lang w:val="en-US" w:eastAsia="en-US"/>
              </w:rPr>
            </w:pPr>
            <w:r w:rsidRPr="007147C6">
              <w:rPr>
                <w:rFonts w:ascii="Arial" w:hAnsi="Arial" w:cs="Arial"/>
                <w:color w:val="000000"/>
                <w:sz w:val="16"/>
                <w:szCs w:val="16"/>
                <w:lang w:val="en-US" w:eastAsia="en-US"/>
              </w:rPr>
              <w:t>0.4891</w:t>
            </w:r>
          </w:p>
        </w:tc>
      </w:tr>
      <w:tr w:rsidR="00E03A55" w:rsidRPr="007147C6" w:rsidTr="007147C6">
        <w:trPr>
          <w:trHeight w:val="504"/>
        </w:trPr>
        <w:tc>
          <w:tcPr>
            <w:tcW w:w="7375" w:type="dxa"/>
            <w:gridSpan w:val="6"/>
            <w:tcBorders>
              <w:top w:val="single" w:sz="4" w:space="0" w:color="auto"/>
              <w:left w:val="nil"/>
              <w:bottom w:val="nil"/>
              <w:right w:val="nil"/>
            </w:tcBorders>
            <w:vAlign w:val="center"/>
          </w:tcPr>
          <w:p w:rsidR="00E03A55" w:rsidRPr="007147C6" w:rsidRDefault="00E03A55" w:rsidP="007147C6">
            <w:pPr>
              <w:suppressAutoHyphens w:val="0"/>
              <w:spacing w:after="0"/>
              <w:ind w:firstLine="0"/>
              <w:rPr>
                <w:rFonts w:ascii="Arial" w:hAnsi="Arial" w:cs="Arial"/>
                <w:color w:val="000000"/>
                <w:sz w:val="16"/>
                <w:szCs w:val="16"/>
                <w:lang w:val="en-US" w:eastAsia="en-US"/>
              </w:rPr>
            </w:pPr>
            <w:r w:rsidRPr="007147C6">
              <w:rPr>
                <w:rFonts w:ascii="Arial" w:hAnsi="Arial" w:cs="Arial"/>
                <w:color w:val="000000"/>
                <w:sz w:val="16"/>
                <w:szCs w:val="16"/>
                <w:lang w:val="en-US" w:eastAsia="en-US"/>
              </w:rPr>
              <w:t>Statistical significance: * at 10%, ** at 5%, and *** at 1% level of significance. Both specifications controls for province and time specific effects.</w:t>
            </w:r>
          </w:p>
        </w:tc>
      </w:tr>
    </w:tbl>
    <w:p w:rsidR="00E03A55" w:rsidRDefault="00E03A55" w:rsidP="007147C6">
      <w:pPr>
        <w:tabs>
          <w:tab w:val="left" w:pos="567"/>
        </w:tabs>
        <w:jc w:val="both"/>
      </w:pPr>
      <w:r w:rsidRPr="00CB2501">
        <w:tab/>
        <w:t xml:space="preserve">In addition, this estimation also demonstrates two interesting results. First, </w:t>
      </w:r>
      <w:r w:rsidRPr="00CB2501">
        <w:rPr>
          <w:i/>
        </w:rPr>
        <w:t xml:space="preserve">puskesmas </w:t>
      </w:r>
      <w:r w:rsidRPr="00CB2501">
        <w:t xml:space="preserve">coverage is statistically significant at 10% level of significance. It suggests that increasing number of </w:t>
      </w:r>
      <w:r w:rsidRPr="00CB2501">
        <w:rPr>
          <w:i/>
        </w:rPr>
        <w:t>puskesmas</w:t>
      </w:r>
      <w:r w:rsidRPr="00CB2501">
        <w:t xml:space="preserve"> will improve the access of skilled birth attendant service. A one unit increase in </w:t>
      </w:r>
      <w:r w:rsidRPr="00CB2501">
        <w:rPr>
          <w:i/>
        </w:rPr>
        <w:t xml:space="preserve">puskesmas </w:t>
      </w:r>
      <w:r w:rsidRPr="00CB2501">
        <w:t xml:space="preserve">per 100,000 </w:t>
      </w:r>
      <w:r>
        <w:t>population is associated with 0.</w:t>
      </w:r>
      <w:r w:rsidRPr="00CB2501">
        <w:t xml:space="preserve">729 increase in the presence of skilled birth attendant at delivery. </w:t>
      </w:r>
      <w:r>
        <w:t xml:space="preserve">Second, the estimation result also reveals that the interaction term between per capita public expenditure and </w:t>
      </w:r>
      <w:r>
        <w:rPr>
          <w:i/>
        </w:rPr>
        <w:t>puskesmas</w:t>
      </w:r>
      <w:r>
        <w:t xml:space="preserve"> coverage is statistically significant at 10% level of significant. It confirms that public health spending is less effective in the presence of more </w:t>
      </w:r>
      <w:r w:rsidRPr="00A02418">
        <w:rPr>
          <w:i/>
        </w:rPr>
        <w:t>puskesmas</w:t>
      </w:r>
      <w:r>
        <w:t xml:space="preserve">. The marginal increase of public health spending is more effective if the health infrastructures are bad. This means that increasing of public health spending is relatively benefit for those people that live in the less developed areas or in the areas where the access to </w:t>
      </w:r>
      <w:r>
        <w:rPr>
          <w:i/>
        </w:rPr>
        <w:t>puskesmas</w:t>
      </w:r>
      <w:r>
        <w:t xml:space="preserve"> is low. </w:t>
      </w:r>
      <w:r w:rsidRPr="00CB2501">
        <w:t xml:space="preserve"> </w:t>
      </w:r>
    </w:p>
    <w:p w:rsidR="00E03A55" w:rsidRPr="000C36CD" w:rsidRDefault="00E03A55" w:rsidP="00DE6D6D">
      <w:pPr>
        <w:tabs>
          <w:tab w:val="left" w:pos="567"/>
        </w:tabs>
        <w:spacing w:after="0"/>
        <w:jc w:val="both"/>
      </w:pPr>
      <w:r w:rsidRPr="000C36CD">
        <w:t xml:space="preserve">However, when total public health expenditure </w:t>
      </w:r>
      <w:r>
        <w:t>separated</w:t>
      </w:r>
      <w:r w:rsidRPr="000C36CD">
        <w:t xml:space="preserve"> into development and routine expenditure, only development expenditure that statistically significant. This implies that the impact of total public spending on utilization of skill birth attendance mainly driven by development expenditure. It </w:t>
      </w:r>
      <w:r>
        <w:t xml:space="preserve">is </w:t>
      </w:r>
      <w:r w:rsidRPr="000C36CD">
        <w:t>statistic</w:t>
      </w:r>
      <w:r>
        <w:t>ally significant at</w:t>
      </w:r>
      <w:r w:rsidRPr="000C36CD">
        <w:t xml:space="preserve"> </w:t>
      </w:r>
      <w:r>
        <w:t xml:space="preserve">5 % of level of significance. The interaction between per capita development expenditure and </w:t>
      </w:r>
      <w:r>
        <w:rPr>
          <w:i/>
        </w:rPr>
        <w:t>puskesmas</w:t>
      </w:r>
      <w:r>
        <w:t xml:space="preserve"> coverage is also statistically significant at 10% level of significance. This finding confirms that per capita development expenditure is more effective in the less developed areas.</w:t>
      </w:r>
    </w:p>
    <w:p w:rsidR="00E03A55" w:rsidRDefault="00E03A55" w:rsidP="00134C2D">
      <w:pPr>
        <w:pStyle w:val="Heading2"/>
        <w:numPr>
          <w:ilvl w:val="1"/>
          <w:numId w:val="0"/>
        </w:numPr>
        <w:tabs>
          <w:tab w:val="num" w:pos="851"/>
        </w:tabs>
        <w:ind w:left="567" w:hanging="567"/>
        <w:rPr>
          <w:b w:val="0"/>
        </w:rPr>
      </w:pPr>
      <w:bookmarkStart w:id="75" w:name="_Toc239163853"/>
      <w:r w:rsidRPr="00C66C69">
        <w:t>5.4</w:t>
      </w:r>
      <w:r w:rsidRPr="00C66C69">
        <w:tab/>
        <w:t>Impact of Skilled Birth Attendance on Infant Mortality</w:t>
      </w:r>
      <w:bookmarkEnd w:id="75"/>
    </w:p>
    <w:p w:rsidR="00E03A55" w:rsidRDefault="00E03A55" w:rsidP="00134C2D">
      <w:pPr>
        <w:spacing w:after="0"/>
        <w:jc w:val="both"/>
      </w:pPr>
      <w:r w:rsidRPr="00F26159">
        <w:t xml:space="preserve">Table 5.4 </w:t>
      </w:r>
      <w:r>
        <w:t xml:space="preserve">depicts the regression results of three specifications that examine the association between skilled birth attendance and infant mortality. Since infant mortality </w:t>
      </w:r>
      <w:r w:rsidRPr="00FB4D1A">
        <w:t xml:space="preserve">represents </w:t>
      </w:r>
      <w:r>
        <w:t>number of infant who died one year before, it is relevant to relate this variable with last year skilled birth attendance. Thus, for skilled birth attendance variable, these three specifications use lagged one-year skilled birth attendant at delivery.</w:t>
      </w:r>
    </w:p>
    <w:p w:rsidR="00E03A55" w:rsidRDefault="00E03A55" w:rsidP="00134C2D">
      <w:pPr>
        <w:tabs>
          <w:tab w:val="left" w:pos="567"/>
        </w:tabs>
        <w:spacing w:after="0"/>
        <w:jc w:val="both"/>
      </w:pPr>
      <w:r>
        <w:tab/>
      </w:r>
      <w:r w:rsidRPr="00F26159">
        <w:t>Spe</w:t>
      </w:r>
      <w:r>
        <w:t>cification 1 serves as a baseline model that aims to examine a</w:t>
      </w:r>
      <w:r w:rsidRPr="00F26159">
        <w:t xml:space="preserve"> direct effect of skilled birth attendance on infant mortality</w:t>
      </w:r>
      <w:r>
        <w:t xml:space="preserve"> while controls for fraction of population having its own house, fraction of population living in rural area, proportion of households with closed sewage system, </w:t>
      </w:r>
      <w:r>
        <w:rPr>
          <w:i/>
        </w:rPr>
        <w:t>puskesmas</w:t>
      </w:r>
      <w:r>
        <w:t xml:space="preserve"> coverage, and mother’s education. The results show that although the expected signs are confirmed, only mothers highest completed junior secondary school compare to</w:t>
      </w:r>
      <w:r w:rsidRPr="004C5B62">
        <w:t xml:space="preserve"> </w:t>
      </w:r>
      <w:r>
        <w:t>that with p</w:t>
      </w:r>
      <w:r w:rsidRPr="004C5B62">
        <w:t xml:space="preserve">rimary education highest </w:t>
      </w:r>
      <w:r>
        <w:t>completed that statistically significant at 10 % level of significance. This finding suggests that mother’s education plays an important role in combating infant mortality. Meanwhile, t</w:t>
      </w:r>
      <w:r w:rsidRPr="00F26159">
        <w:t xml:space="preserve">he </w:t>
      </w:r>
      <w:r>
        <w:t xml:space="preserve">presence of skilled birth attendant at delivery </w:t>
      </w:r>
      <w:r w:rsidRPr="00F26159">
        <w:t xml:space="preserve">is not statistically significant affect infant mortality. </w:t>
      </w:r>
      <w:r>
        <w:t>T</w:t>
      </w:r>
      <w:r w:rsidRPr="00F26159">
        <w:t>here is no sufficient statistical evidence to conclude that skilled birth attendance affects infant mortality rate.</w:t>
      </w:r>
    </w:p>
    <w:p w:rsidR="00E03A55" w:rsidRPr="00ED2235" w:rsidRDefault="00E03A55" w:rsidP="00250A58">
      <w:pPr>
        <w:tabs>
          <w:tab w:val="left" w:pos="567"/>
        </w:tabs>
        <w:spacing w:after="200"/>
        <w:jc w:val="both"/>
      </w:pPr>
      <w:r>
        <w:tab/>
      </w:r>
      <w:r w:rsidRPr="00ED2235">
        <w:t xml:space="preserve">On the other hand, specification 2 treats infant mortality rate as a function of skilled birth attendance and public health spending. </w:t>
      </w:r>
      <w:r>
        <w:t>By introducing per capita total public health spending, t</w:t>
      </w:r>
      <w:r w:rsidRPr="00ED2235">
        <w:t>his specification will give not only the effect of public health spending on infant mortality</w:t>
      </w:r>
      <w:r>
        <w:t xml:space="preserve"> rate that works through utilization</w:t>
      </w:r>
      <w:r w:rsidRPr="00ED2235">
        <w:t xml:space="preserve"> of skilled birth attendance but also the direct effect of public health spending. The result confirms</w:t>
      </w:r>
      <w:r>
        <w:t>, again,</w:t>
      </w:r>
      <w:r w:rsidRPr="00ED2235">
        <w:t xml:space="preserve"> that the use of skilled birth attendance is not statistically associated with reduction of infant mortality rate.</w:t>
      </w:r>
      <w:r>
        <w:t xml:space="preserve"> However, in this specification R</w:t>
      </w:r>
      <w:r>
        <w:rPr>
          <w:vertAlign w:val="superscript"/>
        </w:rPr>
        <w:t>2</w:t>
      </w:r>
      <w:r>
        <w:t xml:space="preserve"> is increasing significantly, as per capita public health expenditure includes in the model. This proves that public health spending is an important aspect that determines the reduction of infant mortality. Moreover, in this specification mother’s highest completed junior secondary school compare to</w:t>
      </w:r>
      <w:r w:rsidRPr="004C5B62">
        <w:t xml:space="preserve"> </w:t>
      </w:r>
      <w:r>
        <w:t>that with p</w:t>
      </w:r>
      <w:r w:rsidRPr="004C5B62">
        <w:t xml:space="preserve">rimary education highest </w:t>
      </w:r>
      <w:r>
        <w:t>completed shows also a statistically significant result. It is statistically significant at 1% level of significance.</w:t>
      </w:r>
    </w:p>
    <w:p w:rsidR="00E03A55" w:rsidRDefault="00E03A55" w:rsidP="00250A58">
      <w:pPr>
        <w:tabs>
          <w:tab w:val="left" w:pos="567"/>
        </w:tabs>
        <w:spacing w:after="200"/>
        <w:ind w:firstLine="0"/>
        <w:jc w:val="center"/>
        <w:rPr>
          <w:rFonts w:ascii="Arial" w:hAnsi="Arial" w:cs="Arial"/>
          <w:b/>
          <w:sz w:val="18"/>
          <w:szCs w:val="18"/>
        </w:rPr>
      </w:pPr>
      <w:bookmarkStart w:id="76" w:name="_Toc239157741"/>
      <w:r w:rsidRPr="005A54A5">
        <w:rPr>
          <w:rFonts w:ascii="Arial" w:hAnsi="Arial" w:cs="Arial"/>
          <w:b/>
          <w:sz w:val="18"/>
          <w:szCs w:val="18"/>
        </w:rPr>
        <w:t xml:space="preserve">Table </w:t>
      </w:r>
      <w:r>
        <w:rPr>
          <w:rFonts w:ascii="Arial" w:hAnsi="Arial" w:cs="Arial"/>
          <w:b/>
          <w:sz w:val="18"/>
          <w:szCs w:val="18"/>
        </w:rPr>
        <w:fldChar w:fldCharType="begin"/>
      </w:r>
      <w:r>
        <w:rPr>
          <w:rFonts w:ascii="Arial" w:hAnsi="Arial" w:cs="Arial"/>
          <w:b/>
          <w:sz w:val="18"/>
          <w:szCs w:val="18"/>
        </w:rPr>
        <w:instrText xml:space="preserve"> STYLEREF 1 \s </w:instrText>
      </w:r>
      <w:r>
        <w:rPr>
          <w:rFonts w:ascii="Arial" w:hAnsi="Arial" w:cs="Arial"/>
          <w:b/>
          <w:sz w:val="18"/>
          <w:szCs w:val="18"/>
        </w:rPr>
        <w:fldChar w:fldCharType="separate"/>
      </w:r>
      <w:r>
        <w:rPr>
          <w:rFonts w:ascii="Arial" w:hAnsi="Arial" w:cs="Arial"/>
          <w:b/>
          <w:noProof/>
          <w:sz w:val="18"/>
          <w:szCs w:val="18"/>
        </w:rPr>
        <w:t>5</w:t>
      </w:r>
      <w:r>
        <w:rPr>
          <w:rFonts w:ascii="Arial" w:hAnsi="Arial" w:cs="Arial"/>
          <w:b/>
          <w:sz w:val="18"/>
          <w:szCs w:val="18"/>
        </w:rPr>
        <w:fldChar w:fldCharType="end"/>
      </w:r>
      <w:r>
        <w:rPr>
          <w:rFonts w:ascii="Arial" w:hAnsi="Arial" w:cs="Arial"/>
          <w:b/>
          <w:sz w:val="18"/>
          <w:szCs w:val="18"/>
        </w:rPr>
        <w:t>.</w:t>
      </w:r>
      <w:r>
        <w:rPr>
          <w:rFonts w:ascii="Arial" w:hAnsi="Arial" w:cs="Arial"/>
          <w:b/>
          <w:sz w:val="18"/>
          <w:szCs w:val="18"/>
        </w:rPr>
        <w:fldChar w:fldCharType="begin"/>
      </w:r>
      <w:r>
        <w:rPr>
          <w:rFonts w:ascii="Arial" w:hAnsi="Arial" w:cs="Arial"/>
          <w:b/>
          <w:sz w:val="18"/>
          <w:szCs w:val="18"/>
        </w:rPr>
        <w:instrText xml:space="preserve"> SEQ Table \* ARABIC \s 1 </w:instrText>
      </w:r>
      <w:r>
        <w:rPr>
          <w:rFonts w:ascii="Arial" w:hAnsi="Arial" w:cs="Arial"/>
          <w:b/>
          <w:sz w:val="18"/>
          <w:szCs w:val="18"/>
        </w:rPr>
        <w:fldChar w:fldCharType="separate"/>
      </w:r>
      <w:r>
        <w:rPr>
          <w:rFonts w:ascii="Arial" w:hAnsi="Arial" w:cs="Arial"/>
          <w:b/>
          <w:noProof/>
          <w:sz w:val="18"/>
          <w:szCs w:val="18"/>
        </w:rPr>
        <w:t>3</w:t>
      </w:r>
      <w:r>
        <w:rPr>
          <w:rFonts w:ascii="Arial" w:hAnsi="Arial" w:cs="Arial"/>
          <w:b/>
          <w:sz w:val="18"/>
          <w:szCs w:val="18"/>
        </w:rPr>
        <w:fldChar w:fldCharType="end"/>
      </w:r>
      <w:r w:rsidRPr="005A54A5">
        <w:rPr>
          <w:rFonts w:ascii="Arial" w:hAnsi="Arial" w:cs="Arial"/>
          <w:b/>
          <w:sz w:val="18"/>
          <w:szCs w:val="18"/>
        </w:rPr>
        <w:t xml:space="preserve"> Impact of </w:t>
      </w:r>
      <w:r>
        <w:rPr>
          <w:rFonts w:ascii="Arial" w:hAnsi="Arial" w:cs="Arial"/>
          <w:b/>
          <w:sz w:val="18"/>
          <w:szCs w:val="18"/>
        </w:rPr>
        <w:t>Skilled Birth Attendance on I</w:t>
      </w:r>
      <w:r w:rsidRPr="005A54A5">
        <w:rPr>
          <w:rFonts w:ascii="Arial" w:hAnsi="Arial" w:cs="Arial"/>
          <w:b/>
          <w:sz w:val="18"/>
          <w:szCs w:val="18"/>
        </w:rPr>
        <w:t xml:space="preserve">nfant </w:t>
      </w:r>
      <w:r>
        <w:rPr>
          <w:rFonts w:ascii="Arial" w:hAnsi="Arial" w:cs="Arial"/>
          <w:b/>
          <w:sz w:val="18"/>
          <w:szCs w:val="18"/>
        </w:rPr>
        <w:t>M</w:t>
      </w:r>
      <w:r w:rsidRPr="005A54A5">
        <w:rPr>
          <w:rFonts w:ascii="Arial" w:hAnsi="Arial" w:cs="Arial"/>
          <w:b/>
          <w:sz w:val="18"/>
          <w:szCs w:val="18"/>
        </w:rPr>
        <w:t>ortality</w:t>
      </w:r>
      <w:bookmarkEnd w:id="76"/>
    </w:p>
    <w:tbl>
      <w:tblPr>
        <w:tblW w:w="7500" w:type="dxa"/>
        <w:tblInd w:w="95" w:type="dxa"/>
        <w:tblLook w:val="00A0"/>
      </w:tblPr>
      <w:tblGrid>
        <w:gridCol w:w="222"/>
        <w:gridCol w:w="1358"/>
        <w:gridCol w:w="920"/>
        <w:gridCol w:w="920"/>
        <w:gridCol w:w="1020"/>
        <w:gridCol w:w="1020"/>
        <w:gridCol w:w="1020"/>
        <w:gridCol w:w="1020"/>
      </w:tblGrid>
      <w:tr w:rsidR="00E03A55" w:rsidRPr="00250A58" w:rsidTr="00250A58">
        <w:trPr>
          <w:trHeight w:val="300"/>
        </w:trPr>
        <w:tc>
          <w:tcPr>
            <w:tcW w:w="1580" w:type="dxa"/>
            <w:gridSpan w:val="2"/>
            <w:vMerge w:val="restart"/>
            <w:tcBorders>
              <w:top w:val="single" w:sz="4" w:space="0" w:color="auto"/>
              <w:left w:val="nil"/>
              <w:bottom w:val="single" w:sz="4" w:space="0" w:color="000000"/>
              <w:right w:val="nil"/>
            </w:tcBorders>
            <w:vAlign w:val="center"/>
          </w:tcPr>
          <w:p w:rsidR="00E03A55" w:rsidRPr="00250A58" w:rsidRDefault="00E03A55" w:rsidP="00250A58">
            <w:pPr>
              <w:suppressAutoHyphens w:val="0"/>
              <w:spacing w:after="0"/>
              <w:ind w:firstLine="0"/>
              <w:jc w:val="center"/>
              <w:rPr>
                <w:rFonts w:ascii="Arial" w:hAnsi="Arial" w:cs="Arial"/>
                <w:b/>
                <w:bCs/>
                <w:color w:val="000000"/>
                <w:sz w:val="14"/>
                <w:szCs w:val="14"/>
                <w:lang w:val="en-US" w:eastAsia="en-US"/>
              </w:rPr>
            </w:pPr>
            <w:r w:rsidRPr="00250A58">
              <w:rPr>
                <w:rFonts w:ascii="Arial" w:hAnsi="Arial" w:cs="Arial"/>
                <w:b/>
                <w:bCs/>
                <w:color w:val="000000"/>
                <w:sz w:val="14"/>
                <w:szCs w:val="14"/>
                <w:lang w:val="en-US" w:eastAsia="en-US"/>
              </w:rPr>
              <w:t>Variable</w:t>
            </w:r>
          </w:p>
        </w:tc>
        <w:tc>
          <w:tcPr>
            <w:tcW w:w="1840" w:type="dxa"/>
            <w:gridSpan w:val="2"/>
            <w:tcBorders>
              <w:top w:val="single" w:sz="4" w:space="0" w:color="auto"/>
              <w:left w:val="nil"/>
              <w:bottom w:val="single" w:sz="4" w:space="0" w:color="auto"/>
              <w:right w:val="nil"/>
            </w:tcBorders>
            <w:vAlign w:val="center"/>
          </w:tcPr>
          <w:p w:rsidR="00E03A55" w:rsidRPr="00250A58" w:rsidRDefault="00E03A55" w:rsidP="00250A58">
            <w:pPr>
              <w:suppressAutoHyphens w:val="0"/>
              <w:spacing w:after="0"/>
              <w:ind w:firstLine="0"/>
              <w:jc w:val="center"/>
              <w:rPr>
                <w:rFonts w:ascii="Arial" w:hAnsi="Arial" w:cs="Arial"/>
                <w:b/>
                <w:bCs/>
                <w:color w:val="000000"/>
                <w:sz w:val="14"/>
                <w:szCs w:val="14"/>
                <w:lang w:val="en-US" w:eastAsia="en-US"/>
              </w:rPr>
            </w:pPr>
            <w:r w:rsidRPr="00250A58">
              <w:rPr>
                <w:rFonts w:ascii="Arial" w:hAnsi="Arial" w:cs="Arial"/>
                <w:b/>
                <w:bCs/>
                <w:color w:val="000000"/>
                <w:sz w:val="14"/>
                <w:szCs w:val="14"/>
                <w:lang w:val="en-US" w:eastAsia="en-US"/>
              </w:rPr>
              <w:t>Specification 1</w:t>
            </w:r>
          </w:p>
        </w:tc>
        <w:tc>
          <w:tcPr>
            <w:tcW w:w="2040" w:type="dxa"/>
            <w:gridSpan w:val="2"/>
            <w:tcBorders>
              <w:top w:val="single" w:sz="4" w:space="0" w:color="auto"/>
              <w:left w:val="nil"/>
              <w:bottom w:val="single" w:sz="4" w:space="0" w:color="auto"/>
              <w:right w:val="nil"/>
            </w:tcBorders>
            <w:vAlign w:val="center"/>
          </w:tcPr>
          <w:p w:rsidR="00E03A55" w:rsidRPr="00250A58" w:rsidRDefault="00E03A55" w:rsidP="00250A58">
            <w:pPr>
              <w:suppressAutoHyphens w:val="0"/>
              <w:spacing w:after="0"/>
              <w:ind w:firstLine="0"/>
              <w:jc w:val="center"/>
              <w:rPr>
                <w:rFonts w:ascii="Arial" w:hAnsi="Arial" w:cs="Arial"/>
                <w:b/>
                <w:bCs/>
                <w:color w:val="000000"/>
                <w:sz w:val="14"/>
                <w:szCs w:val="14"/>
                <w:lang w:val="en-US" w:eastAsia="en-US"/>
              </w:rPr>
            </w:pPr>
            <w:r w:rsidRPr="00250A58">
              <w:rPr>
                <w:rFonts w:ascii="Arial" w:hAnsi="Arial" w:cs="Arial"/>
                <w:b/>
                <w:bCs/>
                <w:color w:val="000000"/>
                <w:sz w:val="14"/>
                <w:szCs w:val="14"/>
                <w:lang w:val="en-US" w:eastAsia="en-US"/>
              </w:rPr>
              <w:t>Specification 2</w:t>
            </w:r>
          </w:p>
        </w:tc>
        <w:tc>
          <w:tcPr>
            <w:tcW w:w="2040" w:type="dxa"/>
            <w:gridSpan w:val="2"/>
            <w:tcBorders>
              <w:top w:val="single" w:sz="4" w:space="0" w:color="auto"/>
              <w:left w:val="nil"/>
              <w:bottom w:val="single" w:sz="4" w:space="0" w:color="auto"/>
              <w:right w:val="nil"/>
            </w:tcBorders>
            <w:vAlign w:val="center"/>
          </w:tcPr>
          <w:p w:rsidR="00E03A55" w:rsidRPr="00250A58" w:rsidRDefault="00E03A55" w:rsidP="00250A58">
            <w:pPr>
              <w:suppressAutoHyphens w:val="0"/>
              <w:spacing w:after="0"/>
              <w:ind w:firstLine="0"/>
              <w:jc w:val="center"/>
              <w:rPr>
                <w:rFonts w:ascii="Arial" w:hAnsi="Arial" w:cs="Arial"/>
                <w:b/>
                <w:bCs/>
                <w:color w:val="000000"/>
                <w:sz w:val="14"/>
                <w:szCs w:val="14"/>
                <w:lang w:val="en-US" w:eastAsia="en-US"/>
              </w:rPr>
            </w:pPr>
            <w:r w:rsidRPr="00250A58">
              <w:rPr>
                <w:rFonts w:ascii="Arial" w:hAnsi="Arial" w:cs="Arial"/>
                <w:b/>
                <w:bCs/>
                <w:color w:val="000000"/>
                <w:sz w:val="14"/>
                <w:szCs w:val="14"/>
                <w:lang w:val="en-US" w:eastAsia="en-US"/>
              </w:rPr>
              <w:t>Specification 3</w:t>
            </w:r>
          </w:p>
        </w:tc>
      </w:tr>
      <w:tr w:rsidR="00E03A55" w:rsidRPr="00250A58" w:rsidTr="00250A58">
        <w:trPr>
          <w:trHeight w:val="360"/>
        </w:trPr>
        <w:tc>
          <w:tcPr>
            <w:tcW w:w="1580" w:type="dxa"/>
            <w:gridSpan w:val="2"/>
            <w:vMerge/>
            <w:tcBorders>
              <w:top w:val="single" w:sz="4" w:space="0" w:color="auto"/>
              <w:left w:val="nil"/>
              <w:bottom w:val="single" w:sz="4" w:space="0" w:color="000000"/>
              <w:right w:val="nil"/>
            </w:tcBorders>
            <w:vAlign w:val="center"/>
          </w:tcPr>
          <w:p w:rsidR="00E03A55" w:rsidRPr="00250A58" w:rsidRDefault="00E03A55" w:rsidP="00250A58">
            <w:pPr>
              <w:suppressAutoHyphens w:val="0"/>
              <w:spacing w:after="0"/>
              <w:ind w:firstLine="0"/>
              <w:rPr>
                <w:rFonts w:ascii="Arial" w:hAnsi="Arial" w:cs="Arial"/>
                <w:b/>
                <w:bCs/>
                <w:color w:val="000000"/>
                <w:sz w:val="14"/>
                <w:szCs w:val="14"/>
                <w:lang w:val="en-US" w:eastAsia="en-US"/>
              </w:rPr>
            </w:pPr>
          </w:p>
        </w:tc>
        <w:tc>
          <w:tcPr>
            <w:tcW w:w="920" w:type="dxa"/>
            <w:tcBorders>
              <w:top w:val="nil"/>
              <w:left w:val="nil"/>
              <w:bottom w:val="single" w:sz="4" w:space="0" w:color="auto"/>
              <w:right w:val="nil"/>
            </w:tcBorders>
            <w:vAlign w:val="center"/>
          </w:tcPr>
          <w:p w:rsidR="00E03A55" w:rsidRPr="00250A58" w:rsidRDefault="00E03A55" w:rsidP="00250A58">
            <w:pPr>
              <w:suppressAutoHyphens w:val="0"/>
              <w:spacing w:after="0"/>
              <w:ind w:firstLine="0"/>
              <w:jc w:val="center"/>
              <w:rPr>
                <w:rFonts w:ascii="Arial" w:hAnsi="Arial" w:cs="Arial"/>
                <w:b/>
                <w:bCs/>
                <w:color w:val="000000"/>
                <w:sz w:val="14"/>
                <w:szCs w:val="14"/>
                <w:lang w:val="en-US" w:eastAsia="en-US"/>
              </w:rPr>
            </w:pPr>
            <w:r w:rsidRPr="00250A58">
              <w:rPr>
                <w:rFonts w:ascii="Arial" w:hAnsi="Arial" w:cs="Arial"/>
                <w:b/>
                <w:bCs/>
                <w:color w:val="000000"/>
                <w:sz w:val="14"/>
                <w:szCs w:val="14"/>
                <w:lang w:val="en-US" w:eastAsia="en-US"/>
              </w:rPr>
              <w:t>Coeff.</w:t>
            </w:r>
          </w:p>
        </w:tc>
        <w:tc>
          <w:tcPr>
            <w:tcW w:w="920" w:type="dxa"/>
            <w:tcBorders>
              <w:top w:val="nil"/>
              <w:left w:val="nil"/>
              <w:bottom w:val="single" w:sz="4" w:space="0" w:color="auto"/>
              <w:right w:val="nil"/>
            </w:tcBorders>
            <w:vAlign w:val="center"/>
          </w:tcPr>
          <w:p w:rsidR="00E03A55" w:rsidRPr="00250A58" w:rsidRDefault="00E03A55" w:rsidP="00250A58">
            <w:pPr>
              <w:suppressAutoHyphens w:val="0"/>
              <w:spacing w:after="0"/>
              <w:ind w:firstLine="0"/>
              <w:jc w:val="center"/>
              <w:rPr>
                <w:rFonts w:ascii="Arial" w:hAnsi="Arial" w:cs="Arial"/>
                <w:b/>
                <w:bCs/>
                <w:color w:val="000000"/>
                <w:sz w:val="14"/>
                <w:szCs w:val="14"/>
                <w:lang w:val="en-US" w:eastAsia="en-US"/>
              </w:rPr>
            </w:pPr>
            <w:r w:rsidRPr="00250A58">
              <w:rPr>
                <w:rFonts w:ascii="Arial" w:hAnsi="Arial" w:cs="Arial"/>
                <w:b/>
                <w:bCs/>
                <w:color w:val="000000"/>
                <w:sz w:val="14"/>
                <w:szCs w:val="14"/>
                <w:lang w:val="en-US" w:eastAsia="en-US"/>
              </w:rPr>
              <w:t>Robust Std. Error</w:t>
            </w:r>
          </w:p>
        </w:tc>
        <w:tc>
          <w:tcPr>
            <w:tcW w:w="1020" w:type="dxa"/>
            <w:tcBorders>
              <w:top w:val="nil"/>
              <w:left w:val="nil"/>
              <w:bottom w:val="single" w:sz="4" w:space="0" w:color="auto"/>
              <w:right w:val="nil"/>
            </w:tcBorders>
            <w:vAlign w:val="center"/>
          </w:tcPr>
          <w:p w:rsidR="00E03A55" w:rsidRPr="00250A58" w:rsidRDefault="00E03A55" w:rsidP="00250A58">
            <w:pPr>
              <w:suppressAutoHyphens w:val="0"/>
              <w:spacing w:after="0"/>
              <w:ind w:firstLine="0"/>
              <w:jc w:val="center"/>
              <w:rPr>
                <w:rFonts w:ascii="Arial" w:hAnsi="Arial" w:cs="Arial"/>
                <w:b/>
                <w:bCs/>
                <w:color w:val="000000"/>
                <w:sz w:val="14"/>
                <w:szCs w:val="14"/>
                <w:lang w:val="en-US" w:eastAsia="en-US"/>
              </w:rPr>
            </w:pPr>
            <w:r w:rsidRPr="00250A58">
              <w:rPr>
                <w:rFonts w:ascii="Arial" w:hAnsi="Arial" w:cs="Arial"/>
                <w:b/>
                <w:bCs/>
                <w:color w:val="000000"/>
                <w:sz w:val="14"/>
                <w:szCs w:val="14"/>
                <w:lang w:val="en-US" w:eastAsia="en-US"/>
              </w:rPr>
              <w:t>Coeff.</w:t>
            </w:r>
          </w:p>
        </w:tc>
        <w:tc>
          <w:tcPr>
            <w:tcW w:w="1020" w:type="dxa"/>
            <w:tcBorders>
              <w:top w:val="nil"/>
              <w:left w:val="nil"/>
              <w:bottom w:val="single" w:sz="4" w:space="0" w:color="auto"/>
              <w:right w:val="nil"/>
            </w:tcBorders>
            <w:vAlign w:val="center"/>
          </w:tcPr>
          <w:p w:rsidR="00E03A55" w:rsidRPr="00250A58" w:rsidRDefault="00E03A55" w:rsidP="00250A58">
            <w:pPr>
              <w:suppressAutoHyphens w:val="0"/>
              <w:spacing w:after="0"/>
              <w:ind w:firstLine="0"/>
              <w:jc w:val="center"/>
              <w:rPr>
                <w:rFonts w:ascii="Arial" w:hAnsi="Arial" w:cs="Arial"/>
                <w:b/>
                <w:bCs/>
                <w:color w:val="000000"/>
                <w:sz w:val="14"/>
                <w:szCs w:val="14"/>
                <w:lang w:val="en-US" w:eastAsia="en-US"/>
              </w:rPr>
            </w:pPr>
            <w:r w:rsidRPr="00250A58">
              <w:rPr>
                <w:rFonts w:ascii="Arial" w:hAnsi="Arial" w:cs="Arial"/>
                <w:b/>
                <w:bCs/>
                <w:color w:val="000000"/>
                <w:sz w:val="14"/>
                <w:szCs w:val="14"/>
                <w:lang w:val="en-US" w:eastAsia="en-US"/>
              </w:rPr>
              <w:t>Robust Std. Error</w:t>
            </w:r>
          </w:p>
        </w:tc>
        <w:tc>
          <w:tcPr>
            <w:tcW w:w="1020" w:type="dxa"/>
            <w:tcBorders>
              <w:top w:val="nil"/>
              <w:left w:val="nil"/>
              <w:bottom w:val="single" w:sz="4" w:space="0" w:color="auto"/>
              <w:right w:val="nil"/>
            </w:tcBorders>
            <w:vAlign w:val="center"/>
          </w:tcPr>
          <w:p w:rsidR="00E03A55" w:rsidRPr="00250A58" w:rsidRDefault="00E03A55" w:rsidP="00250A58">
            <w:pPr>
              <w:suppressAutoHyphens w:val="0"/>
              <w:spacing w:after="0"/>
              <w:ind w:firstLine="0"/>
              <w:jc w:val="center"/>
              <w:rPr>
                <w:rFonts w:ascii="Arial" w:hAnsi="Arial" w:cs="Arial"/>
                <w:b/>
                <w:bCs/>
                <w:color w:val="000000"/>
                <w:sz w:val="14"/>
                <w:szCs w:val="14"/>
                <w:lang w:val="en-US" w:eastAsia="en-US"/>
              </w:rPr>
            </w:pPr>
            <w:r w:rsidRPr="00250A58">
              <w:rPr>
                <w:rFonts w:ascii="Arial" w:hAnsi="Arial" w:cs="Arial"/>
                <w:b/>
                <w:bCs/>
                <w:color w:val="000000"/>
                <w:sz w:val="14"/>
                <w:szCs w:val="14"/>
                <w:lang w:val="en-US" w:eastAsia="en-US"/>
              </w:rPr>
              <w:t>Coeff.</w:t>
            </w:r>
          </w:p>
        </w:tc>
        <w:tc>
          <w:tcPr>
            <w:tcW w:w="1020" w:type="dxa"/>
            <w:tcBorders>
              <w:top w:val="nil"/>
              <w:left w:val="nil"/>
              <w:bottom w:val="single" w:sz="4" w:space="0" w:color="auto"/>
              <w:right w:val="nil"/>
            </w:tcBorders>
            <w:vAlign w:val="center"/>
          </w:tcPr>
          <w:p w:rsidR="00E03A55" w:rsidRPr="00250A58" w:rsidRDefault="00E03A55" w:rsidP="00250A58">
            <w:pPr>
              <w:suppressAutoHyphens w:val="0"/>
              <w:spacing w:after="0"/>
              <w:ind w:firstLine="0"/>
              <w:jc w:val="center"/>
              <w:rPr>
                <w:rFonts w:ascii="Arial" w:hAnsi="Arial" w:cs="Arial"/>
                <w:b/>
                <w:bCs/>
                <w:color w:val="000000"/>
                <w:sz w:val="14"/>
                <w:szCs w:val="14"/>
                <w:lang w:val="en-US" w:eastAsia="en-US"/>
              </w:rPr>
            </w:pPr>
            <w:r w:rsidRPr="00250A58">
              <w:rPr>
                <w:rFonts w:ascii="Arial" w:hAnsi="Arial" w:cs="Arial"/>
                <w:b/>
                <w:bCs/>
                <w:color w:val="000000"/>
                <w:sz w:val="14"/>
                <w:szCs w:val="14"/>
                <w:lang w:val="en-US" w:eastAsia="en-US"/>
              </w:rPr>
              <w:t>Robust Std. Error</w:t>
            </w:r>
          </w:p>
        </w:tc>
      </w:tr>
      <w:tr w:rsidR="00E03A55" w:rsidRPr="00250A58" w:rsidTr="00250A58">
        <w:trPr>
          <w:trHeight w:val="439"/>
        </w:trPr>
        <w:tc>
          <w:tcPr>
            <w:tcW w:w="1580" w:type="dxa"/>
            <w:gridSpan w:val="2"/>
            <w:tcBorders>
              <w:top w:val="single" w:sz="4" w:space="0" w:color="auto"/>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Lagged skilled birth attendance</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-1.635</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1.063</w:t>
            </w: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-1.026</w:t>
            </w: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1.247</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-3.240</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1.913</w:t>
            </w:r>
          </w:p>
        </w:tc>
      </w:tr>
      <w:tr w:rsidR="00E03A55" w:rsidRPr="00250A58" w:rsidTr="00250A58">
        <w:trPr>
          <w:trHeight w:val="439"/>
        </w:trPr>
        <w:tc>
          <w:tcPr>
            <w:tcW w:w="1580" w:type="dxa"/>
            <w:gridSpan w:val="2"/>
            <w:tcBorders>
              <w:top w:val="nil"/>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Total health</w:t>
            </w:r>
            <w:r>
              <w:rPr>
                <w:rFonts w:ascii="Arial" w:hAnsi="Arial" w:cs="Arial"/>
                <w:color w:val="000000"/>
                <w:sz w:val="14"/>
                <w:szCs w:val="14"/>
                <w:lang w:val="en-US" w:eastAsia="en-US"/>
              </w:rPr>
              <w:t xml:space="preserve">       </w:t>
            </w:r>
            <w:r w:rsidRPr="00250A58">
              <w:rPr>
                <w:rFonts w:ascii="Arial" w:hAnsi="Arial" w:cs="Arial"/>
                <w:color w:val="000000"/>
                <w:sz w:val="14"/>
                <w:szCs w:val="14"/>
                <w:lang w:val="en-US" w:eastAsia="en-US"/>
              </w:rPr>
              <w:t xml:space="preserve"> expenditure</w:t>
            </w:r>
          </w:p>
        </w:tc>
        <w:tc>
          <w:tcPr>
            <w:tcW w:w="9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p>
        </w:tc>
        <w:tc>
          <w:tcPr>
            <w:tcW w:w="9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-0.00000422</w:t>
            </w: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0.00000750</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-0.0000553</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0.0000276*</w:t>
            </w:r>
          </w:p>
        </w:tc>
      </w:tr>
      <w:tr w:rsidR="00E03A55" w:rsidRPr="00250A58" w:rsidTr="00250A58">
        <w:trPr>
          <w:trHeight w:val="439"/>
        </w:trPr>
        <w:tc>
          <w:tcPr>
            <w:tcW w:w="1580" w:type="dxa"/>
            <w:gridSpan w:val="2"/>
            <w:tcBorders>
              <w:top w:val="nil"/>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 xml:space="preserve">Total health </w:t>
            </w:r>
            <w:r>
              <w:rPr>
                <w:rFonts w:ascii="Arial" w:hAnsi="Arial" w:cs="Arial"/>
                <w:color w:val="000000"/>
                <w:sz w:val="14"/>
                <w:szCs w:val="14"/>
                <w:lang w:val="en-US" w:eastAsia="en-US"/>
              </w:rPr>
              <w:t xml:space="preserve">       </w:t>
            </w:r>
            <w:r w:rsidRPr="00250A58">
              <w:rPr>
                <w:rFonts w:ascii="Arial" w:hAnsi="Arial" w:cs="Arial"/>
                <w:color w:val="000000"/>
                <w:sz w:val="14"/>
                <w:szCs w:val="14"/>
                <w:lang w:val="en-US" w:eastAsia="en-US"/>
              </w:rPr>
              <w:t>expenditure  x skilled birth attendance</w:t>
            </w:r>
          </w:p>
        </w:tc>
        <w:tc>
          <w:tcPr>
            <w:tcW w:w="9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p>
        </w:tc>
        <w:tc>
          <w:tcPr>
            <w:tcW w:w="9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0.0000748</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0.0000426*</w:t>
            </w:r>
          </w:p>
        </w:tc>
      </w:tr>
      <w:tr w:rsidR="00E03A55" w:rsidRPr="00250A58" w:rsidTr="00250A58">
        <w:trPr>
          <w:trHeight w:val="439"/>
        </w:trPr>
        <w:tc>
          <w:tcPr>
            <w:tcW w:w="1580" w:type="dxa"/>
            <w:gridSpan w:val="2"/>
            <w:tcBorders>
              <w:top w:val="nil"/>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Own house</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-1.529</w:t>
            </w:r>
          </w:p>
        </w:tc>
        <w:tc>
          <w:tcPr>
            <w:tcW w:w="9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3.870</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-6.550</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3.926</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-6.676</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3.621*</w:t>
            </w:r>
          </w:p>
        </w:tc>
      </w:tr>
      <w:tr w:rsidR="00E03A55" w:rsidRPr="00250A58" w:rsidTr="00250A58">
        <w:trPr>
          <w:trHeight w:val="439"/>
        </w:trPr>
        <w:tc>
          <w:tcPr>
            <w:tcW w:w="1580" w:type="dxa"/>
            <w:gridSpan w:val="2"/>
            <w:tcBorders>
              <w:top w:val="nil"/>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Access to sanitation</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-0.609</w:t>
            </w:r>
          </w:p>
        </w:tc>
        <w:tc>
          <w:tcPr>
            <w:tcW w:w="9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1.453</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-1.681</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2.052</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-1.538</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2.053</w:t>
            </w:r>
          </w:p>
        </w:tc>
      </w:tr>
      <w:tr w:rsidR="00E03A55" w:rsidRPr="00250A58" w:rsidTr="00250A58">
        <w:trPr>
          <w:trHeight w:val="439"/>
        </w:trPr>
        <w:tc>
          <w:tcPr>
            <w:tcW w:w="1580" w:type="dxa"/>
            <w:gridSpan w:val="2"/>
            <w:tcBorders>
              <w:top w:val="nil"/>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i/>
                <w:iCs/>
                <w:color w:val="000000"/>
                <w:sz w:val="14"/>
                <w:szCs w:val="14"/>
                <w:lang w:val="en-US" w:eastAsia="en-US"/>
              </w:rPr>
              <w:t>Puskesmas</w:t>
            </w:r>
            <w:r w:rsidRPr="00250A58">
              <w:rPr>
                <w:rFonts w:ascii="Arial" w:hAnsi="Arial" w:cs="Arial"/>
                <w:color w:val="000000"/>
                <w:sz w:val="14"/>
                <w:szCs w:val="14"/>
                <w:lang w:val="en-US" w:eastAsia="en-US"/>
              </w:rPr>
              <w:t xml:space="preserve"> coverage</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-0.007</w:t>
            </w:r>
          </w:p>
        </w:tc>
        <w:tc>
          <w:tcPr>
            <w:tcW w:w="9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0.047</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0.835</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0.140</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0.128</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0.138</w:t>
            </w:r>
          </w:p>
        </w:tc>
      </w:tr>
      <w:tr w:rsidR="00E03A55" w:rsidRPr="00250A58" w:rsidTr="00250A58">
        <w:trPr>
          <w:trHeight w:val="439"/>
        </w:trPr>
        <w:tc>
          <w:tcPr>
            <w:tcW w:w="1580" w:type="dxa"/>
            <w:gridSpan w:val="2"/>
            <w:tcBorders>
              <w:top w:val="nil"/>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Rural population</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0.880</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4.413</w:t>
            </w: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-2.712</w:t>
            </w: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5.255</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-6.102</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6.402</w:t>
            </w:r>
          </w:p>
        </w:tc>
      </w:tr>
      <w:tr w:rsidR="00E03A55" w:rsidRPr="00250A58" w:rsidTr="00250A58">
        <w:trPr>
          <w:trHeight w:val="705"/>
        </w:trPr>
        <w:tc>
          <w:tcPr>
            <w:tcW w:w="1580" w:type="dxa"/>
            <w:gridSpan w:val="2"/>
            <w:tcBorders>
              <w:top w:val="nil"/>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 xml:space="preserve">Mother's education (reference: primary school) </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p>
        </w:tc>
      </w:tr>
      <w:tr w:rsidR="00E03A55" w:rsidRPr="00250A58" w:rsidTr="00250A58">
        <w:trPr>
          <w:trHeight w:val="439"/>
        </w:trPr>
        <w:tc>
          <w:tcPr>
            <w:tcW w:w="38" w:type="dxa"/>
            <w:tcBorders>
              <w:top w:val="nil"/>
              <w:left w:val="nil"/>
              <w:bottom w:val="nil"/>
              <w:right w:val="nil"/>
            </w:tcBorders>
            <w:noWrap/>
            <w:vAlign w:val="bottom"/>
          </w:tcPr>
          <w:p w:rsidR="00E03A55" w:rsidRPr="00250A58" w:rsidRDefault="00E03A55" w:rsidP="00250A58">
            <w:pPr>
              <w:suppressAutoHyphens w:val="0"/>
              <w:spacing w:after="0"/>
              <w:ind w:firstLine="0"/>
              <w:rPr>
                <w:rFonts w:ascii="Calibri" w:hAnsi="Calibri"/>
                <w:color w:val="000000"/>
                <w:sz w:val="14"/>
                <w:szCs w:val="14"/>
                <w:lang w:val="en-US" w:eastAsia="en-US"/>
              </w:rPr>
            </w:pPr>
          </w:p>
        </w:tc>
        <w:tc>
          <w:tcPr>
            <w:tcW w:w="1542" w:type="dxa"/>
            <w:tcBorders>
              <w:top w:val="nil"/>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Junior secondary</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-6.115</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3.018*</w:t>
            </w: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-9.028</w:t>
            </w: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3.137***</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-8.379</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3.009***</w:t>
            </w:r>
          </w:p>
        </w:tc>
      </w:tr>
      <w:tr w:rsidR="00E03A55" w:rsidRPr="00250A58" w:rsidTr="00250A58">
        <w:trPr>
          <w:trHeight w:val="439"/>
        </w:trPr>
        <w:tc>
          <w:tcPr>
            <w:tcW w:w="38" w:type="dxa"/>
            <w:tcBorders>
              <w:top w:val="nil"/>
              <w:left w:val="nil"/>
              <w:bottom w:val="nil"/>
              <w:right w:val="nil"/>
            </w:tcBorders>
            <w:noWrap/>
            <w:vAlign w:val="bottom"/>
          </w:tcPr>
          <w:p w:rsidR="00E03A55" w:rsidRPr="00250A58" w:rsidRDefault="00E03A55" w:rsidP="00250A58">
            <w:pPr>
              <w:suppressAutoHyphens w:val="0"/>
              <w:spacing w:after="0"/>
              <w:ind w:firstLine="0"/>
              <w:rPr>
                <w:rFonts w:ascii="Calibri" w:hAnsi="Calibri"/>
                <w:color w:val="000000"/>
                <w:sz w:val="14"/>
                <w:szCs w:val="14"/>
                <w:lang w:val="en-US" w:eastAsia="en-US"/>
              </w:rPr>
            </w:pPr>
          </w:p>
        </w:tc>
        <w:tc>
          <w:tcPr>
            <w:tcW w:w="1542" w:type="dxa"/>
            <w:tcBorders>
              <w:top w:val="nil"/>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Senior secondary</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4.313</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3.522</w:t>
            </w: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-1.518</w:t>
            </w: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4.136</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-3.410</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4.392</w:t>
            </w:r>
          </w:p>
        </w:tc>
      </w:tr>
      <w:tr w:rsidR="00E03A55" w:rsidRPr="00250A58" w:rsidTr="00250A58">
        <w:trPr>
          <w:trHeight w:val="439"/>
        </w:trPr>
        <w:tc>
          <w:tcPr>
            <w:tcW w:w="38" w:type="dxa"/>
            <w:tcBorders>
              <w:top w:val="nil"/>
              <w:left w:val="nil"/>
              <w:bottom w:val="nil"/>
              <w:right w:val="nil"/>
            </w:tcBorders>
            <w:noWrap/>
            <w:vAlign w:val="bottom"/>
          </w:tcPr>
          <w:p w:rsidR="00E03A55" w:rsidRPr="00250A58" w:rsidRDefault="00E03A55" w:rsidP="00250A58">
            <w:pPr>
              <w:suppressAutoHyphens w:val="0"/>
              <w:spacing w:after="0"/>
              <w:ind w:firstLine="0"/>
              <w:rPr>
                <w:rFonts w:ascii="Calibri" w:hAnsi="Calibri"/>
                <w:color w:val="000000"/>
                <w:sz w:val="14"/>
                <w:szCs w:val="14"/>
                <w:lang w:val="en-US" w:eastAsia="en-US"/>
              </w:rPr>
            </w:pPr>
          </w:p>
        </w:tc>
        <w:tc>
          <w:tcPr>
            <w:tcW w:w="1542" w:type="dxa"/>
            <w:tcBorders>
              <w:top w:val="nil"/>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Higher education</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-9.751</w:t>
            </w:r>
          </w:p>
        </w:tc>
        <w:tc>
          <w:tcPr>
            <w:tcW w:w="9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8.052</w:t>
            </w: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-16.283</w:t>
            </w:r>
          </w:p>
        </w:tc>
        <w:tc>
          <w:tcPr>
            <w:tcW w:w="1020" w:type="dxa"/>
            <w:tcBorders>
              <w:top w:val="nil"/>
              <w:left w:val="nil"/>
              <w:bottom w:val="nil"/>
              <w:right w:val="nil"/>
            </w:tcBorders>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14.773</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-15.169</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14.296</w:t>
            </w:r>
          </w:p>
        </w:tc>
      </w:tr>
      <w:tr w:rsidR="00E03A55" w:rsidRPr="00250A58" w:rsidTr="00250A58">
        <w:trPr>
          <w:trHeight w:val="439"/>
        </w:trPr>
        <w:tc>
          <w:tcPr>
            <w:tcW w:w="1580" w:type="dxa"/>
            <w:gridSpan w:val="2"/>
            <w:tcBorders>
              <w:top w:val="nil"/>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Constant</w:t>
            </w:r>
          </w:p>
        </w:tc>
        <w:tc>
          <w:tcPr>
            <w:tcW w:w="9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6.061</w:t>
            </w:r>
          </w:p>
        </w:tc>
        <w:tc>
          <w:tcPr>
            <w:tcW w:w="9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4.721</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14.435</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6.370</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18.076</w:t>
            </w:r>
          </w:p>
        </w:tc>
        <w:tc>
          <w:tcPr>
            <w:tcW w:w="1020" w:type="dxa"/>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7.159</w:t>
            </w:r>
          </w:p>
        </w:tc>
      </w:tr>
      <w:tr w:rsidR="00E03A55" w:rsidRPr="00250A58" w:rsidTr="00250A58">
        <w:trPr>
          <w:trHeight w:val="439"/>
        </w:trPr>
        <w:tc>
          <w:tcPr>
            <w:tcW w:w="1580" w:type="dxa"/>
            <w:gridSpan w:val="2"/>
            <w:tcBorders>
              <w:top w:val="nil"/>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Observations</w:t>
            </w:r>
          </w:p>
        </w:tc>
        <w:tc>
          <w:tcPr>
            <w:tcW w:w="1840" w:type="dxa"/>
            <w:gridSpan w:val="2"/>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100</w:t>
            </w:r>
          </w:p>
        </w:tc>
        <w:tc>
          <w:tcPr>
            <w:tcW w:w="2040" w:type="dxa"/>
            <w:gridSpan w:val="2"/>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75</w:t>
            </w:r>
          </w:p>
        </w:tc>
        <w:tc>
          <w:tcPr>
            <w:tcW w:w="2040" w:type="dxa"/>
            <w:gridSpan w:val="2"/>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75</w:t>
            </w:r>
          </w:p>
        </w:tc>
      </w:tr>
      <w:tr w:rsidR="00E03A55" w:rsidRPr="00250A58" w:rsidTr="00250A58">
        <w:trPr>
          <w:trHeight w:val="439"/>
        </w:trPr>
        <w:tc>
          <w:tcPr>
            <w:tcW w:w="1580" w:type="dxa"/>
            <w:gridSpan w:val="2"/>
            <w:tcBorders>
              <w:top w:val="nil"/>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Number of provinces</w:t>
            </w:r>
          </w:p>
        </w:tc>
        <w:tc>
          <w:tcPr>
            <w:tcW w:w="1840" w:type="dxa"/>
            <w:gridSpan w:val="2"/>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25</w:t>
            </w:r>
          </w:p>
        </w:tc>
        <w:tc>
          <w:tcPr>
            <w:tcW w:w="2040" w:type="dxa"/>
            <w:gridSpan w:val="2"/>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25</w:t>
            </w:r>
          </w:p>
        </w:tc>
        <w:tc>
          <w:tcPr>
            <w:tcW w:w="2040" w:type="dxa"/>
            <w:gridSpan w:val="2"/>
            <w:tcBorders>
              <w:top w:val="nil"/>
              <w:left w:val="nil"/>
              <w:bottom w:val="nil"/>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25</w:t>
            </w:r>
          </w:p>
        </w:tc>
      </w:tr>
      <w:tr w:rsidR="00E03A55" w:rsidRPr="00250A58" w:rsidTr="00250A58">
        <w:trPr>
          <w:trHeight w:val="439"/>
        </w:trPr>
        <w:tc>
          <w:tcPr>
            <w:tcW w:w="1580" w:type="dxa"/>
            <w:gridSpan w:val="2"/>
            <w:tcBorders>
              <w:top w:val="nil"/>
              <w:left w:val="nil"/>
              <w:bottom w:val="single" w:sz="4" w:space="0" w:color="auto"/>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R</w:t>
            </w:r>
            <w:r w:rsidRPr="00250A58">
              <w:rPr>
                <w:rFonts w:ascii="Arial" w:hAnsi="Arial" w:cs="Arial"/>
                <w:color w:val="000000"/>
                <w:sz w:val="14"/>
                <w:szCs w:val="14"/>
                <w:vertAlign w:val="superscript"/>
                <w:lang w:val="en-US" w:eastAsia="en-US"/>
              </w:rPr>
              <w:t>2</w:t>
            </w:r>
            <w:r w:rsidRPr="00250A58">
              <w:rPr>
                <w:rFonts w:ascii="Arial" w:hAnsi="Arial" w:cs="Arial"/>
                <w:color w:val="000000"/>
                <w:sz w:val="14"/>
                <w:szCs w:val="14"/>
                <w:lang w:val="en-US" w:eastAsia="en-US"/>
              </w:rPr>
              <w:t xml:space="preserve"> (within)</w:t>
            </w:r>
          </w:p>
        </w:tc>
        <w:tc>
          <w:tcPr>
            <w:tcW w:w="1840" w:type="dxa"/>
            <w:gridSpan w:val="2"/>
            <w:tcBorders>
              <w:top w:val="nil"/>
              <w:left w:val="nil"/>
              <w:bottom w:val="single" w:sz="4" w:space="0" w:color="auto"/>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0.2611</w:t>
            </w:r>
          </w:p>
        </w:tc>
        <w:tc>
          <w:tcPr>
            <w:tcW w:w="2040" w:type="dxa"/>
            <w:gridSpan w:val="2"/>
            <w:tcBorders>
              <w:top w:val="nil"/>
              <w:left w:val="nil"/>
              <w:bottom w:val="single" w:sz="4" w:space="0" w:color="auto"/>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0.5071</w:t>
            </w:r>
          </w:p>
        </w:tc>
        <w:tc>
          <w:tcPr>
            <w:tcW w:w="2040" w:type="dxa"/>
            <w:gridSpan w:val="2"/>
            <w:tcBorders>
              <w:top w:val="nil"/>
              <w:left w:val="nil"/>
              <w:bottom w:val="single" w:sz="4" w:space="0" w:color="auto"/>
              <w:right w:val="nil"/>
            </w:tcBorders>
            <w:noWrap/>
            <w:vAlign w:val="center"/>
          </w:tcPr>
          <w:p w:rsidR="00E03A55" w:rsidRPr="00250A58" w:rsidRDefault="00E03A55" w:rsidP="00250A58">
            <w:pPr>
              <w:suppressAutoHyphens w:val="0"/>
              <w:spacing w:after="0"/>
              <w:ind w:firstLine="0"/>
              <w:jc w:val="center"/>
              <w:rPr>
                <w:rFonts w:ascii="Arial" w:hAnsi="Arial" w:cs="Arial"/>
                <w:color w:val="000000"/>
                <w:sz w:val="14"/>
                <w:szCs w:val="14"/>
                <w:lang w:val="en-US" w:eastAsia="en-US"/>
              </w:rPr>
            </w:pPr>
            <w:r w:rsidRPr="00250A58">
              <w:rPr>
                <w:rFonts w:ascii="Arial" w:hAnsi="Arial" w:cs="Arial"/>
                <w:color w:val="000000"/>
                <w:sz w:val="14"/>
                <w:szCs w:val="14"/>
                <w:lang w:val="en-US" w:eastAsia="en-US"/>
              </w:rPr>
              <w:t>0.5344</w:t>
            </w:r>
          </w:p>
        </w:tc>
      </w:tr>
      <w:tr w:rsidR="00E03A55" w:rsidRPr="00250A58" w:rsidTr="00250A58">
        <w:trPr>
          <w:trHeight w:val="540"/>
        </w:trPr>
        <w:tc>
          <w:tcPr>
            <w:tcW w:w="7500" w:type="dxa"/>
            <w:gridSpan w:val="8"/>
            <w:tcBorders>
              <w:top w:val="single" w:sz="4" w:space="0" w:color="auto"/>
              <w:left w:val="nil"/>
              <w:bottom w:val="nil"/>
              <w:right w:val="nil"/>
            </w:tcBorders>
            <w:vAlign w:val="center"/>
          </w:tcPr>
          <w:p w:rsidR="00E03A55" w:rsidRPr="00250A58" w:rsidRDefault="00E03A55" w:rsidP="00250A58">
            <w:pPr>
              <w:suppressAutoHyphens w:val="0"/>
              <w:spacing w:after="0"/>
              <w:ind w:firstLine="0"/>
              <w:rPr>
                <w:rFonts w:ascii="Arial" w:hAnsi="Arial" w:cs="Arial"/>
                <w:color w:val="000000"/>
                <w:sz w:val="14"/>
                <w:szCs w:val="14"/>
                <w:lang w:val="en-US" w:eastAsia="en-US"/>
              </w:rPr>
            </w:pPr>
            <w:r w:rsidRPr="00250A58">
              <w:rPr>
                <w:rFonts w:ascii="Arial" w:hAnsi="Arial" w:cs="Arial"/>
                <w:color w:val="000000"/>
                <w:sz w:val="14"/>
                <w:szCs w:val="14"/>
                <w:lang w:val="en-US" w:eastAsia="en-US"/>
              </w:rPr>
              <w:t>Statistical significance: * at 10%, ** at 5%, and *** at 1% level of significance. Both specifications controls for province and time specific effects.</w:t>
            </w:r>
          </w:p>
        </w:tc>
      </w:tr>
    </w:tbl>
    <w:p w:rsidR="00E03A55" w:rsidRPr="00134C2D" w:rsidRDefault="00E03A55" w:rsidP="00250A58">
      <w:pPr>
        <w:tabs>
          <w:tab w:val="left" w:pos="567"/>
        </w:tabs>
        <w:spacing w:after="200"/>
        <w:jc w:val="both"/>
      </w:pPr>
      <w:r>
        <w:tab/>
      </w:r>
      <w:r w:rsidRPr="0027383C">
        <w:t>Specification 3 introduces interaction variable between per capita total health expenditure and skilled birth attendance. The regression result reveals that lagged skilled attendance is not statistically associated with infant mortality. However, this specification gives a statistically significant result for per capita total public health spending. It is statistically significant at 10 % level of significance. According to this result, a 10 % increase in average per capita public health expenditure will reduce infant mortality rate by 0</w:t>
      </w:r>
      <w:r>
        <w:t>.179</w:t>
      </w:r>
      <w:r w:rsidRPr="0027383C">
        <w:t xml:space="preserve"> %. In addition, the interaction variable between per capita total public health expenditure and skilled birth attendance shows an interesting finding. It informs that increasing per capita total public health expenditure is less effective to reduce infant mortality in the area where the supply of skilled birth attendance is high. In other word, the marginal increase of per capita total public health spending is higher in the area where the access to skilled birth attendance is low</w:t>
      </w:r>
      <w:r>
        <w:t xml:space="preserve">. </w:t>
      </w:r>
      <w:r w:rsidRPr="009262E9">
        <w:t>This finding contradicts</w:t>
      </w:r>
      <w:r>
        <w:t xml:space="preserve"> with previous study conducted by Hall et. Al (2009) that essentially argued that public health spending is going to be more effective in areas with a relatively large supply of maternity care. </w:t>
      </w:r>
    </w:p>
    <w:p w:rsidR="00E03A55" w:rsidRDefault="00E03A55" w:rsidP="00C85895">
      <w:pPr>
        <w:ind w:firstLine="0"/>
        <w:rPr>
          <w:lang w:val="en-US" w:eastAsia="en-US"/>
        </w:rPr>
      </w:pPr>
    </w:p>
    <w:p w:rsidR="00E03A55" w:rsidRPr="00EC588C" w:rsidRDefault="00E03A55" w:rsidP="00134C2D">
      <w:pPr>
        <w:pStyle w:val="Heading2"/>
        <w:numPr>
          <w:ilvl w:val="0"/>
          <w:numId w:val="0"/>
        </w:numPr>
        <w:ind w:left="567" w:hanging="567"/>
      </w:pPr>
    </w:p>
    <w:p w:rsidR="00E03A55" w:rsidRDefault="00E03A55" w:rsidP="00134C2D">
      <w:pPr>
        <w:pStyle w:val="Heading1"/>
        <w:rPr>
          <w:szCs w:val="36"/>
        </w:rPr>
      </w:pPr>
      <w:r>
        <w:br/>
      </w:r>
      <w:bookmarkStart w:id="77" w:name="_Toc239163854"/>
      <w:r>
        <w:rPr>
          <w:szCs w:val="36"/>
        </w:rPr>
        <w:t>Conclusions and Policy Recommendations</w:t>
      </w:r>
      <w:bookmarkEnd w:id="77"/>
    </w:p>
    <w:p w:rsidR="00E03A55" w:rsidRDefault="00E03A55" w:rsidP="00AB5956">
      <w:pPr>
        <w:tabs>
          <w:tab w:val="left" w:pos="567"/>
          <w:tab w:val="left" w:pos="1985"/>
        </w:tabs>
        <w:spacing w:after="0"/>
        <w:jc w:val="both"/>
      </w:pPr>
      <w:r>
        <w:t xml:space="preserve">Using fixed effect analysis, this paper has identified a significant impact of per capita total health expenditure on infant mortality in Indonesia. This paper is unable to identify a direct effect of spending on infant mortality without taking into account the utilization of skilled birth attendance. The regression results suggest that introducing an </w:t>
      </w:r>
      <w:r w:rsidRPr="00302220">
        <w:t>interaction variable between per capita total health expenditure and skilled birth attendance</w:t>
      </w:r>
      <w:r>
        <w:t xml:space="preserve">, employing lagged skilled birth attendance, and controlling for socio-economic variables produce a statistically significant result. The result reveals that a 10 percent increase in average per capita total public health expenditure will reduce infant mortality rate by 0.179 percent. The regression result also shows that socio-economic variables including proportion of households having their own house as a proxy of wealth and mother’s education also associated with reduction of infant mortality. However, this paper does not find any statistical evidence to support that the presence of skilled birth attendant at delivery affects infant mortality. </w:t>
      </w:r>
    </w:p>
    <w:p w:rsidR="00E03A55" w:rsidRDefault="00E03A55" w:rsidP="00AB5956">
      <w:pPr>
        <w:tabs>
          <w:tab w:val="left" w:pos="567"/>
        </w:tabs>
        <w:jc w:val="both"/>
      </w:pPr>
      <w:r>
        <w:tab/>
        <w:t>T</w:t>
      </w:r>
      <w:r w:rsidRPr="001102C4">
        <w:t xml:space="preserve">his study does find a significant impact of per capita public health spending on the utilization of skilled birth attendance when </w:t>
      </w:r>
      <w:r>
        <w:t xml:space="preserve">it includes </w:t>
      </w:r>
      <w:r w:rsidRPr="001102C4">
        <w:t xml:space="preserve">interaction variable between public health expenditure and </w:t>
      </w:r>
      <w:r w:rsidRPr="001102C4">
        <w:rPr>
          <w:i/>
        </w:rPr>
        <w:t>puskesmas</w:t>
      </w:r>
      <w:r w:rsidRPr="001102C4">
        <w:t xml:space="preserve"> coverage</w:t>
      </w:r>
      <w:r>
        <w:t>.</w:t>
      </w:r>
      <w:r w:rsidRPr="001102C4">
        <w:t xml:space="preserve"> </w:t>
      </w:r>
      <w:r>
        <w:t xml:space="preserve">The regression result shows that a 10 percent increase in average of per capita public health spending will increase the utilization of skilled birth attendance by 0.016. In addition, number of </w:t>
      </w:r>
      <w:r w:rsidRPr="00420406">
        <w:rPr>
          <w:i/>
        </w:rPr>
        <w:t>puskesmas</w:t>
      </w:r>
      <w:r>
        <w:t xml:space="preserve"> for 100,000 populations also has a significant impact on</w:t>
      </w:r>
      <w:r w:rsidRPr="00420406">
        <w:t xml:space="preserve"> </w:t>
      </w:r>
      <w:r w:rsidRPr="001102C4">
        <w:t>the utilization of skilled birth attendance</w:t>
      </w:r>
      <w:r>
        <w:t>.</w:t>
      </w:r>
    </w:p>
    <w:p w:rsidR="00E03A55" w:rsidRPr="0076769C" w:rsidRDefault="00E03A55" w:rsidP="00AB5956">
      <w:pPr>
        <w:tabs>
          <w:tab w:val="left" w:pos="567"/>
        </w:tabs>
        <w:jc w:val="both"/>
      </w:pPr>
      <w:r>
        <w:tab/>
      </w:r>
      <w:r w:rsidRPr="0076769C">
        <w:t xml:space="preserve">An important new result is that the effect of public health spending seems to be more effective to increase the utilization of skilled birth attendance in the areas that access to </w:t>
      </w:r>
      <w:r w:rsidRPr="0076769C">
        <w:rPr>
          <w:i/>
        </w:rPr>
        <w:t>puskesmas</w:t>
      </w:r>
      <w:r w:rsidRPr="0076769C">
        <w:t xml:space="preserve"> are low. In this context, the estimates imply that marginal increases of public health spending will be greater in the rural or remote areas than in more developed areas. Furthermore, this study found that public health expenditure have less impact on combating infant mortality when supply of skilled birth attendant is relatively high. Equally, increasing the utilization of skilled birth attendance is going to be more effective </w:t>
      </w:r>
      <w:r>
        <w:t xml:space="preserve">to reduce infant mortality </w:t>
      </w:r>
      <w:r w:rsidRPr="0076769C">
        <w:t>in the areas with relatively low public health budget.</w:t>
      </w:r>
    </w:p>
    <w:p w:rsidR="00E03A55" w:rsidRPr="00FB7204" w:rsidRDefault="00E03A55" w:rsidP="00AB5956">
      <w:pPr>
        <w:tabs>
          <w:tab w:val="left" w:pos="567"/>
        </w:tabs>
        <w:jc w:val="both"/>
      </w:pPr>
      <w:r>
        <w:tab/>
      </w:r>
      <w:r w:rsidRPr="00FB7204">
        <w:t xml:space="preserve">Findings of the paper offer </w:t>
      </w:r>
      <w:r>
        <w:t xml:space="preserve">some </w:t>
      </w:r>
      <w:r w:rsidRPr="00FB7204">
        <w:t>suggestion</w:t>
      </w:r>
      <w:r>
        <w:t>s</w:t>
      </w:r>
      <w:r w:rsidRPr="00FB7204">
        <w:t xml:space="preserve"> for evidence-based policy that will help to increase the utilization of skilled birth attendance and reduce infant mortality. </w:t>
      </w:r>
      <w:r>
        <w:t>First, t</w:t>
      </w:r>
      <w:r w:rsidRPr="00FB7204">
        <w:t xml:space="preserve">he government should put priority to increase health budget allocation for rural and remote areas in order to increase the utilization of skilled birth attendance. It can be done, for instance, by implementing free delivery policy for pregnant women or by providing incentive for midwives who serve in the villages or remote areas. Second, increasing on maternal services coverage, through additional </w:t>
      </w:r>
      <w:r w:rsidRPr="00FB7204">
        <w:rPr>
          <w:i/>
        </w:rPr>
        <w:t>puskesmas</w:t>
      </w:r>
      <w:r w:rsidRPr="00FB7204">
        <w:t xml:space="preserve"> especially in remote a</w:t>
      </w:r>
      <w:r>
        <w:t>reas, are basic requirement to increase the utilization of skilled birth attendance</w:t>
      </w:r>
      <w:r w:rsidRPr="00FB7204">
        <w:t>. Third, the government’s policies should concern with the effort of providing more education to woman. These policies should also integrate with income distribution policy particularly among the poor.</w:t>
      </w:r>
    </w:p>
    <w:p w:rsidR="00E03A55" w:rsidRDefault="00E03A55" w:rsidP="000867A6">
      <w:pPr>
        <w:pStyle w:val="Heading1"/>
        <w:numPr>
          <w:ilvl w:val="0"/>
          <w:numId w:val="0"/>
        </w:numPr>
      </w:pPr>
      <w:bookmarkStart w:id="78" w:name="_Toc225573827"/>
      <w:bookmarkStart w:id="79" w:name="_Toc239163855"/>
      <w:bookmarkEnd w:id="22"/>
      <w:r>
        <w:t>References</w:t>
      </w:r>
      <w:bookmarkEnd w:id="78"/>
      <w:bookmarkEnd w:id="79"/>
    </w:p>
    <w:p w:rsidR="00E03A55" w:rsidRPr="00A7689E" w:rsidRDefault="00E03A55" w:rsidP="00980506">
      <w:pPr>
        <w:tabs>
          <w:tab w:val="left" w:pos="567"/>
        </w:tabs>
        <w:suppressAutoHyphens w:val="0"/>
        <w:autoSpaceDE w:val="0"/>
        <w:autoSpaceDN w:val="0"/>
        <w:adjustRightInd w:val="0"/>
        <w:spacing w:after="120"/>
        <w:ind w:left="567" w:hanging="567"/>
        <w:jc w:val="both"/>
        <w:rPr>
          <w:rFonts w:cs="TimesNewRoman"/>
          <w:sz w:val="22"/>
          <w:szCs w:val="22"/>
          <w:lang w:val="en-US" w:eastAsia="en-US"/>
        </w:rPr>
      </w:pPr>
      <w:bookmarkStart w:id="80" w:name="_Toc225573828"/>
      <w:r w:rsidRPr="00A7689E">
        <w:rPr>
          <w:rFonts w:cs="TimesNewRoman"/>
          <w:sz w:val="22"/>
          <w:szCs w:val="22"/>
          <w:lang w:val="en-US" w:eastAsia="en-US"/>
        </w:rPr>
        <w:t>Ahmad</w:t>
      </w:r>
      <w:r>
        <w:rPr>
          <w:rFonts w:cs="TimesNewRoman"/>
          <w:sz w:val="22"/>
          <w:szCs w:val="22"/>
          <w:lang w:val="en-US" w:eastAsia="en-US"/>
        </w:rPr>
        <w:t>,</w:t>
      </w:r>
      <w:r w:rsidRPr="00A7689E">
        <w:rPr>
          <w:rFonts w:cs="TimesNewRoman"/>
          <w:sz w:val="22"/>
          <w:szCs w:val="22"/>
          <w:lang w:val="en-US" w:eastAsia="en-US"/>
        </w:rPr>
        <w:t xml:space="preserve"> O</w:t>
      </w:r>
      <w:r>
        <w:rPr>
          <w:rFonts w:cs="TimesNewRoman"/>
          <w:sz w:val="22"/>
          <w:szCs w:val="22"/>
          <w:lang w:val="en-US" w:eastAsia="en-US"/>
        </w:rPr>
        <w:t>.</w:t>
      </w:r>
      <w:r w:rsidRPr="00A7689E">
        <w:rPr>
          <w:rFonts w:cs="TimesNewRoman"/>
          <w:sz w:val="22"/>
          <w:szCs w:val="22"/>
          <w:lang w:val="en-US" w:eastAsia="en-US"/>
        </w:rPr>
        <w:t>B., A</w:t>
      </w:r>
      <w:r>
        <w:rPr>
          <w:rFonts w:cs="TimesNewRoman"/>
          <w:sz w:val="22"/>
          <w:szCs w:val="22"/>
          <w:lang w:val="en-US" w:eastAsia="en-US"/>
        </w:rPr>
        <w:t>.</w:t>
      </w:r>
      <w:r w:rsidRPr="00A7689E">
        <w:rPr>
          <w:rFonts w:cs="TimesNewRoman"/>
          <w:sz w:val="22"/>
          <w:szCs w:val="22"/>
          <w:lang w:val="en-US" w:eastAsia="en-US"/>
        </w:rPr>
        <w:t>D. Lopez</w:t>
      </w:r>
      <w:r>
        <w:rPr>
          <w:rFonts w:cs="TimesNewRoman"/>
          <w:sz w:val="22"/>
          <w:szCs w:val="22"/>
          <w:lang w:val="en-US" w:eastAsia="en-US"/>
        </w:rPr>
        <w:t xml:space="preserve"> and</w:t>
      </w:r>
      <w:r w:rsidRPr="00A7689E">
        <w:rPr>
          <w:rFonts w:cs="TimesNewRoman"/>
          <w:sz w:val="22"/>
          <w:szCs w:val="22"/>
          <w:lang w:val="en-US" w:eastAsia="en-US"/>
        </w:rPr>
        <w:t xml:space="preserve"> M. Inoue</w:t>
      </w:r>
      <w:r>
        <w:rPr>
          <w:rFonts w:cs="TimesNewRoman"/>
          <w:sz w:val="22"/>
          <w:szCs w:val="22"/>
          <w:lang w:val="en-US" w:eastAsia="en-US"/>
        </w:rPr>
        <w:t xml:space="preserve"> (2000) “</w:t>
      </w:r>
      <w:r w:rsidRPr="00A7689E">
        <w:rPr>
          <w:rFonts w:cs="TimesNewRoman"/>
          <w:sz w:val="22"/>
          <w:szCs w:val="22"/>
          <w:lang w:val="en-US" w:eastAsia="en-US"/>
        </w:rPr>
        <w:t>The decline in</w:t>
      </w:r>
      <w:r>
        <w:rPr>
          <w:rFonts w:cs="TimesNewRoman"/>
          <w:sz w:val="22"/>
          <w:szCs w:val="22"/>
          <w:lang w:val="en-US" w:eastAsia="en-US"/>
        </w:rPr>
        <w:t xml:space="preserve"> child mortality:          a reappraisal”,</w:t>
      </w:r>
      <w:r w:rsidRPr="00A7689E">
        <w:rPr>
          <w:rFonts w:cs="TimesNewRoman"/>
          <w:sz w:val="22"/>
          <w:szCs w:val="22"/>
          <w:lang w:val="en-US" w:eastAsia="en-US"/>
        </w:rPr>
        <w:t xml:space="preserve"> </w:t>
      </w:r>
      <w:r w:rsidRPr="00A7689E">
        <w:rPr>
          <w:rFonts w:cs="TimesNewRoman,Italic"/>
          <w:i/>
          <w:iCs/>
          <w:sz w:val="22"/>
          <w:szCs w:val="22"/>
          <w:lang w:val="en-US" w:eastAsia="en-US"/>
        </w:rPr>
        <w:t xml:space="preserve">Bulletin World Health Organization </w:t>
      </w:r>
      <w:r w:rsidRPr="00A7689E">
        <w:rPr>
          <w:rFonts w:cs="TimesNewRoman"/>
          <w:sz w:val="22"/>
          <w:szCs w:val="22"/>
          <w:lang w:val="en-US" w:eastAsia="en-US"/>
        </w:rPr>
        <w:t>78(10):1175-1191.</w:t>
      </w:r>
    </w:p>
    <w:p w:rsidR="00E03A55" w:rsidRDefault="00E03A55" w:rsidP="00980506">
      <w:pPr>
        <w:tabs>
          <w:tab w:val="left" w:pos="567"/>
        </w:tabs>
        <w:autoSpaceDE w:val="0"/>
        <w:autoSpaceDN w:val="0"/>
        <w:adjustRightInd w:val="0"/>
        <w:spacing w:after="120"/>
        <w:ind w:left="567" w:hanging="567"/>
        <w:jc w:val="both"/>
        <w:rPr>
          <w:rFonts w:cs="TimesNewRomanPSMT"/>
          <w:sz w:val="22"/>
          <w:szCs w:val="22"/>
        </w:rPr>
      </w:pPr>
      <w:r w:rsidRPr="00A7689E">
        <w:rPr>
          <w:bCs/>
          <w:sz w:val="22"/>
          <w:szCs w:val="22"/>
        </w:rPr>
        <w:t xml:space="preserve">Bhalotra, S. (2007) </w:t>
      </w:r>
      <w:r w:rsidRPr="00A7689E">
        <w:rPr>
          <w:rFonts w:cs="TimesNewRomanPSMT"/>
          <w:sz w:val="22"/>
          <w:szCs w:val="22"/>
        </w:rPr>
        <w:t xml:space="preserve">"Spending to Save? State Health Expenditure and Infant Mortality in India", </w:t>
      </w:r>
      <w:r w:rsidRPr="00A7689E">
        <w:rPr>
          <w:rFonts w:cs="TimesNewRomanPS-ItalicMT"/>
          <w:i/>
          <w:iCs/>
          <w:sz w:val="22"/>
          <w:szCs w:val="22"/>
        </w:rPr>
        <w:t>Health Economics</w:t>
      </w:r>
      <w:r w:rsidRPr="00A7689E">
        <w:rPr>
          <w:rFonts w:cs="TimesNewRomanPSMT"/>
          <w:sz w:val="22"/>
          <w:szCs w:val="22"/>
        </w:rPr>
        <w:t xml:space="preserve"> </w:t>
      </w:r>
      <w:r w:rsidRPr="00A7689E">
        <w:rPr>
          <w:rFonts w:cs="TimesNewRomanPS-ItalicMT"/>
          <w:iCs/>
          <w:sz w:val="22"/>
          <w:szCs w:val="22"/>
        </w:rPr>
        <w:t>16</w:t>
      </w:r>
      <w:r w:rsidRPr="00A7689E">
        <w:rPr>
          <w:rFonts w:cs="TimesNewRomanPSMT"/>
          <w:sz w:val="22"/>
          <w:szCs w:val="22"/>
        </w:rPr>
        <w:t>(9): 911-928.</w:t>
      </w:r>
    </w:p>
    <w:p w:rsidR="00E03A55" w:rsidRPr="00A7689E" w:rsidRDefault="00E03A55" w:rsidP="00980506">
      <w:pPr>
        <w:tabs>
          <w:tab w:val="left" w:pos="567"/>
        </w:tabs>
        <w:suppressAutoHyphens w:val="0"/>
        <w:autoSpaceDE w:val="0"/>
        <w:autoSpaceDN w:val="0"/>
        <w:adjustRightInd w:val="0"/>
        <w:spacing w:after="120"/>
        <w:ind w:left="567" w:hanging="567"/>
        <w:jc w:val="both"/>
        <w:rPr>
          <w:sz w:val="22"/>
          <w:szCs w:val="22"/>
        </w:rPr>
      </w:pPr>
      <w:r>
        <w:rPr>
          <w:rFonts w:cs="TimesNewRoman"/>
          <w:sz w:val="22"/>
          <w:szCs w:val="22"/>
          <w:lang w:val="en-US" w:eastAsia="en-US"/>
        </w:rPr>
        <w:t>Bos, E. and</w:t>
      </w:r>
      <w:r w:rsidRPr="00A7689E">
        <w:rPr>
          <w:rFonts w:cs="TimesNewRoman"/>
          <w:sz w:val="22"/>
          <w:szCs w:val="22"/>
          <w:lang w:val="en-US" w:eastAsia="en-US"/>
        </w:rPr>
        <w:t xml:space="preserve"> F. Saadah (1999) </w:t>
      </w:r>
      <w:r w:rsidRPr="00E319E6">
        <w:rPr>
          <w:rFonts w:cs="TimesNewRoman"/>
          <w:i/>
          <w:sz w:val="22"/>
          <w:szCs w:val="22"/>
          <w:lang w:val="en-US" w:eastAsia="en-US"/>
        </w:rPr>
        <w:t>Indonesia: Childhood Mortality Trends</w:t>
      </w:r>
      <w:r>
        <w:rPr>
          <w:rFonts w:cs="TimesNewRoman"/>
          <w:sz w:val="22"/>
          <w:szCs w:val="22"/>
          <w:lang w:val="en-US" w:eastAsia="en-US"/>
        </w:rPr>
        <w:t>,</w:t>
      </w:r>
      <w:r w:rsidRPr="00A7689E">
        <w:rPr>
          <w:rFonts w:cs="TimesNewRoman"/>
          <w:sz w:val="22"/>
          <w:szCs w:val="22"/>
          <w:lang w:val="en-US" w:eastAsia="en-US"/>
        </w:rPr>
        <w:t xml:space="preserve"> The World Bank Watching Brief July 1999 </w:t>
      </w:r>
      <w:r>
        <w:rPr>
          <w:rFonts w:cs="TimesNewRoman"/>
          <w:sz w:val="22"/>
          <w:szCs w:val="22"/>
          <w:lang w:val="en-US" w:eastAsia="en-US"/>
        </w:rPr>
        <w:t>I</w:t>
      </w:r>
      <w:r w:rsidRPr="00A7689E">
        <w:rPr>
          <w:rFonts w:cs="TimesNewRoman"/>
          <w:sz w:val="22"/>
          <w:szCs w:val="22"/>
          <w:lang w:val="en-US" w:eastAsia="en-US"/>
        </w:rPr>
        <w:t>ssue 4</w:t>
      </w:r>
      <w:r>
        <w:rPr>
          <w:rFonts w:cs="TimesNewRoman"/>
          <w:sz w:val="22"/>
          <w:szCs w:val="22"/>
          <w:lang w:val="en-US" w:eastAsia="en-US"/>
        </w:rPr>
        <w:t>.</w:t>
      </w:r>
      <w:r w:rsidRPr="00A7689E">
        <w:rPr>
          <w:rFonts w:cs="TimesNewRoman"/>
          <w:sz w:val="22"/>
          <w:szCs w:val="22"/>
          <w:lang w:val="en-US" w:eastAsia="en-US"/>
        </w:rPr>
        <w:t xml:space="preserve"> </w:t>
      </w:r>
      <w:r>
        <w:rPr>
          <w:rFonts w:cs="TimesNewRoman"/>
          <w:sz w:val="22"/>
          <w:szCs w:val="22"/>
          <w:lang w:val="en-US" w:eastAsia="en-US"/>
        </w:rPr>
        <w:t>A</w:t>
      </w:r>
      <w:r w:rsidRPr="00A7689E">
        <w:rPr>
          <w:rFonts w:cs="TimesNewRoman"/>
          <w:sz w:val="22"/>
          <w:szCs w:val="22"/>
          <w:lang w:val="en-US" w:eastAsia="en-US"/>
        </w:rPr>
        <w:t xml:space="preserve">vailable at </w:t>
      </w:r>
      <w:hyperlink r:id="rId33" w:history="1">
        <w:r w:rsidRPr="00D80BFA">
          <w:rPr>
            <w:rStyle w:val="Hyperlink"/>
            <w:rFonts w:cs="TimesNewRoman"/>
            <w:szCs w:val="22"/>
            <w:lang w:val="en-US" w:eastAsia="en-US"/>
          </w:rPr>
          <w:t>http://siteresources.worldbank.org/INTINDONESIA/Resources/Human/childmort.pdf</w:t>
        </w:r>
      </w:hyperlink>
      <w:r w:rsidRPr="00A7689E">
        <w:rPr>
          <w:rFonts w:cs="TimesNewRoman"/>
          <w:sz w:val="22"/>
          <w:szCs w:val="22"/>
          <w:lang w:val="en-US" w:eastAsia="en-US"/>
        </w:rPr>
        <w:t xml:space="preserve"> </w:t>
      </w:r>
      <w:r>
        <w:rPr>
          <w:sz w:val="22"/>
          <w:szCs w:val="22"/>
        </w:rPr>
        <w:t>(A</w:t>
      </w:r>
      <w:r w:rsidRPr="00A7689E">
        <w:rPr>
          <w:sz w:val="22"/>
          <w:szCs w:val="22"/>
        </w:rPr>
        <w:t>ccessed</w:t>
      </w:r>
      <w:r>
        <w:rPr>
          <w:sz w:val="22"/>
          <w:szCs w:val="22"/>
        </w:rPr>
        <w:t xml:space="preserve"> on 26 August 2009)</w:t>
      </w:r>
    </w:p>
    <w:p w:rsidR="00E03A55" w:rsidRPr="00A7689E" w:rsidRDefault="00E03A55" w:rsidP="00980506">
      <w:pPr>
        <w:tabs>
          <w:tab w:val="left" w:pos="567"/>
        </w:tabs>
        <w:autoSpaceDE w:val="0"/>
        <w:autoSpaceDN w:val="0"/>
        <w:adjustRightInd w:val="0"/>
        <w:spacing w:after="120"/>
        <w:ind w:left="567" w:hanging="567"/>
        <w:jc w:val="both"/>
        <w:rPr>
          <w:rFonts w:cs="TimesNRMT-Bold"/>
          <w:sz w:val="22"/>
          <w:szCs w:val="22"/>
        </w:rPr>
      </w:pPr>
      <w:r w:rsidRPr="00A7689E">
        <w:rPr>
          <w:sz w:val="22"/>
          <w:szCs w:val="22"/>
        </w:rPr>
        <w:t>Crémieux,</w:t>
      </w:r>
      <w:r w:rsidRPr="00A7689E">
        <w:rPr>
          <w:rFonts w:cs="TimesNRMT"/>
          <w:sz w:val="22"/>
          <w:szCs w:val="22"/>
        </w:rPr>
        <w:t xml:space="preserve"> P.Y., P. Ouellette and C. Pilon (1999) “Health Care Spending as Determinants of Health Outcomes”, </w:t>
      </w:r>
      <w:r w:rsidRPr="00A7689E">
        <w:rPr>
          <w:rFonts w:cs="TimesNRMT"/>
          <w:i/>
          <w:sz w:val="22"/>
          <w:szCs w:val="22"/>
        </w:rPr>
        <w:t>Health Economics</w:t>
      </w:r>
      <w:r w:rsidRPr="00A7689E">
        <w:rPr>
          <w:rFonts w:cs="TimesNRMT-Bold"/>
          <w:bCs/>
          <w:sz w:val="22"/>
          <w:szCs w:val="22"/>
        </w:rPr>
        <w:t xml:space="preserve"> 8: </w:t>
      </w:r>
      <w:r w:rsidRPr="00A7689E">
        <w:rPr>
          <w:rFonts w:cs="TimesNRMT"/>
          <w:sz w:val="22"/>
          <w:szCs w:val="22"/>
        </w:rPr>
        <w:t>627–639.</w:t>
      </w:r>
    </w:p>
    <w:p w:rsidR="00E03A55" w:rsidRPr="00A7689E" w:rsidRDefault="00E03A55" w:rsidP="00980506">
      <w:pPr>
        <w:tabs>
          <w:tab w:val="left" w:pos="567"/>
        </w:tabs>
        <w:autoSpaceDE w:val="0"/>
        <w:autoSpaceDN w:val="0"/>
        <w:adjustRightInd w:val="0"/>
        <w:spacing w:after="120"/>
        <w:ind w:left="567" w:hanging="567"/>
        <w:jc w:val="both"/>
        <w:rPr>
          <w:rFonts w:cs="TimesNewRomanPSMT"/>
          <w:sz w:val="22"/>
          <w:szCs w:val="22"/>
        </w:rPr>
      </w:pPr>
      <w:r>
        <w:rPr>
          <w:rFonts w:cs="TimesNewRomanPSMT"/>
          <w:sz w:val="22"/>
          <w:szCs w:val="22"/>
        </w:rPr>
        <w:t>Erlina, E. (2007) “</w:t>
      </w:r>
      <w:r w:rsidRPr="00980506">
        <w:rPr>
          <w:rFonts w:cs="TimesNewRomanPSMT"/>
          <w:sz w:val="22"/>
          <w:szCs w:val="22"/>
        </w:rPr>
        <w:t>Health Care Service Provision in Indonesia: Does It Reach the Poor?</w:t>
      </w:r>
      <w:r>
        <w:rPr>
          <w:rFonts w:cs="TimesNewRomanPSMT"/>
          <w:sz w:val="22"/>
          <w:szCs w:val="22"/>
        </w:rPr>
        <w:t>” MA</w:t>
      </w:r>
      <w:r w:rsidRPr="00A7689E">
        <w:rPr>
          <w:rFonts w:cs="TimesNewRomanPSMT"/>
          <w:sz w:val="22"/>
          <w:szCs w:val="22"/>
        </w:rPr>
        <w:t xml:space="preserve"> Resea</w:t>
      </w:r>
      <w:r>
        <w:rPr>
          <w:rFonts w:cs="TimesNewRomanPSMT"/>
          <w:sz w:val="22"/>
          <w:szCs w:val="22"/>
        </w:rPr>
        <w:t>r</w:t>
      </w:r>
      <w:r w:rsidRPr="00A7689E">
        <w:rPr>
          <w:rFonts w:cs="TimesNewRomanPSMT"/>
          <w:sz w:val="22"/>
          <w:szCs w:val="22"/>
        </w:rPr>
        <w:t>ch Paper, In</w:t>
      </w:r>
      <w:r>
        <w:rPr>
          <w:rFonts w:cs="TimesNewRomanPSMT"/>
          <w:sz w:val="22"/>
          <w:szCs w:val="22"/>
        </w:rPr>
        <w:t>s</w:t>
      </w:r>
      <w:r w:rsidRPr="00A7689E">
        <w:rPr>
          <w:rFonts w:cs="TimesNewRomanPSMT"/>
          <w:sz w:val="22"/>
          <w:szCs w:val="22"/>
        </w:rPr>
        <w:t xml:space="preserve">titute of Social Studies </w:t>
      </w:r>
      <w:r>
        <w:rPr>
          <w:rFonts w:cs="TimesNewRomanPSMT"/>
          <w:sz w:val="22"/>
          <w:szCs w:val="22"/>
        </w:rPr>
        <w:t xml:space="preserve">(ISS), </w:t>
      </w:r>
      <w:r w:rsidRPr="00A7689E">
        <w:rPr>
          <w:rFonts w:cs="TimesNewRomanPSMT"/>
          <w:sz w:val="22"/>
          <w:szCs w:val="22"/>
        </w:rPr>
        <w:t>The Hague</w:t>
      </w:r>
    </w:p>
    <w:p w:rsidR="00E03A55" w:rsidRPr="00A7689E" w:rsidRDefault="00E03A55" w:rsidP="00980506">
      <w:pPr>
        <w:tabs>
          <w:tab w:val="left" w:pos="567"/>
        </w:tabs>
        <w:autoSpaceDE w:val="0"/>
        <w:autoSpaceDN w:val="0"/>
        <w:adjustRightInd w:val="0"/>
        <w:spacing w:after="120"/>
        <w:ind w:left="567" w:hanging="567"/>
        <w:jc w:val="both"/>
        <w:rPr>
          <w:rFonts w:cs="AdvTT6120e2aa"/>
          <w:sz w:val="22"/>
          <w:szCs w:val="22"/>
        </w:rPr>
      </w:pPr>
      <w:r>
        <w:rPr>
          <w:rFonts w:cs="AdvTT6120e2aa"/>
          <w:sz w:val="22"/>
          <w:szCs w:val="22"/>
        </w:rPr>
        <w:t>Filmer, D. and</w:t>
      </w:r>
      <w:r w:rsidRPr="00A7689E">
        <w:rPr>
          <w:rFonts w:cs="AdvTT6120e2aa"/>
          <w:sz w:val="22"/>
          <w:szCs w:val="22"/>
        </w:rPr>
        <w:t xml:space="preserve"> L. Pritchett (1999) “The impact of public spending on health: Does money matter?” </w:t>
      </w:r>
      <w:r w:rsidRPr="00A7689E">
        <w:rPr>
          <w:rFonts w:cs="AdvTT6120e2aa"/>
          <w:i/>
          <w:sz w:val="22"/>
          <w:szCs w:val="22"/>
        </w:rPr>
        <w:t>Social Science and Medicine</w:t>
      </w:r>
      <w:r w:rsidRPr="00A7689E">
        <w:rPr>
          <w:rFonts w:cs="AdvTT6120e2aa"/>
          <w:sz w:val="22"/>
          <w:szCs w:val="22"/>
        </w:rPr>
        <w:t xml:space="preserve"> 49(1): 1309</w:t>
      </w:r>
      <w:r w:rsidRPr="00A7689E">
        <w:rPr>
          <w:rFonts w:cs="AdvTT6120e2aa+20"/>
          <w:sz w:val="22"/>
          <w:szCs w:val="22"/>
        </w:rPr>
        <w:t>–</w:t>
      </w:r>
      <w:r w:rsidRPr="00A7689E">
        <w:rPr>
          <w:rFonts w:cs="AdvTT6120e2aa"/>
          <w:sz w:val="22"/>
          <w:szCs w:val="22"/>
        </w:rPr>
        <w:t>1323.</w:t>
      </w:r>
    </w:p>
    <w:p w:rsidR="00E03A55" w:rsidRDefault="00E03A55" w:rsidP="00980506">
      <w:pPr>
        <w:tabs>
          <w:tab w:val="left" w:pos="567"/>
        </w:tabs>
        <w:suppressAutoHyphens w:val="0"/>
        <w:autoSpaceDE w:val="0"/>
        <w:autoSpaceDN w:val="0"/>
        <w:adjustRightInd w:val="0"/>
        <w:spacing w:after="120"/>
        <w:ind w:left="567" w:hanging="567"/>
        <w:jc w:val="both"/>
        <w:rPr>
          <w:rFonts w:cs="GoudyOldStyleT-Regular"/>
          <w:sz w:val="22"/>
          <w:szCs w:val="22"/>
          <w:lang w:val="en-US" w:eastAsia="en-US"/>
        </w:rPr>
      </w:pPr>
      <w:r w:rsidRPr="00A7689E">
        <w:rPr>
          <w:sz w:val="22"/>
          <w:szCs w:val="22"/>
        </w:rPr>
        <w:t>Graham</w:t>
      </w:r>
      <w:r>
        <w:rPr>
          <w:sz w:val="22"/>
          <w:szCs w:val="22"/>
        </w:rPr>
        <w:t>,</w:t>
      </w:r>
      <w:r w:rsidRPr="00A7689E">
        <w:rPr>
          <w:sz w:val="22"/>
          <w:szCs w:val="22"/>
        </w:rPr>
        <w:t xml:space="preserve"> W., J.S. Bell</w:t>
      </w:r>
      <w:r>
        <w:rPr>
          <w:sz w:val="22"/>
          <w:szCs w:val="22"/>
        </w:rPr>
        <w:t xml:space="preserve"> and</w:t>
      </w:r>
      <w:r w:rsidRPr="00A7689E">
        <w:rPr>
          <w:sz w:val="22"/>
          <w:szCs w:val="22"/>
        </w:rPr>
        <w:t xml:space="preserve"> C. Bullaugh (2001) </w:t>
      </w:r>
      <w:r>
        <w:rPr>
          <w:sz w:val="22"/>
          <w:szCs w:val="22"/>
        </w:rPr>
        <w:t>“</w:t>
      </w:r>
      <w:r w:rsidRPr="00A7689E">
        <w:rPr>
          <w:rFonts w:cs="GoudyOldStyleT-Italic"/>
          <w:iCs/>
          <w:sz w:val="22"/>
          <w:szCs w:val="22"/>
          <w:lang w:val="en-US" w:eastAsia="en-US"/>
        </w:rPr>
        <w:t>Can skilled attendance at delivery reduces maternal mortality in developing countries?</w:t>
      </w:r>
      <w:r>
        <w:rPr>
          <w:rFonts w:cs="GoudyOldStyleT-Italic"/>
          <w:iCs/>
          <w:sz w:val="22"/>
          <w:szCs w:val="22"/>
          <w:lang w:val="en-US" w:eastAsia="en-US"/>
        </w:rPr>
        <w:t>” i</w:t>
      </w:r>
      <w:r w:rsidRPr="00A7689E">
        <w:rPr>
          <w:rFonts w:cs="GoudyOldStyleT-Italic"/>
          <w:iCs/>
          <w:sz w:val="22"/>
          <w:szCs w:val="22"/>
          <w:lang w:val="en-US" w:eastAsia="en-US"/>
        </w:rPr>
        <w:t xml:space="preserve">n </w:t>
      </w:r>
      <w:r w:rsidRPr="00A7689E">
        <w:rPr>
          <w:rFonts w:cs="GoudyOldStyleT-Regular"/>
          <w:sz w:val="22"/>
          <w:szCs w:val="22"/>
          <w:lang w:val="en-US" w:eastAsia="en-US"/>
        </w:rPr>
        <w:t>V</w:t>
      </w:r>
      <w:r>
        <w:rPr>
          <w:rFonts w:cs="GoudyOldStyleT-Regular"/>
          <w:sz w:val="22"/>
          <w:szCs w:val="22"/>
          <w:lang w:val="en-US" w:eastAsia="en-US"/>
        </w:rPr>
        <w:t>.</w:t>
      </w:r>
      <w:r w:rsidRPr="00A7689E">
        <w:rPr>
          <w:rFonts w:cs="GoudyOldStyleT-Regular"/>
          <w:sz w:val="22"/>
          <w:szCs w:val="22"/>
          <w:lang w:val="en-US" w:eastAsia="en-US"/>
        </w:rPr>
        <w:t xml:space="preserve"> </w:t>
      </w:r>
      <w:r>
        <w:rPr>
          <w:rFonts w:cs="GoudyOldStyleT-Regular"/>
          <w:sz w:val="22"/>
          <w:szCs w:val="22"/>
          <w:lang w:val="en-US" w:eastAsia="en-US"/>
        </w:rPr>
        <w:t>d</w:t>
      </w:r>
      <w:r w:rsidRPr="00A7689E">
        <w:rPr>
          <w:rFonts w:cs="GoudyOldStyleT-Regular"/>
          <w:sz w:val="22"/>
          <w:szCs w:val="22"/>
          <w:lang w:val="en-US" w:eastAsia="en-US"/>
        </w:rPr>
        <w:t>e Brouwere and W</w:t>
      </w:r>
      <w:r>
        <w:rPr>
          <w:rFonts w:cs="GoudyOldStyleT-Regular"/>
          <w:sz w:val="22"/>
          <w:szCs w:val="22"/>
          <w:lang w:val="en-US" w:eastAsia="en-US"/>
        </w:rPr>
        <w:t>.</w:t>
      </w:r>
      <w:r w:rsidRPr="00A7689E">
        <w:rPr>
          <w:rFonts w:cs="GoudyOldStyleT-Regular"/>
          <w:sz w:val="22"/>
          <w:szCs w:val="22"/>
          <w:lang w:val="en-US" w:eastAsia="en-US"/>
        </w:rPr>
        <w:t xml:space="preserve"> </w:t>
      </w:r>
      <w:r>
        <w:rPr>
          <w:rFonts w:cs="GoudyOldStyleT-Regular"/>
          <w:sz w:val="22"/>
          <w:szCs w:val="22"/>
          <w:lang w:val="en-US" w:eastAsia="en-US"/>
        </w:rPr>
        <w:t>v</w:t>
      </w:r>
      <w:r w:rsidRPr="00A7689E">
        <w:rPr>
          <w:rFonts w:cs="GoudyOldStyleT-Regular"/>
          <w:sz w:val="22"/>
          <w:szCs w:val="22"/>
          <w:lang w:val="en-US" w:eastAsia="en-US"/>
        </w:rPr>
        <w:t>an Lerberghe</w:t>
      </w:r>
      <w:r>
        <w:rPr>
          <w:rFonts w:cs="GoudyOldStyleT-Regular"/>
          <w:sz w:val="22"/>
          <w:szCs w:val="22"/>
          <w:lang w:val="en-US" w:eastAsia="en-US"/>
        </w:rPr>
        <w:t xml:space="preserve"> (eds) </w:t>
      </w:r>
      <w:r w:rsidRPr="004C6F79">
        <w:rPr>
          <w:rFonts w:cs="GoudyOldStyleT-Italic"/>
          <w:i/>
          <w:iCs/>
          <w:sz w:val="22"/>
          <w:szCs w:val="22"/>
          <w:lang w:val="en-US" w:eastAsia="en-US"/>
        </w:rPr>
        <w:t>Save Motherhood Strategies: A Review of the Evidence</w:t>
      </w:r>
      <w:r>
        <w:rPr>
          <w:rFonts w:cs="GoudyOldStyleT-Italic"/>
          <w:iCs/>
          <w:sz w:val="22"/>
          <w:szCs w:val="22"/>
          <w:lang w:val="en-US" w:eastAsia="en-US"/>
        </w:rPr>
        <w:t>,</w:t>
      </w:r>
      <w:r w:rsidRPr="00A7689E">
        <w:rPr>
          <w:rFonts w:cs="GoudyOldStyleT-Regular"/>
          <w:sz w:val="22"/>
          <w:szCs w:val="22"/>
          <w:lang w:val="en-US" w:eastAsia="en-US"/>
        </w:rPr>
        <w:t xml:space="preserve"> Studies in Health Services Organization and </w:t>
      </w:r>
      <w:r>
        <w:rPr>
          <w:rFonts w:cs="GoudyOldStyleT-Regular"/>
          <w:sz w:val="22"/>
          <w:szCs w:val="22"/>
          <w:lang w:val="en-US" w:eastAsia="en-US"/>
        </w:rPr>
        <w:t>Policy,</w:t>
      </w:r>
      <w:r w:rsidRPr="00A7689E">
        <w:rPr>
          <w:rFonts w:cs="GoudyOldStyleT-Regular"/>
          <w:sz w:val="22"/>
          <w:szCs w:val="22"/>
          <w:lang w:val="en-US" w:eastAsia="en-US"/>
        </w:rPr>
        <w:t xml:space="preserve"> 17</w:t>
      </w:r>
      <w:r>
        <w:rPr>
          <w:rFonts w:cs="GoudyOldStyleT-Regular"/>
          <w:sz w:val="22"/>
          <w:szCs w:val="22"/>
          <w:lang w:val="en-US" w:eastAsia="en-US"/>
        </w:rPr>
        <w:t>, 2001. Antwerp: ITG Press.</w:t>
      </w:r>
    </w:p>
    <w:p w:rsidR="00E03A55" w:rsidRPr="00A7689E" w:rsidRDefault="00E03A55" w:rsidP="00980506">
      <w:pPr>
        <w:tabs>
          <w:tab w:val="left" w:pos="567"/>
        </w:tabs>
        <w:autoSpaceDE w:val="0"/>
        <w:autoSpaceDN w:val="0"/>
        <w:adjustRightInd w:val="0"/>
        <w:spacing w:after="120"/>
        <w:ind w:left="567" w:hanging="567"/>
        <w:jc w:val="both"/>
        <w:rPr>
          <w:sz w:val="22"/>
          <w:szCs w:val="22"/>
        </w:rPr>
      </w:pPr>
      <w:r w:rsidRPr="00A7689E">
        <w:rPr>
          <w:sz w:val="22"/>
          <w:szCs w:val="22"/>
          <w:lang w:val="it-IT"/>
        </w:rPr>
        <w:t xml:space="preserve">Gujarati, D.N. (2003) </w:t>
      </w:r>
      <w:r w:rsidRPr="00A7689E">
        <w:rPr>
          <w:i/>
          <w:sz w:val="22"/>
          <w:szCs w:val="22"/>
          <w:lang w:val="it-IT"/>
        </w:rPr>
        <w:t>Basic Econometrics</w:t>
      </w:r>
      <w:r w:rsidRPr="00A7689E">
        <w:rPr>
          <w:sz w:val="22"/>
          <w:szCs w:val="22"/>
          <w:lang w:val="it-IT"/>
        </w:rPr>
        <w:t>. New York:</w:t>
      </w:r>
      <w:r w:rsidRPr="00A7689E">
        <w:rPr>
          <w:sz w:val="22"/>
          <w:szCs w:val="22"/>
        </w:rPr>
        <w:t xml:space="preserve"> McGraw-Hill Co. 4</w:t>
      </w:r>
      <w:r w:rsidRPr="00A7689E">
        <w:rPr>
          <w:sz w:val="22"/>
          <w:szCs w:val="22"/>
          <w:vertAlign w:val="superscript"/>
        </w:rPr>
        <w:t>th</w:t>
      </w:r>
      <w:r w:rsidRPr="00A7689E">
        <w:rPr>
          <w:sz w:val="22"/>
          <w:szCs w:val="22"/>
        </w:rPr>
        <w:t xml:space="preserve"> edition.</w:t>
      </w:r>
    </w:p>
    <w:p w:rsidR="00E03A55" w:rsidRDefault="00E03A55" w:rsidP="00980506">
      <w:pPr>
        <w:tabs>
          <w:tab w:val="left" w:pos="567"/>
        </w:tabs>
        <w:autoSpaceDE w:val="0"/>
        <w:autoSpaceDN w:val="0"/>
        <w:adjustRightInd w:val="0"/>
        <w:spacing w:after="120"/>
        <w:ind w:left="567" w:hanging="567"/>
        <w:jc w:val="both"/>
        <w:rPr>
          <w:rFonts w:cs="AdvTT5843c571"/>
          <w:sz w:val="22"/>
          <w:szCs w:val="22"/>
        </w:rPr>
      </w:pPr>
      <w:r>
        <w:rPr>
          <w:rFonts w:cs="AdvTT6120e2aa"/>
          <w:sz w:val="22"/>
          <w:szCs w:val="22"/>
        </w:rPr>
        <w:t>Gupta, S., M. Verhoeven</w:t>
      </w:r>
      <w:r w:rsidRPr="00A7689E">
        <w:rPr>
          <w:rFonts w:cs="AdvTT6120e2aa"/>
          <w:sz w:val="22"/>
          <w:szCs w:val="22"/>
        </w:rPr>
        <w:t xml:space="preserve"> </w:t>
      </w:r>
      <w:r>
        <w:rPr>
          <w:rFonts w:cs="AdvTT6120e2aa"/>
          <w:sz w:val="22"/>
          <w:szCs w:val="22"/>
        </w:rPr>
        <w:t xml:space="preserve">and </w:t>
      </w:r>
      <w:r w:rsidRPr="00A7689E">
        <w:rPr>
          <w:rFonts w:cs="AdvTT6120e2aa"/>
          <w:sz w:val="22"/>
          <w:szCs w:val="22"/>
        </w:rPr>
        <w:t>T. Tiongson (2002) “</w:t>
      </w:r>
      <w:r w:rsidRPr="00A7689E">
        <w:rPr>
          <w:rFonts w:cs="AdvTT5843c571"/>
          <w:sz w:val="22"/>
          <w:szCs w:val="22"/>
        </w:rPr>
        <w:t xml:space="preserve">The effectiveness of government spending on education and health care in developing and transition economies”, </w:t>
      </w:r>
      <w:r w:rsidRPr="00A7689E">
        <w:rPr>
          <w:rFonts w:cs="AdvTT5843c571"/>
          <w:i/>
          <w:sz w:val="22"/>
          <w:szCs w:val="22"/>
        </w:rPr>
        <w:t>European Journal of Political Economy</w:t>
      </w:r>
      <w:r w:rsidRPr="00A7689E">
        <w:rPr>
          <w:rFonts w:cs="AdvTT5843c571"/>
          <w:sz w:val="22"/>
          <w:szCs w:val="22"/>
        </w:rPr>
        <w:t xml:space="preserve"> 18: 717–737.</w:t>
      </w:r>
    </w:p>
    <w:p w:rsidR="00E03A55" w:rsidRPr="0028556D" w:rsidRDefault="00E03A55" w:rsidP="00980506">
      <w:pPr>
        <w:tabs>
          <w:tab w:val="left" w:pos="567"/>
        </w:tabs>
        <w:autoSpaceDE w:val="0"/>
        <w:autoSpaceDN w:val="0"/>
        <w:adjustRightInd w:val="0"/>
        <w:spacing w:after="120"/>
        <w:ind w:left="567" w:hanging="567"/>
        <w:jc w:val="both"/>
        <w:rPr>
          <w:rFonts w:cs="AdvTT5843c571"/>
          <w:sz w:val="22"/>
          <w:szCs w:val="22"/>
        </w:rPr>
      </w:pPr>
      <w:r>
        <w:rPr>
          <w:rFonts w:cs="AdvTT5843c571"/>
          <w:sz w:val="22"/>
          <w:szCs w:val="22"/>
        </w:rPr>
        <w:t xml:space="preserve">Hatt, L., </w:t>
      </w:r>
      <w:r w:rsidRPr="00A7689E">
        <w:rPr>
          <w:sz w:val="22"/>
          <w:szCs w:val="22"/>
        </w:rPr>
        <w:t>C. Stan</w:t>
      </w:r>
      <w:r>
        <w:rPr>
          <w:sz w:val="22"/>
          <w:szCs w:val="22"/>
        </w:rPr>
        <w:t xml:space="preserve">ton, K. Makowiecka, </w:t>
      </w:r>
      <w:r w:rsidRPr="00A7689E">
        <w:rPr>
          <w:sz w:val="22"/>
          <w:szCs w:val="22"/>
        </w:rPr>
        <w:t>A. Adisasmita</w:t>
      </w:r>
      <w:r>
        <w:rPr>
          <w:sz w:val="22"/>
          <w:szCs w:val="22"/>
        </w:rPr>
        <w:t xml:space="preserve">, E. Achadi, C. Ronsmans (2007) “Did the Strategy of Skilled Attendance at Birth Reach the Poor in Indonesia? </w:t>
      </w:r>
      <w:r>
        <w:rPr>
          <w:i/>
          <w:sz w:val="22"/>
          <w:szCs w:val="22"/>
        </w:rPr>
        <w:t>Bulletin of the World Health Organization</w:t>
      </w:r>
      <w:r>
        <w:rPr>
          <w:sz w:val="22"/>
          <w:szCs w:val="22"/>
        </w:rPr>
        <w:t xml:space="preserve"> 85:774-782.</w:t>
      </w:r>
    </w:p>
    <w:p w:rsidR="00E03A55" w:rsidRPr="00A7689E" w:rsidRDefault="00E03A55" w:rsidP="00980506">
      <w:pPr>
        <w:tabs>
          <w:tab w:val="left" w:pos="567"/>
        </w:tabs>
        <w:spacing w:after="120"/>
        <w:ind w:left="567" w:hanging="567"/>
        <w:jc w:val="both"/>
        <w:rPr>
          <w:sz w:val="22"/>
          <w:szCs w:val="22"/>
        </w:rPr>
      </w:pPr>
      <w:r w:rsidRPr="00A7689E">
        <w:rPr>
          <w:sz w:val="22"/>
          <w:szCs w:val="22"/>
        </w:rPr>
        <w:t>Hatt, L., C. Stan</w:t>
      </w:r>
      <w:r>
        <w:rPr>
          <w:sz w:val="22"/>
          <w:szCs w:val="22"/>
        </w:rPr>
        <w:t>ton, C. Ronsmans, K. Makowiecka and</w:t>
      </w:r>
      <w:r w:rsidRPr="00A7689E">
        <w:rPr>
          <w:sz w:val="22"/>
          <w:szCs w:val="22"/>
        </w:rPr>
        <w:t xml:space="preserve"> A. Adisasmita (2009) </w:t>
      </w:r>
      <w:r>
        <w:rPr>
          <w:sz w:val="22"/>
          <w:szCs w:val="22"/>
        </w:rPr>
        <w:t>“</w:t>
      </w:r>
      <w:r w:rsidRPr="00A7689E">
        <w:rPr>
          <w:sz w:val="22"/>
          <w:szCs w:val="22"/>
        </w:rPr>
        <w:t>Did Professional Attendance at Home Births Improve Early Neonatal Survival in Indonesia?</w:t>
      </w:r>
      <w:r>
        <w:rPr>
          <w:sz w:val="22"/>
          <w:szCs w:val="22"/>
        </w:rPr>
        <w:t>”</w:t>
      </w:r>
      <w:r w:rsidRPr="00A7689E">
        <w:rPr>
          <w:sz w:val="22"/>
          <w:szCs w:val="22"/>
        </w:rPr>
        <w:t xml:space="preserve"> </w:t>
      </w:r>
      <w:r w:rsidRPr="00A7689E">
        <w:rPr>
          <w:i/>
          <w:sz w:val="22"/>
          <w:szCs w:val="22"/>
        </w:rPr>
        <w:t>Health Policy and Planning</w:t>
      </w:r>
      <w:r w:rsidRPr="00A7689E">
        <w:rPr>
          <w:sz w:val="22"/>
          <w:szCs w:val="22"/>
        </w:rPr>
        <w:t xml:space="preserve"> 24:270-278.</w:t>
      </w:r>
    </w:p>
    <w:p w:rsidR="00E03A55" w:rsidRPr="00A7689E" w:rsidRDefault="00E03A55" w:rsidP="00980506">
      <w:pPr>
        <w:tabs>
          <w:tab w:val="num" w:pos="0"/>
          <w:tab w:val="left" w:pos="567"/>
          <w:tab w:val="left" w:pos="1134"/>
        </w:tabs>
        <w:spacing w:after="120"/>
        <w:ind w:left="567" w:hanging="567"/>
        <w:jc w:val="both"/>
        <w:rPr>
          <w:rFonts w:eastAsia="Arial Unicode MS" w:cs="Arial"/>
          <w:sz w:val="22"/>
          <w:szCs w:val="22"/>
        </w:rPr>
      </w:pPr>
      <w:r w:rsidRPr="00A7689E">
        <w:rPr>
          <w:rFonts w:eastAsia="Arial Unicode MS" w:cs="Arial"/>
          <w:sz w:val="22"/>
          <w:szCs w:val="22"/>
        </w:rPr>
        <w:t>Hong, R.</w:t>
      </w:r>
      <w:r>
        <w:rPr>
          <w:rFonts w:eastAsia="Arial Unicode MS" w:cs="Arial"/>
          <w:sz w:val="22"/>
          <w:szCs w:val="22"/>
        </w:rPr>
        <w:t xml:space="preserve"> and M. Ruiz-Beltran</w:t>
      </w:r>
      <w:r w:rsidRPr="00A7689E">
        <w:rPr>
          <w:rFonts w:eastAsia="Arial Unicode MS" w:cs="Arial"/>
          <w:sz w:val="22"/>
          <w:szCs w:val="22"/>
        </w:rPr>
        <w:t xml:space="preserve"> (2007) “Impact Prenatal Care on Infant Survival in Bangladesh”</w:t>
      </w:r>
      <w:r>
        <w:rPr>
          <w:rFonts w:eastAsia="Arial Unicode MS" w:cs="Arial"/>
          <w:sz w:val="22"/>
          <w:szCs w:val="22"/>
        </w:rPr>
        <w:t>,</w:t>
      </w:r>
      <w:r w:rsidRPr="00A7689E">
        <w:rPr>
          <w:rFonts w:eastAsia="Arial Unicode MS" w:cs="Arial"/>
          <w:sz w:val="22"/>
          <w:szCs w:val="22"/>
        </w:rPr>
        <w:t xml:space="preserve"> </w:t>
      </w:r>
      <w:r w:rsidRPr="00A7689E">
        <w:rPr>
          <w:rFonts w:eastAsia="Arial Unicode MS" w:cs="Arial"/>
          <w:i/>
          <w:sz w:val="22"/>
          <w:szCs w:val="22"/>
        </w:rPr>
        <w:t>Maternal and Child Journal</w:t>
      </w:r>
      <w:r w:rsidRPr="00A7689E">
        <w:rPr>
          <w:rFonts w:eastAsia="Arial Unicode MS" w:cs="Arial"/>
          <w:sz w:val="22"/>
          <w:szCs w:val="22"/>
        </w:rPr>
        <w:t xml:space="preserve"> 11(2): 199-206</w:t>
      </w:r>
      <w:r>
        <w:rPr>
          <w:rFonts w:eastAsia="Arial Unicode MS" w:cs="Arial"/>
          <w:sz w:val="22"/>
          <w:szCs w:val="22"/>
        </w:rPr>
        <w:t>.</w:t>
      </w:r>
    </w:p>
    <w:p w:rsidR="00E03A55" w:rsidRPr="00A7689E" w:rsidRDefault="00E03A55" w:rsidP="00980506">
      <w:pPr>
        <w:tabs>
          <w:tab w:val="left" w:pos="567"/>
        </w:tabs>
        <w:autoSpaceDE w:val="0"/>
        <w:autoSpaceDN w:val="0"/>
        <w:adjustRightInd w:val="0"/>
        <w:spacing w:after="120"/>
        <w:ind w:left="567" w:hanging="567"/>
        <w:jc w:val="both"/>
        <w:rPr>
          <w:rFonts w:cs="TimesNRMT"/>
          <w:sz w:val="22"/>
          <w:szCs w:val="22"/>
        </w:rPr>
      </w:pPr>
      <w:r>
        <w:rPr>
          <w:rFonts w:cs="TimesNRMT"/>
          <w:sz w:val="22"/>
          <w:szCs w:val="22"/>
        </w:rPr>
        <w:t xml:space="preserve">Kruse, I., M. Pradhan and R. Sparrow (forthcoming) </w:t>
      </w:r>
      <w:r w:rsidRPr="00E82D9B">
        <w:rPr>
          <w:rFonts w:cs="TimesNRMT"/>
          <w:i/>
          <w:sz w:val="22"/>
          <w:szCs w:val="22"/>
        </w:rPr>
        <w:t>Health Spending and Decentralization in Indonesia</w:t>
      </w:r>
      <w:r>
        <w:rPr>
          <w:rFonts w:cs="TimesNRMT"/>
          <w:sz w:val="22"/>
          <w:szCs w:val="22"/>
        </w:rPr>
        <w:t>.</w:t>
      </w:r>
    </w:p>
    <w:p w:rsidR="00E03A55" w:rsidRPr="00A7689E" w:rsidRDefault="00E03A55" w:rsidP="00980506">
      <w:pPr>
        <w:tabs>
          <w:tab w:val="left" w:pos="567"/>
        </w:tabs>
        <w:suppressAutoHyphens w:val="0"/>
        <w:autoSpaceDE w:val="0"/>
        <w:autoSpaceDN w:val="0"/>
        <w:adjustRightInd w:val="0"/>
        <w:spacing w:after="120"/>
        <w:ind w:left="567" w:hanging="567"/>
        <w:jc w:val="both"/>
        <w:rPr>
          <w:sz w:val="22"/>
          <w:szCs w:val="22"/>
        </w:rPr>
      </w:pPr>
      <w:r w:rsidRPr="00A7689E">
        <w:rPr>
          <w:sz w:val="22"/>
          <w:szCs w:val="22"/>
        </w:rPr>
        <w:t>Mcquire, J</w:t>
      </w:r>
      <w:r>
        <w:rPr>
          <w:sz w:val="22"/>
          <w:szCs w:val="22"/>
        </w:rPr>
        <w:t>.</w:t>
      </w:r>
      <w:r w:rsidRPr="00A7689E">
        <w:rPr>
          <w:sz w:val="22"/>
          <w:szCs w:val="22"/>
        </w:rPr>
        <w:t>W</w:t>
      </w:r>
      <w:r>
        <w:rPr>
          <w:sz w:val="22"/>
          <w:szCs w:val="22"/>
        </w:rPr>
        <w:t xml:space="preserve">. </w:t>
      </w:r>
      <w:r w:rsidRPr="00A7689E">
        <w:rPr>
          <w:sz w:val="22"/>
          <w:szCs w:val="22"/>
        </w:rPr>
        <w:t xml:space="preserve">(2006) </w:t>
      </w:r>
      <w:r>
        <w:rPr>
          <w:sz w:val="22"/>
          <w:szCs w:val="22"/>
        </w:rPr>
        <w:t>“</w:t>
      </w:r>
      <w:r w:rsidRPr="00A7689E">
        <w:rPr>
          <w:sz w:val="22"/>
          <w:szCs w:val="22"/>
        </w:rPr>
        <w:t>Basic Health Care Provision and Under-5 Mortality: A Cross-National Study of Developing Countries</w:t>
      </w:r>
      <w:r>
        <w:rPr>
          <w:sz w:val="22"/>
          <w:szCs w:val="22"/>
        </w:rPr>
        <w:t>”,</w:t>
      </w:r>
      <w:r w:rsidRPr="00A7689E">
        <w:rPr>
          <w:sz w:val="22"/>
          <w:szCs w:val="22"/>
        </w:rPr>
        <w:t xml:space="preserve"> </w:t>
      </w:r>
      <w:r w:rsidRPr="00A7689E">
        <w:rPr>
          <w:i/>
          <w:sz w:val="22"/>
          <w:szCs w:val="22"/>
        </w:rPr>
        <w:t>World Development</w:t>
      </w:r>
      <w:r w:rsidRPr="00A7689E">
        <w:rPr>
          <w:sz w:val="22"/>
          <w:szCs w:val="22"/>
        </w:rPr>
        <w:t xml:space="preserve"> 34</w:t>
      </w:r>
      <w:r>
        <w:rPr>
          <w:sz w:val="22"/>
          <w:szCs w:val="22"/>
        </w:rPr>
        <w:t>(</w:t>
      </w:r>
      <w:r w:rsidRPr="00A7689E">
        <w:rPr>
          <w:sz w:val="22"/>
          <w:szCs w:val="22"/>
        </w:rPr>
        <w:t>3</w:t>
      </w:r>
      <w:r>
        <w:rPr>
          <w:sz w:val="22"/>
          <w:szCs w:val="22"/>
        </w:rPr>
        <w:t>)</w:t>
      </w:r>
      <w:r w:rsidRPr="00A7689E">
        <w:rPr>
          <w:sz w:val="22"/>
          <w:szCs w:val="22"/>
        </w:rPr>
        <w:t>:405-425</w:t>
      </w:r>
      <w:r>
        <w:rPr>
          <w:sz w:val="22"/>
          <w:szCs w:val="22"/>
        </w:rPr>
        <w:t>.</w:t>
      </w:r>
    </w:p>
    <w:p w:rsidR="00E03A55" w:rsidRPr="004A129C" w:rsidRDefault="00E03A55" w:rsidP="00980506">
      <w:pPr>
        <w:tabs>
          <w:tab w:val="left" w:pos="567"/>
        </w:tabs>
        <w:spacing w:after="120"/>
        <w:ind w:left="567" w:hanging="567"/>
        <w:jc w:val="both"/>
        <w:rPr>
          <w:sz w:val="22"/>
          <w:szCs w:val="22"/>
        </w:rPr>
      </w:pPr>
      <w:r w:rsidRPr="004A129C">
        <w:rPr>
          <w:sz w:val="22"/>
          <w:szCs w:val="22"/>
        </w:rPr>
        <w:t xml:space="preserve">Ministry of Health (2007) </w:t>
      </w:r>
      <w:r w:rsidRPr="004A129C">
        <w:rPr>
          <w:i/>
          <w:sz w:val="22"/>
          <w:szCs w:val="22"/>
        </w:rPr>
        <w:t>Indonesia Health Profile 2005</w:t>
      </w:r>
      <w:r w:rsidRPr="004A129C">
        <w:rPr>
          <w:sz w:val="22"/>
          <w:szCs w:val="22"/>
        </w:rPr>
        <w:t>, Jakarta: MoH</w:t>
      </w:r>
    </w:p>
    <w:p w:rsidR="00E03A55" w:rsidRPr="00E82D9B" w:rsidRDefault="00E03A55" w:rsidP="00980506">
      <w:pPr>
        <w:tabs>
          <w:tab w:val="left" w:pos="567"/>
        </w:tabs>
        <w:spacing w:after="120"/>
        <w:ind w:left="567" w:hanging="567"/>
        <w:jc w:val="both"/>
        <w:rPr>
          <w:sz w:val="22"/>
          <w:szCs w:val="22"/>
        </w:rPr>
      </w:pPr>
      <w:r w:rsidRPr="004A129C">
        <w:rPr>
          <w:sz w:val="22"/>
          <w:szCs w:val="22"/>
        </w:rPr>
        <w:t>Ministry of Health</w:t>
      </w:r>
      <w:r w:rsidRPr="00E82D9B">
        <w:rPr>
          <w:sz w:val="22"/>
          <w:szCs w:val="22"/>
        </w:rPr>
        <w:t xml:space="preserve"> (2008a) </w:t>
      </w:r>
      <w:r w:rsidRPr="00E82D9B">
        <w:rPr>
          <w:i/>
          <w:sz w:val="22"/>
          <w:szCs w:val="22"/>
        </w:rPr>
        <w:t>Indonesia Health Profile 2007</w:t>
      </w:r>
      <w:r w:rsidRPr="00E82D9B">
        <w:rPr>
          <w:sz w:val="22"/>
          <w:szCs w:val="22"/>
        </w:rPr>
        <w:t>, Jakarta: MoH</w:t>
      </w:r>
    </w:p>
    <w:p w:rsidR="00E03A55" w:rsidRPr="00E82D9B" w:rsidRDefault="00E03A55" w:rsidP="00980506">
      <w:pPr>
        <w:tabs>
          <w:tab w:val="left" w:pos="567"/>
        </w:tabs>
        <w:spacing w:after="120"/>
        <w:ind w:left="567" w:hanging="567"/>
        <w:jc w:val="both"/>
        <w:rPr>
          <w:sz w:val="22"/>
          <w:szCs w:val="22"/>
        </w:rPr>
      </w:pPr>
      <w:r w:rsidRPr="004A129C">
        <w:rPr>
          <w:sz w:val="22"/>
          <w:szCs w:val="22"/>
        </w:rPr>
        <w:t>Ministry of Health</w:t>
      </w:r>
      <w:r w:rsidRPr="00E82D9B">
        <w:rPr>
          <w:sz w:val="22"/>
          <w:szCs w:val="22"/>
        </w:rPr>
        <w:t xml:space="preserve"> (2008b) </w:t>
      </w:r>
      <w:r w:rsidRPr="00E82D9B">
        <w:rPr>
          <w:i/>
          <w:sz w:val="22"/>
          <w:szCs w:val="22"/>
        </w:rPr>
        <w:t>Indonesia Health Profile 2006,</w:t>
      </w:r>
      <w:r w:rsidRPr="00E82D9B">
        <w:rPr>
          <w:sz w:val="22"/>
          <w:szCs w:val="22"/>
        </w:rPr>
        <w:t xml:space="preserve"> Jakarta: MoH</w:t>
      </w:r>
    </w:p>
    <w:p w:rsidR="00E03A55" w:rsidRPr="00A7689E" w:rsidRDefault="00E03A55" w:rsidP="00980506">
      <w:pPr>
        <w:tabs>
          <w:tab w:val="left" w:pos="567"/>
        </w:tabs>
        <w:autoSpaceDE w:val="0"/>
        <w:autoSpaceDN w:val="0"/>
        <w:adjustRightInd w:val="0"/>
        <w:spacing w:after="120"/>
        <w:ind w:left="567" w:hanging="567"/>
        <w:jc w:val="both"/>
        <w:rPr>
          <w:rFonts w:cs="TimesNRMT"/>
          <w:sz w:val="22"/>
          <w:szCs w:val="22"/>
        </w:rPr>
      </w:pPr>
      <w:r>
        <w:rPr>
          <w:rFonts w:cs="TimesNRMT"/>
          <w:sz w:val="22"/>
          <w:szCs w:val="22"/>
        </w:rPr>
        <w:t>Nixon, J. and</w:t>
      </w:r>
      <w:r w:rsidRPr="00A7689E">
        <w:rPr>
          <w:rFonts w:cs="TimesNRMT"/>
          <w:sz w:val="22"/>
          <w:szCs w:val="22"/>
        </w:rPr>
        <w:t xml:space="preserve"> P. Ulmann (2006) “The Relationship between Health Care Expenditure and Health Outcomes: Evidence and Caveats for a Causal Link”, </w:t>
      </w:r>
      <w:r w:rsidRPr="00A7689E">
        <w:rPr>
          <w:rFonts w:cs="TimesNRMT"/>
          <w:i/>
          <w:sz w:val="22"/>
          <w:szCs w:val="22"/>
        </w:rPr>
        <w:t>European Journal of Health Economy</w:t>
      </w:r>
      <w:r w:rsidRPr="00A7689E">
        <w:rPr>
          <w:rFonts w:cs="TimesNRMT"/>
          <w:sz w:val="22"/>
          <w:szCs w:val="22"/>
        </w:rPr>
        <w:t xml:space="preserve"> 7: 7-18.</w:t>
      </w:r>
    </w:p>
    <w:p w:rsidR="00E03A55" w:rsidRPr="00A7689E" w:rsidRDefault="00E03A55" w:rsidP="00980506">
      <w:pPr>
        <w:tabs>
          <w:tab w:val="left" w:pos="567"/>
        </w:tabs>
        <w:autoSpaceDE w:val="0"/>
        <w:autoSpaceDN w:val="0"/>
        <w:adjustRightInd w:val="0"/>
        <w:spacing w:after="120"/>
        <w:ind w:left="567" w:hanging="567"/>
        <w:jc w:val="both"/>
        <w:rPr>
          <w:rFonts w:cs="TimesNewRomanPSMT"/>
          <w:sz w:val="22"/>
          <w:szCs w:val="22"/>
        </w:rPr>
      </w:pPr>
      <w:r w:rsidRPr="00A7689E">
        <w:rPr>
          <w:bCs/>
          <w:sz w:val="22"/>
          <w:szCs w:val="22"/>
        </w:rPr>
        <w:t>O’Donnell, O</w:t>
      </w:r>
      <w:r>
        <w:rPr>
          <w:bCs/>
          <w:sz w:val="22"/>
          <w:szCs w:val="22"/>
        </w:rPr>
        <w:t>., E. Van Dooslaer, A. Wagstaff and</w:t>
      </w:r>
      <w:r w:rsidRPr="00A7689E">
        <w:rPr>
          <w:bCs/>
          <w:sz w:val="22"/>
          <w:szCs w:val="22"/>
        </w:rPr>
        <w:t xml:space="preserve"> M. Lindelow (2008) </w:t>
      </w:r>
      <w:r w:rsidRPr="00102498">
        <w:rPr>
          <w:rFonts w:cs="TimesNewRomanPSMT"/>
          <w:i/>
          <w:sz w:val="22"/>
          <w:szCs w:val="22"/>
        </w:rPr>
        <w:t>Analyzing Health Equity Using Household Survey Data: A Guide to Techniques and Their Implementation</w:t>
      </w:r>
      <w:r w:rsidRPr="00A7689E">
        <w:rPr>
          <w:rFonts w:cs="TimesNewRomanPS-ItalicMT"/>
          <w:i/>
          <w:iCs/>
          <w:sz w:val="22"/>
          <w:szCs w:val="22"/>
        </w:rPr>
        <w:t xml:space="preserve">. </w:t>
      </w:r>
      <w:r w:rsidRPr="00A7689E">
        <w:rPr>
          <w:rFonts w:cs="TimesNewRomanPS-ItalicMT"/>
          <w:iCs/>
          <w:sz w:val="22"/>
          <w:szCs w:val="22"/>
        </w:rPr>
        <w:t>Washington DC:</w:t>
      </w:r>
      <w:r w:rsidRPr="00A7689E">
        <w:rPr>
          <w:rFonts w:cs="TimesNewRomanPSMT"/>
          <w:sz w:val="22"/>
          <w:szCs w:val="22"/>
        </w:rPr>
        <w:t xml:space="preserve"> World Bank.</w:t>
      </w:r>
    </w:p>
    <w:p w:rsidR="00E03A55" w:rsidRPr="00A7689E" w:rsidRDefault="00E03A55" w:rsidP="00980506">
      <w:pPr>
        <w:tabs>
          <w:tab w:val="left" w:pos="567"/>
        </w:tabs>
        <w:autoSpaceDE w:val="0"/>
        <w:autoSpaceDN w:val="0"/>
        <w:adjustRightInd w:val="0"/>
        <w:spacing w:after="120"/>
        <w:ind w:left="567" w:hanging="567"/>
        <w:jc w:val="both"/>
        <w:rPr>
          <w:rFonts w:cs="TimesNRMT"/>
          <w:sz w:val="22"/>
          <w:szCs w:val="22"/>
        </w:rPr>
      </w:pPr>
      <w:r>
        <w:rPr>
          <w:sz w:val="22"/>
          <w:szCs w:val="22"/>
        </w:rPr>
        <w:t>Panis, C.W.A. and</w:t>
      </w:r>
      <w:r w:rsidRPr="00A7689E">
        <w:rPr>
          <w:sz w:val="22"/>
          <w:szCs w:val="22"/>
        </w:rPr>
        <w:t xml:space="preserve"> L.A. Lillard (1994) “Health Inputs and Child Mortality: Malaysia”, </w:t>
      </w:r>
      <w:r w:rsidRPr="00A7689E">
        <w:rPr>
          <w:rFonts w:cs="TimesNRMT"/>
          <w:i/>
          <w:sz w:val="22"/>
          <w:szCs w:val="22"/>
        </w:rPr>
        <w:t>Journal of Health Economics</w:t>
      </w:r>
      <w:r w:rsidRPr="00102498">
        <w:rPr>
          <w:rFonts w:cs="TimesNRMT"/>
          <w:sz w:val="22"/>
          <w:szCs w:val="22"/>
        </w:rPr>
        <w:t xml:space="preserve"> 13</w:t>
      </w:r>
      <w:r w:rsidRPr="00A7689E">
        <w:rPr>
          <w:rFonts w:cs="TimesNRMT"/>
          <w:sz w:val="22"/>
          <w:szCs w:val="22"/>
        </w:rPr>
        <w:t>: 455-489.</w:t>
      </w:r>
    </w:p>
    <w:p w:rsidR="00E03A55" w:rsidRDefault="00E03A55" w:rsidP="00980506">
      <w:pPr>
        <w:tabs>
          <w:tab w:val="left" w:pos="567"/>
        </w:tabs>
        <w:spacing w:after="120"/>
        <w:ind w:left="567" w:hanging="567"/>
        <w:jc w:val="both"/>
        <w:rPr>
          <w:sz w:val="22"/>
          <w:szCs w:val="22"/>
        </w:rPr>
      </w:pPr>
      <w:r w:rsidRPr="00A7689E">
        <w:rPr>
          <w:sz w:val="22"/>
          <w:szCs w:val="22"/>
        </w:rPr>
        <w:t>Poerwanto, S., M. Stevenson and N. de Klerk (2003)</w:t>
      </w:r>
      <w:r>
        <w:rPr>
          <w:sz w:val="22"/>
          <w:szCs w:val="22"/>
        </w:rPr>
        <w:t xml:space="preserve"> “</w:t>
      </w:r>
      <w:r w:rsidRPr="00A7689E">
        <w:rPr>
          <w:sz w:val="22"/>
          <w:szCs w:val="22"/>
        </w:rPr>
        <w:t>Infant Mortality and Family Welfare: Policy Implications for Indonesia”</w:t>
      </w:r>
      <w:r>
        <w:rPr>
          <w:sz w:val="22"/>
          <w:szCs w:val="22"/>
        </w:rPr>
        <w:t>,</w:t>
      </w:r>
      <w:r w:rsidRPr="00A7689E">
        <w:rPr>
          <w:sz w:val="22"/>
          <w:szCs w:val="22"/>
        </w:rPr>
        <w:t xml:space="preserve"> </w:t>
      </w:r>
      <w:r w:rsidRPr="00A7689E">
        <w:rPr>
          <w:i/>
          <w:sz w:val="22"/>
          <w:szCs w:val="22"/>
        </w:rPr>
        <w:t xml:space="preserve">Journal Epidemiology Community Health </w:t>
      </w:r>
      <w:r w:rsidRPr="00A7689E">
        <w:rPr>
          <w:sz w:val="22"/>
          <w:szCs w:val="22"/>
        </w:rPr>
        <w:t>57: 493-498.</w:t>
      </w:r>
    </w:p>
    <w:p w:rsidR="00E03A55" w:rsidRPr="005A10EC" w:rsidRDefault="00E03A55" w:rsidP="00980506">
      <w:pPr>
        <w:tabs>
          <w:tab w:val="left" w:pos="567"/>
        </w:tabs>
        <w:suppressAutoHyphens w:val="0"/>
        <w:autoSpaceDE w:val="0"/>
        <w:autoSpaceDN w:val="0"/>
        <w:adjustRightInd w:val="0"/>
        <w:spacing w:after="120"/>
        <w:ind w:left="567" w:hanging="567"/>
        <w:jc w:val="both"/>
        <w:rPr>
          <w:rFonts w:cs="GoudyOldStyleT-Regular"/>
          <w:sz w:val="22"/>
          <w:szCs w:val="22"/>
          <w:lang w:val="en-US" w:eastAsia="en-US"/>
        </w:rPr>
      </w:pPr>
      <w:r>
        <w:rPr>
          <w:rFonts w:cs="GoudyOldStyleT-Regular"/>
          <w:sz w:val="22"/>
          <w:szCs w:val="22"/>
          <w:lang w:val="en-US" w:eastAsia="en-US"/>
        </w:rPr>
        <w:t xml:space="preserve">Preston, S.H., P. Heuveline and M. Guillot (2001) </w:t>
      </w:r>
      <w:r>
        <w:rPr>
          <w:rFonts w:cs="GoudyOldStyleT-Regular"/>
          <w:i/>
          <w:sz w:val="22"/>
          <w:szCs w:val="22"/>
          <w:lang w:val="en-US" w:eastAsia="en-US"/>
        </w:rPr>
        <w:t>Demography: Measuring and Modeling Population Processes.</w:t>
      </w:r>
      <w:r>
        <w:rPr>
          <w:rFonts w:cs="GoudyOldStyleT-Regular"/>
          <w:sz w:val="22"/>
          <w:szCs w:val="22"/>
          <w:lang w:val="en-US" w:eastAsia="en-US"/>
        </w:rPr>
        <w:t xml:space="preserve"> Oxford: Blackwell Publishers Ltd.</w:t>
      </w:r>
    </w:p>
    <w:p w:rsidR="00E03A55" w:rsidRPr="00A7689E" w:rsidRDefault="00E03A55" w:rsidP="00980506">
      <w:pPr>
        <w:tabs>
          <w:tab w:val="left" w:pos="567"/>
        </w:tabs>
        <w:autoSpaceDE w:val="0"/>
        <w:autoSpaceDN w:val="0"/>
        <w:adjustRightInd w:val="0"/>
        <w:spacing w:after="120"/>
        <w:ind w:left="567" w:hanging="567"/>
        <w:jc w:val="both"/>
        <w:rPr>
          <w:sz w:val="22"/>
          <w:szCs w:val="22"/>
        </w:rPr>
      </w:pPr>
      <w:r w:rsidRPr="00A7689E">
        <w:rPr>
          <w:sz w:val="22"/>
          <w:szCs w:val="22"/>
        </w:rPr>
        <w:t xml:space="preserve">Pyndick, R.S. and D.L. Rubenfeld (1998) </w:t>
      </w:r>
      <w:r w:rsidRPr="00A7689E">
        <w:rPr>
          <w:i/>
          <w:sz w:val="22"/>
          <w:szCs w:val="22"/>
        </w:rPr>
        <w:t>Econometric Models and Economic Forecast</w:t>
      </w:r>
      <w:r w:rsidRPr="00A7689E">
        <w:rPr>
          <w:sz w:val="22"/>
          <w:szCs w:val="22"/>
        </w:rPr>
        <w:t>.  Singapore: McGraw-Hill Co. 4</w:t>
      </w:r>
      <w:r w:rsidRPr="00A7689E">
        <w:rPr>
          <w:sz w:val="22"/>
          <w:szCs w:val="22"/>
          <w:vertAlign w:val="superscript"/>
        </w:rPr>
        <w:t>th</w:t>
      </w:r>
      <w:r w:rsidRPr="00A7689E">
        <w:rPr>
          <w:sz w:val="22"/>
          <w:szCs w:val="22"/>
        </w:rPr>
        <w:t xml:space="preserve"> edition.</w:t>
      </w:r>
    </w:p>
    <w:p w:rsidR="00E03A55" w:rsidRPr="00A7689E" w:rsidRDefault="00E03A55" w:rsidP="00980506">
      <w:pPr>
        <w:tabs>
          <w:tab w:val="left" w:pos="567"/>
        </w:tabs>
        <w:autoSpaceDE w:val="0"/>
        <w:autoSpaceDN w:val="0"/>
        <w:adjustRightInd w:val="0"/>
        <w:spacing w:after="120"/>
        <w:ind w:left="567" w:hanging="567"/>
        <w:jc w:val="both"/>
        <w:rPr>
          <w:rFonts w:cs="AdvTT6120e2aa"/>
          <w:sz w:val="22"/>
          <w:szCs w:val="22"/>
        </w:rPr>
      </w:pPr>
      <w:r>
        <w:rPr>
          <w:rFonts w:cs="AdvTT6120e2aa"/>
          <w:sz w:val="22"/>
          <w:szCs w:val="22"/>
        </w:rPr>
        <w:t>Rajkumar, A.S. and</w:t>
      </w:r>
      <w:r w:rsidRPr="00A7689E">
        <w:rPr>
          <w:rFonts w:cs="AdvTT6120e2aa"/>
          <w:sz w:val="22"/>
          <w:szCs w:val="22"/>
        </w:rPr>
        <w:t xml:space="preserve"> V. Swaroop (2008) “Public spending and outcomes: Does governance matter?” </w:t>
      </w:r>
      <w:r w:rsidRPr="00A7689E">
        <w:rPr>
          <w:rFonts w:cs="AdvTT6120e2aa"/>
          <w:i/>
          <w:sz w:val="22"/>
          <w:szCs w:val="22"/>
        </w:rPr>
        <w:t>Journal of Development Economics</w:t>
      </w:r>
      <w:r w:rsidRPr="00A7689E">
        <w:rPr>
          <w:rFonts w:cs="AdvTT6120e2aa"/>
          <w:sz w:val="22"/>
          <w:szCs w:val="22"/>
        </w:rPr>
        <w:t xml:space="preserve"> 86: 96</w:t>
      </w:r>
      <w:r w:rsidRPr="00A7689E">
        <w:rPr>
          <w:rFonts w:cs="AdvTT6120e2aa+20"/>
          <w:sz w:val="22"/>
          <w:szCs w:val="22"/>
        </w:rPr>
        <w:t>–</w:t>
      </w:r>
      <w:r w:rsidRPr="00A7689E">
        <w:rPr>
          <w:rFonts w:cs="AdvTT6120e2aa"/>
          <w:sz w:val="22"/>
          <w:szCs w:val="22"/>
        </w:rPr>
        <w:t>111.</w:t>
      </w:r>
    </w:p>
    <w:p w:rsidR="00E03A55" w:rsidRDefault="00E03A55" w:rsidP="00980506">
      <w:pPr>
        <w:tabs>
          <w:tab w:val="left" w:pos="567"/>
        </w:tabs>
        <w:autoSpaceDE w:val="0"/>
        <w:autoSpaceDN w:val="0"/>
        <w:adjustRightInd w:val="0"/>
        <w:spacing w:after="120"/>
        <w:ind w:left="567" w:hanging="567"/>
        <w:jc w:val="both"/>
        <w:rPr>
          <w:rFonts w:cs="TimesNewRomanPSMT"/>
          <w:sz w:val="22"/>
          <w:szCs w:val="22"/>
        </w:rPr>
      </w:pPr>
      <w:r w:rsidRPr="00A7689E">
        <w:rPr>
          <w:rFonts w:cs="TimesNewRomanPSMT"/>
          <w:sz w:val="22"/>
          <w:szCs w:val="22"/>
        </w:rPr>
        <w:t>Rokx, C., G. Cchieb</w:t>
      </w:r>
      <w:r>
        <w:rPr>
          <w:rFonts w:cs="TimesNewRomanPSMT"/>
          <w:sz w:val="22"/>
          <w:szCs w:val="22"/>
        </w:rPr>
        <w:t xml:space="preserve">er, P. Harimurti, A. Tandon and A. Somanathan (2009) </w:t>
      </w:r>
      <w:r w:rsidRPr="00631EF5">
        <w:rPr>
          <w:rFonts w:cs="TimesNewRomanPSMT"/>
          <w:i/>
          <w:sz w:val="22"/>
          <w:szCs w:val="22"/>
        </w:rPr>
        <w:t>Health Financing in Indonesia: A Reform Road Map</w:t>
      </w:r>
      <w:r>
        <w:rPr>
          <w:rFonts w:cs="TimesNewRomanPSMT"/>
          <w:sz w:val="22"/>
          <w:szCs w:val="22"/>
        </w:rPr>
        <w:t>,</w:t>
      </w:r>
      <w:r w:rsidRPr="00A7689E">
        <w:rPr>
          <w:rFonts w:cs="TimesNewRomanPSMT"/>
          <w:sz w:val="22"/>
          <w:szCs w:val="22"/>
        </w:rPr>
        <w:t xml:space="preserve"> Jakarta: World Bank.</w:t>
      </w:r>
    </w:p>
    <w:p w:rsidR="00E03A55" w:rsidRPr="00A7689E" w:rsidRDefault="00E03A55" w:rsidP="00980506">
      <w:pPr>
        <w:tabs>
          <w:tab w:val="left" w:pos="567"/>
        </w:tabs>
        <w:spacing w:after="120"/>
        <w:ind w:left="567" w:hanging="567"/>
        <w:jc w:val="both"/>
        <w:rPr>
          <w:sz w:val="22"/>
          <w:szCs w:val="22"/>
        </w:rPr>
      </w:pPr>
      <w:r w:rsidRPr="00A7689E">
        <w:rPr>
          <w:sz w:val="22"/>
          <w:szCs w:val="22"/>
        </w:rPr>
        <w:t xml:space="preserve">Smeru Research Institute (2004) </w:t>
      </w:r>
      <w:r w:rsidRPr="00E319E6">
        <w:rPr>
          <w:i/>
          <w:sz w:val="22"/>
          <w:szCs w:val="22"/>
        </w:rPr>
        <w:t>Basic Health Services in the Era of Regional Autonomy</w:t>
      </w:r>
      <w:r w:rsidRPr="00A7689E">
        <w:rPr>
          <w:sz w:val="22"/>
          <w:szCs w:val="22"/>
        </w:rPr>
        <w:t>. Sme</w:t>
      </w:r>
      <w:r>
        <w:rPr>
          <w:sz w:val="22"/>
          <w:szCs w:val="22"/>
        </w:rPr>
        <w:t>ru News No.09: Jan-Mar/2004. A</w:t>
      </w:r>
      <w:r w:rsidRPr="00A7689E">
        <w:rPr>
          <w:sz w:val="22"/>
          <w:szCs w:val="22"/>
        </w:rPr>
        <w:t xml:space="preserve">vailable at </w:t>
      </w:r>
      <w:hyperlink r:id="rId34" w:history="1">
        <w:r w:rsidRPr="00135480">
          <w:rPr>
            <w:rStyle w:val="Hyperlink"/>
            <w:szCs w:val="22"/>
          </w:rPr>
          <w:t>http://www.smeru.or.id/newslet/2004/ news09. pdf</w:t>
        </w:r>
      </w:hyperlink>
      <w:r>
        <w:rPr>
          <w:sz w:val="22"/>
          <w:szCs w:val="22"/>
        </w:rPr>
        <w:t xml:space="preserve"> (A</w:t>
      </w:r>
      <w:r w:rsidRPr="00A7689E">
        <w:rPr>
          <w:sz w:val="22"/>
          <w:szCs w:val="22"/>
        </w:rPr>
        <w:t xml:space="preserve">ccessed </w:t>
      </w:r>
      <w:r>
        <w:rPr>
          <w:sz w:val="22"/>
          <w:szCs w:val="22"/>
        </w:rPr>
        <w:t>on 26 August 2009)</w:t>
      </w:r>
    </w:p>
    <w:p w:rsidR="00E03A55" w:rsidRPr="004C6F79" w:rsidRDefault="00E03A55" w:rsidP="00980506">
      <w:pPr>
        <w:tabs>
          <w:tab w:val="left" w:pos="567"/>
        </w:tabs>
        <w:suppressAutoHyphens w:val="0"/>
        <w:autoSpaceDE w:val="0"/>
        <w:autoSpaceDN w:val="0"/>
        <w:adjustRightInd w:val="0"/>
        <w:spacing w:after="120"/>
        <w:ind w:left="567" w:hanging="567"/>
        <w:jc w:val="both"/>
        <w:rPr>
          <w:sz w:val="22"/>
          <w:szCs w:val="22"/>
        </w:rPr>
      </w:pPr>
      <w:r w:rsidRPr="004C6F79">
        <w:rPr>
          <w:rFonts w:cs="TimesNewRoman"/>
          <w:sz w:val="22"/>
          <w:szCs w:val="22"/>
          <w:lang w:val="en-US" w:eastAsia="en-US"/>
        </w:rPr>
        <w:t>UNICEF, WHO, The World Bank and UN Population Division</w:t>
      </w:r>
      <w:r>
        <w:rPr>
          <w:rFonts w:cs="TimesNewRoman"/>
          <w:sz w:val="22"/>
          <w:szCs w:val="22"/>
          <w:lang w:val="en-US" w:eastAsia="en-US"/>
        </w:rPr>
        <w:t xml:space="preserve"> (2007)</w:t>
      </w:r>
      <w:r w:rsidRPr="004C6F79">
        <w:rPr>
          <w:rFonts w:cs="TimesNewRoman"/>
          <w:sz w:val="22"/>
          <w:szCs w:val="22"/>
          <w:lang w:val="en-US" w:eastAsia="en-US"/>
        </w:rPr>
        <w:t xml:space="preserve"> </w:t>
      </w:r>
      <w:r w:rsidRPr="004C6F79">
        <w:rPr>
          <w:rFonts w:cs="TimesNewRoman"/>
          <w:i/>
          <w:sz w:val="22"/>
          <w:szCs w:val="22"/>
          <w:lang w:val="en-US" w:eastAsia="en-US"/>
        </w:rPr>
        <w:t>Levels and Trends of Child Mortality in 2006</w:t>
      </w:r>
      <w:r>
        <w:rPr>
          <w:rFonts w:cs="TimesNewRoman"/>
          <w:sz w:val="22"/>
          <w:szCs w:val="22"/>
          <w:lang w:val="en-US" w:eastAsia="en-US"/>
        </w:rPr>
        <w:t>.</w:t>
      </w:r>
      <w:r w:rsidRPr="004C6F79">
        <w:rPr>
          <w:rFonts w:cs="TimesNewRoman"/>
          <w:sz w:val="22"/>
          <w:szCs w:val="22"/>
          <w:lang w:val="en-US" w:eastAsia="en-US"/>
        </w:rPr>
        <w:t xml:space="preserve"> Estimates developed by the Inter-agency Group for Child</w:t>
      </w:r>
      <w:r>
        <w:rPr>
          <w:rFonts w:cs="TimesNewRoman"/>
          <w:sz w:val="22"/>
          <w:szCs w:val="22"/>
          <w:lang w:val="en-US" w:eastAsia="en-US"/>
        </w:rPr>
        <w:t xml:space="preserve"> </w:t>
      </w:r>
      <w:r w:rsidRPr="004C6F79">
        <w:rPr>
          <w:rFonts w:cs="TimesNewRoman"/>
          <w:sz w:val="22"/>
          <w:szCs w:val="22"/>
          <w:lang w:val="en-US" w:eastAsia="en-US"/>
        </w:rPr>
        <w:t>Mortality Estimation’, New York.</w:t>
      </w:r>
      <w:r>
        <w:rPr>
          <w:rFonts w:cs="TimesNewRoman"/>
          <w:sz w:val="22"/>
          <w:szCs w:val="22"/>
          <w:lang w:val="en-US" w:eastAsia="en-US"/>
        </w:rPr>
        <w:t xml:space="preserve"> </w:t>
      </w:r>
      <w:r>
        <w:rPr>
          <w:sz w:val="22"/>
          <w:szCs w:val="22"/>
        </w:rPr>
        <w:t xml:space="preserve">Available at </w:t>
      </w:r>
      <w:hyperlink r:id="rId35" w:history="1">
        <w:r w:rsidRPr="00135480">
          <w:rPr>
            <w:rStyle w:val="Hyperlink"/>
            <w:rFonts w:cs="TimesNewRoman"/>
            <w:szCs w:val="22"/>
            <w:lang w:val="en-US" w:eastAsia="en-US"/>
          </w:rPr>
          <w:t>http://www.childinfo.org/files/ infant_child_ mortality_2006.pdf</w:t>
        </w:r>
      </w:hyperlink>
      <w:r w:rsidRPr="00A7689E">
        <w:rPr>
          <w:rFonts w:cs="TimesNewRoman"/>
          <w:sz w:val="22"/>
          <w:szCs w:val="22"/>
          <w:lang w:val="en-US" w:eastAsia="en-US"/>
        </w:rPr>
        <w:t xml:space="preserve"> </w:t>
      </w:r>
      <w:r>
        <w:rPr>
          <w:sz w:val="22"/>
          <w:szCs w:val="22"/>
        </w:rPr>
        <w:t>(A</w:t>
      </w:r>
      <w:r w:rsidRPr="00A7689E">
        <w:rPr>
          <w:sz w:val="22"/>
          <w:szCs w:val="22"/>
        </w:rPr>
        <w:t>ccessed</w:t>
      </w:r>
      <w:r>
        <w:rPr>
          <w:sz w:val="22"/>
          <w:szCs w:val="22"/>
        </w:rPr>
        <w:t xml:space="preserve"> on 26 August 2009)</w:t>
      </w:r>
    </w:p>
    <w:p w:rsidR="00E03A55" w:rsidRPr="00A7689E" w:rsidRDefault="00E03A55" w:rsidP="00980506">
      <w:pPr>
        <w:tabs>
          <w:tab w:val="left" w:pos="567"/>
        </w:tabs>
        <w:autoSpaceDE w:val="0"/>
        <w:autoSpaceDN w:val="0"/>
        <w:adjustRightInd w:val="0"/>
        <w:spacing w:after="120"/>
        <w:ind w:left="567" w:hanging="567"/>
        <w:jc w:val="both"/>
        <w:rPr>
          <w:rFonts w:cs="AdvTT6120e2aa"/>
          <w:sz w:val="22"/>
          <w:szCs w:val="22"/>
        </w:rPr>
      </w:pPr>
      <w:r>
        <w:rPr>
          <w:rFonts w:cs="AdvTT6120e2aa"/>
          <w:sz w:val="22"/>
          <w:szCs w:val="22"/>
        </w:rPr>
        <w:t xml:space="preserve">United Nations (1983) </w:t>
      </w:r>
      <w:r w:rsidRPr="00631EF5">
        <w:rPr>
          <w:rFonts w:cs="AdvTT6120e2aa"/>
          <w:i/>
          <w:sz w:val="22"/>
          <w:szCs w:val="22"/>
        </w:rPr>
        <w:t>Manual X: Indirect Techniques for Demographic Estimation</w:t>
      </w:r>
      <w:r>
        <w:rPr>
          <w:rFonts w:cs="AdvTT6120e2aa"/>
          <w:sz w:val="22"/>
          <w:szCs w:val="22"/>
        </w:rPr>
        <w:t>,</w:t>
      </w:r>
      <w:r w:rsidRPr="00A7689E">
        <w:rPr>
          <w:rFonts w:cs="AdvTT6120e2aa"/>
          <w:sz w:val="22"/>
          <w:szCs w:val="22"/>
        </w:rPr>
        <w:t xml:space="preserve"> New York: United Nations.  </w:t>
      </w:r>
    </w:p>
    <w:p w:rsidR="00E03A55" w:rsidRPr="00A7689E" w:rsidRDefault="00E03A55" w:rsidP="00980506">
      <w:pPr>
        <w:tabs>
          <w:tab w:val="left" w:pos="567"/>
        </w:tabs>
        <w:autoSpaceDE w:val="0"/>
        <w:autoSpaceDN w:val="0"/>
        <w:adjustRightInd w:val="0"/>
        <w:spacing w:after="120"/>
        <w:ind w:left="567" w:hanging="567"/>
        <w:jc w:val="both"/>
        <w:rPr>
          <w:rFonts w:cs="AdvTT6120e2aa"/>
          <w:sz w:val="22"/>
          <w:szCs w:val="22"/>
        </w:rPr>
      </w:pPr>
      <w:r>
        <w:rPr>
          <w:rFonts w:cs="AdvTT6120e2aa"/>
          <w:sz w:val="22"/>
          <w:szCs w:val="22"/>
        </w:rPr>
        <w:t xml:space="preserve">United Nations </w:t>
      </w:r>
      <w:r w:rsidRPr="00A7689E">
        <w:rPr>
          <w:rFonts w:cs="AdvTT6120e2aa"/>
          <w:sz w:val="22"/>
          <w:szCs w:val="22"/>
        </w:rPr>
        <w:t xml:space="preserve">(1990) </w:t>
      </w:r>
      <w:r w:rsidRPr="00631EF5">
        <w:rPr>
          <w:rFonts w:cs="AdvTT6120e2aa"/>
          <w:i/>
          <w:sz w:val="22"/>
          <w:szCs w:val="22"/>
        </w:rPr>
        <w:t>QFIVE-United Nations Program for Child Mortality Estimation: A Micro Computer Program to Accompany The Step-by-step Guide to Estimation of Child Mortality</w:t>
      </w:r>
      <w:r>
        <w:rPr>
          <w:rFonts w:cs="AdvTT6120e2aa"/>
          <w:i/>
          <w:sz w:val="22"/>
          <w:szCs w:val="22"/>
        </w:rPr>
        <w:t>,</w:t>
      </w:r>
      <w:r w:rsidRPr="00A7689E">
        <w:rPr>
          <w:rFonts w:cs="AdvTT6120e2aa"/>
          <w:sz w:val="22"/>
          <w:szCs w:val="22"/>
        </w:rPr>
        <w:t xml:space="preserve"> New York: United Nations.  </w:t>
      </w:r>
      <w:r>
        <w:rPr>
          <w:rFonts w:cs="AdvTT6120e2aa"/>
          <w:sz w:val="22"/>
          <w:szCs w:val="22"/>
        </w:rPr>
        <w:t xml:space="preserve"> </w:t>
      </w:r>
      <w:r>
        <w:rPr>
          <w:rFonts w:cs="AdvTT6120e2aa"/>
          <w:sz w:val="22"/>
          <w:szCs w:val="22"/>
        </w:rPr>
        <w:tab/>
      </w:r>
      <w:r>
        <w:rPr>
          <w:rFonts w:cs="AdvTT6120e2aa"/>
          <w:sz w:val="22"/>
          <w:szCs w:val="22"/>
        </w:rPr>
        <w:tab/>
      </w:r>
      <w:r>
        <w:rPr>
          <w:rFonts w:cs="AdvTT6120e2aa"/>
          <w:sz w:val="22"/>
          <w:szCs w:val="22"/>
        </w:rPr>
        <w:tab/>
      </w:r>
    </w:p>
    <w:p w:rsidR="00E03A55" w:rsidRPr="00A7689E" w:rsidRDefault="00E03A55" w:rsidP="00980506">
      <w:pPr>
        <w:tabs>
          <w:tab w:val="left" w:pos="567"/>
        </w:tabs>
        <w:autoSpaceDE w:val="0"/>
        <w:autoSpaceDN w:val="0"/>
        <w:adjustRightInd w:val="0"/>
        <w:spacing w:after="120"/>
        <w:ind w:left="567" w:hanging="567"/>
        <w:jc w:val="both"/>
        <w:rPr>
          <w:rFonts w:cs="TimesNewRomanPSMT"/>
          <w:sz w:val="22"/>
          <w:szCs w:val="22"/>
        </w:rPr>
      </w:pPr>
      <w:r w:rsidRPr="00A7689E">
        <w:rPr>
          <w:bCs/>
          <w:sz w:val="22"/>
          <w:szCs w:val="22"/>
        </w:rPr>
        <w:t xml:space="preserve">World Bank (2007) </w:t>
      </w:r>
      <w:r w:rsidRPr="00A7689E">
        <w:rPr>
          <w:rFonts w:cs="TimesNewRomanPSMT"/>
          <w:sz w:val="22"/>
          <w:szCs w:val="22"/>
        </w:rPr>
        <w:t xml:space="preserve">"Spending for Development: Making the Most of Indonesia's New Opportunities", </w:t>
      </w:r>
      <w:r w:rsidRPr="00A7689E">
        <w:rPr>
          <w:rFonts w:cs="TimesNewRomanPS-ItalicMT"/>
          <w:i/>
          <w:iCs/>
          <w:sz w:val="22"/>
          <w:szCs w:val="22"/>
        </w:rPr>
        <w:t xml:space="preserve">Indonesia Public Expenditure Review 2007. </w:t>
      </w:r>
      <w:r w:rsidRPr="00A7689E">
        <w:rPr>
          <w:rFonts w:cs="TimesNewRomanPSMT"/>
          <w:sz w:val="22"/>
          <w:szCs w:val="22"/>
        </w:rPr>
        <w:t>Jakarta: World Bank.</w:t>
      </w:r>
    </w:p>
    <w:p w:rsidR="00E03A55" w:rsidRPr="00A7689E" w:rsidRDefault="00E03A55" w:rsidP="00980506">
      <w:pPr>
        <w:tabs>
          <w:tab w:val="left" w:pos="567"/>
        </w:tabs>
        <w:autoSpaceDE w:val="0"/>
        <w:autoSpaceDN w:val="0"/>
        <w:adjustRightInd w:val="0"/>
        <w:spacing w:after="120"/>
        <w:ind w:left="567" w:hanging="567"/>
        <w:jc w:val="both"/>
        <w:rPr>
          <w:rFonts w:cs="TimesNewRomanPSMT"/>
          <w:sz w:val="22"/>
          <w:szCs w:val="22"/>
        </w:rPr>
      </w:pPr>
      <w:r w:rsidRPr="00A7689E">
        <w:rPr>
          <w:bCs/>
          <w:sz w:val="22"/>
          <w:szCs w:val="22"/>
        </w:rPr>
        <w:t xml:space="preserve">World Bank (2008) </w:t>
      </w:r>
      <w:r w:rsidRPr="00A7689E">
        <w:rPr>
          <w:rFonts w:cs="TimesNewRomanPSMT"/>
          <w:sz w:val="22"/>
          <w:szCs w:val="22"/>
        </w:rPr>
        <w:t xml:space="preserve">"Investing in Indonesia’s Health: Challenges and Opportunities for Future Public Spending”, </w:t>
      </w:r>
      <w:r w:rsidRPr="00A7689E">
        <w:rPr>
          <w:rFonts w:cs="TimesNewRomanPS-ItalicMT"/>
          <w:i/>
          <w:iCs/>
          <w:sz w:val="22"/>
          <w:szCs w:val="22"/>
        </w:rPr>
        <w:t xml:space="preserve">Indonesia Public Expenditure Review 2008. </w:t>
      </w:r>
      <w:r w:rsidRPr="00A7689E">
        <w:rPr>
          <w:rFonts w:cs="TimesNewRomanPSMT"/>
          <w:sz w:val="22"/>
          <w:szCs w:val="22"/>
        </w:rPr>
        <w:t>Jakarta: World Bank.</w:t>
      </w:r>
    </w:p>
    <w:p w:rsidR="00E03A55" w:rsidRPr="00A7689E" w:rsidRDefault="00E03A55" w:rsidP="00980506">
      <w:pPr>
        <w:tabs>
          <w:tab w:val="left" w:pos="567"/>
        </w:tabs>
        <w:autoSpaceDE w:val="0"/>
        <w:autoSpaceDN w:val="0"/>
        <w:adjustRightInd w:val="0"/>
        <w:spacing w:after="120"/>
        <w:ind w:left="567" w:hanging="567"/>
        <w:jc w:val="both"/>
        <w:rPr>
          <w:rFonts w:cs="TimesNewRomanPSMT"/>
          <w:sz w:val="22"/>
          <w:szCs w:val="22"/>
        </w:rPr>
      </w:pPr>
      <w:r w:rsidRPr="00A7689E">
        <w:rPr>
          <w:bCs/>
          <w:sz w:val="22"/>
          <w:szCs w:val="22"/>
        </w:rPr>
        <w:t xml:space="preserve">World Bank </w:t>
      </w:r>
      <w:r>
        <w:rPr>
          <w:bCs/>
          <w:sz w:val="22"/>
          <w:szCs w:val="22"/>
        </w:rPr>
        <w:t xml:space="preserve"> </w:t>
      </w:r>
      <w:r w:rsidRPr="00A7689E">
        <w:rPr>
          <w:bCs/>
          <w:sz w:val="22"/>
          <w:szCs w:val="22"/>
        </w:rPr>
        <w:t xml:space="preserve">(2009) </w:t>
      </w:r>
      <w:r w:rsidRPr="00631EF5">
        <w:rPr>
          <w:rFonts w:cs="TimesNewRomanPSMT"/>
          <w:i/>
          <w:sz w:val="22"/>
          <w:szCs w:val="22"/>
        </w:rPr>
        <w:t>Doctors, Midwives and Nurses: Current Stock, Increasing Needs, Future Challenges and Options</w:t>
      </w:r>
      <w:r>
        <w:rPr>
          <w:rFonts w:cs="TimesNewRomanPSMT"/>
          <w:sz w:val="22"/>
          <w:szCs w:val="22"/>
        </w:rPr>
        <w:t>,</w:t>
      </w:r>
      <w:r w:rsidRPr="00A7689E">
        <w:rPr>
          <w:rFonts w:cs="TimesNewRomanPS-ItalicMT"/>
          <w:i/>
          <w:iCs/>
          <w:sz w:val="22"/>
          <w:szCs w:val="22"/>
        </w:rPr>
        <w:t xml:space="preserve"> </w:t>
      </w:r>
      <w:r w:rsidRPr="00A7689E">
        <w:rPr>
          <w:rFonts w:cs="TimesNewRomanPSMT"/>
          <w:sz w:val="22"/>
          <w:szCs w:val="22"/>
        </w:rPr>
        <w:t>Jakarta: World Bank.</w:t>
      </w:r>
    </w:p>
    <w:p w:rsidR="00E03A55" w:rsidRPr="00A7689E" w:rsidRDefault="00E03A55" w:rsidP="00980506">
      <w:pPr>
        <w:tabs>
          <w:tab w:val="left" w:pos="567"/>
        </w:tabs>
        <w:spacing w:after="120"/>
        <w:ind w:left="567" w:hanging="567"/>
        <w:jc w:val="both"/>
        <w:rPr>
          <w:sz w:val="22"/>
          <w:szCs w:val="22"/>
        </w:rPr>
      </w:pPr>
      <w:r w:rsidRPr="00A7689E">
        <w:rPr>
          <w:sz w:val="22"/>
          <w:szCs w:val="22"/>
        </w:rPr>
        <w:t>Wo</w:t>
      </w:r>
      <w:r>
        <w:rPr>
          <w:sz w:val="22"/>
          <w:szCs w:val="22"/>
        </w:rPr>
        <w:t xml:space="preserve">rld Health Organization (2004) </w:t>
      </w:r>
      <w:r w:rsidRPr="00631EF5">
        <w:rPr>
          <w:i/>
          <w:sz w:val="22"/>
          <w:szCs w:val="22"/>
        </w:rPr>
        <w:t>Making Pregnancy Safer: the Critical Role of the Skilled Birth Attendant</w:t>
      </w:r>
      <w:r>
        <w:rPr>
          <w:sz w:val="22"/>
          <w:szCs w:val="22"/>
        </w:rPr>
        <w:t>,</w:t>
      </w:r>
      <w:r w:rsidRPr="00A7689E">
        <w:rPr>
          <w:sz w:val="22"/>
          <w:szCs w:val="22"/>
        </w:rPr>
        <w:t xml:space="preserve"> Geneva: Department of Reproductive Health and Research, WHO.</w:t>
      </w:r>
    </w:p>
    <w:p w:rsidR="00E03A55" w:rsidRPr="00A7689E" w:rsidRDefault="00E03A55" w:rsidP="00980506">
      <w:pPr>
        <w:tabs>
          <w:tab w:val="left" w:pos="567"/>
        </w:tabs>
        <w:spacing w:after="120"/>
        <w:ind w:left="567" w:hanging="567"/>
        <w:jc w:val="both"/>
        <w:rPr>
          <w:sz w:val="22"/>
          <w:szCs w:val="22"/>
        </w:rPr>
      </w:pPr>
      <w:r w:rsidRPr="00A7689E">
        <w:rPr>
          <w:sz w:val="22"/>
          <w:szCs w:val="22"/>
        </w:rPr>
        <w:t>W</w:t>
      </w:r>
      <w:r>
        <w:rPr>
          <w:sz w:val="22"/>
          <w:szCs w:val="22"/>
        </w:rPr>
        <w:t>orld Health Organization (2008)</w:t>
      </w:r>
      <w:r w:rsidRPr="00A7689E">
        <w:rPr>
          <w:sz w:val="22"/>
          <w:szCs w:val="22"/>
        </w:rPr>
        <w:t xml:space="preserve"> </w:t>
      </w:r>
      <w:r w:rsidRPr="00631EF5">
        <w:rPr>
          <w:i/>
          <w:sz w:val="22"/>
          <w:szCs w:val="22"/>
        </w:rPr>
        <w:t>World Health Statistics 2008</w:t>
      </w:r>
      <w:r>
        <w:rPr>
          <w:i/>
          <w:sz w:val="22"/>
          <w:szCs w:val="22"/>
        </w:rPr>
        <w:t>.</w:t>
      </w:r>
      <w:r w:rsidRPr="00A7689E">
        <w:rPr>
          <w:sz w:val="22"/>
          <w:szCs w:val="22"/>
        </w:rPr>
        <w:t xml:space="preserve"> </w:t>
      </w:r>
      <w:r>
        <w:rPr>
          <w:sz w:val="22"/>
          <w:szCs w:val="22"/>
        </w:rPr>
        <w:t>A</w:t>
      </w:r>
      <w:r w:rsidRPr="00A7689E">
        <w:rPr>
          <w:sz w:val="22"/>
          <w:szCs w:val="22"/>
        </w:rPr>
        <w:t xml:space="preserve">vailable at </w:t>
      </w:r>
      <w:hyperlink r:id="rId36" w:history="1">
        <w:r w:rsidRPr="00135480">
          <w:rPr>
            <w:rStyle w:val="Hyperlink"/>
            <w:szCs w:val="22"/>
          </w:rPr>
          <w:t>http://www.who.int/whosis/whostat/EN_WHS08_Full.pdf</w:t>
        </w:r>
      </w:hyperlink>
      <w:r>
        <w:rPr>
          <w:sz w:val="22"/>
          <w:szCs w:val="22"/>
        </w:rPr>
        <w:t xml:space="preserve">  (A</w:t>
      </w:r>
      <w:r w:rsidRPr="00A7689E">
        <w:rPr>
          <w:sz w:val="22"/>
          <w:szCs w:val="22"/>
        </w:rPr>
        <w:t>ccessed</w:t>
      </w:r>
      <w:r>
        <w:rPr>
          <w:sz w:val="22"/>
          <w:szCs w:val="22"/>
        </w:rPr>
        <w:t xml:space="preserve"> on</w:t>
      </w:r>
      <w:r w:rsidRPr="00A7689E">
        <w:rPr>
          <w:sz w:val="22"/>
          <w:szCs w:val="22"/>
        </w:rPr>
        <w:t xml:space="preserve"> 26 August 2009).</w:t>
      </w:r>
      <w:bookmarkEnd w:id="80"/>
    </w:p>
    <w:sectPr w:rsidR="00E03A55" w:rsidRPr="00A7689E" w:rsidSect="002B62FC">
      <w:headerReference w:type="even" r:id="rId37"/>
      <w:endnotePr>
        <w:numFmt w:val="decimal"/>
      </w:endnotePr>
      <w:pgSz w:w="11906" w:h="16838" w:code="9"/>
      <w:pgMar w:top="1701" w:right="2268" w:bottom="1701" w:left="2268" w:header="709" w:footer="141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3A55" w:rsidRPr="00FE124C" w:rsidRDefault="00E03A55" w:rsidP="00FE124C">
      <w:pPr>
        <w:pStyle w:val="Footer"/>
        <w:rPr>
          <w:sz w:val="4"/>
          <w:szCs w:val="4"/>
        </w:rPr>
      </w:pPr>
    </w:p>
  </w:endnote>
  <w:endnote w:type="continuationSeparator" w:id="1">
    <w:p w:rsidR="00E03A55" w:rsidRPr="00BE1BB7" w:rsidRDefault="00E03A55" w:rsidP="00BE1BB7">
      <w:pPr>
        <w:pStyle w:val="Footer"/>
        <w:rPr>
          <w:sz w:val="4"/>
          <w:szCs w:val="4"/>
        </w:rPr>
      </w:pPr>
    </w:p>
    <w:p w:rsidR="00E03A55" w:rsidRDefault="00E03A55"/>
  </w:endnote>
  <w:endnote w:type="continuationNotice" w:id="2">
    <w:p w:rsidR="00E03A55" w:rsidRPr="00BE1BB7" w:rsidRDefault="00E03A55">
      <w:pPr>
        <w:rPr>
          <w:sz w:val="4"/>
          <w:szCs w:val="4"/>
        </w:rPr>
      </w:pPr>
    </w:p>
    <w:p w:rsidR="00E03A55" w:rsidRDefault="00E03A55"/>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NewAster-Italic">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NewRomanPSMT">
    <w:panose1 w:val="00000000000000000000"/>
    <w:charset w:val="00"/>
    <w:family w:val="swiss"/>
    <w:notTrueType/>
    <w:pitch w:val="default"/>
    <w:sig w:usb0="00000003" w:usb1="00000000" w:usb2="00000000" w:usb3="00000000" w:csb0="00000001" w:csb1="00000000"/>
  </w:font>
  <w:font w:name="NewAster">
    <w:panose1 w:val="00000000000000000000"/>
    <w:charset w:val="00"/>
    <w:family w:val="auto"/>
    <w:notTrueType/>
    <w:pitch w:val="default"/>
    <w:sig w:usb0="00000003" w:usb1="00000000" w:usb2="00000000" w:usb3="00000000" w:csb0="00000001" w:csb1="00000000"/>
  </w:font>
  <w:font w:name="CMR10">
    <w:panose1 w:val="00000000000000000000"/>
    <w:charset w:val="00"/>
    <w:family w:val="auto"/>
    <w:notTrueType/>
    <w:pitch w:val="default"/>
    <w:sig w:usb0="00000003" w:usb1="00000000" w:usb2="00000000" w:usb3="00000000" w:csb0="00000001" w:csb1="00000000"/>
  </w:font>
  <w:font w:name="MyriadPro-Semibold">
    <w:panose1 w:val="00000000000000000000"/>
    <w:charset w:val="00"/>
    <w:family w:val="auto"/>
    <w:notTrueType/>
    <w:pitch w:val="default"/>
    <w:sig w:usb0="00000003" w:usb1="00000000" w:usb2="00000000" w:usb3="00000000" w:csb0="00000001" w:csb1="00000000"/>
  </w:font>
  <w:font w:name="Goudy">
    <w:panose1 w:val="00000000000000000000"/>
    <w:charset w:val="00"/>
    <w:family w:val="auto"/>
    <w:notTrueType/>
    <w:pitch w:val="default"/>
    <w:sig w:usb0="00000003" w:usb1="00000000" w:usb2="00000000" w:usb3="00000000" w:csb0="00000001" w:csb1="00000000"/>
  </w:font>
  <w:font w:name="Goudy-Italic">
    <w:panose1 w:val="00000000000000000000"/>
    <w:charset w:val="00"/>
    <w:family w:val="auto"/>
    <w:notTrueType/>
    <w:pitch w:val="default"/>
    <w:sig w:usb0="00000003" w:usb1="00000000" w:usb2="00000000" w:usb3="00000000" w:csb0="00000001" w:csb1="00000000"/>
  </w:font>
  <w:font w:name="Calibri-Italic">
    <w:panose1 w:val="00000000000000000000"/>
    <w:charset w:val="00"/>
    <w:family w:val="swiss"/>
    <w:notTrueType/>
    <w:pitch w:val="default"/>
    <w:sig w:usb0="00000003" w:usb1="00000000" w:usb2="00000000" w:usb3="00000000" w:csb0="00000001" w:csb1="00000000"/>
  </w:font>
  <w:font w:name="Calibri-Bold">
    <w:panose1 w:val="00000000000000000000"/>
    <w:charset w:val="00"/>
    <w:family w:val="auto"/>
    <w:notTrueType/>
    <w:pitch w:val="default"/>
    <w:sig w:usb0="00000003" w:usb1="00000000" w:usb2="00000000" w:usb3="00000000" w:csb0="00000001" w:csb1="00000000"/>
  </w:font>
  <w:font w:name="AGaramondPro-Regular">
    <w:panose1 w:val="00000000000000000000"/>
    <w:charset w:val="00"/>
    <w:family w:val="roman"/>
    <w:notTrueType/>
    <w:pitch w:val="default"/>
    <w:sig w:usb0="00000003" w:usb1="00000000" w:usb2="00000000" w:usb3="00000000" w:csb0="00000001" w:csb1="00000000"/>
  </w:font>
  <w:font w:name="Symbol,Italic">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AdvTimes">
    <w:panose1 w:val="00000000000000000000"/>
    <w:charset w:val="00"/>
    <w:family w:val="auto"/>
    <w:notTrueType/>
    <w:pitch w:val="default"/>
    <w:sig w:usb0="00000003" w:usb1="00000000" w:usb2="00000000" w:usb3="00000000" w:csb0="00000001" w:csb1="00000000"/>
  </w:font>
  <w:font w:name="TimesNewRoman,Italic">
    <w:panose1 w:val="00000000000000000000"/>
    <w:charset w:val="00"/>
    <w:family w:val="roman"/>
    <w:notTrueType/>
    <w:pitch w:val="default"/>
    <w:sig w:usb0="00000003" w:usb1="00000000" w:usb2="00000000" w:usb3="00000000" w:csb0="00000001" w:csb1="00000000"/>
  </w:font>
  <w:font w:name="TimesNewRomanPS-ItalicMT">
    <w:panose1 w:val="00000000000000000000"/>
    <w:charset w:val="00"/>
    <w:family w:val="roman"/>
    <w:notTrueType/>
    <w:pitch w:val="default"/>
    <w:sig w:usb0="00000003" w:usb1="00000000" w:usb2="00000000" w:usb3="00000000" w:csb0="00000001" w:csb1="00000000"/>
  </w:font>
  <w:font w:name="TimesNRMT-Bold">
    <w:panose1 w:val="00000000000000000000"/>
    <w:charset w:val="00"/>
    <w:family w:val="roman"/>
    <w:notTrueType/>
    <w:pitch w:val="default"/>
    <w:sig w:usb0="00000003" w:usb1="00000000" w:usb2="00000000" w:usb3="00000000" w:csb0="00000001" w:csb1="00000000"/>
  </w:font>
  <w:font w:name="TimesNRMT">
    <w:panose1 w:val="00000000000000000000"/>
    <w:charset w:val="00"/>
    <w:family w:val="roman"/>
    <w:notTrueType/>
    <w:pitch w:val="default"/>
    <w:sig w:usb0="00000003" w:usb1="00000000" w:usb2="00000000" w:usb3="00000000" w:csb0="00000001" w:csb1="00000000"/>
  </w:font>
  <w:font w:name="AdvTT6120e2aa">
    <w:panose1 w:val="00000000000000000000"/>
    <w:charset w:val="00"/>
    <w:family w:val="roman"/>
    <w:notTrueType/>
    <w:pitch w:val="default"/>
    <w:sig w:usb0="00000003" w:usb1="00000000" w:usb2="00000000" w:usb3="00000000" w:csb0="00000001" w:csb1="00000000"/>
  </w:font>
  <w:font w:name="AdvTT6120e2aa+20">
    <w:panose1 w:val="00000000000000000000"/>
    <w:charset w:val="00"/>
    <w:family w:val="auto"/>
    <w:notTrueType/>
    <w:pitch w:val="default"/>
    <w:sig w:usb0="00000003" w:usb1="00000000" w:usb2="00000000" w:usb3="00000000" w:csb0="00000001" w:csb1="00000000"/>
  </w:font>
  <w:font w:name="GoudyOldStyleT-Regular">
    <w:panose1 w:val="00000000000000000000"/>
    <w:charset w:val="00"/>
    <w:family w:val="roman"/>
    <w:notTrueType/>
    <w:pitch w:val="default"/>
    <w:sig w:usb0="00000003" w:usb1="00000000" w:usb2="00000000" w:usb3="00000000" w:csb0="00000001" w:csb1="00000000"/>
  </w:font>
  <w:font w:name="GoudyOldStyleT-Italic">
    <w:panose1 w:val="00000000000000000000"/>
    <w:charset w:val="00"/>
    <w:family w:val="roman"/>
    <w:notTrueType/>
    <w:pitch w:val="default"/>
    <w:sig w:usb0="00000003" w:usb1="00000000" w:usb2="00000000" w:usb3="00000000" w:csb0="00000001" w:csb1="00000000"/>
  </w:font>
  <w:font w:name="AdvTT5843c571">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3A55" w:rsidRPr="008B3247" w:rsidRDefault="00E03A55" w:rsidP="00E2172B">
    <w:pPr>
      <w:pStyle w:val="Footer"/>
      <w:framePr w:wrap="around" w:vAnchor="text" w:hAnchor="margin" w:xAlign="center" w:y="1"/>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end"/>
    </w:r>
  </w:p>
  <w:p w:rsidR="00E03A55" w:rsidRPr="008B3247" w:rsidRDefault="00E03A55"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3A55" w:rsidRDefault="00E03A55">
    <w:pPr>
      <w:pStyle w:val="Footer"/>
      <w:jc w:val="right"/>
    </w:pPr>
    <w:fldSimple w:instr=" PAGE   \* MERGEFORMAT ">
      <w:r>
        <w:rPr>
          <w:noProof/>
        </w:rPr>
        <w:t>vii</w:t>
      </w:r>
    </w:fldSimple>
  </w:p>
  <w:p w:rsidR="00E03A55" w:rsidRPr="008B3247" w:rsidRDefault="00E03A55"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3A55" w:rsidRDefault="00E03A55" w:rsidP="00397138">
    <w:pPr>
      <w:pStyle w:val="Footer"/>
      <w:framePr w:wrap="around" w:vAnchor="text" w:hAnchor="margin" w:xAlign="center" w:y="1"/>
      <w:rPr>
        <w:rStyle w:val="PageNumber"/>
        <w:sz w:val="24"/>
      </w:rPr>
    </w:pPr>
  </w:p>
  <w:p w:rsidR="00E03A55" w:rsidRDefault="00E03A55">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3A55" w:rsidRDefault="00E03A55">
    <w:pPr>
      <w:pStyle w:val="Footer"/>
      <w:jc w:val="right"/>
    </w:pPr>
    <w:fldSimple w:instr=" PAGE   \* MERGEFORMAT ">
      <w:r>
        <w:rPr>
          <w:noProof/>
        </w:rPr>
        <w:t>35</w:t>
      </w:r>
    </w:fldSimple>
  </w:p>
  <w:p w:rsidR="00E03A55" w:rsidRDefault="00E03A55">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3A55" w:rsidRDefault="00E03A55" w:rsidP="00391BFE">
    <w:pPr>
      <w:pStyle w:val="Footer"/>
    </w:pPr>
  </w:p>
  <w:p w:rsidR="00E03A55" w:rsidRDefault="00E03A55" w:rsidP="00391BF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3A55" w:rsidRDefault="00E03A55" w:rsidP="003B088D">
      <w:pPr>
        <w:spacing w:after="0"/>
        <w:ind w:firstLine="0"/>
      </w:pPr>
      <w:r>
        <w:separator/>
      </w:r>
    </w:p>
  </w:footnote>
  <w:footnote w:type="continuationSeparator" w:id="1">
    <w:p w:rsidR="00E03A55" w:rsidRDefault="00E03A55" w:rsidP="00F37C89">
      <w:pPr>
        <w:ind w:firstLine="0"/>
      </w:pPr>
      <w:r>
        <w:continuationSeparator/>
      </w:r>
    </w:p>
    <w:p w:rsidR="00E03A55" w:rsidRDefault="00E03A55"/>
  </w:footnote>
  <w:footnote w:type="continuationNotice" w:id="2">
    <w:p w:rsidR="00E03A55" w:rsidRPr="009D275D" w:rsidRDefault="00E03A55" w:rsidP="009D275D">
      <w:pPr>
        <w:pStyle w:val="Footer"/>
        <w:ind w:firstLine="0"/>
        <w:rPr>
          <w:lang w:val="en-US"/>
        </w:rPr>
      </w:pPr>
    </w:p>
    <w:p w:rsidR="00E03A55" w:rsidRDefault="00E03A5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3A55" w:rsidRDefault="00E03A5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750526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9C2C8AE"/>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6ACEBBE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D82B518"/>
    <w:lvl w:ilvl="0">
      <w:start w:val="1"/>
      <w:numFmt w:val="bullet"/>
      <w:lvlText w:val=""/>
      <w:lvlJc w:val="left"/>
      <w:pPr>
        <w:tabs>
          <w:tab w:val="num" w:pos="360"/>
        </w:tabs>
      </w:pPr>
      <w:rPr>
        <w:rFonts w:ascii="Symbol" w:hAnsi="Symbol" w:hint="default"/>
        <w:sz w:val="16"/>
      </w:rPr>
    </w:lvl>
  </w:abstractNum>
  <w:abstractNum w:abstractNumId="10">
    <w:nsid w:val="016124AA"/>
    <w:multiLevelType w:val="multilevel"/>
    <w:tmpl w:val="42529E9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none"/>
      <w:lvlText w:val=""/>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1">
    <w:nsid w:val="04957948"/>
    <w:multiLevelType w:val="multilevel"/>
    <w:tmpl w:val="210054F2"/>
    <w:lvl w:ilvl="0">
      <w:start w:val="1"/>
      <w:numFmt w:val="decimal"/>
      <w:lvlText w:val="%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432"/>
      </w:pPr>
      <w:rPr>
        <w:rFonts w:cs="Times New Roman" w:hint="default"/>
      </w:rPr>
    </w:lvl>
    <w:lvl w:ilvl="2">
      <w:start w:val="1"/>
      <w:numFmt w:val="decimal"/>
      <w:lvlText w:val="%1.%3.%2"/>
      <w:lvlJc w:val="left"/>
      <w:pPr>
        <w:tabs>
          <w:tab w:val="num" w:pos="2160"/>
        </w:tabs>
        <w:ind w:left="1224" w:hanging="50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2">
    <w:nsid w:val="05FE0C3D"/>
    <w:multiLevelType w:val="hybridMultilevel"/>
    <w:tmpl w:val="A94C587E"/>
    <w:lvl w:ilvl="0" w:tplc="1C7E53F8">
      <w:start w:val="1"/>
      <w:numFmt w:val="decimal"/>
      <w:pStyle w:val="Numberedtext"/>
      <w:lvlText w:val="%1."/>
      <w:lvlJc w:val="left"/>
      <w:pPr>
        <w:tabs>
          <w:tab w:val="num" w:pos="284"/>
        </w:tabs>
        <w:ind w:left="425" w:hanging="42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07BB3C4C"/>
    <w:multiLevelType w:val="multilevel"/>
    <w:tmpl w:val="315AC07A"/>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4">
    <w:nsid w:val="15405BF2"/>
    <w:multiLevelType w:val="multilevel"/>
    <w:tmpl w:val="5606B050"/>
    <w:name w:val="ISSresearchpaper"/>
    <w:lvl w:ilvl="0">
      <w:start w:val="1"/>
      <w:numFmt w:val="decimal"/>
      <w:pStyle w:val="Heading1"/>
      <w:lvlText w:val="Chapter %1"/>
      <w:lvlJc w:val="left"/>
      <w:pPr>
        <w:tabs>
          <w:tab w:val="num" w:pos="960"/>
        </w:tabs>
        <w:ind w:left="240"/>
      </w:pPr>
      <w:rPr>
        <w:rFonts w:cs="Times New Roman" w:hint="default"/>
      </w:rPr>
    </w:lvl>
    <w:lvl w:ilvl="1">
      <w:start w:val="1"/>
      <w:numFmt w:val="decimal"/>
      <w:pStyle w:val="Heading2"/>
      <w:lvlText w:val="%1.%2"/>
      <w:lvlJc w:val="left"/>
      <w:pPr>
        <w:tabs>
          <w:tab w:val="num" w:pos="851"/>
        </w:tabs>
        <w:ind w:left="567" w:hanging="567"/>
      </w:pPr>
      <w:rPr>
        <w:rFonts w:cs="Times New Roman"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none"/>
      <w:pStyle w:val="Heading4"/>
      <w:suff w:val="nothing"/>
      <w:lvlText w:val=""/>
      <w:lvlJc w:val="left"/>
      <w:pPr>
        <w:ind w:left="567" w:hanging="567"/>
      </w:pPr>
      <w:rPr>
        <w:rFonts w:cs="Times New Roman" w:hint="default"/>
      </w:rPr>
    </w:lvl>
    <w:lvl w:ilvl="4">
      <w:start w:val="1"/>
      <w:numFmt w:val="decimal"/>
      <w:pStyle w:val="Heading5"/>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5">
    <w:nsid w:val="1576749B"/>
    <w:multiLevelType w:val="multilevel"/>
    <w:tmpl w:val="6016C480"/>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6">
    <w:nsid w:val="17250F75"/>
    <w:multiLevelType w:val="multilevel"/>
    <w:tmpl w:val="6A80274C"/>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7">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29E45CD6"/>
    <w:multiLevelType w:val="multilevel"/>
    <w:tmpl w:val="C6986BD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794"/>
        </w:tabs>
        <w:ind w:left="792" w:hanging="792"/>
      </w:pPr>
      <w:rPr>
        <w:rFonts w:cs="Times New Roman" w:hint="default"/>
      </w:rPr>
    </w:lvl>
    <w:lvl w:ilvl="2">
      <w:start w:val="1"/>
      <w:numFmt w:val="decimal"/>
      <w:lvlText w:val="%1.%3.%2"/>
      <w:lvlJc w:val="left"/>
      <w:pPr>
        <w:tabs>
          <w:tab w:val="num" w:pos="794"/>
        </w:tabs>
        <w:ind w:left="794" w:hanging="79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0">
    <w:nsid w:val="31902538"/>
    <w:multiLevelType w:val="multilevel"/>
    <w:tmpl w:val="733AE13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nsid w:val="3AA472A5"/>
    <w:multiLevelType w:val="multilevel"/>
    <w:tmpl w:val="32A2CFE0"/>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2">
    <w:nsid w:val="3AE5351B"/>
    <w:multiLevelType w:val="multilevel"/>
    <w:tmpl w:val="3C84165C"/>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3">
    <w:nsid w:val="53D25610"/>
    <w:multiLevelType w:val="multilevel"/>
    <w:tmpl w:val="C270F2D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4">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nsid w:val="66D37A35"/>
    <w:multiLevelType w:val="multilevel"/>
    <w:tmpl w:val="A572916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6">
    <w:nsid w:val="6DC55BB0"/>
    <w:multiLevelType w:val="multilevel"/>
    <w:tmpl w:val="7C30B044"/>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7">
    <w:nsid w:val="702E6A86"/>
    <w:multiLevelType w:val="multilevel"/>
    <w:tmpl w:val="AEC654D4"/>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851" w:hanging="851"/>
      </w:pPr>
      <w:rPr>
        <w:rFonts w:cs="Times New Roman" w:hint="default"/>
      </w:rPr>
    </w:lvl>
    <w:lvl w:ilvl="2">
      <w:start w:val="1"/>
      <w:numFmt w:val="decimal"/>
      <w:lvlText w:val="%1.%3.%2"/>
      <w:lvlJc w:val="left"/>
      <w:pPr>
        <w:tabs>
          <w:tab w:val="num" w:pos="851"/>
        </w:tabs>
        <w:ind w:left="851" w:hanging="851"/>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num w:numId="1">
    <w:abstractNumId w:val="9"/>
  </w:num>
  <w:num w:numId="2">
    <w:abstractNumId w:val="24"/>
  </w:num>
  <w:num w:numId="3">
    <w:abstractNumId w:val="18"/>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 w:numId="14">
    <w:abstractNumId w:val="14"/>
  </w:num>
  <w:num w:numId="15">
    <w:abstractNumId w:val="11"/>
  </w:num>
  <w:num w:numId="16">
    <w:abstractNumId w:val="22"/>
  </w:num>
  <w:num w:numId="17">
    <w:abstractNumId w:val="21"/>
  </w:num>
  <w:num w:numId="18">
    <w:abstractNumId w:val="19"/>
  </w:num>
  <w:num w:numId="19">
    <w:abstractNumId w:val="27"/>
  </w:num>
  <w:num w:numId="20">
    <w:abstractNumId w:val="25"/>
  </w:num>
  <w:num w:numId="21">
    <w:abstractNumId w:val="13"/>
  </w:num>
  <w:num w:numId="22">
    <w:abstractNumId w:val="23"/>
  </w:num>
  <w:num w:numId="23">
    <w:abstractNumId w:val="16"/>
  </w:num>
  <w:num w:numId="24">
    <w:abstractNumId w:val="15"/>
  </w:num>
  <w:num w:numId="25">
    <w:abstractNumId w:val="10"/>
  </w:num>
  <w:num w:numId="26">
    <w:abstractNumId w:val="26"/>
  </w:num>
  <w:num w:numId="27">
    <w:abstractNumId w:val="17"/>
  </w:num>
  <w:num w:numId="28">
    <w:abstractNumId w:val="20"/>
  </w:num>
  <w:num w:numId="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ttachedTemplate r:id="rId1"/>
  <w:stylePaneFormatFilter w:val="3001"/>
  <w:defaultTabStop w:val="720"/>
  <w:autoHyphenation/>
  <w:doNotHyphenateCaps/>
  <w:drawingGridHorizontalSpacing w:val="120"/>
  <w:displayHorizontalDrawingGridEvery w:val="0"/>
  <w:displayVerticalDrawingGridEvery w:val="0"/>
  <w:noPunctuationKerning/>
  <w:characterSpacingControl w:val="doNotCompress"/>
  <w:footnotePr>
    <w:footnote w:id="0"/>
    <w:footnote w:id="1"/>
    <w:footnote w:id="2"/>
  </w:footnotePr>
  <w:endnotePr>
    <w:pos w:val="sectEnd"/>
    <w:numFmt w:val="decimal"/>
    <w:endnote w:id="0"/>
    <w:endnote w:id="1"/>
    <w:endnote w:id="2"/>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56D17"/>
    <w:rsid w:val="00005182"/>
    <w:rsid w:val="00005F5F"/>
    <w:rsid w:val="00006639"/>
    <w:rsid w:val="00007BFD"/>
    <w:rsid w:val="00010877"/>
    <w:rsid w:val="00022B0B"/>
    <w:rsid w:val="00043460"/>
    <w:rsid w:val="0004709A"/>
    <w:rsid w:val="00053F33"/>
    <w:rsid w:val="0006289C"/>
    <w:rsid w:val="00063185"/>
    <w:rsid w:val="00075D71"/>
    <w:rsid w:val="00075DBA"/>
    <w:rsid w:val="00081EE2"/>
    <w:rsid w:val="00082C6D"/>
    <w:rsid w:val="000849FD"/>
    <w:rsid w:val="00085A0F"/>
    <w:rsid w:val="00086725"/>
    <w:rsid w:val="000867A6"/>
    <w:rsid w:val="000908A6"/>
    <w:rsid w:val="00091E20"/>
    <w:rsid w:val="00092D98"/>
    <w:rsid w:val="00096984"/>
    <w:rsid w:val="000A0B52"/>
    <w:rsid w:val="000B2C1E"/>
    <w:rsid w:val="000B4D31"/>
    <w:rsid w:val="000B55E2"/>
    <w:rsid w:val="000B6FC6"/>
    <w:rsid w:val="000C36CD"/>
    <w:rsid w:val="000C4FEF"/>
    <w:rsid w:val="000D0496"/>
    <w:rsid w:val="000D41F1"/>
    <w:rsid w:val="000D6B85"/>
    <w:rsid w:val="000D7C72"/>
    <w:rsid w:val="000E032C"/>
    <w:rsid w:val="000F1169"/>
    <w:rsid w:val="000F2BCC"/>
    <w:rsid w:val="000F41AC"/>
    <w:rsid w:val="000F5712"/>
    <w:rsid w:val="001006D3"/>
    <w:rsid w:val="00102498"/>
    <w:rsid w:val="001102C4"/>
    <w:rsid w:val="00115A7D"/>
    <w:rsid w:val="00122057"/>
    <w:rsid w:val="0012674D"/>
    <w:rsid w:val="00127FC4"/>
    <w:rsid w:val="00132A2C"/>
    <w:rsid w:val="00134C2D"/>
    <w:rsid w:val="00135480"/>
    <w:rsid w:val="00143653"/>
    <w:rsid w:val="00146235"/>
    <w:rsid w:val="00147FEB"/>
    <w:rsid w:val="00153F3D"/>
    <w:rsid w:val="00154766"/>
    <w:rsid w:val="00160AF5"/>
    <w:rsid w:val="00166C6C"/>
    <w:rsid w:val="00171E9C"/>
    <w:rsid w:val="0017292D"/>
    <w:rsid w:val="001814BA"/>
    <w:rsid w:val="00181E1B"/>
    <w:rsid w:val="001829F2"/>
    <w:rsid w:val="0018453C"/>
    <w:rsid w:val="00194D47"/>
    <w:rsid w:val="00195E26"/>
    <w:rsid w:val="001A109A"/>
    <w:rsid w:val="001A1C01"/>
    <w:rsid w:val="001A44F6"/>
    <w:rsid w:val="001A5461"/>
    <w:rsid w:val="001C03BE"/>
    <w:rsid w:val="001D24EA"/>
    <w:rsid w:val="001D33B7"/>
    <w:rsid w:val="001D50DE"/>
    <w:rsid w:val="001E184C"/>
    <w:rsid w:val="001E7871"/>
    <w:rsid w:val="001E798A"/>
    <w:rsid w:val="001E7C70"/>
    <w:rsid w:val="00200EF8"/>
    <w:rsid w:val="0020660A"/>
    <w:rsid w:val="00207ECA"/>
    <w:rsid w:val="002144D0"/>
    <w:rsid w:val="00227D33"/>
    <w:rsid w:val="0023127A"/>
    <w:rsid w:val="00250A58"/>
    <w:rsid w:val="00256D17"/>
    <w:rsid w:val="00260957"/>
    <w:rsid w:val="00265402"/>
    <w:rsid w:val="00270720"/>
    <w:rsid w:val="00271D8F"/>
    <w:rsid w:val="0027383C"/>
    <w:rsid w:val="00281D70"/>
    <w:rsid w:val="00283D5B"/>
    <w:rsid w:val="0028556D"/>
    <w:rsid w:val="00296DB4"/>
    <w:rsid w:val="002A086E"/>
    <w:rsid w:val="002A0C77"/>
    <w:rsid w:val="002A38A2"/>
    <w:rsid w:val="002B0064"/>
    <w:rsid w:val="002B0EEB"/>
    <w:rsid w:val="002B62FC"/>
    <w:rsid w:val="002B6867"/>
    <w:rsid w:val="002C16D6"/>
    <w:rsid w:val="002C567F"/>
    <w:rsid w:val="002D422F"/>
    <w:rsid w:val="002D774B"/>
    <w:rsid w:val="002E7887"/>
    <w:rsid w:val="00302220"/>
    <w:rsid w:val="00310974"/>
    <w:rsid w:val="0031340A"/>
    <w:rsid w:val="00316EDA"/>
    <w:rsid w:val="00332599"/>
    <w:rsid w:val="00337996"/>
    <w:rsid w:val="00340898"/>
    <w:rsid w:val="00342CCE"/>
    <w:rsid w:val="0034310D"/>
    <w:rsid w:val="0034641C"/>
    <w:rsid w:val="00350809"/>
    <w:rsid w:val="00352EEA"/>
    <w:rsid w:val="003573A3"/>
    <w:rsid w:val="00360DBA"/>
    <w:rsid w:val="00366D5C"/>
    <w:rsid w:val="003716C3"/>
    <w:rsid w:val="00372562"/>
    <w:rsid w:val="003729D7"/>
    <w:rsid w:val="003779B9"/>
    <w:rsid w:val="00381556"/>
    <w:rsid w:val="003844D8"/>
    <w:rsid w:val="00384C8D"/>
    <w:rsid w:val="00391BFE"/>
    <w:rsid w:val="00397138"/>
    <w:rsid w:val="003971AC"/>
    <w:rsid w:val="003A4AF0"/>
    <w:rsid w:val="003B088D"/>
    <w:rsid w:val="003B1EAA"/>
    <w:rsid w:val="003B53C6"/>
    <w:rsid w:val="003B54B7"/>
    <w:rsid w:val="003B573C"/>
    <w:rsid w:val="003B7F31"/>
    <w:rsid w:val="003D4C54"/>
    <w:rsid w:val="003D75BB"/>
    <w:rsid w:val="003E2285"/>
    <w:rsid w:val="003E3261"/>
    <w:rsid w:val="0040337E"/>
    <w:rsid w:val="00405300"/>
    <w:rsid w:val="0041557D"/>
    <w:rsid w:val="0042002B"/>
    <w:rsid w:val="00420406"/>
    <w:rsid w:val="00431E85"/>
    <w:rsid w:val="00435A3C"/>
    <w:rsid w:val="004361DD"/>
    <w:rsid w:val="004433AA"/>
    <w:rsid w:val="00444FDE"/>
    <w:rsid w:val="0045073E"/>
    <w:rsid w:val="004578DF"/>
    <w:rsid w:val="00462B7C"/>
    <w:rsid w:val="004744DD"/>
    <w:rsid w:val="00483839"/>
    <w:rsid w:val="00485392"/>
    <w:rsid w:val="00487D13"/>
    <w:rsid w:val="00492B00"/>
    <w:rsid w:val="004A129C"/>
    <w:rsid w:val="004A1BFD"/>
    <w:rsid w:val="004A1E77"/>
    <w:rsid w:val="004A2687"/>
    <w:rsid w:val="004A71A0"/>
    <w:rsid w:val="004A7DEE"/>
    <w:rsid w:val="004B35BA"/>
    <w:rsid w:val="004B4157"/>
    <w:rsid w:val="004B5791"/>
    <w:rsid w:val="004C52AB"/>
    <w:rsid w:val="004C56D9"/>
    <w:rsid w:val="004C5B62"/>
    <w:rsid w:val="004C6B1A"/>
    <w:rsid w:val="004C6F79"/>
    <w:rsid w:val="004D45CC"/>
    <w:rsid w:val="004E5241"/>
    <w:rsid w:val="004E5403"/>
    <w:rsid w:val="004E58E7"/>
    <w:rsid w:val="004E72FB"/>
    <w:rsid w:val="004F0646"/>
    <w:rsid w:val="004F32CF"/>
    <w:rsid w:val="00517298"/>
    <w:rsid w:val="00522622"/>
    <w:rsid w:val="00523FD3"/>
    <w:rsid w:val="005262FF"/>
    <w:rsid w:val="00532F55"/>
    <w:rsid w:val="00534AF8"/>
    <w:rsid w:val="005411F4"/>
    <w:rsid w:val="005551AB"/>
    <w:rsid w:val="00561A39"/>
    <w:rsid w:val="0056409F"/>
    <w:rsid w:val="00564170"/>
    <w:rsid w:val="00564CA8"/>
    <w:rsid w:val="00572850"/>
    <w:rsid w:val="0057323C"/>
    <w:rsid w:val="005A10EC"/>
    <w:rsid w:val="005A3BB4"/>
    <w:rsid w:val="005A54A5"/>
    <w:rsid w:val="005B4B6F"/>
    <w:rsid w:val="005B6D78"/>
    <w:rsid w:val="005D0C83"/>
    <w:rsid w:val="005D7289"/>
    <w:rsid w:val="005E0690"/>
    <w:rsid w:val="005E0B6A"/>
    <w:rsid w:val="005E3176"/>
    <w:rsid w:val="005E5BBA"/>
    <w:rsid w:val="005F09DD"/>
    <w:rsid w:val="005F70C7"/>
    <w:rsid w:val="00605C2E"/>
    <w:rsid w:val="00605CFD"/>
    <w:rsid w:val="00617676"/>
    <w:rsid w:val="00620654"/>
    <w:rsid w:val="00623706"/>
    <w:rsid w:val="00624AD1"/>
    <w:rsid w:val="00631EF5"/>
    <w:rsid w:val="0064711B"/>
    <w:rsid w:val="00650A3A"/>
    <w:rsid w:val="0065177E"/>
    <w:rsid w:val="006624F8"/>
    <w:rsid w:val="006641A2"/>
    <w:rsid w:val="006669A3"/>
    <w:rsid w:val="006756B3"/>
    <w:rsid w:val="006928B5"/>
    <w:rsid w:val="00694210"/>
    <w:rsid w:val="00695E33"/>
    <w:rsid w:val="006A44F8"/>
    <w:rsid w:val="006B0335"/>
    <w:rsid w:val="006E1192"/>
    <w:rsid w:val="006F7114"/>
    <w:rsid w:val="00707566"/>
    <w:rsid w:val="007124D0"/>
    <w:rsid w:val="007147B3"/>
    <w:rsid w:val="007147C6"/>
    <w:rsid w:val="0072076E"/>
    <w:rsid w:val="0072269B"/>
    <w:rsid w:val="007269A8"/>
    <w:rsid w:val="0073200D"/>
    <w:rsid w:val="007341B9"/>
    <w:rsid w:val="00737946"/>
    <w:rsid w:val="00744F1D"/>
    <w:rsid w:val="0075048D"/>
    <w:rsid w:val="00752F87"/>
    <w:rsid w:val="0075413D"/>
    <w:rsid w:val="00755A1A"/>
    <w:rsid w:val="0076061A"/>
    <w:rsid w:val="0076769C"/>
    <w:rsid w:val="007705FC"/>
    <w:rsid w:val="00777BED"/>
    <w:rsid w:val="007809ED"/>
    <w:rsid w:val="00781276"/>
    <w:rsid w:val="007828B2"/>
    <w:rsid w:val="00783780"/>
    <w:rsid w:val="00786825"/>
    <w:rsid w:val="00793916"/>
    <w:rsid w:val="00794093"/>
    <w:rsid w:val="007A0F82"/>
    <w:rsid w:val="007A48F7"/>
    <w:rsid w:val="007A5025"/>
    <w:rsid w:val="007A597E"/>
    <w:rsid w:val="007B46FE"/>
    <w:rsid w:val="007B7540"/>
    <w:rsid w:val="007B7F3E"/>
    <w:rsid w:val="007C0E02"/>
    <w:rsid w:val="007C0F40"/>
    <w:rsid w:val="007C14AF"/>
    <w:rsid w:val="007D0A2A"/>
    <w:rsid w:val="007D4DD9"/>
    <w:rsid w:val="007E0490"/>
    <w:rsid w:val="007E528C"/>
    <w:rsid w:val="007E6AB6"/>
    <w:rsid w:val="007F27E9"/>
    <w:rsid w:val="007F2F3B"/>
    <w:rsid w:val="007F5496"/>
    <w:rsid w:val="00817659"/>
    <w:rsid w:val="00822851"/>
    <w:rsid w:val="00825C2D"/>
    <w:rsid w:val="008276F0"/>
    <w:rsid w:val="00832742"/>
    <w:rsid w:val="00836DB1"/>
    <w:rsid w:val="00843396"/>
    <w:rsid w:val="008436FD"/>
    <w:rsid w:val="00854B8C"/>
    <w:rsid w:val="00855D91"/>
    <w:rsid w:val="00860649"/>
    <w:rsid w:val="0086364B"/>
    <w:rsid w:val="008838D2"/>
    <w:rsid w:val="00884BBC"/>
    <w:rsid w:val="008A4CFB"/>
    <w:rsid w:val="008B3247"/>
    <w:rsid w:val="008C56E8"/>
    <w:rsid w:val="008E050F"/>
    <w:rsid w:val="008E163A"/>
    <w:rsid w:val="008E57AA"/>
    <w:rsid w:val="008E619C"/>
    <w:rsid w:val="008F2353"/>
    <w:rsid w:val="008F2C3A"/>
    <w:rsid w:val="008F5EE4"/>
    <w:rsid w:val="008F6159"/>
    <w:rsid w:val="008F723B"/>
    <w:rsid w:val="00904ACD"/>
    <w:rsid w:val="00920301"/>
    <w:rsid w:val="00922BB4"/>
    <w:rsid w:val="009262E9"/>
    <w:rsid w:val="00953440"/>
    <w:rsid w:val="00953C0E"/>
    <w:rsid w:val="00954991"/>
    <w:rsid w:val="00960FBA"/>
    <w:rsid w:val="00967803"/>
    <w:rsid w:val="0097352B"/>
    <w:rsid w:val="00973906"/>
    <w:rsid w:val="00975FBE"/>
    <w:rsid w:val="00976BE6"/>
    <w:rsid w:val="00980506"/>
    <w:rsid w:val="00981142"/>
    <w:rsid w:val="00981635"/>
    <w:rsid w:val="00985FF9"/>
    <w:rsid w:val="00987039"/>
    <w:rsid w:val="00987668"/>
    <w:rsid w:val="00994D3F"/>
    <w:rsid w:val="009A50FD"/>
    <w:rsid w:val="009B4958"/>
    <w:rsid w:val="009C03EA"/>
    <w:rsid w:val="009C2229"/>
    <w:rsid w:val="009C3D05"/>
    <w:rsid w:val="009C5EE2"/>
    <w:rsid w:val="009D275D"/>
    <w:rsid w:val="009D3897"/>
    <w:rsid w:val="009D434A"/>
    <w:rsid w:val="009D7863"/>
    <w:rsid w:val="009E2D6A"/>
    <w:rsid w:val="009E3527"/>
    <w:rsid w:val="009E5B67"/>
    <w:rsid w:val="009E7930"/>
    <w:rsid w:val="009F4816"/>
    <w:rsid w:val="009F539B"/>
    <w:rsid w:val="009F69B7"/>
    <w:rsid w:val="00A02418"/>
    <w:rsid w:val="00A05997"/>
    <w:rsid w:val="00A06595"/>
    <w:rsid w:val="00A314A1"/>
    <w:rsid w:val="00A37081"/>
    <w:rsid w:val="00A37796"/>
    <w:rsid w:val="00A41F75"/>
    <w:rsid w:val="00A504DE"/>
    <w:rsid w:val="00A51003"/>
    <w:rsid w:val="00A556C6"/>
    <w:rsid w:val="00A567C6"/>
    <w:rsid w:val="00A62B0F"/>
    <w:rsid w:val="00A67F7E"/>
    <w:rsid w:val="00A75544"/>
    <w:rsid w:val="00A7689E"/>
    <w:rsid w:val="00A77979"/>
    <w:rsid w:val="00A8123B"/>
    <w:rsid w:val="00A83549"/>
    <w:rsid w:val="00A87416"/>
    <w:rsid w:val="00A95C18"/>
    <w:rsid w:val="00AA0A31"/>
    <w:rsid w:val="00AA6E08"/>
    <w:rsid w:val="00AB3A30"/>
    <w:rsid w:val="00AB5956"/>
    <w:rsid w:val="00AC62B3"/>
    <w:rsid w:val="00AD73C6"/>
    <w:rsid w:val="00AE493C"/>
    <w:rsid w:val="00AF01E5"/>
    <w:rsid w:val="00AF1CBD"/>
    <w:rsid w:val="00AF1DD7"/>
    <w:rsid w:val="00AF27E3"/>
    <w:rsid w:val="00AF645B"/>
    <w:rsid w:val="00AF76F6"/>
    <w:rsid w:val="00B01844"/>
    <w:rsid w:val="00B04664"/>
    <w:rsid w:val="00B07055"/>
    <w:rsid w:val="00B11F79"/>
    <w:rsid w:val="00B13341"/>
    <w:rsid w:val="00B15E16"/>
    <w:rsid w:val="00B2181E"/>
    <w:rsid w:val="00B21A78"/>
    <w:rsid w:val="00B23ED0"/>
    <w:rsid w:val="00B24849"/>
    <w:rsid w:val="00B32E91"/>
    <w:rsid w:val="00B4246B"/>
    <w:rsid w:val="00B42D37"/>
    <w:rsid w:val="00B627C9"/>
    <w:rsid w:val="00B6422F"/>
    <w:rsid w:val="00B6449E"/>
    <w:rsid w:val="00B64CDC"/>
    <w:rsid w:val="00B72F6B"/>
    <w:rsid w:val="00B762B0"/>
    <w:rsid w:val="00B82C26"/>
    <w:rsid w:val="00B83B7A"/>
    <w:rsid w:val="00B86DBB"/>
    <w:rsid w:val="00B93EE8"/>
    <w:rsid w:val="00B951AE"/>
    <w:rsid w:val="00BA265C"/>
    <w:rsid w:val="00BB5BAA"/>
    <w:rsid w:val="00BC7C7D"/>
    <w:rsid w:val="00BE1BB7"/>
    <w:rsid w:val="00BF0660"/>
    <w:rsid w:val="00BF5C6C"/>
    <w:rsid w:val="00BF7CC1"/>
    <w:rsid w:val="00C03E05"/>
    <w:rsid w:val="00C114E5"/>
    <w:rsid w:val="00C2459E"/>
    <w:rsid w:val="00C41D74"/>
    <w:rsid w:val="00C66C69"/>
    <w:rsid w:val="00C763F7"/>
    <w:rsid w:val="00C85895"/>
    <w:rsid w:val="00C91436"/>
    <w:rsid w:val="00CA0105"/>
    <w:rsid w:val="00CB0937"/>
    <w:rsid w:val="00CB2501"/>
    <w:rsid w:val="00CB4D99"/>
    <w:rsid w:val="00CC072C"/>
    <w:rsid w:val="00CC2233"/>
    <w:rsid w:val="00CC23E6"/>
    <w:rsid w:val="00CD1614"/>
    <w:rsid w:val="00CD2B87"/>
    <w:rsid w:val="00CD61A9"/>
    <w:rsid w:val="00CE2C55"/>
    <w:rsid w:val="00CE72DF"/>
    <w:rsid w:val="00CF136C"/>
    <w:rsid w:val="00CF259D"/>
    <w:rsid w:val="00CF5F84"/>
    <w:rsid w:val="00CF6D0A"/>
    <w:rsid w:val="00D00F6A"/>
    <w:rsid w:val="00D10AA8"/>
    <w:rsid w:val="00D212BE"/>
    <w:rsid w:val="00D2197A"/>
    <w:rsid w:val="00D22EA6"/>
    <w:rsid w:val="00D27CD8"/>
    <w:rsid w:val="00D34CE3"/>
    <w:rsid w:val="00D356A8"/>
    <w:rsid w:val="00D37B22"/>
    <w:rsid w:val="00D80BFA"/>
    <w:rsid w:val="00D96114"/>
    <w:rsid w:val="00D968F3"/>
    <w:rsid w:val="00D976F0"/>
    <w:rsid w:val="00DA49E2"/>
    <w:rsid w:val="00DA67AB"/>
    <w:rsid w:val="00DC114A"/>
    <w:rsid w:val="00DC410A"/>
    <w:rsid w:val="00DC5B49"/>
    <w:rsid w:val="00DD1011"/>
    <w:rsid w:val="00DE6BDD"/>
    <w:rsid w:val="00DE6D6D"/>
    <w:rsid w:val="00DF3D0E"/>
    <w:rsid w:val="00DF6FCE"/>
    <w:rsid w:val="00E039EB"/>
    <w:rsid w:val="00E03A55"/>
    <w:rsid w:val="00E050A5"/>
    <w:rsid w:val="00E076F0"/>
    <w:rsid w:val="00E12CC0"/>
    <w:rsid w:val="00E2172B"/>
    <w:rsid w:val="00E2213F"/>
    <w:rsid w:val="00E22DF1"/>
    <w:rsid w:val="00E26879"/>
    <w:rsid w:val="00E319E6"/>
    <w:rsid w:val="00E346B7"/>
    <w:rsid w:val="00E50C28"/>
    <w:rsid w:val="00E51890"/>
    <w:rsid w:val="00E5231B"/>
    <w:rsid w:val="00E54DBF"/>
    <w:rsid w:val="00E5510C"/>
    <w:rsid w:val="00E635E8"/>
    <w:rsid w:val="00E63D9B"/>
    <w:rsid w:val="00E67758"/>
    <w:rsid w:val="00E70315"/>
    <w:rsid w:val="00E82D9B"/>
    <w:rsid w:val="00E83BAE"/>
    <w:rsid w:val="00E84068"/>
    <w:rsid w:val="00E93357"/>
    <w:rsid w:val="00EA3A2D"/>
    <w:rsid w:val="00EA6350"/>
    <w:rsid w:val="00EB1441"/>
    <w:rsid w:val="00EB5ECC"/>
    <w:rsid w:val="00EC588C"/>
    <w:rsid w:val="00ED2235"/>
    <w:rsid w:val="00F0183A"/>
    <w:rsid w:val="00F018ED"/>
    <w:rsid w:val="00F072BC"/>
    <w:rsid w:val="00F10820"/>
    <w:rsid w:val="00F11E8E"/>
    <w:rsid w:val="00F17737"/>
    <w:rsid w:val="00F22058"/>
    <w:rsid w:val="00F26159"/>
    <w:rsid w:val="00F337DF"/>
    <w:rsid w:val="00F37C89"/>
    <w:rsid w:val="00F428BD"/>
    <w:rsid w:val="00F42DAA"/>
    <w:rsid w:val="00F4360E"/>
    <w:rsid w:val="00F436A2"/>
    <w:rsid w:val="00F51F05"/>
    <w:rsid w:val="00F756EE"/>
    <w:rsid w:val="00F829DF"/>
    <w:rsid w:val="00F873FB"/>
    <w:rsid w:val="00F91600"/>
    <w:rsid w:val="00F91822"/>
    <w:rsid w:val="00F93254"/>
    <w:rsid w:val="00F944B9"/>
    <w:rsid w:val="00F95C9E"/>
    <w:rsid w:val="00FA248F"/>
    <w:rsid w:val="00FA4460"/>
    <w:rsid w:val="00FB2E75"/>
    <w:rsid w:val="00FB3FC5"/>
    <w:rsid w:val="00FB4D1A"/>
    <w:rsid w:val="00FB7204"/>
    <w:rsid w:val="00FC3314"/>
    <w:rsid w:val="00FD5B62"/>
    <w:rsid w:val="00FE124C"/>
    <w:rsid w:val="00FE44FA"/>
    <w:rsid w:val="00FE624B"/>
    <w:rsid w:val="00FF4B7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locked="1" w:semiHidden="0" w:uiPriority="0" w:unhideWhenUsed="0"/>
    <w:lsdException w:name="toc 2" w:locked="1" w:semiHidden="0" w:uiPriority="0" w:unhideWhenUsed="0"/>
    <w:lsdException w:name="toc 3" w:locked="1" w:semiHidden="0" w:uiPriority="0" w:unhideWhenUsed="0"/>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semiHidden="0" w:uiPriority="0" w:unhideWhenUsed="0" w:qFormat="1"/>
    <w:lsdException w:name="table of figures"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DA67AB"/>
    <w:pPr>
      <w:suppressAutoHyphens/>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
    <w:uiPriority w:val="99"/>
    <w:qFormat/>
    <w:rsid w:val="00143653"/>
    <w:pPr>
      <w:keepNext/>
      <w:pageBreakBefore/>
      <w:numPr>
        <w:numId w:val="14"/>
      </w:numPr>
      <w:tabs>
        <w:tab w:val="left" w:pos="567"/>
      </w:tabs>
      <w:spacing w:after="600"/>
      <w:ind w:left="0" w:firstLine="0"/>
      <w:outlineLvl w:val="0"/>
    </w:pPr>
    <w:rPr>
      <w:b/>
      <w:kern w:val="28"/>
      <w:sz w:val="36"/>
      <w:szCs w:val="28"/>
    </w:rPr>
  </w:style>
  <w:style w:type="paragraph" w:styleId="Heading2">
    <w:name w:val="heading 2"/>
    <w:basedOn w:val="Normal"/>
    <w:next w:val="Normalfirstparagraph"/>
    <w:link w:val="Heading2Char"/>
    <w:uiPriority w:val="99"/>
    <w:qFormat/>
    <w:rsid w:val="003729D7"/>
    <w:pPr>
      <w:keepNext/>
      <w:numPr>
        <w:ilvl w:val="1"/>
        <w:numId w:val="14"/>
      </w:numPr>
      <w:tabs>
        <w:tab w:val="left" w:pos="567"/>
      </w:tabs>
      <w:spacing w:before="300" w:after="160"/>
      <w:outlineLvl w:val="1"/>
    </w:pPr>
    <w:rPr>
      <w:b/>
      <w:sz w:val="28"/>
      <w:szCs w:val="28"/>
    </w:rPr>
  </w:style>
  <w:style w:type="paragraph" w:styleId="Heading3">
    <w:name w:val="heading 3"/>
    <w:basedOn w:val="Normal"/>
    <w:next w:val="Normalfirstparagraph"/>
    <w:link w:val="Heading3Char"/>
    <w:uiPriority w:val="99"/>
    <w:qFormat/>
    <w:rsid w:val="003729D7"/>
    <w:pPr>
      <w:keepNext/>
      <w:numPr>
        <w:ilvl w:val="2"/>
        <w:numId w:val="14"/>
      </w:numPr>
      <w:tabs>
        <w:tab w:val="left" w:pos="567"/>
      </w:tabs>
      <w:spacing w:before="300" w:after="160"/>
      <w:outlineLvl w:val="2"/>
    </w:pPr>
    <w:rPr>
      <w:b/>
      <w:i/>
      <w:sz w:val="26"/>
      <w:szCs w:val="26"/>
    </w:rPr>
  </w:style>
  <w:style w:type="paragraph" w:styleId="Heading4">
    <w:name w:val="heading 4"/>
    <w:basedOn w:val="Normal"/>
    <w:next w:val="Normal"/>
    <w:link w:val="Heading4Char"/>
    <w:uiPriority w:val="99"/>
    <w:qFormat/>
    <w:rsid w:val="003729D7"/>
    <w:pPr>
      <w:keepNext/>
      <w:numPr>
        <w:ilvl w:val="3"/>
        <w:numId w:val="14"/>
      </w:numPr>
      <w:tabs>
        <w:tab w:val="left" w:pos="851"/>
      </w:tabs>
      <w:spacing w:before="180" w:after="80"/>
      <w:outlineLvl w:val="3"/>
    </w:pPr>
    <w:rPr>
      <w:b/>
    </w:rPr>
  </w:style>
  <w:style w:type="paragraph" w:styleId="Heading5">
    <w:name w:val="heading 5"/>
    <w:basedOn w:val="Normal"/>
    <w:next w:val="Normal"/>
    <w:link w:val="Heading5Char"/>
    <w:uiPriority w:val="99"/>
    <w:qFormat/>
    <w:rsid w:val="003729D7"/>
    <w:pPr>
      <w:keepNext/>
      <w:numPr>
        <w:ilvl w:val="4"/>
        <w:numId w:val="14"/>
      </w:numPr>
      <w:spacing w:after="100"/>
      <w:outlineLvl w:val="4"/>
    </w:pPr>
  </w:style>
  <w:style w:type="paragraph" w:styleId="Heading6">
    <w:name w:val="heading 6"/>
    <w:basedOn w:val="Normal"/>
    <w:next w:val="Normal"/>
    <w:link w:val="Heading6Char"/>
    <w:uiPriority w:val="99"/>
    <w:qFormat/>
    <w:rsid w:val="00B4246B"/>
    <w:pPr>
      <w:keepNext/>
      <w:ind w:firstLine="0"/>
      <w:outlineLvl w:val="5"/>
    </w:pPr>
  </w:style>
  <w:style w:type="paragraph" w:styleId="Heading7">
    <w:name w:val="heading 7"/>
    <w:basedOn w:val="Normal"/>
    <w:next w:val="Normal"/>
    <w:link w:val="Heading7Char"/>
    <w:uiPriority w:val="99"/>
    <w:qFormat/>
    <w:rsid w:val="00B4246B"/>
    <w:pPr>
      <w:keepNext/>
      <w:ind w:firstLine="0"/>
      <w:outlineLvl w:val="6"/>
    </w:pPr>
  </w:style>
  <w:style w:type="paragraph" w:styleId="Heading8">
    <w:name w:val="heading 8"/>
    <w:basedOn w:val="Normal"/>
    <w:next w:val="Normal"/>
    <w:link w:val="Heading8Char"/>
    <w:uiPriority w:val="99"/>
    <w:qFormat/>
    <w:rsid w:val="00B4246B"/>
    <w:pPr>
      <w:keepNext/>
      <w:ind w:firstLine="0"/>
      <w:outlineLvl w:val="7"/>
    </w:pPr>
  </w:style>
  <w:style w:type="paragraph" w:styleId="Heading9">
    <w:name w:val="heading 9"/>
    <w:basedOn w:val="Normal"/>
    <w:next w:val="Normal"/>
    <w:link w:val="Heading9Char"/>
    <w:uiPriority w:val="99"/>
    <w:qFormat/>
    <w:rsid w:val="00B4246B"/>
    <w:pPr>
      <w:ind w:firstLine="0"/>
      <w:outlineLvl w:val="8"/>
    </w:pPr>
    <w:rPr>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43653"/>
    <w:rPr>
      <w:rFonts w:ascii="Garamond" w:hAnsi="Garamond" w:cs="Times New Roman"/>
      <w:b/>
      <w:kern w:val="28"/>
      <w:sz w:val="28"/>
      <w:szCs w:val="28"/>
      <w:lang w:val="en-GB" w:eastAsia="en-GB" w:bidi="ar-SA"/>
    </w:rPr>
  </w:style>
  <w:style w:type="character" w:customStyle="1" w:styleId="Heading2Char">
    <w:name w:val="Heading 2 Char"/>
    <w:basedOn w:val="DefaultParagraphFont"/>
    <w:link w:val="Heading2"/>
    <w:uiPriority w:val="9"/>
    <w:semiHidden/>
    <w:rsid w:val="00554050"/>
    <w:rPr>
      <w:rFonts w:asciiTheme="majorHAnsi" w:eastAsiaTheme="majorEastAsia" w:hAnsiTheme="majorHAnsi" w:cstheme="majorBidi"/>
      <w:b/>
      <w:bCs/>
      <w:i/>
      <w:iCs/>
      <w:sz w:val="28"/>
      <w:szCs w:val="28"/>
      <w:lang w:val="en-GB" w:eastAsia="en-GB"/>
    </w:rPr>
  </w:style>
  <w:style w:type="character" w:customStyle="1" w:styleId="Heading3Char">
    <w:name w:val="Heading 3 Char"/>
    <w:basedOn w:val="DefaultParagraphFont"/>
    <w:link w:val="Heading3"/>
    <w:uiPriority w:val="9"/>
    <w:semiHidden/>
    <w:rsid w:val="00554050"/>
    <w:rPr>
      <w:rFonts w:asciiTheme="majorHAnsi" w:eastAsiaTheme="majorEastAsia" w:hAnsiTheme="majorHAnsi" w:cstheme="majorBidi"/>
      <w:b/>
      <w:bCs/>
      <w:sz w:val="26"/>
      <w:szCs w:val="26"/>
      <w:lang w:val="en-GB" w:eastAsia="en-GB"/>
    </w:rPr>
  </w:style>
  <w:style w:type="character" w:customStyle="1" w:styleId="Heading4Char">
    <w:name w:val="Heading 4 Char"/>
    <w:basedOn w:val="DefaultParagraphFont"/>
    <w:link w:val="Heading4"/>
    <w:uiPriority w:val="9"/>
    <w:semiHidden/>
    <w:rsid w:val="00554050"/>
    <w:rPr>
      <w:rFonts w:asciiTheme="minorHAnsi" w:eastAsiaTheme="minorEastAsia" w:hAnsiTheme="minorHAnsi" w:cstheme="minorBidi"/>
      <w:b/>
      <w:bCs/>
      <w:sz w:val="28"/>
      <w:szCs w:val="28"/>
      <w:lang w:val="en-GB" w:eastAsia="en-GB"/>
    </w:rPr>
  </w:style>
  <w:style w:type="character" w:customStyle="1" w:styleId="Heading5Char">
    <w:name w:val="Heading 5 Char"/>
    <w:basedOn w:val="DefaultParagraphFont"/>
    <w:link w:val="Heading5"/>
    <w:uiPriority w:val="9"/>
    <w:semiHidden/>
    <w:rsid w:val="00554050"/>
    <w:rPr>
      <w:rFonts w:asciiTheme="minorHAnsi" w:eastAsiaTheme="minorEastAsia" w:hAnsiTheme="minorHAnsi" w:cstheme="minorBidi"/>
      <w:b/>
      <w:bCs/>
      <w:i/>
      <w:iCs/>
      <w:sz w:val="26"/>
      <w:szCs w:val="26"/>
      <w:lang w:val="en-GB" w:eastAsia="en-GB"/>
    </w:rPr>
  </w:style>
  <w:style w:type="character" w:customStyle="1" w:styleId="Heading6Char">
    <w:name w:val="Heading 6 Char"/>
    <w:basedOn w:val="DefaultParagraphFont"/>
    <w:link w:val="Heading6"/>
    <w:uiPriority w:val="9"/>
    <w:semiHidden/>
    <w:rsid w:val="00554050"/>
    <w:rPr>
      <w:rFonts w:asciiTheme="minorHAnsi" w:eastAsiaTheme="minorEastAsia" w:hAnsiTheme="minorHAnsi" w:cstheme="minorBidi"/>
      <w:b/>
      <w:bCs/>
      <w:lang w:val="en-GB" w:eastAsia="en-GB"/>
    </w:rPr>
  </w:style>
  <w:style w:type="character" w:customStyle="1" w:styleId="Heading7Char">
    <w:name w:val="Heading 7 Char"/>
    <w:basedOn w:val="DefaultParagraphFont"/>
    <w:link w:val="Heading7"/>
    <w:uiPriority w:val="9"/>
    <w:semiHidden/>
    <w:rsid w:val="00554050"/>
    <w:rPr>
      <w:rFonts w:asciiTheme="minorHAnsi" w:eastAsiaTheme="minorEastAsia" w:hAnsiTheme="minorHAnsi" w:cstheme="minorBidi"/>
      <w:sz w:val="24"/>
      <w:szCs w:val="24"/>
      <w:lang w:val="en-GB" w:eastAsia="en-GB"/>
    </w:rPr>
  </w:style>
  <w:style w:type="character" w:customStyle="1" w:styleId="Heading8Char">
    <w:name w:val="Heading 8 Char"/>
    <w:basedOn w:val="DefaultParagraphFont"/>
    <w:link w:val="Heading8"/>
    <w:uiPriority w:val="9"/>
    <w:semiHidden/>
    <w:rsid w:val="00554050"/>
    <w:rPr>
      <w:rFonts w:asciiTheme="minorHAnsi" w:eastAsiaTheme="minorEastAsia" w:hAnsiTheme="minorHAnsi" w:cstheme="minorBidi"/>
      <w:i/>
      <w:iCs/>
      <w:sz w:val="24"/>
      <w:szCs w:val="24"/>
      <w:lang w:val="en-GB" w:eastAsia="en-GB"/>
    </w:rPr>
  </w:style>
  <w:style w:type="character" w:customStyle="1" w:styleId="Heading9Char">
    <w:name w:val="Heading 9 Char"/>
    <w:basedOn w:val="DefaultParagraphFont"/>
    <w:link w:val="Heading9"/>
    <w:uiPriority w:val="9"/>
    <w:semiHidden/>
    <w:rsid w:val="00554050"/>
    <w:rPr>
      <w:rFonts w:asciiTheme="majorHAnsi" w:eastAsiaTheme="majorEastAsia" w:hAnsiTheme="majorHAnsi" w:cstheme="majorBidi"/>
      <w:lang w:val="en-GB" w:eastAsia="en-GB"/>
    </w:rPr>
  </w:style>
  <w:style w:type="paragraph" w:styleId="BodyText">
    <w:name w:val="Body Text"/>
    <w:basedOn w:val="Normal"/>
    <w:link w:val="BodyTextChar"/>
    <w:uiPriority w:val="99"/>
    <w:semiHidden/>
    <w:rsid w:val="0004709A"/>
    <w:pPr>
      <w:spacing w:after="120"/>
    </w:pPr>
  </w:style>
  <w:style w:type="character" w:customStyle="1" w:styleId="BodyTextChar">
    <w:name w:val="Body Text Char"/>
    <w:basedOn w:val="DefaultParagraphFont"/>
    <w:link w:val="BodyText"/>
    <w:uiPriority w:val="99"/>
    <w:semiHidden/>
    <w:rsid w:val="00554050"/>
    <w:rPr>
      <w:rFonts w:ascii="Garamond" w:hAnsi="Garamond"/>
      <w:sz w:val="24"/>
      <w:szCs w:val="24"/>
      <w:lang w:val="en-GB" w:eastAsia="en-GB"/>
    </w:rPr>
  </w:style>
  <w:style w:type="paragraph" w:styleId="FootnoteText">
    <w:name w:val="footnote text"/>
    <w:basedOn w:val="Normal"/>
    <w:link w:val="FootnoteTextChar"/>
    <w:uiPriority w:val="99"/>
    <w:semiHidden/>
    <w:rsid w:val="00817659"/>
    <w:pPr>
      <w:spacing w:after="0"/>
      <w:ind w:firstLine="0"/>
    </w:pPr>
    <w:rPr>
      <w:sz w:val="22"/>
    </w:rPr>
  </w:style>
  <w:style w:type="character" w:customStyle="1" w:styleId="FootnoteTextChar">
    <w:name w:val="Footnote Text Char"/>
    <w:basedOn w:val="DefaultParagraphFont"/>
    <w:link w:val="FootnoteText"/>
    <w:uiPriority w:val="99"/>
    <w:semiHidden/>
    <w:rsid w:val="00554050"/>
    <w:rPr>
      <w:rFonts w:ascii="Garamond" w:hAnsi="Garamond"/>
      <w:sz w:val="20"/>
      <w:szCs w:val="20"/>
      <w:lang w:val="en-GB" w:eastAsia="en-GB"/>
    </w:rPr>
  </w:style>
  <w:style w:type="character" w:styleId="FootnoteReference">
    <w:name w:val="footnote reference"/>
    <w:basedOn w:val="DefaultParagraphFont"/>
    <w:uiPriority w:val="99"/>
    <w:semiHidden/>
    <w:rsid w:val="006756B3"/>
    <w:rPr>
      <w:rFonts w:ascii="Garamond" w:hAnsi="Garamond" w:cs="Times New Roman"/>
      <w:sz w:val="22"/>
      <w:vertAlign w:val="superscript"/>
    </w:rPr>
  </w:style>
  <w:style w:type="paragraph" w:styleId="Footer">
    <w:name w:val="footer"/>
    <w:basedOn w:val="Normal"/>
    <w:link w:val="FooterChar"/>
    <w:uiPriority w:val="99"/>
    <w:rsid w:val="003D4C54"/>
    <w:pPr>
      <w:tabs>
        <w:tab w:val="center" w:pos="4320"/>
        <w:tab w:val="right" w:pos="8640"/>
      </w:tabs>
    </w:pPr>
  </w:style>
  <w:style w:type="character" w:customStyle="1" w:styleId="FooterChar">
    <w:name w:val="Footer Char"/>
    <w:basedOn w:val="DefaultParagraphFont"/>
    <w:link w:val="Footer"/>
    <w:uiPriority w:val="99"/>
    <w:locked/>
    <w:rsid w:val="00CC23E6"/>
    <w:rPr>
      <w:rFonts w:ascii="Garamond" w:hAnsi="Garamond" w:cs="Times New Roman"/>
      <w:sz w:val="24"/>
      <w:szCs w:val="24"/>
      <w:lang w:val="en-GB" w:eastAsia="en-GB"/>
    </w:rPr>
  </w:style>
  <w:style w:type="character" w:styleId="PageNumber">
    <w:name w:val="page number"/>
    <w:basedOn w:val="DefaultParagraphFont"/>
    <w:uiPriority w:val="99"/>
    <w:rsid w:val="007705FC"/>
    <w:rPr>
      <w:rFonts w:cs="Times New Roman"/>
      <w:sz w:val="20"/>
      <w:szCs w:val="20"/>
    </w:rPr>
  </w:style>
  <w:style w:type="character" w:styleId="FollowedHyperlink">
    <w:name w:val="FollowedHyperlink"/>
    <w:basedOn w:val="DefaultParagraphFont"/>
    <w:uiPriority w:val="99"/>
    <w:semiHidden/>
    <w:rsid w:val="00D34CE3"/>
    <w:rPr>
      <w:rFonts w:cs="Times New Roman"/>
      <w:color w:val="800080"/>
      <w:u w:val="single"/>
    </w:rPr>
  </w:style>
  <w:style w:type="paragraph" w:styleId="TOC1">
    <w:name w:val="toc 1"/>
    <w:basedOn w:val="Normal"/>
    <w:next w:val="Normal"/>
    <w:uiPriority w:val="99"/>
    <w:rsid w:val="00EB1441"/>
    <w:pPr>
      <w:tabs>
        <w:tab w:val="left" w:pos="1200"/>
        <w:tab w:val="right" w:pos="7371"/>
      </w:tabs>
      <w:spacing w:before="200"/>
      <w:ind w:right="397" w:firstLine="0"/>
    </w:pPr>
    <w:rPr>
      <w:b/>
      <w:noProof/>
    </w:rPr>
  </w:style>
  <w:style w:type="paragraph" w:styleId="TOC2">
    <w:name w:val="toc 2"/>
    <w:basedOn w:val="Normal"/>
    <w:next w:val="Normal"/>
    <w:uiPriority w:val="9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99"/>
    <w:rsid w:val="00DE6BDD"/>
    <w:pPr>
      <w:tabs>
        <w:tab w:val="left" w:pos="1920"/>
        <w:tab w:val="right" w:pos="7371"/>
      </w:tabs>
      <w:ind w:left="1304" w:right="397" w:hanging="737"/>
    </w:pPr>
  </w:style>
  <w:style w:type="paragraph" w:styleId="TOC4">
    <w:name w:val="toc 4"/>
    <w:basedOn w:val="Normal"/>
    <w:next w:val="Normal"/>
    <w:autoRedefine/>
    <w:uiPriority w:val="99"/>
    <w:semiHidden/>
    <w:rsid w:val="003D4C54"/>
    <w:pPr>
      <w:ind w:left="480"/>
    </w:pPr>
    <w:rPr>
      <w:sz w:val="20"/>
    </w:rPr>
  </w:style>
  <w:style w:type="paragraph" w:styleId="TOC5">
    <w:name w:val="toc 5"/>
    <w:basedOn w:val="Normal"/>
    <w:next w:val="Normal"/>
    <w:autoRedefine/>
    <w:uiPriority w:val="99"/>
    <w:semiHidden/>
    <w:rsid w:val="003D4C54"/>
    <w:pPr>
      <w:ind w:left="720"/>
    </w:pPr>
    <w:rPr>
      <w:sz w:val="20"/>
    </w:rPr>
  </w:style>
  <w:style w:type="paragraph" w:styleId="TOC6">
    <w:name w:val="toc 6"/>
    <w:basedOn w:val="Normal"/>
    <w:next w:val="Normal"/>
    <w:autoRedefine/>
    <w:uiPriority w:val="99"/>
    <w:semiHidden/>
    <w:rsid w:val="003D4C54"/>
    <w:pPr>
      <w:ind w:left="960"/>
    </w:pPr>
    <w:rPr>
      <w:sz w:val="20"/>
    </w:rPr>
  </w:style>
  <w:style w:type="paragraph" w:styleId="TOC7">
    <w:name w:val="toc 7"/>
    <w:basedOn w:val="Normal"/>
    <w:next w:val="Normal"/>
    <w:autoRedefine/>
    <w:uiPriority w:val="99"/>
    <w:semiHidden/>
    <w:rsid w:val="003D4C54"/>
    <w:pPr>
      <w:ind w:left="1200"/>
    </w:pPr>
    <w:rPr>
      <w:sz w:val="20"/>
    </w:rPr>
  </w:style>
  <w:style w:type="paragraph" w:styleId="TOC8">
    <w:name w:val="toc 8"/>
    <w:basedOn w:val="Normal"/>
    <w:next w:val="Normal"/>
    <w:autoRedefine/>
    <w:uiPriority w:val="99"/>
    <w:semiHidden/>
    <w:rsid w:val="003D4C54"/>
    <w:pPr>
      <w:ind w:left="1440"/>
    </w:pPr>
    <w:rPr>
      <w:sz w:val="20"/>
    </w:rPr>
  </w:style>
  <w:style w:type="paragraph" w:styleId="TOC9">
    <w:name w:val="toc 9"/>
    <w:basedOn w:val="Normal"/>
    <w:next w:val="Normal"/>
    <w:autoRedefine/>
    <w:uiPriority w:val="99"/>
    <w:semiHidden/>
    <w:rsid w:val="003D4C54"/>
    <w:pPr>
      <w:ind w:left="1680"/>
    </w:pPr>
    <w:rPr>
      <w:sz w:val="20"/>
    </w:rPr>
  </w:style>
  <w:style w:type="paragraph" w:styleId="Header">
    <w:name w:val="header"/>
    <w:basedOn w:val="Normal"/>
    <w:link w:val="HeaderChar"/>
    <w:uiPriority w:val="99"/>
    <w:rsid w:val="003D4C54"/>
    <w:pPr>
      <w:tabs>
        <w:tab w:val="center" w:pos="4320"/>
        <w:tab w:val="right" w:pos="8640"/>
      </w:tabs>
      <w:ind w:firstLine="284"/>
    </w:pPr>
    <w:rPr>
      <w:sz w:val="22"/>
    </w:rPr>
  </w:style>
  <w:style w:type="character" w:customStyle="1" w:styleId="HeaderChar">
    <w:name w:val="Header Char"/>
    <w:basedOn w:val="DefaultParagraphFont"/>
    <w:link w:val="Header"/>
    <w:uiPriority w:val="99"/>
    <w:semiHidden/>
    <w:rsid w:val="00554050"/>
    <w:rPr>
      <w:rFonts w:ascii="Garamond" w:hAnsi="Garamond"/>
      <w:sz w:val="24"/>
      <w:szCs w:val="24"/>
      <w:lang w:val="en-GB" w:eastAsia="en-GB"/>
    </w:rPr>
  </w:style>
  <w:style w:type="paragraph" w:customStyle="1" w:styleId="Maptitle">
    <w:name w:val="Map title"/>
    <w:basedOn w:val="tabletitle"/>
    <w:link w:val="MaptitleChar"/>
    <w:uiPriority w:val="99"/>
    <w:rsid w:val="00C91436"/>
  </w:style>
  <w:style w:type="paragraph" w:customStyle="1" w:styleId="quote">
    <w:name w:val="quote"/>
    <w:basedOn w:val="Normal"/>
    <w:next w:val="Normal"/>
    <w:uiPriority w:val="99"/>
    <w:rsid w:val="002B0EEB"/>
    <w:pPr>
      <w:spacing w:before="100" w:after="160"/>
      <w:ind w:left="425" w:firstLine="0"/>
    </w:pPr>
    <w:rPr>
      <w:sz w:val="23"/>
      <w:szCs w:val="22"/>
    </w:rPr>
  </w:style>
  <w:style w:type="paragraph" w:styleId="NormalWeb">
    <w:name w:val="Normal (Web)"/>
    <w:basedOn w:val="Normal"/>
    <w:uiPriority w:val="99"/>
    <w:semiHidden/>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uiPriority w:val="99"/>
    <w:rsid w:val="002B0EEB"/>
    <w:pPr>
      <w:tabs>
        <w:tab w:val="right" w:pos="7371"/>
      </w:tabs>
      <w:spacing w:before="100" w:after="160"/>
      <w:ind w:left="425"/>
    </w:pPr>
    <w:rPr>
      <w:rFonts w:ascii="Garamond" w:hAnsi="Garamond"/>
      <w:sz w:val="24"/>
      <w:lang w:val="en-GB" w:eastAsia="en-GB"/>
    </w:rPr>
  </w:style>
  <w:style w:type="paragraph" w:styleId="Caption">
    <w:name w:val="caption"/>
    <w:basedOn w:val="Normal"/>
    <w:next w:val="Normal"/>
    <w:uiPriority w:val="99"/>
    <w:qFormat/>
    <w:rsid w:val="003D4C54"/>
    <w:pPr>
      <w:widowControl w:val="0"/>
      <w:ind w:firstLine="0"/>
    </w:pPr>
    <w:rPr>
      <w:rFonts w:ascii="Courier New" w:hAnsi="Courier New"/>
      <w:lang w:val="en-US" w:eastAsia="en-US"/>
    </w:rPr>
  </w:style>
  <w:style w:type="paragraph" w:styleId="Title">
    <w:name w:val="Title"/>
    <w:basedOn w:val="Normal"/>
    <w:link w:val="TitleChar"/>
    <w:uiPriority w:val="99"/>
    <w:qFormat/>
    <w:rsid w:val="00D34CE3"/>
    <w:pPr>
      <w:spacing w:after="400"/>
      <w:ind w:firstLine="0"/>
    </w:pPr>
    <w:rPr>
      <w:b/>
      <w:sz w:val="32"/>
      <w:szCs w:val="32"/>
      <w:lang w:val="en-AU"/>
    </w:rPr>
  </w:style>
  <w:style w:type="character" w:customStyle="1" w:styleId="TitleChar">
    <w:name w:val="Title Char"/>
    <w:basedOn w:val="DefaultParagraphFont"/>
    <w:link w:val="Title"/>
    <w:uiPriority w:val="10"/>
    <w:rsid w:val="00554050"/>
    <w:rPr>
      <w:rFonts w:asciiTheme="majorHAnsi" w:eastAsiaTheme="majorEastAsia" w:hAnsiTheme="majorHAnsi" w:cstheme="majorBidi"/>
      <w:b/>
      <w:bCs/>
      <w:kern w:val="28"/>
      <w:sz w:val="32"/>
      <w:szCs w:val="32"/>
      <w:lang w:val="en-GB" w:eastAsia="en-GB"/>
    </w:rPr>
  </w:style>
  <w:style w:type="paragraph" w:styleId="EndnoteText">
    <w:name w:val="endnote text"/>
    <w:basedOn w:val="Normal"/>
    <w:link w:val="EndnoteTextChar"/>
    <w:uiPriority w:val="99"/>
    <w:semiHidden/>
    <w:rsid w:val="00D212BE"/>
    <w:pPr>
      <w:ind w:firstLine="0"/>
    </w:pPr>
    <w:rPr>
      <w:sz w:val="22"/>
    </w:rPr>
  </w:style>
  <w:style w:type="character" w:customStyle="1" w:styleId="EndnoteTextChar">
    <w:name w:val="Endnote Text Char"/>
    <w:basedOn w:val="DefaultParagraphFont"/>
    <w:link w:val="EndnoteText"/>
    <w:uiPriority w:val="99"/>
    <w:semiHidden/>
    <w:rsid w:val="00554050"/>
    <w:rPr>
      <w:rFonts w:ascii="Garamond" w:hAnsi="Garamond"/>
      <w:sz w:val="20"/>
      <w:szCs w:val="20"/>
      <w:lang w:val="en-GB" w:eastAsia="en-GB"/>
    </w:rPr>
  </w:style>
  <w:style w:type="paragraph" w:customStyle="1" w:styleId="tabletitle">
    <w:name w:val="table title"/>
    <w:basedOn w:val="Normal"/>
    <w:link w:val="tabletitleChar"/>
    <w:uiPriority w:val="99"/>
    <w:rsid w:val="00744F1D"/>
    <w:pPr>
      <w:spacing w:after="200"/>
      <w:ind w:firstLine="0"/>
      <w:jc w:val="center"/>
    </w:pPr>
    <w:rPr>
      <w:rFonts w:ascii="Arial" w:hAnsi="Arial" w:cs="Arial"/>
      <w:b/>
      <w:sz w:val="18"/>
    </w:rPr>
  </w:style>
  <w:style w:type="character" w:styleId="EndnoteReference">
    <w:name w:val="endnote reference"/>
    <w:basedOn w:val="DefaultParagraphFont"/>
    <w:uiPriority w:val="99"/>
    <w:semiHidden/>
    <w:rsid w:val="003D4C54"/>
    <w:rPr>
      <w:rFonts w:cs="Times New Roman"/>
      <w:vertAlign w:val="superscript"/>
    </w:rPr>
  </w:style>
  <w:style w:type="paragraph" w:customStyle="1" w:styleId="tablesourcenote">
    <w:name w:val="table source/note"/>
    <w:basedOn w:val="Normal"/>
    <w:uiPriority w:val="99"/>
    <w:rsid w:val="00D34CE3"/>
    <w:pPr>
      <w:ind w:firstLine="0"/>
    </w:pPr>
    <w:rPr>
      <w:rFonts w:ascii="Arial" w:hAnsi="Arial"/>
      <w:sz w:val="16"/>
      <w:szCs w:val="16"/>
    </w:rPr>
  </w:style>
  <w:style w:type="paragraph" w:styleId="BalloonText">
    <w:name w:val="Balloon Text"/>
    <w:basedOn w:val="Normal"/>
    <w:link w:val="BalloonTextChar"/>
    <w:uiPriority w:val="99"/>
    <w:semiHidden/>
    <w:rsid w:val="003D4C54"/>
    <w:rPr>
      <w:rFonts w:ascii="Tahoma" w:hAnsi="Tahoma" w:cs="Tahoma"/>
      <w:sz w:val="16"/>
      <w:szCs w:val="16"/>
    </w:rPr>
  </w:style>
  <w:style w:type="character" w:customStyle="1" w:styleId="BalloonTextChar">
    <w:name w:val="Balloon Text Char"/>
    <w:basedOn w:val="DefaultParagraphFont"/>
    <w:link w:val="BalloonText"/>
    <w:uiPriority w:val="99"/>
    <w:semiHidden/>
    <w:rsid w:val="00554050"/>
    <w:rPr>
      <w:sz w:val="0"/>
      <w:szCs w:val="0"/>
      <w:lang w:val="en-GB" w:eastAsia="en-GB"/>
    </w:rPr>
  </w:style>
  <w:style w:type="character" w:styleId="CommentReference">
    <w:name w:val="annotation reference"/>
    <w:basedOn w:val="DefaultParagraphFont"/>
    <w:uiPriority w:val="99"/>
    <w:semiHidden/>
    <w:rsid w:val="003D4C54"/>
    <w:rPr>
      <w:rFonts w:cs="Times New Roman"/>
      <w:sz w:val="16"/>
    </w:rPr>
  </w:style>
  <w:style w:type="paragraph" w:styleId="CommentText">
    <w:name w:val="annotation text"/>
    <w:basedOn w:val="Normal"/>
    <w:link w:val="CommentTextChar"/>
    <w:uiPriority w:val="99"/>
    <w:semiHidden/>
    <w:rsid w:val="003D4C54"/>
    <w:pPr>
      <w:ind w:firstLine="0"/>
    </w:pPr>
    <w:rPr>
      <w:sz w:val="20"/>
    </w:rPr>
  </w:style>
  <w:style w:type="character" w:customStyle="1" w:styleId="CommentTextChar">
    <w:name w:val="Comment Text Char"/>
    <w:basedOn w:val="DefaultParagraphFont"/>
    <w:link w:val="CommentText"/>
    <w:uiPriority w:val="99"/>
    <w:semiHidden/>
    <w:rsid w:val="00554050"/>
    <w:rPr>
      <w:rFonts w:ascii="Garamond" w:hAnsi="Garamond"/>
      <w:sz w:val="20"/>
      <w:szCs w:val="20"/>
      <w:lang w:val="en-GB" w:eastAsia="en-GB"/>
    </w:rPr>
  </w:style>
  <w:style w:type="paragraph" w:customStyle="1" w:styleId="bullet">
    <w:name w:val="bullet"/>
    <w:basedOn w:val="Normal"/>
    <w:uiPriority w:val="99"/>
    <w:rsid w:val="00337996"/>
    <w:pPr>
      <w:numPr>
        <w:numId w:val="2"/>
      </w:numPr>
      <w:tabs>
        <w:tab w:val="left" w:pos="425"/>
      </w:tabs>
      <w:ind w:left="709" w:hanging="284"/>
    </w:pPr>
  </w:style>
  <w:style w:type="paragraph" w:customStyle="1" w:styleId="bulletsub">
    <w:name w:val="bullet sub"/>
    <w:next w:val="Normal"/>
    <w:uiPriority w:val="99"/>
    <w:rsid w:val="00350809"/>
    <w:pPr>
      <w:tabs>
        <w:tab w:val="num" w:pos="1320"/>
      </w:tabs>
      <w:ind w:left="1320" w:hanging="600"/>
    </w:pPr>
    <w:rPr>
      <w:sz w:val="24"/>
      <w:szCs w:val="24"/>
      <w:lang w:val="en-GB" w:eastAsia="en-GB"/>
    </w:rPr>
  </w:style>
  <w:style w:type="paragraph" w:customStyle="1" w:styleId="tableheader">
    <w:name w:val="table header"/>
    <w:basedOn w:val="Normal"/>
    <w:uiPriority w:val="99"/>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uiPriority w:val="99"/>
    <w:rsid w:val="00E050A5"/>
    <w:pPr>
      <w:spacing w:before="0" w:after="0"/>
    </w:pPr>
  </w:style>
  <w:style w:type="paragraph" w:customStyle="1" w:styleId="Heading3underheading2">
    <w:name w:val="Heading 3 under heading 2"/>
    <w:basedOn w:val="Heading3"/>
    <w:next w:val="Normalfirstparagraph"/>
    <w:uiPriority w:val="99"/>
    <w:rsid w:val="003729D7"/>
    <w:pPr>
      <w:spacing w:before="0"/>
    </w:pPr>
    <w:rPr>
      <w:bCs/>
      <w:iCs/>
      <w:szCs w:val="20"/>
    </w:rPr>
  </w:style>
  <w:style w:type="character" w:styleId="Hyperlink">
    <w:name w:val="Hyperlink"/>
    <w:basedOn w:val="DefaultParagraphFont"/>
    <w:uiPriority w:val="99"/>
    <w:rsid w:val="003573A3"/>
    <w:rPr>
      <w:rFonts w:cs="Times New Roman"/>
      <w:color w:val="0000FF"/>
      <w:u w:val="single"/>
    </w:rPr>
  </w:style>
  <w:style w:type="paragraph" w:customStyle="1" w:styleId="Normalfirstparagraph">
    <w:name w:val="Normal first paragraph"/>
    <w:basedOn w:val="Normal"/>
    <w:next w:val="Normal"/>
    <w:uiPriority w:val="99"/>
    <w:rsid w:val="0040337E"/>
    <w:pPr>
      <w:ind w:firstLine="0"/>
    </w:pPr>
  </w:style>
  <w:style w:type="paragraph" w:customStyle="1" w:styleId="Authortitlepage">
    <w:name w:val="Author title page"/>
    <w:basedOn w:val="Normal"/>
    <w:uiPriority w:val="99"/>
    <w:semiHidden/>
    <w:rsid w:val="00483839"/>
    <w:pPr>
      <w:ind w:firstLine="0"/>
      <w:jc w:val="center"/>
    </w:pPr>
    <w:rPr>
      <w:i/>
      <w:iCs/>
      <w:sz w:val="32"/>
      <w:szCs w:val="20"/>
    </w:rPr>
  </w:style>
  <w:style w:type="paragraph" w:customStyle="1" w:styleId="Monthyeartitlepage">
    <w:name w:val="Month year title page"/>
    <w:basedOn w:val="Normal"/>
    <w:uiPriority w:val="99"/>
    <w:semiHidden/>
    <w:rsid w:val="00483839"/>
    <w:pPr>
      <w:ind w:firstLine="0"/>
      <w:jc w:val="center"/>
    </w:pPr>
    <w:rPr>
      <w:sz w:val="28"/>
      <w:szCs w:val="20"/>
    </w:rPr>
  </w:style>
  <w:style w:type="paragraph" w:customStyle="1" w:styleId="Footnote">
    <w:name w:val="Footnote"/>
    <w:basedOn w:val="FootnoteText"/>
    <w:uiPriority w:val="99"/>
    <w:rsid w:val="00122057"/>
  </w:style>
  <w:style w:type="paragraph" w:customStyle="1" w:styleId="Workingpapernumber">
    <w:name w:val="Working paper number"/>
    <w:basedOn w:val="Normal"/>
    <w:uiPriority w:val="99"/>
    <w:semiHidden/>
    <w:rsid w:val="00483839"/>
    <w:pPr>
      <w:ind w:firstLine="0"/>
      <w:jc w:val="center"/>
    </w:pPr>
    <w:rPr>
      <w:rFonts w:ascii="Arial" w:hAnsi="Arial"/>
      <w:sz w:val="32"/>
      <w:szCs w:val="20"/>
    </w:rPr>
  </w:style>
  <w:style w:type="paragraph" w:customStyle="1" w:styleId="Numberedtext">
    <w:name w:val="Numbered text"/>
    <w:basedOn w:val="Normal"/>
    <w:uiPriority w:val="99"/>
    <w:rsid w:val="00337996"/>
    <w:pPr>
      <w:numPr>
        <w:numId w:val="13"/>
      </w:numPr>
      <w:tabs>
        <w:tab w:val="left" w:pos="425"/>
      </w:tabs>
      <w:ind w:left="720" w:hanging="295"/>
    </w:pPr>
  </w:style>
  <w:style w:type="paragraph" w:customStyle="1" w:styleId="WorkingPaper">
    <w:name w:val="Working Paper"/>
    <w:basedOn w:val="Normal"/>
    <w:uiPriority w:val="99"/>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uiPriority w:val="99"/>
    <w:rsid w:val="00372562"/>
    <w:pPr>
      <w:ind w:left="425" w:hanging="425"/>
    </w:pPr>
    <w:rPr>
      <w:sz w:val="22"/>
    </w:rPr>
  </w:style>
  <w:style w:type="paragraph" w:customStyle="1" w:styleId="disclaimer">
    <w:name w:val="disclaimer"/>
    <w:basedOn w:val="Normal"/>
    <w:uiPriority w:val="99"/>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uiPriority w:val="99"/>
    <w:rsid w:val="00F756EE"/>
    <w:pPr>
      <w:spacing w:before="100"/>
    </w:pPr>
  </w:style>
  <w:style w:type="paragraph" w:customStyle="1" w:styleId="Figuretitle">
    <w:name w:val="Figure title"/>
    <w:basedOn w:val="tabletitle"/>
    <w:uiPriority w:val="99"/>
    <w:rsid w:val="00E5231B"/>
  </w:style>
  <w:style w:type="paragraph" w:styleId="TableofFigures">
    <w:name w:val="table of figures"/>
    <w:basedOn w:val="Normal"/>
    <w:next w:val="Normal"/>
    <w:link w:val="TableofFiguresChar"/>
    <w:uiPriority w:val="99"/>
    <w:rsid w:val="0034310D"/>
  </w:style>
  <w:style w:type="character" w:customStyle="1" w:styleId="tabletitleChar">
    <w:name w:val="table title Char"/>
    <w:basedOn w:val="DefaultParagraphFont"/>
    <w:link w:val="tabletitle"/>
    <w:uiPriority w:val="99"/>
    <w:locked/>
    <w:rsid w:val="00462B7C"/>
    <w:rPr>
      <w:rFonts w:ascii="Arial" w:hAnsi="Arial" w:cs="Arial"/>
      <w:b/>
      <w:sz w:val="24"/>
      <w:szCs w:val="24"/>
      <w:lang w:val="en-GB" w:eastAsia="en-GB" w:bidi="ar-SA"/>
    </w:rPr>
  </w:style>
  <w:style w:type="character" w:customStyle="1" w:styleId="MaptitleChar">
    <w:name w:val="Map title Char"/>
    <w:basedOn w:val="tabletitleChar"/>
    <w:link w:val="Maptitle"/>
    <w:uiPriority w:val="99"/>
    <w:locked/>
    <w:rsid w:val="00462B7C"/>
  </w:style>
  <w:style w:type="paragraph" w:customStyle="1" w:styleId="Heading1notchapter">
    <w:name w:val="Heading 1 not chapter"/>
    <w:next w:val="Normalfirstparagraph"/>
    <w:uiPriority w:val="99"/>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uiPriority w:val="99"/>
    <w:rsid w:val="003729D7"/>
    <w:pPr>
      <w:spacing w:before="0"/>
    </w:pPr>
  </w:style>
  <w:style w:type="paragraph" w:customStyle="1" w:styleId="Acronyms">
    <w:name w:val="Acronyms"/>
    <w:basedOn w:val="Normal"/>
    <w:uiPriority w:val="99"/>
    <w:rsid w:val="007705FC"/>
    <w:pPr>
      <w:ind w:left="1418" w:hanging="1418"/>
    </w:pPr>
  </w:style>
  <w:style w:type="paragraph" w:customStyle="1" w:styleId="Default">
    <w:name w:val="Default"/>
    <w:uiPriority w:val="99"/>
    <w:rsid w:val="00256D17"/>
    <w:pPr>
      <w:autoSpaceDE w:val="0"/>
      <w:autoSpaceDN w:val="0"/>
      <w:adjustRightInd w:val="0"/>
    </w:pPr>
    <w:rPr>
      <w:color w:val="000000"/>
      <w:sz w:val="24"/>
      <w:szCs w:val="24"/>
    </w:rPr>
  </w:style>
  <w:style w:type="paragraph" w:styleId="TOCHeading">
    <w:name w:val="TOC Heading"/>
    <w:basedOn w:val="Heading1"/>
    <w:next w:val="Normal"/>
    <w:uiPriority w:val="99"/>
    <w:qFormat/>
    <w:rsid w:val="00256D17"/>
    <w:pPr>
      <w:keepLines/>
      <w:pageBreakBefore w:val="0"/>
      <w:numPr>
        <w:numId w:val="0"/>
      </w:numPr>
      <w:tabs>
        <w:tab w:val="clear" w:pos="567"/>
      </w:tabs>
      <w:suppressAutoHyphens w:val="0"/>
      <w:spacing w:before="480" w:after="0" w:line="276" w:lineRule="auto"/>
      <w:outlineLvl w:val="9"/>
    </w:pPr>
    <w:rPr>
      <w:rFonts w:ascii="Cambria" w:hAnsi="Cambria"/>
      <w:bCs/>
      <w:color w:val="365F91"/>
      <w:kern w:val="0"/>
      <w:sz w:val="28"/>
      <w:lang w:val="en-US" w:eastAsia="en-US"/>
    </w:rPr>
  </w:style>
  <w:style w:type="character" w:customStyle="1" w:styleId="TableofFiguresChar">
    <w:name w:val="Table of Figures Char"/>
    <w:basedOn w:val="DefaultParagraphFont"/>
    <w:link w:val="TableofFigures"/>
    <w:uiPriority w:val="99"/>
    <w:locked/>
    <w:rsid w:val="0034310D"/>
    <w:rPr>
      <w:rFonts w:ascii="Garamond" w:hAnsi="Garamond" w:cs="Times New Roman"/>
      <w:sz w:val="24"/>
      <w:szCs w:val="24"/>
      <w:lang w:val="en-GB" w:eastAsia="en-GB"/>
    </w:rPr>
  </w:style>
  <w:style w:type="paragraph" w:styleId="ListParagraph">
    <w:name w:val="List Paragraph"/>
    <w:basedOn w:val="Normal"/>
    <w:uiPriority w:val="99"/>
    <w:qFormat/>
    <w:rsid w:val="00391BFE"/>
    <w:pPr>
      <w:suppressAutoHyphens w:val="0"/>
      <w:spacing w:after="200" w:line="276" w:lineRule="auto"/>
      <w:ind w:left="720" w:firstLine="0"/>
      <w:contextualSpacing/>
    </w:pPr>
    <w:rPr>
      <w:rFonts w:ascii="Calibri" w:hAnsi="Calibri"/>
      <w:sz w:val="22"/>
      <w:szCs w:val="22"/>
      <w:lang w:val="en-US" w:eastAsia="en-US"/>
    </w:rPr>
  </w:style>
  <w:style w:type="character" w:styleId="Emphasis">
    <w:name w:val="Emphasis"/>
    <w:basedOn w:val="DefaultParagraphFont"/>
    <w:uiPriority w:val="99"/>
    <w:qFormat/>
    <w:rsid w:val="00D976F0"/>
    <w:rPr>
      <w:rFonts w:cs="Times New Roman"/>
      <w:b/>
      <w:bCs/>
    </w:rPr>
  </w:style>
</w:styles>
</file>

<file path=word/webSettings.xml><?xml version="1.0" encoding="utf-8"?>
<w:webSettings xmlns:r="http://schemas.openxmlformats.org/officeDocument/2006/relationships" xmlns:w="http://schemas.openxmlformats.org/wordprocessingml/2006/main">
  <w:divs>
    <w:div w:id="2011566204">
      <w:marLeft w:val="0"/>
      <w:marRight w:val="0"/>
      <w:marTop w:val="0"/>
      <w:marBottom w:val="0"/>
      <w:divBdr>
        <w:top w:val="none" w:sz="0" w:space="0" w:color="auto"/>
        <w:left w:val="none" w:sz="0" w:space="0" w:color="auto"/>
        <w:bottom w:val="none" w:sz="0" w:space="0" w:color="auto"/>
        <w:right w:val="none" w:sz="0" w:space="0" w:color="auto"/>
      </w:divBdr>
    </w:div>
    <w:div w:id="2011566205">
      <w:marLeft w:val="0"/>
      <w:marRight w:val="0"/>
      <w:marTop w:val="0"/>
      <w:marBottom w:val="0"/>
      <w:divBdr>
        <w:top w:val="none" w:sz="0" w:space="0" w:color="auto"/>
        <w:left w:val="none" w:sz="0" w:space="0" w:color="auto"/>
        <w:bottom w:val="none" w:sz="0" w:space="0" w:color="auto"/>
        <w:right w:val="none" w:sz="0" w:space="0" w:color="auto"/>
      </w:divBdr>
    </w:div>
    <w:div w:id="2011566206">
      <w:marLeft w:val="0"/>
      <w:marRight w:val="0"/>
      <w:marTop w:val="0"/>
      <w:marBottom w:val="0"/>
      <w:divBdr>
        <w:top w:val="none" w:sz="0" w:space="0" w:color="auto"/>
        <w:left w:val="none" w:sz="0" w:space="0" w:color="auto"/>
        <w:bottom w:val="none" w:sz="0" w:space="0" w:color="auto"/>
        <w:right w:val="none" w:sz="0" w:space="0" w:color="auto"/>
      </w:divBdr>
    </w:div>
    <w:div w:id="2011566207">
      <w:marLeft w:val="0"/>
      <w:marRight w:val="0"/>
      <w:marTop w:val="0"/>
      <w:marBottom w:val="0"/>
      <w:divBdr>
        <w:top w:val="none" w:sz="0" w:space="0" w:color="auto"/>
        <w:left w:val="none" w:sz="0" w:space="0" w:color="auto"/>
        <w:bottom w:val="none" w:sz="0" w:space="0" w:color="auto"/>
        <w:right w:val="none" w:sz="0" w:space="0" w:color="auto"/>
      </w:divBdr>
    </w:div>
    <w:div w:id="2011566208">
      <w:marLeft w:val="0"/>
      <w:marRight w:val="0"/>
      <w:marTop w:val="0"/>
      <w:marBottom w:val="0"/>
      <w:divBdr>
        <w:top w:val="none" w:sz="0" w:space="0" w:color="auto"/>
        <w:left w:val="none" w:sz="0" w:space="0" w:color="auto"/>
        <w:bottom w:val="none" w:sz="0" w:space="0" w:color="auto"/>
        <w:right w:val="none" w:sz="0" w:space="0" w:color="auto"/>
      </w:divBdr>
    </w:div>
    <w:div w:id="2011566209">
      <w:marLeft w:val="0"/>
      <w:marRight w:val="0"/>
      <w:marTop w:val="0"/>
      <w:marBottom w:val="0"/>
      <w:divBdr>
        <w:top w:val="none" w:sz="0" w:space="0" w:color="auto"/>
        <w:left w:val="none" w:sz="0" w:space="0" w:color="auto"/>
        <w:bottom w:val="none" w:sz="0" w:space="0" w:color="auto"/>
        <w:right w:val="none" w:sz="0" w:space="0" w:color="auto"/>
      </w:divBdr>
    </w:div>
    <w:div w:id="2011566210">
      <w:marLeft w:val="0"/>
      <w:marRight w:val="0"/>
      <w:marTop w:val="0"/>
      <w:marBottom w:val="0"/>
      <w:divBdr>
        <w:top w:val="none" w:sz="0" w:space="0" w:color="auto"/>
        <w:left w:val="none" w:sz="0" w:space="0" w:color="auto"/>
        <w:bottom w:val="none" w:sz="0" w:space="0" w:color="auto"/>
        <w:right w:val="none" w:sz="0" w:space="0" w:color="auto"/>
      </w:divBdr>
    </w:div>
    <w:div w:id="2011566211">
      <w:marLeft w:val="0"/>
      <w:marRight w:val="0"/>
      <w:marTop w:val="0"/>
      <w:marBottom w:val="0"/>
      <w:divBdr>
        <w:top w:val="none" w:sz="0" w:space="0" w:color="auto"/>
        <w:left w:val="none" w:sz="0" w:space="0" w:color="auto"/>
        <w:bottom w:val="none" w:sz="0" w:space="0" w:color="auto"/>
        <w:right w:val="none" w:sz="0" w:space="0" w:color="auto"/>
      </w:divBdr>
    </w:div>
    <w:div w:id="2011566212">
      <w:marLeft w:val="0"/>
      <w:marRight w:val="0"/>
      <w:marTop w:val="0"/>
      <w:marBottom w:val="0"/>
      <w:divBdr>
        <w:top w:val="none" w:sz="0" w:space="0" w:color="auto"/>
        <w:left w:val="none" w:sz="0" w:space="0" w:color="auto"/>
        <w:bottom w:val="none" w:sz="0" w:space="0" w:color="auto"/>
        <w:right w:val="none" w:sz="0" w:space="0" w:color="auto"/>
      </w:divBdr>
    </w:div>
    <w:div w:id="2011566213">
      <w:marLeft w:val="0"/>
      <w:marRight w:val="0"/>
      <w:marTop w:val="0"/>
      <w:marBottom w:val="0"/>
      <w:divBdr>
        <w:top w:val="none" w:sz="0" w:space="0" w:color="auto"/>
        <w:left w:val="none" w:sz="0" w:space="0" w:color="auto"/>
        <w:bottom w:val="none" w:sz="0" w:space="0" w:color="auto"/>
        <w:right w:val="none" w:sz="0" w:space="0" w:color="auto"/>
      </w:divBdr>
    </w:div>
    <w:div w:id="2011566214">
      <w:marLeft w:val="0"/>
      <w:marRight w:val="0"/>
      <w:marTop w:val="0"/>
      <w:marBottom w:val="0"/>
      <w:divBdr>
        <w:top w:val="none" w:sz="0" w:space="0" w:color="auto"/>
        <w:left w:val="none" w:sz="0" w:space="0" w:color="auto"/>
        <w:bottom w:val="none" w:sz="0" w:space="0" w:color="auto"/>
        <w:right w:val="none" w:sz="0" w:space="0" w:color="auto"/>
      </w:divBdr>
    </w:div>
    <w:div w:id="2011566215">
      <w:marLeft w:val="0"/>
      <w:marRight w:val="0"/>
      <w:marTop w:val="0"/>
      <w:marBottom w:val="0"/>
      <w:divBdr>
        <w:top w:val="none" w:sz="0" w:space="0" w:color="auto"/>
        <w:left w:val="none" w:sz="0" w:space="0" w:color="auto"/>
        <w:bottom w:val="none" w:sz="0" w:space="0" w:color="auto"/>
        <w:right w:val="none" w:sz="0" w:space="0" w:color="auto"/>
      </w:divBdr>
    </w:div>
    <w:div w:id="2011566216">
      <w:marLeft w:val="0"/>
      <w:marRight w:val="0"/>
      <w:marTop w:val="0"/>
      <w:marBottom w:val="0"/>
      <w:divBdr>
        <w:top w:val="none" w:sz="0" w:space="0" w:color="auto"/>
        <w:left w:val="none" w:sz="0" w:space="0" w:color="auto"/>
        <w:bottom w:val="none" w:sz="0" w:space="0" w:color="auto"/>
        <w:right w:val="none" w:sz="0" w:space="0" w:color="auto"/>
      </w:divBdr>
    </w:div>
    <w:div w:id="2011566217">
      <w:marLeft w:val="0"/>
      <w:marRight w:val="0"/>
      <w:marTop w:val="0"/>
      <w:marBottom w:val="0"/>
      <w:divBdr>
        <w:top w:val="none" w:sz="0" w:space="0" w:color="auto"/>
        <w:left w:val="none" w:sz="0" w:space="0" w:color="auto"/>
        <w:bottom w:val="none" w:sz="0" w:space="0" w:color="auto"/>
        <w:right w:val="none" w:sz="0" w:space="0" w:color="auto"/>
      </w:divBdr>
    </w:div>
    <w:div w:id="2011566218">
      <w:marLeft w:val="0"/>
      <w:marRight w:val="0"/>
      <w:marTop w:val="0"/>
      <w:marBottom w:val="0"/>
      <w:divBdr>
        <w:top w:val="none" w:sz="0" w:space="0" w:color="auto"/>
        <w:left w:val="none" w:sz="0" w:space="0" w:color="auto"/>
        <w:bottom w:val="none" w:sz="0" w:space="0" w:color="auto"/>
        <w:right w:val="none" w:sz="0" w:space="0" w:color="auto"/>
      </w:divBdr>
    </w:div>
    <w:div w:id="2011566219">
      <w:marLeft w:val="0"/>
      <w:marRight w:val="0"/>
      <w:marTop w:val="0"/>
      <w:marBottom w:val="0"/>
      <w:divBdr>
        <w:top w:val="none" w:sz="0" w:space="0" w:color="auto"/>
        <w:left w:val="none" w:sz="0" w:space="0" w:color="auto"/>
        <w:bottom w:val="none" w:sz="0" w:space="0" w:color="auto"/>
        <w:right w:val="none" w:sz="0" w:space="0" w:color="auto"/>
      </w:divBdr>
    </w:div>
    <w:div w:id="2011566220">
      <w:marLeft w:val="0"/>
      <w:marRight w:val="0"/>
      <w:marTop w:val="0"/>
      <w:marBottom w:val="0"/>
      <w:divBdr>
        <w:top w:val="none" w:sz="0" w:space="0" w:color="auto"/>
        <w:left w:val="none" w:sz="0" w:space="0" w:color="auto"/>
        <w:bottom w:val="none" w:sz="0" w:space="0" w:color="auto"/>
        <w:right w:val="none" w:sz="0" w:space="0" w:color="auto"/>
      </w:divBdr>
    </w:div>
    <w:div w:id="201156622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footer" Target="footer4.xml"/><Relationship Id="rId26" Type="http://schemas.openxmlformats.org/officeDocument/2006/relationships/image" Target="media/image15.pn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0.png"/><Relationship Id="rId34" Type="http://schemas.openxmlformats.org/officeDocument/2006/relationships/hyperlink" Target="http://www.smeru.or.id/newslet/2004/%20news09.%20pdf" TargetMode="External"/><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4.png"/><Relationship Id="rId33" Type="http://schemas.openxmlformats.org/officeDocument/2006/relationships/hyperlink" Target="http://siteresources.worldbank.org/INTINDONESIA/Resources/Human/childmort.pdf"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9.png"/><Relationship Id="rId29" Type="http://schemas.openxmlformats.org/officeDocument/2006/relationships/image" Target="media/image18.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emf"/><Relationship Id="rId24" Type="http://schemas.openxmlformats.org/officeDocument/2006/relationships/image" Target="media/image13.png"/><Relationship Id="rId32" Type="http://schemas.openxmlformats.org/officeDocument/2006/relationships/image" Target="media/image21.emf"/><Relationship Id="rId37"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2.png"/><Relationship Id="rId28" Type="http://schemas.openxmlformats.org/officeDocument/2006/relationships/image" Target="media/image17.emf"/><Relationship Id="rId36" Type="http://schemas.openxmlformats.org/officeDocument/2006/relationships/hyperlink" Target="http://www.who.int/whosis/whostat/EN_WHS08_Full.pdf" TargetMode="External"/><Relationship Id="rId10" Type="http://schemas.openxmlformats.org/officeDocument/2006/relationships/footer" Target="footer3.xml"/><Relationship Id="rId19" Type="http://schemas.openxmlformats.org/officeDocument/2006/relationships/footer" Target="footer5.xml"/><Relationship Id="rId31" Type="http://schemas.openxmlformats.org/officeDocument/2006/relationships/image" Target="media/image20.emf"/><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image" Target="media/image16.emf"/><Relationship Id="rId30" Type="http://schemas.openxmlformats.org/officeDocument/2006/relationships/image" Target="media/image19.emf"/><Relationship Id="rId35" Type="http://schemas.openxmlformats.org/officeDocument/2006/relationships/hyperlink" Target="http://www.childinfo.org/files/%20infant_child_%20mortality_2006.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E:\RP\RP%20Writing\ISS_research_paper_template_March_2009.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ISS_research_paper_template_March_2009.dot</Template>
  <TotalTime>0</TotalTime>
  <Pages>36</Pages>
  <Words>16356</Words>
  <Characters>-32766</Characters>
  <Application>Microsoft Office Outlook</Application>
  <DocSecurity>0</DocSecurity>
  <Lines>0</Lines>
  <Paragraphs>0</Paragraphs>
  <ScaleCrop>false</ScaleCrop>
  <Company>Institute of Social Studies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subject/>
  <dc:creator>M. Faiz Alamsyah</dc:creator>
  <cp:keywords/>
  <dc:description/>
  <cp:lastModifiedBy>KINGDON</cp:lastModifiedBy>
  <cp:revision>2</cp:revision>
  <cp:lastPrinted>2009-08-27T16:10:00Z</cp:lastPrinted>
  <dcterms:created xsi:type="dcterms:W3CDTF">2009-11-05T16:00:00Z</dcterms:created>
  <dcterms:modified xsi:type="dcterms:W3CDTF">2009-11-05T16:00:00Z</dcterms:modified>
</cp:coreProperties>
</file>