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6956" w:rsidRPr="00484DAF" w:rsidRDefault="00D46956" w:rsidP="00CC552D">
      <w:pPr>
        <w:spacing w:after="0" w:line="360" w:lineRule="auto"/>
        <w:rPr>
          <w:sz w:val="24"/>
          <w:szCs w:val="24"/>
        </w:rPr>
      </w:pPr>
      <w:r w:rsidRPr="00484DAF">
        <w:rPr>
          <w:b/>
          <w:sz w:val="24"/>
          <w:szCs w:val="24"/>
        </w:rPr>
        <w:t>ERASMUS UNIVERSITEIT ROTTERDAM</w:t>
      </w:r>
      <w:r w:rsidRPr="00484DAF">
        <w:rPr>
          <w:sz w:val="24"/>
          <w:szCs w:val="24"/>
        </w:rPr>
        <w:t xml:space="preserve"> </w:t>
      </w:r>
      <w:r w:rsidRPr="00484DAF">
        <w:rPr>
          <w:sz w:val="24"/>
          <w:szCs w:val="24"/>
        </w:rPr>
        <w:tab/>
      </w:r>
      <w:r w:rsidR="00B00E2C" w:rsidRPr="00484DAF">
        <w:rPr>
          <w:sz w:val="24"/>
          <w:szCs w:val="24"/>
        </w:rPr>
        <w:t xml:space="preserve"> </w:t>
      </w:r>
      <w:r w:rsidRPr="00484DAF">
        <w:rPr>
          <w:sz w:val="24"/>
          <w:szCs w:val="24"/>
        </w:rPr>
        <w:tab/>
      </w:r>
      <w:r w:rsidR="00F75A3F" w:rsidRPr="00484DAF">
        <w:rPr>
          <w:sz w:val="24"/>
          <w:szCs w:val="24"/>
        </w:rPr>
        <w:tab/>
      </w:r>
      <w:r w:rsidRPr="00484DAF">
        <w:rPr>
          <w:sz w:val="24"/>
          <w:szCs w:val="24"/>
        </w:rPr>
        <w:tab/>
        <w:t xml:space="preserve"> Nadruk verboden</w:t>
      </w:r>
    </w:p>
    <w:p w:rsidR="00D46956" w:rsidRPr="00484DAF" w:rsidRDefault="00D46956" w:rsidP="00CC552D">
      <w:pPr>
        <w:spacing w:after="0" w:line="360" w:lineRule="auto"/>
        <w:rPr>
          <w:b/>
          <w:sz w:val="24"/>
          <w:szCs w:val="24"/>
        </w:rPr>
      </w:pPr>
      <w:r w:rsidRPr="00484DAF">
        <w:rPr>
          <w:b/>
          <w:sz w:val="24"/>
          <w:szCs w:val="24"/>
        </w:rPr>
        <w:t>Faculteit der Economische Wetenschappen</w:t>
      </w:r>
    </w:p>
    <w:p w:rsidR="00D46956" w:rsidRPr="00484DAF" w:rsidRDefault="00D46956" w:rsidP="00CC552D">
      <w:pPr>
        <w:spacing w:after="0" w:line="360" w:lineRule="auto"/>
        <w:rPr>
          <w:b/>
          <w:sz w:val="24"/>
          <w:szCs w:val="24"/>
        </w:rPr>
      </w:pPr>
      <w:r w:rsidRPr="00484DAF">
        <w:rPr>
          <w:b/>
          <w:sz w:val="24"/>
          <w:szCs w:val="24"/>
        </w:rPr>
        <w:t>Masterscriptie</w:t>
      </w:r>
    </w:p>
    <w:p w:rsidR="00D46956" w:rsidRPr="00484DAF" w:rsidRDefault="00D46956" w:rsidP="00CC552D">
      <w:pPr>
        <w:spacing w:after="0" w:line="360" w:lineRule="auto"/>
        <w:rPr>
          <w:sz w:val="24"/>
          <w:szCs w:val="24"/>
        </w:rPr>
      </w:pPr>
    </w:p>
    <w:p w:rsidR="00D46956" w:rsidRPr="00484DAF" w:rsidRDefault="00D46956" w:rsidP="00CC552D">
      <w:pPr>
        <w:pStyle w:val="Inhopg1"/>
        <w:tabs>
          <w:tab w:val="right" w:leader="dot" w:pos="9062"/>
        </w:tabs>
        <w:spacing w:after="0" w:line="360" w:lineRule="auto"/>
        <w:rPr>
          <w:sz w:val="24"/>
          <w:szCs w:val="24"/>
        </w:rPr>
      </w:pPr>
    </w:p>
    <w:p w:rsidR="00D46956" w:rsidRPr="00484DAF" w:rsidRDefault="00D46956" w:rsidP="00CC552D">
      <w:pPr>
        <w:pStyle w:val="Inhopg1"/>
        <w:tabs>
          <w:tab w:val="right" w:leader="dot" w:pos="9062"/>
        </w:tabs>
        <w:spacing w:after="0" w:line="360" w:lineRule="auto"/>
        <w:rPr>
          <w:sz w:val="24"/>
          <w:szCs w:val="24"/>
        </w:rPr>
      </w:pPr>
    </w:p>
    <w:p w:rsidR="00D46956" w:rsidRPr="00484DAF" w:rsidRDefault="00D46956" w:rsidP="00CC552D">
      <w:pPr>
        <w:pStyle w:val="Inhopg1"/>
        <w:tabs>
          <w:tab w:val="right" w:leader="dot" w:pos="9062"/>
        </w:tabs>
        <w:spacing w:after="0" w:line="360" w:lineRule="auto"/>
        <w:rPr>
          <w:sz w:val="24"/>
          <w:szCs w:val="24"/>
        </w:rPr>
      </w:pPr>
    </w:p>
    <w:p w:rsidR="00D46956" w:rsidRPr="00484DAF" w:rsidRDefault="00D46956" w:rsidP="00CC552D">
      <w:pPr>
        <w:pStyle w:val="Inhopg1"/>
        <w:tabs>
          <w:tab w:val="right" w:leader="dot" w:pos="9062"/>
        </w:tabs>
        <w:spacing w:after="0" w:line="360" w:lineRule="auto"/>
        <w:rPr>
          <w:sz w:val="24"/>
          <w:szCs w:val="24"/>
        </w:rPr>
      </w:pPr>
    </w:p>
    <w:p w:rsidR="00D46956" w:rsidRPr="00484DAF" w:rsidRDefault="00D46956" w:rsidP="00CC552D">
      <w:pPr>
        <w:pStyle w:val="Inhopg1"/>
        <w:tabs>
          <w:tab w:val="right" w:leader="dot" w:pos="9062"/>
        </w:tabs>
        <w:spacing w:after="0" w:line="360" w:lineRule="auto"/>
        <w:rPr>
          <w:sz w:val="24"/>
          <w:szCs w:val="24"/>
        </w:rPr>
      </w:pPr>
    </w:p>
    <w:p w:rsidR="00D46956" w:rsidRPr="00484DAF" w:rsidRDefault="00D46956" w:rsidP="00CC552D">
      <w:pPr>
        <w:pStyle w:val="Inhopg1"/>
        <w:tabs>
          <w:tab w:val="right" w:leader="dot" w:pos="9062"/>
        </w:tabs>
        <w:spacing w:after="0" w:line="360" w:lineRule="auto"/>
        <w:rPr>
          <w:sz w:val="24"/>
          <w:szCs w:val="24"/>
        </w:rPr>
      </w:pPr>
    </w:p>
    <w:p w:rsidR="00D46956" w:rsidRPr="00484DAF" w:rsidRDefault="00D46956" w:rsidP="00CC552D">
      <w:pPr>
        <w:pStyle w:val="Inhopg1"/>
        <w:tabs>
          <w:tab w:val="right" w:leader="dot" w:pos="9062"/>
        </w:tabs>
        <w:spacing w:after="0" w:line="360" w:lineRule="auto"/>
        <w:rPr>
          <w:sz w:val="24"/>
          <w:szCs w:val="24"/>
        </w:rPr>
      </w:pPr>
    </w:p>
    <w:p w:rsidR="00D46956" w:rsidRPr="00484DAF" w:rsidRDefault="00D46956" w:rsidP="00CC552D">
      <w:pPr>
        <w:pStyle w:val="Inhopg1"/>
        <w:tabs>
          <w:tab w:val="right" w:leader="dot" w:pos="9062"/>
        </w:tabs>
        <w:spacing w:after="0" w:line="360" w:lineRule="auto"/>
        <w:rPr>
          <w:sz w:val="24"/>
          <w:szCs w:val="24"/>
        </w:rPr>
      </w:pPr>
    </w:p>
    <w:p w:rsidR="00D46956" w:rsidRPr="00484DAF" w:rsidRDefault="00D46956" w:rsidP="00CC552D">
      <w:pPr>
        <w:pStyle w:val="Inhopg1"/>
        <w:tabs>
          <w:tab w:val="right" w:leader="dot" w:pos="9062"/>
        </w:tabs>
        <w:spacing w:after="0" w:line="360" w:lineRule="auto"/>
        <w:rPr>
          <w:sz w:val="24"/>
          <w:szCs w:val="24"/>
        </w:rPr>
      </w:pPr>
    </w:p>
    <w:p w:rsidR="00D46956" w:rsidRPr="00484DAF" w:rsidRDefault="00D46956" w:rsidP="00CC552D">
      <w:pPr>
        <w:pStyle w:val="Inhopg1"/>
        <w:tabs>
          <w:tab w:val="right" w:leader="dot" w:pos="9062"/>
        </w:tabs>
        <w:spacing w:after="0" w:line="360" w:lineRule="auto"/>
        <w:rPr>
          <w:sz w:val="24"/>
          <w:szCs w:val="24"/>
        </w:rPr>
      </w:pPr>
    </w:p>
    <w:p w:rsidR="00CC552D" w:rsidRPr="00484DAF" w:rsidRDefault="00D46956" w:rsidP="00CC552D">
      <w:pPr>
        <w:spacing w:after="0" w:line="360" w:lineRule="auto"/>
        <w:jc w:val="center"/>
        <w:rPr>
          <w:b/>
          <w:sz w:val="32"/>
          <w:szCs w:val="32"/>
        </w:rPr>
      </w:pPr>
      <w:r w:rsidRPr="00484DAF">
        <w:rPr>
          <w:b/>
          <w:sz w:val="32"/>
          <w:szCs w:val="32"/>
        </w:rPr>
        <w:t xml:space="preserve">Tijd voor </w:t>
      </w:r>
      <w:r w:rsidR="00FA4FAA" w:rsidRPr="00484DAF">
        <w:rPr>
          <w:b/>
          <w:sz w:val="32"/>
          <w:szCs w:val="32"/>
        </w:rPr>
        <w:t>‘</w:t>
      </w:r>
      <w:r w:rsidRPr="00484DAF">
        <w:rPr>
          <w:b/>
          <w:sz w:val="32"/>
          <w:szCs w:val="32"/>
        </w:rPr>
        <w:t>vervaardiging</w:t>
      </w:r>
      <w:r w:rsidR="00FA4FAA" w:rsidRPr="00484DAF">
        <w:rPr>
          <w:b/>
          <w:sz w:val="32"/>
          <w:szCs w:val="32"/>
        </w:rPr>
        <w:t>’</w:t>
      </w:r>
      <w:r w:rsidRPr="00484DAF">
        <w:rPr>
          <w:b/>
          <w:sz w:val="32"/>
          <w:szCs w:val="32"/>
        </w:rPr>
        <w:t xml:space="preserve"> van nieuw</w:t>
      </w:r>
      <w:r w:rsidR="001B6133" w:rsidRPr="00484DAF">
        <w:rPr>
          <w:b/>
          <w:sz w:val="32"/>
          <w:szCs w:val="32"/>
        </w:rPr>
        <w:t>e</w:t>
      </w:r>
      <w:r w:rsidRPr="00484DAF">
        <w:rPr>
          <w:b/>
          <w:sz w:val="32"/>
          <w:szCs w:val="32"/>
        </w:rPr>
        <w:t xml:space="preserve"> </w:t>
      </w:r>
      <w:r w:rsidR="00FA4FAA" w:rsidRPr="00484DAF">
        <w:rPr>
          <w:b/>
          <w:sz w:val="32"/>
          <w:szCs w:val="32"/>
        </w:rPr>
        <w:t>begrip</w:t>
      </w:r>
      <w:r w:rsidR="001B6133" w:rsidRPr="00484DAF">
        <w:rPr>
          <w:b/>
          <w:sz w:val="32"/>
          <w:szCs w:val="32"/>
        </w:rPr>
        <w:t xml:space="preserve">pen </w:t>
      </w:r>
    </w:p>
    <w:p w:rsidR="00D46956" w:rsidRPr="00484DAF" w:rsidRDefault="001B6133" w:rsidP="00CC552D">
      <w:pPr>
        <w:spacing w:after="0" w:line="360" w:lineRule="auto"/>
        <w:jc w:val="center"/>
        <w:rPr>
          <w:b/>
          <w:sz w:val="32"/>
          <w:szCs w:val="32"/>
        </w:rPr>
      </w:pPr>
      <w:r w:rsidRPr="00484DAF">
        <w:rPr>
          <w:b/>
          <w:sz w:val="32"/>
          <w:szCs w:val="32"/>
        </w:rPr>
        <w:t>‘gebouw’ en ‘bouwterrein’</w:t>
      </w:r>
      <w:r w:rsidR="00D46956" w:rsidRPr="00484DAF">
        <w:rPr>
          <w:b/>
          <w:sz w:val="32"/>
          <w:szCs w:val="32"/>
        </w:rPr>
        <w:t>?!</w:t>
      </w:r>
    </w:p>
    <w:p w:rsidR="00D46956" w:rsidRPr="00484DAF" w:rsidRDefault="00D46956" w:rsidP="00CC552D">
      <w:pPr>
        <w:spacing w:after="0" w:line="360" w:lineRule="auto"/>
        <w:rPr>
          <w:sz w:val="24"/>
          <w:szCs w:val="24"/>
        </w:rPr>
      </w:pPr>
    </w:p>
    <w:p w:rsidR="00D46956" w:rsidRPr="00484DAF" w:rsidRDefault="00D46956" w:rsidP="00CC552D">
      <w:pPr>
        <w:spacing w:after="0" w:line="360" w:lineRule="auto"/>
        <w:rPr>
          <w:sz w:val="24"/>
          <w:szCs w:val="24"/>
        </w:rPr>
      </w:pPr>
    </w:p>
    <w:p w:rsidR="00D46956" w:rsidRPr="00484DAF" w:rsidRDefault="00D46956" w:rsidP="00CC552D">
      <w:pPr>
        <w:spacing w:after="0" w:line="360" w:lineRule="auto"/>
        <w:rPr>
          <w:sz w:val="24"/>
          <w:szCs w:val="24"/>
        </w:rPr>
      </w:pPr>
    </w:p>
    <w:p w:rsidR="00D46956" w:rsidRPr="00484DAF" w:rsidRDefault="00D46956" w:rsidP="00CC552D">
      <w:pPr>
        <w:spacing w:after="0" w:line="360" w:lineRule="auto"/>
        <w:rPr>
          <w:sz w:val="24"/>
          <w:szCs w:val="24"/>
          <w:lang w:eastAsia="nl-NL"/>
        </w:rPr>
      </w:pPr>
    </w:p>
    <w:p w:rsidR="00D46956" w:rsidRPr="00484DAF" w:rsidRDefault="00D46956" w:rsidP="00CC552D">
      <w:pPr>
        <w:spacing w:after="0" w:line="360" w:lineRule="auto"/>
        <w:rPr>
          <w:sz w:val="24"/>
          <w:szCs w:val="24"/>
          <w:lang w:eastAsia="nl-NL"/>
        </w:rPr>
      </w:pPr>
    </w:p>
    <w:p w:rsidR="00D46956" w:rsidRPr="00484DAF" w:rsidRDefault="00D46956" w:rsidP="00CC552D">
      <w:pPr>
        <w:pStyle w:val="Inhopg1"/>
        <w:tabs>
          <w:tab w:val="right" w:leader="dot" w:pos="9062"/>
        </w:tabs>
        <w:spacing w:after="0" w:line="360" w:lineRule="auto"/>
        <w:rPr>
          <w:sz w:val="24"/>
          <w:szCs w:val="24"/>
        </w:rPr>
      </w:pPr>
    </w:p>
    <w:p w:rsidR="00D46956" w:rsidRPr="00484DAF" w:rsidRDefault="00D46956" w:rsidP="00CC552D">
      <w:pPr>
        <w:pStyle w:val="Inhopg1"/>
        <w:tabs>
          <w:tab w:val="right" w:leader="dot" w:pos="9062"/>
        </w:tabs>
        <w:spacing w:after="0" w:line="360" w:lineRule="auto"/>
        <w:rPr>
          <w:sz w:val="24"/>
          <w:szCs w:val="24"/>
        </w:rPr>
      </w:pPr>
    </w:p>
    <w:p w:rsidR="00F75A3F" w:rsidRPr="00484DAF" w:rsidRDefault="00F75A3F" w:rsidP="00CC552D">
      <w:pPr>
        <w:pStyle w:val="Geenafstand"/>
        <w:spacing w:line="360" w:lineRule="auto"/>
        <w:rPr>
          <w:sz w:val="24"/>
          <w:szCs w:val="24"/>
        </w:rPr>
      </w:pPr>
    </w:p>
    <w:p w:rsidR="00F75A3F" w:rsidRPr="00484DAF" w:rsidRDefault="00F75A3F" w:rsidP="00CC552D">
      <w:pPr>
        <w:pStyle w:val="Geenafstand"/>
        <w:spacing w:line="360" w:lineRule="auto"/>
        <w:rPr>
          <w:sz w:val="24"/>
          <w:szCs w:val="24"/>
        </w:rPr>
      </w:pPr>
    </w:p>
    <w:p w:rsidR="00F75A3F" w:rsidRPr="00484DAF" w:rsidRDefault="00F75A3F" w:rsidP="00CC552D">
      <w:pPr>
        <w:pStyle w:val="Geenafstand"/>
        <w:spacing w:line="360" w:lineRule="auto"/>
        <w:rPr>
          <w:sz w:val="24"/>
          <w:szCs w:val="24"/>
        </w:rPr>
      </w:pPr>
    </w:p>
    <w:p w:rsidR="00F75A3F" w:rsidRPr="00484DAF" w:rsidRDefault="00F75A3F" w:rsidP="00CC552D">
      <w:pPr>
        <w:pStyle w:val="Geenafstand"/>
        <w:spacing w:line="360" w:lineRule="auto"/>
        <w:rPr>
          <w:sz w:val="24"/>
          <w:szCs w:val="24"/>
        </w:rPr>
      </w:pPr>
    </w:p>
    <w:p w:rsidR="00F75A3F" w:rsidRPr="00484DAF" w:rsidRDefault="00F75A3F" w:rsidP="00CC552D">
      <w:pPr>
        <w:pStyle w:val="Geenafstand"/>
        <w:spacing w:line="360" w:lineRule="auto"/>
        <w:rPr>
          <w:sz w:val="24"/>
          <w:szCs w:val="24"/>
        </w:rPr>
      </w:pPr>
    </w:p>
    <w:p w:rsidR="00F75A3F" w:rsidRPr="00484DAF" w:rsidRDefault="00F75A3F" w:rsidP="00CC552D">
      <w:pPr>
        <w:pStyle w:val="Geenafstand"/>
        <w:spacing w:line="360" w:lineRule="auto"/>
        <w:rPr>
          <w:sz w:val="24"/>
          <w:szCs w:val="24"/>
        </w:rPr>
      </w:pPr>
    </w:p>
    <w:p w:rsidR="00D46956" w:rsidRPr="00484DAF" w:rsidRDefault="00D46956" w:rsidP="00CC552D">
      <w:pPr>
        <w:spacing w:after="0" w:line="360" w:lineRule="auto"/>
        <w:rPr>
          <w:sz w:val="24"/>
          <w:szCs w:val="24"/>
          <w:lang w:val="pt-BR"/>
        </w:rPr>
      </w:pPr>
      <w:r w:rsidRPr="00484DAF">
        <w:rPr>
          <w:sz w:val="24"/>
          <w:szCs w:val="24"/>
          <w:lang w:val="pt-BR"/>
        </w:rPr>
        <w:t>Naam: M.D.C. Gomes Vale Viga</w:t>
      </w:r>
    </w:p>
    <w:p w:rsidR="00D46956" w:rsidRPr="00484DAF" w:rsidRDefault="00D46956" w:rsidP="00CC552D">
      <w:pPr>
        <w:spacing w:after="0" w:line="360" w:lineRule="auto"/>
        <w:rPr>
          <w:sz w:val="24"/>
          <w:szCs w:val="24"/>
        </w:rPr>
      </w:pPr>
      <w:r w:rsidRPr="00484DAF">
        <w:rPr>
          <w:sz w:val="24"/>
          <w:szCs w:val="24"/>
        </w:rPr>
        <w:t>Studentnummer: 279621</w:t>
      </w:r>
    </w:p>
    <w:p w:rsidR="00D46956" w:rsidRPr="00484DAF" w:rsidRDefault="00D46956" w:rsidP="00CC552D">
      <w:pPr>
        <w:spacing w:after="0" w:line="360" w:lineRule="auto"/>
        <w:rPr>
          <w:sz w:val="24"/>
          <w:szCs w:val="24"/>
        </w:rPr>
      </w:pPr>
      <w:r w:rsidRPr="00484DAF">
        <w:rPr>
          <w:sz w:val="24"/>
          <w:szCs w:val="24"/>
        </w:rPr>
        <w:t>Begeleider: drs. P.C.J. Oerlemans</w:t>
      </w:r>
    </w:p>
    <w:p w:rsidR="00D46956" w:rsidRPr="00484DAF" w:rsidRDefault="00D46956" w:rsidP="00CC552D">
      <w:pPr>
        <w:spacing w:after="0" w:line="360" w:lineRule="auto"/>
        <w:rPr>
          <w:rFonts w:eastAsia="Times New Roman"/>
          <w:b/>
          <w:bCs/>
          <w:sz w:val="24"/>
          <w:szCs w:val="24"/>
        </w:rPr>
      </w:pPr>
      <w:r w:rsidRPr="00484DAF">
        <w:rPr>
          <w:sz w:val="24"/>
          <w:szCs w:val="24"/>
        </w:rPr>
        <w:t xml:space="preserve">Rotterdam, </w:t>
      </w:r>
      <w:r w:rsidR="00557A1F" w:rsidRPr="00484DAF">
        <w:rPr>
          <w:sz w:val="24"/>
          <w:szCs w:val="24"/>
        </w:rPr>
        <w:t>18</w:t>
      </w:r>
      <w:r w:rsidR="00267A5C" w:rsidRPr="00484DAF">
        <w:rPr>
          <w:sz w:val="24"/>
          <w:szCs w:val="24"/>
        </w:rPr>
        <w:t xml:space="preserve"> </w:t>
      </w:r>
      <w:r w:rsidR="007D69E2" w:rsidRPr="00484DAF">
        <w:rPr>
          <w:sz w:val="24"/>
          <w:szCs w:val="24"/>
        </w:rPr>
        <w:t xml:space="preserve">februari </w:t>
      </w:r>
      <w:r w:rsidR="00BD660B">
        <w:rPr>
          <w:sz w:val="24"/>
          <w:szCs w:val="24"/>
        </w:rPr>
        <w:t>2010</w:t>
      </w:r>
      <w:r w:rsidRPr="00484DAF">
        <w:rPr>
          <w:sz w:val="24"/>
          <w:szCs w:val="24"/>
        </w:rPr>
        <w:br w:type="page"/>
      </w:r>
    </w:p>
    <w:p w:rsidR="00221A90" w:rsidRPr="00484DAF" w:rsidRDefault="00221A90" w:rsidP="00CC552D">
      <w:pPr>
        <w:pStyle w:val="Kop1"/>
        <w:spacing w:before="0" w:line="360" w:lineRule="auto"/>
        <w:rPr>
          <w:rFonts w:ascii="Times New Roman" w:hAnsi="Times New Roman"/>
          <w:color w:val="auto"/>
          <w:sz w:val="24"/>
          <w:szCs w:val="24"/>
        </w:rPr>
      </w:pPr>
      <w:bookmarkStart w:id="0" w:name="_Toc254043874"/>
      <w:r w:rsidRPr="00484DAF">
        <w:rPr>
          <w:rFonts w:ascii="Times New Roman" w:hAnsi="Times New Roman"/>
          <w:color w:val="auto"/>
          <w:sz w:val="24"/>
          <w:szCs w:val="24"/>
        </w:rPr>
        <w:lastRenderedPageBreak/>
        <w:t>Voorwoord</w:t>
      </w:r>
      <w:bookmarkEnd w:id="0"/>
    </w:p>
    <w:p w:rsidR="006C57DC" w:rsidRPr="00484DAF" w:rsidRDefault="00221A90" w:rsidP="00CC552D">
      <w:pPr>
        <w:spacing w:after="0" w:line="360" w:lineRule="auto"/>
        <w:rPr>
          <w:sz w:val="24"/>
          <w:szCs w:val="24"/>
        </w:rPr>
      </w:pPr>
      <w:r w:rsidRPr="00484DAF">
        <w:rPr>
          <w:sz w:val="24"/>
          <w:szCs w:val="24"/>
        </w:rPr>
        <w:t>Vanaf deze plek wil ik graag eenieder bedanken die mij tijdens het schrijven van deze scriptie heeft gesteund</w:t>
      </w:r>
      <w:r w:rsidR="00EE1D39" w:rsidRPr="00484DAF">
        <w:rPr>
          <w:sz w:val="24"/>
          <w:szCs w:val="24"/>
        </w:rPr>
        <w:t xml:space="preserve"> en geholpen</w:t>
      </w:r>
      <w:r w:rsidRPr="00484DAF">
        <w:rPr>
          <w:sz w:val="24"/>
          <w:szCs w:val="24"/>
        </w:rPr>
        <w:t xml:space="preserve">. </w:t>
      </w:r>
      <w:r w:rsidR="00D36745" w:rsidRPr="00484DAF">
        <w:rPr>
          <w:sz w:val="24"/>
          <w:szCs w:val="24"/>
          <w:lang w:val="en-US"/>
        </w:rPr>
        <w:t xml:space="preserve">Daarbij geldt het aloude adagium: </w:t>
      </w:r>
      <w:r w:rsidR="00D36745" w:rsidRPr="00484DAF">
        <w:rPr>
          <w:i/>
          <w:sz w:val="24"/>
          <w:szCs w:val="24"/>
          <w:lang w:val="en-US"/>
        </w:rPr>
        <w:t>‘No road is long with good company.’</w:t>
      </w:r>
      <w:r w:rsidR="00D36745" w:rsidRPr="00484DAF">
        <w:rPr>
          <w:sz w:val="24"/>
          <w:szCs w:val="24"/>
          <w:lang w:val="en-US"/>
        </w:rPr>
        <w:t xml:space="preserve"> </w:t>
      </w:r>
      <w:r w:rsidR="005C38DD" w:rsidRPr="00484DAF">
        <w:rPr>
          <w:sz w:val="24"/>
          <w:szCs w:val="24"/>
        </w:rPr>
        <w:t xml:space="preserve">Zo er </w:t>
      </w:r>
      <w:r w:rsidR="001C129E" w:rsidRPr="00484DAF">
        <w:rPr>
          <w:sz w:val="24"/>
          <w:szCs w:val="24"/>
        </w:rPr>
        <w:t xml:space="preserve">op die weg moeilijke momenten </w:t>
      </w:r>
      <w:r w:rsidR="005C38DD" w:rsidRPr="00484DAF">
        <w:rPr>
          <w:sz w:val="24"/>
          <w:szCs w:val="24"/>
        </w:rPr>
        <w:t>waren</w:t>
      </w:r>
      <w:r w:rsidR="002237E4" w:rsidRPr="00484DAF">
        <w:rPr>
          <w:sz w:val="24"/>
          <w:szCs w:val="24"/>
        </w:rPr>
        <w:t xml:space="preserve">, </w:t>
      </w:r>
      <w:r w:rsidR="005C38DD" w:rsidRPr="00484DAF">
        <w:rPr>
          <w:sz w:val="24"/>
          <w:szCs w:val="24"/>
        </w:rPr>
        <w:t xml:space="preserve">zei gelukkig altijd wel </w:t>
      </w:r>
      <w:r w:rsidR="001934DB" w:rsidRPr="00484DAF">
        <w:rPr>
          <w:sz w:val="24"/>
          <w:szCs w:val="24"/>
        </w:rPr>
        <w:t>Iemand</w:t>
      </w:r>
      <w:r w:rsidR="002237E4" w:rsidRPr="00484DAF">
        <w:rPr>
          <w:sz w:val="24"/>
          <w:szCs w:val="24"/>
        </w:rPr>
        <w:t xml:space="preserve">: </w:t>
      </w:r>
      <w:r w:rsidR="002237E4" w:rsidRPr="00484DAF">
        <w:rPr>
          <w:i/>
          <w:sz w:val="24"/>
          <w:szCs w:val="24"/>
        </w:rPr>
        <w:t>‘Sta op en eet wat, anders is de reis te zwaar voor je.’</w:t>
      </w:r>
      <w:r w:rsidR="002237E4" w:rsidRPr="00484DAF">
        <w:rPr>
          <w:rStyle w:val="Voetnootmarkering"/>
          <w:i/>
          <w:sz w:val="24"/>
          <w:szCs w:val="24"/>
        </w:rPr>
        <w:footnoteReference w:id="1"/>
      </w:r>
    </w:p>
    <w:p w:rsidR="007D69E2" w:rsidRPr="00484DAF" w:rsidRDefault="007D69E2" w:rsidP="00CC552D">
      <w:pPr>
        <w:pStyle w:val="Geenafstand"/>
        <w:spacing w:line="360" w:lineRule="auto"/>
        <w:rPr>
          <w:sz w:val="24"/>
          <w:szCs w:val="24"/>
        </w:rPr>
      </w:pPr>
    </w:p>
    <w:p w:rsidR="001934DB" w:rsidRPr="00484DAF" w:rsidRDefault="00221A90" w:rsidP="00CC552D">
      <w:pPr>
        <w:spacing w:after="0" w:line="360" w:lineRule="auto"/>
        <w:rPr>
          <w:sz w:val="24"/>
          <w:szCs w:val="24"/>
        </w:rPr>
      </w:pPr>
      <w:r w:rsidRPr="00484DAF">
        <w:rPr>
          <w:sz w:val="24"/>
          <w:szCs w:val="24"/>
        </w:rPr>
        <w:t xml:space="preserve">Speciaal dankwoord </w:t>
      </w:r>
      <w:r w:rsidR="00812951" w:rsidRPr="00484DAF">
        <w:rPr>
          <w:sz w:val="24"/>
          <w:szCs w:val="24"/>
        </w:rPr>
        <w:t xml:space="preserve">tot slot </w:t>
      </w:r>
      <w:r w:rsidRPr="00484DAF">
        <w:rPr>
          <w:sz w:val="24"/>
          <w:szCs w:val="24"/>
        </w:rPr>
        <w:t>in het Portugees opdat ik mijn achtergrond niet verloochen:</w:t>
      </w:r>
      <w:r w:rsidR="00D417EA" w:rsidRPr="00484DAF">
        <w:rPr>
          <w:sz w:val="24"/>
          <w:szCs w:val="24"/>
        </w:rPr>
        <w:t xml:space="preserve"> </w:t>
      </w:r>
    </w:p>
    <w:p w:rsidR="00221A90" w:rsidRPr="00484DAF" w:rsidRDefault="00015D05" w:rsidP="00CC552D">
      <w:pPr>
        <w:spacing w:after="0" w:line="360" w:lineRule="auto"/>
        <w:rPr>
          <w:i/>
          <w:sz w:val="24"/>
          <w:szCs w:val="24"/>
          <w:lang w:val="pt-BR"/>
        </w:rPr>
      </w:pPr>
      <w:r w:rsidRPr="00484DAF">
        <w:rPr>
          <w:i/>
          <w:sz w:val="24"/>
          <w:szCs w:val="24"/>
          <w:lang w:val="pt-BR"/>
        </w:rPr>
        <w:t xml:space="preserve">Esta tese foi escrita em honra daqueles que deixaram a sua pátria para nos poder oferecer uma vida melhor e daqueles que permitiram a sua partida porque se identicaram com a sua causa. </w:t>
      </w:r>
      <w:r w:rsidR="00221A90" w:rsidRPr="00484DAF">
        <w:rPr>
          <w:i/>
          <w:sz w:val="24"/>
          <w:szCs w:val="24"/>
          <w:lang w:val="pt-BR"/>
        </w:rPr>
        <w:t>Obrigado por tudo!</w:t>
      </w:r>
      <w:r w:rsidR="00221A90" w:rsidRPr="00484DAF">
        <w:rPr>
          <w:rStyle w:val="Voetnootmarkering"/>
          <w:i/>
          <w:sz w:val="24"/>
          <w:szCs w:val="24"/>
          <w:lang w:val="pt-BR"/>
        </w:rPr>
        <w:footnoteReference w:id="2"/>
      </w:r>
    </w:p>
    <w:p w:rsidR="007D69E2" w:rsidRPr="00484DAF" w:rsidRDefault="007D69E2" w:rsidP="00CC552D">
      <w:pPr>
        <w:spacing w:after="0" w:line="360" w:lineRule="auto"/>
        <w:rPr>
          <w:sz w:val="24"/>
          <w:szCs w:val="24"/>
          <w:lang w:val="pt-BR"/>
        </w:rPr>
      </w:pPr>
    </w:p>
    <w:p w:rsidR="00015D05" w:rsidRPr="00484DAF" w:rsidRDefault="00C548D8" w:rsidP="00CC552D">
      <w:pPr>
        <w:spacing w:after="0" w:line="360" w:lineRule="auto"/>
        <w:rPr>
          <w:sz w:val="24"/>
          <w:szCs w:val="24"/>
          <w:lang w:val="pt-BR"/>
        </w:rPr>
      </w:pPr>
      <w:r w:rsidRPr="00484DAF">
        <w:rPr>
          <w:sz w:val="24"/>
          <w:szCs w:val="24"/>
          <w:lang w:val="pt-BR"/>
        </w:rPr>
        <w:t>Was getekend,</w:t>
      </w:r>
    </w:p>
    <w:p w:rsidR="00015D05" w:rsidRPr="00484DAF" w:rsidRDefault="00015D05" w:rsidP="00CC552D">
      <w:pPr>
        <w:pStyle w:val="Geenafstand"/>
        <w:spacing w:line="360" w:lineRule="auto"/>
        <w:rPr>
          <w:sz w:val="24"/>
          <w:szCs w:val="24"/>
          <w:lang w:val="pt-BR"/>
        </w:rPr>
      </w:pPr>
    </w:p>
    <w:p w:rsidR="00620055" w:rsidRPr="00484DAF" w:rsidRDefault="00620055" w:rsidP="00CC552D">
      <w:pPr>
        <w:pStyle w:val="Geenafstand"/>
        <w:spacing w:line="360" w:lineRule="auto"/>
        <w:rPr>
          <w:sz w:val="24"/>
          <w:szCs w:val="24"/>
          <w:lang w:val="pt-BR"/>
        </w:rPr>
      </w:pPr>
    </w:p>
    <w:p w:rsidR="00221A90" w:rsidRPr="00484DAF" w:rsidRDefault="00C548D8" w:rsidP="00CC552D">
      <w:pPr>
        <w:spacing w:after="0" w:line="360" w:lineRule="auto"/>
        <w:rPr>
          <w:sz w:val="24"/>
          <w:szCs w:val="24"/>
          <w:lang w:val="pt-BR"/>
        </w:rPr>
      </w:pPr>
      <w:r w:rsidRPr="00484DAF">
        <w:rPr>
          <w:sz w:val="24"/>
          <w:szCs w:val="24"/>
          <w:lang w:val="pt-BR"/>
        </w:rPr>
        <w:t>Marco Daniel Cristiano Gomes Vale Viga</w:t>
      </w:r>
    </w:p>
    <w:p w:rsidR="00221A90" w:rsidRPr="00484DAF" w:rsidRDefault="002237E4" w:rsidP="00CC552D">
      <w:pPr>
        <w:spacing w:after="0" w:line="360" w:lineRule="auto"/>
        <w:ind w:left="4956" w:firstLine="708"/>
        <w:rPr>
          <w:sz w:val="24"/>
          <w:szCs w:val="24"/>
          <w:lang w:val="pt-BR"/>
        </w:rPr>
      </w:pPr>
      <w:r w:rsidRPr="00484DAF">
        <w:rPr>
          <w:sz w:val="24"/>
          <w:szCs w:val="24"/>
          <w:lang w:val="pt-BR"/>
        </w:rPr>
        <w:t xml:space="preserve">Rotterdam, </w:t>
      </w:r>
      <w:r w:rsidR="00557A1F" w:rsidRPr="00484DAF">
        <w:rPr>
          <w:sz w:val="24"/>
          <w:szCs w:val="24"/>
          <w:lang w:val="pt-BR"/>
        </w:rPr>
        <w:t xml:space="preserve">18 februari </w:t>
      </w:r>
      <w:r w:rsidR="00221A90" w:rsidRPr="00484DAF">
        <w:rPr>
          <w:sz w:val="24"/>
          <w:szCs w:val="24"/>
          <w:lang w:val="pt-BR"/>
        </w:rPr>
        <w:t>20</w:t>
      </w:r>
      <w:r w:rsidR="00BD660B">
        <w:rPr>
          <w:sz w:val="24"/>
          <w:szCs w:val="24"/>
          <w:lang w:val="pt-BR"/>
        </w:rPr>
        <w:t>10</w:t>
      </w:r>
    </w:p>
    <w:p w:rsidR="00221A90" w:rsidRPr="00484DAF" w:rsidRDefault="00221A90" w:rsidP="00CC552D">
      <w:pPr>
        <w:spacing w:after="0" w:line="360" w:lineRule="auto"/>
        <w:rPr>
          <w:rFonts w:eastAsia="Times New Roman"/>
          <w:bCs/>
          <w:sz w:val="24"/>
          <w:szCs w:val="24"/>
          <w:lang w:val="pt-BR"/>
        </w:rPr>
      </w:pPr>
      <w:r w:rsidRPr="00484DAF">
        <w:rPr>
          <w:b/>
          <w:sz w:val="24"/>
          <w:szCs w:val="24"/>
          <w:lang w:val="pt-BR"/>
        </w:rPr>
        <w:br w:type="page"/>
      </w:r>
    </w:p>
    <w:p w:rsidR="00BC651A" w:rsidRPr="00484DAF" w:rsidRDefault="00BC651A" w:rsidP="00CC552D">
      <w:pPr>
        <w:pStyle w:val="Kop1"/>
        <w:spacing w:before="0" w:line="360" w:lineRule="auto"/>
        <w:rPr>
          <w:rFonts w:ascii="Times New Roman" w:hAnsi="Times New Roman"/>
          <w:color w:val="auto"/>
          <w:sz w:val="24"/>
          <w:szCs w:val="24"/>
          <w:lang w:val="pt-BR"/>
        </w:rPr>
      </w:pPr>
      <w:bookmarkStart w:id="1" w:name="_Toc254043875"/>
      <w:r w:rsidRPr="00484DAF">
        <w:rPr>
          <w:rFonts w:ascii="Times New Roman" w:hAnsi="Times New Roman"/>
          <w:color w:val="auto"/>
          <w:sz w:val="24"/>
          <w:szCs w:val="24"/>
          <w:lang w:val="pt-BR"/>
        </w:rPr>
        <w:lastRenderedPageBreak/>
        <w:t>Inhoud</w:t>
      </w:r>
      <w:r w:rsidR="00221A90" w:rsidRPr="00484DAF">
        <w:rPr>
          <w:rFonts w:ascii="Times New Roman" w:hAnsi="Times New Roman"/>
          <w:color w:val="auto"/>
          <w:sz w:val="24"/>
          <w:szCs w:val="24"/>
          <w:lang w:val="pt-BR"/>
        </w:rPr>
        <w:t>sopgave</w:t>
      </w:r>
      <w:bookmarkEnd w:id="1"/>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r w:rsidRPr="00BE5F7D">
        <w:rPr>
          <w:sz w:val="24"/>
          <w:szCs w:val="24"/>
        </w:rPr>
        <w:fldChar w:fldCharType="begin"/>
      </w:r>
      <w:r w:rsidR="00BC651A" w:rsidRPr="00484DAF">
        <w:rPr>
          <w:sz w:val="24"/>
          <w:szCs w:val="24"/>
        </w:rPr>
        <w:instrText xml:space="preserve"> TOC \o "1-3" \h \z \u </w:instrText>
      </w:r>
      <w:r w:rsidRPr="00BE5F7D">
        <w:rPr>
          <w:sz w:val="24"/>
          <w:szCs w:val="24"/>
        </w:rPr>
        <w:fldChar w:fldCharType="separate"/>
      </w:r>
      <w:hyperlink w:anchor="_Toc254043874" w:history="1">
        <w:r w:rsidR="00CC552D" w:rsidRPr="00484DAF">
          <w:rPr>
            <w:rStyle w:val="Hyperlink"/>
            <w:noProof/>
            <w:color w:val="auto"/>
            <w:sz w:val="24"/>
            <w:szCs w:val="24"/>
          </w:rPr>
          <w:t>Voorwoord</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_Toc254043874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2</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875" w:history="1">
        <w:r w:rsidR="00CC552D" w:rsidRPr="00484DAF">
          <w:rPr>
            <w:rStyle w:val="Hyperlink"/>
            <w:noProof/>
            <w:color w:val="auto"/>
            <w:sz w:val="24"/>
            <w:szCs w:val="24"/>
            <w:lang w:val="pt-BR"/>
          </w:rPr>
          <w:t>Inhoudsopgave</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_Toc254043875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3</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876" w:history="1">
        <w:r w:rsidR="00CC552D" w:rsidRPr="00484DAF">
          <w:rPr>
            <w:rStyle w:val="Hyperlink"/>
            <w:noProof/>
            <w:color w:val="auto"/>
            <w:sz w:val="24"/>
            <w:szCs w:val="24"/>
          </w:rPr>
          <w:t>Inleiding</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_Toc254043876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7</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877" w:history="1">
        <w:r w:rsidR="00CC552D" w:rsidRPr="00484DAF">
          <w:rPr>
            <w:rStyle w:val="Hyperlink"/>
            <w:noProof/>
            <w:color w:val="auto"/>
            <w:sz w:val="24"/>
            <w:szCs w:val="24"/>
          </w:rPr>
          <w:t>Hoofdstuk 1: Omzetbelasting en de vrijstelling voor levering van onroerende zaken</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_Toc254043877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9</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878" w:history="1">
        <w:r w:rsidR="00CC552D" w:rsidRPr="00484DAF">
          <w:rPr>
            <w:rStyle w:val="Hyperlink"/>
            <w:noProof/>
            <w:color w:val="auto"/>
            <w:sz w:val="24"/>
            <w:szCs w:val="24"/>
          </w:rPr>
          <w:t>1.1 Europese richtlijnen</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_Toc254043878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9</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879" w:history="1">
        <w:r w:rsidR="00CC552D" w:rsidRPr="00484DAF">
          <w:rPr>
            <w:rStyle w:val="Hyperlink"/>
            <w:noProof/>
            <w:color w:val="auto"/>
            <w:sz w:val="24"/>
            <w:szCs w:val="24"/>
          </w:rPr>
          <w:t>1.2 Rechtstreekse werking EG-richtlijn</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_Toc254043879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10</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880" w:history="1">
        <w:r w:rsidR="00CC552D" w:rsidRPr="00484DAF">
          <w:rPr>
            <w:rStyle w:val="Hyperlink"/>
            <w:noProof/>
            <w:color w:val="auto"/>
            <w:sz w:val="24"/>
            <w:szCs w:val="24"/>
          </w:rPr>
          <w:t>1.2.1 Verticale rechtstreekse werking</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_Toc254043880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10</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881" w:history="1">
        <w:r w:rsidR="00CC552D" w:rsidRPr="00484DAF">
          <w:rPr>
            <w:rStyle w:val="Hyperlink"/>
            <w:noProof/>
            <w:color w:val="auto"/>
            <w:sz w:val="24"/>
            <w:szCs w:val="24"/>
          </w:rPr>
          <w:t>1.2.2 Richtlijnconforme interpretatie</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_Toc254043881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11</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882" w:history="1">
        <w:r w:rsidR="00CC552D" w:rsidRPr="00484DAF">
          <w:rPr>
            <w:rStyle w:val="Hyperlink"/>
            <w:noProof/>
            <w:color w:val="auto"/>
            <w:sz w:val="24"/>
            <w:szCs w:val="24"/>
          </w:rPr>
          <w:t>1.3 Korte uiteenzetting over omzetbelasting</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_Toc254043882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12</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883" w:history="1">
        <w:r w:rsidR="00CC552D" w:rsidRPr="00484DAF">
          <w:rPr>
            <w:rStyle w:val="Hyperlink"/>
            <w:noProof/>
            <w:color w:val="auto"/>
            <w:sz w:val="24"/>
            <w:szCs w:val="24"/>
          </w:rPr>
          <w:t>1.3.1 Indirecte belasting</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_Toc254043883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12</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884" w:history="1">
        <w:r w:rsidR="00CC552D" w:rsidRPr="00484DAF">
          <w:rPr>
            <w:rStyle w:val="Hyperlink"/>
            <w:noProof/>
            <w:color w:val="auto"/>
            <w:sz w:val="24"/>
            <w:szCs w:val="24"/>
          </w:rPr>
          <w:t>1.3.2 Neutraliteit</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_Toc254043884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13</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885" w:history="1">
        <w:r w:rsidR="00CC552D" w:rsidRPr="00484DAF">
          <w:rPr>
            <w:rStyle w:val="Hyperlink"/>
            <w:noProof/>
            <w:color w:val="auto"/>
            <w:sz w:val="24"/>
            <w:szCs w:val="24"/>
          </w:rPr>
          <w:t>1.4 Vrijstelling voor levering van onroerende goederen</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_Toc254043885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14</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886" w:history="1">
        <w:r w:rsidR="00CC552D" w:rsidRPr="00484DAF">
          <w:rPr>
            <w:rStyle w:val="Hyperlink"/>
            <w:noProof/>
            <w:color w:val="auto"/>
            <w:sz w:val="24"/>
            <w:szCs w:val="24"/>
          </w:rPr>
          <w:t>1.4.1 Onroerende goederen/zaken</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_Toc254043886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14</w:t>
        </w:r>
        <w:r w:rsidRPr="00484DAF">
          <w:rPr>
            <w:noProof/>
            <w:webHidden/>
            <w:sz w:val="24"/>
            <w:szCs w:val="24"/>
          </w:rPr>
          <w:fldChar w:fldCharType="end"/>
        </w:r>
      </w:hyperlink>
    </w:p>
    <w:p w:rsidR="00CC552D" w:rsidRPr="00484DAF" w:rsidRDefault="00BE5F7D" w:rsidP="00CC552D">
      <w:pPr>
        <w:pStyle w:val="Inhopg3"/>
        <w:tabs>
          <w:tab w:val="right" w:leader="dot" w:pos="9062"/>
        </w:tabs>
        <w:spacing w:line="360" w:lineRule="auto"/>
        <w:rPr>
          <w:rFonts w:eastAsiaTheme="minorEastAsia"/>
          <w:noProof/>
          <w:sz w:val="24"/>
          <w:szCs w:val="24"/>
          <w:lang w:eastAsia="nl-NL"/>
        </w:rPr>
      </w:pPr>
      <w:hyperlink w:anchor="_Toc254043887" w:history="1">
        <w:r w:rsidR="00CC552D" w:rsidRPr="00484DAF">
          <w:rPr>
            <w:rStyle w:val="Hyperlink"/>
            <w:noProof/>
            <w:color w:val="auto"/>
            <w:sz w:val="24"/>
            <w:szCs w:val="24"/>
          </w:rPr>
          <w:t>1.4.1.1 Nationaal perspectief</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_Toc254043887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15</w:t>
        </w:r>
        <w:r w:rsidRPr="00484DAF">
          <w:rPr>
            <w:noProof/>
            <w:webHidden/>
            <w:sz w:val="24"/>
            <w:szCs w:val="24"/>
          </w:rPr>
          <w:fldChar w:fldCharType="end"/>
        </w:r>
      </w:hyperlink>
    </w:p>
    <w:p w:rsidR="00CC552D" w:rsidRPr="00484DAF" w:rsidRDefault="00BE5F7D" w:rsidP="00CC552D">
      <w:pPr>
        <w:pStyle w:val="Inhopg3"/>
        <w:tabs>
          <w:tab w:val="right" w:leader="dot" w:pos="9062"/>
        </w:tabs>
        <w:spacing w:line="360" w:lineRule="auto"/>
        <w:rPr>
          <w:rFonts w:eastAsiaTheme="minorEastAsia"/>
          <w:noProof/>
          <w:sz w:val="24"/>
          <w:szCs w:val="24"/>
          <w:lang w:eastAsia="nl-NL"/>
        </w:rPr>
      </w:pPr>
      <w:hyperlink w:anchor="_Toc254043888" w:history="1">
        <w:r w:rsidR="00CC552D" w:rsidRPr="00484DAF">
          <w:rPr>
            <w:rStyle w:val="Hyperlink"/>
            <w:noProof/>
            <w:color w:val="auto"/>
            <w:sz w:val="24"/>
            <w:szCs w:val="24"/>
          </w:rPr>
          <w:t>1.4.1.2 Europees perspectief</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_Toc254043888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15</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889" w:history="1">
        <w:r w:rsidR="00CC552D" w:rsidRPr="00484DAF">
          <w:rPr>
            <w:rStyle w:val="Hyperlink"/>
            <w:noProof/>
            <w:color w:val="auto"/>
            <w:sz w:val="24"/>
            <w:szCs w:val="24"/>
          </w:rPr>
          <w:t>1.4.2 BTW-vrijstelling bij levering nieuwe onroerende zaken van rechtswege</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_Toc254043889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17</w:t>
        </w:r>
        <w:r w:rsidRPr="00484DAF">
          <w:rPr>
            <w:noProof/>
            <w:webHidden/>
            <w:sz w:val="24"/>
            <w:szCs w:val="24"/>
          </w:rPr>
          <w:fldChar w:fldCharType="end"/>
        </w:r>
      </w:hyperlink>
    </w:p>
    <w:p w:rsidR="00CC552D" w:rsidRPr="00484DAF" w:rsidRDefault="00BE5F7D" w:rsidP="00CC552D">
      <w:pPr>
        <w:pStyle w:val="Inhopg3"/>
        <w:tabs>
          <w:tab w:val="right" w:leader="dot" w:pos="9062"/>
        </w:tabs>
        <w:spacing w:line="360" w:lineRule="auto"/>
        <w:rPr>
          <w:rFonts w:eastAsiaTheme="minorEastAsia"/>
          <w:noProof/>
          <w:sz w:val="24"/>
          <w:szCs w:val="24"/>
          <w:lang w:eastAsia="nl-NL"/>
        </w:rPr>
      </w:pPr>
      <w:hyperlink w:anchor="_Toc254043890" w:history="1">
        <w:r w:rsidR="00CC552D" w:rsidRPr="00484DAF">
          <w:rPr>
            <w:rStyle w:val="Hyperlink"/>
            <w:noProof/>
            <w:color w:val="auto"/>
            <w:sz w:val="24"/>
            <w:szCs w:val="24"/>
          </w:rPr>
          <w:t>1.4.2.1 Levering onroerend goed</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_Toc254043890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17</w:t>
        </w:r>
        <w:r w:rsidRPr="00484DAF">
          <w:rPr>
            <w:noProof/>
            <w:webHidden/>
            <w:sz w:val="24"/>
            <w:szCs w:val="24"/>
          </w:rPr>
          <w:fldChar w:fldCharType="end"/>
        </w:r>
      </w:hyperlink>
    </w:p>
    <w:p w:rsidR="00CC552D" w:rsidRPr="00484DAF" w:rsidRDefault="00BE5F7D" w:rsidP="00CC552D">
      <w:pPr>
        <w:pStyle w:val="Inhopg3"/>
        <w:tabs>
          <w:tab w:val="right" w:leader="dot" w:pos="9062"/>
        </w:tabs>
        <w:spacing w:line="360" w:lineRule="auto"/>
        <w:rPr>
          <w:rFonts w:eastAsiaTheme="minorEastAsia"/>
          <w:noProof/>
          <w:sz w:val="24"/>
          <w:szCs w:val="24"/>
          <w:lang w:eastAsia="nl-NL"/>
        </w:rPr>
      </w:pPr>
      <w:hyperlink w:anchor="_Toc254043891" w:history="1">
        <w:r w:rsidR="00CC552D" w:rsidRPr="00484DAF">
          <w:rPr>
            <w:rStyle w:val="Hyperlink"/>
            <w:noProof/>
            <w:color w:val="auto"/>
            <w:sz w:val="24"/>
            <w:szCs w:val="24"/>
          </w:rPr>
          <w:t>1.4.2.2 Eerste ingebruikneming</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_Toc254043891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18</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892" w:history="1">
        <w:r w:rsidR="00CC552D" w:rsidRPr="00484DAF">
          <w:rPr>
            <w:rStyle w:val="Hyperlink"/>
            <w:noProof/>
            <w:color w:val="auto"/>
            <w:sz w:val="24"/>
            <w:szCs w:val="24"/>
          </w:rPr>
          <w:t>1.4.3 Optie voor belaste levering onroerend goed</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_Toc254043892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19</w:t>
        </w:r>
        <w:r w:rsidRPr="00484DAF">
          <w:rPr>
            <w:noProof/>
            <w:webHidden/>
            <w:sz w:val="24"/>
            <w:szCs w:val="24"/>
          </w:rPr>
          <w:fldChar w:fldCharType="end"/>
        </w:r>
      </w:hyperlink>
    </w:p>
    <w:p w:rsidR="00CC552D" w:rsidRPr="00484DAF" w:rsidRDefault="00BE5F7D" w:rsidP="00CC552D">
      <w:pPr>
        <w:pStyle w:val="Inhopg3"/>
        <w:tabs>
          <w:tab w:val="right" w:leader="dot" w:pos="9062"/>
        </w:tabs>
        <w:spacing w:line="360" w:lineRule="auto"/>
        <w:rPr>
          <w:rFonts w:eastAsiaTheme="minorEastAsia"/>
          <w:noProof/>
          <w:sz w:val="24"/>
          <w:szCs w:val="24"/>
          <w:lang w:eastAsia="nl-NL"/>
        </w:rPr>
      </w:pPr>
      <w:hyperlink w:anchor="_Toc254043893" w:history="1">
        <w:r w:rsidR="00CC552D" w:rsidRPr="00484DAF">
          <w:rPr>
            <w:rStyle w:val="Hyperlink"/>
            <w:noProof/>
            <w:color w:val="auto"/>
            <w:sz w:val="24"/>
            <w:szCs w:val="24"/>
          </w:rPr>
          <w:t>1.4.3.1 Voorwaarden</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_Toc254043893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19</w:t>
        </w:r>
        <w:r w:rsidRPr="00484DAF">
          <w:rPr>
            <w:noProof/>
            <w:webHidden/>
            <w:sz w:val="24"/>
            <w:szCs w:val="24"/>
          </w:rPr>
          <w:fldChar w:fldCharType="end"/>
        </w:r>
      </w:hyperlink>
    </w:p>
    <w:p w:rsidR="00CC552D" w:rsidRPr="00484DAF" w:rsidRDefault="00BE5F7D" w:rsidP="00CC552D">
      <w:pPr>
        <w:pStyle w:val="Inhopg3"/>
        <w:tabs>
          <w:tab w:val="right" w:leader="dot" w:pos="9062"/>
        </w:tabs>
        <w:spacing w:line="360" w:lineRule="auto"/>
        <w:rPr>
          <w:rFonts w:eastAsiaTheme="minorEastAsia"/>
          <w:noProof/>
          <w:sz w:val="24"/>
          <w:szCs w:val="24"/>
          <w:lang w:eastAsia="nl-NL"/>
        </w:rPr>
      </w:pPr>
      <w:hyperlink w:anchor="_Toc254043894" w:history="1">
        <w:r w:rsidR="00CC552D" w:rsidRPr="00484DAF">
          <w:rPr>
            <w:rStyle w:val="Hyperlink"/>
            <w:noProof/>
            <w:color w:val="auto"/>
            <w:sz w:val="24"/>
            <w:szCs w:val="24"/>
          </w:rPr>
          <w:t>1.4.3.2 Doel optie</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_Toc254043894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20</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895" w:history="1">
        <w:r w:rsidR="00CC552D" w:rsidRPr="00484DAF">
          <w:rPr>
            <w:rStyle w:val="Hyperlink"/>
            <w:noProof/>
            <w:color w:val="auto"/>
            <w:sz w:val="24"/>
            <w:szCs w:val="24"/>
          </w:rPr>
          <w:t>1.5 Tussenconclusie I</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_Toc254043895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20</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896" w:history="1">
        <w:r w:rsidR="00CC552D" w:rsidRPr="00484DAF">
          <w:rPr>
            <w:rStyle w:val="Hyperlink"/>
            <w:noProof/>
            <w:color w:val="auto"/>
            <w:sz w:val="24"/>
            <w:szCs w:val="24"/>
          </w:rPr>
          <w:t>Hoofdstuk 2: Overdrachtsbelasting en de samenloopvrijstelling</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_Toc254043896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22</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897" w:history="1">
        <w:r w:rsidR="00CC552D" w:rsidRPr="00484DAF">
          <w:rPr>
            <w:rStyle w:val="Hyperlink"/>
            <w:noProof/>
            <w:color w:val="auto"/>
            <w:sz w:val="24"/>
            <w:szCs w:val="24"/>
          </w:rPr>
          <w:t>2.1 Overdrachtsbelasting</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_Toc254043897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22</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898" w:history="1">
        <w:r w:rsidR="00CC552D" w:rsidRPr="00484DAF">
          <w:rPr>
            <w:rStyle w:val="Hyperlink"/>
            <w:noProof/>
            <w:color w:val="auto"/>
            <w:sz w:val="24"/>
            <w:szCs w:val="24"/>
          </w:rPr>
          <w:t>2.1.1 Verkrijging</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_Toc254043898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22</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899" w:history="1">
        <w:r w:rsidR="00CC552D" w:rsidRPr="00484DAF">
          <w:rPr>
            <w:rStyle w:val="Hyperlink"/>
            <w:noProof/>
            <w:color w:val="auto"/>
            <w:sz w:val="24"/>
            <w:szCs w:val="24"/>
          </w:rPr>
          <w:t>2.1.2 Economisch eigendom</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_Toc254043899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22</w:t>
        </w:r>
        <w:r w:rsidRPr="00484DAF">
          <w:rPr>
            <w:noProof/>
            <w:webHidden/>
            <w:sz w:val="24"/>
            <w:szCs w:val="24"/>
          </w:rPr>
          <w:fldChar w:fldCharType="end"/>
        </w:r>
      </w:hyperlink>
    </w:p>
    <w:p w:rsidR="00CC552D" w:rsidRPr="00484DAF" w:rsidRDefault="00BE5F7D" w:rsidP="00CC552D">
      <w:pPr>
        <w:pStyle w:val="Inhopg3"/>
        <w:tabs>
          <w:tab w:val="right" w:leader="dot" w:pos="9062"/>
        </w:tabs>
        <w:spacing w:line="360" w:lineRule="auto"/>
        <w:rPr>
          <w:rFonts w:eastAsiaTheme="minorEastAsia"/>
          <w:noProof/>
          <w:sz w:val="24"/>
          <w:szCs w:val="24"/>
          <w:lang w:eastAsia="nl-NL"/>
        </w:rPr>
      </w:pPr>
      <w:hyperlink w:anchor="_Toc254043900" w:history="1">
        <w:r w:rsidR="00CC552D" w:rsidRPr="00484DAF">
          <w:rPr>
            <w:rStyle w:val="Hyperlink"/>
            <w:noProof/>
            <w:color w:val="auto"/>
            <w:sz w:val="24"/>
            <w:szCs w:val="24"/>
          </w:rPr>
          <w:t>2.1.2.1 Ten minste enig risico van waardeverandering</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_Toc254043900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23</w:t>
        </w:r>
        <w:r w:rsidRPr="00484DAF">
          <w:rPr>
            <w:noProof/>
            <w:webHidden/>
            <w:sz w:val="24"/>
            <w:szCs w:val="24"/>
          </w:rPr>
          <w:fldChar w:fldCharType="end"/>
        </w:r>
      </w:hyperlink>
    </w:p>
    <w:p w:rsidR="00CC552D" w:rsidRPr="00484DAF" w:rsidRDefault="00BE5F7D" w:rsidP="00CC552D">
      <w:pPr>
        <w:pStyle w:val="Inhopg3"/>
        <w:tabs>
          <w:tab w:val="right" w:leader="dot" w:pos="9062"/>
        </w:tabs>
        <w:spacing w:line="360" w:lineRule="auto"/>
        <w:rPr>
          <w:rFonts w:eastAsiaTheme="minorEastAsia"/>
          <w:noProof/>
          <w:sz w:val="24"/>
          <w:szCs w:val="24"/>
          <w:lang w:eastAsia="nl-NL"/>
        </w:rPr>
      </w:pPr>
      <w:hyperlink w:anchor="_Toc254043901" w:history="1">
        <w:r w:rsidR="00CC552D" w:rsidRPr="00484DAF">
          <w:rPr>
            <w:rStyle w:val="Hyperlink"/>
            <w:noProof/>
            <w:color w:val="auto"/>
            <w:sz w:val="24"/>
            <w:szCs w:val="24"/>
          </w:rPr>
          <w:t>2.1.2.2 Aanwezigheid van ‘belang’</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_Toc254043901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24</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02" w:history="1">
        <w:r w:rsidR="00CC552D" w:rsidRPr="00484DAF">
          <w:rPr>
            <w:rStyle w:val="Hyperlink"/>
            <w:noProof/>
            <w:color w:val="auto"/>
            <w:sz w:val="24"/>
            <w:szCs w:val="24"/>
          </w:rPr>
          <w:t>2.1.3 Onroerende zaak</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_Toc254043902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26</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03" w:history="1">
        <w:r w:rsidR="00CC552D" w:rsidRPr="00484DAF">
          <w:rPr>
            <w:rStyle w:val="Hyperlink"/>
            <w:noProof/>
            <w:color w:val="auto"/>
            <w:sz w:val="24"/>
            <w:szCs w:val="24"/>
          </w:rPr>
          <w:t>2.2 Samenloopvrijstelling bij directe samenloop</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_Toc254043903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26</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04" w:history="1">
        <w:r w:rsidR="00CC552D" w:rsidRPr="00484DAF">
          <w:rPr>
            <w:rStyle w:val="Hyperlink"/>
            <w:noProof/>
            <w:color w:val="auto"/>
            <w:sz w:val="24"/>
            <w:szCs w:val="24"/>
          </w:rPr>
          <w:t>2.2.1 BTW verschuldigd van rechtswege</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_Toc254043904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27</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05" w:history="1">
        <w:r w:rsidR="00CC552D" w:rsidRPr="00484DAF">
          <w:rPr>
            <w:rStyle w:val="Hyperlink"/>
            <w:noProof/>
            <w:color w:val="auto"/>
            <w:sz w:val="24"/>
            <w:szCs w:val="24"/>
          </w:rPr>
          <w:t>2.2.2 Bedrijfsmiddel</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_Toc254043905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28</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06" w:history="1">
        <w:r w:rsidR="00CC552D" w:rsidRPr="00484DAF">
          <w:rPr>
            <w:rStyle w:val="Hyperlink"/>
            <w:noProof/>
            <w:color w:val="auto"/>
            <w:sz w:val="24"/>
            <w:szCs w:val="24"/>
          </w:rPr>
          <w:t>2.2.3 ‘Geheel of gedeeltelijk’</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_Toc254043906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28</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07" w:history="1">
        <w:r w:rsidR="00CC552D" w:rsidRPr="00484DAF">
          <w:rPr>
            <w:rStyle w:val="Hyperlink"/>
            <w:noProof/>
            <w:color w:val="auto"/>
            <w:sz w:val="24"/>
            <w:szCs w:val="24"/>
          </w:rPr>
          <w:t>2.2.4 (On)gunstige werking samenloopvrijstelling?</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_Toc254043907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29</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08" w:history="1">
        <w:r w:rsidR="00CC552D" w:rsidRPr="00484DAF">
          <w:rPr>
            <w:rStyle w:val="Hyperlink"/>
            <w:noProof/>
            <w:color w:val="auto"/>
            <w:sz w:val="24"/>
            <w:szCs w:val="24"/>
          </w:rPr>
          <w:t>2.3 Rekenvoorbeeld</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_Toc254043908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30</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09" w:history="1">
        <w:r w:rsidR="00CC552D" w:rsidRPr="00484DAF">
          <w:rPr>
            <w:rStyle w:val="Hyperlink"/>
            <w:noProof/>
            <w:color w:val="auto"/>
            <w:sz w:val="24"/>
            <w:szCs w:val="24"/>
          </w:rPr>
          <w:t>2.3.1 Afnemer is particulier (niet-ondernemer)</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_Toc254043909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30</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10" w:history="1">
        <w:r w:rsidR="00CC552D" w:rsidRPr="00484DAF">
          <w:rPr>
            <w:rStyle w:val="Hyperlink"/>
            <w:noProof/>
            <w:color w:val="auto"/>
            <w:sz w:val="24"/>
            <w:szCs w:val="24"/>
          </w:rPr>
          <w:t>2.3.2 Afnemer is ondernemer</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_Toc254043910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32</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11" w:history="1">
        <w:r w:rsidR="00CC552D" w:rsidRPr="00484DAF">
          <w:rPr>
            <w:rStyle w:val="Hyperlink"/>
            <w:noProof/>
            <w:color w:val="auto"/>
            <w:sz w:val="24"/>
            <w:szCs w:val="24"/>
          </w:rPr>
          <w:t>2.4 Tussenconclusie II</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_Toc254043911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33</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12" w:history="1">
        <w:r w:rsidR="00CC552D" w:rsidRPr="00484DAF">
          <w:rPr>
            <w:rStyle w:val="Hyperlink"/>
            <w:noProof/>
            <w:color w:val="auto"/>
            <w:sz w:val="24"/>
            <w:szCs w:val="24"/>
          </w:rPr>
          <w:t>Hoofdstuk 3: (Gedeelte van een) gebouw en het erbij behorend terrein</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_Toc254043912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34</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13" w:history="1">
        <w:r w:rsidR="00CC552D" w:rsidRPr="00484DAF">
          <w:rPr>
            <w:rStyle w:val="Hyperlink"/>
            <w:noProof/>
            <w:color w:val="auto"/>
            <w:sz w:val="24"/>
            <w:szCs w:val="24"/>
          </w:rPr>
          <w:t>3.1 Gebouw in BTW-richtlijn</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_Toc254043913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34</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14" w:history="1">
        <w:r w:rsidR="00CC552D" w:rsidRPr="00484DAF">
          <w:rPr>
            <w:rStyle w:val="Hyperlink"/>
            <w:noProof/>
            <w:color w:val="auto"/>
            <w:sz w:val="24"/>
            <w:szCs w:val="24"/>
          </w:rPr>
          <w:t>3.2 Gebouw in Wet OB 1968</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_Toc254043914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35</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15" w:history="1">
        <w:r w:rsidR="00CC552D" w:rsidRPr="00484DAF">
          <w:rPr>
            <w:rStyle w:val="Hyperlink"/>
            <w:noProof/>
            <w:color w:val="auto"/>
            <w:sz w:val="24"/>
            <w:szCs w:val="24"/>
          </w:rPr>
          <w:t>3.2.1 Dijk een gebouw?</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_Toc254043915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35</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16" w:history="1">
        <w:r w:rsidR="00CC552D" w:rsidRPr="00484DAF">
          <w:rPr>
            <w:rStyle w:val="Hyperlink"/>
            <w:noProof/>
            <w:color w:val="auto"/>
            <w:sz w:val="24"/>
            <w:szCs w:val="24"/>
          </w:rPr>
          <w:t>3.3 Vervaardiging</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_Toc254043916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36</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17" w:history="1">
        <w:r w:rsidR="00CC552D" w:rsidRPr="00484DAF">
          <w:rPr>
            <w:rStyle w:val="Hyperlink"/>
            <w:noProof/>
            <w:color w:val="auto"/>
            <w:sz w:val="24"/>
            <w:szCs w:val="24"/>
          </w:rPr>
          <w:t>3.3.1 Functieverandering doorslaggevend</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_Toc254043917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36</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18" w:history="1">
        <w:r w:rsidR="00CC552D" w:rsidRPr="00484DAF">
          <w:rPr>
            <w:rStyle w:val="Hyperlink"/>
            <w:noProof/>
            <w:color w:val="auto"/>
            <w:sz w:val="24"/>
            <w:szCs w:val="24"/>
          </w:rPr>
          <w:t>3.3.2 Ontwikkelingen in jurisprudentie</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_Toc254043918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37</w:t>
        </w:r>
        <w:r w:rsidRPr="00484DAF">
          <w:rPr>
            <w:noProof/>
            <w:webHidden/>
            <w:sz w:val="24"/>
            <w:szCs w:val="24"/>
          </w:rPr>
          <w:fldChar w:fldCharType="end"/>
        </w:r>
      </w:hyperlink>
    </w:p>
    <w:p w:rsidR="00CC552D" w:rsidRPr="00484DAF" w:rsidRDefault="00BE5F7D" w:rsidP="00CC552D">
      <w:pPr>
        <w:pStyle w:val="Inhopg3"/>
        <w:tabs>
          <w:tab w:val="right" w:leader="dot" w:pos="9062"/>
        </w:tabs>
        <w:spacing w:line="360" w:lineRule="auto"/>
        <w:rPr>
          <w:rFonts w:eastAsiaTheme="minorEastAsia"/>
          <w:noProof/>
          <w:sz w:val="24"/>
          <w:szCs w:val="24"/>
          <w:lang w:eastAsia="nl-NL"/>
        </w:rPr>
      </w:pPr>
      <w:hyperlink w:anchor="_Toc254043919" w:history="1">
        <w:r w:rsidR="00CC552D" w:rsidRPr="00484DAF">
          <w:rPr>
            <w:rStyle w:val="Hyperlink"/>
            <w:noProof/>
            <w:color w:val="auto"/>
            <w:sz w:val="24"/>
            <w:szCs w:val="24"/>
          </w:rPr>
          <w:t>3.3.2.1 Verbouwing</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_Toc254043919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38</w:t>
        </w:r>
        <w:r w:rsidRPr="00484DAF">
          <w:rPr>
            <w:noProof/>
            <w:webHidden/>
            <w:sz w:val="24"/>
            <w:szCs w:val="24"/>
          </w:rPr>
          <w:fldChar w:fldCharType="end"/>
        </w:r>
      </w:hyperlink>
    </w:p>
    <w:p w:rsidR="00CC552D" w:rsidRPr="00484DAF" w:rsidRDefault="00BE5F7D" w:rsidP="00CC552D">
      <w:pPr>
        <w:pStyle w:val="Inhopg3"/>
        <w:tabs>
          <w:tab w:val="right" w:leader="dot" w:pos="9062"/>
        </w:tabs>
        <w:spacing w:line="360" w:lineRule="auto"/>
        <w:rPr>
          <w:rFonts w:eastAsiaTheme="minorEastAsia"/>
          <w:noProof/>
          <w:sz w:val="24"/>
          <w:szCs w:val="24"/>
          <w:lang w:eastAsia="nl-NL"/>
        </w:rPr>
      </w:pPr>
      <w:hyperlink w:anchor="_Toc254043920" w:history="1">
        <w:r w:rsidR="00CC552D" w:rsidRPr="00484DAF">
          <w:rPr>
            <w:rStyle w:val="Hyperlink"/>
            <w:noProof/>
            <w:color w:val="auto"/>
            <w:sz w:val="24"/>
            <w:szCs w:val="24"/>
          </w:rPr>
          <w:t>3.3.2.2 Verbouwing van sportcomplexen</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_Toc254043920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40</w:t>
        </w:r>
        <w:r w:rsidRPr="00484DAF">
          <w:rPr>
            <w:noProof/>
            <w:webHidden/>
            <w:sz w:val="24"/>
            <w:szCs w:val="24"/>
          </w:rPr>
          <w:fldChar w:fldCharType="end"/>
        </w:r>
      </w:hyperlink>
    </w:p>
    <w:p w:rsidR="00CC552D" w:rsidRPr="00484DAF" w:rsidRDefault="00BE5F7D" w:rsidP="00CC552D">
      <w:pPr>
        <w:pStyle w:val="Inhopg3"/>
        <w:tabs>
          <w:tab w:val="right" w:leader="dot" w:pos="9062"/>
        </w:tabs>
        <w:spacing w:line="360" w:lineRule="auto"/>
        <w:rPr>
          <w:rFonts w:eastAsiaTheme="minorEastAsia"/>
          <w:noProof/>
          <w:sz w:val="24"/>
          <w:szCs w:val="24"/>
          <w:lang w:eastAsia="nl-NL"/>
        </w:rPr>
      </w:pPr>
      <w:hyperlink w:anchor="_Toc254043921" w:history="1">
        <w:r w:rsidR="00CC552D" w:rsidRPr="00484DAF">
          <w:rPr>
            <w:rStyle w:val="Hyperlink"/>
            <w:noProof/>
            <w:color w:val="auto"/>
            <w:sz w:val="24"/>
            <w:szCs w:val="24"/>
          </w:rPr>
          <w:t>3.3.2.3 Aanbouw</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_Toc254043921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41</w:t>
        </w:r>
        <w:r w:rsidRPr="00484DAF">
          <w:rPr>
            <w:noProof/>
            <w:webHidden/>
            <w:sz w:val="24"/>
            <w:szCs w:val="24"/>
          </w:rPr>
          <w:fldChar w:fldCharType="end"/>
        </w:r>
      </w:hyperlink>
    </w:p>
    <w:p w:rsidR="00CC552D" w:rsidRPr="00484DAF" w:rsidRDefault="00BE5F7D" w:rsidP="00CC552D">
      <w:pPr>
        <w:pStyle w:val="Inhopg3"/>
        <w:tabs>
          <w:tab w:val="right" w:leader="dot" w:pos="9062"/>
        </w:tabs>
        <w:spacing w:line="360" w:lineRule="auto"/>
        <w:rPr>
          <w:rFonts w:eastAsiaTheme="minorEastAsia"/>
          <w:noProof/>
          <w:sz w:val="24"/>
          <w:szCs w:val="24"/>
          <w:lang w:eastAsia="nl-NL"/>
        </w:rPr>
      </w:pPr>
      <w:hyperlink w:anchor="_Toc254043922" w:history="1">
        <w:r w:rsidR="00CC552D" w:rsidRPr="00484DAF">
          <w:rPr>
            <w:rStyle w:val="Hyperlink"/>
            <w:noProof/>
            <w:color w:val="auto"/>
            <w:sz w:val="24"/>
            <w:szCs w:val="24"/>
          </w:rPr>
          <w:t>3.3.2.4 Opbouw/“Onderbouw”</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_Toc254043922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44</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23" w:history="1">
        <w:r w:rsidR="00CC552D" w:rsidRPr="00484DAF">
          <w:rPr>
            <w:rStyle w:val="Hyperlink"/>
            <w:noProof/>
            <w:color w:val="auto"/>
            <w:sz w:val="24"/>
            <w:szCs w:val="24"/>
          </w:rPr>
          <w:t>3.3.3 Tijdstip beoordeling vervaardiging</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_Toc254043923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45</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24" w:history="1">
        <w:r w:rsidR="00CC552D" w:rsidRPr="00484DAF">
          <w:rPr>
            <w:rStyle w:val="Hyperlink"/>
            <w:noProof/>
            <w:color w:val="auto"/>
            <w:sz w:val="24"/>
            <w:szCs w:val="24"/>
          </w:rPr>
          <w:t>3.4 Erbij behorend terrein</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_Toc254043924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45</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25" w:history="1">
        <w:r w:rsidR="00CC552D" w:rsidRPr="00484DAF">
          <w:rPr>
            <w:rStyle w:val="Hyperlink"/>
            <w:noProof/>
            <w:color w:val="auto"/>
            <w:sz w:val="24"/>
            <w:szCs w:val="24"/>
          </w:rPr>
          <w:t>3.5 Tussenconclusie III</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_Toc254043925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47</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26" w:history="1">
        <w:r w:rsidR="00CC552D" w:rsidRPr="00484DAF">
          <w:rPr>
            <w:rStyle w:val="Hyperlink"/>
            <w:noProof/>
            <w:color w:val="auto"/>
            <w:sz w:val="24"/>
            <w:szCs w:val="24"/>
          </w:rPr>
          <w:t>Hoofdstuk 4: Bouwterrein</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_Toc254043926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48</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27" w:history="1">
        <w:r w:rsidR="00CC552D" w:rsidRPr="00484DAF">
          <w:rPr>
            <w:rStyle w:val="Hyperlink"/>
            <w:noProof/>
            <w:color w:val="auto"/>
            <w:sz w:val="24"/>
            <w:szCs w:val="24"/>
          </w:rPr>
          <w:t>4.1 Bouwterrein in BTW-richtlijn</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_Toc254043927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48</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28" w:history="1">
        <w:r w:rsidR="00CC552D" w:rsidRPr="00484DAF">
          <w:rPr>
            <w:rStyle w:val="Hyperlink"/>
            <w:noProof/>
            <w:color w:val="auto"/>
            <w:sz w:val="24"/>
            <w:szCs w:val="24"/>
          </w:rPr>
          <w:t>4.1.1 Communautair begrip</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_Toc254043928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48</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29" w:history="1">
        <w:r w:rsidR="00CC552D" w:rsidRPr="00484DAF">
          <w:rPr>
            <w:rStyle w:val="Hyperlink"/>
            <w:noProof/>
            <w:color w:val="auto"/>
            <w:sz w:val="24"/>
            <w:szCs w:val="24"/>
          </w:rPr>
          <w:t>4.1.2 Bouwterrein (on)bebouwde grond?</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_Toc254043929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49</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30" w:history="1">
        <w:r w:rsidR="00CC552D" w:rsidRPr="00484DAF">
          <w:rPr>
            <w:rStyle w:val="Hyperlink"/>
            <w:noProof/>
            <w:color w:val="auto"/>
            <w:sz w:val="24"/>
            <w:szCs w:val="24"/>
          </w:rPr>
          <w:t>4.2 Bouwterrein in Wet OB 1968</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_Toc254043930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50</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31" w:history="1">
        <w:r w:rsidR="00CC552D" w:rsidRPr="00484DAF">
          <w:rPr>
            <w:rStyle w:val="Hyperlink"/>
            <w:noProof/>
            <w:color w:val="auto"/>
            <w:sz w:val="24"/>
            <w:szCs w:val="24"/>
          </w:rPr>
          <w:t>4.2.1 Onbebouwde grond</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_Toc254043931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50</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32" w:history="1">
        <w:r w:rsidR="00CC552D" w:rsidRPr="00484DAF">
          <w:rPr>
            <w:rStyle w:val="Hyperlink"/>
            <w:noProof/>
            <w:color w:val="auto"/>
            <w:sz w:val="24"/>
            <w:szCs w:val="24"/>
          </w:rPr>
          <w:t>4.2.2 Met het oog op bebouwing</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_Toc254043932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51</w:t>
        </w:r>
        <w:r w:rsidRPr="00484DAF">
          <w:rPr>
            <w:noProof/>
            <w:webHidden/>
            <w:sz w:val="24"/>
            <w:szCs w:val="24"/>
          </w:rPr>
          <w:fldChar w:fldCharType="end"/>
        </w:r>
      </w:hyperlink>
    </w:p>
    <w:p w:rsidR="00CC552D" w:rsidRPr="00484DAF" w:rsidRDefault="00BE5F7D" w:rsidP="00CC552D">
      <w:pPr>
        <w:pStyle w:val="Inhopg3"/>
        <w:tabs>
          <w:tab w:val="right" w:leader="dot" w:pos="9062"/>
        </w:tabs>
        <w:spacing w:line="360" w:lineRule="auto"/>
        <w:rPr>
          <w:rFonts w:eastAsiaTheme="minorEastAsia"/>
          <w:noProof/>
          <w:sz w:val="24"/>
          <w:szCs w:val="24"/>
          <w:lang w:eastAsia="nl-NL"/>
        </w:rPr>
      </w:pPr>
      <w:hyperlink w:anchor="_Toc254043933" w:history="1">
        <w:r w:rsidR="00CC552D" w:rsidRPr="00484DAF">
          <w:rPr>
            <w:rStyle w:val="Hyperlink"/>
            <w:noProof/>
            <w:color w:val="auto"/>
            <w:sz w:val="24"/>
            <w:szCs w:val="24"/>
          </w:rPr>
          <w:t>4.2.2.1 Voor eeuwig een bouwterrein?</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_Toc254043933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51</w:t>
        </w:r>
        <w:r w:rsidRPr="00484DAF">
          <w:rPr>
            <w:noProof/>
            <w:webHidden/>
            <w:sz w:val="24"/>
            <w:szCs w:val="24"/>
          </w:rPr>
          <w:fldChar w:fldCharType="end"/>
        </w:r>
      </w:hyperlink>
    </w:p>
    <w:p w:rsidR="00CC552D" w:rsidRPr="00484DAF" w:rsidRDefault="00BE5F7D" w:rsidP="00CC552D">
      <w:pPr>
        <w:pStyle w:val="Inhopg3"/>
        <w:tabs>
          <w:tab w:val="right" w:leader="dot" w:pos="9062"/>
        </w:tabs>
        <w:spacing w:line="360" w:lineRule="auto"/>
        <w:rPr>
          <w:rFonts w:eastAsiaTheme="minorEastAsia"/>
          <w:noProof/>
          <w:sz w:val="24"/>
          <w:szCs w:val="24"/>
          <w:lang w:eastAsia="nl-NL"/>
        </w:rPr>
      </w:pPr>
      <w:hyperlink w:anchor="_Toc254043934" w:history="1">
        <w:r w:rsidR="00CC552D" w:rsidRPr="00484DAF">
          <w:rPr>
            <w:rStyle w:val="Hyperlink"/>
            <w:noProof/>
            <w:color w:val="auto"/>
            <w:sz w:val="24"/>
            <w:szCs w:val="24"/>
          </w:rPr>
          <w:t>4.2.2.2 Houdbaarheid</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_Toc254043934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52</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35" w:history="1">
        <w:r w:rsidR="00CC552D" w:rsidRPr="00484DAF">
          <w:rPr>
            <w:rStyle w:val="Hyperlink"/>
            <w:noProof/>
            <w:color w:val="auto"/>
            <w:sz w:val="24"/>
            <w:szCs w:val="24"/>
          </w:rPr>
          <w:t>4.2.3 Bewerkingen</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_Toc254043935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53</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36" w:history="1">
        <w:r w:rsidR="00CC552D" w:rsidRPr="00484DAF">
          <w:rPr>
            <w:rStyle w:val="Hyperlink"/>
            <w:noProof/>
            <w:color w:val="auto"/>
            <w:sz w:val="24"/>
            <w:szCs w:val="24"/>
          </w:rPr>
          <w:t>4.2.4 Voorzieningen uitsluitend dienstbaar aan de grond</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_Toc254043936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53</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37" w:history="1">
        <w:r w:rsidR="00CC552D" w:rsidRPr="00484DAF">
          <w:rPr>
            <w:rStyle w:val="Hyperlink"/>
            <w:noProof/>
            <w:color w:val="auto"/>
            <w:sz w:val="24"/>
            <w:szCs w:val="24"/>
          </w:rPr>
          <w:t>4.2.5 Voorziening (in omgeving)</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_Toc254043937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54</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38" w:history="1">
        <w:r w:rsidR="00CC552D" w:rsidRPr="00484DAF">
          <w:rPr>
            <w:rStyle w:val="Hyperlink"/>
            <w:noProof/>
            <w:color w:val="auto"/>
            <w:sz w:val="24"/>
            <w:szCs w:val="24"/>
          </w:rPr>
          <w:t>4.2.6 Bouwvergunning</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_Toc254043938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54</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39" w:history="1">
        <w:r w:rsidR="00CC552D" w:rsidRPr="00484DAF">
          <w:rPr>
            <w:rStyle w:val="Hyperlink"/>
            <w:noProof/>
            <w:color w:val="auto"/>
            <w:sz w:val="24"/>
            <w:szCs w:val="24"/>
          </w:rPr>
          <w:t>4.2.7 Tijdstip beoordeling bouwterrein</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_Toc254043939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55</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40" w:history="1">
        <w:r w:rsidR="00CC552D" w:rsidRPr="00484DAF">
          <w:rPr>
            <w:rStyle w:val="Hyperlink"/>
            <w:noProof/>
            <w:color w:val="auto"/>
            <w:sz w:val="24"/>
            <w:szCs w:val="24"/>
          </w:rPr>
          <w:t>4.3 Meervoudig grondgebruik</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_Toc254043940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56</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41" w:history="1">
        <w:r w:rsidR="00CC552D" w:rsidRPr="00484DAF">
          <w:rPr>
            <w:rStyle w:val="Hyperlink"/>
            <w:noProof/>
            <w:color w:val="auto"/>
            <w:sz w:val="24"/>
            <w:szCs w:val="24"/>
          </w:rPr>
          <w:t>4.4 Tussenconclusie IV</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_Toc254043941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57</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42" w:history="1">
        <w:r w:rsidR="00CC552D" w:rsidRPr="00484DAF">
          <w:rPr>
            <w:rStyle w:val="Hyperlink"/>
            <w:noProof/>
            <w:color w:val="auto"/>
            <w:sz w:val="24"/>
            <w:szCs w:val="24"/>
          </w:rPr>
          <w:t>Hoofdstuk 5: Gevolgen sloopwerkzaamheden voor ‘nieuw gebouw’ en ‘bouwterrein’</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_Toc254043942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58</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43" w:history="1">
        <w:r w:rsidR="00CC552D" w:rsidRPr="00484DAF">
          <w:rPr>
            <w:rStyle w:val="Hyperlink"/>
            <w:noProof/>
            <w:color w:val="auto"/>
            <w:sz w:val="24"/>
            <w:szCs w:val="24"/>
          </w:rPr>
          <w:t>5.1 Standpunt Staatssecretaris</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_Toc254043943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58</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44" w:history="1">
        <w:r w:rsidR="00CC552D" w:rsidRPr="00484DAF">
          <w:rPr>
            <w:rStyle w:val="Hyperlink"/>
            <w:noProof/>
            <w:color w:val="auto"/>
            <w:sz w:val="24"/>
            <w:szCs w:val="24"/>
          </w:rPr>
          <w:t>5.2 Oud onroerend goed – volledige sloop – bouwterrein</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_Toc254043944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59</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45" w:history="1">
        <w:r w:rsidR="00CC552D" w:rsidRPr="00484DAF">
          <w:rPr>
            <w:rStyle w:val="Hyperlink"/>
            <w:noProof/>
            <w:color w:val="auto"/>
            <w:sz w:val="24"/>
            <w:szCs w:val="24"/>
          </w:rPr>
          <w:t>5.2.1 Jeugdhonkarrest</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_Toc254043945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59</w:t>
        </w:r>
        <w:r w:rsidRPr="00484DAF">
          <w:rPr>
            <w:noProof/>
            <w:webHidden/>
            <w:sz w:val="24"/>
            <w:szCs w:val="24"/>
          </w:rPr>
          <w:fldChar w:fldCharType="end"/>
        </w:r>
      </w:hyperlink>
    </w:p>
    <w:p w:rsidR="00CC552D" w:rsidRPr="00484DAF" w:rsidRDefault="00BE5F7D" w:rsidP="00CC552D">
      <w:pPr>
        <w:pStyle w:val="Inhopg3"/>
        <w:tabs>
          <w:tab w:val="right" w:leader="dot" w:pos="9062"/>
        </w:tabs>
        <w:spacing w:line="360" w:lineRule="auto"/>
        <w:rPr>
          <w:rFonts w:eastAsiaTheme="minorEastAsia"/>
          <w:noProof/>
          <w:sz w:val="24"/>
          <w:szCs w:val="24"/>
          <w:lang w:eastAsia="nl-NL"/>
        </w:rPr>
      </w:pPr>
      <w:hyperlink w:anchor="_Toc254043946" w:history="1">
        <w:r w:rsidR="00CC552D" w:rsidRPr="00484DAF">
          <w:rPr>
            <w:rStyle w:val="Hyperlink"/>
            <w:noProof/>
            <w:color w:val="auto"/>
            <w:sz w:val="24"/>
            <w:szCs w:val="24"/>
          </w:rPr>
          <w:t>5.2.1.1 Geding</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_Toc254043946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59</w:t>
        </w:r>
        <w:r w:rsidRPr="00484DAF">
          <w:rPr>
            <w:noProof/>
            <w:webHidden/>
            <w:sz w:val="24"/>
            <w:szCs w:val="24"/>
          </w:rPr>
          <w:fldChar w:fldCharType="end"/>
        </w:r>
      </w:hyperlink>
    </w:p>
    <w:p w:rsidR="00CC552D" w:rsidRPr="00484DAF" w:rsidRDefault="00BE5F7D" w:rsidP="00CC552D">
      <w:pPr>
        <w:pStyle w:val="Inhopg3"/>
        <w:tabs>
          <w:tab w:val="right" w:leader="dot" w:pos="9062"/>
        </w:tabs>
        <w:spacing w:line="360" w:lineRule="auto"/>
        <w:rPr>
          <w:rFonts w:eastAsiaTheme="minorEastAsia"/>
          <w:noProof/>
          <w:sz w:val="24"/>
          <w:szCs w:val="24"/>
          <w:lang w:eastAsia="nl-NL"/>
        </w:rPr>
      </w:pPr>
      <w:hyperlink w:anchor="_Toc254043947" w:history="1">
        <w:r w:rsidR="00CC552D" w:rsidRPr="00484DAF">
          <w:rPr>
            <w:rStyle w:val="Hyperlink"/>
            <w:noProof/>
            <w:color w:val="auto"/>
            <w:sz w:val="24"/>
            <w:szCs w:val="24"/>
          </w:rPr>
          <w:t>5.2.1.2 Opmerkelijk</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_Toc254043947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60</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48" w:history="1">
        <w:r w:rsidR="00CC552D" w:rsidRPr="00484DAF">
          <w:rPr>
            <w:rStyle w:val="Hyperlink"/>
            <w:noProof/>
            <w:color w:val="auto"/>
            <w:sz w:val="24"/>
            <w:szCs w:val="24"/>
          </w:rPr>
          <w:t>5.2.2 Oogmerk relevant</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_Toc254043948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60</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49" w:history="1">
        <w:r w:rsidR="00CC552D" w:rsidRPr="00484DAF">
          <w:rPr>
            <w:rStyle w:val="Hyperlink"/>
            <w:noProof/>
            <w:color w:val="auto"/>
            <w:sz w:val="24"/>
            <w:szCs w:val="24"/>
          </w:rPr>
          <w:t>5.2.3 Verkeerde uitleg</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_Toc254043949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61</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50" w:history="1">
        <w:r w:rsidR="00CC552D" w:rsidRPr="00484DAF">
          <w:rPr>
            <w:rStyle w:val="Hyperlink"/>
            <w:noProof/>
            <w:color w:val="auto"/>
            <w:sz w:val="24"/>
            <w:szCs w:val="24"/>
          </w:rPr>
          <w:t>5.2.4 Twee wegen leiden naar bouwterrein</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_Toc254043950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62</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51" w:history="1">
        <w:r w:rsidR="00CC552D" w:rsidRPr="00484DAF">
          <w:rPr>
            <w:rStyle w:val="Hyperlink"/>
            <w:noProof/>
            <w:color w:val="auto"/>
            <w:sz w:val="24"/>
            <w:szCs w:val="24"/>
          </w:rPr>
          <w:t>5.3 Status Jeugdhonkarrest binnen recente jurisprudentie</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_Toc254043951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63</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52" w:history="1">
        <w:r w:rsidR="00CC552D" w:rsidRPr="00484DAF">
          <w:rPr>
            <w:rStyle w:val="Hyperlink"/>
            <w:noProof/>
            <w:color w:val="auto"/>
            <w:sz w:val="24"/>
            <w:szCs w:val="24"/>
          </w:rPr>
          <w:t>5.3.1 Gering kaliber egalisatiewerkzaamheden voldoende</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_Toc254043952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63</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53" w:history="1">
        <w:r w:rsidR="00CC552D" w:rsidRPr="00484DAF">
          <w:rPr>
            <w:rStyle w:val="Hyperlink"/>
            <w:noProof/>
            <w:color w:val="auto"/>
            <w:sz w:val="24"/>
            <w:szCs w:val="24"/>
          </w:rPr>
          <w:t>5.3.2 Motief doorslaggevend</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_Toc254043953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64</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54" w:history="1">
        <w:r w:rsidR="00CC552D" w:rsidRPr="00484DAF">
          <w:rPr>
            <w:rStyle w:val="Hyperlink"/>
            <w:noProof/>
            <w:color w:val="auto"/>
            <w:sz w:val="24"/>
            <w:szCs w:val="24"/>
          </w:rPr>
          <w:t>5.3.3 Ruimere bocht</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_Toc254043954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65</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55" w:history="1">
        <w:r w:rsidR="00CC552D" w:rsidRPr="00484DAF">
          <w:rPr>
            <w:rStyle w:val="Hyperlink"/>
            <w:noProof/>
            <w:color w:val="auto"/>
            <w:sz w:val="24"/>
            <w:szCs w:val="24"/>
          </w:rPr>
          <w:t>5.4 Oud onroerend goed – levering tijdens sloop - nieuw onroerend goed</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_Toc254043955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67</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56" w:history="1">
        <w:r w:rsidR="00CC552D" w:rsidRPr="00484DAF">
          <w:rPr>
            <w:rStyle w:val="Hyperlink"/>
            <w:noProof/>
            <w:color w:val="auto"/>
            <w:sz w:val="24"/>
            <w:szCs w:val="24"/>
          </w:rPr>
          <w:t>5.4.1 Garagearrest</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_Toc254043956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67</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57" w:history="1">
        <w:r w:rsidR="00CC552D" w:rsidRPr="00484DAF">
          <w:rPr>
            <w:rStyle w:val="Hyperlink"/>
            <w:noProof/>
            <w:color w:val="auto"/>
            <w:sz w:val="24"/>
            <w:szCs w:val="24"/>
          </w:rPr>
          <w:t>5.4.2 Standpunt belanghebbende</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_Toc254043957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68</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58" w:history="1">
        <w:r w:rsidR="00CC552D" w:rsidRPr="00484DAF">
          <w:rPr>
            <w:rStyle w:val="Hyperlink"/>
            <w:noProof/>
            <w:color w:val="auto"/>
            <w:sz w:val="24"/>
            <w:szCs w:val="24"/>
          </w:rPr>
          <w:t>5.4.3 Uitspraak Hof</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_Toc254043958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68</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59" w:history="1">
        <w:r w:rsidR="00CC552D" w:rsidRPr="00484DAF">
          <w:rPr>
            <w:rStyle w:val="Hyperlink"/>
            <w:noProof/>
            <w:color w:val="auto"/>
            <w:sz w:val="24"/>
            <w:szCs w:val="24"/>
          </w:rPr>
          <w:t>5.4.4 Conclusie A-G</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_Toc254043959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68</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60" w:history="1">
        <w:r w:rsidR="00CC552D" w:rsidRPr="00484DAF">
          <w:rPr>
            <w:rStyle w:val="Hyperlink"/>
            <w:noProof/>
            <w:color w:val="auto"/>
            <w:sz w:val="24"/>
            <w:szCs w:val="24"/>
          </w:rPr>
          <w:t>5.4.5 Arrest Hoge Raad</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_Toc254043960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69</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61" w:history="1">
        <w:r w:rsidR="00CC552D" w:rsidRPr="00484DAF">
          <w:rPr>
            <w:rStyle w:val="Hyperlink"/>
            <w:noProof/>
            <w:color w:val="auto"/>
            <w:sz w:val="24"/>
            <w:szCs w:val="24"/>
          </w:rPr>
          <w:t>5.4.6 Diverse meningen</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_Toc254043961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70</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62" w:history="1">
        <w:r w:rsidR="00CC552D" w:rsidRPr="00484DAF">
          <w:rPr>
            <w:rStyle w:val="Hyperlink"/>
            <w:noProof/>
            <w:color w:val="auto"/>
            <w:sz w:val="24"/>
            <w:szCs w:val="24"/>
          </w:rPr>
          <w:t>5.4.7 Timing</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_Toc254043962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71</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63" w:history="1">
        <w:r w:rsidR="00CC552D" w:rsidRPr="00484DAF">
          <w:rPr>
            <w:rStyle w:val="Hyperlink"/>
            <w:noProof/>
            <w:color w:val="auto"/>
            <w:sz w:val="24"/>
            <w:szCs w:val="24"/>
          </w:rPr>
          <w:t>5.5 Arrest Don Bosco Onroerend Goed BV</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_Toc254043963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71</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64" w:history="1">
        <w:r w:rsidR="00CC552D" w:rsidRPr="00484DAF">
          <w:rPr>
            <w:rStyle w:val="Hyperlink"/>
            <w:noProof/>
            <w:color w:val="auto"/>
            <w:sz w:val="24"/>
            <w:szCs w:val="24"/>
          </w:rPr>
          <w:t>5.5.1 Leidt gedeeltelijke sloop tot vervaardiging gebouw?</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_Toc254043964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72</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65" w:history="1">
        <w:r w:rsidR="00CC552D" w:rsidRPr="00484DAF">
          <w:rPr>
            <w:rStyle w:val="Hyperlink"/>
            <w:noProof/>
            <w:color w:val="auto"/>
            <w:sz w:val="24"/>
            <w:szCs w:val="24"/>
          </w:rPr>
          <w:t>5.5.2 Hof Amsterdam: geen vervaardiging</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_Toc254043965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72</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66" w:history="1">
        <w:r w:rsidR="00CC552D" w:rsidRPr="00484DAF">
          <w:rPr>
            <w:rStyle w:val="Hyperlink"/>
            <w:noProof/>
            <w:color w:val="auto"/>
            <w:sz w:val="24"/>
            <w:szCs w:val="24"/>
          </w:rPr>
          <w:t>5.5.3 Prejudiciële vragen</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_Toc254043966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73</w:t>
        </w:r>
        <w:r w:rsidRPr="00484DAF">
          <w:rPr>
            <w:noProof/>
            <w:webHidden/>
            <w:sz w:val="24"/>
            <w:szCs w:val="24"/>
          </w:rPr>
          <w:fldChar w:fldCharType="end"/>
        </w:r>
      </w:hyperlink>
    </w:p>
    <w:p w:rsidR="00CC552D" w:rsidRPr="00484DAF" w:rsidRDefault="00BE5F7D" w:rsidP="00CC552D">
      <w:pPr>
        <w:pStyle w:val="Inhopg3"/>
        <w:tabs>
          <w:tab w:val="right" w:leader="dot" w:pos="9062"/>
        </w:tabs>
        <w:spacing w:line="360" w:lineRule="auto"/>
        <w:rPr>
          <w:rFonts w:eastAsiaTheme="minorEastAsia"/>
          <w:noProof/>
          <w:sz w:val="24"/>
          <w:szCs w:val="24"/>
          <w:lang w:eastAsia="nl-NL"/>
        </w:rPr>
      </w:pPr>
      <w:hyperlink w:anchor="_Toc254043967" w:history="1">
        <w:r w:rsidR="00CC552D" w:rsidRPr="00484DAF">
          <w:rPr>
            <w:rStyle w:val="Hyperlink"/>
            <w:noProof/>
            <w:color w:val="auto"/>
            <w:sz w:val="24"/>
            <w:szCs w:val="24"/>
          </w:rPr>
          <w:t>5.5.3.1 ‘Elke’ levering voorafgaand aan eerste ingebruikname</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_Toc254043967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75</w:t>
        </w:r>
        <w:r w:rsidRPr="00484DAF">
          <w:rPr>
            <w:noProof/>
            <w:webHidden/>
            <w:sz w:val="24"/>
            <w:szCs w:val="24"/>
          </w:rPr>
          <w:fldChar w:fldCharType="end"/>
        </w:r>
      </w:hyperlink>
    </w:p>
    <w:p w:rsidR="00CC552D" w:rsidRPr="00484DAF" w:rsidRDefault="00BE5F7D" w:rsidP="00CC552D">
      <w:pPr>
        <w:pStyle w:val="Inhopg3"/>
        <w:tabs>
          <w:tab w:val="right" w:leader="dot" w:pos="9062"/>
        </w:tabs>
        <w:spacing w:line="360" w:lineRule="auto"/>
        <w:rPr>
          <w:rFonts w:eastAsiaTheme="minorEastAsia"/>
          <w:noProof/>
          <w:sz w:val="24"/>
          <w:szCs w:val="24"/>
          <w:lang w:eastAsia="nl-NL"/>
        </w:rPr>
      </w:pPr>
      <w:hyperlink w:anchor="_Toc254043968" w:history="1">
        <w:r w:rsidR="00CC552D" w:rsidRPr="00484DAF">
          <w:rPr>
            <w:rStyle w:val="Hyperlink"/>
            <w:noProof/>
            <w:color w:val="auto"/>
            <w:sz w:val="24"/>
            <w:szCs w:val="24"/>
          </w:rPr>
          <w:t>5.5.3.2 Neutraliteitsbeginsel</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_Toc254043968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75</w:t>
        </w:r>
        <w:r w:rsidRPr="00484DAF">
          <w:rPr>
            <w:noProof/>
            <w:webHidden/>
            <w:sz w:val="24"/>
            <w:szCs w:val="24"/>
          </w:rPr>
          <w:fldChar w:fldCharType="end"/>
        </w:r>
      </w:hyperlink>
    </w:p>
    <w:p w:rsidR="00CC552D" w:rsidRPr="00484DAF" w:rsidRDefault="00BE5F7D" w:rsidP="00CC552D">
      <w:pPr>
        <w:pStyle w:val="Inhopg3"/>
        <w:tabs>
          <w:tab w:val="right" w:leader="dot" w:pos="9062"/>
        </w:tabs>
        <w:spacing w:line="360" w:lineRule="auto"/>
        <w:rPr>
          <w:rFonts w:eastAsiaTheme="minorEastAsia"/>
          <w:noProof/>
          <w:sz w:val="24"/>
          <w:szCs w:val="24"/>
          <w:lang w:eastAsia="nl-NL"/>
        </w:rPr>
      </w:pPr>
      <w:hyperlink w:anchor="_Toc254043969" w:history="1">
        <w:r w:rsidR="00CC552D" w:rsidRPr="00484DAF">
          <w:rPr>
            <w:rStyle w:val="Hyperlink"/>
            <w:noProof/>
            <w:color w:val="auto"/>
            <w:sz w:val="24"/>
            <w:szCs w:val="24"/>
          </w:rPr>
          <w:t>5.5.3.3 Tweesprong</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_Toc254043969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76</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70" w:history="1">
        <w:r w:rsidR="00CC552D" w:rsidRPr="00484DAF">
          <w:rPr>
            <w:rStyle w:val="Hyperlink"/>
            <w:noProof/>
            <w:color w:val="auto"/>
            <w:sz w:val="24"/>
            <w:szCs w:val="24"/>
          </w:rPr>
          <w:t>5.5.4 Diverse meningen</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_Toc254043970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77</w:t>
        </w:r>
        <w:r w:rsidRPr="00484DAF">
          <w:rPr>
            <w:noProof/>
            <w:webHidden/>
            <w:sz w:val="24"/>
            <w:szCs w:val="24"/>
          </w:rPr>
          <w:fldChar w:fldCharType="end"/>
        </w:r>
      </w:hyperlink>
    </w:p>
    <w:p w:rsidR="00CC552D" w:rsidRPr="00484DAF" w:rsidRDefault="00BE5F7D" w:rsidP="00CC552D">
      <w:pPr>
        <w:pStyle w:val="Inhopg3"/>
        <w:tabs>
          <w:tab w:val="right" w:leader="dot" w:pos="9062"/>
        </w:tabs>
        <w:spacing w:line="360" w:lineRule="auto"/>
        <w:rPr>
          <w:rFonts w:eastAsiaTheme="minorEastAsia"/>
          <w:noProof/>
          <w:sz w:val="24"/>
          <w:szCs w:val="24"/>
          <w:lang w:eastAsia="nl-NL"/>
        </w:rPr>
      </w:pPr>
      <w:hyperlink w:anchor="_Toc254043971" w:history="1">
        <w:r w:rsidR="00CC552D" w:rsidRPr="00484DAF">
          <w:rPr>
            <w:rStyle w:val="Hyperlink"/>
            <w:noProof/>
            <w:color w:val="auto"/>
            <w:sz w:val="24"/>
            <w:szCs w:val="24"/>
          </w:rPr>
          <w:t>5.5.4.1 ‘Vóór (…) eerste ingebruikneming’ of ‘voor (…) eerste ingebruikneming’?</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_Toc254043971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77</w:t>
        </w:r>
        <w:r w:rsidRPr="00484DAF">
          <w:rPr>
            <w:noProof/>
            <w:webHidden/>
            <w:sz w:val="24"/>
            <w:szCs w:val="24"/>
          </w:rPr>
          <w:fldChar w:fldCharType="end"/>
        </w:r>
      </w:hyperlink>
    </w:p>
    <w:p w:rsidR="00CC552D" w:rsidRPr="00484DAF" w:rsidRDefault="00BE5F7D" w:rsidP="00CC552D">
      <w:pPr>
        <w:pStyle w:val="Inhopg3"/>
        <w:tabs>
          <w:tab w:val="right" w:leader="dot" w:pos="9062"/>
        </w:tabs>
        <w:spacing w:line="360" w:lineRule="auto"/>
        <w:rPr>
          <w:rFonts w:eastAsiaTheme="minorEastAsia"/>
          <w:noProof/>
          <w:sz w:val="24"/>
          <w:szCs w:val="24"/>
          <w:lang w:eastAsia="nl-NL"/>
        </w:rPr>
      </w:pPr>
      <w:hyperlink w:anchor="_Toc254043972" w:history="1">
        <w:r w:rsidR="00CC552D" w:rsidRPr="00484DAF">
          <w:rPr>
            <w:rStyle w:val="Hyperlink"/>
            <w:noProof/>
            <w:color w:val="auto"/>
            <w:sz w:val="24"/>
            <w:szCs w:val="24"/>
          </w:rPr>
          <w:t>5.5.4.2 Prejudiciële vragen (on)nodig?</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_Toc254043972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78</w:t>
        </w:r>
        <w:r w:rsidRPr="00484DAF">
          <w:rPr>
            <w:noProof/>
            <w:webHidden/>
            <w:sz w:val="24"/>
            <w:szCs w:val="24"/>
          </w:rPr>
          <w:fldChar w:fldCharType="end"/>
        </w:r>
      </w:hyperlink>
    </w:p>
    <w:p w:rsidR="00CC552D" w:rsidRPr="00484DAF" w:rsidRDefault="00BE5F7D" w:rsidP="00CC552D">
      <w:pPr>
        <w:pStyle w:val="Inhopg3"/>
        <w:tabs>
          <w:tab w:val="right" w:leader="dot" w:pos="9062"/>
        </w:tabs>
        <w:spacing w:line="360" w:lineRule="auto"/>
        <w:rPr>
          <w:rFonts w:eastAsiaTheme="minorEastAsia"/>
          <w:noProof/>
          <w:sz w:val="24"/>
          <w:szCs w:val="24"/>
          <w:lang w:eastAsia="nl-NL"/>
        </w:rPr>
      </w:pPr>
      <w:hyperlink w:anchor="_Toc254043973" w:history="1">
        <w:r w:rsidR="00CC552D" w:rsidRPr="00484DAF">
          <w:rPr>
            <w:rStyle w:val="Hyperlink"/>
            <w:noProof/>
            <w:color w:val="auto"/>
            <w:sz w:val="24"/>
            <w:szCs w:val="24"/>
          </w:rPr>
          <w:t>5.5.4.3 Sloop als bepalend criterium</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_Toc254043973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79</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74" w:history="1">
        <w:r w:rsidR="00CC552D" w:rsidRPr="00484DAF">
          <w:rPr>
            <w:rStyle w:val="Hyperlink"/>
            <w:noProof/>
            <w:color w:val="auto"/>
            <w:sz w:val="24"/>
            <w:szCs w:val="24"/>
          </w:rPr>
          <w:t>5.5.5 Opmerkelijk arrest HvJ EG</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_Toc254043974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80</w:t>
        </w:r>
        <w:r w:rsidRPr="00484DAF">
          <w:rPr>
            <w:noProof/>
            <w:webHidden/>
            <w:sz w:val="24"/>
            <w:szCs w:val="24"/>
          </w:rPr>
          <w:fldChar w:fldCharType="end"/>
        </w:r>
      </w:hyperlink>
    </w:p>
    <w:p w:rsidR="00CC552D" w:rsidRPr="00484DAF" w:rsidRDefault="00BE5F7D" w:rsidP="00CC552D">
      <w:pPr>
        <w:pStyle w:val="Inhopg3"/>
        <w:tabs>
          <w:tab w:val="right" w:leader="dot" w:pos="9062"/>
        </w:tabs>
        <w:spacing w:line="360" w:lineRule="auto"/>
        <w:rPr>
          <w:rFonts w:eastAsiaTheme="minorEastAsia"/>
          <w:noProof/>
          <w:sz w:val="24"/>
          <w:szCs w:val="24"/>
          <w:lang w:eastAsia="nl-NL"/>
        </w:rPr>
      </w:pPr>
      <w:hyperlink w:anchor="_Toc254043975" w:history="1">
        <w:r w:rsidR="00CC552D" w:rsidRPr="00484DAF">
          <w:rPr>
            <w:rStyle w:val="Hyperlink"/>
            <w:noProof/>
            <w:color w:val="auto"/>
            <w:sz w:val="24"/>
            <w:szCs w:val="24"/>
          </w:rPr>
          <w:t>5.5.5.1 Eén prestatie</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_Toc254043975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80</w:t>
        </w:r>
        <w:r w:rsidRPr="00484DAF">
          <w:rPr>
            <w:noProof/>
            <w:webHidden/>
            <w:sz w:val="24"/>
            <w:szCs w:val="24"/>
          </w:rPr>
          <w:fldChar w:fldCharType="end"/>
        </w:r>
      </w:hyperlink>
    </w:p>
    <w:p w:rsidR="00CC552D" w:rsidRPr="00484DAF" w:rsidRDefault="00BE5F7D" w:rsidP="00CC552D">
      <w:pPr>
        <w:pStyle w:val="Inhopg3"/>
        <w:tabs>
          <w:tab w:val="right" w:leader="dot" w:pos="9062"/>
        </w:tabs>
        <w:spacing w:line="360" w:lineRule="auto"/>
        <w:rPr>
          <w:rFonts w:eastAsiaTheme="minorEastAsia"/>
          <w:noProof/>
          <w:sz w:val="24"/>
          <w:szCs w:val="24"/>
          <w:lang w:eastAsia="nl-NL"/>
        </w:rPr>
      </w:pPr>
      <w:hyperlink w:anchor="_Toc254043976" w:history="1">
        <w:r w:rsidR="00CC552D" w:rsidRPr="00484DAF">
          <w:rPr>
            <w:rStyle w:val="Hyperlink"/>
            <w:noProof/>
            <w:color w:val="auto"/>
            <w:sz w:val="24"/>
            <w:szCs w:val="24"/>
          </w:rPr>
          <w:t>5.5.5.2 Levering onbebouwd terrein</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_Toc254043976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81</w:t>
        </w:r>
        <w:r w:rsidRPr="00484DAF">
          <w:rPr>
            <w:noProof/>
            <w:webHidden/>
            <w:sz w:val="24"/>
            <w:szCs w:val="24"/>
          </w:rPr>
          <w:fldChar w:fldCharType="end"/>
        </w:r>
      </w:hyperlink>
    </w:p>
    <w:p w:rsidR="00CC552D" w:rsidRPr="00484DAF" w:rsidRDefault="00BE5F7D" w:rsidP="00CC552D">
      <w:pPr>
        <w:pStyle w:val="Inhopg3"/>
        <w:tabs>
          <w:tab w:val="right" w:leader="dot" w:pos="9062"/>
        </w:tabs>
        <w:spacing w:line="360" w:lineRule="auto"/>
        <w:rPr>
          <w:rFonts w:eastAsiaTheme="minorEastAsia"/>
          <w:noProof/>
          <w:sz w:val="24"/>
          <w:szCs w:val="24"/>
          <w:lang w:eastAsia="nl-NL"/>
        </w:rPr>
      </w:pPr>
      <w:hyperlink w:anchor="_Toc254043977" w:history="1">
        <w:r w:rsidR="00CC552D" w:rsidRPr="00484DAF">
          <w:rPr>
            <w:rStyle w:val="Hyperlink"/>
            <w:noProof/>
            <w:color w:val="auto"/>
            <w:sz w:val="24"/>
            <w:szCs w:val="24"/>
          </w:rPr>
          <w:t>5.5.5.3 Vraagtekens</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_Toc254043977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82</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78" w:history="1">
        <w:r w:rsidR="00CC552D" w:rsidRPr="00484DAF">
          <w:rPr>
            <w:rStyle w:val="Hyperlink"/>
            <w:noProof/>
            <w:color w:val="auto"/>
            <w:sz w:val="24"/>
            <w:szCs w:val="24"/>
          </w:rPr>
          <w:t>5.6 ‘Vervaardigingarrest’ HvJ EG inzake Don Bosco Onroerend Goed BV</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_Toc254043978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83</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79" w:history="1">
        <w:r w:rsidR="00CC552D" w:rsidRPr="00484DAF">
          <w:rPr>
            <w:rStyle w:val="Hyperlink"/>
            <w:noProof/>
            <w:color w:val="auto"/>
            <w:sz w:val="24"/>
            <w:szCs w:val="24"/>
          </w:rPr>
          <w:t>5.7 Tussenconclusie</w:t>
        </w:r>
        <w:r w:rsidR="00D12918">
          <w:rPr>
            <w:rStyle w:val="Hyperlink"/>
            <w:noProof/>
            <w:color w:val="auto"/>
            <w:sz w:val="24"/>
            <w:szCs w:val="24"/>
          </w:rPr>
          <w:t xml:space="preserve"> V</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_Toc254043979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86</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80" w:history="1">
        <w:r w:rsidR="00CC552D" w:rsidRPr="00484DAF">
          <w:rPr>
            <w:rStyle w:val="Hyperlink"/>
            <w:noProof/>
            <w:color w:val="auto"/>
            <w:sz w:val="24"/>
            <w:szCs w:val="24"/>
          </w:rPr>
          <w:t>Hoofdstuk 6: Behandeling onroerend goed in andere lidstaten</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_Toc254043980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88</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81" w:history="1">
        <w:r w:rsidR="00CC552D" w:rsidRPr="00484DAF">
          <w:rPr>
            <w:rStyle w:val="Hyperlink"/>
            <w:noProof/>
            <w:color w:val="auto"/>
            <w:sz w:val="24"/>
            <w:szCs w:val="24"/>
          </w:rPr>
          <w:t>6.1 België</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_Toc254043981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88</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82" w:history="1">
        <w:r w:rsidR="00CC552D" w:rsidRPr="00484DAF">
          <w:rPr>
            <w:rStyle w:val="Hyperlink"/>
            <w:noProof/>
            <w:color w:val="auto"/>
            <w:sz w:val="24"/>
            <w:szCs w:val="24"/>
          </w:rPr>
          <w:t>6.2 Luxemburg</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_Toc254043982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89</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83" w:history="1">
        <w:r w:rsidR="00CC552D" w:rsidRPr="00484DAF">
          <w:rPr>
            <w:rStyle w:val="Hyperlink"/>
            <w:noProof/>
            <w:color w:val="auto"/>
            <w:sz w:val="24"/>
            <w:szCs w:val="24"/>
          </w:rPr>
          <w:t>6.3 Duitsland</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_Toc254043983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90</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84" w:history="1">
        <w:r w:rsidR="00CC552D" w:rsidRPr="00484DAF">
          <w:rPr>
            <w:rStyle w:val="Hyperlink"/>
            <w:noProof/>
            <w:color w:val="auto"/>
            <w:sz w:val="24"/>
            <w:szCs w:val="24"/>
          </w:rPr>
          <w:t>6.4 Frankrijk</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_Toc254043984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91</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85" w:history="1">
        <w:r w:rsidR="00CC552D" w:rsidRPr="00484DAF">
          <w:rPr>
            <w:rStyle w:val="Hyperlink"/>
            <w:noProof/>
            <w:color w:val="auto"/>
            <w:sz w:val="24"/>
            <w:szCs w:val="24"/>
          </w:rPr>
          <w:t>6.5 Verenigd Koninkrijk</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_Toc254043985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92</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86" w:history="1">
        <w:r w:rsidR="00CC552D" w:rsidRPr="00484DAF">
          <w:rPr>
            <w:rStyle w:val="Hyperlink"/>
            <w:noProof/>
            <w:color w:val="auto"/>
            <w:sz w:val="24"/>
            <w:szCs w:val="24"/>
          </w:rPr>
          <w:t>6.6 Spanje</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_Toc254043986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93</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87" w:history="1">
        <w:r w:rsidR="00CC552D" w:rsidRPr="00484DAF">
          <w:rPr>
            <w:rStyle w:val="Hyperlink"/>
            <w:noProof/>
            <w:color w:val="auto"/>
            <w:sz w:val="24"/>
            <w:szCs w:val="24"/>
          </w:rPr>
          <w:t>6.7 Italië</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_Toc254043987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94</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88" w:history="1">
        <w:r w:rsidR="00CC552D" w:rsidRPr="00484DAF">
          <w:rPr>
            <w:rStyle w:val="Hyperlink"/>
            <w:noProof/>
            <w:color w:val="auto"/>
            <w:sz w:val="24"/>
            <w:szCs w:val="24"/>
          </w:rPr>
          <w:t>6.8 Tussenconclusie VI</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_Toc254043988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94</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89" w:history="1">
        <w:r w:rsidR="00CC552D" w:rsidRPr="00484DAF">
          <w:rPr>
            <w:rStyle w:val="Hyperlink"/>
            <w:noProof/>
            <w:color w:val="auto"/>
            <w:sz w:val="24"/>
            <w:szCs w:val="24"/>
          </w:rPr>
          <w:t>Hoofdstuk 7: Aanpassingen begrippen ‘gebouw’ en ‘bouwterrein’</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_Toc254043989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97</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90" w:history="1">
        <w:r w:rsidR="00CC552D" w:rsidRPr="00484DAF">
          <w:rPr>
            <w:rStyle w:val="Hyperlink"/>
            <w:noProof/>
            <w:color w:val="auto"/>
            <w:sz w:val="24"/>
            <w:szCs w:val="24"/>
          </w:rPr>
          <w:t>7.1 Nederlands gebouw staat als een huis</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_Toc254043990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97</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91" w:history="1">
        <w:r w:rsidR="00CC552D" w:rsidRPr="00484DAF">
          <w:rPr>
            <w:rStyle w:val="Hyperlink"/>
            <w:noProof/>
            <w:color w:val="auto"/>
            <w:sz w:val="24"/>
            <w:szCs w:val="24"/>
          </w:rPr>
          <w:t>7.2 Nederlands bouwterrein ‘begrensd’ ten opzichte van Europees bouwterrein</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_Toc254043991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97</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92" w:history="1">
        <w:r w:rsidR="00CC552D" w:rsidRPr="00484DAF">
          <w:rPr>
            <w:rStyle w:val="Hyperlink"/>
            <w:noProof/>
            <w:color w:val="auto"/>
            <w:sz w:val="24"/>
            <w:szCs w:val="24"/>
          </w:rPr>
          <w:t>7.2.1 Nederlands begrip</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_Toc254043992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98</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3993" w:history="1">
        <w:r w:rsidR="00CC552D" w:rsidRPr="00484DAF">
          <w:rPr>
            <w:rStyle w:val="Hyperlink"/>
            <w:noProof/>
            <w:color w:val="auto"/>
            <w:sz w:val="24"/>
            <w:szCs w:val="24"/>
          </w:rPr>
          <w:t>7.2.2 Aanbevelingen met betrekking tot bouwterrein</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_Toc254043993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98</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94" w:history="1">
        <w:r w:rsidR="00CC552D" w:rsidRPr="00484DAF">
          <w:rPr>
            <w:rStyle w:val="Hyperlink"/>
            <w:noProof/>
            <w:color w:val="auto"/>
            <w:sz w:val="24"/>
            <w:szCs w:val="24"/>
          </w:rPr>
          <w:t>7.3 Vervaardigen van een gebouw (al dan niet door sloop)</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_Toc254043994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99</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95" w:history="1">
        <w:r w:rsidR="00CC552D" w:rsidRPr="00484DAF">
          <w:rPr>
            <w:rStyle w:val="Hyperlink"/>
            <w:noProof/>
            <w:color w:val="auto"/>
            <w:sz w:val="24"/>
            <w:szCs w:val="24"/>
          </w:rPr>
          <w:t>7.4 Vervaardigen van een bouwterrein (al dan niet door sloop)</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_Toc254043995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100</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96" w:history="1">
        <w:r w:rsidR="00CC552D" w:rsidRPr="00484DAF">
          <w:rPr>
            <w:rStyle w:val="Hyperlink"/>
            <w:noProof/>
            <w:color w:val="auto"/>
            <w:sz w:val="24"/>
            <w:szCs w:val="24"/>
          </w:rPr>
          <w:t>7.5 Probleem bij toepassing samenloopvrijstelling?</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_Toc254043996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101</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97" w:history="1">
        <w:r w:rsidR="00CC552D" w:rsidRPr="00484DAF">
          <w:rPr>
            <w:rStyle w:val="Hyperlink"/>
            <w:noProof/>
            <w:color w:val="auto"/>
            <w:sz w:val="24"/>
            <w:szCs w:val="24"/>
          </w:rPr>
          <w:t>7.6 Rekenvoorbeeld</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_Toc254043997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102</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98" w:history="1">
        <w:r w:rsidR="00CC552D" w:rsidRPr="00484DAF">
          <w:rPr>
            <w:rStyle w:val="Hyperlink"/>
            <w:noProof/>
            <w:color w:val="auto"/>
            <w:sz w:val="24"/>
            <w:szCs w:val="24"/>
          </w:rPr>
          <w:t>7.7 Tussenconclusie VII</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_Toc254043998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103</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3999" w:history="1">
        <w:r w:rsidR="00CC552D" w:rsidRPr="00484DAF">
          <w:rPr>
            <w:rStyle w:val="Hyperlink"/>
            <w:noProof/>
            <w:color w:val="auto"/>
            <w:sz w:val="24"/>
            <w:szCs w:val="24"/>
          </w:rPr>
          <w:t>Conclusie</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_Toc254043999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105</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4000" w:history="1">
        <w:r w:rsidR="00CC552D" w:rsidRPr="00484DAF">
          <w:rPr>
            <w:rStyle w:val="Hyperlink"/>
            <w:noProof/>
            <w:color w:val="auto"/>
            <w:sz w:val="24"/>
            <w:szCs w:val="24"/>
          </w:rPr>
          <w:t>Literatuurlijst</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_Toc254044000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109</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4001" w:history="1">
        <w:r w:rsidR="00CC552D" w:rsidRPr="00484DAF">
          <w:rPr>
            <w:rStyle w:val="Hyperlink"/>
            <w:noProof/>
            <w:color w:val="auto"/>
            <w:sz w:val="24"/>
            <w:szCs w:val="24"/>
          </w:rPr>
          <w:t>Boeken</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_Toc254044001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109</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4002" w:history="1">
        <w:r w:rsidR="00CC552D" w:rsidRPr="00484DAF">
          <w:rPr>
            <w:rStyle w:val="Hyperlink"/>
            <w:noProof/>
            <w:color w:val="auto"/>
            <w:sz w:val="24"/>
            <w:szCs w:val="24"/>
          </w:rPr>
          <w:t>Artikelen</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_Toc254044002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109</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4003" w:history="1">
        <w:r w:rsidR="00CC552D" w:rsidRPr="00484DAF">
          <w:rPr>
            <w:rStyle w:val="Hyperlink"/>
            <w:noProof/>
            <w:color w:val="auto"/>
            <w:sz w:val="24"/>
            <w:szCs w:val="24"/>
          </w:rPr>
          <w:t>Naslagwerken</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_Toc254044003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112</w:t>
        </w:r>
        <w:r w:rsidRPr="00484DAF">
          <w:rPr>
            <w:noProof/>
            <w:webHidden/>
            <w:sz w:val="24"/>
            <w:szCs w:val="24"/>
          </w:rPr>
          <w:fldChar w:fldCharType="end"/>
        </w:r>
      </w:hyperlink>
    </w:p>
    <w:p w:rsidR="00CC552D" w:rsidRPr="00484DAF" w:rsidRDefault="00BE5F7D" w:rsidP="00CC552D">
      <w:pPr>
        <w:pStyle w:val="Inhopg1"/>
        <w:tabs>
          <w:tab w:val="right" w:leader="dot" w:pos="9062"/>
        </w:tabs>
        <w:spacing w:line="360" w:lineRule="auto"/>
        <w:rPr>
          <w:rFonts w:eastAsiaTheme="minorEastAsia"/>
          <w:noProof/>
          <w:sz w:val="24"/>
          <w:szCs w:val="24"/>
          <w:lang w:eastAsia="nl-NL"/>
        </w:rPr>
      </w:pPr>
      <w:hyperlink w:anchor="_Toc254044004" w:history="1">
        <w:r w:rsidR="00CC552D" w:rsidRPr="00484DAF">
          <w:rPr>
            <w:rStyle w:val="Hyperlink"/>
            <w:noProof/>
            <w:color w:val="auto"/>
            <w:sz w:val="24"/>
            <w:szCs w:val="24"/>
          </w:rPr>
          <w:t>Jurisprudentielijst</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_Toc254044004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114</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4005" w:history="1">
        <w:r w:rsidR="00CC552D" w:rsidRPr="00484DAF">
          <w:rPr>
            <w:rStyle w:val="Hyperlink"/>
            <w:noProof/>
            <w:color w:val="auto"/>
            <w:sz w:val="24"/>
            <w:szCs w:val="24"/>
          </w:rPr>
          <w:t>Besluiten/kamerstukken</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_Toc254044005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114</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4006" w:history="1">
        <w:r w:rsidR="00CC552D" w:rsidRPr="00484DAF">
          <w:rPr>
            <w:rStyle w:val="Hyperlink"/>
            <w:noProof/>
            <w:color w:val="auto"/>
            <w:sz w:val="24"/>
            <w:szCs w:val="24"/>
          </w:rPr>
          <w:t>Rechtbanken</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_Toc254044006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114</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4007" w:history="1">
        <w:r w:rsidR="00CC552D" w:rsidRPr="00484DAF">
          <w:rPr>
            <w:rStyle w:val="Hyperlink"/>
            <w:noProof/>
            <w:color w:val="auto"/>
            <w:sz w:val="24"/>
            <w:szCs w:val="24"/>
          </w:rPr>
          <w:t>Gerechtshoven</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_Toc254044007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114</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4008" w:history="1">
        <w:r w:rsidR="00CC552D" w:rsidRPr="00484DAF">
          <w:rPr>
            <w:rStyle w:val="Hyperlink"/>
            <w:noProof/>
            <w:color w:val="auto"/>
            <w:sz w:val="24"/>
            <w:szCs w:val="24"/>
          </w:rPr>
          <w:t>Hoge Raad</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_Toc254044008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115</w:t>
        </w:r>
        <w:r w:rsidRPr="00484DAF">
          <w:rPr>
            <w:noProof/>
            <w:webHidden/>
            <w:sz w:val="24"/>
            <w:szCs w:val="24"/>
          </w:rPr>
          <w:fldChar w:fldCharType="end"/>
        </w:r>
      </w:hyperlink>
    </w:p>
    <w:p w:rsidR="00CC552D" w:rsidRPr="00484DAF" w:rsidRDefault="00BE5F7D" w:rsidP="00CC552D">
      <w:pPr>
        <w:pStyle w:val="Inhopg2"/>
        <w:tabs>
          <w:tab w:val="right" w:leader="dot" w:pos="9062"/>
        </w:tabs>
        <w:spacing w:line="360" w:lineRule="auto"/>
        <w:rPr>
          <w:rFonts w:eastAsiaTheme="minorEastAsia"/>
          <w:noProof/>
          <w:sz w:val="24"/>
          <w:szCs w:val="24"/>
          <w:lang w:eastAsia="nl-NL"/>
        </w:rPr>
      </w:pPr>
      <w:hyperlink w:anchor="_Toc254044009" w:history="1">
        <w:r w:rsidR="00CC552D" w:rsidRPr="00484DAF">
          <w:rPr>
            <w:rStyle w:val="Hyperlink"/>
            <w:noProof/>
            <w:color w:val="auto"/>
            <w:sz w:val="24"/>
            <w:szCs w:val="24"/>
          </w:rPr>
          <w:t>Europees Hof van Justitie</w:t>
        </w:r>
        <w:r w:rsidR="00CC552D" w:rsidRPr="00484DAF">
          <w:rPr>
            <w:noProof/>
            <w:webHidden/>
            <w:sz w:val="24"/>
            <w:szCs w:val="24"/>
          </w:rPr>
          <w:tab/>
        </w:r>
        <w:r w:rsidRPr="00484DAF">
          <w:rPr>
            <w:noProof/>
            <w:webHidden/>
            <w:sz w:val="24"/>
            <w:szCs w:val="24"/>
          </w:rPr>
          <w:fldChar w:fldCharType="begin"/>
        </w:r>
        <w:r w:rsidR="00CC552D" w:rsidRPr="00484DAF">
          <w:rPr>
            <w:noProof/>
            <w:webHidden/>
            <w:sz w:val="24"/>
            <w:szCs w:val="24"/>
          </w:rPr>
          <w:instrText xml:space="preserve"> PAGEREF _Toc254044009 \h </w:instrText>
        </w:r>
        <w:r w:rsidRPr="00484DAF">
          <w:rPr>
            <w:noProof/>
            <w:webHidden/>
            <w:sz w:val="24"/>
            <w:szCs w:val="24"/>
          </w:rPr>
        </w:r>
        <w:r w:rsidRPr="00484DAF">
          <w:rPr>
            <w:noProof/>
            <w:webHidden/>
            <w:sz w:val="24"/>
            <w:szCs w:val="24"/>
          </w:rPr>
          <w:fldChar w:fldCharType="separate"/>
        </w:r>
        <w:r w:rsidR="00CC552D" w:rsidRPr="00484DAF">
          <w:rPr>
            <w:noProof/>
            <w:webHidden/>
            <w:sz w:val="24"/>
            <w:szCs w:val="24"/>
          </w:rPr>
          <w:t>116</w:t>
        </w:r>
        <w:r w:rsidRPr="00484DAF">
          <w:rPr>
            <w:noProof/>
            <w:webHidden/>
            <w:sz w:val="24"/>
            <w:szCs w:val="24"/>
          </w:rPr>
          <w:fldChar w:fldCharType="end"/>
        </w:r>
      </w:hyperlink>
    </w:p>
    <w:p w:rsidR="00B00E2C" w:rsidRPr="00484DAF" w:rsidRDefault="00BE5F7D" w:rsidP="00CC552D">
      <w:pPr>
        <w:pStyle w:val="Kop1"/>
        <w:spacing w:before="0" w:line="360" w:lineRule="auto"/>
        <w:rPr>
          <w:rFonts w:ascii="Times New Roman" w:hAnsi="Times New Roman"/>
          <w:color w:val="auto"/>
          <w:sz w:val="24"/>
          <w:szCs w:val="24"/>
        </w:rPr>
      </w:pPr>
      <w:r w:rsidRPr="00484DAF">
        <w:rPr>
          <w:rFonts w:ascii="Times New Roman" w:hAnsi="Times New Roman"/>
          <w:color w:val="auto"/>
          <w:sz w:val="24"/>
          <w:szCs w:val="24"/>
        </w:rPr>
        <w:fldChar w:fldCharType="end"/>
      </w:r>
    </w:p>
    <w:p w:rsidR="00B00E2C" w:rsidRPr="00484DAF" w:rsidRDefault="00B00E2C" w:rsidP="00CC552D">
      <w:pPr>
        <w:spacing w:after="0" w:line="360" w:lineRule="auto"/>
        <w:rPr>
          <w:rFonts w:eastAsia="Times New Roman"/>
          <w:sz w:val="24"/>
          <w:szCs w:val="24"/>
        </w:rPr>
      </w:pPr>
      <w:r w:rsidRPr="00484DAF">
        <w:rPr>
          <w:sz w:val="24"/>
          <w:szCs w:val="24"/>
        </w:rPr>
        <w:br w:type="page"/>
      </w:r>
    </w:p>
    <w:p w:rsidR="00D05673" w:rsidRPr="00484DAF" w:rsidRDefault="00D05673" w:rsidP="00CC552D">
      <w:pPr>
        <w:pStyle w:val="Kop1"/>
        <w:spacing w:before="0" w:line="360" w:lineRule="auto"/>
        <w:rPr>
          <w:rFonts w:ascii="Times New Roman" w:hAnsi="Times New Roman"/>
          <w:color w:val="auto"/>
          <w:sz w:val="24"/>
          <w:szCs w:val="24"/>
        </w:rPr>
      </w:pPr>
      <w:bookmarkStart w:id="2" w:name="_Toc254043876"/>
      <w:r w:rsidRPr="00484DAF">
        <w:rPr>
          <w:rFonts w:ascii="Times New Roman" w:hAnsi="Times New Roman"/>
          <w:color w:val="auto"/>
          <w:sz w:val="24"/>
          <w:szCs w:val="24"/>
        </w:rPr>
        <w:lastRenderedPageBreak/>
        <w:t>Inleiding</w:t>
      </w:r>
      <w:bookmarkEnd w:id="2"/>
    </w:p>
    <w:p w:rsidR="00F75A3F" w:rsidRPr="00484DAF" w:rsidRDefault="00F75A3F" w:rsidP="00CC552D">
      <w:pPr>
        <w:spacing w:after="0" w:line="360" w:lineRule="auto"/>
        <w:rPr>
          <w:sz w:val="24"/>
          <w:szCs w:val="24"/>
        </w:rPr>
      </w:pPr>
      <w:r w:rsidRPr="00484DAF">
        <w:rPr>
          <w:sz w:val="24"/>
          <w:szCs w:val="24"/>
        </w:rPr>
        <w:t>In tijden van crisis dient ieder dubbeltje te worden omgedraaid. Waar belasting kan worden bespaard, wordt die mogelijkheid gretig aangegrepen. Zo ook in de bouwsector. Deze scriptie handelt over de levering van onroerend goed welke al dan niet vrijgesteld van omzetbelasting kan plaatsvinden. Vrijstelling van BTW klinkt positief, maar daarbij moet niet uit het oog worden verloren dat bij vrijgestelde leveringen geen recht op aftrek voorbelasting bestaat. Een domper voor de aannemer? Het antwoord hierop luidt niet per definitie bevestigend. De overdrachtsbelasting kent namelijk een vrijstelling voor de verkrijging van onroerend goed indien bij de levering van datzelfde goed reeds BTW is voldaan. Aangezien de overdrachtsbelasting in de aankoopsom een niet aftrekbare kostenpost vormt (dit in tegenstelling tot de wel in vooraftrek te brengen omzetbelasting), is dit een welkome vrijstelling in de ogen van de aannemer. Daar bouwprojecten vaak een omvang van honderdduizenden á miljoenen euro’s kennen, is elke procent belastingvrijstelling meegenomen.</w:t>
      </w:r>
    </w:p>
    <w:p w:rsidR="00F75A3F" w:rsidRPr="00484DAF" w:rsidRDefault="00F75A3F" w:rsidP="00CC552D">
      <w:pPr>
        <w:pStyle w:val="Geenafstand"/>
        <w:spacing w:line="360" w:lineRule="auto"/>
        <w:rPr>
          <w:sz w:val="24"/>
          <w:szCs w:val="24"/>
        </w:rPr>
      </w:pPr>
    </w:p>
    <w:p w:rsidR="00F75A3F" w:rsidRPr="00484DAF" w:rsidRDefault="00F75A3F" w:rsidP="00CC552D">
      <w:pPr>
        <w:spacing w:after="0" w:line="360" w:lineRule="auto"/>
        <w:rPr>
          <w:sz w:val="24"/>
          <w:szCs w:val="24"/>
        </w:rPr>
      </w:pPr>
      <w:r w:rsidRPr="00484DAF">
        <w:rPr>
          <w:sz w:val="24"/>
          <w:szCs w:val="24"/>
        </w:rPr>
        <w:t>De problematiek aangaande onroerend goedtransacties is niet rechttoe rechtaan. Zo zijn zowel de vrijstelling van omzetbelasting als overdrachtsbelasting aan voorwaarden onderworpen. Daarbij wordt onderscheid gemaakt tussen de levering van een gebouw en levering van een bouwterrein. Voorts betreft de levering c.q. verkrijging van onroerend goed niet alleen nieuwbouw, maar ook over ‘vervaardigde’ goederen. Het is namelijk mogelijk dat ingrijpend verbouwd onroerend goed als ‘nieuw’ wordt aangemerkt. Vervaardiging lijkt op het eerste oog niet spannend. In “Jip en Janneke taal” kan vervaardiging worden omschreven als ‘het ontstaan van iets wat er eerst niet was.’ Inzake dit vraagstuk speelt echter veel meer. De derde interessante dimensie aan dit vraagstuk vloeit voort uit de invloed die het Europese Hof van Justitie (het hoogste rechtsprekende orgaan binnen de Europese Unie) uitoefent op de Nederlandse omzetbelastingwet. Kortom, de zogenaamde samenloopvrijstelling is niet zonder slag of stoot binnen te halen door de aannemer. Het bovenstaande heeft geleid tot de volgende probleemstelling:</w:t>
      </w:r>
    </w:p>
    <w:p w:rsidR="00F75A3F" w:rsidRPr="00484DAF" w:rsidRDefault="00F75A3F" w:rsidP="00CC552D">
      <w:pPr>
        <w:pStyle w:val="Geenafstand"/>
        <w:spacing w:line="360" w:lineRule="auto"/>
        <w:rPr>
          <w:sz w:val="24"/>
          <w:szCs w:val="24"/>
        </w:rPr>
      </w:pPr>
    </w:p>
    <w:p w:rsidR="00F75A3F" w:rsidRPr="00484DAF" w:rsidRDefault="00F75A3F" w:rsidP="00CC552D">
      <w:pPr>
        <w:spacing w:after="0" w:line="360" w:lineRule="auto"/>
        <w:rPr>
          <w:i/>
          <w:sz w:val="24"/>
          <w:szCs w:val="24"/>
        </w:rPr>
      </w:pPr>
      <w:r w:rsidRPr="00484DAF">
        <w:rPr>
          <w:i/>
          <w:sz w:val="24"/>
          <w:szCs w:val="24"/>
        </w:rPr>
        <w:t>‘Leidt bij vervaardiging van nieuw onroerend goed de samenloop tussen omzetbelasting en overdrachtsbelasting tot een probleem door de wijze waarop de communautaire begrippen bouwterrein en nieuw gebouw in de Nederlandse omzetbelasting worden gedefinieerd? Zo ja, in hoeverre kan de (al dan niet communautaire) invulling worden gewijzigd met voorwaarden die passen binnen het kader van de BTW-richtlijn?’</w:t>
      </w:r>
    </w:p>
    <w:p w:rsidR="00F75A3F" w:rsidRPr="00484DAF" w:rsidRDefault="00F75A3F" w:rsidP="00CC552D">
      <w:pPr>
        <w:pStyle w:val="Geenafstand"/>
        <w:spacing w:line="360" w:lineRule="auto"/>
        <w:rPr>
          <w:sz w:val="24"/>
          <w:szCs w:val="24"/>
        </w:rPr>
      </w:pPr>
    </w:p>
    <w:p w:rsidR="00F75A3F" w:rsidRPr="00484DAF" w:rsidRDefault="00F75A3F" w:rsidP="00CC552D">
      <w:pPr>
        <w:spacing w:after="0" w:line="360" w:lineRule="auto"/>
        <w:rPr>
          <w:sz w:val="24"/>
          <w:szCs w:val="24"/>
        </w:rPr>
      </w:pPr>
      <w:r w:rsidRPr="00484DAF">
        <w:rPr>
          <w:sz w:val="24"/>
          <w:szCs w:val="24"/>
        </w:rPr>
        <w:t xml:space="preserve">Ter beantwoording van de probleemstelling komt in het eerste hoofdstuk allereerst de omzetbelasting zelf met zijn Europese dimensie en de bijbehorende vrijstelling met al zijn voorwaarden aan bod. Bij samenloop zijn minimaal twee elementen nodig. Vandaar dat de overdrachtsbelasting in het tweede hoofdstuk onder de loep wordt genomen, waarbij uitgebreid aandacht wordt besteed aan de voorwaarden gemoeid met de samenloopvrijstelling. In hoofdstuk drie wordt voor het eerst een kern van de probleemstelling aangepakt. Vervaardiging van een nieuw gebouw wordt daarbij aan de hand van zowel Europese als nationale jurisprudentie onderzocht. Zoals hiervoor beschreven valt ook de levering van een bouwterrein onder levering van onroerend goed. Vervaardiging van dergelijke terreinen wordt in het vierde hoofdstuk ontleed. </w:t>
      </w:r>
    </w:p>
    <w:p w:rsidR="00F75A3F" w:rsidRPr="00484DAF" w:rsidRDefault="00F75A3F" w:rsidP="00CC552D">
      <w:pPr>
        <w:spacing w:after="0" w:line="360" w:lineRule="auto"/>
        <w:rPr>
          <w:sz w:val="24"/>
          <w:szCs w:val="24"/>
        </w:rPr>
      </w:pPr>
    </w:p>
    <w:p w:rsidR="00F75A3F" w:rsidRPr="00484DAF" w:rsidRDefault="00F75A3F" w:rsidP="00CC552D">
      <w:pPr>
        <w:spacing w:after="0" w:line="360" w:lineRule="auto"/>
        <w:rPr>
          <w:sz w:val="24"/>
          <w:szCs w:val="24"/>
        </w:rPr>
      </w:pPr>
      <w:r w:rsidRPr="00484DAF">
        <w:rPr>
          <w:sz w:val="24"/>
          <w:szCs w:val="24"/>
        </w:rPr>
        <w:t>Binnen het vervaardigingvraagstuk speelt sloop een belangrijke rol. Enerzijds kan worden betoogd dat sloopwerkzaamheden een eerste handeling in het kader van verbouwing vormen. Anderzijds luidt een visie dat sloop als laatste handeling vóór eventuele verbouwing dient te worden gezien. Het vijfde hoofdstuk laat zien hoe dit is uitgewerkt in jurisprudentie, waarbij onderscheid wordt gemaakt tussen de vraag of slopen leidt tot vervaardiging van een nieuw gebouw respectievelijk nieuw bouwterrein. Het toeval wil dat inzake het laatste vraagstuk prejudiciële vragen aan het Europese Hof van Justitie zijn gesteld. Deze vragen en het antwoord daarop worden uiteraard behandeld.</w:t>
      </w:r>
    </w:p>
    <w:p w:rsidR="00F75A3F" w:rsidRPr="00484DAF" w:rsidRDefault="00F75A3F" w:rsidP="00CC552D">
      <w:pPr>
        <w:spacing w:after="0" w:line="360" w:lineRule="auto"/>
        <w:rPr>
          <w:sz w:val="24"/>
          <w:szCs w:val="24"/>
        </w:rPr>
      </w:pPr>
    </w:p>
    <w:p w:rsidR="00F75A3F" w:rsidRPr="00484DAF" w:rsidRDefault="00F75A3F" w:rsidP="00CC552D">
      <w:pPr>
        <w:spacing w:after="0" w:line="360" w:lineRule="auto"/>
        <w:rPr>
          <w:sz w:val="24"/>
          <w:szCs w:val="24"/>
        </w:rPr>
      </w:pPr>
      <w:r w:rsidRPr="00484DAF">
        <w:rPr>
          <w:sz w:val="24"/>
          <w:szCs w:val="24"/>
        </w:rPr>
        <w:t>De tweede deelvraag van de probleemstelling luidt of de invulling van de begrippen gebouw en bouwterrein kan (of: dient te) worden gewijzigd. Aangezien de Europese Richtlijnen, waarop de Nederlandse BTW is gebaseerd, al meer dan dertig jaar meegaan en daarnaast ook andere lidstaten zich hieraan dienen te houden, is een blik over de grens geen overbodige luxe. Het zesde hoofdstuk leent zich hier uitstekend voor. In hoofdstuk zeven wordt de probleemstelling beantwoord waarbij wordt gekeken naar de overeenstemming van de invulling van de kernbegrippen op nationaal en Europees niveau. Daarnaast worden enige aanbevelingen gedaan. Tot slot wordt al hetgeen beschreven in de conclusie samengevat.</w:t>
      </w:r>
    </w:p>
    <w:p w:rsidR="0063744E" w:rsidRPr="00484DAF" w:rsidRDefault="0063744E" w:rsidP="00CC552D">
      <w:pPr>
        <w:spacing w:after="0" w:line="360" w:lineRule="auto"/>
        <w:rPr>
          <w:sz w:val="24"/>
          <w:szCs w:val="24"/>
        </w:rPr>
      </w:pPr>
    </w:p>
    <w:p w:rsidR="00D05673" w:rsidRPr="00484DAF" w:rsidRDefault="00D05673" w:rsidP="00CC552D">
      <w:pPr>
        <w:spacing w:after="0" w:line="360" w:lineRule="auto"/>
        <w:rPr>
          <w:sz w:val="24"/>
          <w:szCs w:val="24"/>
        </w:rPr>
      </w:pPr>
      <w:r w:rsidRPr="00484DAF">
        <w:rPr>
          <w:sz w:val="24"/>
          <w:szCs w:val="24"/>
        </w:rPr>
        <w:br w:type="page"/>
      </w:r>
    </w:p>
    <w:p w:rsidR="005D5E4F" w:rsidRPr="00484DAF" w:rsidRDefault="00B82592" w:rsidP="00CC552D">
      <w:pPr>
        <w:pStyle w:val="Kop1"/>
        <w:spacing w:before="0" w:line="360" w:lineRule="auto"/>
        <w:rPr>
          <w:rFonts w:ascii="Times New Roman" w:hAnsi="Times New Roman"/>
          <w:color w:val="auto"/>
          <w:sz w:val="24"/>
          <w:szCs w:val="24"/>
        </w:rPr>
      </w:pPr>
      <w:bookmarkStart w:id="3" w:name="_Toc254043877"/>
      <w:r w:rsidRPr="00484DAF">
        <w:rPr>
          <w:rFonts w:ascii="Times New Roman" w:hAnsi="Times New Roman"/>
          <w:color w:val="auto"/>
          <w:sz w:val="24"/>
          <w:szCs w:val="24"/>
        </w:rPr>
        <w:lastRenderedPageBreak/>
        <w:t xml:space="preserve">Hoofdstuk 1: </w:t>
      </w:r>
      <w:r w:rsidR="00414F35" w:rsidRPr="00484DAF">
        <w:rPr>
          <w:rFonts w:ascii="Times New Roman" w:hAnsi="Times New Roman"/>
          <w:color w:val="auto"/>
          <w:sz w:val="24"/>
          <w:szCs w:val="24"/>
        </w:rPr>
        <w:t>O</w:t>
      </w:r>
      <w:r w:rsidRPr="00484DAF">
        <w:rPr>
          <w:rFonts w:ascii="Times New Roman" w:hAnsi="Times New Roman"/>
          <w:color w:val="auto"/>
          <w:sz w:val="24"/>
          <w:szCs w:val="24"/>
        </w:rPr>
        <w:t xml:space="preserve">mzetbelasting en </w:t>
      </w:r>
      <w:r w:rsidR="00414F35" w:rsidRPr="00484DAF">
        <w:rPr>
          <w:rFonts w:ascii="Times New Roman" w:hAnsi="Times New Roman"/>
          <w:color w:val="auto"/>
          <w:sz w:val="24"/>
          <w:szCs w:val="24"/>
        </w:rPr>
        <w:t>de vrijstelling voor levering van onroerende zaken</w:t>
      </w:r>
      <w:bookmarkEnd w:id="3"/>
    </w:p>
    <w:p w:rsidR="00D529B7" w:rsidRPr="00484DAF" w:rsidRDefault="005459BD" w:rsidP="00CC552D">
      <w:pPr>
        <w:pStyle w:val="Geenafstand"/>
        <w:spacing w:line="360" w:lineRule="auto"/>
        <w:rPr>
          <w:sz w:val="24"/>
          <w:szCs w:val="24"/>
        </w:rPr>
      </w:pPr>
      <w:r w:rsidRPr="00484DAF">
        <w:rPr>
          <w:sz w:val="24"/>
          <w:szCs w:val="24"/>
        </w:rPr>
        <w:t xml:space="preserve">De Wet op de omzetbelasting 1968 (hierna: </w:t>
      </w:r>
      <w:r w:rsidR="005E2D3E" w:rsidRPr="00484DAF">
        <w:rPr>
          <w:sz w:val="24"/>
          <w:szCs w:val="24"/>
        </w:rPr>
        <w:t>omzetbelasting of Wet OB 1968</w:t>
      </w:r>
      <w:r w:rsidRPr="00484DAF">
        <w:rPr>
          <w:sz w:val="24"/>
          <w:szCs w:val="24"/>
        </w:rPr>
        <w:t xml:space="preserve">) tracht onder andere </w:t>
      </w:r>
      <w:r w:rsidRPr="00484DAF">
        <w:rPr>
          <w:i/>
          <w:sz w:val="24"/>
          <w:szCs w:val="24"/>
        </w:rPr>
        <w:t>‘leveringen van goederen en diensten, welke in Nederland door een als zodanig handelende ondernemer onder bezwarende titel worden verricht’</w:t>
      </w:r>
      <w:r w:rsidR="002617D3" w:rsidRPr="00484DAF">
        <w:rPr>
          <w:rStyle w:val="Voetnootmarkering"/>
          <w:i/>
          <w:sz w:val="24"/>
          <w:szCs w:val="24"/>
        </w:rPr>
        <w:footnoteReference w:id="3"/>
      </w:r>
      <w:r w:rsidRPr="00484DAF">
        <w:rPr>
          <w:sz w:val="24"/>
          <w:szCs w:val="24"/>
        </w:rPr>
        <w:t xml:space="preserve"> te belasten. Op een aantal leveringen en diensten is een beroep op een vrijstelling van omzetbelasting mogelijk. </w:t>
      </w:r>
      <w:r w:rsidR="00247296" w:rsidRPr="00484DAF">
        <w:rPr>
          <w:sz w:val="24"/>
          <w:szCs w:val="24"/>
        </w:rPr>
        <w:t xml:space="preserve">Zo ook </w:t>
      </w:r>
      <w:r w:rsidR="00247296" w:rsidRPr="00484DAF">
        <w:rPr>
          <w:i/>
          <w:sz w:val="24"/>
          <w:szCs w:val="24"/>
        </w:rPr>
        <w:t>‘de levering van een gebouw of een gedeelte van een gebouw en het erbij behorend terrein vóór, op of uiterlijk twee jaren na het tijdstip van eerste ingebruikneming, alsmede de levering van een bouwterrein,’</w:t>
      </w:r>
      <w:r w:rsidR="00247296" w:rsidRPr="00484DAF">
        <w:rPr>
          <w:sz w:val="24"/>
          <w:szCs w:val="24"/>
        </w:rPr>
        <w:t xml:space="preserve"> aldus artikel 11, lid 1, onderdeel a, ten eerste Wet</w:t>
      </w:r>
      <w:r w:rsidR="00D529B7" w:rsidRPr="00484DAF">
        <w:rPr>
          <w:sz w:val="24"/>
          <w:szCs w:val="24"/>
        </w:rPr>
        <w:t> </w:t>
      </w:r>
      <w:r w:rsidR="00247296" w:rsidRPr="00484DAF">
        <w:rPr>
          <w:sz w:val="24"/>
          <w:szCs w:val="24"/>
        </w:rPr>
        <w:t xml:space="preserve">OB 1968. </w:t>
      </w:r>
      <w:r w:rsidR="00414F35" w:rsidRPr="00484DAF">
        <w:rPr>
          <w:sz w:val="24"/>
          <w:szCs w:val="24"/>
        </w:rPr>
        <w:t>Voor deze vrijstelling kan onder voorwaarden ook worden geop</w:t>
      </w:r>
      <w:r w:rsidR="00704C23" w:rsidRPr="00484DAF">
        <w:rPr>
          <w:sz w:val="24"/>
          <w:szCs w:val="24"/>
        </w:rPr>
        <w:t>teerd ingevolge artikel 11, lid </w:t>
      </w:r>
      <w:r w:rsidR="00414F35" w:rsidRPr="00484DAF">
        <w:rPr>
          <w:sz w:val="24"/>
          <w:szCs w:val="24"/>
        </w:rPr>
        <w:t>1, onderdeel a, ten tweede Wet OB 1968.</w:t>
      </w:r>
      <w:r w:rsidR="00701D8F" w:rsidRPr="00484DAF">
        <w:rPr>
          <w:sz w:val="24"/>
          <w:szCs w:val="24"/>
        </w:rPr>
        <w:t xml:space="preserve"> In dit hoofdstuk wordt de omzetbelasting eerst vanuit Europees perspectief behandeld</w:t>
      </w:r>
      <w:r w:rsidR="004C6326" w:rsidRPr="00484DAF">
        <w:rPr>
          <w:sz w:val="24"/>
          <w:szCs w:val="24"/>
        </w:rPr>
        <w:t>, daarna vanuit nationaal perspectief</w:t>
      </w:r>
      <w:r w:rsidR="00701D8F" w:rsidRPr="00484DAF">
        <w:rPr>
          <w:sz w:val="24"/>
          <w:szCs w:val="24"/>
        </w:rPr>
        <w:t xml:space="preserve"> om vervolgens in te gaan op de vrijstelling voor levering van onroerende zaken.</w:t>
      </w:r>
    </w:p>
    <w:p w:rsidR="00557A1F" w:rsidRPr="00484DAF" w:rsidRDefault="00557A1F" w:rsidP="00CC552D">
      <w:pPr>
        <w:pStyle w:val="Geenafstand"/>
        <w:spacing w:line="360" w:lineRule="auto"/>
        <w:rPr>
          <w:sz w:val="24"/>
          <w:szCs w:val="24"/>
        </w:rPr>
      </w:pPr>
    </w:p>
    <w:p w:rsidR="00DA06D1" w:rsidRPr="00484DAF" w:rsidRDefault="00111F45" w:rsidP="00CC552D">
      <w:pPr>
        <w:pStyle w:val="Kop1"/>
        <w:spacing w:before="0" w:line="360" w:lineRule="auto"/>
        <w:rPr>
          <w:rFonts w:ascii="Times New Roman" w:eastAsia="Calibri" w:hAnsi="Times New Roman"/>
          <w:color w:val="auto"/>
          <w:sz w:val="24"/>
          <w:szCs w:val="24"/>
        </w:rPr>
      </w:pPr>
      <w:bookmarkStart w:id="4" w:name="_Toc254043878"/>
      <w:r w:rsidRPr="00484DAF">
        <w:rPr>
          <w:rFonts w:ascii="Times New Roman" w:eastAsia="Calibri" w:hAnsi="Times New Roman"/>
          <w:color w:val="auto"/>
          <w:sz w:val="24"/>
          <w:szCs w:val="24"/>
        </w:rPr>
        <w:t>1.1</w:t>
      </w:r>
      <w:r w:rsidR="00DA06D1" w:rsidRPr="00484DAF">
        <w:rPr>
          <w:rFonts w:ascii="Times New Roman" w:eastAsia="Calibri" w:hAnsi="Times New Roman"/>
          <w:color w:val="auto"/>
          <w:sz w:val="24"/>
          <w:szCs w:val="24"/>
        </w:rPr>
        <w:t xml:space="preserve"> Europese richtlijnen</w:t>
      </w:r>
      <w:bookmarkEnd w:id="4"/>
    </w:p>
    <w:p w:rsidR="005459BD" w:rsidRPr="00484DAF" w:rsidRDefault="005459BD" w:rsidP="00CC552D">
      <w:pPr>
        <w:pStyle w:val="Geenafstand"/>
        <w:spacing w:line="360" w:lineRule="auto"/>
        <w:rPr>
          <w:sz w:val="24"/>
          <w:szCs w:val="24"/>
        </w:rPr>
      </w:pPr>
      <w:r w:rsidRPr="00484DAF">
        <w:rPr>
          <w:sz w:val="24"/>
          <w:szCs w:val="24"/>
        </w:rPr>
        <w:t xml:space="preserve">De nationale omzetbelastingwet is gebaseerd op de Zesde EG-richtlijn. Per 1 januari 2007 is deze ingetrokken en vervangen door Richtlijn 2006/112/EG, ook wel de BTW-richtlijn genoemd. De Zesde EG-Richtlijn was een lappendeken van bepalingen geworden vanwege verschillende invoegingen, intrekkingen en aanpassingen van artikelen door de tijd heen. In de nieuwe BTW-richtlijn zijn de 414 artikelen logisch naar onderwerp ingedeeld. </w:t>
      </w:r>
      <w:r w:rsidRPr="00484DAF">
        <w:rPr>
          <w:i/>
          <w:sz w:val="24"/>
          <w:szCs w:val="24"/>
        </w:rPr>
        <w:t>Van Dongen</w:t>
      </w:r>
      <w:r w:rsidR="00701D8F" w:rsidRPr="00484DAF">
        <w:rPr>
          <w:sz w:val="24"/>
          <w:szCs w:val="24"/>
        </w:rPr>
        <w:t xml:space="preserve"> geeft aan</w:t>
      </w:r>
      <w:r w:rsidRPr="00484DAF">
        <w:rPr>
          <w:sz w:val="24"/>
          <w:szCs w:val="24"/>
        </w:rPr>
        <w:t xml:space="preserve"> dat de afwikkeling van oude zaken een correcte verwijzing naar de Zesde EG-richtlijn vereist, zodat wordt voorkomen dat deze snel in de vergetelheid zal raken.</w:t>
      </w:r>
      <w:r w:rsidRPr="00484DAF">
        <w:rPr>
          <w:sz w:val="24"/>
          <w:szCs w:val="24"/>
          <w:vertAlign w:val="superscript"/>
        </w:rPr>
        <w:footnoteReference w:id="4"/>
      </w:r>
      <w:r w:rsidRPr="00484DAF">
        <w:rPr>
          <w:sz w:val="24"/>
          <w:szCs w:val="24"/>
        </w:rPr>
        <w:t xml:space="preserve"> </w:t>
      </w:r>
      <w:r w:rsidR="00414F35" w:rsidRPr="00484DAF">
        <w:rPr>
          <w:sz w:val="24"/>
          <w:szCs w:val="24"/>
        </w:rPr>
        <w:t>Haar</w:t>
      </w:r>
      <w:r w:rsidRPr="00484DAF">
        <w:rPr>
          <w:sz w:val="24"/>
          <w:szCs w:val="24"/>
        </w:rPr>
        <w:t xml:space="preserve"> stelling van ‘vergetelheid’ is wat voorbarig. Immers, de nieuwe richtlijn behelst nauwelijks inhoudelijke wijzigingen en alle jurisprudentie naar aanleiding van de Zesde EG-Richtlijn blijft gehandhaafd.</w:t>
      </w:r>
      <w:r w:rsidR="00975A60" w:rsidRPr="00484DAF">
        <w:rPr>
          <w:sz w:val="24"/>
          <w:szCs w:val="24"/>
        </w:rPr>
        <w:t xml:space="preserve"> </w:t>
      </w:r>
      <w:r w:rsidR="00704C23" w:rsidRPr="00484DAF">
        <w:rPr>
          <w:sz w:val="24"/>
          <w:szCs w:val="24"/>
        </w:rPr>
        <w:t xml:space="preserve">Daarnaast worden vandaag de dag nog prejudiciële vragen gesteld die zien op casussen die spelen onder de vorige richtlijn. </w:t>
      </w:r>
      <w:r w:rsidR="00D27959" w:rsidRPr="00484DAF">
        <w:rPr>
          <w:sz w:val="24"/>
          <w:szCs w:val="24"/>
        </w:rPr>
        <w:t xml:space="preserve">Met het oog op het vervolg van deze scriptie </w:t>
      </w:r>
      <w:r w:rsidR="00975A60" w:rsidRPr="00484DAF">
        <w:rPr>
          <w:sz w:val="24"/>
          <w:szCs w:val="24"/>
        </w:rPr>
        <w:t xml:space="preserve">geef ik hierbij aan dat wanneer wordt gesproken van </w:t>
      </w:r>
      <w:r w:rsidR="00FF2309" w:rsidRPr="00484DAF">
        <w:rPr>
          <w:sz w:val="24"/>
          <w:szCs w:val="24"/>
        </w:rPr>
        <w:t xml:space="preserve">artikel 13, B, onderdeel g Zesde Richtlijn </w:t>
      </w:r>
      <w:r w:rsidR="00701D8F" w:rsidRPr="00484DAF">
        <w:rPr>
          <w:sz w:val="24"/>
          <w:szCs w:val="24"/>
        </w:rPr>
        <w:t xml:space="preserve">in gewezen jurisprudentie </w:t>
      </w:r>
      <w:r w:rsidR="00D27959" w:rsidRPr="00484DAF">
        <w:rPr>
          <w:sz w:val="24"/>
          <w:szCs w:val="24"/>
        </w:rPr>
        <w:t xml:space="preserve">(vrijstelling voor de levering van een gebouw of een gedeelte ervan en van het bijbehorende terrein) </w:t>
      </w:r>
      <w:r w:rsidR="00975A60" w:rsidRPr="00484DAF">
        <w:rPr>
          <w:sz w:val="24"/>
          <w:szCs w:val="24"/>
        </w:rPr>
        <w:t xml:space="preserve">het gaat over </w:t>
      </w:r>
      <w:r w:rsidR="00FF2309" w:rsidRPr="00484DAF">
        <w:rPr>
          <w:sz w:val="24"/>
          <w:szCs w:val="24"/>
        </w:rPr>
        <w:t xml:space="preserve">artikel 135, lid 1, onderdeel j BTW-richtlijn </w:t>
      </w:r>
      <w:r w:rsidR="00975A60" w:rsidRPr="00484DAF">
        <w:rPr>
          <w:sz w:val="24"/>
          <w:szCs w:val="24"/>
        </w:rPr>
        <w:t xml:space="preserve">en waar het gaat </w:t>
      </w:r>
      <w:r w:rsidR="00FF2309" w:rsidRPr="00484DAF">
        <w:rPr>
          <w:sz w:val="24"/>
          <w:szCs w:val="24"/>
        </w:rPr>
        <w:t xml:space="preserve">over artikel 13, B, onderdeel h Zesde Richtlijn </w:t>
      </w:r>
      <w:r w:rsidR="00E65D5B" w:rsidRPr="00484DAF">
        <w:rPr>
          <w:sz w:val="24"/>
          <w:szCs w:val="24"/>
        </w:rPr>
        <w:t xml:space="preserve">(vrijstelling voor de levering van onbebouwde onroerende goederen) </w:t>
      </w:r>
      <w:r w:rsidR="00975A60" w:rsidRPr="00484DAF">
        <w:rPr>
          <w:sz w:val="24"/>
          <w:szCs w:val="24"/>
        </w:rPr>
        <w:t xml:space="preserve">de tekst van </w:t>
      </w:r>
      <w:r w:rsidR="00FF2309" w:rsidRPr="00484DAF">
        <w:rPr>
          <w:sz w:val="24"/>
          <w:szCs w:val="24"/>
        </w:rPr>
        <w:t xml:space="preserve">artikel 135, lid 1, onderdeel k BTW-richtlijn </w:t>
      </w:r>
      <w:r w:rsidR="00975A60" w:rsidRPr="00484DAF">
        <w:rPr>
          <w:sz w:val="24"/>
          <w:szCs w:val="24"/>
        </w:rPr>
        <w:t>eensluidend is.</w:t>
      </w:r>
    </w:p>
    <w:p w:rsidR="00D5701E" w:rsidRPr="00484DAF" w:rsidRDefault="00D5701E" w:rsidP="00CC552D">
      <w:pPr>
        <w:pStyle w:val="Geenafstand"/>
        <w:spacing w:line="360" w:lineRule="auto"/>
        <w:rPr>
          <w:sz w:val="24"/>
          <w:szCs w:val="24"/>
        </w:rPr>
      </w:pPr>
    </w:p>
    <w:p w:rsidR="000B417A" w:rsidRPr="00484DAF" w:rsidRDefault="00111F45" w:rsidP="00CC552D">
      <w:pPr>
        <w:pStyle w:val="Kop1"/>
        <w:spacing w:before="0" w:line="360" w:lineRule="auto"/>
        <w:rPr>
          <w:rFonts w:ascii="Times New Roman" w:eastAsia="Calibri" w:hAnsi="Times New Roman"/>
          <w:color w:val="auto"/>
          <w:sz w:val="24"/>
          <w:szCs w:val="24"/>
        </w:rPr>
      </w:pPr>
      <w:bookmarkStart w:id="5" w:name="_Toc254043879"/>
      <w:r w:rsidRPr="00484DAF">
        <w:rPr>
          <w:rFonts w:ascii="Times New Roman" w:eastAsia="Calibri" w:hAnsi="Times New Roman"/>
          <w:color w:val="auto"/>
          <w:sz w:val="24"/>
          <w:szCs w:val="24"/>
        </w:rPr>
        <w:t>1.2</w:t>
      </w:r>
      <w:r w:rsidR="000B417A" w:rsidRPr="00484DAF">
        <w:rPr>
          <w:rFonts w:ascii="Times New Roman" w:eastAsia="Calibri" w:hAnsi="Times New Roman"/>
          <w:color w:val="auto"/>
          <w:sz w:val="24"/>
          <w:szCs w:val="24"/>
        </w:rPr>
        <w:t xml:space="preserve"> Rechtstreekse werking EG-richtlijn</w:t>
      </w:r>
      <w:bookmarkEnd w:id="5"/>
    </w:p>
    <w:p w:rsidR="000B417A" w:rsidRPr="00484DAF" w:rsidRDefault="000B417A" w:rsidP="00CC552D">
      <w:pPr>
        <w:pStyle w:val="Geenafstand"/>
        <w:spacing w:line="360" w:lineRule="auto"/>
        <w:rPr>
          <w:sz w:val="24"/>
          <w:szCs w:val="24"/>
        </w:rPr>
      </w:pPr>
      <w:r w:rsidRPr="00484DAF">
        <w:rPr>
          <w:sz w:val="24"/>
          <w:szCs w:val="24"/>
        </w:rPr>
        <w:t xml:space="preserve">Als een Nederlandse belastingplichtige denkt dat een beroep op een vrijstelling uit de richtlijn fiscaal gunstiger uitpakt, dan uit nationale wetgeving blijkt, kan het de moeite lonen zich te beroepen op </w:t>
      </w:r>
      <w:r w:rsidR="00701D8F" w:rsidRPr="00484DAF">
        <w:rPr>
          <w:sz w:val="24"/>
          <w:szCs w:val="24"/>
        </w:rPr>
        <w:t>een Europese</w:t>
      </w:r>
      <w:r w:rsidRPr="00484DAF">
        <w:rPr>
          <w:sz w:val="24"/>
          <w:szCs w:val="24"/>
        </w:rPr>
        <w:t xml:space="preserve"> richtlijn. In de loop van de tijd, heeft het </w:t>
      </w:r>
      <w:r w:rsidR="00E65D5B" w:rsidRPr="00484DAF">
        <w:rPr>
          <w:sz w:val="24"/>
          <w:szCs w:val="24"/>
        </w:rPr>
        <w:t xml:space="preserve">Europese </w:t>
      </w:r>
      <w:r w:rsidRPr="00484DAF">
        <w:rPr>
          <w:sz w:val="24"/>
          <w:szCs w:val="24"/>
        </w:rPr>
        <w:t xml:space="preserve">Hof van Justitie </w:t>
      </w:r>
      <w:r w:rsidR="00E65D5B" w:rsidRPr="00484DAF">
        <w:rPr>
          <w:sz w:val="24"/>
          <w:szCs w:val="24"/>
        </w:rPr>
        <w:t xml:space="preserve">(hierna: HvJ EG) </w:t>
      </w:r>
      <w:r w:rsidRPr="00484DAF">
        <w:rPr>
          <w:sz w:val="24"/>
          <w:szCs w:val="24"/>
        </w:rPr>
        <w:t xml:space="preserve">in haar jurisprudentie het leerstuk ontwikkeld van de rechtstreekse (of directe) werking van gemeenschapsbepalingen. Hierbij gaat het om bepalingen, die onvoorwaardelijk en voldoende nauwkeurig zijn. Daarnaast gaat het ook om uitvoeringsmaatregelen die niet tijdig zijn getroffen. De ontwikkeling van deze jurisprudentie begon met een Nederlandse zaak, namelijk die van </w:t>
      </w:r>
      <w:r w:rsidRPr="00484DAF">
        <w:rPr>
          <w:i/>
          <w:sz w:val="24"/>
          <w:szCs w:val="24"/>
        </w:rPr>
        <w:t>Van Gend &amp; Loos</w:t>
      </w:r>
      <w:r w:rsidR="00E65D5B" w:rsidRPr="00484DAF">
        <w:rPr>
          <w:rStyle w:val="Voetnootmarkering"/>
          <w:sz w:val="24"/>
          <w:szCs w:val="24"/>
        </w:rPr>
        <w:footnoteReference w:id="5"/>
      </w:r>
      <w:r w:rsidRPr="00484DAF">
        <w:rPr>
          <w:sz w:val="24"/>
          <w:szCs w:val="24"/>
        </w:rPr>
        <w:t>. De principiële vraag die in dit arrest naar voren kwam, was of particulieren rechten aan het gemeenschapsrecht kunnen ontlenen en bovendien deze rechten kunnen inroepen. Het</w:t>
      </w:r>
      <w:r w:rsidR="00E65D5B" w:rsidRPr="00484DAF">
        <w:rPr>
          <w:sz w:val="24"/>
          <w:szCs w:val="24"/>
        </w:rPr>
        <w:t xml:space="preserve"> HvJ EG </w:t>
      </w:r>
      <w:r w:rsidRPr="00484DAF">
        <w:rPr>
          <w:sz w:val="24"/>
          <w:szCs w:val="24"/>
        </w:rPr>
        <w:t>redeneerde dat de E</w:t>
      </w:r>
      <w:r w:rsidR="00701D8F" w:rsidRPr="00484DAF">
        <w:rPr>
          <w:sz w:val="24"/>
          <w:szCs w:val="24"/>
        </w:rPr>
        <w:t xml:space="preserve">uropese </w:t>
      </w:r>
      <w:r w:rsidRPr="00484DAF">
        <w:rPr>
          <w:sz w:val="24"/>
          <w:szCs w:val="24"/>
        </w:rPr>
        <w:t>G</w:t>
      </w:r>
      <w:r w:rsidR="00701D8F" w:rsidRPr="00484DAF">
        <w:rPr>
          <w:sz w:val="24"/>
          <w:szCs w:val="24"/>
        </w:rPr>
        <w:t>emeenschap (hierna: EG)</w:t>
      </w:r>
      <w:r w:rsidRPr="00484DAF">
        <w:rPr>
          <w:sz w:val="24"/>
          <w:szCs w:val="24"/>
        </w:rPr>
        <w:t xml:space="preserve"> in het volkenrecht een nieuwe rechtsorde vormde, ten gunste waarvan de lidstaten een deel van hun soevereiniteit inleverden en waarbinnen niet slechts de lidstaten, maar ook de ingezetenen gerechtigd waren om een beroep te doen op het recht van de EG. </w:t>
      </w:r>
      <w:r w:rsidR="00E65D5B" w:rsidRPr="00484DAF">
        <w:rPr>
          <w:sz w:val="24"/>
          <w:szCs w:val="24"/>
        </w:rPr>
        <w:t>Het HvJ EG</w:t>
      </w:r>
      <w:r w:rsidRPr="00484DAF">
        <w:rPr>
          <w:sz w:val="24"/>
          <w:szCs w:val="24"/>
        </w:rPr>
        <w:t xml:space="preserve"> kwam tot de conclusie dat het gemeenschapsrecht niet alleen plichten, maar ook rechten voor ingezetenen schept. Dit geldt ook als het betreffende artikel niet een expliciete bepaling bevat, die zegt dat het directe werking heeft. In principe kent een richtlijn geen rechtstreekse werking, maar bij geen, te late of onjuiste implementatie is het mogelijk dat de richtlijn rechtstreekse werking heeft. De bepaling uit de richtlijn moet dan wel duidelijk en onvoorwaardelijk zijn, zodat de burger </w:t>
      </w:r>
      <w:r w:rsidR="003F0047" w:rsidRPr="00484DAF">
        <w:rPr>
          <w:sz w:val="24"/>
          <w:szCs w:val="24"/>
        </w:rPr>
        <w:t xml:space="preserve">aan de bepaling </w:t>
      </w:r>
      <w:r w:rsidRPr="00484DAF">
        <w:rPr>
          <w:sz w:val="24"/>
          <w:szCs w:val="24"/>
        </w:rPr>
        <w:t xml:space="preserve">rechten kan ontlenen. </w:t>
      </w:r>
    </w:p>
    <w:p w:rsidR="00557A1F" w:rsidRPr="00484DAF" w:rsidRDefault="00557A1F" w:rsidP="00CC552D">
      <w:pPr>
        <w:pStyle w:val="Geenafstand"/>
        <w:spacing w:line="360" w:lineRule="auto"/>
        <w:rPr>
          <w:sz w:val="24"/>
          <w:szCs w:val="24"/>
        </w:rPr>
      </w:pPr>
    </w:p>
    <w:p w:rsidR="009D2279" w:rsidRPr="00484DAF" w:rsidRDefault="00111F45" w:rsidP="00CC552D">
      <w:pPr>
        <w:pStyle w:val="Kop2"/>
        <w:spacing w:before="0" w:line="360" w:lineRule="auto"/>
        <w:rPr>
          <w:rFonts w:ascii="Times New Roman" w:eastAsia="Calibri" w:hAnsi="Times New Roman"/>
          <w:color w:val="auto"/>
          <w:sz w:val="24"/>
          <w:szCs w:val="24"/>
        </w:rPr>
      </w:pPr>
      <w:bookmarkStart w:id="6" w:name="_Toc254043880"/>
      <w:r w:rsidRPr="00484DAF">
        <w:rPr>
          <w:rFonts w:ascii="Times New Roman" w:eastAsia="Calibri" w:hAnsi="Times New Roman"/>
          <w:color w:val="auto"/>
          <w:sz w:val="24"/>
          <w:szCs w:val="24"/>
        </w:rPr>
        <w:t>1.2</w:t>
      </w:r>
      <w:r w:rsidR="009D2279" w:rsidRPr="00484DAF">
        <w:rPr>
          <w:rFonts w:ascii="Times New Roman" w:eastAsia="Calibri" w:hAnsi="Times New Roman"/>
          <w:color w:val="auto"/>
          <w:sz w:val="24"/>
          <w:szCs w:val="24"/>
        </w:rPr>
        <w:t>.1 Verticale rechtstreekse werking</w:t>
      </w:r>
      <w:bookmarkEnd w:id="6"/>
    </w:p>
    <w:p w:rsidR="000B417A" w:rsidRPr="00484DAF" w:rsidRDefault="000B417A" w:rsidP="00CC552D">
      <w:pPr>
        <w:pStyle w:val="Geenafstand"/>
        <w:spacing w:line="360" w:lineRule="auto"/>
        <w:rPr>
          <w:sz w:val="24"/>
          <w:szCs w:val="24"/>
        </w:rPr>
      </w:pPr>
      <w:r w:rsidRPr="00484DAF">
        <w:rPr>
          <w:sz w:val="24"/>
          <w:szCs w:val="24"/>
        </w:rPr>
        <w:t xml:space="preserve">Op Richtlijnen kan slechts een beroep worden gedaan tegenover de Staat. We noemen dit de verticale rechtstreeks werking. Hierbij moet </w:t>
      </w:r>
      <w:r w:rsidR="00784DF4" w:rsidRPr="00484DAF">
        <w:rPr>
          <w:sz w:val="24"/>
          <w:szCs w:val="24"/>
        </w:rPr>
        <w:t xml:space="preserve">worden </w:t>
      </w:r>
      <w:r w:rsidRPr="00484DAF">
        <w:rPr>
          <w:sz w:val="24"/>
          <w:szCs w:val="24"/>
        </w:rPr>
        <w:t xml:space="preserve">gedacht aan een burger, die de overheid aanspreekt op een gebrekkige, onjuiste of te late implementatie van de richtlijn. In dit kader is de zaak </w:t>
      </w:r>
      <w:r w:rsidRPr="00484DAF">
        <w:rPr>
          <w:i/>
          <w:sz w:val="24"/>
          <w:szCs w:val="24"/>
        </w:rPr>
        <w:t>Faccini Dori</w:t>
      </w:r>
      <w:r w:rsidR="00710852" w:rsidRPr="00484DAF">
        <w:rPr>
          <w:rStyle w:val="Voetnootmarkering"/>
          <w:sz w:val="24"/>
          <w:szCs w:val="24"/>
        </w:rPr>
        <w:footnoteReference w:id="6"/>
      </w:r>
      <w:r w:rsidR="00710852" w:rsidRPr="00484DAF">
        <w:rPr>
          <w:sz w:val="24"/>
          <w:szCs w:val="24"/>
        </w:rPr>
        <w:t xml:space="preserve"> </w:t>
      </w:r>
      <w:r w:rsidR="00784DF4" w:rsidRPr="00484DAF">
        <w:rPr>
          <w:sz w:val="24"/>
          <w:szCs w:val="24"/>
        </w:rPr>
        <w:t>relevant. Uit het arrest blijkt</w:t>
      </w:r>
      <w:r w:rsidRPr="00484DAF">
        <w:rPr>
          <w:sz w:val="24"/>
          <w:szCs w:val="24"/>
        </w:rPr>
        <w:t xml:space="preserve"> dat richtlijnen zich enkel richten tot Lidstaten. Zodoende kunnen richtlijnen geen verplichtingen opleggen aan individuen en ondernemingen, omdat zij zich slechts bewust zijn van nationale regelgeving en niet van EG-regelgeving. Naast de vereiste richtlijnconforme interpretatie kwam ook de verticale rechtstreekse werking van de richtlijnen naar voren in het arrest </w:t>
      </w:r>
      <w:r w:rsidRPr="00484DAF">
        <w:rPr>
          <w:i/>
          <w:sz w:val="24"/>
          <w:szCs w:val="24"/>
        </w:rPr>
        <w:t>Faccini Dori</w:t>
      </w:r>
      <w:r w:rsidRPr="00484DAF">
        <w:rPr>
          <w:sz w:val="24"/>
          <w:szCs w:val="24"/>
        </w:rPr>
        <w:t xml:space="preserve">. Het ging hierbij om </w:t>
      </w:r>
      <w:r w:rsidR="00AF529D" w:rsidRPr="00484DAF">
        <w:rPr>
          <w:sz w:val="24"/>
          <w:szCs w:val="24"/>
        </w:rPr>
        <w:t xml:space="preserve">mevrouw Faccini Dori </w:t>
      </w:r>
      <w:r w:rsidRPr="00484DAF">
        <w:rPr>
          <w:sz w:val="24"/>
          <w:szCs w:val="24"/>
        </w:rPr>
        <w:t xml:space="preserve">die op het station in Milaan de aanbieding kreeg om een cursus </w:t>
      </w:r>
      <w:r w:rsidRPr="00484DAF">
        <w:rPr>
          <w:sz w:val="24"/>
          <w:szCs w:val="24"/>
        </w:rPr>
        <w:lastRenderedPageBreak/>
        <w:t>Engels te volgen. Ze tekende een overeenkomst, maar wilde hier later toch van af. Destijds bestond een richtlijn om van de overeenkomst af te kunnen</w:t>
      </w:r>
      <w:r w:rsidR="00CC16D9" w:rsidRPr="00484DAF">
        <w:rPr>
          <w:sz w:val="24"/>
          <w:szCs w:val="24"/>
        </w:rPr>
        <w:t xml:space="preserve"> komen</w:t>
      </w:r>
      <w:r w:rsidRPr="00484DAF">
        <w:rPr>
          <w:sz w:val="24"/>
          <w:szCs w:val="24"/>
        </w:rPr>
        <w:t xml:space="preserve">. Italië had deze richtlijn nog niet geïmplementeerd, terwijl de termijn voor implementatie al was verlopen. De vraag was of een rechtstreeks beroep op deze richtlijn kon worden gedaan. </w:t>
      </w:r>
      <w:r w:rsidR="00E756AA" w:rsidRPr="00484DAF">
        <w:rPr>
          <w:sz w:val="24"/>
          <w:szCs w:val="24"/>
        </w:rPr>
        <w:t>Het HvJ EG besloot dat de dame onder bepaalde voorwaarden de Staat verantwoordelijk kon stellen in verband met te late implementatie van de richtlijn, waardoor zij was ‘geschaad’.</w:t>
      </w:r>
    </w:p>
    <w:p w:rsidR="000B417A" w:rsidRPr="00484DAF" w:rsidRDefault="000B417A" w:rsidP="00CC552D">
      <w:pPr>
        <w:pStyle w:val="Geenafstand"/>
        <w:spacing w:line="360" w:lineRule="auto"/>
        <w:rPr>
          <w:sz w:val="24"/>
          <w:szCs w:val="24"/>
        </w:rPr>
      </w:pPr>
    </w:p>
    <w:p w:rsidR="000B417A" w:rsidRPr="00484DAF" w:rsidRDefault="000B417A" w:rsidP="00CC552D">
      <w:pPr>
        <w:pStyle w:val="Geenafstand"/>
        <w:spacing w:line="360" w:lineRule="auto"/>
        <w:rPr>
          <w:sz w:val="24"/>
          <w:szCs w:val="24"/>
        </w:rPr>
      </w:pPr>
      <w:r w:rsidRPr="00484DAF">
        <w:rPr>
          <w:sz w:val="24"/>
          <w:szCs w:val="24"/>
        </w:rPr>
        <w:t xml:space="preserve">Andersom, ofwel ‘omgekeerde verticale rechtstreekse interpretatie’ is niet mogelijk, zo blijkt uit het arrest </w:t>
      </w:r>
      <w:r w:rsidRPr="00484DAF">
        <w:rPr>
          <w:i/>
          <w:sz w:val="24"/>
          <w:szCs w:val="24"/>
        </w:rPr>
        <w:t>Kolpinghuis</w:t>
      </w:r>
      <w:r w:rsidR="00953828" w:rsidRPr="00484DAF">
        <w:rPr>
          <w:rStyle w:val="Voetnootmarkering"/>
          <w:sz w:val="24"/>
          <w:szCs w:val="24"/>
        </w:rPr>
        <w:footnoteReference w:id="7"/>
      </w:r>
      <w:r w:rsidRPr="00484DAF">
        <w:rPr>
          <w:sz w:val="24"/>
          <w:szCs w:val="24"/>
        </w:rPr>
        <w:t>. Deze kroeg verkocht ‘spawater’, maar enkel in een glas. Na onderzoek bleek, dat de glazen gevuld werden met kraanwater in plaats van mineraalwater. De Nederlandse Officier van Justitie vond op grond van een richtlijn op het gebied van de exploitatie en het in de handel brenge</w:t>
      </w:r>
      <w:r w:rsidR="003F0047" w:rsidRPr="00484DAF">
        <w:rPr>
          <w:sz w:val="24"/>
          <w:szCs w:val="24"/>
        </w:rPr>
        <w:t>n van natuurlijk mineraal water</w:t>
      </w:r>
      <w:r w:rsidRPr="00484DAF">
        <w:rPr>
          <w:sz w:val="24"/>
          <w:szCs w:val="24"/>
        </w:rPr>
        <w:t xml:space="preserve"> dat Kolpinghuis fout zat. Nederland was toentertijd te laat met het implementeren van deze richtlijn. Tijdens de prejudiciële procedure werd daarom beslist, dat geen beroep op niet-geïmplementeerde richtlijnen door de Staat kon worden gedaan.</w:t>
      </w:r>
    </w:p>
    <w:p w:rsidR="00557A1F" w:rsidRPr="00484DAF" w:rsidRDefault="00557A1F" w:rsidP="00CC552D">
      <w:pPr>
        <w:pStyle w:val="Geenafstand"/>
        <w:spacing w:line="360" w:lineRule="auto"/>
        <w:rPr>
          <w:sz w:val="24"/>
          <w:szCs w:val="24"/>
        </w:rPr>
      </w:pPr>
    </w:p>
    <w:p w:rsidR="000B417A" w:rsidRPr="00484DAF" w:rsidRDefault="000B417A" w:rsidP="00CC552D">
      <w:pPr>
        <w:pStyle w:val="Kop2"/>
        <w:spacing w:before="0" w:line="360" w:lineRule="auto"/>
        <w:rPr>
          <w:rFonts w:ascii="Times New Roman" w:eastAsia="Calibri" w:hAnsi="Times New Roman"/>
          <w:color w:val="auto"/>
          <w:sz w:val="24"/>
          <w:szCs w:val="24"/>
        </w:rPr>
      </w:pPr>
      <w:bookmarkStart w:id="7" w:name="_Toc169750539"/>
      <w:bookmarkStart w:id="8" w:name="_Toc172969856"/>
      <w:bookmarkStart w:id="9" w:name="_Toc254043881"/>
      <w:r w:rsidRPr="00484DAF">
        <w:rPr>
          <w:rFonts w:ascii="Times New Roman" w:eastAsia="Calibri" w:hAnsi="Times New Roman"/>
          <w:color w:val="auto"/>
          <w:sz w:val="24"/>
          <w:szCs w:val="24"/>
        </w:rPr>
        <w:t>1.</w:t>
      </w:r>
      <w:r w:rsidR="00111F45" w:rsidRPr="00484DAF">
        <w:rPr>
          <w:rFonts w:ascii="Times New Roman" w:eastAsia="Calibri" w:hAnsi="Times New Roman"/>
          <w:color w:val="auto"/>
          <w:sz w:val="24"/>
          <w:szCs w:val="24"/>
        </w:rPr>
        <w:t>2</w:t>
      </w:r>
      <w:r w:rsidRPr="00484DAF">
        <w:rPr>
          <w:rFonts w:ascii="Times New Roman" w:eastAsia="Calibri" w:hAnsi="Times New Roman"/>
          <w:color w:val="auto"/>
          <w:sz w:val="24"/>
          <w:szCs w:val="24"/>
        </w:rPr>
        <w:t>.</w:t>
      </w:r>
      <w:r w:rsidR="009D2279" w:rsidRPr="00484DAF">
        <w:rPr>
          <w:rFonts w:ascii="Times New Roman" w:eastAsia="Calibri" w:hAnsi="Times New Roman"/>
          <w:color w:val="auto"/>
          <w:sz w:val="24"/>
          <w:szCs w:val="24"/>
        </w:rPr>
        <w:t>2</w:t>
      </w:r>
      <w:r w:rsidRPr="00484DAF">
        <w:rPr>
          <w:rFonts w:ascii="Times New Roman" w:eastAsia="Calibri" w:hAnsi="Times New Roman"/>
          <w:color w:val="auto"/>
          <w:sz w:val="24"/>
          <w:szCs w:val="24"/>
        </w:rPr>
        <w:t xml:space="preserve"> Richtlijnconforme interpretatie</w:t>
      </w:r>
      <w:bookmarkEnd w:id="7"/>
      <w:bookmarkEnd w:id="8"/>
      <w:bookmarkEnd w:id="9"/>
    </w:p>
    <w:p w:rsidR="000B417A" w:rsidRPr="00484DAF" w:rsidRDefault="000B417A" w:rsidP="00CC552D">
      <w:pPr>
        <w:pStyle w:val="Geenafstand"/>
        <w:spacing w:line="360" w:lineRule="auto"/>
        <w:rPr>
          <w:sz w:val="24"/>
          <w:szCs w:val="24"/>
        </w:rPr>
      </w:pPr>
      <w:r w:rsidRPr="00484DAF">
        <w:rPr>
          <w:sz w:val="24"/>
          <w:szCs w:val="24"/>
        </w:rPr>
        <w:t xml:space="preserve">Een rechter moet het (geïmplementeerde) nationale recht altijd richtlijnconform interpreteren. Dit kwam naar voren in het arrest </w:t>
      </w:r>
      <w:r w:rsidRPr="00484DAF">
        <w:rPr>
          <w:i/>
          <w:sz w:val="24"/>
          <w:szCs w:val="24"/>
        </w:rPr>
        <w:t>Marleasing</w:t>
      </w:r>
      <w:r w:rsidR="00953828" w:rsidRPr="00484DAF">
        <w:rPr>
          <w:rStyle w:val="Voetnootmarkering"/>
          <w:i/>
          <w:sz w:val="24"/>
          <w:szCs w:val="24"/>
        </w:rPr>
        <w:footnoteReference w:id="8"/>
      </w:r>
      <w:r w:rsidRPr="00484DAF">
        <w:rPr>
          <w:sz w:val="24"/>
          <w:szCs w:val="24"/>
        </w:rPr>
        <w:t xml:space="preserve">. Hierin werd gesteld, dat nationale bepalingen zoveel mogelijk uitgelegd dienen te worden in het licht van richtlijnbepalingen waaraan zij hun ontstaan danken. De voorwaarden hiervoor zijn dat geen verplichting voor particulieren ontstaat, de rechtszekerheid moet gewaarborgd blijven en er mag niet tegen de nationale wet in worden geïnterpreteerd. De verticale rechtstreekse werking strekt zich ook tot uit de Staat voortkomende entiteiten. Dit laatste blijkt uit </w:t>
      </w:r>
      <w:r w:rsidRPr="00484DAF">
        <w:rPr>
          <w:i/>
          <w:sz w:val="24"/>
          <w:szCs w:val="24"/>
        </w:rPr>
        <w:t>Foster/British Gas Plc</w:t>
      </w:r>
      <w:r w:rsidR="00953828" w:rsidRPr="00484DAF">
        <w:rPr>
          <w:rStyle w:val="Voetnootmarkering"/>
          <w:i/>
          <w:sz w:val="24"/>
          <w:szCs w:val="24"/>
        </w:rPr>
        <w:footnoteReference w:id="9"/>
      </w:r>
      <w:r w:rsidRPr="00484DAF">
        <w:rPr>
          <w:sz w:val="24"/>
          <w:szCs w:val="24"/>
        </w:rPr>
        <w:t xml:space="preserve">. Hierin overwoog </w:t>
      </w:r>
      <w:r w:rsidR="00E65D5B" w:rsidRPr="00484DAF">
        <w:rPr>
          <w:sz w:val="24"/>
          <w:szCs w:val="24"/>
        </w:rPr>
        <w:t>het HvJ EG</w:t>
      </w:r>
      <w:r w:rsidRPr="00484DAF">
        <w:rPr>
          <w:sz w:val="24"/>
          <w:szCs w:val="24"/>
        </w:rPr>
        <w:t xml:space="preserve"> dat diegenen, die onder een onvoorwaardelijke en voldoende nauwkeurige bepaling uit de richtlijn vallen, een beroep kunnen doen tegenover organisaties of instellingen, die onder gezag of toezicht van de Staat staan. </w:t>
      </w:r>
    </w:p>
    <w:p w:rsidR="000B417A" w:rsidRPr="00484DAF" w:rsidRDefault="000B417A" w:rsidP="00CC552D">
      <w:pPr>
        <w:pStyle w:val="Geenafstand"/>
        <w:spacing w:line="360" w:lineRule="auto"/>
        <w:rPr>
          <w:sz w:val="24"/>
          <w:szCs w:val="24"/>
        </w:rPr>
      </w:pPr>
    </w:p>
    <w:p w:rsidR="000B417A" w:rsidRPr="00484DAF" w:rsidRDefault="000B417A" w:rsidP="00CC552D">
      <w:pPr>
        <w:pStyle w:val="Geenafstand"/>
        <w:spacing w:line="360" w:lineRule="auto"/>
        <w:rPr>
          <w:sz w:val="24"/>
          <w:szCs w:val="24"/>
        </w:rPr>
      </w:pPr>
      <w:r w:rsidRPr="00484DAF">
        <w:rPr>
          <w:sz w:val="24"/>
          <w:szCs w:val="24"/>
        </w:rPr>
        <w:t xml:space="preserve">Richtlijnen kunnen nooit horizontale rechtstreekse werking hebben. Met horizontale rechtstreekse werking wordt het volgende bedoeld: iemand merkt dat zijn buurman in strijd handelt met de richtlijn en </w:t>
      </w:r>
      <w:r w:rsidR="00AF529D" w:rsidRPr="00484DAF">
        <w:rPr>
          <w:sz w:val="24"/>
          <w:szCs w:val="24"/>
        </w:rPr>
        <w:t xml:space="preserve">daagt </w:t>
      </w:r>
      <w:r w:rsidRPr="00484DAF">
        <w:rPr>
          <w:sz w:val="24"/>
          <w:szCs w:val="24"/>
        </w:rPr>
        <w:t>hem voor de rechter. Hij beroept zich hierbij op een EG-</w:t>
      </w:r>
      <w:r w:rsidRPr="00484DAF">
        <w:rPr>
          <w:sz w:val="24"/>
          <w:szCs w:val="24"/>
        </w:rPr>
        <w:lastRenderedPageBreak/>
        <w:t xml:space="preserve">richtlijn. Voordat dit naar voren kwam in de zaak Faccini Dori was dit al eerder in de jurisprudentie besloten. Het feit dat een richtlijn niet tegen een particulier kan worden ingeroepen, blijkt uit </w:t>
      </w:r>
      <w:r w:rsidRPr="00484DAF">
        <w:rPr>
          <w:i/>
          <w:sz w:val="24"/>
          <w:szCs w:val="24"/>
        </w:rPr>
        <w:t>Marshall/Southampton Area Health Authority</w:t>
      </w:r>
      <w:r w:rsidR="00953828" w:rsidRPr="00484DAF">
        <w:rPr>
          <w:rStyle w:val="Voetnootmarkering"/>
          <w:i/>
          <w:sz w:val="24"/>
          <w:szCs w:val="24"/>
        </w:rPr>
        <w:footnoteReference w:id="10"/>
      </w:r>
      <w:r w:rsidRPr="00484DAF">
        <w:rPr>
          <w:sz w:val="24"/>
          <w:szCs w:val="24"/>
        </w:rPr>
        <w:t xml:space="preserve">. Hierin overwoog </w:t>
      </w:r>
      <w:r w:rsidR="00E65D5B" w:rsidRPr="00484DAF">
        <w:rPr>
          <w:sz w:val="24"/>
          <w:szCs w:val="24"/>
        </w:rPr>
        <w:t>het HvJ EG</w:t>
      </w:r>
      <w:r w:rsidRPr="00484DAF">
        <w:rPr>
          <w:sz w:val="24"/>
          <w:szCs w:val="24"/>
        </w:rPr>
        <w:t xml:space="preserve"> onder andere, dat het dwingende karakter van een richtlijn (waarop de mogelijkheid om voor de nationale rechter beroep op te doen, is gebaseerd) slechts ten aanzien van </w:t>
      </w:r>
      <w:r w:rsidR="00953828" w:rsidRPr="00484DAF">
        <w:rPr>
          <w:i/>
          <w:sz w:val="24"/>
          <w:szCs w:val="24"/>
        </w:rPr>
        <w:t>‘</w:t>
      </w:r>
      <w:r w:rsidRPr="00484DAF">
        <w:rPr>
          <w:i/>
          <w:sz w:val="24"/>
          <w:szCs w:val="24"/>
        </w:rPr>
        <w:t>elke lidstaat waarvoor zij bestemd is</w:t>
      </w:r>
      <w:r w:rsidR="00953828" w:rsidRPr="00484DAF">
        <w:rPr>
          <w:i/>
          <w:sz w:val="24"/>
          <w:szCs w:val="24"/>
        </w:rPr>
        <w:t>’</w:t>
      </w:r>
      <w:r w:rsidRPr="00484DAF">
        <w:rPr>
          <w:sz w:val="24"/>
          <w:szCs w:val="24"/>
        </w:rPr>
        <w:t xml:space="preserve"> geldt. Hieruit volgt, dat een richtlijn uit zichzelf geen verplichtingen aan particulieren kan opleggen en dat een bepaling van een richtlijn als zodanig niet tegenover een particulier kan worden ingeroepen.</w:t>
      </w:r>
    </w:p>
    <w:p w:rsidR="00557A1F" w:rsidRPr="00484DAF" w:rsidRDefault="00557A1F" w:rsidP="00CC552D">
      <w:pPr>
        <w:pStyle w:val="Geenafstand"/>
        <w:spacing w:line="360" w:lineRule="auto"/>
        <w:rPr>
          <w:sz w:val="24"/>
          <w:szCs w:val="24"/>
        </w:rPr>
      </w:pPr>
    </w:p>
    <w:p w:rsidR="005459BD" w:rsidRPr="00484DAF" w:rsidRDefault="009D2279" w:rsidP="00CC552D">
      <w:pPr>
        <w:pStyle w:val="Kop1"/>
        <w:spacing w:before="0" w:line="360" w:lineRule="auto"/>
        <w:rPr>
          <w:rFonts w:ascii="Times New Roman" w:eastAsia="Calibri" w:hAnsi="Times New Roman"/>
          <w:color w:val="auto"/>
          <w:sz w:val="24"/>
          <w:szCs w:val="24"/>
        </w:rPr>
      </w:pPr>
      <w:bookmarkStart w:id="10" w:name="_Toc169750533"/>
      <w:bookmarkStart w:id="11" w:name="_Toc172969850"/>
      <w:bookmarkStart w:id="12" w:name="_Toc254043882"/>
      <w:r w:rsidRPr="00484DAF">
        <w:rPr>
          <w:rFonts w:ascii="Times New Roman" w:eastAsia="Calibri" w:hAnsi="Times New Roman"/>
          <w:color w:val="auto"/>
          <w:sz w:val="24"/>
          <w:szCs w:val="24"/>
        </w:rPr>
        <w:t>1</w:t>
      </w:r>
      <w:r w:rsidR="00DA06D1" w:rsidRPr="00484DAF">
        <w:rPr>
          <w:rFonts w:ascii="Times New Roman" w:eastAsia="Calibri" w:hAnsi="Times New Roman"/>
          <w:color w:val="auto"/>
          <w:sz w:val="24"/>
          <w:szCs w:val="24"/>
        </w:rPr>
        <w:t>.</w:t>
      </w:r>
      <w:r w:rsidR="00111F45" w:rsidRPr="00484DAF">
        <w:rPr>
          <w:rFonts w:ascii="Times New Roman" w:eastAsia="Calibri" w:hAnsi="Times New Roman"/>
          <w:color w:val="auto"/>
          <w:sz w:val="24"/>
          <w:szCs w:val="24"/>
        </w:rPr>
        <w:t>3</w:t>
      </w:r>
      <w:r w:rsidR="005459BD" w:rsidRPr="00484DAF">
        <w:rPr>
          <w:rFonts w:ascii="Times New Roman" w:eastAsia="Calibri" w:hAnsi="Times New Roman"/>
          <w:color w:val="auto"/>
          <w:sz w:val="24"/>
          <w:szCs w:val="24"/>
        </w:rPr>
        <w:t xml:space="preserve"> Korte uiteenzetting over </w:t>
      </w:r>
      <w:bookmarkEnd w:id="10"/>
      <w:bookmarkEnd w:id="11"/>
      <w:r w:rsidR="007B0522" w:rsidRPr="00484DAF">
        <w:rPr>
          <w:rFonts w:ascii="Times New Roman" w:eastAsia="Calibri" w:hAnsi="Times New Roman"/>
          <w:color w:val="auto"/>
          <w:sz w:val="24"/>
          <w:szCs w:val="24"/>
        </w:rPr>
        <w:t>omzetbelasting</w:t>
      </w:r>
      <w:bookmarkEnd w:id="12"/>
    </w:p>
    <w:p w:rsidR="00701613" w:rsidRPr="00484DAF" w:rsidRDefault="005459BD" w:rsidP="00CC552D">
      <w:pPr>
        <w:pStyle w:val="Geenafstand"/>
        <w:spacing w:line="360" w:lineRule="auto"/>
        <w:rPr>
          <w:sz w:val="24"/>
          <w:szCs w:val="24"/>
        </w:rPr>
      </w:pPr>
      <w:r w:rsidRPr="00484DAF">
        <w:rPr>
          <w:sz w:val="24"/>
          <w:szCs w:val="24"/>
        </w:rPr>
        <w:t>De omzetbelasting is een kostprijsverhogende belasting. Deze term is enigszins misleidend, omdat zij niet drukt op de kostprijs van een goed voor een onderneming. De belasting verhoogt wel de consumentenprijs.</w:t>
      </w:r>
      <w:r w:rsidR="001A19AA" w:rsidRPr="00484DAF">
        <w:rPr>
          <w:sz w:val="24"/>
          <w:szCs w:val="24"/>
        </w:rPr>
        <w:t xml:space="preserve"> Beter is het om te spreken van een verbruiksbelasting of bestedingsbelasting.</w:t>
      </w:r>
      <w:r w:rsidR="001A19AA" w:rsidRPr="00484DAF">
        <w:rPr>
          <w:rStyle w:val="Voetnootmarkering"/>
          <w:sz w:val="24"/>
          <w:szCs w:val="24"/>
        </w:rPr>
        <w:footnoteReference w:id="11"/>
      </w:r>
      <w:r w:rsidR="001A19AA" w:rsidRPr="00484DAF">
        <w:rPr>
          <w:sz w:val="24"/>
          <w:szCs w:val="24"/>
        </w:rPr>
        <w:t xml:space="preserve"> </w:t>
      </w:r>
      <w:r w:rsidR="00261268" w:rsidRPr="00484DAF">
        <w:rPr>
          <w:sz w:val="24"/>
          <w:szCs w:val="24"/>
        </w:rPr>
        <w:t>Het van toepassing zijnde tarief volgt uit art</w:t>
      </w:r>
      <w:r w:rsidR="00EC32A5" w:rsidRPr="00484DAF">
        <w:rPr>
          <w:sz w:val="24"/>
          <w:szCs w:val="24"/>
        </w:rPr>
        <w:t>ikel 9 Wet </w:t>
      </w:r>
      <w:r w:rsidR="00261268" w:rsidRPr="00484DAF">
        <w:rPr>
          <w:sz w:val="24"/>
          <w:szCs w:val="24"/>
        </w:rPr>
        <w:t>OB</w:t>
      </w:r>
      <w:r w:rsidR="00EC32A5" w:rsidRPr="00484DAF">
        <w:rPr>
          <w:sz w:val="24"/>
          <w:szCs w:val="24"/>
        </w:rPr>
        <w:t> </w:t>
      </w:r>
      <w:r w:rsidR="00261268" w:rsidRPr="00484DAF">
        <w:rPr>
          <w:sz w:val="24"/>
          <w:szCs w:val="24"/>
        </w:rPr>
        <w:t>1968. De hoofdregel luidt dat over elke prestatie 19% BTW wordt berekend.</w:t>
      </w:r>
      <w:r w:rsidR="00261268" w:rsidRPr="00484DAF">
        <w:rPr>
          <w:rStyle w:val="Voetnootmarkering"/>
          <w:sz w:val="24"/>
          <w:szCs w:val="24"/>
        </w:rPr>
        <w:footnoteReference w:id="12"/>
      </w:r>
      <w:r w:rsidR="00261268" w:rsidRPr="00484DAF">
        <w:rPr>
          <w:sz w:val="24"/>
          <w:szCs w:val="24"/>
        </w:rPr>
        <w:t xml:space="preserve"> In afwijking hiervan </w:t>
      </w:r>
      <w:r w:rsidR="00FD70B3" w:rsidRPr="00484DAF">
        <w:rPr>
          <w:sz w:val="24"/>
          <w:szCs w:val="24"/>
        </w:rPr>
        <w:t xml:space="preserve">bedraagt </w:t>
      </w:r>
      <w:r w:rsidR="00261268" w:rsidRPr="00484DAF">
        <w:rPr>
          <w:sz w:val="24"/>
          <w:szCs w:val="24"/>
        </w:rPr>
        <w:t>het tarief 6% of 0% indien de prestatie met naam en toenaam in de bijbehorende tabellen is genoemd.</w:t>
      </w:r>
      <w:r w:rsidR="00261268" w:rsidRPr="00484DAF">
        <w:rPr>
          <w:rStyle w:val="Voetnootmarkering"/>
          <w:sz w:val="24"/>
          <w:szCs w:val="24"/>
        </w:rPr>
        <w:footnoteReference w:id="13"/>
      </w:r>
      <w:r w:rsidR="00261268" w:rsidRPr="00484DAF">
        <w:rPr>
          <w:sz w:val="24"/>
          <w:szCs w:val="24"/>
        </w:rPr>
        <w:t xml:space="preserve"> </w:t>
      </w:r>
      <w:r w:rsidRPr="00484DAF">
        <w:rPr>
          <w:sz w:val="24"/>
          <w:szCs w:val="24"/>
        </w:rPr>
        <w:t>Heffing vindt echter niet plaats bij de consument,</w:t>
      </w:r>
      <w:r w:rsidR="002617D3" w:rsidRPr="00484DAF">
        <w:rPr>
          <w:sz w:val="24"/>
          <w:szCs w:val="24"/>
        </w:rPr>
        <w:t xml:space="preserve"> maar bij de ondernemer</w:t>
      </w:r>
      <w:r w:rsidR="002617D3" w:rsidRPr="00484DAF">
        <w:rPr>
          <w:rStyle w:val="Voetnootmarkering"/>
          <w:sz w:val="24"/>
          <w:szCs w:val="24"/>
        </w:rPr>
        <w:footnoteReference w:id="14"/>
      </w:r>
      <w:r w:rsidRPr="00484DAF">
        <w:rPr>
          <w:sz w:val="24"/>
          <w:szCs w:val="24"/>
        </w:rPr>
        <w:t xml:space="preserve"> die de goederen lever</w:t>
      </w:r>
      <w:r w:rsidR="002617D3" w:rsidRPr="00484DAF">
        <w:rPr>
          <w:sz w:val="24"/>
          <w:szCs w:val="24"/>
        </w:rPr>
        <w:t>t of diensten verricht</w:t>
      </w:r>
      <w:r w:rsidRPr="00484DAF">
        <w:rPr>
          <w:sz w:val="24"/>
          <w:szCs w:val="24"/>
        </w:rPr>
        <w:t>.</w:t>
      </w:r>
      <w:r w:rsidR="002617D3" w:rsidRPr="00484DAF">
        <w:rPr>
          <w:rStyle w:val="Voetnootmarkering"/>
          <w:sz w:val="24"/>
          <w:szCs w:val="24"/>
        </w:rPr>
        <w:footnoteReference w:id="15"/>
      </w:r>
      <w:r w:rsidRPr="00484DAF">
        <w:rPr>
          <w:sz w:val="24"/>
          <w:szCs w:val="24"/>
        </w:rPr>
        <w:t xml:space="preserve"> </w:t>
      </w:r>
      <w:r w:rsidR="00032B22" w:rsidRPr="00484DAF">
        <w:rPr>
          <w:sz w:val="24"/>
          <w:szCs w:val="24"/>
        </w:rPr>
        <w:t>Hieronder wordt mede begrepen de exploitatie van een vermogensbestanddeel om er duurza</w:t>
      </w:r>
      <w:r w:rsidR="002617D3" w:rsidRPr="00484DAF">
        <w:rPr>
          <w:sz w:val="24"/>
          <w:szCs w:val="24"/>
        </w:rPr>
        <w:t>am opbrengst uit te verkrijgen</w:t>
      </w:r>
      <w:r w:rsidR="002617D3" w:rsidRPr="00484DAF">
        <w:rPr>
          <w:rStyle w:val="Voetnootmarkering"/>
          <w:sz w:val="24"/>
          <w:szCs w:val="24"/>
        </w:rPr>
        <w:footnoteReference w:id="16"/>
      </w:r>
      <w:r w:rsidR="00032B22" w:rsidRPr="00484DAF">
        <w:rPr>
          <w:sz w:val="24"/>
          <w:szCs w:val="24"/>
        </w:rPr>
        <w:t>, ongeacht het oogmerk of het resultaat.</w:t>
      </w:r>
      <w:r w:rsidR="00032B22" w:rsidRPr="00484DAF">
        <w:rPr>
          <w:rStyle w:val="Voetnootmarkering"/>
          <w:sz w:val="24"/>
          <w:szCs w:val="24"/>
        </w:rPr>
        <w:footnoteReference w:id="17"/>
      </w:r>
      <w:r w:rsidR="00032B22" w:rsidRPr="00484DAF">
        <w:rPr>
          <w:sz w:val="24"/>
          <w:szCs w:val="24"/>
        </w:rPr>
        <w:t xml:space="preserve"> Dit wordt ook wel aangeduid als quasiondernemerschap.</w:t>
      </w:r>
      <w:r w:rsidR="006652C7" w:rsidRPr="00484DAF">
        <w:rPr>
          <w:sz w:val="24"/>
          <w:szCs w:val="24"/>
        </w:rPr>
        <w:t xml:space="preserve"> </w:t>
      </w:r>
    </w:p>
    <w:p w:rsidR="00557A1F" w:rsidRPr="00484DAF" w:rsidRDefault="00557A1F" w:rsidP="00CC552D">
      <w:pPr>
        <w:pStyle w:val="Geenafstand"/>
        <w:spacing w:line="360" w:lineRule="auto"/>
        <w:rPr>
          <w:sz w:val="24"/>
          <w:szCs w:val="24"/>
        </w:rPr>
      </w:pPr>
    </w:p>
    <w:p w:rsidR="00213866" w:rsidRPr="00484DAF" w:rsidRDefault="00111F45" w:rsidP="00CC552D">
      <w:pPr>
        <w:pStyle w:val="Kop2"/>
        <w:spacing w:before="0" w:line="360" w:lineRule="auto"/>
        <w:rPr>
          <w:rFonts w:ascii="Times New Roman" w:eastAsia="Calibri" w:hAnsi="Times New Roman"/>
          <w:color w:val="auto"/>
          <w:sz w:val="24"/>
          <w:szCs w:val="24"/>
        </w:rPr>
      </w:pPr>
      <w:bookmarkStart w:id="13" w:name="_Toc254043883"/>
      <w:r w:rsidRPr="00484DAF">
        <w:rPr>
          <w:rFonts w:ascii="Times New Roman" w:eastAsia="Calibri" w:hAnsi="Times New Roman"/>
          <w:color w:val="auto"/>
          <w:sz w:val="24"/>
          <w:szCs w:val="24"/>
        </w:rPr>
        <w:t>1.3</w:t>
      </w:r>
      <w:r w:rsidR="009D2279" w:rsidRPr="00484DAF">
        <w:rPr>
          <w:rFonts w:ascii="Times New Roman" w:eastAsia="Calibri" w:hAnsi="Times New Roman"/>
          <w:color w:val="auto"/>
          <w:sz w:val="24"/>
          <w:szCs w:val="24"/>
        </w:rPr>
        <w:t>.1 Indirecte belasting</w:t>
      </w:r>
      <w:bookmarkEnd w:id="13"/>
    </w:p>
    <w:p w:rsidR="00701613" w:rsidRPr="00484DAF" w:rsidRDefault="00D6217C" w:rsidP="00CC552D">
      <w:pPr>
        <w:pStyle w:val="Geenafstand"/>
        <w:spacing w:line="360" w:lineRule="auto"/>
        <w:rPr>
          <w:sz w:val="24"/>
          <w:szCs w:val="24"/>
        </w:rPr>
      </w:pPr>
      <w:r w:rsidRPr="00484DAF">
        <w:rPr>
          <w:sz w:val="24"/>
          <w:szCs w:val="24"/>
        </w:rPr>
        <w:t xml:space="preserve">De omzetbelasting kwalificeert als </w:t>
      </w:r>
      <w:r w:rsidR="005459BD" w:rsidRPr="00484DAF">
        <w:rPr>
          <w:sz w:val="24"/>
          <w:szCs w:val="24"/>
        </w:rPr>
        <w:t>een indirecte belasting. Bij toepassing van een systeem van heffing over de toegevoegde waarde met aftrek van voorbe</w:t>
      </w:r>
      <w:r w:rsidR="0007574E" w:rsidRPr="00484DAF">
        <w:rPr>
          <w:sz w:val="24"/>
          <w:szCs w:val="24"/>
        </w:rPr>
        <w:t>lasting is het de bedoeling</w:t>
      </w:r>
      <w:r w:rsidR="005459BD" w:rsidRPr="00484DAF">
        <w:rPr>
          <w:sz w:val="24"/>
          <w:szCs w:val="24"/>
        </w:rPr>
        <w:t xml:space="preserve"> dat de ondernemer de van hem geheven belasting doorberekent in de prijzen van zijn goederen en diensten. Zo wentelt hij de belasting af op de consument. Het basisbeginsel van het BTW-</w:t>
      </w:r>
      <w:r w:rsidR="005459BD" w:rsidRPr="00484DAF">
        <w:rPr>
          <w:sz w:val="24"/>
          <w:szCs w:val="24"/>
        </w:rPr>
        <w:lastRenderedPageBreak/>
        <w:t xml:space="preserve">stelsel is, dat enkel de eindverbruiker wordt belast. In de zaak </w:t>
      </w:r>
      <w:r w:rsidR="005459BD" w:rsidRPr="00484DAF">
        <w:rPr>
          <w:i/>
          <w:sz w:val="24"/>
          <w:szCs w:val="24"/>
        </w:rPr>
        <w:t>Elida Gibbs</w:t>
      </w:r>
      <w:r w:rsidR="00953828" w:rsidRPr="00484DAF">
        <w:rPr>
          <w:rStyle w:val="Voetnootmarkering"/>
          <w:i/>
          <w:sz w:val="24"/>
          <w:szCs w:val="24"/>
        </w:rPr>
        <w:footnoteReference w:id="18"/>
      </w:r>
      <w:r w:rsidR="005459BD" w:rsidRPr="00484DAF">
        <w:rPr>
          <w:sz w:val="24"/>
          <w:szCs w:val="24"/>
        </w:rPr>
        <w:t xml:space="preserve"> overweegt </w:t>
      </w:r>
      <w:r w:rsidR="00E65D5B" w:rsidRPr="00484DAF">
        <w:rPr>
          <w:sz w:val="24"/>
          <w:szCs w:val="24"/>
        </w:rPr>
        <w:t>het HvJ EG</w:t>
      </w:r>
      <w:r w:rsidR="005459BD" w:rsidRPr="00484DAF">
        <w:rPr>
          <w:sz w:val="24"/>
          <w:szCs w:val="24"/>
        </w:rPr>
        <w:t xml:space="preserve"> hierover, dat </w:t>
      </w:r>
      <w:r w:rsidR="005459BD" w:rsidRPr="00484DAF">
        <w:rPr>
          <w:i/>
          <w:sz w:val="24"/>
          <w:szCs w:val="24"/>
        </w:rPr>
        <w:t>‘de maatstaf van heffing van de aan de fiscus af te dragen BTW niet hoger kan zijn dan de door de eindverbruiker daadwerkelijke betaalde tegenprestatie, waarover de uiteindelijk door hem verschuldigde BTW is berekend.’</w:t>
      </w:r>
      <w:r w:rsidR="005459BD" w:rsidRPr="00484DAF">
        <w:rPr>
          <w:sz w:val="24"/>
          <w:szCs w:val="24"/>
        </w:rPr>
        <w:t xml:space="preserve"> Het voordeel van dit indirecte systeem van heffen, is de eenvoud die het met zich meebrengt. In plaats van honderd consumenten die BTW (stel: €</w:t>
      </w:r>
      <w:r w:rsidR="00977C6E" w:rsidRPr="00484DAF">
        <w:rPr>
          <w:sz w:val="24"/>
          <w:szCs w:val="24"/>
        </w:rPr>
        <w:t> </w:t>
      </w:r>
      <w:r w:rsidR="005459BD" w:rsidRPr="00484DAF">
        <w:rPr>
          <w:sz w:val="24"/>
          <w:szCs w:val="24"/>
        </w:rPr>
        <w:t>0,05 over een potlood) op een aangifteformulier moeten voldoen, kan worden volstaan met de aangifte van één ondernemer die honderd maal het verschuldigde bedrag voldoet.</w:t>
      </w:r>
      <w:r w:rsidR="00213866" w:rsidRPr="00484DAF">
        <w:rPr>
          <w:sz w:val="24"/>
          <w:szCs w:val="24"/>
        </w:rPr>
        <w:t xml:space="preserve"> </w:t>
      </w:r>
    </w:p>
    <w:p w:rsidR="00557A1F" w:rsidRPr="00484DAF" w:rsidRDefault="00557A1F" w:rsidP="00CC552D">
      <w:pPr>
        <w:pStyle w:val="Geenafstand"/>
        <w:spacing w:line="360" w:lineRule="auto"/>
        <w:rPr>
          <w:sz w:val="24"/>
          <w:szCs w:val="24"/>
        </w:rPr>
      </w:pPr>
    </w:p>
    <w:p w:rsidR="00701613" w:rsidRPr="00484DAF" w:rsidRDefault="00111F45" w:rsidP="00CC552D">
      <w:pPr>
        <w:pStyle w:val="Kop2"/>
        <w:spacing w:before="0" w:line="360" w:lineRule="auto"/>
        <w:rPr>
          <w:rFonts w:ascii="Times New Roman" w:eastAsia="Calibri" w:hAnsi="Times New Roman"/>
          <w:color w:val="auto"/>
          <w:sz w:val="24"/>
          <w:szCs w:val="24"/>
        </w:rPr>
      </w:pPr>
      <w:bookmarkStart w:id="14" w:name="_Toc254043884"/>
      <w:r w:rsidRPr="00484DAF">
        <w:rPr>
          <w:rFonts w:ascii="Times New Roman" w:eastAsia="Calibri" w:hAnsi="Times New Roman"/>
          <w:color w:val="auto"/>
          <w:sz w:val="24"/>
          <w:szCs w:val="24"/>
        </w:rPr>
        <w:t>1.3</w:t>
      </w:r>
      <w:r w:rsidR="009D2279" w:rsidRPr="00484DAF">
        <w:rPr>
          <w:rFonts w:ascii="Times New Roman" w:eastAsia="Calibri" w:hAnsi="Times New Roman"/>
          <w:color w:val="auto"/>
          <w:sz w:val="24"/>
          <w:szCs w:val="24"/>
        </w:rPr>
        <w:t>.2 Neutraliteit</w:t>
      </w:r>
      <w:bookmarkEnd w:id="14"/>
    </w:p>
    <w:p w:rsidR="00213866" w:rsidRPr="00484DAF" w:rsidRDefault="00213866" w:rsidP="00CC552D">
      <w:pPr>
        <w:pStyle w:val="Geenafstand"/>
        <w:spacing w:line="360" w:lineRule="auto"/>
        <w:rPr>
          <w:sz w:val="24"/>
          <w:szCs w:val="24"/>
        </w:rPr>
      </w:pPr>
      <w:r w:rsidRPr="00484DAF">
        <w:rPr>
          <w:sz w:val="24"/>
          <w:szCs w:val="24"/>
        </w:rPr>
        <w:t xml:space="preserve">De eindheffing dient </w:t>
      </w:r>
      <w:r w:rsidR="00701613" w:rsidRPr="00484DAF">
        <w:rPr>
          <w:sz w:val="24"/>
          <w:szCs w:val="24"/>
        </w:rPr>
        <w:t xml:space="preserve">(zowel intern als extern) </w:t>
      </w:r>
      <w:r w:rsidRPr="00484DAF">
        <w:rPr>
          <w:sz w:val="24"/>
          <w:szCs w:val="24"/>
        </w:rPr>
        <w:t>neutraal</w:t>
      </w:r>
      <w:r w:rsidR="00701D8F" w:rsidRPr="00484DAF">
        <w:rPr>
          <w:sz w:val="24"/>
          <w:szCs w:val="24"/>
        </w:rPr>
        <w:t xml:space="preserve"> </w:t>
      </w:r>
      <w:r w:rsidRPr="00484DAF">
        <w:rPr>
          <w:sz w:val="24"/>
          <w:szCs w:val="24"/>
        </w:rPr>
        <w:t>te geschieden.</w:t>
      </w:r>
      <w:r w:rsidR="00701613" w:rsidRPr="00484DAF">
        <w:rPr>
          <w:i/>
          <w:sz w:val="24"/>
          <w:szCs w:val="24"/>
        </w:rPr>
        <w:t xml:space="preserve"> </w:t>
      </w:r>
      <w:r w:rsidRPr="00484DAF">
        <w:rPr>
          <w:sz w:val="24"/>
          <w:szCs w:val="24"/>
        </w:rPr>
        <w:t>Binnen de bedrijfskolom, hoe lang die ook is, mag de omzetbelasting geen kostprijsverhogend effect hebben.</w:t>
      </w:r>
      <w:r w:rsidR="00701613" w:rsidRPr="00484DAF">
        <w:rPr>
          <w:rStyle w:val="Voetnootmarkering"/>
          <w:i/>
          <w:sz w:val="24"/>
          <w:szCs w:val="24"/>
        </w:rPr>
        <w:footnoteReference w:id="19"/>
      </w:r>
      <w:r w:rsidRPr="00484DAF">
        <w:rPr>
          <w:sz w:val="24"/>
          <w:szCs w:val="24"/>
        </w:rPr>
        <w:t xml:space="preserve"> </w:t>
      </w:r>
      <w:r w:rsidR="00701613" w:rsidRPr="00484DAF">
        <w:rPr>
          <w:sz w:val="24"/>
          <w:szCs w:val="24"/>
        </w:rPr>
        <w:t xml:space="preserve">Dit wordt ook wel interne neutraliteit genoemd. </w:t>
      </w:r>
      <w:r w:rsidRPr="00484DAF">
        <w:rPr>
          <w:sz w:val="24"/>
          <w:szCs w:val="24"/>
        </w:rPr>
        <w:t xml:space="preserve">Zo wordt gerealiseerd, dat aan het eind van elke productieketen op de consumentenprijs van dezelfde of soortgelijke goederen en diensten dezelfde omzetbelastingdruk rust. </w:t>
      </w:r>
      <w:r w:rsidR="00701613" w:rsidRPr="00484DAF">
        <w:rPr>
          <w:sz w:val="24"/>
          <w:szCs w:val="24"/>
        </w:rPr>
        <w:t>Externe n</w:t>
      </w:r>
      <w:r w:rsidRPr="00484DAF">
        <w:rPr>
          <w:sz w:val="24"/>
          <w:szCs w:val="24"/>
        </w:rPr>
        <w:t xml:space="preserve">eutraliteit staat bij het </w:t>
      </w:r>
      <w:r w:rsidR="007832B3" w:rsidRPr="00484DAF">
        <w:rPr>
          <w:sz w:val="24"/>
          <w:szCs w:val="24"/>
        </w:rPr>
        <w:t xml:space="preserve">HvJ EG </w:t>
      </w:r>
      <w:r w:rsidRPr="00484DAF">
        <w:rPr>
          <w:sz w:val="24"/>
          <w:szCs w:val="24"/>
        </w:rPr>
        <w:t xml:space="preserve">hoog in het vaandel. Deze </w:t>
      </w:r>
      <w:r w:rsidR="0007574E" w:rsidRPr="00484DAF">
        <w:rPr>
          <w:sz w:val="24"/>
          <w:szCs w:val="24"/>
        </w:rPr>
        <w:t xml:space="preserve">neutraliteitsvorm </w:t>
      </w:r>
      <w:r w:rsidRPr="00484DAF">
        <w:rPr>
          <w:sz w:val="24"/>
          <w:szCs w:val="24"/>
        </w:rPr>
        <w:t>brengt met zich mee dat het tarief bij invoer gelijk moet zijn aan de belastingdruk, die rust op dezelfde of soortgelijke goederen die in het binnenland zijn geproduceerd.</w:t>
      </w:r>
      <w:r w:rsidR="00701613" w:rsidRPr="00484DAF">
        <w:rPr>
          <w:rStyle w:val="Voetnootmarkering"/>
          <w:sz w:val="24"/>
          <w:szCs w:val="24"/>
        </w:rPr>
        <w:footnoteReference w:id="20"/>
      </w:r>
      <w:r w:rsidRPr="00484DAF">
        <w:rPr>
          <w:sz w:val="24"/>
          <w:szCs w:val="24"/>
        </w:rPr>
        <w:t xml:space="preserve"> Met andere woorden, de heffing mag geen invloed hebben op concurrentieverhoudingen tussen ondernemers.</w:t>
      </w:r>
    </w:p>
    <w:p w:rsidR="004E70FF" w:rsidRPr="00484DAF" w:rsidRDefault="004E70FF" w:rsidP="00CC552D">
      <w:pPr>
        <w:pStyle w:val="Geenafstand"/>
        <w:spacing w:line="360" w:lineRule="auto"/>
        <w:rPr>
          <w:sz w:val="24"/>
          <w:szCs w:val="24"/>
        </w:rPr>
      </w:pPr>
    </w:p>
    <w:p w:rsidR="004E70FF" w:rsidRPr="00484DAF" w:rsidRDefault="00A126E7" w:rsidP="00CC552D">
      <w:pPr>
        <w:pStyle w:val="Geenafstand"/>
        <w:spacing w:line="360" w:lineRule="auto"/>
        <w:rPr>
          <w:sz w:val="24"/>
          <w:szCs w:val="24"/>
        </w:rPr>
      </w:pPr>
      <w:r w:rsidRPr="00484DAF">
        <w:rPr>
          <w:sz w:val="24"/>
          <w:szCs w:val="24"/>
        </w:rPr>
        <w:t xml:space="preserve">Het </w:t>
      </w:r>
      <w:r w:rsidR="0007574E" w:rsidRPr="00484DAF">
        <w:rPr>
          <w:sz w:val="24"/>
          <w:szCs w:val="24"/>
        </w:rPr>
        <w:t>HvJ EG</w:t>
      </w:r>
      <w:r w:rsidRPr="00484DAF">
        <w:rPr>
          <w:sz w:val="24"/>
          <w:szCs w:val="24"/>
        </w:rPr>
        <w:t xml:space="preserve"> heeft in diverse arresten het beginsel van fiscale neutraliteit uitgewerkt. Zo was er de zaak </w:t>
      </w:r>
      <w:r w:rsidRPr="00484DAF">
        <w:rPr>
          <w:i/>
          <w:sz w:val="24"/>
          <w:szCs w:val="24"/>
        </w:rPr>
        <w:t>Commissie/Italië</w:t>
      </w:r>
      <w:r w:rsidRPr="00484DAF">
        <w:rPr>
          <w:sz w:val="24"/>
          <w:szCs w:val="24"/>
        </w:rPr>
        <w:t>.</w:t>
      </w:r>
      <w:r w:rsidR="0007574E" w:rsidRPr="00484DAF">
        <w:rPr>
          <w:rStyle w:val="Voetnootmarkering"/>
          <w:sz w:val="24"/>
          <w:szCs w:val="24"/>
        </w:rPr>
        <w:footnoteReference w:id="21"/>
      </w:r>
      <w:r w:rsidRPr="00484DAF">
        <w:rPr>
          <w:sz w:val="24"/>
          <w:szCs w:val="24"/>
        </w:rPr>
        <w:t xml:space="preserve"> Hierin oordeelde het </w:t>
      </w:r>
      <w:r w:rsidR="0007574E" w:rsidRPr="00484DAF">
        <w:rPr>
          <w:sz w:val="24"/>
          <w:szCs w:val="24"/>
        </w:rPr>
        <w:t>HvJ EG</w:t>
      </w:r>
      <w:r w:rsidRPr="00484DAF">
        <w:rPr>
          <w:sz w:val="24"/>
          <w:szCs w:val="24"/>
        </w:rPr>
        <w:t xml:space="preserve"> dat een vrijstelling uit de Italiaanse omzetbelastingwet onjuist uit de richtlijn was overgenomen. Het Hof stelde dat Italië correcte toepassing aan de vrijstelling moest geven, omdat de vrijstelling in de richtlijn </w:t>
      </w:r>
      <w:r w:rsidRPr="00484DAF">
        <w:rPr>
          <w:i/>
          <w:sz w:val="24"/>
          <w:szCs w:val="24"/>
        </w:rPr>
        <w:t>‘juist een dubbele heffing van belasting, die in strijd is met het beginsel van de belastingneutraliteit dat inherent is aan het gemeenschappelijk stelsel van belasting over de toegevoegde waarde, beoogt te voorkomen.’</w:t>
      </w:r>
      <w:r w:rsidR="00701D8F" w:rsidRPr="00484DAF">
        <w:rPr>
          <w:sz w:val="24"/>
          <w:szCs w:val="24"/>
        </w:rPr>
        <w:t xml:space="preserve"> </w:t>
      </w:r>
      <w:r w:rsidRPr="00484DAF">
        <w:rPr>
          <w:sz w:val="24"/>
          <w:szCs w:val="24"/>
        </w:rPr>
        <w:t xml:space="preserve">Fiscale neutraliteit is ook te benaderen vanuit het gelijkheidsbeginsel, zo blijkt uit de zaak </w:t>
      </w:r>
      <w:r w:rsidRPr="00484DAF">
        <w:rPr>
          <w:i/>
          <w:sz w:val="24"/>
          <w:szCs w:val="24"/>
        </w:rPr>
        <w:t>Wellcome Trust Ltd</w:t>
      </w:r>
      <w:r w:rsidRPr="00484DAF">
        <w:rPr>
          <w:rStyle w:val="Voetnootmarkering"/>
          <w:i/>
          <w:sz w:val="24"/>
          <w:szCs w:val="24"/>
        </w:rPr>
        <w:footnoteReference w:id="22"/>
      </w:r>
      <w:r w:rsidR="0029298D" w:rsidRPr="00484DAF">
        <w:rPr>
          <w:sz w:val="24"/>
          <w:szCs w:val="24"/>
        </w:rPr>
        <w:t xml:space="preserve"> waarin een trust is gelijkgesteld met een particuliere investeerder. Hiermee</w:t>
      </w:r>
      <w:r w:rsidRPr="00484DAF">
        <w:rPr>
          <w:sz w:val="24"/>
          <w:szCs w:val="24"/>
        </w:rPr>
        <w:t xml:space="preserve"> werd</w:t>
      </w:r>
      <w:r w:rsidR="0071744E" w:rsidRPr="00484DAF">
        <w:rPr>
          <w:sz w:val="24"/>
          <w:szCs w:val="24"/>
        </w:rPr>
        <w:t xml:space="preserve"> het hierboven </w:t>
      </w:r>
      <w:r w:rsidR="0007574E" w:rsidRPr="00484DAF">
        <w:rPr>
          <w:sz w:val="24"/>
          <w:szCs w:val="24"/>
        </w:rPr>
        <w:t xml:space="preserve">impliciet </w:t>
      </w:r>
      <w:r w:rsidR="0071744E" w:rsidRPr="00484DAF">
        <w:rPr>
          <w:sz w:val="24"/>
          <w:szCs w:val="24"/>
        </w:rPr>
        <w:t>vermelde artikel </w:t>
      </w:r>
      <w:r w:rsidRPr="00484DAF">
        <w:rPr>
          <w:sz w:val="24"/>
          <w:szCs w:val="24"/>
        </w:rPr>
        <w:t xml:space="preserve">2 </w:t>
      </w:r>
      <w:r w:rsidR="0029298D" w:rsidRPr="00484DAF">
        <w:rPr>
          <w:sz w:val="24"/>
          <w:szCs w:val="24"/>
        </w:rPr>
        <w:t>E</w:t>
      </w:r>
      <w:r w:rsidRPr="00484DAF">
        <w:rPr>
          <w:sz w:val="24"/>
          <w:szCs w:val="24"/>
        </w:rPr>
        <w:t>erste richtlijn bevestigd, omdat ‘</w:t>
      </w:r>
      <w:r w:rsidRPr="00484DAF">
        <w:rPr>
          <w:i/>
          <w:sz w:val="24"/>
          <w:szCs w:val="24"/>
        </w:rPr>
        <w:t xml:space="preserve">alle economische activiteiten gelijk </w:t>
      </w:r>
      <w:r w:rsidRPr="00484DAF">
        <w:rPr>
          <w:i/>
          <w:sz w:val="24"/>
          <w:szCs w:val="24"/>
        </w:rPr>
        <w:lastRenderedPageBreak/>
        <w:t>moeten worden behandeld’</w:t>
      </w:r>
      <w:r w:rsidRPr="00484DAF">
        <w:rPr>
          <w:sz w:val="24"/>
          <w:szCs w:val="24"/>
        </w:rPr>
        <w:t xml:space="preserve">. Uit de zaak </w:t>
      </w:r>
      <w:r w:rsidRPr="00484DAF">
        <w:rPr>
          <w:i/>
          <w:sz w:val="24"/>
          <w:szCs w:val="24"/>
        </w:rPr>
        <w:t>Commissie/Frankrijk</w:t>
      </w:r>
      <w:r w:rsidRPr="00484DAF">
        <w:rPr>
          <w:rStyle w:val="Voetnootmarkering"/>
          <w:i/>
          <w:sz w:val="24"/>
          <w:szCs w:val="24"/>
        </w:rPr>
        <w:footnoteReference w:id="23"/>
      </w:r>
      <w:r w:rsidRPr="00484DAF">
        <w:rPr>
          <w:sz w:val="24"/>
          <w:szCs w:val="24"/>
        </w:rPr>
        <w:t xml:space="preserve"> bleek een paar jaar later, dat soortgelijke producten aan een uniform tarief moeten worden onderworpen.</w:t>
      </w:r>
    </w:p>
    <w:p w:rsidR="00557A1F" w:rsidRPr="00484DAF" w:rsidRDefault="00557A1F" w:rsidP="00CC552D">
      <w:pPr>
        <w:pStyle w:val="Geenafstand"/>
        <w:spacing w:line="360" w:lineRule="auto"/>
        <w:rPr>
          <w:sz w:val="24"/>
          <w:szCs w:val="24"/>
        </w:rPr>
      </w:pPr>
    </w:p>
    <w:p w:rsidR="005459BD" w:rsidRPr="00484DAF" w:rsidRDefault="009D2279" w:rsidP="00CC552D">
      <w:pPr>
        <w:pStyle w:val="Kop1"/>
        <w:spacing w:before="0" w:line="360" w:lineRule="auto"/>
        <w:rPr>
          <w:rFonts w:ascii="Times New Roman" w:eastAsia="Calibri" w:hAnsi="Times New Roman"/>
          <w:color w:val="auto"/>
          <w:sz w:val="24"/>
          <w:szCs w:val="24"/>
        </w:rPr>
      </w:pPr>
      <w:bookmarkStart w:id="15" w:name="_Toc169750536"/>
      <w:bookmarkStart w:id="16" w:name="_Toc172969853"/>
      <w:bookmarkStart w:id="17" w:name="_Toc254043885"/>
      <w:r w:rsidRPr="00484DAF">
        <w:rPr>
          <w:rFonts w:ascii="Times New Roman" w:eastAsia="Calibri" w:hAnsi="Times New Roman"/>
          <w:color w:val="auto"/>
          <w:sz w:val="24"/>
          <w:szCs w:val="24"/>
        </w:rPr>
        <w:t>1</w:t>
      </w:r>
      <w:r w:rsidR="004E61A8" w:rsidRPr="00484DAF">
        <w:rPr>
          <w:rFonts w:ascii="Times New Roman" w:eastAsia="Calibri" w:hAnsi="Times New Roman"/>
          <w:color w:val="auto"/>
          <w:sz w:val="24"/>
          <w:szCs w:val="24"/>
        </w:rPr>
        <w:t>.</w:t>
      </w:r>
      <w:r w:rsidR="00111F45" w:rsidRPr="00484DAF">
        <w:rPr>
          <w:rFonts w:ascii="Times New Roman" w:eastAsia="Calibri" w:hAnsi="Times New Roman"/>
          <w:color w:val="auto"/>
          <w:sz w:val="24"/>
          <w:szCs w:val="24"/>
        </w:rPr>
        <w:t>4</w:t>
      </w:r>
      <w:r w:rsidR="005459BD" w:rsidRPr="00484DAF">
        <w:rPr>
          <w:rFonts w:ascii="Times New Roman" w:eastAsia="Calibri" w:hAnsi="Times New Roman"/>
          <w:color w:val="auto"/>
          <w:sz w:val="24"/>
          <w:szCs w:val="24"/>
        </w:rPr>
        <w:t xml:space="preserve"> </w:t>
      </w:r>
      <w:bookmarkEnd w:id="15"/>
      <w:bookmarkEnd w:id="16"/>
      <w:r w:rsidR="004F77A7" w:rsidRPr="00484DAF">
        <w:rPr>
          <w:rFonts w:ascii="Times New Roman" w:eastAsia="Calibri" w:hAnsi="Times New Roman"/>
          <w:color w:val="auto"/>
          <w:sz w:val="24"/>
          <w:szCs w:val="24"/>
        </w:rPr>
        <w:t>V</w:t>
      </w:r>
      <w:r w:rsidR="004F77A7" w:rsidRPr="00484DAF">
        <w:rPr>
          <w:rFonts w:ascii="Times New Roman" w:hAnsi="Times New Roman"/>
          <w:color w:val="auto"/>
          <w:sz w:val="24"/>
          <w:szCs w:val="24"/>
        </w:rPr>
        <w:t xml:space="preserve">rijstelling voor levering van onroerende </w:t>
      </w:r>
      <w:r w:rsidR="00111F45" w:rsidRPr="00484DAF">
        <w:rPr>
          <w:rFonts w:ascii="Times New Roman" w:hAnsi="Times New Roman"/>
          <w:color w:val="auto"/>
          <w:sz w:val="24"/>
          <w:szCs w:val="24"/>
        </w:rPr>
        <w:t>goederen</w:t>
      </w:r>
      <w:bookmarkEnd w:id="17"/>
    </w:p>
    <w:p w:rsidR="001352C8" w:rsidRPr="00484DAF" w:rsidRDefault="005459BD" w:rsidP="00CC552D">
      <w:pPr>
        <w:pStyle w:val="Geenafstand"/>
        <w:spacing w:line="360" w:lineRule="auto"/>
        <w:rPr>
          <w:sz w:val="24"/>
          <w:szCs w:val="24"/>
        </w:rPr>
      </w:pPr>
      <w:r w:rsidRPr="00484DAF">
        <w:rPr>
          <w:sz w:val="24"/>
          <w:szCs w:val="24"/>
        </w:rPr>
        <w:t>De limitatief opges</w:t>
      </w:r>
      <w:r w:rsidR="001352C8" w:rsidRPr="00484DAF">
        <w:rPr>
          <w:sz w:val="24"/>
          <w:szCs w:val="24"/>
        </w:rPr>
        <w:t xml:space="preserve">omde vrijstellingen van </w:t>
      </w:r>
      <w:r w:rsidR="002617D3" w:rsidRPr="00484DAF">
        <w:rPr>
          <w:sz w:val="24"/>
          <w:szCs w:val="24"/>
        </w:rPr>
        <w:t>artikel</w:t>
      </w:r>
      <w:r w:rsidR="001352C8" w:rsidRPr="00484DAF">
        <w:rPr>
          <w:sz w:val="24"/>
          <w:szCs w:val="24"/>
        </w:rPr>
        <w:t xml:space="preserve"> 11, lid 1 onderdeel </w:t>
      </w:r>
      <w:r w:rsidRPr="00484DAF">
        <w:rPr>
          <w:sz w:val="24"/>
          <w:szCs w:val="24"/>
        </w:rPr>
        <w:t xml:space="preserve">a t/m w Wet OB 1968 vloeien voort uit </w:t>
      </w:r>
      <w:r w:rsidR="002617D3" w:rsidRPr="00484DAF">
        <w:rPr>
          <w:sz w:val="24"/>
          <w:szCs w:val="24"/>
        </w:rPr>
        <w:t>artikel</w:t>
      </w:r>
      <w:r w:rsidRPr="00484DAF">
        <w:rPr>
          <w:sz w:val="24"/>
          <w:szCs w:val="24"/>
        </w:rPr>
        <w:t xml:space="preserve"> 131 t/m 137 van de BTW-richtlijn. Ze zijn grofweg onder te verdelen in drie soorten vrijstellingen. Zo is er een vrijstelling bij de levering en verhuur van onroerende zaken en zijn er vrijstellingen in de financiële, bancaire en verzekeringssfeer. </w:t>
      </w:r>
      <w:bookmarkStart w:id="18" w:name="_Toc169750538"/>
      <w:bookmarkStart w:id="19" w:name="_Toc172969855"/>
      <w:r w:rsidR="0029298D" w:rsidRPr="00484DAF">
        <w:rPr>
          <w:sz w:val="24"/>
          <w:szCs w:val="24"/>
        </w:rPr>
        <w:t xml:space="preserve">Vanwege de diversiteit aan vrijstellingen binnen de restgroep, schaart de </w:t>
      </w:r>
      <w:r w:rsidR="0029298D" w:rsidRPr="00484DAF">
        <w:rPr>
          <w:i/>
          <w:sz w:val="24"/>
          <w:szCs w:val="24"/>
        </w:rPr>
        <w:t>Cursus Belastingrecht</w:t>
      </w:r>
      <w:r w:rsidR="0029298D" w:rsidRPr="00484DAF">
        <w:rPr>
          <w:sz w:val="24"/>
          <w:szCs w:val="24"/>
        </w:rPr>
        <w:t xml:space="preserve"> de overige vrijstellingen onder de noemer ‘overige’</w:t>
      </w:r>
      <w:r w:rsidR="0029298D" w:rsidRPr="00484DAF">
        <w:rPr>
          <w:rStyle w:val="Voetnootmarkering"/>
          <w:sz w:val="24"/>
          <w:szCs w:val="24"/>
        </w:rPr>
        <w:footnoteReference w:id="24"/>
      </w:r>
      <w:r w:rsidR="0029298D" w:rsidRPr="00484DAF">
        <w:rPr>
          <w:sz w:val="24"/>
          <w:szCs w:val="24"/>
        </w:rPr>
        <w:t xml:space="preserve">. </w:t>
      </w:r>
      <w:r w:rsidR="005D76F7" w:rsidRPr="00484DAF">
        <w:rPr>
          <w:sz w:val="24"/>
          <w:szCs w:val="24"/>
        </w:rPr>
        <w:t>Bezien vanuit een Europeesrechtelijke invalshoek, is het van belang te realiseren dat vrijstellingen een inbreuk vormen op het BTW-systeem van heffen over de toegevoegde waarde met aftrek van voorbelasting.</w:t>
      </w:r>
      <w:r w:rsidR="006035FF" w:rsidRPr="00484DAF">
        <w:rPr>
          <w:rStyle w:val="Voetnootmarkering"/>
          <w:sz w:val="24"/>
          <w:szCs w:val="24"/>
        </w:rPr>
        <w:footnoteReference w:id="25"/>
      </w:r>
      <w:r w:rsidR="005D76F7" w:rsidRPr="00484DAF">
        <w:rPr>
          <w:sz w:val="24"/>
          <w:szCs w:val="24"/>
        </w:rPr>
        <w:t xml:space="preserve"> Toepassing van de vrijstelling leidt er namelijk toe, dat geen belasting over de toegevoegde waarde is verschuldigd. Diegene die de vrijgestelde levering of dienst verricht mag de BTW ook niet factureren. Vrijstellingsbepalingen dienen ‘eng’ te worden geïnterpreteerd, omdat ze uitzonderingen op de hoofdregel vormen.</w:t>
      </w:r>
      <w:r w:rsidR="005D76F7" w:rsidRPr="00484DAF">
        <w:rPr>
          <w:rStyle w:val="Voetnootmarkering"/>
          <w:sz w:val="24"/>
          <w:szCs w:val="24"/>
        </w:rPr>
        <w:footnoteReference w:id="26"/>
      </w:r>
      <w:r w:rsidR="005D76F7" w:rsidRPr="00484DAF">
        <w:rPr>
          <w:sz w:val="24"/>
          <w:szCs w:val="24"/>
        </w:rPr>
        <w:t xml:space="preserve"> Hoofdregel van de omzetbelasting is immers het heffen over alle leveringen en diensten, die tegen vergoeding worden verricht. Bij een enge interpretatie wordt meer waarde gehecht aan de exacte bewoordingen van een vrijstellingsbepaling dan doorgaans gebruikelijk is bij de uitleg van het gemeenschapsrecht.</w:t>
      </w:r>
      <w:r w:rsidR="005D76F7" w:rsidRPr="00484DAF">
        <w:rPr>
          <w:rStyle w:val="Voetnootmarkering"/>
          <w:sz w:val="24"/>
          <w:szCs w:val="24"/>
        </w:rPr>
        <w:footnoteReference w:id="27"/>
      </w:r>
      <w:r w:rsidR="005D76F7" w:rsidRPr="00484DAF">
        <w:rPr>
          <w:sz w:val="24"/>
          <w:szCs w:val="24"/>
        </w:rPr>
        <w:t xml:space="preserve"> </w:t>
      </w:r>
      <w:r w:rsidR="00BE2323" w:rsidRPr="00484DAF">
        <w:rPr>
          <w:sz w:val="24"/>
          <w:szCs w:val="24"/>
        </w:rPr>
        <w:t>Daarentegen dienen uitzonderingen op de vrijstellingen ingevolge Europese jurisprudentie ruim te worden uitgelegd. Zo wordt de verstoring/inbreuk beperkt met betrekking tot die vrijstelling.</w:t>
      </w:r>
    </w:p>
    <w:p w:rsidR="00557A1F" w:rsidRPr="00484DAF" w:rsidRDefault="00557A1F" w:rsidP="00CC552D">
      <w:pPr>
        <w:pStyle w:val="Geenafstand"/>
        <w:spacing w:line="360" w:lineRule="auto"/>
        <w:rPr>
          <w:sz w:val="24"/>
          <w:szCs w:val="24"/>
        </w:rPr>
      </w:pPr>
    </w:p>
    <w:p w:rsidR="0004025C" w:rsidRPr="00484DAF" w:rsidRDefault="00111F45" w:rsidP="00CC552D">
      <w:pPr>
        <w:pStyle w:val="Kop2"/>
        <w:spacing w:before="0" w:line="360" w:lineRule="auto"/>
        <w:rPr>
          <w:rFonts w:ascii="Times New Roman" w:eastAsia="Calibri" w:hAnsi="Times New Roman"/>
          <w:color w:val="auto"/>
          <w:sz w:val="24"/>
          <w:szCs w:val="24"/>
        </w:rPr>
      </w:pPr>
      <w:bookmarkStart w:id="20" w:name="_Toc254043886"/>
      <w:r w:rsidRPr="00484DAF">
        <w:rPr>
          <w:rFonts w:ascii="Times New Roman" w:eastAsia="Calibri" w:hAnsi="Times New Roman"/>
          <w:color w:val="auto"/>
          <w:sz w:val="24"/>
          <w:szCs w:val="24"/>
        </w:rPr>
        <w:t>1.4</w:t>
      </w:r>
      <w:r w:rsidR="0004025C" w:rsidRPr="00484DAF">
        <w:rPr>
          <w:rFonts w:ascii="Times New Roman" w:eastAsia="Calibri" w:hAnsi="Times New Roman"/>
          <w:color w:val="auto"/>
          <w:sz w:val="24"/>
          <w:szCs w:val="24"/>
        </w:rPr>
        <w:t>.1 Onroerende goederen/zaken</w:t>
      </w:r>
      <w:bookmarkEnd w:id="20"/>
    </w:p>
    <w:p w:rsidR="00376CA5" w:rsidRPr="00484DAF" w:rsidRDefault="00D430DA" w:rsidP="00CC552D">
      <w:pPr>
        <w:pStyle w:val="Geenafstand"/>
        <w:spacing w:line="360" w:lineRule="auto"/>
        <w:rPr>
          <w:sz w:val="24"/>
          <w:szCs w:val="24"/>
        </w:rPr>
      </w:pPr>
      <w:r w:rsidRPr="00484DAF">
        <w:rPr>
          <w:sz w:val="24"/>
          <w:szCs w:val="24"/>
        </w:rPr>
        <w:t xml:space="preserve">In deze scriptie zal enkel worden ingegaan op de vrijstelling bij de levering van onroerende zaken. Allereerst is het hierbij van belang de term onroerende zaak uit te leggen. </w:t>
      </w:r>
      <w:r w:rsidR="0034792B" w:rsidRPr="00484DAF">
        <w:rPr>
          <w:sz w:val="24"/>
          <w:szCs w:val="24"/>
        </w:rPr>
        <w:t xml:space="preserve">Waar de </w:t>
      </w:r>
      <w:r w:rsidR="0034792B" w:rsidRPr="00484DAF">
        <w:rPr>
          <w:sz w:val="24"/>
          <w:szCs w:val="24"/>
        </w:rPr>
        <w:lastRenderedPageBreak/>
        <w:t>nationale wet spreekt van onroerende zaken in artikel 11, lid 1, onde</w:t>
      </w:r>
      <w:r w:rsidR="0029298D" w:rsidRPr="00484DAF">
        <w:rPr>
          <w:sz w:val="24"/>
          <w:szCs w:val="24"/>
        </w:rPr>
        <w:t>rdeel a, ten eerste Wet OB 1968</w:t>
      </w:r>
      <w:r w:rsidR="0034792B" w:rsidRPr="00484DAF">
        <w:rPr>
          <w:sz w:val="24"/>
          <w:szCs w:val="24"/>
        </w:rPr>
        <w:t xml:space="preserve"> spreekt de BTW-richtlijn van onroerende goederen in artikel 135, lid 1, onderdeel </w:t>
      </w:r>
      <w:r w:rsidR="009101E9" w:rsidRPr="00484DAF">
        <w:rPr>
          <w:sz w:val="24"/>
          <w:szCs w:val="24"/>
        </w:rPr>
        <w:t>k en l</w:t>
      </w:r>
      <w:r w:rsidR="0034792B" w:rsidRPr="00484DAF">
        <w:rPr>
          <w:sz w:val="24"/>
          <w:szCs w:val="24"/>
        </w:rPr>
        <w:t xml:space="preserve"> BTW-richtlijn.</w:t>
      </w:r>
      <w:r w:rsidR="008908EB" w:rsidRPr="00484DAF">
        <w:rPr>
          <w:sz w:val="24"/>
          <w:szCs w:val="24"/>
        </w:rPr>
        <w:t xml:space="preserve"> </w:t>
      </w:r>
    </w:p>
    <w:p w:rsidR="00557A1F" w:rsidRPr="00484DAF" w:rsidRDefault="00557A1F" w:rsidP="00CC552D">
      <w:pPr>
        <w:pStyle w:val="Geenafstand"/>
        <w:spacing w:line="360" w:lineRule="auto"/>
        <w:rPr>
          <w:sz w:val="24"/>
          <w:szCs w:val="24"/>
        </w:rPr>
      </w:pPr>
    </w:p>
    <w:p w:rsidR="00376CA5" w:rsidRPr="00484DAF" w:rsidRDefault="00111F45" w:rsidP="00CC552D">
      <w:pPr>
        <w:pStyle w:val="Kop3"/>
        <w:spacing w:before="0" w:line="360" w:lineRule="auto"/>
        <w:rPr>
          <w:rFonts w:ascii="Times New Roman" w:eastAsia="Calibri" w:hAnsi="Times New Roman"/>
          <w:i/>
          <w:color w:val="auto"/>
          <w:sz w:val="24"/>
          <w:szCs w:val="24"/>
        </w:rPr>
      </w:pPr>
      <w:bookmarkStart w:id="21" w:name="_Toc254043887"/>
      <w:r w:rsidRPr="00484DAF">
        <w:rPr>
          <w:rFonts w:ascii="Times New Roman" w:eastAsia="Calibri" w:hAnsi="Times New Roman"/>
          <w:color w:val="auto"/>
          <w:sz w:val="24"/>
          <w:szCs w:val="24"/>
        </w:rPr>
        <w:t>1.4</w:t>
      </w:r>
      <w:r w:rsidR="00376CA5" w:rsidRPr="00484DAF">
        <w:rPr>
          <w:rFonts w:ascii="Times New Roman" w:eastAsia="Calibri" w:hAnsi="Times New Roman"/>
          <w:color w:val="auto"/>
          <w:sz w:val="24"/>
          <w:szCs w:val="24"/>
        </w:rPr>
        <w:t>.1.1 Nationaal perspectief</w:t>
      </w:r>
      <w:bookmarkEnd w:id="21"/>
    </w:p>
    <w:p w:rsidR="006C1C89" w:rsidRPr="00484DAF" w:rsidRDefault="001B5170" w:rsidP="00CC552D">
      <w:pPr>
        <w:pStyle w:val="Geenafstand"/>
        <w:spacing w:line="360" w:lineRule="auto"/>
        <w:rPr>
          <w:sz w:val="24"/>
          <w:szCs w:val="24"/>
        </w:rPr>
      </w:pPr>
      <w:r w:rsidRPr="00484DAF">
        <w:rPr>
          <w:sz w:val="24"/>
          <w:szCs w:val="24"/>
        </w:rPr>
        <w:t xml:space="preserve">“Goederen” zijn ingevolge artikel 3, lid 7 Wet OB 1968 </w:t>
      </w:r>
      <w:r w:rsidRPr="00484DAF">
        <w:rPr>
          <w:i/>
          <w:sz w:val="24"/>
          <w:szCs w:val="24"/>
        </w:rPr>
        <w:t>‘alle voor menselijke beheersing vatbare stoffelijke objecten</w:t>
      </w:r>
      <w:r w:rsidR="00B75CA9" w:rsidRPr="00484DAF">
        <w:rPr>
          <w:i/>
          <w:sz w:val="24"/>
          <w:szCs w:val="24"/>
        </w:rPr>
        <w:t>, alsmede</w:t>
      </w:r>
      <w:r w:rsidRPr="00484DAF">
        <w:rPr>
          <w:i/>
          <w:sz w:val="24"/>
          <w:szCs w:val="24"/>
        </w:rPr>
        <w:t xml:space="preserve"> </w:t>
      </w:r>
      <w:r w:rsidR="00B75CA9" w:rsidRPr="00484DAF">
        <w:rPr>
          <w:i/>
          <w:sz w:val="24"/>
          <w:szCs w:val="24"/>
        </w:rPr>
        <w:t>elektriciteit, gas, warmte, koude en dergelijke.</w:t>
      </w:r>
      <w:r w:rsidRPr="00484DAF">
        <w:rPr>
          <w:i/>
          <w:sz w:val="24"/>
          <w:szCs w:val="24"/>
        </w:rPr>
        <w:t>’</w:t>
      </w:r>
      <w:r w:rsidRPr="00484DAF">
        <w:rPr>
          <w:sz w:val="24"/>
          <w:szCs w:val="24"/>
        </w:rPr>
        <w:t xml:space="preserve"> Hieronder vallen zodoende zowel roerende als onroerende goederen. </w:t>
      </w:r>
      <w:r w:rsidR="008908EB" w:rsidRPr="00484DAF">
        <w:rPr>
          <w:sz w:val="24"/>
          <w:szCs w:val="24"/>
        </w:rPr>
        <w:t xml:space="preserve">De Wet OB 1968 kent </w:t>
      </w:r>
      <w:r w:rsidRPr="00484DAF">
        <w:rPr>
          <w:sz w:val="24"/>
          <w:szCs w:val="24"/>
        </w:rPr>
        <w:t xml:space="preserve">echter </w:t>
      </w:r>
      <w:r w:rsidR="008908EB" w:rsidRPr="00484DAF">
        <w:rPr>
          <w:sz w:val="24"/>
          <w:szCs w:val="24"/>
        </w:rPr>
        <w:t xml:space="preserve">geen definitie van </w:t>
      </w:r>
      <w:r w:rsidR="00376CA5" w:rsidRPr="00484DAF">
        <w:rPr>
          <w:sz w:val="24"/>
          <w:szCs w:val="24"/>
        </w:rPr>
        <w:t>“</w:t>
      </w:r>
      <w:r w:rsidRPr="00484DAF">
        <w:rPr>
          <w:sz w:val="24"/>
          <w:szCs w:val="24"/>
        </w:rPr>
        <w:t>(on)roerend”</w:t>
      </w:r>
      <w:r w:rsidR="008908EB" w:rsidRPr="00484DAF">
        <w:rPr>
          <w:sz w:val="24"/>
          <w:szCs w:val="24"/>
        </w:rPr>
        <w:t xml:space="preserve">. Daarvoor </w:t>
      </w:r>
      <w:r w:rsidR="00F72998" w:rsidRPr="00484DAF">
        <w:rPr>
          <w:sz w:val="24"/>
          <w:szCs w:val="24"/>
        </w:rPr>
        <w:t xml:space="preserve">werd </w:t>
      </w:r>
      <w:r w:rsidR="008908EB" w:rsidRPr="00484DAF">
        <w:rPr>
          <w:sz w:val="24"/>
          <w:szCs w:val="24"/>
        </w:rPr>
        <w:t xml:space="preserve">in het algemeen aangesloten bij het civiele recht in </w:t>
      </w:r>
      <w:r w:rsidRPr="00484DAF">
        <w:rPr>
          <w:sz w:val="24"/>
          <w:szCs w:val="24"/>
        </w:rPr>
        <w:t>artikel </w:t>
      </w:r>
      <w:r w:rsidR="008908EB" w:rsidRPr="00484DAF">
        <w:rPr>
          <w:sz w:val="24"/>
          <w:szCs w:val="24"/>
        </w:rPr>
        <w:t>3:3</w:t>
      </w:r>
      <w:r w:rsidR="00376CA5" w:rsidRPr="00484DAF">
        <w:rPr>
          <w:sz w:val="24"/>
          <w:szCs w:val="24"/>
        </w:rPr>
        <w:t>, lid 1</w:t>
      </w:r>
      <w:r w:rsidRPr="00484DAF">
        <w:rPr>
          <w:sz w:val="24"/>
          <w:szCs w:val="24"/>
        </w:rPr>
        <w:t> </w:t>
      </w:r>
      <w:r w:rsidR="008908EB" w:rsidRPr="00484DAF">
        <w:rPr>
          <w:sz w:val="24"/>
          <w:szCs w:val="24"/>
        </w:rPr>
        <w:t>Burgerlijk Wetboek (hierna: BW).</w:t>
      </w:r>
      <w:r w:rsidR="00E756AA" w:rsidRPr="00484DAF">
        <w:rPr>
          <w:sz w:val="24"/>
          <w:szCs w:val="24"/>
        </w:rPr>
        <w:t xml:space="preserve"> Het BW verstaat onder onroerend</w:t>
      </w:r>
      <w:r w:rsidR="002B7A14" w:rsidRPr="00484DAF">
        <w:rPr>
          <w:sz w:val="24"/>
          <w:szCs w:val="24"/>
        </w:rPr>
        <w:t xml:space="preserve"> </w:t>
      </w:r>
      <w:r w:rsidR="002B7A14" w:rsidRPr="00484DAF">
        <w:rPr>
          <w:i/>
          <w:sz w:val="24"/>
          <w:szCs w:val="24"/>
        </w:rPr>
        <w:t>‘de grond, de nog niet gewonnen delfstoffen, de met de grond verenigde beplantingen, alsmede de gebouwen en werken die duurzaam met de grond zijn verenigd, hetzij rechtstreeks, hetzij door vereniging met andere gebouwen of werken.’</w:t>
      </w:r>
      <w:r w:rsidRPr="00484DAF">
        <w:rPr>
          <w:rStyle w:val="Voetnootmarkering"/>
          <w:i/>
          <w:sz w:val="24"/>
          <w:szCs w:val="24"/>
        </w:rPr>
        <w:footnoteReference w:id="28"/>
      </w:r>
      <w:r w:rsidR="002B7A14" w:rsidRPr="00484DAF">
        <w:rPr>
          <w:sz w:val="24"/>
          <w:szCs w:val="24"/>
        </w:rPr>
        <w:t xml:space="preserve"> </w:t>
      </w:r>
      <w:r w:rsidR="006C1C89" w:rsidRPr="00484DAF">
        <w:rPr>
          <w:sz w:val="24"/>
          <w:szCs w:val="24"/>
        </w:rPr>
        <w:t xml:space="preserve">Zo bleek onder andere </w:t>
      </w:r>
      <w:r w:rsidR="0029298D" w:rsidRPr="00484DAF">
        <w:rPr>
          <w:sz w:val="24"/>
          <w:szCs w:val="24"/>
        </w:rPr>
        <w:t xml:space="preserve">uit </w:t>
      </w:r>
      <w:r w:rsidR="006C1C89" w:rsidRPr="00484DAF">
        <w:rPr>
          <w:sz w:val="24"/>
          <w:szCs w:val="24"/>
        </w:rPr>
        <w:t>het Portocabin-arrest</w:t>
      </w:r>
      <w:r w:rsidR="006C1C89" w:rsidRPr="00484DAF">
        <w:rPr>
          <w:rStyle w:val="Voetnootmarkering"/>
          <w:sz w:val="24"/>
          <w:szCs w:val="24"/>
        </w:rPr>
        <w:footnoteReference w:id="29"/>
      </w:r>
      <w:r w:rsidR="006C1C89" w:rsidRPr="00484DAF">
        <w:rPr>
          <w:sz w:val="24"/>
          <w:szCs w:val="24"/>
        </w:rPr>
        <w:t xml:space="preserve"> dat een gebouw duurzaam met de grond verenigd kan zijn in de zin van artikel 3:3 BW, doordat het naar aard en inrichting bestemd is om duurzaam ter plaatse</w:t>
      </w:r>
      <w:r w:rsidR="00CF7A99" w:rsidRPr="00484DAF">
        <w:rPr>
          <w:sz w:val="24"/>
          <w:szCs w:val="24"/>
        </w:rPr>
        <w:t xml:space="preserve"> te blijven. Niet van belang is, </w:t>
      </w:r>
      <w:r w:rsidR="006C1C89" w:rsidRPr="00484DAF">
        <w:rPr>
          <w:sz w:val="24"/>
          <w:szCs w:val="24"/>
        </w:rPr>
        <w:t>dat technisch de mogelijkheid bestaat om het bouwsel te verplaatsen.</w:t>
      </w:r>
      <w:r w:rsidR="00FA0E18" w:rsidRPr="00484DAF">
        <w:rPr>
          <w:rStyle w:val="Voetnootmarkering"/>
          <w:sz w:val="24"/>
          <w:szCs w:val="24"/>
        </w:rPr>
        <w:footnoteReference w:id="30"/>
      </w:r>
      <w:r w:rsidR="006C1C89" w:rsidRPr="00484DAF">
        <w:rPr>
          <w:sz w:val="24"/>
          <w:szCs w:val="24"/>
        </w:rPr>
        <w:t xml:space="preserve"> Het antwoord op de vraag of een gebouw bestemd is om duurzaam met de grond verenigd te zijn volgt uit de bedoeling van de bouwer of opdrachtgever voor zover deze naar buiten kenbaar is.</w:t>
      </w:r>
      <w:r w:rsidR="00FA0E18" w:rsidRPr="00484DAF">
        <w:rPr>
          <w:sz w:val="24"/>
          <w:szCs w:val="24"/>
        </w:rPr>
        <w:t xml:space="preserve"> Na het hierna te bespreken arrest </w:t>
      </w:r>
      <w:r w:rsidR="00211C6F" w:rsidRPr="00484DAF">
        <w:rPr>
          <w:sz w:val="24"/>
          <w:szCs w:val="24"/>
        </w:rPr>
        <w:t xml:space="preserve">van het HvJ EG </w:t>
      </w:r>
      <w:r w:rsidR="00211C6F" w:rsidRPr="00484DAF">
        <w:rPr>
          <w:i/>
          <w:sz w:val="24"/>
          <w:szCs w:val="24"/>
        </w:rPr>
        <w:t xml:space="preserve">Rudolf </w:t>
      </w:r>
      <w:r w:rsidR="00FA0E18" w:rsidRPr="00484DAF">
        <w:rPr>
          <w:i/>
          <w:sz w:val="24"/>
          <w:szCs w:val="24"/>
        </w:rPr>
        <w:t>Maierhofer</w:t>
      </w:r>
      <w:r w:rsidR="00FA0E18" w:rsidRPr="00484DAF">
        <w:rPr>
          <w:sz w:val="24"/>
          <w:szCs w:val="24"/>
        </w:rPr>
        <w:t xml:space="preserve"> diende de Hoge Raad deze civielrechtelijke opvatting </w:t>
      </w:r>
      <w:r w:rsidR="00EF58FD" w:rsidRPr="00484DAF">
        <w:rPr>
          <w:sz w:val="24"/>
          <w:szCs w:val="24"/>
        </w:rPr>
        <w:t xml:space="preserve">echter </w:t>
      </w:r>
      <w:r w:rsidR="00FA0E18" w:rsidRPr="00484DAF">
        <w:rPr>
          <w:sz w:val="24"/>
          <w:szCs w:val="24"/>
        </w:rPr>
        <w:t>los te laten.</w:t>
      </w:r>
    </w:p>
    <w:p w:rsidR="00557A1F" w:rsidRPr="00484DAF" w:rsidRDefault="00557A1F" w:rsidP="00CC552D">
      <w:pPr>
        <w:pStyle w:val="Geenafstand"/>
        <w:spacing w:line="360" w:lineRule="auto"/>
        <w:rPr>
          <w:sz w:val="24"/>
          <w:szCs w:val="24"/>
        </w:rPr>
      </w:pPr>
    </w:p>
    <w:p w:rsidR="00BE7849" w:rsidRPr="00484DAF" w:rsidRDefault="00111F45" w:rsidP="00CC552D">
      <w:pPr>
        <w:pStyle w:val="Kop3"/>
        <w:spacing w:before="0" w:line="360" w:lineRule="auto"/>
        <w:rPr>
          <w:rFonts w:ascii="Times New Roman" w:eastAsia="Calibri" w:hAnsi="Times New Roman"/>
          <w:i/>
          <w:color w:val="auto"/>
          <w:sz w:val="24"/>
          <w:szCs w:val="24"/>
        </w:rPr>
      </w:pPr>
      <w:bookmarkStart w:id="22" w:name="_Toc254043888"/>
      <w:r w:rsidRPr="00484DAF">
        <w:rPr>
          <w:rFonts w:ascii="Times New Roman" w:eastAsia="Calibri" w:hAnsi="Times New Roman"/>
          <w:color w:val="auto"/>
          <w:sz w:val="24"/>
          <w:szCs w:val="24"/>
        </w:rPr>
        <w:t>1.4</w:t>
      </w:r>
      <w:r w:rsidR="00BE7849" w:rsidRPr="00484DAF">
        <w:rPr>
          <w:rFonts w:ascii="Times New Roman" w:eastAsia="Calibri" w:hAnsi="Times New Roman"/>
          <w:color w:val="auto"/>
          <w:sz w:val="24"/>
          <w:szCs w:val="24"/>
        </w:rPr>
        <w:t>.1.2 Europees perspectief</w:t>
      </w:r>
      <w:bookmarkEnd w:id="22"/>
    </w:p>
    <w:p w:rsidR="00B75CA9" w:rsidRPr="00484DAF" w:rsidRDefault="00B75CA9" w:rsidP="00CC552D">
      <w:pPr>
        <w:spacing w:after="0" w:line="360" w:lineRule="auto"/>
        <w:rPr>
          <w:sz w:val="24"/>
          <w:szCs w:val="24"/>
        </w:rPr>
      </w:pPr>
      <w:r w:rsidRPr="00484DAF">
        <w:rPr>
          <w:sz w:val="24"/>
          <w:szCs w:val="24"/>
        </w:rPr>
        <w:t xml:space="preserve">De BTW-richtlijn kent geen definitie van “ goederen”. Wel worden met “ lichamelijke zaken” ingevolge artikel 15, lid 1 BTW-richtlijn gelijkgesteld </w:t>
      </w:r>
      <w:r w:rsidRPr="00484DAF">
        <w:rPr>
          <w:i/>
          <w:sz w:val="24"/>
          <w:szCs w:val="24"/>
        </w:rPr>
        <w:t>‘elektriciteit, gas, warmte, koude en soortgelijke zaken.’</w:t>
      </w:r>
      <w:r w:rsidRPr="00484DAF">
        <w:rPr>
          <w:sz w:val="24"/>
          <w:szCs w:val="24"/>
        </w:rPr>
        <w:t xml:space="preserve"> Buiten twijfel is</w:t>
      </w:r>
      <w:r w:rsidR="00456DB8" w:rsidRPr="00484DAF">
        <w:rPr>
          <w:sz w:val="24"/>
          <w:szCs w:val="24"/>
        </w:rPr>
        <w:t xml:space="preserve"> </w:t>
      </w:r>
      <w:r w:rsidRPr="00484DAF">
        <w:rPr>
          <w:sz w:val="24"/>
          <w:szCs w:val="24"/>
        </w:rPr>
        <w:t>dat onroerende zaken onder het in de richtlijnen bedoelde begrip goederen vallen.</w:t>
      </w:r>
      <w:r w:rsidRPr="00484DAF">
        <w:rPr>
          <w:rStyle w:val="Voetnootmarkering"/>
          <w:sz w:val="24"/>
          <w:szCs w:val="24"/>
        </w:rPr>
        <w:footnoteReference w:id="31"/>
      </w:r>
      <w:r w:rsidR="00456DB8" w:rsidRPr="00484DAF">
        <w:rPr>
          <w:sz w:val="24"/>
          <w:szCs w:val="24"/>
        </w:rPr>
        <w:t xml:space="preserve"> </w:t>
      </w:r>
      <w:r w:rsidR="00BE7849" w:rsidRPr="00484DAF">
        <w:rPr>
          <w:sz w:val="24"/>
          <w:szCs w:val="24"/>
        </w:rPr>
        <w:t xml:space="preserve">Aanvankelijk ging de Hoge Raad </w:t>
      </w:r>
      <w:r w:rsidR="00211C6F" w:rsidRPr="00484DAF">
        <w:rPr>
          <w:sz w:val="24"/>
          <w:szCs w:val="24"/>
        </w:rPr>
        <w:t>zoals beschreven er</w:t>
      </w:r>
      <w:r w:rsidR="00BE7849" w:rsidRPr="00484DAF">
        <w:rPr>
          <w:sz w:val="24"/>
          <w:szCs w:val="24"/>
        </w:rPr>
        <w:t xml:space="preserve">van uit dat </w:t>
      </w:r>
      <w:r w:rsidR="00B93267" w:rsidRPr="00484DAF">
        <w:rPr>
          <w:sz w:val="24"/>
          <w:szCs w:val="24"/>
        </w:rPr>
        <w:t xml:space="preserve">ook voor de Nederlandse omzetbelasting </w:t>
      </w:r>
      <w:r w:rsidR="00456DB8" w:rsidRPr="00484DAF">
        <w:rPr>
          <w:sz w:val="24"/>
          <w:szCs w:val="24"/>
        </w:rPr>
        <w:t xml:space="preserve">de civiele uitlegging van onroerend </w:t>
      </w:r>
      <w:r w:rsidR="00B93267" w:rsidRPr="00484DAF">
        <w:rPr>
          <w:sz w:val="24"/>
          <w:szCs w:val="24"/>
        </w:rPr>
        <w:t>van toepassing was.</w:t>
      </w:r>
      <w:r w:rsidR="00570E85" w:rsidRPr="00484DAF">
        <w:rPr>
          <w:sz w:val="24"/>
          <w:szCs w:val="24"/>
        </w:rPr>
        <w:t xml:space="preserve"> </w:t>
      </w:r>
      <w:r w:rsidR="00CF7A99" w:rsidRPr="00484DAF">
        <w:rPr>
          <w:sz w:val="24"/>
          <w:szCs w:val="24"/>
        </w:rPr>
        <w:lastRenderedPageBreak/>
        <w:t>In h</w:t>
      </w:r>
      <w:r w:rsidR="00570E85" w:rsidRPr="00484DAF">
        <w:rPr>
          <w:sz w:val="24"/>
          <w:szCs w:val="24"/>
        </w:rPr>
        <w:t xml:space="preserve">et kernarrest </w:t>
      </w:r>
      <w:r w:rsidR="00211C6F" w:rsidRPr="00484DAF">
        <w:rPr>
          <w:i/>
          <w:sz w:val="24"/>
          <w:szCs w:val="24"/>
        </w:rPr>
        <w:t>Rudolf</w:t>
      </w:r>
      <w:r w:rsidR="00570E85" w:rsidRPr="00484DAF">
        <w:rPr>
          <w:i/>
          <w:sz w:val="24"/>
          <w:szCs w:val="24"/>
        </w:rPr>
        <w:t xml:space="preserve"> Maierhofer</w:t>
      </w:r>
      <w:r w:rsidR="00570E85" w:rsidRPr="00484DAF">
        <w:rPr>
          <w:rStyle w:val="Voetnootmarkering"/>
          <w:i/>
          <w:sz w:val="24"/>
          <w:szCs w:val="24"/>
        </w:rPr>
        <w:footnoteReference w:id="32"/>
      </w:r>
      <w:r w:rsidR="00B93267" w:rsidRPr="00484DAF">
        <w:rPr>
          <w:sz w:val="24"/>
          <w:szCs w:val="24"/>
        </w:rPr>
        <w:t xml:space="preserve"> </w:t>
      </w:r>
      <w:r w:rsidR="00AB7B98" w:rsidRPr="00484DAF">
        <w:rPr>
          <w:sz w:val="24"/>
          <w:szCs w:val="24"/>
        </w:rPr>
        <w:t>stelt het HvJ EG dat vaste rechtspraak luidt</w:t>
      </w:r>
      <w:r w:rsidR="00CF7A99" w:rsidRPr="00484DAF">
        <w:rPr>
          <w:sz w:val="24"/>
          <w:szCs w:val="24"/>
        </w:rPr>
        <w:t>,</w:t>
      </w:r>
      <w:r w:rsidR="00AB7B98" w:rsidRPr="00484DAF">
        <w:rPr>
          <w:sz w:val="24"/>
          <w:szCs w:val="24"/>
        </w:rPr>
        <w:t xml:space="preserve"> dat de vrij</w:t>
      </w:r>
      <w:r w:rsidR="000A55A2" w:rsidRPr="00484DAF">
        <w:rPr>
          <w:sz w:val="24"/>
          <w:szCs w:val="24"/>
        </w:rPr>
        <w:t>stellingen van artikel 13</w:t>
      </w:r>
      <w:r w:rsidR="00AB7B98" w:rsidRPr="00484DAF">
        <w:rPr>
          <w:sz w:val="24"/>
          <w:szCs w:val="24"/>
        </w:rPr>
        <w:t xml:space="preserve"> Zesde richtlijn autonome communautaire rechtsbegrippen zijn en </w:t>
      </w:r>
      <w:r w:rsidR="009315F1" w:rsidRPr="00484DAF">
        <w:rPr>
          <w:sz w:val="24"/>
          <w:szCs w:val="24"/>
        </w:rPr>
        <w:t xml:space="preserve">zodoende </w:t>
      </w:r>
      <w:r w:rsidR="00AB7B98" w:rsidRPr="00484DAF">
        <w:rPr>
          <w:sz w:val="24"/>
          <w:szCs w:val="24"/>
        </w:rPr>
        <w:t>een communautaire definitie dienen te krijgen</w:t>
      </w:r>
      <w:r w:rsidR="009315F1" w:rsidRPr="00484DAF">
        <w:rPr>
          <w:sz w:val="24"/>
          <w:szCs w:val="24"/>
        </w:rPr>
        <w:t>.</w:t>
      </w:r>
      <w:r w:rsidR="003B7921" w:rsidRPr="00484DAF">
        <w:rPr>
          <w:rStyle w:val="Voetnootmarkering"/>
          <w:sz w:val="24"/>
          <w:szCs w:val="24"/>
        </w:rPr>
        <w:footnoteReference w:id="33"/>
      </w:r>
      <w:r w:rsidR="00701D8F" w:rsidRPr="00484DAF">
        <w:rPr>
          <w:sz w:val="24"/>
          <w:szCs w:val="24"/>
        </w:rPr>
        <w:t xml:space="preserve"> </w:t>
      </w:r>
      <w:r w:rsidR="003440C9" w:rsidRPr="00484DAF">
        <w:rPr>
          <w:i/>
          <w:sz w:val="24"/>
          <w:szCs w:val="24"/>
        </w:rPr>
        <w:t xml:space="preserve">Van Dongen </w:t>
      </w:r>
      <w:r w:rsidR="00081774" w:rsidRPr="00484DAF">
        <w:rPr>
          <w:sz w:val="24"/>
          <w:szCs w:val="24"/>
        </w:rPr>
        <w:t xml:space="preserve">benoemt </w:t>
      </w:r>
      <w:r w:rsidR="003440C9" w:rsidRPr="00484DAF">
        <w:rPr>
          <w:sz w:val="24"/>
          <w:szCs w:val="24"/>
        </w:rPr>
        <w:t>in één van haar artikelen de noodzaak van het formuleren van communautaire definities</w:t>
      </w:r>
      <w:r w:rsidR="00081774" w:rsidRPr="00484DAF">
        <w:rPr>
          <w:sz w:val="24"/>
          <w:szCs w:val="24"/>
        </w:rPr>
        <w:t>, namelijk</w:t>
      </w:r>
      <w:r w:rsidR="003440C9" w:rsidRPr="00484DAF">
        <w:rPr>
          <w:sz w:val="24"/>
          <w:szCs w:val="24"/>
        </w:rPr>
        <w:t xml:space="preserve"> dat de rechtstelsels van lidstaten te veel </w:t>
      </w:r>
      <w:r w:rsidR="00081774" w:rsidRPr="00484DAF">
        <w:rPr>
          <w:sz w:val="24"/>
          <w:szCs w:val="24"/>
        </w:rPr>
        <w:t xml:space="preserve">van elkaar </w:t>
      </w:r>
      <w:r w:rsidR="003440C9" w:rsidRPr="00484DAF">
        <w:rPr>
          <w:sz w:val="24"/>
          <w:szCs w:val="24"/>
        </w:rPr>
        <w:t>verschillen om eenduidige BTW-heffing te garanderen.</w:t>
      </w:r>
      <w:r w:rsidR="003440C9" w:rsidRPr="00484DAF">
        <w:rPr>
          <w:rStyle w:val="Voetnootmarkering"/>
          <w:sz w:val="24"/>
          <w:szCs w:val="24"/>
        </w:rPr>
        <w:footnoteReference w:id="34"/>
      </w:r>
      <w:r w:rsidR="003440C9" w:rsidRPr="00484DAF">
        <w:rPr>
          <w:sz w:val="24"/>
          <w:szCs w:val="24"/>
        </w:rPr>
        <w:t xml:space="preserve"> </w:t>
      </w:r>
      <w:r w:rsidR="005378DF" w:rsidRPr="00484DAF">
        <w:rPr>
          <w:sz w:val="24"/>
          <w:szCs w:val="24"/>
        </w:rPr>
        <w:t xml:space="preserve">Het arrest </w:t>
      </w:r>
      <w:r w:rsidR="00081774" w:rsidRPr="00484DAF">
        <w:rPr>
          <w:i/>
          <w:sz w:val="24"/>
          <w:szCs w:val="24"/>
        </w:rPr>
        <w:t>Rudolf</w:t>
      </w:r>
      <w:r w:rsidR="00081774" w:rsidRPr="00484DAF">
        <w:rPr>
          <w:sz w:val="24"/>
          <w:szCs w:val="24"/>
        </w:rPr>
        <w:t xml:space="preserve"> </w:t>
      </w:r>
      <w:r w:rsidR="00081774" w:rsidRPr="00484DAF">
        <w:rPr>
          <w:i/>
          <w:sz w:val="24"/>
          <w:szCs w:val="24"/>
        </w:rPr>
        <w:t xml:space="preserve">Maierhofer </w:t>
      </w:r>
      <w:r w:rsidR="005378DF" w:rsidRPr="00484DAF">
        <w:rPr>
          <w:sz w:val="24"/>
          <w:szCs w:val="24"/>
        </w:rPr>
        <w:t>betrof onder andere de vraag of gemeenschapshuizen, bestaande</w:t>
      </w:r>
      <w:r w:rsidR="00E034CB" w:rsidRPr="00484DAF">
        <w:rPr>
          <w:sz w:val="24"/>
          <w:szCs w:val="24"/>
        </w:rPr>
        <w:t xml:space="preserve"> uit zogenaamde </w:t>
      </w:r>
      <w:r w:rsidR="005378DF" w:rsidRPr="00484DAF">
        <w:rPr>
          <w:sz w:val="24"/>
          <w:szCs w:val="24"/>
        </w:rPr>
        <w:t>prefabelementen, welke rusten op betonsokkels die zijn geplaatst op in de grond aangebrachte funderingen</w:t>
      </w:r>
      <w:r w:rsidR="00837CD1" w:rsidRPr="00484DAF">
        <w:rPr>
          <w:sz w:val="24"/>
          <w:szCs w:val="24"/>
        </w:rPr>
        <w:t>,</w:t>
      </w:r>
      <w:r w:rsidR="00081774" w:rsidRPr="00484DAF">
        <w:rPr>
          <w:sz w:val="24"/>
          <w:szCs w:val="24"/>
        </w:rPr>
        <w:t xml:space="preserve"> als onroerende dan wel roerende goederen dienen te worden aangemerkt. </w:t>
      </w:r>
      <w:r w:rsidR="009315F1" w:rsidRPr="00484DAF">
        <w:rPr>
          <w:sz w:val="24"/>
          <w:szCs w:val="24"/>
        </w:rPr>
        <w:t xml:space="preserve">Expliciet laat het HvJ EG </w:t>
      </w:r>
      <w:r w:rsidR="00F84B27" w:rsidRPr="00484DAF">
        <w:rPr>
          <w:sz w:val="24"/>
          <w:szCs w:val="24"/>
        </w:rPr>
        <w:t xml:space="preserve">in het arrest </w:t>
      </w:r>
      <w:r w:rsidR="009315F1" w:rsidRPr="00484DAF">
        <w:rPr>
          <w:sz w:val="24"/>
          <w:szCs w:val="24"/>
        </w:rPr>
        <w:t>weten dat d</w:t>
      </w:r>
      <w:r w:rsidR="00AB7B98" w:rsidRPr="00484DAF">
        <w:rPr>
          <w:sz w:val="24"/>
          <w:szCs w:val="24"/>
        </w:rPr>
        <w:t xml:space="preserve">e uitlegging van het begrip verhuur van onroerend goed niet afhankelijk </w:t>
      </w:r>
      <w:r w:rsidR="009315F1" w:rsidRPr="00484DAF">
        <w:rPr>
          <w:sz w:val="24"/>
          <w:szCs w:val="24"/>
        </w:rPr>
        <w:t xml:space="preserve">kan </w:t>
      </w:r>
      <w:r w:rsidR="00AB7B98" w:rsidRPr="00484DAF">
        <w:rPr>
          <w:sz w:val="24"/>
          <w:szCs w:val="24"/>
        </w:rPr>
        <w:t xml:space="preserve">zijn van de uitlegging die in het </w:t>
      </w:r>
      <w:r w:rsidR="00CF7A99" w:rsidRPr="00484DAF">
        <w:rPr>
          <w:sz w:val="24"/>
          <w:szCs w:val="24"/>
        </w:rPr>
        <w:t xml:space="preserve">(nationale) </w:t>
      </w:r>
      <w:r w:rsidR="00AB7B98" w:rsidRPr="00484DAF">
        <w:rPr>
          <w:sz w:val="24"/>
          <w:szCs w:val="24"/>
        </w:rPr>
        <w:t>burgerlijk recht wordt gegeven.</w:t>
      </w:r>
      <w:r w:rsidR="009315F1" w:rsidRPr="00484DAF">
        <w:rPr>
          <w:rStyle w:val="Voetnootmarkering"/>
          <w:sz w:val="24"/>
          <w:szCs w:val="24"/>
        </w:rPr>
        <w:footnoteReference w:id="35"/>
      </w:r>
      <w:r w:rsidR="009836D0" w:rsidRPr="00484DAF">
        <w:rPr>
          <w:sz w:val="24"/>
          <w:szCs w:val="24"/>
        </w:rPr>
        <w:t xml:space="preserve"> </w:t>
      </w:r>
      <w:r w:rsidR="00D60C55" w:rsidRPr="00484DAF">
        <w:rPr>
          <w:sz w:val="24"/>
          <w:szCs w:val="24"/>
        </w:rPr>
        <w:t xml:space="preserve">Aangezien sprake is van een communautair begrip is het aan het HvJ EG om invulling te geven aan het begrip onroerend. Het HvJ EG merkt op dat als roerend worden aangemerkt mobiele goederen (zoals [sta]caravans) of eenvoudig </w:t>
      </w:r>
      <w:r w:rsidR="00E35CD0" w:rsidRPr="00484DAF">
        <w:rPr>
          <w:sz w:val="24"/>
          <w:szCs w:val="24"/>
        </w:rPr>
        <w:t>te verplaatsen goederen</w:t>
      </w:r>
      <w:r w:rsidR="00D60C55" w:rsidRPr="00484DAF">
        <w:rPr>
          <w:sz w:val="24"/>
          <w:szCs w:val="24"/>
        </w:rPr>
        <w:t xml:space="preserve">, zoals tenten en </w:t>
      </w:r>
      <w:r w:rsidR="00E35CD0" w:rsidRPr="00484DAF">
        <w:rPr>
          <w:sz w:val="24"/>
          <w:szCs w:val="24"/>
        </w:rPr>
        <w:t>chalets.</w:t>
      </w:r>
      <w:r w:rsidR="00D60C55" w:rsidRPr="00484DAF">
        <w:rPr>
          <w:rStyle w:val="Voetnootmarkering"/>
          <w:sz w:val="24"/>
          <w:szCs w:val="24"/>
        </w:rPr>
        <w:footnoteReference w:id="36"/>
      </w:r>
      <w:r w:rsidR="00F916F1" w:rsidRPr="00484DAF">
        <w:rPr>
          <w:sz w:val="24"/>
          <w:szCs w:val="24"/>
        </w:rPr>
        <w:t xml:space="preserve"> Volgens het HvJ EG</w:t>
      </w:r>
      <w:r w:rsidR="00D60C55" w:rsidRPr="00484DAF">
        <w:rPr>
          <w:sz w:val="24"/>
          <w:szCs w:val="24"/>
        </w:rPr>
        <w:t xml:space="preserve"> worden als onroerend aangemerkt </w:t>
      </w:r>
      <w:r w:rsidR="00E35CD0" w:rsidRPr="00484DAF">
        <w:rPr>
          <w:sz w:val="24"/>
          <w:szCs w:val="24"/>
        </w:rPr>
        <w:t>gebouwen</w:t>
      </w:r>
      <w:r w:rsidR="00D60C55" w:rsidRPr="00484DAF">
        <w:rPr>
          <w:sz w:val="24"/>
          <w:szCs w:val="24"/>
        </w:rPr>
        <w:t xml:space="preserve"> welke </w:t>
      </w:r>
      <w:r w:rsidR="00E35CD0" w:rsidRPr="00484DAF">
        <w:rPr>
          <w:sz w:val="24"/>
          <w:szCs w:val="24"/>
        </w:rPr>
        <w:t>mobiel noch gemakkelijk verplaatsbaar</w:t>
      </w:r>
      <w:r w:rsidR="00C46A13" w:rsidRPr="00484DAF">
        <w:rPr>
          <w:rStyle w:val="Voetnootmarkering"/>
          <w:sz w:val="24"/>
          <w:szCs w:val="24"/>
        </w:rPr>
        <w:footnoteReference w:id="37"/>
      </w:r>
      <w:r w:rsidR="00194549" w:rsidRPr="00484DAF">
        <w:rPr>
          <w:sz w:val="24"/>
          <w:szCs w:val="24"/>
        </w:rPr>
        <w:t xml:space="preserve"> zijn en samengesteld zijn uit vast</w:t>
      </w:r>
      <w:r w:rsidR="007521E8" w:rsidRPr="00484DAF">
        <w:rPr>
          <w:rStyle w:val="Voetnootmarkering"/>
          <w:sz w:val="24"/>
          <w:szCs w:val="24"/>
        </w:rPr>
        <w:footnoteReference w:id="38"/>
      </w:r>
      <w:r w:rsidR="00194549" w:rsidRPr="00484DAF">
        <w:rPr>
          <w:sz w:val="24"/>
          <w:szCs w:val="24"/>
        </w:rPr>
        <w:t xml:space="preserve"> met de grond verbonden constructies. </w:t>
      </w:r>
      <w:r w:rsidR="00F916F1" w:rsidRPr="00484DAF">
        <w:rPr>
          <w:sz w:val="24"/>
          <w:szCs w:val="24"/>
        </w:rPr>
        <w:t xml:space="preserve">Wat opvalt in vergelijking met het Nederlandse Portocabin-arrest, is dat het HvJ EG geen enkele aandacht besteedt aan subjectieve criteria (lees: de bedoeling van de bouwer) bij de bepaling van de (on)roerende staat van een goed. </w:t>
      </w:r>
      <w:r w:rsidR="00C10487" w:rsidRPr="00484DAF">
        <w:rPr>
          <w:sz w:val="24"/>
          <w:szCs w:val="24"/>
        </w:rPr>
        <w:t xml:space="preserve">De verklaring van </w:t>
      </w:r>
      <w:r w:rsidR="00C10487" w:rsidRPr="00484DAF">
        <w:rPr>
          <w:i/>
          <w:sz w:val="24"/>
          <w:szCs w:val="24"/>
        </w:rPr>
        <w:t xml:space="preserve">Manzoni-Van de Kuilen </w:t>
      </w:r>
      <w:r w:rsidR="00C10487" w:rsidRPr="00484DAF">
        <w:rPr>
          <w:sz w:val="24"/>
          <w:szCs w:val="24"/>
        </w:rPr>
        <w:t>is dat subjectieve criteria de rechtszekerheid ondermijnen.</w:t>
      </w:r>
      <w:r w:rsidR="00C10487" w:rsidRPr="00484DAF">
        <w:rPr>
          <w:rStyle w:val="Voetnootmarkering"/>
          <w:sz w:val="24"/>
          <w:szCs w:val="24"/>
        </w:rPr>
        <w:footnoteReference w:id="39"/>
      </w:r>
      <w:r w:rsidR="00C10487" w:rsidRPr="00484DAF">
        <w:rPr>
          <w:sz w:val="24"/>
          <w:szCs w:val="24"/>
        </w:rPr>
        <w:t xml:space="preserve"> </w:t>
      </w:r>
      <w:r w:rsidR="009315F1" w:rsidRPr="00484DAF">
        <w:rPr>
          <w:i/>
          <w:sz w:val="24"/>
          <w:szCs w:val="24"/>
        </w:rPr>
        <w:t>Van Hilten</w:t>
      </w:r>
      <w:r w:rsidR="00E770B0" w:rsidRPr="00484DAF">
        <w:rPr>
          <w:i/>
          <w:sz w:val="24"/>
          <w:szCs w:val="24"/>
        </w:rPr>
        <w:t xml:space="preserve"> en Van Kesteren</w:t>
      </w:r>
      <w:r w:rsidR="009315F1" w:rsidRPr="00484DAF">
        <w:rPr>
          <w:rStyle w:val="Voetnootmarkering"/>
          <w:i/>
          <w:sz w:val="24"/>
          <w:szCs w:val="24"/>
        </w:rPr>
        <w:footnoteReference w:id="40"/>
      </w:r>
      <w:r w:rsidR="00E770B0" w:rsidRPr="00484DAF">
        <w:rPr>
          <w:sz w:val="24"/>
          <w:szCs w:val="24"/>
        </w:rPr>
        <w:t xml:space="preserve"> merken mijns inziens terecht op dat</w:t>
      </w:r>
      <w:r w:rsidR="00703ED9" w:rsidRPr="00484DAF">
        <w:rPr>
          <w:sz w:val="24"/>
          <w:szCs w:val="24"/>
        </w:rPr>
        <w:t xml:space="preserve">, in het licht van de ontstane discrepantie tussen het civielrechtelijke- en communautaire begrippenapparaat, </w:t>
      </w:r>
      <w:r w:rsidR="00E770B0" w:rsidRPr="00484DAF">
        <w:rPr>
          <w:sz w:val="24"/>
          <w:szCs w:val="24"/>
        </w:rPr>
        <w:t xml:space="preserve">de </w:t>
      </w:r>
      <w:r w:rsidR="00E756AA" w:rsidRPr="00484DAF">
        <w:rPr>
          <w:sz w:val="24"/>
          <w:szCs w:val="24"/>
        </w:rPr>
        <w:t>Nederlandse</w:t>
      </w:r>
      <w:r w:rsidR="00E770B0" w:rsidRPr="00484DAF">
        <w:rPr>
          <w:sz w:val="24"/>
          <w:szCs w:val="24"/>
        </w:rPr>
        <w:t xml:space="preserve"> wetgever </w:t>
      </w:r>
      <w:r w:rsidR="00E770B0" w:rsidRPr="00484DAF">
        <w:rPr>
          <w:sz w:val="24"/>
          <w:szCs w:val="24"/>
        </w:rPr>
        <w:lastRenderedPageBreak/>
        <w:t xml:space="preserve">zorgvuldiger had kunnen formuleren </w:t>
      </w:r>
      <w:r w:rsidR="00703ED9" w:rsidRPr="00484DAF">
        <w:rPr>
          <w:sz w:val="24"/>
          <w:szCs w:val="24"/>
        </w:rPr>
        <w:t xml:space="preserve">in de Wet OB 1968 </w:t>
      </w:r>
      <w:r w:rsidR="00E770B0" w:rsidRPr="00484DAF">
        <w:rPr>
          <w:sz w:val="24"/>
          <w:szCs w:val="24"/>
        </w:rPr>
        <w:t xml:space="preserve">door gebruik te maken van </w:t>
      </w:r>
      <w:r w:rsidR="009315F1" w:rsidRPr="00484DAF">
        <w:rPr>
          <w:sz w:val="24"/>
          <w:szCs w:val="24"/>
        </w:rPr>
        <w:t xml:space="preserve">de term </w:t>
      </w:r>
      <w:r w:rsidR="00E770B0" w:rsidRPr="00484DAF">
        <w:rPr>
          <w:sz w:val="24"/>
          <w:szCs w:val="24"/>
        </w:rPr>
        <w:t>“onroerend goed”</w:t>
      </w:r>
      <w:r w:rsidR="009315F1" w:rsidRPr="00484DAF">
        <w:rPr>
          <w:sz w:val="24"/>
          <w:szCs w:val="24"/>
        </w:rPr>
        <w:t xml:space="preserve"> </w:t>
      </w:r>
      <w:r w:rsidR="00E770B0" w:rsidRPr="00484DAF">
        <w:rPr>
          <w:sz w:val="24"/>
          <w:szCs w:val="24"/>
        </w:rPr>
        <w:t>in plaats van onroerende zaak</w:t>
      </w:r>
      <w:r w:rsidR="00240AD8" w:rsidRPr="00484DAF">
        <w:rPr>
          <w:sz w:val="24"/>
          <w:szCs w:val="24"/>
        </w:rPr>
        <w:t>,</w:t>
      </w:r>
      <w:r w:rsidR="00E770B0" w:rsidRPr="00484DAF">
        <w:rPr>
          <w:sz w:val="24"/>
          <w:szCs w:val="24"/>
        </w:rPr>
        <w:t xml:space="preserve"> </w:t>
      </w:r>
      <w:r w:rsidR="009315F1" w:rsidRPr="00484DAF">
        <w:rPr>
          <w:sz w:val="24"/>
          <w:szCs w:val="24"/>
        </w:rPr>
        <w:t xml:space="preserve">om </w:t>
      </w:r>
      <w:r w:rsidR="00E770B0" w:rsidRPr="00484DAF">
        <w:rPr>
          <w:sz w:val="24"/>
          <w:szCs w:val="24"/>
        </w:rPr>
        <w:t xml:space="preserve">hiermee </w:t>
      </w:r>
      <w:r w:rsidR="009315F1" w:rsidRPr="00484DAF">
        <w:rPr>
          <w:sz w:val="24"/>
          <w:szCs w:val="24"/>
        </w:rPr>
        <w:t>te benadrukken d</w:t>
      </w:r>
      <w:r w:rsidR="00E770B0" w:rsidRPr="00484DAF">
        <w:rPr>
          <w:sz w:val="24"/>
          <w:szCs w:val="24"/>
        </w:rPr>
        <w:t>at de omzetbelasting aansluit</w:t>
      </w:r>
      <w:r w:rsidR="009315F1" w:rsidRPr="00484DAF">
        <w:rPr>
          <w:sz w:val="24"/>
          <w:szCs w:val="24"/>
        </w:rPr>
        <w:t xml:space="preserve"> bij het Europese recht en niet bij het Nederlandse </w:t>
      </w:r>
      <w:r w:rsidR="00BC510A" w:rsidRPr="00484DAF">
        <w:rPr>
          <w:sz w:val="24"/>
          <w:szCs w:val="24"/>
        </w:rPr>
        <w:t>zakenrecht</w:t>
      </w:r>
      <w:r w:rsidR="009315F1" w:rsidRPr="00484DAF">
        <w:rPr>
          <w:sz w:val="24"/>
          <w:szCs w:val="24"/>
        </w:rPr>
        <w:t>.</w:t>
      </w:r>
      <w:r w:rsidR="00C94026" w:rsidRPr="00484DAF">
        <w:rPr>
          <w:rStyle w:val="Voetnootmarkering"/>
          <w:sz w:val="24"/>
          <w:szCs w:val="24"/>
        </w:rPr>
        <w:footnoteReference w:id="41"/>
      </w:r>
    </w:p>
    <w:p w:rsidR="00557A1F" w:rsidRPr="00484DAF" w:rsidRDefault="00557A1F" w:rsidP="00CC552D">
      <w:pPr>
        <w:pStyle w:val="Geenafstand"/>
        <w:spacing w:line="360" w:lineRule="auto"/>
        <w:rPr>
          <w:sz w:val="24"/>
          <w:szCs w:val="24"/>
        </w:rPr>
      </w:pPr>
    </w:p>
    <w:p w:rsidR="001B652C" w:rsidRPr="00484DAF" w:rsidRDefault="00111F45" w:rsidP="00CC552D">
      <w:pPr>
        <w:pStyle w:val="Kop2"/>
        <w:spacing w:before="0" w:line="360" w:lineRule="auto"/>
        <w:rPr>
          <w:rFonts w:ascii="Times New Roman" w:hAnsi="Times New Roman"/>
          <w:color w:val="auto"/>
          <w:sz w:val="24"/>
          <w:szCs w:val="24"/>
        </w:rPr>
      </w:pPr>
      <w:bookmarkStart w:id="23" w:name="_Toc254043889"/>
      <w:r w:rsidRPr="00484DAF">
        <w:rPr>
          <w:rFonts w:ascii="Times New Roman" w:hAnsi="Times New Roman"/>
          <w:color w:val="auto"/>
          <w:sz w:val="24"/>
          <w:szCs w:val="24"/>
        </w:rPr>
        <w:t>1.4</w:t>
      </w:r>
      <w:r w:rsidR="001B652C" w:rsidRPr="00484DAF">
        <w:rPr>
          <w:rFonts w:ascii="Times New Roman" w:hAnsi="Times New Roman"/>
          <w:color w:val="auto"/>
          <w:sz w:val="24"/>
          <w:szCs w:val="24"/>
        </w:rPr>
        <w:t xml:space="preserve">.2 </w:t>
      </w:r>
      <w:r w:rsidR="009101E9" w:rsidRPr="00484DAF">
        <w:rPr>
          <w:rFonts w:ascii="Times New Roman" w:hAnsi="Times New Roman"/>
          <w:color w:val="auto"/>
          <w:sz w:val="24"/>
          <w:szCs w:val="24"/>
        </w:rPr>
        <w:t>BTW-v</w:t>
      </w:r>
      <w:r w:rsidR="001B652C" w:rsidRPr="00484DAF">
        <w:rPr>
          <w:rFonts w:ascii="Times New Roman" w:hAnsi="Times New Roman"/>
          <w:color w:val="auto"/>
          <w:sz w:val="24"/>
          <w:szCs w:val="24"/>
        </w:rPr>
        <w:t>rijstelling</w:t>
      </w:r>
      <w:r w:rsidR="009101E9" w:rsidRPr="00484DAF">
        <w:rPr>
          <w:rFonts w:ascii="Times New Roman" w:hAnsi="Times New Roman"/>
          <w:color w:val="auto"/>
          <w:sz w:val="24"/>
          <w:szCs w:val="24"/>
        </w:rPr>
        <w:t xml:space="preserve"> bij levering nieuwe onroerende zaken van rechtswege</w:t>
      </w:r>
      <w:bookmarkEnd w:id="23"/>
    </w:p>
    <w:p w:rsidR="009101E9" w:rsidRPr="00484DAF" w:rsidRDefault="007031EB" w:rsidP="00CC552D">
      <w:pPr>
        <w:spacing w:after="0" w:line="360" w:lineRule="auto"/>
        <w:rPr>
          <w:sz w:val="24"/>
          <w:szCs w:val="24"/>
        </w:rPr>
      </w:pPr>
      <w:r w:rsidRPr="00484DAF">
        <w:rPr>
          <w:sz w:val="24"/>
          <w:szCs w:val="24"/>
        </w:rPr>
        <w:t>Eerder in dit hoofdstuk kwam al naar voren dat op grond van artikel 11, lid 1, onderdeel a Wet OB 1968 de levering van onroerende goederen in beginsel is vrijgesteld. Een van de twee uitzonderingen</w:t>
      </w:r>
      <w:r w:rsidR="00194908" w:rsidRPr="00484DAF">
        <w:rPr>
          <w:rStyle w:val="Voetnootmarkering"/>
          <w:sz w:val="24"/>
          <w:szCs w:val="24"/>
        </w:rPr>
        <w:footnoteReference w:id="42"/>
      </w:r>
      <w:r w:rsidRPr="00484DAF">
        <w:rPr>
          <w:sz w:val="24"/>
          <w:szCs w:val="24"/>
        </w:rPr>
        <w:t xml:space="preserve"> op deze hoofdregel is van rechtswege. </w:t>
      </w:r>
      <w:r w:rsidR="009A277E" w:rsidRPr="00484DAF">
        <w:rPr>
          <w:sz w:val="24"/>
          <w:szCs w:val="24"/>
        </w:rPr>
        <w:t xml:space="preserve">Indien namelijk </w:t>
      </w:r>
      <w:r w:rsidR="004F5A81" w:rsidRPr="00484DAF">
        <w:rPr>
          <w:sz w:val="24"/>
          <w:szCs w:val="24"/>
        </w:rPr>
        <w:t xml:space="preserve">een (gedeelte van een) gebouw wordt geleverd vóór, op of uiterlijk twee jaren na het tijdstip van eerste ingebruikneming, is de levering van rechtswege belast met omzetbelasting, aldus het eerste onderdeel van voornoemde vrijstelling. Mede belast op grond van deze uitzondering is de levering van een bouwterrein. </w:t>
      </w:r>
      <w:r w:rsidR="003C2541" w:rsidRPr="00484DAF">
        <w:rPr>
          <w:sz w:val="24"/>
          <w:szCs w:val="24"/>
        </w:rPr>
        <w:t>Door invoering van deze twee uitzonderingen heeft de Nederlandse wetgever gebruik gemaakt van de in artikel 12, lid 1, onderdeel a en b BTW-richtlijn geboden mogelijkheden voor implementatie van deze bepalingen.</w:t>
      </w:r>
      <w:r w:rsidR="002B188F" w:rsidRPr="00484DAF">
        <w:rPr>
          <w:rStyle w:val="Voetnootmarkering"/>
          <w:sz w:val="24"/>
          <w:szCs w:val="24"/>
        </w:rPr>
        <w:footnoteReference w:id="43"/>
      </w:r>
      <w:r w:rsidR="003C2541" w:rsidRPr="00484DAF">
        <w:rPr>
          <w:sz w:val="24"/>
          <w:szCs w:val="24"/>
        </w:rPr>
        <w:t xml:space="preserve"> </w:t>
      </w:r>
      <w:r w:rsidR="004F5A81" w:rsidRPr="00484DAF">
        <w:rPr>
          <w:sz w:val="24"/>
          <w:szCs w:val="24"/>
        </w:rPr>
        <w:t>In hoofdstuk 3 wordt ingegaan op de (zowel Europese als Nederlandse) definitie van het begrip “gebouw”. Hoofdstuk 4 dient om invulling te geven aan het begrip “bouwterrein”.</w:t>
      </w:r>
      <w:r w:rsidR="00111F45" w:rsidRPr="00484DAF">
        <w:rPr>
          <w:sz w:val="24"/>
          <w:szCs w:val="24"/>
        </w:rPr>
        <w:t xml:space="preserve"> In deze paragraaf wordt wel aandacht bes</w:t>
      </w:r>
      <w:r w:rsidR="004B3D52" w:rsidRPr="00484DAF">
        <w:rPr>
          <w:sz w:val="24"/>
          <w:szCs w:val="24"/>
        </w:rPr>
        <w:t xml:space="preserve">teed </w:t>
      </w:r>
      <w:r w:rsidR="00CE6D40" w:rsidRPr="00484DAF">
        <w:rPr>
          <w:sz w:val="24"/>
          <w:szCs w:val="24"/>
        </w:rPr>
        <w:t>aan de elementen levering en</w:t>
      </w:r>
      <w:r w:rsidR="004B3D52" w:rsidRPr="00484DAF">
        <w:rPr>
          <w:sz w:val="24"/>
          <w:szCs w:val="24"/>
        </w:rPr>
        <w:t xml:space="preserve"> eerste ingebruikneming.</w:t>
      </w:r>
    </w:p>
    <w:p w:rsidR="00557A1F" w:rsidRPr="00484DAF" w:rsidRDefault="00557A1F" w:rsidP="00CC552D">
      <w:pPr>
        <w:pStyle w:val="Geenafstand"/>
        <w:spacing w:line="360" w:lineRule="auto"/>
        <w:rPr>
          <w:sz w:val="24"/>
          <w:szCs w:val="24"/>
        </w:rPr>
      </w:pPr>
    </w:p>
    <w:p w:rsidR="00871995" w:rsidRPr="00484DAF" w:rsidRDefault="00871995" w:rsidP="00CC552D">
      <w:pPr>
        <w:pStyle w:val="Kop3"/>
        <w:spacing w:before="0" w:line="360" w:lineRule="auto"/>
        <w:rPr>
          <w:rFonts w:ascii="Times New Roman" w:hAnsi="Times New Roman"/>
          <w:color w:val="auto"/>
          <w:sz w:val="24"/>
          <w:szCs w:val="24"/>
        </w:rPr>
      </w:pPr>
      <w:bookmarkStart w:id="24" w:name="_Toc254043890"/>
      <w:r w:rsidRPr="00484DAF">
        <w:rPr>
          <w:rFonts w:ascii="Times New Roman" w:hAnsi="Times New Roman"/>
          <w:color w:val="auto"/>
          <w:sz w:val="24"/>
          <w:szCs w:val="24"/>
        </w:rPr>
        <w:t>1.4.2.1 Levering</w:t>
      </w:r>
      <w:r w:rsidR="00C94026" w:rsidRPr="00484DAF">
        <w:rPr>
          <w:rFonts w:ascii="Times New Roman" w:hAnsi="Times New Roman"/>
          <w:color w:val="auto"/>
          <w:sz w:val="24"/>
          <w:szCs w:val="24"/>
        </w:rPr>
        <w:t xml:space="preserve"> onroerend goed</w:t>
      </w:r>
      <w:bookmarkEnd w:id="24"/>
    </w:p>
    <w:p w:rsidR="00111F45" w:rsidRPr="00484DAF" w:rsidRDefault="00C94026" w:rsidP="00CC552D">
      <w:pPr>
        <w:pStyle w:val="Geenafstand"/>
        <w:spacing w:line="360" w:lineRule="auto"/>
        <w:rPr>
          <w:sz w:val="24"/>
          <w:szCs w:val="24"/>
        </w:rPr>
      </w:pPr>
      <w:r w:rsidRPr="00484DAF">
        <w:rPr>
          <w:sz w:val="24"/>
          <w:szCs w:val="24"/>
        </w:rPr>
        <w:t>De omzetbelasting kwalificeert als levering van goederen onder andere</w:t>
      </w:r>
      <w:r w:rsidR="00240AD8" w:rsidRPr="00484DAF">
        <w:rPr>
          <w:sz w:val="24"/>
          <w:szCs w:val="24"/>
        </w:rPr>
        <w:t xml:space="preserve"> </w:t>
      </w:r>
      <w:r w:rsidRPr="00484DAF">
        <w:rPr>
          <w:i/>
          <w:sz w:val="24"/>
          <w:szCs w:val="24"/>
        </w:rPr>
        <w:t>‘de overdracht of overgang van macht om als eigenaar over een goed te beschikken</w:t>
      </w:r>
      <w:r w:rsidR="00240AD8" w:rsidRPr="00484DAF">
        <w:rPr>
          <w:sz w:val="24"/>
          <w:szCs w:val="24"/>
        </w:rPr>
        <w:t>’</w:t>
      </w:r>
      <w:r w:rsidRPr="00484DAF">
        <w:rPr>
          <w:sz w:val="24"/>
          <w:szCs w:val="24"/>
        </w:rPr>
        <w:t>.</w:t>
      </w:r>
      <w:r w:rsidR="00240AD8" w:rsidRPr="00484DAF">
        <w:rPr>
          <w:rStyle w:val="Voetnootmarkering"/>
          <w:sz w:val="24"/>
          <w:szCs w:val="24"/>
        </w:rPr>
        <w:footnoteReference w:id="44"/>
      </w:r>
      <w:r w:rsidR="00AD0C5A" w:rsidRPr="00484DAF">
        <w:rPr>
          <w:sz w:val="24"/>
          <w:szCs w:val="24"/>
        </w:rPr>
        <w:t xml:space="preserve"> Hiermee is de Nederlandse wetgeving in overeenstemming met artikel 14, lid 1 BTW-richtlijn. </w:t>
      </w:r>
      <w:r w:rsidRPr="00484DAF">
        <w:rPr>
          <w:sz w:val="24"/>
          <w:szCs w:val="24"/>
        </w:rPr>
        <w:t>Inzake onroerend goed kan daarbij worden gedacht aan de juridische levering door middel van notariële akte en overschrijving in het Kadaster.</w:t>
      </w:r>
      <w:r w:rsidR="00240AD8" w:rsidRPr="00484DAF">
        <w:rPr>
          <w:rStyle w:val="Voetnootmarkering"/>
          <w:sz w:val="24"/>
          <w:szCs w:val="24"/>
        </w:rPr>
        <w:footnoteReference w:id="45"/>
      </w:r>
      <w:r w:rsidR="00AD0C5A" w:rsidRPr="00484DAF">
        <w:rPr>
          <w:sz w:val="24"/>
          <w:szCs w:val="24"/>
        </w:rPr>
        <w:t xml:space="preserve"> De levering van het economisch eigendom </w:t>
      </w:r>
      <w:r w:rsidR="00E25AA4" w:rsidRPr="00484DAF">
        <w:rPr>
          <w:sz w:val="24"/>
          <w:szCs w:val="24"/>
        </w:rPr>
        <w:t xml:space="preserve">van onroerend goed </w:t>
      </w:r>
      <w:r w:rsidR="00AD0C5A" w:rsidRPr="00484DAF">
        <w:rPr>
          <w:sz w:val="24"/>
          <w:szCs w:val="24"/>
        </w:rPr>
        <w:t xml:space="preserve">valt echter ook onder </w:t>
      </w:r>
      <w:r w:rsidR="00BD0B9B" w:rsidRPr="00484DAF">
        <w:rPr>
          <w:sz w:val="24"/>
          <w:szCs w:val="24"/>
        </w:rPr>
        <w:t xml:space="preserve">artikel 3, lid 1, onderdeel a Wet OB 1968. In het arrest </w:t>
      </w:r>
      <w:r w:rsidR="00BD0B9B" w:rsidRPr="00484DAF">
        <w:rPr>
          <w:i/>
          <w:sz w:val="24"/>
          <w:szCs w:val="24"/>
        </w:rPr>
        <w:t xml:space="preserve">SAFE </w:t>
      </w:r>
      <w:r w:rsidR="00BD0B9B" w:rsidRPr="00484DAF">
        <w:rPr>
          <w:sz w:val="24"/>
          <w:szCs w:val="24"/>
        </w:rPr>
        <w:t>heeft het HvJ EG namelijk uitgemaakt dat ‘</w:t>
      </w:r>
      <w:r w:rsidR="00BD0B9B" w:rsidRPr="00484DAF">
        <w:rPr>
          <w:i/>
          <w:sz w:val="24"/>
          <w:szCs w:val="24"/>
        </w:rPr>
        <w:t xml:space="preserve">artikel 5, lid 1, van de Zesde richtlijn </w:t>
      </w:r>
      <w:r w:rsidR="00BD0B9B" w:rsidRPr="00484DAF">
        <w:rPr>
          <w:sz w:val="24"/>
          <w:szCs w:val="24"/>
        </w:rPr>
        <w:t xml:space="preserve">[thans artikel 14, lid 1 BTW-richtlijn, MGVV] </w:t>
      </w:r>
      <w:r w:rsidR="00BD0B9B" w:rsidRPr="00484DAF">
        <w:rPr>
          <w:i/>
          <w:sz w:val="24"/>
          <w:szCs w:val="24"/>
        </w:rPr>
        <w:t xml:space="preserve">aldus moet worden uitgelegd, dat als </w:t>
      </w:r>
      <w:r w:rsidR="00240AD8" w:rsidRPr="00484DAF">
        <w:rPr>
          <w:i/>
          <w:sz w:val="24"/>
          <w:szCs w:val="24"/>
        </w:rPr>
        <w:t>“levering van een goed”</w:t>
      </w:r>
      <w:r w:rsidR="00BD0B9B" w:rsidRPr="00484DAF">
        <w:rPr>
          <w:i/>
          <w:sz w:val="24"/>
          <w:szCs w:val="24"/>
        </w:rPr>
        <w:t xml:space="preserve"> wordt beschouwd de overdracht van de macht om als een eigenaar over een </w:t>
      </w:r>
      <w:r w:rsidR="00BD0B9B" w:rsidRPr="00484DAF">
        <w:rPr>
          <w:i/>
          <w:sz w:val="24"/>
          <w:szCs w:val="24"/>
        </w:rPr>
        <w:lastRenderedPageBreak/>
        <w:t>lichamelijke zaak te beschikken, ook indien geen overdracht van de juridische eigendom van die zaak plaatsvindt.’</w:t>
      </w:r>
      <w:r w:rsidR="00BD0B9B" w:rsidRPr="00484DAF">
        <w:rPr>
          <w:rStyle w:val="Voetnootmarkering"/>
          <w:i/>
          <w:sz w:val="24"/>
          <w:szCs w:val="24"/>
        </w:rPr>
        <w:footnoteReference w:id="46"/>
      </w:r>
      <w:r w:rsidR="00BD0B9B" w:rsidRPr="00484DAF">
        <w:rPr>
          <w:i/>
          <w:sz w:val="24"/>
          <w:szCs w:val="24"/>
        </w:rPr>
        <w:t xml:space="preserve"> </w:t>
      </w:r>
      <w:r w:rsidR="00E25AA4" w:rsidRPr="00484DAF">
        <w:rPr>
          <w:sz w:val="24"/>
          <w:szCs w:val="24"/>
        </w:rPr>
        <w:t xml:space="preserve">Met betrekking tot onroerend </w:t>
      </w:r>
      <w:r w:rsidR="00240AD8" w:rsidRPr="00484DAF">
        <w:rPr>
          <w:sz w:val="24"/>
          <w:szCs w:val="24"/>
        </w:rPr>
        <w:t xml:space="preserve">goed </w:t>
      </w:r>
      <w:r w:rsidR="00E25AA4" w:rsidRPr="00484DAF">
        <w:rPr>
          <w:sz w:val="24"/>
          <w:szCs w:val="24"/>
        </w:rPr>
        <w:t xml:space="preserve">wordt in </w:t>
      </w:r>
      <w:r w:rsidR="00871995" w:rsidRPr="00484DAF">
        <w:rPr>
          <w:sz w:val="24"/>
          <w:szCs w:val="24"/>
        </w:rPr>
        <w:t>artikel 3</w:t>
      </w:r>
      <w:r w:rsidR="00D417EA" w:rsidRPr="00484DAF">
        <w:rPr>
          <w:sz w:val="24"/>
          <w:szCs w:val="24"/>
        </w:rPr>
        <w:t>, lid 1, onderdeel </w:t>
      </w:r>
      <w:r w:rsidRPr="00484DAF">
        <w:rPr>
          <w:sz w:val="24"/>
          <w:szCs w:val="24"/>
        </w:rPr>
        <w:t>c Wet OB 1968</w:t>
      </w:r>
      <w:r w:rsidR="00871995" w:rsidRPr="00484DAF">
        <w:rPr>
          <w:sz w:val="24"/>
          <w:szCs w:val="24"/>
        </w:rPr>
        <w:t xml:space="preserve"> </w:t>
      </w:r>
      <w:r w:rsidR="00E25AA4" w:rsidRPr="00484DAF">
        <w:rPr>
          <w:sz w:val="24"/>
          <w:szCs w:val="24"/>
        </w:rPr>
        <w:t xml:space="preserve">ook als levering aangemerkt </w:t>
      </w:r>
      <w:r w:rsidR="00871995" w:rsidRPr="00484DAF">
        <w:rPr>
          <w:i/>
          <w:sz w:val="24"/>
          <w:szCs w:val="24"/>
        </w:rPr>
        <w:t>‘de oplevering van onroerende zaken door degene die de zaken heeft vervaardigd, met uitzondering van andere onbebouwde terreinen dan bouwterreinen (…).’</w:t>
      </w:r>
      <w:r w:rsidR="00E25AA4" w:rsidRPr="00484DAF">
        <w:rPr>
          <w:sz w:val="24"/>
          <w:szCs w:val="24"/>
        </w:rPr>
        <w:t xml:space="preserve"> </w:t>
      </w:r>
      <w:bookmarkEnd w:id="18"/>
      <w:bookmarkEnd w:id="19"/>
      <w:r w:rsidR="00E25AA4" w:rsidRPr="00484DAF">
        <w:rPr>
          <w:sz w:val="24"/>
          <w:szCs w:val="24"/>
        </w:rPr>
        <w:t>Van oplevering van een onroerende zaak is bijvoorbeeld sprake, wanneer een aannemer in opdracht van een grond</w:t>
      </w:r>
      <w:r w:rsidR="00305193" w:rsidRPr="00484DAF">
        <w:rPr>
          <w:sz w:val="24"/>
          <w:szCs w:val="24"/>
        </w:rPr>
        <w:t>eigenaar op die grond een nieuw</w:t>
      </w:r>
      <w:r w:rsidR="00E25AA4" w:rsidRPr="00484DAF">
        <w:rPr>
          <w:sz w:val="24"/>
          <w:szCs w:val="24"/>
        </w:rPr>
        <w:t xml:space="preserve"> pand heeft vervaardigd.</w:t>
      </w:r>
      <w:r w:rsidR="00E25AA4" w:rsidRPr="00484DAF">
        <w:rPr>
          <w:rStyle w:val="Voetnootmarkering"/>
          <w:sz w:val="24"/>
          <w:szCs w:val="24"/>
        </w:rPr>
        <w:footnoteReference w:id="47"/>
      </w:r>
      <w:r w:rsidR="00257338" w:rsidRPr="00484DAF">
        <w:rPr>
          <w:sz w:val="24"/>
          <w:szCs w:val="24"/>
        </w:rPr>
        <w:t xml:space="preserve"> Tot slot kan de levering van onroerend goed ook geschieden op grond van artikel 3, lid 3, onderdeel b Wet OB 1968</w:t>
      </w:r>
      <w:r w:rsidR="006B43E3" w:rsidRPr="00484DAF">
        <w:rPr>
          <w:sz w:val="24"/>
          <w:szCs w:val="24"/>
        </w:rPr>
        <w:t xml:space="preserve"> (beter bekend als </w:t>
      </w:r>
      <w:r w:rsidR="00257338" w:rsidRPr="00484DAF">
        <w:rPr>
          <w:sz w:val="24"/>
          <w:szCs w:val="24"/>
        </w:rPr>
        <w:t>de integratielevering</w:t>
      </w:r>
      <w:r w:rsidR="006B43E3" w:rsidRPr="00484DAF">
        <w:rPr>
          <w:sz w:val="24"/>
          <w:szCs w:val="24"/>
        </w:rPr>
        <w:t xml:space="preserve">). </w:t>
      </w:r>
      <w:r w:rsidR="008F6FBD" w:rsidRPr="00484DAF">
        <w:rPr>
          <w:sz w:val="24"/>
          <w:szCs w:val="24"/>
        </w:rPr>
        <w:t xml:space="preserve">Een dergelijke interne levering wordt aangemerkt indien het geleverde goed door de ondernemer in eigen bedrijf is vervaardigd en bij afname van </w:t>
      </w:r>
      <w:r w:rsidR="00305193" w:rsidRPr="00484DAF">
        <w:rPr>
          <w:sz w:val="24"/>
          <w:szCs w:val="24"/>
        </w:rPr>
        <w:t xml:space="preserve">datzelfde goed van </w:t>
      </w:r>
      <w:r w:rsidR="008F6FBD" w:rsidRPr="00484DAF">
        <w:rPr>
          <w:sz w:val="24"/>
          <w:szCs w:val="24"/>
        </w:rPr>
        <w:t xml:space="preserve">een andere ondernemer geen recht op </w:t>
      </w:r>
      <w:r w:rsidR="006B43E3" w:rsidRPr="00484DAF">
        <w:rPr>
          <w:sz w:val="24"/>
          <w:szCs w:val="24"/>
        </w:rPr>
        <w:t>aftrek voorbelasting bestaat.</w:t>
      </w:r>
      <w:r w:rsidR="009E7E43" w:rsidRPr="00484DAF">
        <w:rPr>
          <w:sz w:val="24"/>
          <w:szCs w:val="24"/>
        </w:rPr>
        <w:t xml:space="preserve"> Van een interne levering wordt ook gesproken indien mutatis mutandis</w:t>
      </w:r>
      <w:r w:rsidR="00A30FBA" w:rsidRPr="00484DAF">
        <w:rPr>
          <w:sz w:val="24"/>
          <w:szCs w:val="24"/>
        </w:rPr>
        <w:t xml:space="preserve"> </w:t>
      </w:r>
      <w:r w:rsidR="009E7E43" w:rsidRPr="00484DAF">
        <w:rPr>
          <w:sz w:val="24"/>
          <w:szCs w:val="24"/>
        </w:rPr>
        <w:t>de ondernemer voor vervaardiging zelf stoffen ter beschikkingstelt.</w:t>
      </w:r>
      <w:r w:rsidR="009E7E43" w:rsidRPr="00484DAF">
        <w:rPr>
          <w:rStyle w:val="Voetnootmarkering"/>
          <w:sz w:val="24"/>
          <w:szCs w:val="24"/>
        </w:rPr>
        <w:footnoteReference w:id="48"/>
      </w:r>
    </w:p>
    <w:p w:rsidR="00557A1F" w:rsidRPr="00484DAF" w:rsidRDefault="00557A1F" w:rsidP="00CC552D">
      <w:pPr>
        <w:pStyle w:val="Geenafstand"/>
        <w:spacing w:line="360" w:lineRule="auto"/>
        <w:rPr>
          <w:sz w:val="24"/>
          <w:szCs w:val="24"/>
        </w:rPr>
      </w:pPr>
    </w:p>
    <w:p w:rsidR="004B3D52" w:rsidRPr="00484DAF" w:rsidRDefault="004B3D52" w:rsidP="00CC552D">
      <w:pPr>
        <w:pStyle w:val="Kop3"/>
        <w:spacing w:before="0" w:line="360" w:lineRule="auto"/>
        <w:rPr>
          <w:rFonts w:ascii="Times New Roman" w:hAnsi="Times New Roman"/>
          <w:color w:val="auto"/>
          <w:sz w:val="24"/>
          <w:szCs w:val="24"/>
        </w:rPr>
      </w:pPr>
      <w:bookmarkStart w:id="25" w:name="_Toc254043891"/>
      <w:r w:rsidRPr="00484DAF">
        <w:rPr>
          <w:rFonts w:ascii="Times New Roman" w:hAnsi="Times New Roman"/>
          <w:color w:val="auto"/>
          <w:sz w:val="24"/>
          <w:szCs w:val="24"/>
        </w:rPr>
        <w:t>1.4.2.2 Eerste ingebruikneming</w:t>
      </w:r>
      <w:bookmarkEnd w:id="25"/>
    </w:p>
    <w:p w:rsidR="004D2327" w:rsidRPr="00484DAF" w:rsidRDefault="00EB03FB" w:rsidP="00CC552D">
      <w:pPr>
        <w:spacing w:after="0" w:line="360" w:lineRule="auto"/>
        <w:rPr>
          <w:sz w:val="24"/>
          <w:szCs w:val="24"/>
        </w:rPr>
      </w:pPr>
      <w:r w:rsidRPr="00484DAF">
        <w:rPr>
          <w:sz w:val="24"/>
          <w:szCs w:val="24"/>
        </w:rPr>
        <w:t>Het tijdstip van eerste ingebruikneming wordt aan de hand van feiten en omstandigheden bepaald. Dit is de dag waarop feitelijk en overeenkomstig de bestemming het goed in gebruik wordt genomen.</w:t>
      </w:r>
      <w:r w:rsidR="00672C4E" w:rsidRPr="00484DAF">
        <w:rPr>
          <w:rStyle w:val="Voetnootmarkering"/>
          <w:sz w:val="24"/>
          <w:szCs w:val="24"/>
        </w:rPr>
        <w:footnoteReference w:id="49"/>
      </w:r>
      <w:r w:rsidR="00672C4E" w:rsidRPr="00484DAF">
        <w:rPr>
          <w:sz w:val="24"/>
          <w:szCs w:val="24"/>
        </w:rPr>
        <w:t xml:space="preserve"> </w:t>
      </w:r>
      <w:r w:rsidR="007615D1" w:rsidRPr="00484DAF">
        <w:rPr>
          <w:sz w:val="24"/>
          <w:szCs w:val="24"/>
        </w:rPr>
        <w:t>De exacte datum</w:t>
      </w:r>
      <w:r w:rsidRPr="00484DAF">
        <w:rPr>
          <w:sz w:val="24"/>
          <w:szCs w:val="24"/>
        </w:rPr>
        <w:t xml:space="preserve"> kan worden aangetoond aan de hand van de eerste energierekening of de factuur naar aanleiding van de verhuizing. Ter illustratie is een uitspraak van Hof </w:t>
      </w:r>
      <w:r w:rsidR="004D2327" w:rsidRPr="00484DAF">
        <w:rPr>
          <w:sz w:val="24"/>
          <w:szCs w:val="24"/>
        </w:rPr>
        <w:t>'s-Hertogenbosch</w:t>
      </w:r>
      <w:r w:rsidRPr="00484DAF">
        <w:rPr>
          <w:rStyle w:val="Voetnootmarkering"/>
          <w:sz w:val="24"/>
          <w:szCs w:val="24"/>
        </w:rPr>
        <w:footnoteReference w:id="50"/>
      </w:r>
      <w:r w:rsidRPr="00484DAF">
        <w:rPr>
          <w:sz w:val="24"/>
          <w:szCs w:val="24"/>
        </w:rPr>
        <w:t xml:space="preserve"> </w:t>
      </w:r>
      <w:r w:rsidR="004D2327" w:rsidRPr="00484DAF">
        <w:rPr>
          <w:sz w:val="24"/>
          <w:szCs w:val="24"/>
        </w:rPr>
        <w:t xml:space="preserve">(hierna: Hof Den Bosch) </w:t>
      </w:r>
      <w:r w:rsidRPr="00484DAF">
        <w:rPr>
          <w:sz w:val="24"/>
          <w:szCs w:val="24"/>
        </w:rPr>
        <w:t xml:space="preserve">illustratief. </w:t>
      </w:r>
      <w:r w:rsidR="004D2327" w:rsidRPr="00484DAF">
        <w:rPr>
          <w:sz w:val="24"/>
          <w:szCs w:val="24"/>
        </w:rPr>
        <w:t>Uit de feiten bleek dat in een door de huurder gesloten overeenkomst van 30 juni 1999 het adres van het pand als vestigingsadres van de huurder werd genoemd. Op 5 juli 1999 ontving de huurder een factuur voor verbouwingswerkzaamheden in het pand. Vanaf 1 augustus 1999 betaalde huurder de energiekosten van het pand. Begin augustus 2009 kreeg de huurder voorts kantoormeubilair geleverd.</w:t>
      </w:r>
      <w:r w:rsidR="00713B6B" w:rsidRPr="00484DAF">
        <w:rPr>
          <w:sz w:val="24"/>
          <w:szCs w:val="24"/>
        </w:rPr>
        <w:t xml:space="preserve"> De uitspraak van Hof Den Bosch wijst uit dat </w:t>
      </w:r>
      <w:r w:rsidR="004D2327" w:rsidRPr="00484DAF">
        <w:rPr>
          <w:sz w:val="24"/>
          <w:szCs w:val="24"/>
        </w:rPr>
        <w:t>het Hof doorslaggevende betekenis toe</w:t>
      </w:r>
      <w:r w:rsidR="00713B6B" w:rsidRPr="00484DAF">
        <w:rPr>
          <w:sz w:val="24"/>
          <w:szCs w:val="24"/>
        </w:rPr>
        <w:t>kent</w:t>
      </w:r>
      <w:r w:rsidR="004D2327" w:rsidRPr="00484DAF">
        <w:rPr>
          <w:sz w:val="24"/>
          <w:szCs w:val="24"/>
        </w:rPr>
        <w:t xml:space="preserve"> aan de omstandigheid dat de huurder eerst vanaf 1 augustus 1999 de energiekosten is </w:t>
      </w:r>
      <w:r w:rsidR="004D2327" w:rsidRPr="00484DAF">
        <w:rPr>
          <w:sz w:val="24"/>
          <w:szCs w:val="24"/>
        </w:rPr>
        <w:lastRenderedPageBreak/>
        <w:t>gaan betalen en dat de huurder begin augustus 1999 diverse kantoorme</w:t>
      </w:r>
      <w:r w:rsidR="00713B6B" w:rsidRPr="00484DAF">
        <w:rPr>
          <w:sz w:val="24"/>
          <w:szCs w:val="24"/>
        </w:rPr>
        <w:t>ubelen geleverd heeft gekregen.</w:t>
      </w:r>
      <w:r w:rsidR="00713B6B" w:rsidRPr="00484DAF">
        <w:rPr>
          <w:rStyle w:val="Voetnootmarkering"/>
          <w:sz w:val="24"/>
          <w:szCs w:val="24"/>
        </w:rPr>
        <w:footnoteReference w:id="51"/>
      </w:r>
      <w:r w:rsidR="00713B6B" w:rsidRPr="00484DAF">
        <w:rPr>
          <w:sz w:val="24"/>
          <w:szCs w:val="24"/>
        </w:rPr>
        <w:t xml:space="preserve"> In Europese regelgeving of jurisprudentie is</w:t>
      </w:r>
      <w:r w:rsidR="00207F10" w:rsidRPr="00484DAF">
        <w:rPr>
          <w:sz w:val="24"/>
          <w:szCs w:val="24"/>
        </w:rPr>
        <w:t xml:space="preserve"> over de eerste ingebruikneming</w:t>
      </w:r>
      <w:r w:rsidR="00713B6B" w:rsidRPr="00484DAF">
        <w:rPr>
          <w:sz w:val="24"/>
          <w:szCs w:val="24"/>
        </w:rPr>
        <w:t xml:space="preserve"> </w:t>
      </w:r>
      <w:r w:rsidR="00207F10" w:rsidRPr="00484DAF">
        <w:rPr>
          <w:sz w:val="24"/>
          <w:szCs w:val="24"/>
        </w:rPr>
        <w:t>met geen woord gerept</w:t>
      </w:r>
      <w:r w:rsidR="00713B6B" w:rsidRPr="00484DAF">
        <w:rPr>
          <w:sz w:val="24"/>
          <w:szCs w:val="24"/>
        </w:rPr>
        <w:t>.</w:t>
      </w:r>
      <w:r w:rsidR="00207F10" w:rsidRPr="00484DAF">
        <w:rPr>
          <w:sz w:val="24"/>
          <w:szCs w:val="24"/>
        </w:rPr>
        <w:t xml:space="preserve"> Dit terwijl de BTW-richtlijn in artikel 12, lid 1 onderdeel a ook spreekt van eerste ingebruikneming. </w:t>
      </w:r>
      <w:r w:rsidR="00EC32A5" w:rsidRPr="00484DAF">
        <w:rPr>
          <w:i/>
          <w:sz w:val="24"/>
          <w:szCs w:val="24"/>
        </w:rPr>
        <w:t>Van Z</w:t>
      </w:r>
      <w:r w:rsidR="00207F10" w:rsidRPr="00484DAF">
        <w:rPr>
          <w:i/>
          <w:sz w:val="24"/>
          <w:szCs w:val="24"/>
        </w:rPr>
        <w:t>adelhoff</w:t>
      </w:r>
      <w:r w:rsidR="00207F10" w:rsidRPr="00484DAF">
        <w:rPr>
          <w:rStyle w:val="Voetnootmarkering"/>
          <w:i/>
          <w:sz w:val="24"/>
          <w:szCs w:val="24"/>
        </w:rPr>
        <w:footnoteReference w:id="52"/>
      </w:r>
      <w:r w:rsidR="00207F10" w:rsidRPr="00484DAF">
        <w:rPr>
          <w:sz w:val="24"/>
          <w:szCs w:val="24"/>
        </w:rPr>
        <w:t xml:space="preserve"> pleit dan ook voor prejudiciële vragen hieromtrent. </w:t>
      </w:r>
      <w:r w:rsidR="001B2956" w:rsidRPr="00484DAF">
        <w:rPr>
          <w:sz w:val="24"/>
          <w:szCs w:val="24"/>
        </w:rPr>
        <w:t xml:space="preserve">Gezien het sterk </w:t>
      </w:r>
      <w:r w:rsidR="00D838FE" w:rsidRPr="00484DAF">
        <w:rPr>
          <w:sz w:val="24"/>
          <w:szCs w:val="24"/>
        </w:rPr>
        <w:t>casuïstisch</w:t>
      </w:r>
      <w:r w:rsidR="00713B6B" w:rsidRPr="00484DAF">
        <w:rPr>
          <w:sz w:val="24"/>
          <w:szCs w:val="24"/>
        </w:rPr>
        <w:t xml:space="preserve">e karakter van het vraagstuk denk ik </w:t>
      </w:r>
      <w:r w:rsidR="00207F10" w:rsidRPr="00484DAF">
        <w:rPr>
          <w:sz w:val="24"/>
          <w:szCs w:val="24"/>
        </w:rPr>
        <w:t xml:space="preserve">echter </w:t>
      </w:r>
      <w:r w:rsidR="00713B6B" w:rsidRPr="00484DAF">
        <w:rPr>
          <w:sz w:val="24"/>
          <w:szCs w:val="24"/>
        </w:rPr>
        <w:t>dat het HvJ EG geen verlossend antwoord zou kunnen bieden.</w:t>
      </w:r>
      <w:r w:rsidR="00207F10" w:rsidRPr="00484DAF">
        <w:rPr>
          <w:sz w:val="24"/>
          <w:szCs w:val="24"/>
        </w:rPr>
        <w:t xml:space="preserve"> </w:t>
      </w:r>
      <w:r w:rsidR="00672C4E" w:rsidRPr="00484DAF">
        <w:rPr>
          <w:i/>
          <w:sz w:val="24"/>
          <w:szCs w:val="24"/>
        </w:rPr>
        <w:t>Bijl</w:t>
      </w:r>
      <w:r w:rsidR="00672C4E" w:rsidRPr="00484DAF">
        <w:rPr>
          <w:sz w:val="24"/>
          <w:szCs w:val="24"/>
        </w:rPr>
        <w:t xml:space="preserve"> suggereert </w:t>
      </w:r>
      <w:r w:rsidR="00B14B85" w:rsidRPr="00484DAF">
        <w:rPr>
          <w:sz w:val="24"/>
          <w:szCs w:val="24"/>
        </w:rPr>
        <w:t>dat bij de bepaling van de eerste ingebruikneming gelet dient te worden op het spraakgebruik en zodoende het tijdstip waarop het onroerend goed daadwerkelijk wordt aangewend in het kader van zijn onderneming bepalend is.</w:t>
      </w:r>
      <w:r w:rsidR="00B14B85" w:rsidRPr="00484DAF">
        <w:rPr>
          <w:rStyle w:val="Voetnootmarkering"/>
          <w:sz w:val="24"/>
          <w:szCs w:val="24"/>
        </w:rPr>
        <w:footnoteReference w:id="53"/>
      </w:r>
      <w:r w:rsidR="00B14B85" w:rsidRPr="00484DAF">
        <w:rPr>
          <w:sz w:val="24"/>
          <w:szCs w:val="24"/>
        </w:rPr>
        <w:t xml:space="preserve"> </w:t>
      </w:r>
      <w:r w:rsidR="00C13B67" w:rsidRPr="00484DAF">
        <w:rPr>
          <w:sz w:val="24"/>
          <w:szCs w:val="24"/>
        </w:rPr>
        <w:t xml:space="preserve">Hij erkent echter wel dat wanneer onroerend goed met als bestemming ‘bedrijfsmiddel’ tijdelijk wordt verhuurd, in bruikleen is, </w:t>
      </w:r>
      <w:r w:rsidR="00274F13" w:rsidRPr="00484DAF">
        <w:rPr>
          <w:sz w:val="24"/>
          <w:szCs w:val="24"/>
        </w:rPr>
        <w:t xml:space="preserve">als opslag </w:t>
      </w:r>
      <w:r w:rsidR="00C13B67" w:rsidRPr="00484DAF">
        <w:rPr>
          <w:sz w:val="24"/>
          <w:szCs w:val="24"/>
        </w:rPr>
        <w:t xml:space="preserve">dient of gefaseerd in gebruik wordt genomen, het tijdstip van eerste ‘echte’ ingebruikneming niet eenvoudig is te bepalen. </w:t>
      </w:r>
    </w:p>
    <w:p w:rsidR="00557A1F" w:rsidRPr="00484DAF" w:rsidRDefault="00557A1F" w:rsidP="00CC552D">
      <w:pPr>
        <w:pStyle w:val="Geenafstand"/>
        <w:spacing w:line="360" w:lineRule="auto"/>
        <w:rPr>
          <w:sz w:val="24"/>
          <w:szCs w:val="24"/>
        </w:rPr>
      </w:pPr>
    </w:p>
    <w:p w:rsidR="00CE6D40" w:rsidRPr="00484DAF" w:rsidRDefault="00CE6D40" w:rsidP="00CC552D">
      <w:pPr>
        <w:pStyle w:val="Kop2"/>
        <w:spacing w:before="0" w:line="360" w:lineRule="auto"/>
        <w:rPr>
          <w:rFonts w:ascii="Times New Roman" w:hAnsi="Times New Roman"/>
          <w:color w:val="auto"/>
          <w:sz w:val="24"/>
          <w:szCs w:val="24"/>
        </w:rPr>
      </w:pPr>
      <w:bookmarkStart w:id="26" w:name="_Toc254043892"/>
      <w:r w:rsidRPr="00484DAF">
        <w:rPr>
          <w:rFonts w:ascii="Times New Roman" w:hAnsi="Times New Roman"/>
          <w:color w:val="auto"/>
          <w:sz w:val="24"/>
          <w:szCs w:val="24"/>
        </w:rPr>
        <w:t>1.4.3 Optie voor belaste levering onroerend goed</w:t>
      </w:r>
      <w:bookmarkEnd w:id="26"/>
    </w:p>
    <w:p w:rsidR="00CA3788" w:rsidRPr="00484DAF" w:rsidRDefault="00366CDC" w:rsidP="00CC552D">
      <w:pPr>
        <w:spacing w:after="0" w:line="360" w:lineRule="auto"/>
        <w:rPr>
          <w:sz w:val="24"/>
          <w:szCs w:val="24"/>
        </w:rPr>
      </w:pPr>
      <w:r w:rsidRPr="00484DAF">
        <w:rPr>
          <w:sz w:val="24"/>
          <w:szCs w:val="24"/>
        </w:rPr>
        <w:t xml:space="preserve">Onroerend </w:t>
      </w:r>
      <w:r w:rsidR="007615D1" w:rsidRPr="00484DAF">
        <w:rPr>
          <w:sz w:val="24"/>
          <w:szCs w:val="24"/>
        </w:rPr>
        <w:t xml:space="preserve">goed </w:t>
      </w:r>
      <w:r w:rsidRPr="00484DAF">
        <w:rPr>
          <w:sz w:val="24"/>
          <w:szCs w:val="24"/>
        </w:rPr>
        <w:t>waarvan langer dan twee jaar de eerste ingebruikname heeft plaatsgevonden, wordt als “oud”</w:t>
      </w:r>
      <w:r w:rsidR="00701D8F" w:rsidRPr="00484DAF">
        <w:rPr>
          <w:sz w:val="24"/>
          <w:szCs w:val="24"/>
        </w:rPr>
        <w:t xml:space="preserve"> </w:t>
      </w:r>
      <w:r w:rsidRPr="00484DAF">
        <w:rPr>
          <w:sz w:val="24"/>
          <w:szCs w:val="24"/>
        </w:rPr>
        <w:t>bestempeld. In de vorige paragraaf kwam reeds naar voren dat levering van oud onroerend goed in beginsel is vrijgesteld van omzetbelasting.</w:t>
      </w:r>
      <w:r w:rsidR="00701D8F" w:rsidRPr="00484DAF">
        <w:rPr>
          <w:sz w:val="24"/>
          <w:szCs w:val="24"/>
        </w:rPr>
        <w:t xml:space="preserve"> </w:t>
      </w:r>
      <w:r w:rsidRPr="00484DAF">
        <w:rPr>
          <w:sz w:val="24"/>
          <w:szCs w:val="24"/>
        </w:rPr>
        <w:t>Ingevolge artikel 11, lid 1, onderdeel a, ten tweede Wet OB 1968 kan echter worden geopteerd voor belaste levering.</w:t>
      </w:r>
    </w:p>
    <w:p w:rsidR="00557A1F" w:rsidRPr="00484DAF" w:rsidRDefault="00557A1F" w:rsidP="00CC552D">
      <w:pPr>
        <w:pStyle w:val="Geenafstand"/>
        <w:spacing w:line="360" w:lineRule="auto"/>
        <w:rPr>
          <w:sz w:val="24"/>
          <w:szCs w:val="24"/>
        </w:rPr>
      </w:pPr>
    </w:p>
    <w:p w:rsidR="00CA3788" w:rsidRPr="00484DAF" w:rsidRDefault="00CA3788" w:rsidP="00CC552D">
      <w:pPr>
        <w:pStyle w:val="Kop3"/>
        <w:spacing w:before="0" w:line="360" w:lineRule="auto"/>
        <w:rPr>
          <w:rFonts w:ascii="Times New Roman" w:hAnsi="Times New Roman"/>
          <w:color w:val="auto"/>
          <w:sz w:val="24"/>
          <w:szCs w:val="24"/>
        </w:rPr>
      </w:pPr>
      <w:bookmarkStart w:id="27" w:name="_Toc254043893"/>
      <w:r w:rsidRPr="00484DAF">
        <w:rPr>
          <w:rFonts w:ascii="Times New Roman" w:hAnsi="Times New Roman"/>
          <w:color w:val="auto"/>
          <w:sz w:val="24"/>
          <w:szCs w:val="24"/>
        </w:rPr>
        <w:t>1.4.3.1 Voorwaarden</w:t>
      </w:r>
      <w:bookmarkEnd w:id="27"/>
    </w:p>
    <w:p w:rsidR="00CA3788" w:rsidRPr="00484DAF" w:rsidRDefault="00CA3788" w:rsidP="00CC552D">
      <w:pPr>
        <w:pStyle w:val="Geenafstand"/>
        <w:spacing w:line="360" w:lineRule="auto"/>
        <w:rPr>
          <w:sz w:val="24"/>
          <w:szCs w:val="24"/>
        </w:rPr>
      </w:pPr>
      <w:r w:rsidRPr="00484DAF">
        <w:rPr>
          <w:sz w:val="24"/>
          <w:szCs w:val="24"/>
        </w:rPr>
        <w:t xml:space="preserve">Aan de optie voor belaste levering zijn drie voorwaarden verbonden. De verkrijger dient </w:t>
      </w:r>
      <w:r w:rsidR="0092279E" w:rsidRPr="00484DAF">
        <w:rPr>
          <w:sz w:val="24"/>
          <w:szCs w:val="24"/>
        </w:rPr>
        <w:t xml:space="preserve">met betrekking tot zijn werkzaamheden </w:t>
      </w:r>
      <w:r w:rsidRPr="00484DAF">
        <w:rPr>
          <w:sz w:val="24"/>
          <w:szCs w:val="24"/>
        </w:rPr>
        <w:t>volledig of nagenoeg volledig recht op aftrek van belasting te hebben. Met andere woorden, koper dient het pand voor 90% of meer</w:t>
      </w:r>
      <w:r w:rsidRPr="00484DAF">
        <w:rPr>
          <w:rStyle w:val="Voetnootmarkering"/>
          <w:sz w:val="24"/>
          <w:szCs w:val="24"/>
        </w:rPr>
        <w:footnoteReference w:id="54"/>
      </w:r>
      <w:r w:rsidR="00BB1E75" w:rsidRPr="00484DAF">
        <w:rPr>
          <w:sz w:val="24"/>
          <w:szCs w:val="24"/>
        </w:rPr>
        <w:t xml:space="preserve"> voor belaste prestaties te gebruiken waarvoor evenzoveel recht op aftrek voorbelasting bestaat. Ten tweede dient de optie bij notariële akte van levering kenbaar te worden gemaakt</w:t>
      </w:r>
      <w:r w:rsidR="0049067B" w:rsidRPr="00484DAF">
        <w:rPr>
          <w:sz w:val="24"/>
          <w:szCs w:val="24"/>
        </w:rPr>
        <w:t xml:space="preserve"> of door middel van een gezamenlijk </w:t>
      </w:r>
      <w:r w:rsidR="000603B6" w:rsidRPr="00484DAF">
        <w:rPr>
          <w:sz w:val="24"/>
          <w:szCs w:val="24"/>
        </w:rPr>
        <w:t xml:space="preserve">verzoek </w:t>
      </w:r>
      <w:r w:rsidR="0049067B" w:rsidRPr="00484DAF">
        <w:rPr>
          <w:sz w:val="24"/>
          <w:szCs w:val="24"/>
        </w:rPr>
        <w:t xml:space="preserve">bij de bevoegde </w:t>
      </w:r>
      <w:r w:rsidR="0092279E" w:rsidRPr="00484DAF">
        <w:rPr>
          <w:sz w:val="24"/>
          <w:szCs w:val="24"/>
        </w:rPr>
        <w:t>belasting</w:t>
      </w:r>
      <w:r w:rsidR="0049067B" w:rsidRPr="00484DAF">
        <w:rPr>
          <w:sz w:val="24"/>
          <w:szCs w:val="24"/>
        </w:rPr>
        <w:t>inspecteur. Tot slot dient te w</w:t>
      </w:r>
      <w:r w:rsidR="0092279E" w:rsidRPr="00484DAF">
        <w:rPr>
          <w:sz w:val="24"/>
          <w:szCs w:val="24"/>
        </w:rPr>
        <w:t>orden voldaan aan bij ministerië</w:t>
      </w:r>
      <w:r w:rsidR="0049067B" w:rsidRPr="00484DAF">
        <w:rPr>
          <w:sz w:val="24"/>
          <w:szCs w:val="24"/>
        </w:rPr>
        <w:t>le</w:t>
      </w:r>
      <w:r w:rsidR="000603B6" w:rsidRPr="00484DAF">
        <w:rPr>
          <w:sz w:val="24"/>
          <w:szCs w:val="24"/>
        </w:rPr>
        <w:t xml:space="preserve"> regeling</w:t>
      </w:r>
      <w:r w:rsidR="0049067B" w:rsidRPr="00484DAF">
        <w:rPr>
          <w:sz w:val="24"/>
          <w:szCs w:val="24"/>
        </w:rPr>
        <w:t xml:space="preserve"> te stellen voorwaarden, zoals ingebruikname binnen twee jaar na de verkrijging</w:t>
      </w:r>
      <w:r w:rsidR="0092279E" w:rsidRPr="00484DAF">
        <w:rPr>
          <w:sz w:val="24"/>
          <w:szCs w:val="24"/>
        </w:rPr>
        <w:t>.</w:t>
      </w:r>
      <w:r w:rsidR="0092279E" w:rsidRPr="00484DAF">
        <w:rPr>
          <w:rStyle w:val="Voetnootmarkering"/>
          <w:sz w:val="24"/>
          <w:szCs w:val="24"/>
        </w:rPr>
        <w:footnoteReference w:id="55"/>
      </w:r>
    </w:p>
    <w:p w:rsidR="0049067B" w:rsidRPr="00484DAF" w:rsidRDefault="0049067B" w:rsidP="00CC552D">
      <w:pPr>
        <w:pStyle w:val="Kop3"/>
        <w:spacing w:before="0" w:line="360" w:lineRule="auto"/>
        <w:rPr>
          <w:rFonts w:ascii="Times New Roman" w:hAnsi="Times New Roman"/>
          <w:color w:val="auto"/>
          <w:sz w:val="24"/>
          <w:szCs w:val="24"/>
        </w:rPr>
      </w:pPr>
      <w:bookmarkStart w:id="28" w:name="_Toc254043894"/>
      <w:r w:rsidRPr="00484DAF">
        <w:rPr>
          <w:rFonts w:ascii="Times New Roman" w:hAnsi="Times New Roman"/>
          <w:color w:val="auto"/>
          <w:sz w:val="24"/>
          <w:szCs w:val="24"/>
        </w:rPr>
        <w:lastRenderedPageBreak/>
        <w:t>1.4.3.2 Doel optie</w:t>
      </w:r>
      <w:bookmarkEnd w:id="28"/>
    </w:p>
    <w:p w:rsidR="004D2327" w:rsidRPr="00484DAF" w:rsidRDefault="0049067B" w:rsidP="00CC552D">
      <w:pPr>
        <w:spacing w:after="0" w:line="360" w:lineRule="auto"/>
        <w:rPr>
          <w:sz w:val="24"/>
          <w:szCs w:val="24"/>
        </w:rPr>
      </w:pPr>
      <w:r w:rsidRPr="00484DAF">
        <w:rPr>
          <w:sz w:val="24"/>
          <w:szCs w:val="24"/>
        </w:rPr>
        <w:t>De</w:t>
      </w:r>
      <w:r w:rsidR="00EB7ED4" w:rsidRPr="00484DAF">
        <w:rPr>
          <w:sz w:val="24"/>
          <w:szCs w:val="24"/>
        </w:rPr>
        <w:t xml:space="preserve"> optie </w:t>
      </w:r>
      <w:r w:rsidRPr="00484DAF">
        <w:rPr>
          <w:sz w:val="24"/>
          <w:szCs w:val="24"/>
        </w:rPr>
        <w:t xml:space="preserve">voor belaste levering </w:t>
      </w:r>
      <w:r w:rsidR="00EB7ED4" w:rsidRPr="00484DAF">
        <w:rPr>
          <w:sz w:val="24"/>
          <w:szCs w:val="24"/>
        </w:rPr>
        <w:t>is ingevoerd om de interne neutraliteit van de omzetbelasting bij genoemde leveringen te behouden.</w:t>
      </w:r>
      <w:r w:rsidR="0092279E" w:rsidRPr="00484DAF">
        <w:rPr>
          <w:sz w:val="24"/>
          <w:szCs w:val="24"/>
        </w:rPr>
        <w:t xml:space="preserve"> </w:t>
      </w:r>
      <w:r w:rsidR="00133198" w:rsidRPr="00484DAF">
        <w:rPr>
          <w:sz w:val="24"/>
          <w:szCs w:val="24"/>
        </w:rPr>
        <w:t>Indien het pand volledig door verkoper voor</w:t>
      </w:r>
      <w:r w:rsidR="00701D8F" w:rsidRPr="00484DAF">
        <w:rPr>
          <w:sz w:val="24"/>
          <w:szCs w:val="24"/>
        </w:rPr>
        <w:t xml:space="preserve"> </w:t>
      </w:r>
      <w:r w:rsidR="00133198" w:rsidRPr="00484DAF">
        <w:rPr>
          <w:sz w:val="24"/>
          <w:szCs w:val="24"/>
        </w:rPr>
        <w:t>BTW-belaste prestaties is gebruikt, heeft verkoper bij de aankoop of levering van het pand alle voorbelasting</w:t>
      </w:r>
      <w:r w:rsidRPr="00484DAF">
        <w:rPr>
          <w:sz w:val="24"/>
          <w:szCs w:val="24"/>
        </w:rPr>
        <w:t xml:space="preserve"> in aftrek gebracht. Bij de aan</w:t>
      </w:r>
      <w:r w:rsidR="00133198" w:rsidRPr="00484DAF">
        <w:rPr>
          <w:sz w:val="24"/>
          <w:szCs w:val="24"/>
        </w:rPr>
        <w:t>koop van onroerend goed geldt een herzieningstermijn</w:t>
      </w:r>
      <w:r w:rsidR="00CA3788" w:rsidRPr="00484DAF">
        <w:rPr>
          <w:sz w:val="24"/>
          <w:szCs w:val="24"/>
        </w:rPr>
        <w:t xml:space="preserve"> </w:t>
      </w:r>
      <w:r w:rsidR="0092279E" w:rsidRPr="00484DAF">
        <w:rPr>
          <w:sz w:val="24"/>
          <w:szCs w:val="24"/>
        </w:rPr>
        <w:t xml:space="preserve">inzake </w:t>
      </w:r>
      <w:r w:rsidR="00CA3788" w:rsidRPr="00484DAF">
        <w:rPr>
          <w:sz w:val="24"/>
          <w:szCs w:val="24"/>
        </w:rPr>
        <w:t>afgetrokken voorbelasting van negen boekjaren volgend op het jaar van aanschaf van het onroere</w:t>
      </w:r>
      <w:r w:rsidR="0092279E" w:rsidRPr="00484DAF">
        <w:rPr>
          <w:sz w:val="24"/>
          <w:szCs w:val="24"/>
        </w:rPr>
        <w:t>nd goed</w:t>
      </w:r>
      <w:r w:rsidR="00CA3788" w:rsidRPr="00484DAF">
        <w:rPr>
          <w:sz w:val="24"/>
          <w:szCs w:val="24"/>
        </w:rPr>
        <w:t>.</w:t>
      </w:r>
      <w:r w:rsidR="0092279E" w:rsidRPr="00484DAF">
        <w:rPr>
          <w:rStyle w:val="Voetnootmarkering"/>
          <w:sz w:val="24"/>
          <w:szCs w:val="24"/>
        </w:rPr>
        <w:footnoteReference w:id="56"/>
      </w:r>
      <w:r w:rsidR="00CA3788" w:rsidRPr="00484DAF">
        <w:rPr>
          <w:sz w:val="24"/>
          <w:szCs w:val="24"/>
        </w:rPr>
        <w:t xml:space="preserve"> De herzieningsregeling komt neer op een toets of het pand voldoende belast wordt gebruikt. Zo niet, dient </w:t>
      </w:r>
      <w:r w:rsidRPr="00484DAF">
        <w:rPr>
          <w:sz w:val="24"/>
          <w:szCs w:val="24"/>
        </w:rPr>
        <w:t xml:space="preserve">een deel van de voorafgetrokken </w:t>
      </w:r>
      <w:r w:rsidR="00CA3788" w:rsidRPr="00484DAF">
        <w:rPr>
          <w:sz w:val="24"/>
          <w:szCs w:val="24"/>
        </w:rPr>
        <w:t xml:space="preserve">omzetbelasting te worden </w:t>
      </w:r>
      <w:r w:rsidRPr="00484DAF">
        <w:rPr>
          <w:sz w:val="24"/>
          <w:szCs w:val="24"/>
        </w:rPr>
        <w:t>terugbetaald</w:t>
      </w:r>
      <w:r w:rsidR="00CA3788" w:rsidRPr="00484DAF">
        <w:rPr>
          <w:sz w:val="24"/>
          <w:szCs w:val="24"/>
        </w:rPr>
        <w:t>.</w:t>
      </w:r>
      <w:r w:rsidRPr="00484DAF">
        <w:rPr>
          <w:sz w:val="24"/>
          <w:szCs w:val="24"/>
        </w:rPr>
        <w:t xml:space="preserve"> Wanneer de koper</w:t>
      </w:r>
      <w:r w:rsidR="0092279E" w:rsidRPr="00484DAF">
        <w:rPr>
          <w:sz w:val="24"/>
          <w:szCs w:val="24"/>
        </w:rPr>
        <w:t xml:space="preserve"> (nagenoeg) volledig</w:t>
      </w:r>
      <w:r w:rsidR="000F588D" w:rsidRPr="00484DAF">
        <w:rPr>
          <w:sz w:val="24"/>
          <w:szCs w:val="24"/>
        </w:rPr>
        <w:t xml:space="preserve"> recht heeft op aftrek van voorbelasting</w:t>
      </w:r>
      <w:r w:rsidR="00D12918">
        <w:rPr>
          <w:sz w:val="24"/>
          <w:szCs w:val="24"/>
        </w:rPr>
        <w:t>,</w:t>
      </w:r>
      <w:r w:rsidR="000F588D" w:rsidRPr="00484DAF">
        <w:rPr>
          <w:sz w:val="24"/>
          <w:szCs w:val="24"/>
        </w:rPr>
        <w:t xml:space="preserve"> zou terugbetaling</w:t>
      </w:r>
      <w:r w:rsidR="0092279E" w:rsidRPr="00484DAF">
        <w:rPr>
          <w:sz w:val="24"/>
          <w:szCs w:val="24"/>
        </w:rPr>
        <w:t xml:space="preserve"> </w:t>
      </w:r>
      <w:r w:rsidR="00E756AA" w:rsidRPr="00484DAF">
        <w:rPr>
          <w:sz w:val="24"/>
          <w:szCs w:val="24"/>
        </w:rPr>
        <w:t xml:space="preserve">van herziene omzetbelasting </w:t>
      </w:r>
      <w:r w:rsidR="0092279E" w:rsidRPr="00484DAF">
        <w:rPr>
          <w:sz w:val="24"/>
          <w:szCs w:val="24"/>
        </w:rPr>
        <w:t>door de verkoper</w:t>
      </w:r>
      <w:r w:rsidR="000F588D" w:rsidRPr="00484DAF">
        <w:rPr>
          <w:sz w:val="24"/>
          <w:szCs w:val="24"/>
        </w:rPr>
        <w:t xml:space="preserve"> leiden tot cumulatie </w:t>
      </w:r>
      <w:r w:rsidR="00B84C7A" w:rsidRPr="00484DAF">
        <w:rPr>
          <w:sz w:val="24"/>
          <w:szCs w:val="24"/>
        </w:rPr>
        <w:t>van BTW indien een vrijstelling van toepassing is</w:t>
      </w:r>
      <w:r w:rsidR="000F588D" w:rsidRPr="00484DAF">
        <w:rPr>
          <w:sz w:val="24"/>
          <w:szCs w:val="24"/>
        </w:rPr>
        <w:t>. De verkoper kan namelijk de terugbetaalde voorbelasting niet doorbereken</w:t>
      </w:r>
      <w:r w:rsidR="00B84C7A" w:rsidRPr="00484DAF">
        <w:rPr>
          <w:sz w:val="24"/>
          <w:szCs w:val="24"/>
        </w:rPr>
        <w:t>en</w:t>
      </w:r>
      <w:r w:rsidR="00245B6F" w:rsidRPr="00484DAF">
        <w:rPr>
          <w:sz w:val="24"/>
          <w:szCs w:val="24"/>
        </w:rPr>
        <w:t xml:space="preserve"> aan de kopende partij en deze kan bij gebrek aan BTW op de factuur ook geen aftrek voorbelasting claimen. Met behulp van de optie voor belaste levering wordt cumulatie van omzetbelasting voorkomen. Verkrijger kan de in rekening gebrachte voorbelasting voor tenminste 90% in aftrek brengen terwijl de verkoper niet wordt beperkt in de aftrek van omzetbelasting welke toerekenbaar is aan de levering.</w:t>
      </w:r>
      <w:r w:rsidR="0015791B" w:rsidRPr="00484DAF">
        <w:rPr>
          <w:rStyle w:val="Voetnootmarkering"/>
          <w:sz w:val="24"/>
          <w:szCs w:val="24"/>
        </w:rPr>
        <w:footnoteReference w:id="57"/>
      </w:r>
      <w:r w:rsidR="00245B6F" w:rsidRPr="00484DAF">
        <w:rPr>
          <w:sz w:val="24"/>
          <w:szCs w:val="24"/>
        </w:rPr>
        <w:t xml:space="preserve"> </w:t>
      </w:r>
      <w:r w:rsidR="00366CDC" w:rsidRPr="00484DAF">
        <w:rPr>
          <w:sz w:val="24"/>
          <w:szCs w:val="24"/>
        </w:rPr>
        <w:t>Voor het vervolg van deze scriptie blijft de optie voor belaste levering buiten beschouwing, omdat in geval van s</w:t>
      </w:r>
      <w:r w:rsidR="007C35E3" w:rsidRPr="00484DAF">
        <w:rPr>
          <w:sz w:val="24"/>
          <w:szCs w:val="24"/>
        </w:rPr>
        <w:t>amenloop tussen verschuldigde BTW door optie</w:t>
      </w:r>
      <w:r w:rsidR="00366CDC" w:rsidRPr="00484DAF">
        <w:rPr>
          <w:sz w:val="24"/>
          <w:szCs w:val="24"/>
        </w:rPr>
        <w:t xml:space="preserve"> </w:t>
      </w:r>
      <w:r w:rsidR="007C35E3" w:rsidRPr="00484DAF">
        <w:rPr>
          <w:sz w:val="24"/>
          <w:szCs w:val="24"/>
        </w:rPr>
        <w:t xml:space="preserve">voor belaste levering </w:t>
      </w:r>
      <w:r w:rsidR="00366CDC" w:rsidRPr="00484DAF">
        <w:rPr>
          <w:sz w:val="24"/>
          <w:szCs w:val="24"/>
        </w:rPr>
        <w:t xml:space="preserve">en overdrachtbelasting geen samenloopvrijstelling </w:t>
      </w:r>
      <w:r w:rsidR="00BC65A2" w:rsidRPr="00484DAF">
        <w:rPr>
          <w:sz w:val="24"/>
          <w:szCs w:val="24"/>
        </w:rPr>
        <w:t xml:space="preserve">van toepassing </w:t>
      </w:r>
      <w:r w:rsidR="007C35E3" w:rsidRPr="00484DAF">
        <w:rPr>
          <w:sz w:val="24"/>
          <w:szCs w:val="24"/>
        </w:rPr>
        <w:t>is, zo</w:t>
      </w:r>
      <w:r w:rsidR="00BC65A2" w:rsidRPr="00484DAF">
        <w:rPr>
          <w:sz w:val="24"/>
          <w:szCs w:val="24"/>
        </w:rPr>
        <w:t>als wordt besproken in het tweede hoofdstuk</w:t>
      </w:r>
      <w:r w:rsidR="00366CDC" w:rsidRPr="00484DAF">
        <w:rPr>
          <w:sz w:val="24"/>
          <w:szCs w:val="24"/>
        </w:rPr>
        <w:t>.</w:t>
      </w:r>
    </w:p>
    <w:p w:rsidR="00557A1F" w:rsidRPr="00484DAF" w:rsidRDefault="00557A1F" w:rsidP="00CC552D">
      <w:pPr>
        <w:pStyle w:val="Geenafstand"/>
        <w:spacing w:line="360" w:lineRule="auto"/>
        <w:rPr>
          <w:sz w:val="24"/>
          <w:szCs w:val="24"/>
        </w:rPr>
      </w:pPr>
    </w:p>
    <w:p w:rsidR="000603B6" w:rsidRPr="00484DAF" w:rsidRDefault="000603B6" w:rsidP="00CC552D">
      <w:pPr>
        <w:pStyle w:val="Kop1"/>
        <w:spacing w:before="0" w:line="360" w:lineRule="auto"/>
        <w:rPr>
          <w:rFonts w:ascii="Times New Roman" w:hAnsi="Times New Roman"/>
          <w:color w:val="auto"/>
          <w:sz w:val="24"/>
          <w:szCs w:val="24"/>
        </w:rPr>
      </w:pPr>
      <w:bookmarkStart w:id="29" w:name="_Toc254043895"/>
      <w:r w:rsidRPr="00484DAF">
        <w:rPr>
          <w:rFonts w:ascii="Times New Roman" w:hAnsi="Times New Roman"/>
          <w:color w:val="auto"/>
          <w:sz w:val="24"/>
          <w:szCs w:val="24"/>
        </w:rPr>
        <w:t>1.5 Tussenconclusie</w:t>
      </w:r>
      <w:r w:rsidR="00387C46" w:rsidRPr="00484DAF">
        <w:rPr>
          <w:rFonts w:ascii="Times New Roman" w:hAnsi="Times New Roman"/>
          <w:color w:val="auto"/>
          <w:sz w:val="24"/>
          <w:szCs w:val="24"/>
        </w:rPr>
        <w:t xml:space="preserve"> I</w:t>
      </w:r>
      <w:bookmarkEnd w:id="29"/>
    </w:p>
    <w:p w:rsidR="000603B6" w:rsidRPr="00484DAF" w:rsidRDefault="000603B6" w:rsidP="00CC552D">
      <w:pPr>
        <w:spacing w:after="0" w:line="360" w:lineRule="auto"/>
        <w:rPr>
          <w:sz w:val="24"/>
          <w:szCs w:val="24"/>
        </w:rPr>
      </w:pPr>
      <w:r w:rsidRPr="00484DAF">
        <w:rPr>
          <w:sz w:val="24"/>
          <w:szCs w:val="24"/>
        </w:rPr>
        <w:t xml:space="preserve">In dit hoofdstuk kwam allereerst de werking van Europese Richtlijnen aanbod. Dit in verband met het feit dat </w:t>
      </w:r>
      <w:r w:rsidR="00915023" w:rsidRPr="00484DAF">
        <w:rPr>
          <w:sz w:val="24"/>
          <w:szCs w:val="24"/>
        </w:rPr>
        <w:t xml:space="preserve">de nationale omzetbelastingwet is gebaseerd op de Europese BTW-richtlijn. </w:t>
      </w:r>
      <w:r w:rsidR="00E756AA" w:rsidRPr="00484DAF">
        <w:rPr>
          <w:sz w:val="24"/>
          <w:szCs w:val="24"/>
        </w:rPr>
        <w:t xml:space="preserve">Een richtlijn heeft verticale rechtstreekse werking, dat betekent dat een burger de richtlijn tegen de Staat in kan roepen, maar niet andersom. </w:t>
      </w:r>
      <w:r w:rsidR="00915023" w:rsidRPr="00484DAF">
        <w:rPr>
          <w:sz w:val="24"/>
          <w:szCs w:val="24"/>
        </w:rPr>
        <w:t>Naast plichten scheppen Europese richtlijnen namelijk ook rechten. De omzetbelasting kwalificeert als een kostprijsverhogende belasting, maar wordt ook verbruiksbelasting of bestedingsbelasting</w:t>
      </w:r>
      <w:r w:rsidR="00A440BD" w:rsidRPr="00484DAF">
        <w:rPr>
          <w:sz w:val="24"/>
          <w:szCs w:val="24"/>
        </w:rPr>
        <w:t xml:space="preserve"> genoemd</w:t>
      </w:r>
      <w:r w:rsidR="00915023" w:rsidRPr="00484DAF">
        <w:rPr>
          <w:sz w:val="24"/>
          <w:szCs w:val="24"/>
        </w:rPr>
        <w:t xml:space="preserve">. Aangezien sprake is van een indirecte belasting wordt BTW niet door de afnemer van een prestatie voldaan, maar door diegene die presteert. Neutraliteit is in dit indirecte stelsel erg belangrijk. Dit houdt namelijk in dat de BTW geen kostprijsverhogend effect mag hebben. Dit wordt </w:t>
      </w:r>
      <w:r w:rsidR="00915023" w:rsidRPr="00484DAF">
        <w:rPr>
          <w:sz w:val="24"/>
          <w:szCs w:val="24"/>
        </w:rPr>
        <w:lastRenderedPageBreak/>
        <w:t xml:space="preserve">uitgewerkt in verschillende uitgangspunten, bijvoorbeeld dat </w:t>
      </w:r>
      <w:r w:rsidR="00A440BD" w:rsidRPr="00484DAF">
        <w:rPr>
          <w:sz w:val="24"/>
          <w:szCs w:val="24"/>
        </w:rPr>
        <w:t>de</w:t>
      </w:r>
      <w:r w:rsidR="00B562E5" w:rsidRPr="00484DAF">
        <w:rPr>
          <w:sz w:val="24"/>
          <w:szCs w:val="24"/>
        </w:rPr>
        <w:t xml:space="preserve">zelfde soort prestatie onder hetzelfde BTW-regime valt. In het kader van deze scriptie is de vrijstelling voor levering van onroerende zaken van belang. Vrijstellingen vormen een inbreuk op het BTW-stelsel en dienen eng te worden geïnterpreteerd (uitzonderingen op de vrijstellingen dienen daarentegen ruim te worden geïnterpreteerd). Voor invulling van het begrip onroerende zaak werd </w:t>
      </w:r>
      <w:r w:rsidR="00A440BD" w:rsidRPr="00484DAF">
        <w:rPr>
          <w:sz w:val="24"/>
          <w:szCs w:val="24"/>
        </w:rPr>
        <w:t xml:space="preserve">door de Hoge Raad </w:t>
      </w:r>
      <w:r w:rsidR="00B562E5" w:rsidRPr="00484DAF">
        <w:rPr>
          <w:sz w:val="24"/>
          <w:szCs w:val="24"/>
        </w:rPr>
        <w:t xml:space="preserve">aanvankelijk aansluiting gezocht in het </w:t>
      </w:r>
      <w:r w:rsidR="00A440BD" w:rsidRPr="00484DAF">
        <w:rPr>
          <w:sz w:val="24"/>
          <w:szCs w:val="24"/>
        </w:rPr>
        <w:t xml:space="preserve">Burgerlijk </w:t>
      </w:r>
      <w:r w:rsidR="00B562E5" w:rsidRPr="00484DAF">
        <w:rPr>
          <w:sz w:val="24"/>
          <w:szCs w:val="24"/>
        </w:rPr>
        <w:t>W</w:t>
      </w:r>
      <w:r w:rsidR="00A440BD" w:rsidRPr="00484DAF">
        <w:rPr>
          <w:sz w:val="24"/>
          <w:szCs w:val="24"/>
        </w:rPr>
        <w:t>etboek</w:t>
      </w:r>
      <w:r w:rsidR="00B562E5" w:rsidRPr="00484DAF">
        <w:rPr>
          <w:sz w:val="24"/>
          <w:szCs w:val="24"/>
        </w:rPr>
        <w:t xml:space="preserve">. Het arrest </w:t>
      </w:r>
      <w:r w:rsidR="00B562E5" w:rsidRPr="00484DAF">
        <w:rPr>
          <w:i/>
          <w:sz w:val="24"/>
          <w:szCs w:val="24"/>
        </w:rPr>
        <w:t xml:space="preserve">Rudolf Maierhofer </w:t>
      </w:r>
      <w:r w:rsidR="00B562E5" w:rsidRPr="00484DAF">
        <w:rPr>
          <w:sz w:val="24"/>
          <w:szCs w:val="24"/>
        </w:rPr>
        <w:t>wees echter uit dat de invulling van de term ‘onroerend goed’ een communautaire aangelegenheid is.</w:t>
      </w:r>
      <w:r w:rsidR="00BB2D82" w:rsidRPr="00484DAF">
        <w:rPr>
          <w:sz w:val="24"/>
          <w:szCs w:val="24"/>
        </w:rPr>
        <w:t xml:space="preserve"> Het HvJ EG heeft uitgesproken dat als ‘onroerend’ wordt aangemerkt </w:t>
      </w:r>
      <w:r w:rsidR="00A440BD" w:rsidRPr="00484DAF">
        <w:rPr>
          <w:sz w:val="24"/>
          <w:szCs w:val="24"/>
        </w:rPr>
        <w:t>elk</w:t>
      </w:r>
      <w:r w:rsidR="00BB2D82" w:rsidRPr="00484DAF">
        <w:rPr>
          <w:sz w:val="24"/>
          <w:szCs w:val="24"/>
        </w:rPr>
        <w:t xml:space="preserve"> </w:t>
      </w:r>
      <w:r w:rsidR="00A440BD" w:rsidRPr="00484DAF">
        <w:rPr>
          <w:sz w:val="24"/>
          <w:szCs w:val="24"/>
        </w:rPr>
        <w:t>gebouw</w:t>
      </w:r>
      <w:r w:rsidR="00BB2D82" w:rsidRPr="00484DAF">
        <w:rPr>
          <w:sz w:val="24"/>
          <w:szCs w:val="24"/>
        </w:rPr>
        <w:t xml:space="preserve"> welke mobiel noch verplaatsbaar </w:t>
      </w:r>
      <w:r w:rsidR="00A440BD" w:rsidRPr="00484DAF">
        <w:rPr>
          <w:sz w:val="24"/>
          <w:szCs w:val="24"/>
        </w:rPr>
        <w:t>is</w:t>
      </w:r>
      <w:r w:rsidR="00BB2D82" w:rsidRPr="00484DAF">
        <w:rPr>
          <w:sz w:val="24"/>
          <w:szCs w:val="24"/>
        </w:rPr>
        <w:t>. Gezien het uiteenlopen van de communautaire invulling en Nederlandse civielrechtelijke</w:t>
      </w:r>
      <w:r w:rsidR="006576E8" w:rsidRPr="00484DAF">
        <w:rPr>
          <w:sz w:val="24"/>
          <w:szCs w:val="24"/>
        </w:rPr>
        <w:t xml:space="preserve"> </w:t>
      </w:r>
      <w:r w:rsidR="00BB2D82" w:rsidRPr="00484DAF">
        <w:rPr>
          <w:sz w:val="24"/>
          <w:szCs w:val="24"/>
        </w:rPr>
        <w:t xml:space="preserve">duiding, </w:t>
      </w:r>
      <w:r w:rsidR="00B562E5" w:rsidRPr="00484DAF">
        <w:rPr>
          <w:sz w:val="24"/>
          <w:szCs w:val="24"/>
        </w:rPr>
        <w:t xml:space="preserve">wordt in het vervolg van deze scriptie enkel gesproken van onroerende goederen indien het de behandeling in de omzetbelasting betreft. </w:t>
      </w:r>
      <w:r w:rsidR="0063744E" w:rsidRPr="00484DAF">
        <w:rPr>
          <w:sz w:val="24"/>
          <w:szCs w:val="24"/>
        </w:rPr>
        <w:t>De omzetbelasting kent een vrijstelling voor de levering van onroerende goederen. Hierop zijn twee uitzonderingen mogelijk, namelijk de met BTW belaste levering van rechtswege en de belaste levering door optie.</w:t>
      </w:r>
      <w:r w:rsidR="00B45FAC" w:rsidRPr="00484DAF">
        <w:rPr>
          <w:sz w:val="24"/>
          <w:szCs w:val="24"/>
        </w:rPr>
        <w:t xml:space="preserve"> Vereiste voor de belaste levering van rechtswege is dat een (gedeelte van een) gebouw en het erbij behorend terrein vóór, op of uiterlijk twee jaren na het tijdstip van eerste ingebruikneming wordt geleverd.</w:t>
      </w:r>
      <w:r w:rsidR="00CF1983" w:rsidRPr="00484DAF">
        <w:rPr>
          <w:sz w:val="24"/>
          <w:szCs w:val="24"/>
        </w:rPr>
        <w:t xml:space="preserve"> </w:t>
      </w:r>
      <w:r w:rsidR="00B45FAC" w:rsidRPr="00484DAF">
        <w:rPr>
          <w:sz w:val="24"/>
          <w:szCs w:val="24"/>
        </w:rPr>
        <w:t xml:space="preserve">Daarbij geldt als eerste ingebruikneming de dag waarop feitelijk en overeenkomstig de bestemming het goed in gebruik wordt genomen. De levering zelf kan zowel een juridische levering als de overdracht van het economisch eigendom inhouden. </w:t>
      </w:r>
      <w:r w:rsidR="00CF1983" w:rsidRPr="00484DAF">
        <w:rPr>
          <w:sz w:val="24"/>
          <w:szCs w:val="24"/>
        </w:rPr>
        <w:t xml:space="preserve">Eveneens van rechtswege vrijgesteld is de levering van een bouwterrein. </w:t>
      </w:r>
      <w:r w:rsidR="00B45FAC" w:rsidRPr="00484DAF">
        <w:rPr>
          <w:sz w:val="24"/>
          <w:szCs w:val="24"/>
        </w:rPr>
        <w:t>De tweede uitzondering op de in beginsel vrijgestelde levering van onroerend goed is er één door optie. Hiervoor gelden nadere voorwaarden. In het kader van deze scriptie zal de door optie belaste levering verder niet aan bod komen.</w:t>
      </w:r>
    </w:p>
    <w:p w:rsidR="00C07903" w:rsidRPr="00484DAF" w:rsidRDefault="00C07903" w:rsidP="00CC552D">
      <w:pPr>
        <w:spacing w:after="0" w:line="360" w:lineRule="auto"/>
        <w:rPr>
          <w:sz w:val="24"/>
          <w:szCs w:val="24"/>
        </w:rPr>
      </w:pPr>
      <w:r w:rsidRPr="00484DAF">
        <w:rPr>
          <w:sz w:val="24"/>
          <w:szCs w:val="24"/>
        </w:rPr>
        <w:br w:type="page"/>
      </w:r>
    </w:p>
    <w:p w:rsidR="00C07903" w:rsidRPr="00484DAF" w:rsidRDefault="00C07903" w:rsidP="00CC552D">
      <w:pPr>
        <w:pStyle w:val="Kop1"/>
        <w:spacing w:before="0" w:line="360" w:lineRule="auto"/>
        <w:rPr>
          <w:rFonts w:ascii="Times New Roman" w:hAnsi="Times New Roman"/>
          <w:color w:val="auto"/>
          <w:sz w:val="24"/>
          <w:szCs w:val="24"/>
        </w:rPr>
      </w:pPr>
      <w:bookmarkStart w:id="30" w:name="_Toc234584031"/>
      <w:bookmarkStart w:id="31" w:name="_Toc254043896"/>
      <w:r w:rsidRPr="00484DAF">
        <w:rPr>
          <w:rFonts w:ascii="Times New Roman" w:hAnsi="Times New Roman"/>
          <w:color w:val="auto"/>
          <w:sz w:val="24"/>
          <w:szCs w:val="24"/>
        </w:rPr>
        <w:lastRenderedPageBreak/>
        <w:t>Hoofdstuk 2: Overdrachtsbelasting en de samenloopvrijstelling</w:t>
      </w:r>
      <w:bookmarkEnd w:id="30"/>
      <w:bookmarkEnd w:id="31"/>
    </w:p>
    <w:p w:rsidR="00C07903" w:rsidRPr="00484DAF" w:rsidRDefault="00C07903" w:rsidP="00CC552D">
      <w:pPr>
        <w:pStyle w:val="Geenafstand"/>
        <w:spacing w:line="360" w:lineRule="auto"/>
        <w:rPr>
          <w:sz w:val="24"/>
          <w:szCs w:val="24"/>
        </w:rPr>
      </w:pPr>
      <w:r w:rsidRPr="00484DAF">
        <w:rPr>
          <w:sz w:val="24"/>
          <w:szCs w:val="24"/>
        </w:rPr>
        <w:t xml:space="preserve">Ingevolge artikel 2, lid 1 Wet op belastingen van rechtsverkeer (hierna: Wet BRV) wordt onder de naam overdrachtsbelasting </w:t>
      </w:r>
      <w:r w:rsidRPr="00484DAF">
        <w:rPr>
          <w:i/>
          <w:sz w:val="24"/>
          <w:szCs w:val="24"/>
        </w:rPr>
        <w:t>‘een belasting geheven ter zake van de verkrijging van in Nederland gelegen onroerende zaken (…).’</w:t>
      </w:r>
      <w:r w:rsidRPr="00484DAF">
        <w:rPr>
          <w:sz w:val="24"/>
          <w:szCs w:val="24"/>
        </w:rPr>
        <w:t xml:space="preserve"> Bij de verkrijging van in Nederland gelegen onroerend goed kan samenloop (lees: dubbele belasting) plaatsvinden tussen de omzetbelasting en de overdrachtsbelasting. Deze samenloop en de bijbehorende samenloopvrijstelling uit artikel 15, lid 1, onderdeel a Wet BRV wordt verderop in dit hoofdstuk besproken nadat eerst de overdrachtsbelasting kort uiteen wordt gezet.</w:t>
      </w:r>
    </w:p>
    <w:p w:rsidR="00355A32" w:rsidRPr="00484DAF" w:rsidRDefault="00355A32" w:rsidP="00CC552D">
      <w:pPr>
        <w:pStyle w:val="Geenafstand"/>
        <w:spacing w:line="360" w:lineRule="auto"/>
        <w:rPr>
          <w:sz w:val="24"/>
          <w:szCs w:val="24"/>
        </w:rPr>
      </w:pPr>
    </w:p>
    <w:p w:rsidR="00C07903" w:rsidRPr="00484DAF" w:rsidRDefault="00C07903" w:rsidP="00CC552D">
      <w:pPr>
        <w:pStyle w:val="Kop1"/>
        <w:spacing w:before="0" w:line="360" w:lineRule="auto"/>
        <w:rPr>
          <w:rFonts w:ascii="Times New Roman" w:hAnsi="Times New Roman"/>
          <w:color w:val="auto"/>
          <w:sz w:val="24"/>
          <w:szCs w:val="24"/>
        </w:rPr>
      </w:pPr>
      <w:bookmarkStart w:id="32" w:name="_Toc234584032"/>
      <w:bookmarkStart w:id="33" w:name="_Toc254043897"/>
      <w:r w:rsidRPr="00484DAF">
        <w:rPr>
          <w:rFonts w:ascii="Times New Roman" w:hAnsi="Times New Roman"/>
          <w:color w:val="auto"/>
          <w:sz w:val="24"/>
          <w:szCs w:val="24"/>
        </w:rPr>
        <w:t>2.1 Overdrachtsbelasting</w:t>
      </w:r>
      <w:bookmarkEnd w:id="32"/>
      <w:bookmarkEnd w:id="33"/>
    </w:p>
    <w:p w:rsidR="00C07903" w:rsidRPr="00484DAF" w:rsidRDefault="00C07903" w:rsidP="00CC552D">
      <w:pPr>
        <w:pStyle w:val="Geenafstand"/>
        <w:spacing w:line="360" w:lineRule="auto"/>
        <w:rPr>
          <w:sz w:val="24"/>
          <w:szCs w:val="24"/>
        </w:rPr>
      </w:pPr>
      <w:r w:rsidRPr="00484DAF">
        <w:rPr>
          <w:sz w:val="24"/>
          <w:szCs w:val="24"/>
        </w:rPr>
        <w:t>Net als de omzetbelasting is de overdrachtsbelasting een kostprijsverhogende belasting. Anders dan in de omzetbelasting wordt overdrachtsbelasting niet geheven van degene die de zaak levert (vergelijk de ondernemer in de BTW), maar van diegene die de onroerende zaak verkrijgt.</w:t>
      </w:r>
      <w:r w:rsidRPr="00484DAF">
        <w:rPr>
          <w:rStyle w:val="Voetnootmarkering"/>
          <w:sz w:val="24"/>
          <w:szCs w:val="24"/>
        </w:rPr>
        <w:footnoteReference w:id="58"/>
      </w:r>
      <w:r w:rsidRPr="00484DAF">
        <w:rPr>
          <w:sz w:val="24"/>
          <w:szCs w:val="24"/>
        </w:rPr>
        <w:t xml:space="preserve"> Daarmee kwalificeert de overdrachtsbelasting als een directe belasting, omdat belastingplichtige en degene die de belasting volgens de wetgever dient af te dragen dezelfde persoon zijn.</w:t>
      </w:r>
      <w:r w:rsidRPr="00484DAF">
        <w:rPr>
          <w:rStyle w:val="Voetnootmarkering"/>
          <w:sz w:val="24"/>
          <w:szCs w:val="24"/>
        </w:rPr>
        <w:footnoteReference w:id="59"/>
      </w:r>
      <w:r w:rsidRPr="00484DAF">
        <w:rPr>
          <w:sz w:val="24"/>
          <w:szCs w:val="24"/>
        </w:rPr>
        <w:t xml:space="preserve"> Het tarief van de overdrachtsbelasting bedraagt 6%.</w:t>
      </w:r>
      <w:r w:rsidRPr="00484DAF">
        <w:rPr>
          <w:rStyle w:val="Voetnootmarkering"/>
          <w:sz w:val="24"/>
          <w:szCs w:val="24"/>
        </w:rPr>
        <w:footnoteReference w:id="60"/>
      </w:r>
    </w:p>
    <w:p w:rsidR="00355A32" w:rsidRPr="00484DAF" w:rsidRDefault="00355A32" w:rsidP="00CC552D">
      <w:pPr>
        <w:pStyle w:val="Geenafstand"/>
        <w:spacing w:line="360" w:lineRule="auto"/>
        <w:rPr>
          <w:sz w:val="24"/>
          <w:szCs w:val="24"/>
        </w:rPr>
      </w:pPr>
    </w:p>
    <w:p w:rsidR="00C07903" w:rsidRPr="00484DAF" w:rsidRDefault="00C07903" w:rsidP="00CC552D">
      <w:pPr>
        <w:pStyle w:val="Kop2"/>
        <w:spacing w:before="0" w:line="360" w:lineRule="auto"/>
        <w:rPr>
          <w:rFonts w:ascii="Times New Roman" w:hAnsi="Times New Roman"/>
          <w:color w:val="auto"/>
          <w:sz w:val="24"/>
          <w:szCs w:val="24"/>
        </w:rPr>
      </w:pPr>
      <w:bookmarkStart w:id="34" w:name="_Toc234584033"/>
      <w:bookmarkStart w:id="35" w:name="_Toc254043898"/>
      <w:r w:rsidRPr="00484DAF">
        <w:rPr>
          <w:rFonts w:ascii="Times New Roman" w:hAnsi="Times New Roman"/>
          <w:color w:val="auto"/>
          <w:sz w:val="24"/>
          <w:szCs w:val="24"/>
        </w:rPr>
        <w:t>2.1.1 Verkrijging</w:t>
      </w:r>
      <w:bookmarkEnd w:id="34"/>
      <w:bookmarkEnd w:id="35"/>
    </w:p>
    <w:p w:rsidR="00355A32" w:rsidRPr="00484DAF" w:rsidRDefault="00C07903" w:rsidP="00CC552D">
      <w:pPr>
        <w:spacing w:after="0" w:line="360" w:lineRule="auto"/>
        <w:rPr>
          <w:sz w:val="24"/>
          <w:szCs w:val="24"/>
        </w:rPr>
      </w:pPr>
      <w:r w:rsidRPr="00484DAF">
        <w:rPr>
          <w:sz w:val="24"/>
          <w:szCs w:val="24"/>
        </w:rPr>
        <w:t>Hoewel het begrip verkrijging een terugkerend fenomeen is in de Wet BRV kent de belastingwet geen definitie van het begrip. Uitgezonderd zijn wel de verkrijging krachtens boedelmenging, erfrecht of verjaring, verdeling van huwelijksgemeenschap of nalatenschap.</w:t>
      </w:r>
      <w:r w:rsidRPr="00484DAF">
        <w:rPr>
          <w:rStyle w:val="Voetnootmarkering"/>
          <w:sz w:val="24"/>
          <w:szCs w:val="24"/>
        </w:rPr>
        <w:footnoteReference w:id="61"/>
      </w:r>
      <w:r w:rsidRPr="00484DAF">
        <w:rPr>
          <w:sz w:val="24"/>
          <w:szCs w:val="24"/>
        </w:rPr>
        <w:t xml:space="preserve"> Hieruit kan worden opgemaakt dat de belaste verkrijging voor de overdrachtsbelasting ook volgt uit het civiele recht. Daarbij dient te worden gedacht aan de verkrijging van het juridische eigendom van een onroerende zaak. Dit eigendom wordt verkregen door inschrijving van een notariële leveringsakte in de openbare registers, zoals het Kadaster.</w:t>
      </w:r>
      <w:r w:rsidRPr="00484DAF">
        <w:rPr>
          <w:rStyle w:val="Voetnootmarkering"/>
          <w:sz w:val="24"/>
          <w:szCs w:val="24"/>
        </w:rPr>
        <w:footnoteReference w:id="62"/>
      </w:r>
    </w:p>
    <w:p w:rsidR="00F4334C" w:rsidRPr="00484DAF" w:rsidRDefault="00C07903" w:rsidP="00CC552D">
      <w:pPr>
        <w:spacing w:after="0" w:line="360" w:lineRule="auto"/>
        <w:rPr>
          <w:sz w:val="24"/>
          <w:szCs w:val="24"/>
        </w:rPr>
      </w:pPr>
      <w:r w:rsidRPr="00484DAF">
        <w:rPr>
          <w:sz w:val="24"/>
          <w:szCs w:val="24"/>
        </w:rPr>
        <w:t xml:space="preserve"> </w:t>
      </w:r>
    </w:p>
    <w:p w:rsidR="00F4334C" w:rsidRPr="00484DAF" w:rsidRDefault="00F4334C" w:rsidP="00CC552D">
      <w:pPr>
        <w:pStyle w:val="Kop2"/>
        <w:spacing w:before="0" w:line="360" w:lineRule="auto"/>
        <w:rPr>
          <w:rFonts w:ascii="Times New Roman" w:hAnsi="Times New Roman"/>
          <w:color w:val="auto"/>
          <w:sz w:val="24"/>
          <w:szCs w:val="24"/>
        </w:rPr>
      </w:pPr>
      <w:bookmarkStart w:id="36" w:name="_Toc254043899"/>
      <w:r w:rsidRPr="00484DAF">
        <w:rPr>
          <w:rFonts w:ascii="Times New Roman" w:hAnsi="Times New Roman"/>
          <w:color w:val="auto"/>
          <w:sz w:val="24"/>
          <w:szCs w:val="24"/>
        </w:rPr>
        <w:t>2.1.2 Economisch eigendom</w:t>
      </w:r>
      <w:bookmarkEnd w:id="36"/>
    </w:p>
    <w:p w:rsidR="00355A32" w:rsidRPr="00484DAF" w:rsidRDefault="00C07903" w:rsidP="00CC552D">
      <w:pPr>
        <w:spacing w:after="0" w:line="360" w:lineRule="auto"/>
        <w:rPr>
          <w:sz w:val="24"/>
          <w:szCs w:val="24"/>
        </w:rPr>
      </w:pPr>
      <w:r w:rsidRPr="00484DAF">
        <w:rPr>
          <w:sz w:val="24"/>
          <w:szCs w:val="24"/>
        </w:rPr>
        <w:t>Naast de juridische verkrijging is de verkr</w:t>
      </w:r>
      <w:r w:rsidR="0035617F" w:rsidRPr="00484DAF">
        <w:rPr>
          <w:sz w:val="24"/>
          <w:szCs w:val="24"/>
        </w:rPr>
        <w:t>ijging van enkel het economisch</w:t>
      </w:r>
      <w:r w:rsidRPr="00484DAF">
        <w:rPr>
          <w:sz w:val="24"/>
          <w:szCs w:val="24"/>
        </w:rPr>
        <w:t xml:space="preserve"> eigendom van een onroerende zaak voldoende om in de heffing te worden betrokken, aldus artikel 2, lid 2 Wet BRV.</w:t>
      </w:r>
      <w:r w:rsidR="009F0D78" w:rsidRPr="00484DAF">
        <w:rPr>
          <w:rStyle w:val="Voetnootmarkering"/>
          <w:sz w:val="24"/>
          <w:szCs w:val="24"/>
        </w:rPr>
        <w:t xml:space="preserve"> </w:t>
      </w:r>
      <w:r w:rsidR="00161C47" w:rsidRPr="00484DAF">
        <w:rPr>
          <w:sz w:val="24"/>
          <w:szCs w:val="24"/>
        </w:rPr>
        <w:t xml:space="preserve">Dit lid verstaat onder economisch eigendom </w:t>
      </w:r>
      <w:r w:rsidR="00161C47" w:rsidRPr="00484DAF">
        <w:rPr>
          <w:i/>
          <w:sz w:val="24"/>
          <w:szCs w:val="24"/>
        </w:rPr>
        <w:t xml:space="preserve">‘een samenstel van rechten en </w:t>
      </w:r>
      <w:r w:rsidR="00161C47" w:rsidRPr="00484DAF">
        <w:rPr>
          <w:i/>
          <w:sz w:val="24"/>
          <w:szCs w:val="24"/>
        </w:rPr>
        <w:lastRenderedPageBreak/>
        <w:t xml:space="preserve">verplichtingen (…), dat een belang bij die </w:t>
      </w:r>
      <w:r w:rsidR="00161C47" w:rsidRPr="00484DAF">
        <w:rPr>
          <w:sz w:val="24"/>
          <w:szCs w:val="24"/>
        </w:rPr>
        <w:t>[onroerende, MGVV]</w:t>
      </w:r>
      <w:r w:rsidR="00161C47" w:rsidRPr="00484DAF">
        <w:rPr>
          <w:i/>
          <w:sz w:val="24"/>
          <w:szCs w:val="24"/>
        </w:rPr>
        <w:t xml:space="preserve"> zaken of rechten vertegenwoordigt. Het belang omvat ten minste enig risico van waardeverandering en komt toe aan een ander dan de eigenaar of beperkt gerechtigde.</w:t>
      </w:r>
      <w:r w:rsidR="00FC154D" w:rsidRPr="00484DAF">
        <w:rPr>
          <w:i/>
          <w:sz w:val="24"/>
          <w:szCs w:val="24"/>
        </w:rPr>
        <w:t xml:space="preserve"> De verkrijging van uitsluitend het recht op levering wordt niet aangemerkt als verkrijging van economisch eigendom.</w:t>
      </w:r>
      <w:r w:rsidR="00161C47" w:rsidRPr="00484DAF">
        <w:rPr>
          <w:i/>
          <w:sz w:val="24"/>
          <w:szCs w:val="24"/>
        </w:rPr>
        <w:t>’</w:t>
      </w:r>
      <w:r w:rsidR="00713A03" w:rsidRPr="00484DAF">
        <w:rPr>
          <w:i/>
          <w:sz w:val="24"/>
          <w:szCs w:val="24"/>
        </w:rPr>
        <w:t xml:space="preserve"> </w:t>
      </w:r>
      <w:r w:rsidR="00FC154D" w:rsidRPr="00484DAF">
        <w:rPr>
          <w:sz w:val="24"/>
          <w:szCs w:val="24"/>
        </w:rPr>
        <w:t xml:space="preserve">De omschrijving van economisch eigendom leidt tot veel verwarring. </w:t>
      </w:r>
      <w:r w:rsidR="00A66596" w:rsidRPr="00484DAF">
        <w:rPr>
          <w:sz w:val="24"/>
          <w:szCs w:val="24"/>
        </w:rPr>
        <w:t xml:space="preserve">De wetgever </w:t>
      </w:r>
      <w:r w:rsidR="005E1346" w:rsidRPr="00484DAF">
        <w:rPr>
          <w:sz w:val="24"/>
          <w:szCs w:val="24"/>
        </w:rPr>
        <w:t xml:space="preserve">heeft bijvoorbeeld aangegeven dat van verkrijging van economische eigendom al sprake is wanneer een gedeelte (lees: </w:t>
      </w:r>
      <w:r w:rsidR="001C1D5C" w:rsidRPr="00484DAF">
        <w:rPr>
          <w:sz w:val="24"/>
          <w:szCs w:val="24"/>
        </w:rPr>
        <w:t xml:space="preserve">een </w:t>
      </w:r>
      <w:r w:rsidR="007D69E2" w:rsidRPr="00484DAF">
        <w:rPr>
          <w:sz w:val="24"/>
          <w:szCs w:val="24"/>
        </w:rPr>
        <w:t xml:space="preserve">bepaald </w:t>
      </w:r>
      <w:r w:rsidR="005E1346" w:rsidRPr="00484DAF">
        <w:rPr>
          <w:sz w:val="24"/>
          <w:szCs w:val="24"/>
        </w:rPr>
        <w:t xml:space="preserve">percentage) </w:t>
      </w:r>
      <w:r w:rsidR="001C1D5C" w:rsidRPr="00484DAF">
        <w:rPr>
          <w:sz w:val="24"/>
          <w:szCs w:val="24"/>
        </w:rPr>
        <w:t xml:space="preserve">van het economisch eigendom </w:t>
      </w:r>
      <w:r w:rsidR="005E1346" w:rsidRPr="00484DAF">
        <w:rPr>
          <w:sz w:val="24"/>
          <w:szCs w:val="24"/>
        </w:rPr>
        <w:t xml:space="preserve">wordt verkregen alsook de verkrijging van een samenstel van rechten verplichtingen dat de volledige economische eigendom benadert. Met andere woorden: </w:t>
      </w:r>
      <w:r w:rsidR="005E1346" w:rsidRPr="00484DAF">
        <w:rPr>
          <w:i/>
          <w:sz w:val="24"/>
          <w:szCs w:val="24"/>
        </w:rPr>
        <w:t>‘er is economische eigendom of niet.’</w:t>
      </w:r>
      <w:r w:rsidR="005E1346" w:rsidRPr="00484DAF">
        <w:rPr>
          <w:rStyle w:val="Voetnootmarkering"/>
          <w:i/>
          <w:sz w:val="24"/>
          <w:szCs w:val="24"/>
        </w:rPr>
        <w:footnoteReference w:id="63"/>
      </w:r>
      <w:r w:rsidR="009E44CA" w:rsidRPr="00484DAF">
        <w:rPr>
          <w:sz w:val="24"/>
          <w:szCs w:val="24"/>
        </w:rPr>
        <w:t xml:space="preserve"> </w:t>
      </w:r>
    </w:p>
    <w:p w:rsidR="00355A32" w:rsidRPr="00484DAF" w:rsidRDefault="00C80703" w:rsidP="00CC552D">
      <w:pPr>
        <w:pStyle w:val="Kop3"/>
        <w:spacing w:line="360" w:lineRule="auto"/>
        <w:rPr>
          <w:rFonts w:ascii="Times New Roman" w:hAnsi="Times New Roman"/>
          <w:color w:val="auto"/>
          <w:sz w:val="24"/>
          <w:szCs w:val="24"/>
        </w:rPr>
      </w:pPr>
      <w:bookmarkStart w:id="37" w:name="_Toc254043900"/>
      <w:r w:rsidRPr="00484DAF">
        <w:rPr>
          <w:rFonts w:ascii="Times New Roman" w:hAnsi="Times New Roman"/>
          <w:color w:val="auto"/>
          <w:sz w:val="24"/>
          <w:szCs w:val="24"/>
        </w:rPr>
        <w:t>2.1.2.1 Ten minste enig risico van waardeverandering</w:t>
      </w:r>
      <w:bookmarkEnd w:id="37"/>
    </w:p>
    <w:p w:rsidR="000B4909" w:rsidRPr="00484DAF" w:rsidRDefault="000B4909" w:rsidP="00CC552D">
      <w:pPr>
        <w:spacing w:after="0" w:line="360" w:lineRule="auto"/>
        <w:rPr>
          <w:sz w:val="24"/>
          <w:szCs w:val="24"/>
        </w:rPr>
      </w:pPr>
      <w:r w:rsidRPr="00484DAF">
        <w:rPr>
          <w:i/>
          <w:sz w:val="24"/>
          <w:szCs w:val="24"/>
        </w:rPr>
        <w:t>Van Zadelhoff</w:t>
      </w:r>
      <w:r w:rsidRPr="00484DAF">
        <w:rPr>
          <w:rStyle w:val="Voetnootmarkering"/>
          <w:i/>
          <w:sz w:val="24"/>
          <w:szCs w:val="24"/>
        </w:rPr>
        <w:footnoteReference w:id="64"/>
      </w:r>
      <w:r w:rsidRPr="00484DAF">
        <w:rPr>
          <w:sz w:val="24"/>
          <w:szCs w:val="24"/>
        </w:rPr>
        <w:t xml:space="preserve"> geeft met een voorbeeld </w:t>
      </w:r>
      <w:r w:rsidR="00713A03" w:rsidRPr="00484DAF">
        <w:rPr>
          <w:sz w:val="24"/>
          <w:szCs w:val="24"/>
        </w:rPr>
        <w:t xml:space="preserve">aan </w:t>
      </w:r>
      <w:r w:rsidRPr="00484DAF">
        <w:rPr>
          <w:sz w:val="24"/>
          <w:szCs w:val="24"/>
        </w:rPr>
        <w:t>hoe in essentie met artikel 2, lid 2 BRV dient te worden omgegaan. Een landbouwer die landbouwgrond aan een projectontwikkelaar verkoopt, ontvangt daarvoor een substantieel voorschot, maar mag wel de grond tot nader orde blijven bewerken. Voor de overdrachtsbelasting wordt hier mogelijk een ‘econoom’ overgedragen. Immers, er is sprake van een samenstel van rechten en plichten welke een belang vormen. Daarnaast draagt iemand anders dan de landbouwer het risico over waardeverandering van de grond, namelijk de projectontwikkelaar die daardoor over de verkrijging van het economische eigendom overdrachtsbelasting is verschuldigd.</w:t>
      </w:r>
      <w:r w:rsidRPr="00484DAF">
        <w:rPr>
          <w:rStyle w:val="Voetnootmarkering"/>
          <w:sz w:val="24"/>
          <w:szCs w:val="24"/>
        </w:rPr>
        <w:footnoteReference w:id="65"/>
      </w:r>
      <w:r w:rsidRPr="00484DAF">
        <w:rPr>
          <w:sz w:val="24"/>
          <w:szCs w:val="24"/>
        </w:rPr>
        <w:t xml:space="preserve"> </w:t>
      </w:r>
      <w:r w:rsidRPr="00484DAF">
        <w:rPr>
          <w:i/>
          <w:sz w:val="24"/>
          <w:szCs w:val="24"/>
        </w:rPr>
        <w:t>Hofman</w:t>
      </w:r>
      <w:r w:rsidRPr="00484DAF">
        <w:rPr>
          <w:rStyle w:val="Voetnootmarkering"/>
          <w:i/>
          <w:sz w:val="24"/>
          <w:szCs w:val="24"/>
        </w:rPr>
        <w:footnoteReference w:id="66"/>
      </w:r>
      <w:r w:rsidRPr="00484DAF">
        <w:rPr>
          <w:i/>
          <w:sz w:val="24"/>
          <w:szCs w:val="24"/>
        </w:rPr>
        <w:t xml:space="preserve"> </w:t>
      </w:r>
      <w:r w:rsidRPr="00484DAF">
        <w:rPr>
          <w:sz w:val="24"/>
          <w:szCs w:val="24"/>
        </w:rPr>
        <w:t>leest aan de wettelijke omschrijving van economisch eigendom af dat de wetgever met de zinsnede ‘ten minste enig risico van waardeverandering’</w:t>
      </w:r>
      <w:r w:rsidRPr="00484DAF">
        <w:rPr>
          <w:i/>
          <w:sz w:val="24"/>
          <w:szCs w:val="24"/>
        </w:rPr>
        <w:t xml:space="preserve"> </w:t>
      </w:r>
      <w:r w:rsidRPr="00484DAF">
        <w:rPr>
          <w:sz w:val="24"/>
          <w:szCs w:val="24"/>
        </w:rPr>
        <w:t>een ondergrens heeft willen stellen welke het onderscheid maakt tussen alle denkbare vormen van economische eigendom die wel onder de definitie vallen en de overeenkomsten met betrekking tot onroerende zaken die er niet onder vallen.</w:t>
      </w:r>
      <w:r w:rsidRPr="00484DAF">
        <w:rPr>
          <w:rStyle w:val="Voetnootmarkering"/>
          <w:sz w:val="24"/>
          <w:szCs w:val="24"/>
        </w:rPr>
        <w:footnoteReference w:id="67"/>
      </w:r>
      <w:r w:rsidRPr="00484DAF">
        <w:rPr>
          <w:sz w:val="24"/>
          <w:szCs w:val="24"/>
        </w:rPr>
        <w:t xml:space="preserve"> Na deze toets dient volgens hem te worden onderzocht of sprake is van een (bij benadering) volledig economisch eigendom.</w:t>
      </w:r>
    </w:p>
    <w:p w:rsidR="00C66D1B" w:rsidRPr="00484DAF" w:rsidRDefault="00C66D1B" w:rsidP="00CC552D">
      <w:pPr>
        <w:pStyle w:val="Kop3"/>
        <w:spacing w:line="360" w:lineRule="auto"/>
        <w:rPr>
          <w:rFonts w:ascii="Times New Roman" w:hAnsi="Times New Roman"/>
          <w:color w:val="auto"/>
          <w:sz w:val="24"/>
          <w:szCs w:val="24"/>
        </w:rPr>
      </w:pPr>
      <w:bookmarkStart w:id="38" w:name="_Toc254043901"/>
      <w:r w:rsidRPr="00484DAF">
        <w:rPr>
          <w:rFonts w:ascii="Times New Roman" w:hAnsi="Times New Roman"/>
          <w:color w:val="auto"/>
          <w:sz w:val="24"/>
          <w:szCs w:val="24"/>
        </w:rPr>
        <w:lastRenderedPageBreak/>
        <w:t>2.1.2.2 Aanwezigheid van ‘belang’</w:t>
      </w:r>
      <w:bookmarkEnd w:id="38"/>
    </w:p>
    <w:p w:rsidR="00E816EF" w:rsidRPr="00484DAF" w:rsidRDefault="000B4909" w:rsidP="00CC552D">
      <w:pPr>
        <w:spacing w:after="0" w:line="360" w:lineRule="auto"/>
        <w:rPr>
          <w:sz w:val="24"/>
          <w:szCs w:val="24"/>
        </w:rPr>
      </w:pPr>
      <w:r w:rsidRPr="00484DAF">
        <w:rPr>
          <w:i/>
          <w:sz w:val="24"/>
          <w:szCs w:val="24"/>
        </w:rPr>
        <w:t>Ambergen</w:t>
      </w:r>
      <w:r w:rsidRPr="00484DAF">
        <w:rPr>
          <w:rStyle w:val="Voetnootmarkering"/>
          <w:i/>
          <w:sz w:val="24"/>
          <w:szCs w:val="24"/>
        </w:rPr>
        <w:footnoteReference w:id="68"/>
      </w:r>
      <w:r w:rsidRPr="00484DAF">
        <w:rPr>
          <w:sz w:val="24"/>
          <w:szCs w:val="24"/>
        </w:rPr>
        <w:t xml:space="preserve"> meent in het woord ‘belang’ het sleutelwoord van de definitie van economisch eigendom te herkennen. Volgens hem dient de verkrijgende partij een economisch belang te verkrijgen, omdat meer dient over te gaan dan enkel een prijsrisico. Daarvoor introduceert hij een nieuw begrip, namelijk ‘economisch genot’ waarmee hij de zinsnede ‘ten minste enig risico van waardeverandering’ (dis)kwalificeert als een essentiële randvoorwaarde om van een ‘belang’ te kunnen spreken. </w:t>
      </w:r>
      <w:r w:rsidR="00E816EF" w:rsidRPr="00484DAF">
        <w:rPr>
          <w:sz w:val="24"/>
          <w:szCs w:val="24"/>
        </w:rPr>
        <w:t>De Hoge Raad lijkt bij de vraag of economisch eigendom is overgedragen ook te kijken naar de vraag of een belang is overgegaan. Onlangs lag voor de Hoge Raad de volgende casus voor. Twee partijen hadden op 15 juli 2003 twee overeenkomsten gesloten aangaande de verkoop van onroerend goed (bestaande uit een café, een woonhuis en andere opstallen) en een overeenkomst betreffende sloopwerkzaamheden. Het eerste contract (hierna: de verkoopovereenkomst) vermeldde onder andere dat het perceel als bouwterrein diende te worden geleverd (met andere woorden: dat de opstallen voor levering zouden worden gesloopt)</w:t>
      </w:r>
      <w:r w:rsidR="00C06AB0" w:rsidRPr="00484DAF">
        <w:rPr>
          <w:rStyle w:val="Voetnootmarkering"/>
          <w:sz w:val="24"/>
          <w:szCs w:val="24"/>
        </w:rPr>
        <w:t xml:space="preserve"> </w:t>
      </w:r>
      <w:r w:rsidR="00C06AB0" w:rsidRPr="00484DAF">
        <w:rPr>
          <w:rStyle w:val="Voetnootmarkering"/>
          <w:sz w:val="24"/>
          <w:szCs w:val="24"/>
        </w:rPr>
        <w:footnoteReference w:id="69"/>
      </w:r>
      <w:r w:rsidR="00E816EF" w:rsidRPr="00484DAF">
        <w:rPr>
          <w:sz w:val="24"/>
          <w:szCs w:val="24"/>
        </w:rPr>
        <w:t xml:space="preserve">. Indien de gemeente de sloopvergunning zou weigeren, zou het perceel niet gesloopt van eigenaar veranderen. Tot het eind van 2003 mocht verkoper zijn café exploiteren. Voorts is overeengekomen dat verkoper een vergoeding zou ontvangen voor vervangende woonruimte tot het moment van overdracht, welke vergoeding bovenop de reeds afgesproken koopprijs komt. Daarnaast was in de overeenkomst ook bepaald dat </w:t>
      </w:r>
      <w:r w:rsidR="00E816EF" w:rsidRPr="00484DAF">
        <w:rPr>
          <w:rFonts w:eastAsia="Times New Roman"/>
          <w:sz w:val="24"/>
          <w:szCs w:val="24"/>
          <w:lang w:eastAsia="nl-NL"/>
        </w:rPr>
        <w:t xml:space="preserve">het risico van bodemverontreiniging en overheidsaanschrijvingen </w:t>
      </w:r>
      <w:r w:rsidR="00E816EF" w:rsidRPr="00484DAF">
        <w:rPr>
          <w:sz w:val="24"/>
          <w:szCs w:val="24"/>
        </w:rPr>
        <w:t xml:space="preserve">vanaf 15 juli 2003 voor rekening van koper komen. </w:t>
      </w:r>
    </w:p>
    <w:p w:rsidR="00E816EF" w:rsidRPr="00484DAF" w:rsidRDefault="00E816EF" w:rsidP="00CC552D">
      <w:pPr>
        <w:pStyle w:val="Geenafstand"/>
        <w:spacing w:line="360" w:lineRule="auto"/>
        <w:rPr>
          <w:sz w:val="24"/>
          <w:szCs w:val="24"/>
        </w:rPr>
      </w:pPr>
    </w:p>
    <w:p w:rsidR="00E816EF" w:rsidRPr="00484DAF" w:rsidRDefault="00E816EF" w:rsidP="00CC552D">
      <w:pPr>
        <w:spacing w:after="0" w:line="360" w:lineRule="auto"/>
        <w:rPr>
          <w:sz w:val="24"/>
          <w:szCs w:val="24"/>
        </w:rPr>
      </w:pPr>
      <w:r w:rsidRPr="00484DAF">
        <w:rPr>
          <w:sz w:val="24"/>
          <w:szCs w:val="24"/>
        </w:rPr>
        <w:t xml:space="preserve">Het contract betreffende de sloopwerkzaamheden (hierna: de sloopovereenkomst) betrof onder andere: </w:t>
      </w:r>
      <w:r w:rsidRPr="00484DAF">
        <w:rPr>
          <w:i/>
          <w:sz w:val="24"/>
          <w:szCs w:val="24"/>
        </w:rPr>
        <w:t>‘De feitelijke levering (aflevering) van het verkochte aan koper zal geschieden in zodanige staat, dat de op het perceel aanwezige opstallen in opdracht van verkoper en voor rekening van verkoper zullen zijn gesloopt. De kosten van het slopen van de opstallen worden door koper aan de verkoper vergoed. Alle aansprakelijkheden, ongeacht van welke aard of omvang voortvloeiend uit dan wel verband houdend met de uit te voeren sloopwerkzaamheden komen voor rekening en risico van koper.’</w:t>
      </w:r>
      <w:r w:rsidRPr="00484DAF">
        <w:rPr>
          <w:rStyle w:val="Voetnootmarkering"/>
          <w:i/>
          <w:sz w:val="24"/>
          <w:szCs w:val="24"/>
        </w:rPr>
        <w:footnoteReference w:id="70"/>
      </w:r>
      <w:r w:rsidRPr="00484DAF">
        <w:rPr>
          <w:sz w:val="24"/>
          <w:szCs w:val="24"/>
        </w:rPr>
        <w:t xml:space="preserve"> De levering van onroerend goed vond binnen de door het verkoopcontract gestelde termijn plaats op 29 april 2004. Daarvoor was reeds de sloopvergunning afgegeven en was de sloop van alle opstallen </w:t>
      </w:r>
      <w:r w:rsidRPr="00484DAF">
        <w:rPr>
          <w:sz w:val="24"/>
          <w:szCs w:val="24"/>
        </w:rPr>
        <w:lastRenderedPageBreak/>
        <w:t xml:space="preserve">gerealiseerd. In de leveringsakte is opgenomen dat levering van een bouwterrein in de zin van artikel 11, lid 1, onderdeel a, ten eerste Wet OB 1968 heeft plaatsgevonden en tegelijk een beroep is gedaan op de samenloopvrijstelling van artikel 15, lid 1, onderdeel a Wet BRV. </w:t>
      </w:r>
    </w:p>
    <w:p w:rsidR="00E816EF" w:rsidRPr="00484DAF" w:rsidRDefault="00E816EF" w:rsidP="00CC552D">
      <w:pPr>
        <w:spacing w:after="0" w:line="360" w:lineRule="auto"/>
        <w:rPr>
          <w:sz w:val="24"/>
          <w:szCs w:val="24"/>
        </w:rPr>
      </w:pPr>
      <w:r w:rsidRPr="00484DAF">
        <w:rPr>
          <w:sz w:val="24"/>
          <w:szCs w:val="24"/>
        </w:rPr>
        <w:t>De inspecteur meende dat ten tijde van de koopovereenkomst op 15 juli 2003 het economisch eigendom over het onroerend goed door de kopende partij is verkregen en legt een naheffingsaanslag overdrachtsbelasting op.</w:t>
      </w:r>
    </w:p>
    <w:p w:rsidR="00C66D1B" w:rsidRPr="00484DAF" w:rsidRDefault="00C66D1B" w:rsidP="00CC552D">
      <w:pPr>
        <w:pStyle w:val="Geenafstand"/>
        <w:spacing w:line="360" w:lineRule="auto"/>
        <w:rPr>
          <w:sz w:val="24"/>
          <w:szCs w:val="24"/>
        </w:rPr>
      </w:pPr>
    </w:p>
    <w:p w:rsidR="003D040C" w:rsidRPr="00484DAF" w:rsidRDefault="00F35200" w:rsidP="00CC552D">
      <w:pPr>
        <w:pStyle w:val="Geenafstand"/>
        <w:spacing w:line="360" w:lineRule="auto"/>
        <w:rPr>
          <w:sz w:val="24"/>
          <w:szCs w:val="24"/>
        </w:rPr>
      </w:pPr>
      <w:r w:rsidRPr="00484DAF">
        <w:rPr>
          <w:sz w:val="24"/>
          <w:szCs w:val="24"/>
        </w:rPr>
        <w:t>De Hoge Raad constateert allereerst terecht dat de stelling van Hof Den Bosch dat de koop- en sloopovereenkomst ‘in onderlinge samenhang beschouwd, tussen partijen in werkelijkheid slechts tot levering van de grond’</w:t>
      </w:r>
      <w:r w:rsidR="00274F13" w:rsidRPr="00484DAF">
        <w:rPr>
          <w:sz w:val="24"/>
          <w:szCs w:val="24"/>
        </w:rPr>
        <w:t xml:space="preserve"> </w:t>
      </w:r>
      <w:r w:rsidRPr="00484DAF">
        <w:rPr>
          <w:sz w:val="24"/>
          <w:szCs w:val="24"/>
        </w:rPr>
        <w:t>strekken onjuist is.</w:t>
      </w:r>
      <w:r w:rsidRPr="00484DAF">
        <w:rPr>
          <w:rStyle w:val="Voetnootmarkering"/>
          <w:sz w:val="24"/>
          <w:szCs w:val="24"/>
        </w:rPr>
        <w:footnoteReference w:id="71"/>
      </w:r>
      <w:r w:rsidRPr="00484DAF">
        <w:rPr>
          <w:sz w:val="24"/>
          <w:szCs w:val="24"/>
        </w:rPr>
        <w:t xml:space="preserve"> </w:t>
      </w:r>
      <w:r w:rsidR="00C66D1B" w:rsidRPr="00484DAF">
        <w:rPr>
          <w:sz w:val="24"/>
          <w:szCs w:val="24"/>
        </w:rPr>
        <w:t xml:space="preserve">De bepalingen van de overeenkomst </w:t>
      </w:r>
      <w:r w:rsidRPr="00484DAF">
        <w:rPr>
          <w:sz w:val="24"/>
          <w:szCs w:val="24"/>
        </w:rPr>
        <w:t>dienen namelijk zo te worden gelezen dat sprake is (al dan niet</w:t>
      </w:r>
      <w:r w:rsidR="00C66D1B" w:rsidRPr="00484DAF">
        <w:rPr>
          <w:sz w:val="24"/>
          <w:szCs w:val="24"/>
        </w:rPr>
        <w:t xml:space="preserve"> voorwaardelijk</w:t>
      </w:r>
      <w:r w:rsidRPr="00484DAF">
        <w:rPr>
          <w:sz w:val="24"/>
          <w:szCs w:val="24"/>
        </w:rPr>
        <w:t xml:space="preserve">e) </w:t>
      </w:r>
      <w:r w:rsidR="00C66D1B" w:rsidRPr="00484DAF">
        <w:rPr>
          <w:sz w:val="24"/>
          <w:szCs w:val="24"/>
        </w:rPr>
        <w:t>levering van het perceel in bebouwde staat.</w:t>
      </w:r>
      <w:r w:rsidRPr="00484DAF">
        <w:rPr>
          <w:sz w:val="24"/>
          <w:szCs w:val="24"/>
        </w:rPr>
        <w:t xml:space="preserve"> </w:t>
      </w:r>
      <w:r w:rsidR="00D077E8" w:rsidRPr="00484DAF">
        <w:rPr>
          <w:sz w:val="24"/>
          <w:szCs w:val="24"/>
        </w:rPr>
        <w:t>Daaraan doet niet af dat ten tijde van het sluiten van de overeenkomsten onzekerheid bestond omtrent de afgifte van de sloopvergunning. Doel van de overeenkomsten was namelijk de verkrijging van een onroerende zaak in Nederland.</w:t>
      </w:r>
      <w:r w:rsidR="003D040C" w:rsidRPr="00484DAF">
        <w:rPr>
          <w:sz w:val="24"/>
          <w:szCs w:val="24"/>
        </w:rPr>
        <w:t xml:space="preserve"> </w:t>
      </w:r>
    </w:p>
    <w:p w:rsidR="003D040C" w:rsidRPr="00484DAF" w:rsidRDefault="003D040C" w:rsidP="00CC552D">
      <w:pPr>
        <w:pStyle w:val="Geenafstand"/>
        <w:spacing w:line="360" w:lineRule="auto"/>
        <w:rPr>
          <w:sz w:val="24"/>
          <w:szCs w:val="24"/>
        </w:rPr>
      </w:pPr>
    </w:p>
    <w:p w:rsidR="00C66D1B" w:rsidRPr="00484DAF" w:rsidRDefault="003D040C" w:rsidP="00CC552D">
      <w:pPr>
        <w:pStyle w:val="Geenafstand"/>
        <w:spacing w:line="360" w:lineRule="auto"/>
        <w:rPr>
          <w:sz w:val="24"/>
          <w:szCs w:val="24"/>
        </w:rPr>
      </w:pPr>
      <w:r w:rsidRPr="00484DAF">
        <w:rPr>
          <w:sz w:val="24"/>
          <w:szCs w:val="24"/>
        </w:rPr>
        <w:t xml:space="preserve">De laatste rechtsoverweging </w:t>
      </w:r>
      <w:r w:rsidR="00C06AB0" w:rsidRPr="00484DAF">
        <w:rPr>
          <w:sz w:val="24"/>
          <w:szCs w:val="24"/>
        </w:rPr>
        <w:t xml:space="preserve">van de Hoge Raad </w:t>
      </w:r>
      <w:r w:rsidRPr="00484DAF">
        <w:rPr>
          <w:sz w:val="24"/>
          <w:szCs w:val="24"/>
        </w:rPr>
        <w:t xml:space="preserve">betreft een summier betoog waarom </w:t>
      </w:r>
      <w:r w:rsidR="00C06AB0" w:rsidRPr="00484DAF">
        <w:rPr>
          <w:sz w:val="24"/>
          <w:szCs w:val="24"/>
        </w:rPr>
        <w:t xml:space="preserve">hij </w:t>
      </w:r>
      <w:r w:rsidRPr="00484DAF">
        <w:rPr>
          <w:sz w:val="24"/>
          <w:szCs w:val="24"/>
        </w:rPr>
        <w:t xml:space="preserve">vindt dat geen sprake is van verkrijging van economisch eigendom. Door </w:t>
      </w:r>
      <w:r w:rsidR="00081692" w:rsidRPr="00484DAF">
        <w:rPr>
          <w:sz w:val="24"/>
          <w:szCs w:val="24"/>
        </w:rPr>
        <w:t>(samenhang van)</w:t>
      </w:r>
      <w:r w:rsidR="00C06AB0" w:rsidRPr="00484DAF">
        <w:rPr>
          <w:sz w:val="24"/>
          <w:szCs w:val="24"/>
        </w:rPr>
        <w:t xml:space="preserve"> de</w:t>
      </w:r>
      <w:r w:rsidR="00081692" w:rsidRPr="00484DAF">
        <w:rPr>
          <w:sz w:val="24"/>
          <w:szCs w:val="24"/>
        </w:rPr>
        <w:t xml:space="preserve"> </w:t>
      </w:r>
      <w:r w:rsidR="00C66D1B" w:rsidRPr="00484DAF">
        <w:rPr>
          <w:sz w:val="24"/>
          <w:szCs w:val="24"/>
        </w:rPr>
        <w:t xml:space="preserve">gedeeltelijke betaling van de koopprijs, de overgang </w:t>
      </w:r>
      <w:r w:rsidRPr="00484DAF">
        <w:rPr>
          <w:sz w:val="24"/>
          <w:szCs w:val="24"/>
        </w:rPr>
        <w:t xml:space="preserve">van gedeeltelijke </w:t>
      </w:r>
      <w:r w:rsidR="00C06AB0" w:rsidRPr="00484DAF">
        <w:rPr>
          <w:sz w:val="24"/>
          <w:szCs w:val="24"/>
        </w:rPr>
        <w:t>eigenaarlasten</w:t>
      </w:r>
      <w:r w:rsidRPr="00484DAF">
        <w:rPr>
          <w:sz w:val="24"/>
          <w:szCs w:val="24"/>
        </w:rPr>
        <w:t xml:space="preserve"> </w:t>
      </w:r>
      <w:r w:rsidR="00C66D1B" w:rsidRPr="00484DAF">
        <w:rPr>
          <w:sz w:val="24"/>
          <w:szCs w:val="24"/>
        </w:rPr>
        <w:t>per 15</w:t>
      </w:r>
      <w:r w:rsidR="00C06AB0" w:rsidRPr="00484DAF">
        <w:rPr>
          <w:sz w:val="24"/>
          <w:szCs w:val="24"/>
        </w:rPr>
        <w:t> </w:t>
      </w:r>
      <w:r w:rsidR="00C66D1B" w:rsidRPr="00484DAF">
        <w:rPr>
          <w:sz w:val="24"/>
          <w:szCs w:val="24"/>
        </w:rPr>
        <w:t xml:space="preserve">juli 2003 en de maandelijkse vergoeding die </w:t>
      </w:r>
      <w:r w:rsidRPr="00484DAF">
        <w:rPr>
          <w:sz w:val="24"/>
          <w:szCs w:val="24"/>
        </w:rPr>
        <w:t xml:space="preserve">verkoper ontvangt voor </w:t>
      </w:r>
      <w:r w:rsidR="00C66D1B" w:rsidRPr="00484DAF">
        <w:rPr>
          <w:sz w:val="24"/>
          <w:szCs w:val="24"/>
        </w:rPr>
        <w:t>vervangende huisvesting</w:t>
      </w:r>
      <w:r w:rsidR="00274F13" w:rsidRPr="00484DAF">
        <w:rPr>
          <w:sz w:val="24"/>
          <w:szCs w:val="24"/>
        </w:rPr>
        <w:t xml:space="preserve"> </w:t>
      </w:r>
      <w:r w:rsidR="00081692" w:rsidRPr="00484DAF">
        <w:rPr>
          <w:sz w:val="24"/>
          <w:szCs w:val="24"/>
        </w:rPr>
        <w:t xml:space="preserve">is </w:t>
      </w:r>
      <w:r w:rsidR="00C66D1B" w:rsidRPr="00484DAF">
        <w:rPr>
          <w:i/>
          <w:sz w:val="24"/>
          <w:szCs w:val="24"/>
        </w:rPr>
        <w:t>(nog)</w:t>
      </w:r>
      <w:r w:rsidR="00C66D1B" w:rsidRPr="00484DAF">
        <w:rPr>
          <w:sz w:val="24"/>
          <w:szCs w:val="24"/>
        </w:rPr>
        <w:t xml:space="preserve"> geen belang bij de </w:t>
      </w:r>
      <w:r w:rsidR="00081692" w:rsidRPr="00484DAF">
        <w:rPr>
          <w:sz w:val="24"/>
          <w:szCs w:val="24"/>
        </w:rPr>
        <w:t xml:space="preserve">onroerende </w:t>
      </w:r>
      <w:r w:rsidR="00C66D1B" w:rsidRPr="00484DAF">
        <w:rPr>
          <w:sz w:val="24"/>
          <w:szCs w:val="24"/>
        </w:rPr>
        <w:t xml:space="preserve">zaak </w:t>
      </w:r>
      <w:r w:rsidR="00081692" w:rsidRPr="00484DAF">
        <w:rPr>
          <w:sz w:val="24"/>
          <w:szCs w:val="24"/>
        </w:rPr>
        <w:t>overgegaan.</w:t>
      </w:r>
      <w:r w:rsidR="00014E0B" w:rsidRPr="00484DAF">
        <w:rPr>
          <w:sz w:val="24"/>
          <w:szCs w:val="24"/>
        </w:rPr>
        <w:t xml:space="preserve"> De afspraken met betrekking tot sloopwerkzaamheden acht de Hoge Raad niet van doorslaggevende betekenis om een belang over te laten gaan, omdat de </w:t>
      </w:r>
      <w:r w:rsidR="000935E7" w:rsidRPr="00484DAF">
        <w:rPr>
          <w:sz w:val="24"/>
          <w:szCs w:val="24"/>
        </w:rPr>
        <w:t>Wet BRV</w:t>
      </w:r>
      <w:r w:rsidR="00014E0B" w:rsidRPr="00484DAF">
        <w:rPr>
          <w:sz w:val="24"/>
          <w:szCs w:val="24"/>
        </w:rPr>
        <w:t xml:space="preserve"> overgang van economisch eigendom als belastbaar feit aanmerkt en </w:t>
      </w:r>
      <w:r w:rsidR="00014E0B" w:rsidRPr="00484DAF">
        <w:rPr>
          <w:i/>
          <w:sz w:val="24"/>
          <w:szCs w:val="24"/>
        </w:rPr>
        <w:t>‘</w:t>
      </w:r>
      <w:r w:rsidR="00C66D1B" w:rsidRPr="00484DAF">
        <w:rPr>
          <w:i/>
          <w:sz w:val="24"/>
          <w:szCs w:val="24"/>
        </w:rPr>
        <w:t>niet reeds de o</w:t>
      </w:r>
      <w:r w:rsidR="00D12918">
        <w:rPr>
          <w:i/>
          <w:sz w:val="24"/>
          <w:szCs w:val="24"/>
        </w:rPr>
        <w:t>vereenkomst die een recht op zo’</w:t>
      </w:r>
      <w:r w:rsidR="00C66D1B" w:rsidRPr="00484DAF">
        <w:rPr>
          <w:i/>
          <w:sz w:val="24"/>
          <w:szCs w:val="24"/>
        </w:rPr>
        <w:t>n verkrijging schept.</w:t>
      </w:r>
      <w:r w:rsidR="00014E0B" w:rsidRPr="00484DAF">
        <w:rPr>
          <w:i/>
          <w:sz w:val="24"/>
          <w:szCs w:val="24"/>
        </w:rPr>
        <w:t>’</w:t>
      </w:r>
      <w:r w:rsidR="00014E0B" w:rsidRPr="00484DAF">
        <w:rPr>
          <w:rStyle w:val="Voetnootmarkering"/>
          <w:i/>
          <w:sz w:val="24"/>
          <w:szCs w:val="24"/>
        </w:rPr>
        <w:footnoteReference w:id="72"/>
      </w:r>
      <w:r w:rsidR="009702AF" w:rsidRPr="00484DAF">
        <w:rPr>
          <w:sz w:val="24"/>
          <w:szCs w:val="24"/>
        </w:rPr>
        <w:t xml:space="preserve"> Aangezien het geschil zich enkel beperkt tot de eventuele overgang op 15 juli 2003 naar aanleiding van de sloopafspraken, vindt de Hoge Raad </w:t>
      </w:r>
      <w:r w:rsidR="000935E7" w:rsidRPr="00484DAF">
        <w:rPr>
          <w:sz w:val="24"/>
          <w:szCs w:val="24"/>
        </w:rPr>
        <w:t xml:space="preserve">dat </w:t>
      </w:r>
      <w:r w:rsidR="009702AF" w:rsidRPr="00484DAF">
        <w:rPr>
          <w:sz w:val="24"/>
          <w:szCs w:val="24"/>
        </w:rPr>
        <w:t xml:space="preserve">hier </w:t>
      </w:r>
      <w:r w:rsidR="000935E7" w:rsidRPr="00484DAF">
        <w:rPr>
          <w:sz w:val="24"/>
          <w:szCs w:val="24"/>
        </w:rPr>
        <w:t xml:space="preserve">geen </w:t>
      </w:r>
      <w:r w:rsidR="009702AF" w:rsidRPr="00484DAF">
        <w:rPr>
          <w:sz w:val="24"/>
          <w:szCs w:val="24"/>
        </w:rPr>
        <w:t>economisch eigendom is verkregen. Voorts geeft de Hoge Raad aan dat indien door sloopafspraken sprake zou zijn van verkrijging economisch eigendom, deze verkrijging niet eerder zou plaatsvinden dan het moment van afgifte van de sloopvergunning</w:t>
      </w:r>
      <w:r w:rsidR="000B4909" w:rsidRPr="00484DAF">
        <w:rPr>
          <w:sz w:val="24"/>
          <w:szCs w:val="24"/>
        </w:rPr>
        <w:t>. Hoewel hij niet stellig is, geeft de Hoge Raad hierme</w:t>
      </w:r>
      <w:r w:rsidR="000935E7" w:rsidRPr="00484DAF">
        <w:rPr>
          <w:sz w:val="24"/>
          <w:szCs w:val="24"/>
        </w:rPr>
        <w:t xml:space="preserve">e wel de hint, </w:t>
      </w:r>
      <w:r w:rsidR="000B4909" w:rsidRPr="00484DAF">
        <w:rPr>
          <w:sz w:val="24"/>
          <w:szCs w:val="24"/>
        </w:rPr>
        <w:t>dat wanneer overgang van economisch eigendom ten tijde van sloop ter discussie staat, het kwartje mogelijk de andere kant op valt en wel sprake is van een dergelijke verkrijging.</w:t>
      </w:r>
    </w:p>
    <w:p w:rsidR="000B4909" w:rsidRPr="00484DAF" w:rsidRDefault="000B4909" w:rsidP="00CC552D">
      <w:pPr>
        <w:pStyle w:val="Kop2"/>
        <w:spacing w:before="0" w:line="360" w:lineRule="auto"/>
        <w:rPr>
          <w:rFonts w:ascii="Times New Roman" w:hAnsi="Times New Roman"/>
          <w:color w:val="auto"/>
          <w:sz w:val="24"/>
          <w:szCs w:val="24"/>
        </w:rPr>
      </w:pPr>
      <w:bookmarkStart w:id="39" w:name="_Toc234584034"/>
    </w:p>
    <w:p w:rsidR="00C07903" w:rsidRPr="00484DAF" w:rsidRDefault="00C07903" w:rsidP="00CC552D">
      <w:pPr>
        <w:pStyle w:val="Kop2"/>
        <w:spacing w:before="0" w:line="360" w:lineRule="auto"/>
        <w:rPr>
          <w:rFonts w:ascii="Times New Roman" w:hAnsi="Times New Roman"/>
          <w:color w:val="auto"/>
          <w:sz w:val="24"/>
          <w:szCs w:val="24"/>
        </w:rPr>
      </w:pPr>
      <w:bookmarkStart w:id="40" w:name="_Toc254043902"/>
      <w:r w:rsidRPr="00484DAF">
        <w:rPr>
          <w:rFonts w:ascii="Times New Roman" w:hAnsi="Times New Roman"/>
          <w:color w:val="auto"/>
          <w:sz w:val="24"/>
          <w:szCs w:val="24"/>
        </w:rPr>
        <w:t>2.1.</w:t>
      </w:r>
      <w:r w:rsidR="00F4334C" w:rsidRPr="00484DAF">
        <w:rPr>
          <w:rFonts w:ascii="Times New Roman" w:hAnsi="Times New Roman"/>
          <w:color w:val="auto"/>
          <w:sz w:val="24"/>
          <w:szCs w:val="24"/>
        </w:rPr>
        <w:t>3</w:t>
      </w:r>
      <w:r w:rsidRPr="00484DAF">
        <w:rPr>
          <w:rFonts w:ascii="Times New Roman" w:hAnsi="Times New Roman"/>
          <w:color w:val="auto"/>
          <w:sz w:val="24"/>
          <w:szCs w:val="24"/>
        </w:rPr>
        <w:t xml:space="preserve"> Onroerende zaak</w:t>
      </w:r>
      <w:bookmarkEnd w:id="39"/>
      <w:bookmarkEnd w:id="40"/>
    </w:p>
    <w:p w:rsidR="00557A1F" w:rsidRPr="00484DAF" w:rsidRDefault="00C07903" w:rsidP="00CC552D">
      <w:pPr>
        <w:pStyle w:val="Geenafstand"/>
        <w:spacing w:line="360" w:lineRule="auto"/>
        <w:rPr>
          <w:i/>
          <w:sz w:val="24"/>
          <w:szCs w:val="24"/>
        </w:rPr>
      </w:pPr>
      <w:r w:rsidRPr="00484DAF">
        <w:rPr>
          <w:sz w:val="24"/>
          <w:szCs w:val="24"/>
        </w:rPr>
        <w:t>Evenals de omzetbelasting kent de Wet BRV geen definitie van het begrip ‘onroerende zaak.’ Dit terwijl juist de verkrijging van onroerende zaken belast wordt door middel van overdrachtsbelasting. In het vorige ho</w:t>
      </w:r>
      <w:r w:rsidR="000935E7" w:rsidRPr="00484DAF">
        <w:rPr>
          <w:sz w:val="24"/>
          <w:szCs w:val="24"/>
        </w:rPr>
        <w:t xml:space="preserve">ofdstuk is reeds aangegeven, dat voor invulling van het begrip </w:t>
      </w:r>
      <w:r w:rsidRPr="00484DAF">
        <w:rPr>
          <w:sz w:val="24"/>
          <w:szCs w:val="24"/>
        </w:rPr>
        <w:t>de Hoge Raad aansluiting zoekt bij artikel 3:3, lid 1 BW. Aangezien de overdrachtsbelasting geen Europese dimensie kent</w:t>
      </w:r>
      <w:r w:rsidR="00056CEE" w:rsidRPr="00484DAF">
        <w:rPr>
          <w:rStyle w:val="Voetnootmarkering"/>
          <w:sz w:val="24"/>
          <w:szCs w:val="24"/>
        </w:rPr>
        <w:footnoteReference w:id="73"/>
      </w:r>
      <w:r w:rsidRPr="00484DAF">
        <w:rPr>
          <w:sz w:val="24"/>
          <w:szCs w:val="24"/>
        </w:rPr>
        <w:t>, heeft het eerder behandelde arrest</w:t>
      </w:r>
      <w:r w:rsidRPr="00484DAF">
        <w:rPr>
          <w:i/>
          <w:sz w:val="24"/>
          <w:szCs w:val="24"/>
        </w:rPr>
        <w:t xml:space="preserve"> Rudolf Maierhofer</w:t>
      </w:r>
      <w:r w:rsidRPr="00484DAF">
        <w:rPr>
          <w:sz w:val="24"/>
          <w:szCs w:val="24"/>
        </w:rPr>
        <w:t xml:space="preserve"> geen invloed op de civielrechtelijke invulling van het begrip onroerende zaak. De invulling die de Hoge Raad aan de civielrechtelijke betekenis geeft, blijkt uit een arrest inzake de heffing van overdrachtsbelasting ten aanzien van de levering van kabelnetten. In het arrest gaat de Hoge Raad akkoord met Hof Den Haag</w:t>
      </w:r>
      <w:r w:rsidR="006C355B" w:rsidRPr="00484DAF">
        <w:rPr>
          <w:sz w:val="24"/>
          <w:szCs w:val="24"/>
        </w:rPr>
        <w:t>,</w:t>
      </w:r>
      <w:r w:rsidRPr="00484DAF">
        <w:rPr>
          <w:sz w:val="24"/>
          <w:szCs w:val="24"/>
        </w:rPr>
        <w:t xml:space="preserve"> dat oordeel</w:t>
      </w:r>
      <w:r w:rsidR="006C355B" w:rsidRPr="00484DAF">
        <w:rPr>
          <w:sz w:val="24"/>
          <w:szCs w:val="24"/>
        </w:rPr>
        <w:t>t dat het kabelnet onroerend is</w:t>
      </w:r>
      <w:r w:rsidRPr="00484DAF">
        <w:rPr>
          <w:sz w:val="24"/>
          <w:szCs w:val="24"/>
        </w:rPr>
        <w:t xml:space="preserve"> wanneer het werk duurzaam met de grond is verenigd in de zin van artikel 3:3, lid 1 BW en daarbij </w:t>
      </w:r>
      <w:r w:rsidRPr="00484DAF">
        <w:rPr>
          <w:i/>
          <w:sz w:val="24"/>
          <w:szCs w:val="24"/>
        </w:rPr>
        <w:t>‘de bedoeling van degene door wie of in wiens opdracht het is aangelegd, naar aard en inrichting bestemd is om duurzaam ter plaatse te blijven en dat dit ook naar buiten kenbaar is.’</w:t>
      </w:r>
      <w:r w:rsidRPr="00484DAF">
        <w:rPr>
          <w:rStyle w:val="Voetnootmarkering"/>
          <w:sz w:val="24"/>
          <w:szCs w:val="24"/>
        </w:rPr>
        <w:footnoteReference w:id="74"/>
      </w:r>
      <w:r w:rsidRPr="00484DAF">
        <w:rPr>
          <w:sz w:val="24"/>
          <w:szCs w:val="24"/>
        </w:rPr>
        <w:t xml:space="preserve"> Bij de mogelijke samenloop tussen BTW en overdrachtsbelasting kan het verschil in uitlegging van het begrip onroerende zaak (of zoals in het vervolg van deze scriptie onroerend goed) leiden tot fricties. Indien bijvoorbeeld in voormelde zaak voor Hof Den Haag het de vraag betrof of het kabelnet roere</w:t>
      </w:r>
      <w:r w:rsidR="006C355B" w:rsidRPr="00484DAF">
        <w:rPr>
          <w:sz w:val="24"/>
          <w:szCs w:val="24"/>
        </w:rPr>
        <w:t>nd of onroerend was voor de BTW</w:t>
      </w:r>
      <w:r w:rsidRPr="00484DAF">
        <w:rPr>
          <w:sz w:val="24"/>
          <w:szCs w:val="24"/>
        </w:rPr>
        <w:t xml:space="preserve"> is de stelling verdedigbaar</w:t>
      </w:r>
      <w:r w:rsidR="006C355B" w:rsidRPr="00484DAF">
        <w:rPr>
          <w:sz w:val="24"/>
          <w:szCs w:val="24"/>
        </w:rPr>
        <w:t>,</w:t>
      </w:r>
      <w:r w:rsidRPr="00484DAF">
        <w:rPr>
          <w:sz w:val="24"/>
          <w:szCs w:val="24"/>
        </w:rPr>
        <w:t xml:space="preserve"> dat sprake is van een roerende zaak.</w:t>
      </w:r>
      <w:r w:rsidRPr="00484DAF">
        <w:rPr>
          <w:rStyle w:val="Voetnootmarkering"/>
          <w:sz w:val="24"/>
          <w:szCs w:val="24"/>
        </w:rPr>
        <w:footnoteReference w:id="75"/>
      </w:r>
      <w:r w:rsidRPr="00484DAF">
        <w:rPr>
          <w:sz w:val="24"/>
          <w:szCs w:val="24"/>
        </w:rPr>
        <w:t xml:space="preserve"> Immers, kabels zijn relatief eenvoudig verplaatsbaar en </w:t>
      </w:r>
      <w:r w:rsidR="005D4B05" w:rsidRPr="00484DAF">
        <w:rPr>
          <w:sz w:val="24"/>
          <w:szCs w:val="24"/>
        </w:rPr>
        <w:t>niet met de grond verbonden.</w:t>
      </w:r>
      <w:r w:rsidR="005E3EA5" w:rsidRPr="00484DAF">
        <w:rPr>
          <w:sz w:val="24"/>
          <w:szCs w:val="24"/>
        </w:rPr>
        <w:t xml:space="preserve"> Een door </w:t>
      </w:r>
      <w:r w:rsidR="005E3EA5" w:rsidRPr="00484DAF">
        <w:rPr>
          <w:i/>
          <w:sz w:val="24"/>
          <w:szCs w:val="24"/>
        </w:rPr>
        <w:t xml:space="preserve">Nieuwenhuizen </w:t>
      </w:r>
      <w:r w:rsidR="005E3EA5" w:rsidRPr="00484DAF">
        <w:rPr>
          <w:sz w:val="24"/>
          <w:szCs w:val="24"/>
        </w:rPr>
        <w:t xml:space="preserve">aangehaald citaat lijkt mij hier op zijn plaats: </w:t>
      </w:r>
      <w:r w:rsidR="005E3EA5" w:rsidRPr="00484DAF">
        <w:rPr>
          <w:i/>
          <w:sz w:val="24"/>
          <w:szCs w:val="24"/>
        </w:rPr>
        <w:t>‘Een flatgebouw van tien verdiepingen is onroerend,</w:t>
      </w:r>
      <w:r w:rsidR="00B87970" w:rsidRPr="00484DAF">
        <w:rPr>
          <w:i/>
          <w:sz w:val="24"/>
          <w:szCs w:val="24"/>
        </w:rPr>
        <w:t xml:space="preserve"> een kruiwagen is roerend. Tussen deze twee uitersten zijn er zaken waarover men kan twisten.’</w:t>
      </w:r>
      <w:r w:rsidR="00B87970" w:rsidRPr="00484DAF">
        <w:rPr>
          <w:rStyle w:val="Voetnootmarkering"/>
          <w:i/>
          <w:sz w:val="24"/>
          <w:szCs w:val="24"/>
        </w:rPr>
        <w:footnoteReference w:id="76"/>
      </w:r>
    </w:p>
    <w:p w:rsidR="00C07903" w:rsidRPr="00484DAF" w:rsidRDefault="00BB4DD5" w:rsidP="00CC552D">
      <w:pPr>
        <w:pStyle w:val="Geenafstand"/>
        <w:spacing w:line="360" w:lineRule="auto"/>
        <w:rPr>
          <w:i/>
          <w:sz w:val="24"/>
          <w:szCs w:val="24"/>
        </w:rPr>
      </w:pPr>
      <w:r w:rsidRPr="00484DAF">
        <w:rPr>
          <w:i/>
          <w:sz w:val="24"/>
          <w:szCs w:val="24"/>
        </w:rPr>
        <w:t xml:space="preserve"> </w:t>
      </w:r>
    </w:p>
    <w:p w:rsidR="00C07903" w:rsidRPr="00484DAF" w:rsidRDefault="00C07903" w:rsidP="00CC552D">
      <w:pPr>
        <w:pStyle w:val="Kop1"/>
        <w:spacing w:before="0" w:line="360" w:lineRule="auto"/>
        <w:rPr>
          <w:rFonts w:ascii="Times New Roman" w:eastAsia="Calibri" w:hAnsi="Times New Roman"/>
          <w:color w:val="auto"/>
          <w:sz w:val="24"/>
          <w:szCs w:val="24"/>
        </w:rPr>
      </w:pPr>
      <w:bookmarkStart w:id="41" w:name="_Toc234584035"/>
      <w:bookmarkStart w:id="42" w:name="_Toc254043903"/>
      <w:r w:rsidRPr="00484DAF">
        <w:rPr>
          <w:rFonts w:ascii="Times New Roman" w:eastAsia="Calibri" w:hAnsi="Times New Roman"/>
          <w:color w:val="auto"/>
          <w:sz w:val="24"/>
          <w:szCs w:val="24"/>
        </w:rPr>
        <w:t>2.2 Samenloopvrijstelling bij directe samenloop</w:t>
      </w:r>
      <w:bookmarkEnd w:id="41"/>
      <w:bookmarkEnd w:id="42"/>
    </w:p>
    <w:p w:rsidR="0074398D" w:rsidRPr="00484DAF" w:rsidRDefault="00C07903" w:rsidP="00CC552D">
      <w:pPr>
        <w:spacing w:after="0" w:line="360" w:lineRule="auto"/>
        <w:rPr>
          <w:sz w:val="24"/>
          <w:szCs w:val="24"/>
        </w:rPr>
      </w:pPr>
      <w:r w:rsidRPr="00484DAF">
        <w:rPr>
          <w:sz w:val="24"/>
          <w:szCs w:val="24"/>
        </w:rPr>
        <w:t>De Wet BRV kent in artikel 15 diverse limitatief opgesomde vrijstellingen van overdrachtsbelasting. Het voert voor deze scriptie te ver om alle objectieve, subjectieve en overige vrijstellingen te bespreken. De samenloopvrijstelling</w:t>
      </w:r>
      <w:r w:rsidR="000935E7" w:rsidRPr="00484DAF">
        <w:rPr>
          <w:rStyle w:val="Voetnootmarkering"/>
          <w:sz w:val="24"/>
          <w:szCs w:val="24"/>
        </w:rPr>
        <w:footnoteReference w:id="77"/>
      </w:r>
      <w:r w:rsidRPr="00484DAF">
        <w:rPr>
          <w:sz w:val="24"/>
          <w:szCs w:val="24"/>
        </w:rPr>
        <w:t xml:space="preserve"> die dubbele belasting van </w:t>
      </w:r>
      <w:r w:rsidRPr="00484DAF">
        <w:rPr>
          <w:sz w:val="24"/>
          <w:szCs w:val="24"/>
        </w:rPr>
        <w:lastRenderedPageBreak/>
        <w:t>zowel BTW als overdrachtsbelasting tracht te voorkomen is uiteraard wel relevant. Om sam</w:t>
      </w:r>
      <w:r w:rsidR="006C355B" w:rsidRPr="00484DAF">
        <w:rPr>
          <w:sz w:val="24"/>
          <w:szCs w:val="24"/>
        </w:rPr>
        <w:t>enloop tussen beide belastingen</w:t>
      </w:r>
      <w:r w:rsidRPr="00484DAF">
        <w:rPr>
          <w:sz w:val="24"/>
          <w:szCs w:val="24"/>
        </w:rPr>
        <w:t xml:space="preserve"> te voorkomen</w:t>
      </w:r>
      <w:r w:rsidR="006C355B" w:rsidRPr="00484DAF">
        <w:rPr>
          <w:sz w:val="24"/>
          <w:szCs w:val="24"/>
        </w:rPr>
        <w:t xml:space="preserve"> (beiden drukken op de dezelfde persoon)</w:t>
      </w:r>
      <w:r w:rsidRPr="00484DAF">
        <w:rPr>
          <w:sz w:val="24"/>
          <w:szCs w:val="24"/>
        </w:rPr>
        <w:t xml:space="preserve">, heeft de wetgever van </w:t>
      </w:r>
      <w:r w:rsidR="006C355B" w:rsidRPr="00484DAF">
        <w:rPr>
          <w:sz w:val="24"/>
          <w:szCs w:val="24"/>
        </w:rPr>
        <w:t>overdrachts</w:t>
      </w:r>
      <w:r w:rsidRPr="00484DAF">
        <w:rPr>
          <w:sz w:val="24"/>
          <w:szCs w:val="24"/>
        </w:rPr>
        <w:t xml:space="preserve">belasting vrijgesteld de verkrijging </w:t>
      </w:r>
      <w:r w:rsidRPr="00484DAF">
        <w:rPr>
          <w:i/>
          <w:sz w:val="24"/>
          <w:szCs w:val="24"/>
        </w:rPr>
        <w:t xml:space="preserve">‘krachtens een levering als bedoeld in artikel 11, eerste lid, onderdeel a, onder 1°, van de Wet op de omzetbelasting 1968 </w:t>
      </w:r>
      <w:r w:rsidRPr="00484DAF">
        <w:rPr>
          <w:sz w:val="24"/>
          <w:szCs w:val="24"/>
        </w:rPr>
        <w:t>[BTW-vrijstelling bij levering nieuwe onroerende goederen van rechtswege, MGVV]</w:t>
      </w:r>
      <w:r w:rsidRPr="00484DAF">
        <w:rPr>
          <w:i/>
          <w:sz w:val="24"/>
          <w:szCs w:val="24"/>
        </w:rPr>
        <w:t xml:space="preserve"> (…) ter zake waarvan omzetbelasting is verschuldigd, tenzij het goed als bedrijfsmiddel is gebruikt en de verkrijger de omzetbelasting op grond van artikel 15 van de Wet op de omzetbelasting 1968 geheel of gedeeltelijk in aftrek kan brengen.’</w:t>
      </w:r>
      <w:r w:rsidRPr="00484DAF">
        <w:rPr>
          <w:sz w:val="24"/>
          <w:szCs w:val="24"/>
        </w:rPr>
        <w:t xml:space="preserve"> Zodoende is sprake van een dubbele voorwaarde, namelijk dat BTW bij genoemde levering van rechtswege verschuldigd is en het goed niet als bedrijfsmiddel wordt gebruikt of zo dat wel het geval is, geen recht op aftrek voorbelasting bestaat betreffende die levering.</w:t>
      </w:r>
      <w:r w:rsidR="00577AEF" w:rsidRPr="00484DAF">
        <w:rPr>
          <w:rStyle w:val="Voetnootmarkering"/>
          <w:sz w:val="24"/>
          <w:szCs w:val="24"/>
        </w:rPr>
        <w:footnoteReference w:id="78"/>
      </w:r>
      <w:r w:rsidR="0074398D" w:rsidRPr="00484DAF">
        <w:rPr>
          <w:sz w:val="24"/>
          <w:szCs w:val="24"/>
        </w:rPr>
        <w:t xml:space="preserve"> Overigens heeft het HvJ EG geen bezwaar tegen genoemde samenloop van belastingen. Nadat eerder in het arrest </w:t>
      </w:r>
      <w:r w:rsidR="0074398D" w:rsidRPr="00484DAF">
        <w:rPr>
          <w:i/>
          <w:sz w:val="24"/>
          <w:szCs w:val="24"/>
        </w:rPr>
        <w:t>Kerrutt</w:t>
      </w:r>
      <w:r w:rsidR="0074398D" w:rsidRPr="00484DAF">
        <w:rPr>
          <w:rStyle w:val="Voetnootmarkering"/>
          <w:i/>
          <w:sz w:val="24"/>
          <w:szCs w:val="24"/>
        </w:rPr>
        <w:footnoteReference w:id="79"/>
      </w:r>
      <w:r w:rsidR="0074398D" w:rsidRPr="00484DAF">
        <w:rPr>
          <w:sz w:val="24"/>
          <w:szCs w:val="24"/>
        </w:rPr>
        <w:t xml:space="preserve"> </w:t>
      </w:r>
      <w:r w:rsidR="00974F90" w:rsidRPr="00484DAF">
        <w:rPr>
          <w:sz w:val="24"/>
          <w:szCs w:val="24"/>
        </w:rPr>
        <w:t xml:space="preserve">is opgemerkt geen bezwaar te bestaan voor met de BTW “concurrerende” (Duitse) overdrachtsbelasting, wordt in een arrest van 13 juni 1989 expliciet door </w:t>
      </w:r>
      <w:r w:rsidR="0063074D" w:rsidRPr="00484DAF">
        <w:rPr>
          <w:sz w:val="24"/>
          <w:szCs w:val="24"/>
        </w:rPr>
        <w:t>het HvJ EG</w:t>
      </w:r>
      <w:r w:rsidR="00974F90" w:rsidRPr="00484DAF">
        <w:rPr>
          <w:sz w:val="24"/>
          <w:szCs w:val="24"/>
        </w:rPr>
        <w:t xml:space="preserve"> gezegd dat</w:t>
      </w:r>
      <w:r w:rsidR="00974F90" w:rsidRPr="00484DAF">
        <w:rPr>
          <w:b/>
          <w:bCs/>
          <w:sz w:val="24"/>
          <w:szCs w:val="24"/>
        </w:rPr>
        <w:t xml:space="preserve"> </w:t>
      </w:r>
      <w:r w:rsidR="00974F90" w:rsidRPr="00484DAF">
        <w:rPr>
          <w:bCs/>
          <w:sz w:val="24"/>
          <w:szCs w:val="24"/>
        </w:rPr>
        <w:t>lidstaten</w:t>
      </w:r>
      <w:r w:rsidR="00974F90" w:rsidRPr="00484DAF">
        <w:rPr>
          <w:b/>
          <w:bCs/>
          <w:sz w:val="24"/>
          <w:szCs w:val="24"/>
        </w:rPr>
        <w:t xml:space="preserve"> </w:t>
      </w:r>
      <w:r w:rsidR="0074398D" w:rsidRPr="00484DAF">
        <w:rPr>
          <w:sz w:val="24"/>
          <w:szCs w:val="24"/>
        </w:rPr>
        <w:t xml:space="preserve">belastingen </w:t>
      </w:r>
      <w:r w:rsidR="00974F90" w:rsidRPr="00484DAF">
        <w:rPr>
          <w:sz w:val="24"/>
          <w:szCs w:val="24"/>
        </w:rPr>
        <w:t xml:space="preserve">mogen </w:t>
      </w:r>
      <w:r w:rsidR="0074398D" w:rsidRPr="00484DAF">
        <w:rPr>
          <w:sz w:val="24"/>
          <w:szCs w:val="24"/>
        </w:rPr>
        <w:t xml:space="preserve">invoeren die niet het karakter van omzetbelasting bezitten, </w:t>
      </w:r>
      <w:r w:rsidR="00974F90" w:rsidRPr="00484DAF">
        <w:rPr>
          <w:sz w:val="24"/>
          <w:szCs w:val="24"/>
        </w:rPr>
        <w:t xml:space="preserve">maar </w:t>
      </w:r>
      <w:r w:rsidR="0074398D" w:rsidRPr="00484DAF">
        <w:rPr>
          <w:sz w:val="24"/>
          <w:szCs w:val="24"/>
        </w:rPr>
        <w:t xml:space="preserve">door heffing van </w:t>
      </w:r>
      <w:r w:rsidR="00974F90" w:rsidRPr="00484DAF">
        <w:rPr>
          <w:sz w:val="24"/>
          <w:szCs w:val="24"/>
        </w:rPr>
        <w:t xml:space="preserve">bedoelde </w:t>
      </w:r>
      <w:r w:rsidR="00CF1983" w:rsidRPr="00484DAF">
        <w:rPr>
          <w:sz w:val="24"/>
          <w:szCs w:val="24"/>
        </w:rPr>
        <w:t>belasting voor éé</w:t>
      </w:r>
      <w:r w:rsidR="0074398D" w:rsidRPr="00484DAF">
        <w:rPr>
          <w:sz w:val="24"/>
          <w:szCs w:val="24"/>
        </w:rPr>
        <w:t xml:space="preserve">n en dezelfde </w:t>
      </w:r>
      <w:r w:rsidR="0063074D" w:rsidRPr="00484DAF">
        <w:rPr>
          <w:sz w:val="24"/>
          <w:szCs w:val="24"/>
        </w:rPr>
        <w:t>handeling</w:t>
      </w:r>
      <w:r w:rsidR="007205ED" w:rsidRPr="00484DAF">
        <w:rPr>
          <w:sz w:val="24"/>
          <w:szCs w:val="24"/>
        </w:rPr>
        <w:t xml:space="preserve"> wel </w:t>
      </w:r>
      <w:r w:rsidR="00974F90" w:rsidRPr="00484DAF">
        <w:rPr>
          <w:sz w:val="24"/>
          <w:szCs w:val="24"/>
        </w:rPr>
        <w:t>belasting</w:t>
      </w:r>
      <w:r w:rsidR="0074398D" w:rsidRPr="00484DAF">
        <w:rPr>
          <w:sz w:val="24"/>
          <w:szCs w:val="24"/>
        </w:rPr>
        <w:t>cumulatie optreedt.</w:t>
      </w:r>
      <w:r w:rsidR="00974F90" w:rsidRPr="00484DAF">
        <w:rPr>
          <w:rStyle w:val="Voetnootmarkering"/>
          <w:sz w:val="24"/>
          <w:szCs w:val="24"/>
        </w:rPr>
        <w:footnoteReference w:id="80"/>
      </w:r>
    </w:p>
    <w:p w:rsidR="00557A1F" w:rsidRPr="00484DAF" w:rsidRDefault="00557A1F" w:rsidP="00CC552D">
      <w:pPr>
        <w:pStyle w:val="Geenafstand"/>
        <w:spacing w:line="360" w:lineRule="auto"/>
        <w:rPr>
          <w:sz w:val="24"/>
          <w:szCs w:val="24"/>
        </w:rPr>
      </w:pPr>
    </w:p>
    <w:p w:rsidR="00C07903" w:rsidRPr="00484DAF" w:rsidRDefault="00C07903" w:rsidP="00CC552D">
      <w:pPr>
        <w:pStyle w:val="Kop2"/>
        <w:spacing w:before="0" w:line="360" w:lineRule="auto"/>
        <w:rPr>
          <w:rFonts w:ascii="Times New Roman" w:hAnsi="Times New Roman"/>
          <w:color w:val="auto"/>
          <w:sz w:val="24"/>
          <w:szCs w:val="24"/>
        </w:rPr>
      </w:pPr>
      <w:bookmarkStart w:id="43" w:name="_Toc234584036"/>
      <w:bookmarkStart w:id="44" w:name="_Toc254043904"/>
      <w:r w:rsidRPr="00484DAF">
        <w:rPr>
          <w:rFonts w:ascii="Times New Roman" w:hAnsi="Times New Roman"/>
          <w:color w:val="auto"/>
          <w:sz w:val="24"/>
          <w:szCs w:val="24"/>
        </w:rPr>
        <w:t>2.2.1 BTW verschuldigd van rechtswege</w:t>
      </w:r>
      <w:bookmarkEnd w:id="43"/>
      <w:bookmarkEnd w:id="44"/>
    </w:p>
    <w:p w:rsidR="00C07903" w:rsidRPr="00484DAF" w:rsidRDefault="00C07903" w:rsidP="00CC552D">
      <w:pPr>
        <w:spacing w:after="0" w:line="360" w:lineRule="auto"/>
        <w:rPr>
          <w:sz w:val="24"/>
          <w:szCs w:val="24"/>
        </w:rPr>
      </w:pPr>
      <w:r w:rsidRPr="00484DAF">
        <w:rPr>
          <w:sz w:val="24"/>
          <w:szCs w:val="24"/>
        </w:rPr>
        <w:t xml:space="preserve">Door te verwijzen naar artikel 11, lid 1, onderdeel a, ten eerste Wet OB 1968 komt voor de samenloopvrijstelling enkel in aanmerking de levering van onroerend goed welke van rechtswege is belast met omzetbelasting. Het gaat hierbij om de situatie waarin een (gedeelte van een) gebouw wordt geleverd vóór, op of uiterlijk twee jaren na het tijdstip van eerste ingebruikneming. Mede belast op grond van voornoemd onderdeel is de levering van een bouwterrein. Hiermee heeft de wetgever als hoofdregel gesteld dat onroerend goed in de bouwfase en aansluitende handelsfase wordt belast met omzetbelasting en is vrijgesteld van overdrachtsbelasting. De samenloop in de bouwfase en aansluitende handelsfase komt verderop in deze scriptie uitvoerig aan bod. Door de expliciete verwijzing, naar het eerste </w:t>
      </w:r>
      <w:r w:rsidRPr="00484DAF">
        <w:rPr>
          <w:sz w:val="24"/>
          <w:szCs w:val="24"/>
        </w:rPr>
        <w:lastRenderedPageBreak/>
        <w:t>onderdeel van de uitzondering op de BTW-vrijstelling bij levering van onroerend goed, is de met BTW belaste levering van onroerend goed door optie</w:t>
      </w:r>
      <w:r w:rsidRPr="00484DAF">
        <w:rPr>
          <w:rStyle w:val="Voetnootmarkering"/>
          <w:sz w:val="24"/>
          <w:szCs w:val="24"/>
        </w:rPr>
        <w:footnoteReference w:id="81"/>
      </w:r>
      <w:r w:rsidRPr="00484DAF">
        <w:rPr>
          <w:sz w:val="24"/>
          <w:szCs w:val="24"/>
        </w:rPr>
        <w:t xml:space="preserve"> </w:t>
      </w:r>
      <w:r w:rsidR="005C0296" w:rsidRPr="00484DAF">
        <w:rPr>
          <w:sz w:val="24"/>
          <w:szCs w:val="24"/>
        </w:rPr>
        <w:t>te allen tijden</w:t>
      </w:r>
      <w:r w:rsidRPr="00484DAF">
        <w:rPr>
          <w:sz w:val="24"/>
          <w:szCs w:val="24"/>
        </w:rPr>
        <w:t xml:space="preserve"> tevens belast met overdrachtsbelasting.</w:t>
      </w:r>
    </w:p>
    <w:p w:rsidR="00256731" w:rsidRPr="00484DAF" w:rsidRDefault="00256731" w:rsidP="00CC552D">
      <w:pPr>
        <w:pStyle w:val="Geenafstand"/>
        <w:spacing w:line="360" w:lineRule="auto"/>
        <w:rPr>
          <w:sz w:val="24"/>
          <w:szCs w:val="24"/>
        </w:rPr>
      </w:pPr>
    </w:p>
    <w:p w:rsidR="00C07903" w:rsidRPr="00484DAF" w:rsidRDefault="00C07903" w:rsidP="00CC552D">
      <w:pPr>
        <w:pStyle w:val="Kop2"/>
        <w:spacing w:before="0" w:line="360" w:lineRule="auto"/>
        <w:rPr>
          <w:rFonts w:ascii="Times New Roman" w:hAnsi="Times New Roman"/>
          <w:color w:val="auto"/>
          <w:sz w:val="24"/>
          <w:szCs w:val="24"/>
        </w:rPr>
      </w:pPr>
      <w:bookmarkStart w:id="45" w:name="_Toc234584037"/>
      <w:bookmarkStart w:id="46" w:name="_Toc254043905"/>
      <w:r w:rsidRPr="00484DAF">
        <w:rPr>
          <w:rFonts w:ascii="Times New Roman" w:hAnsi="Times New Roman"/>
          <w:color w:val="auto"/>
          <w:sz w:val="24"/>
          <w:szCs w:val="24"/>
        </w:rPr>
        <w:t>2.2.2 Bedrijfsmiddel</w:t>
      </w:r>
      <w:bookmarkEnd w:id="45"/>
      <w:bookmarkEnd w:id="46"/>
    </w:p>
    <w:p w:rsidR="00C07903" w:rsidRPr="00484DAF" w:rsidRDefault="00C07903" w:rsidP="00CC552D">
      <w:pPr>
        <w:spacing w:after="0" w:line="360" w:lineRule="auto"/>
        <w:rPr>
          <w:sz w:val="24"/>
          <w:szCs w:val="24"/>
        </w:rPr>
      </w:pPr>
      <w:r w:rsidRPr="00484DAF">
        <w:rPr>
          <w:sz w:val="24"/>
          <w:szCs w:val="24"/>
        </w:rPr>
        <w:t xml:space="preserve">Eenmaal in gebruik genomen valt de verkrijging van onroerend goed onder de heffing van overdrachtsbelasting tenzij de levering is onderworpen aan omzetbelasting en </w:t>
      </w:r>
      <w:r w:rsidR="003633A4" w:rsidRPr="00484DAF">
        <w:rPr>
          <w:sz w:val="24"/>
          <w:szCs w:val="24"/>
        </w:rPr>
        <w:t xml:space="preserve">geheel of ten dele </w:t>
      </w:r>
      <w:r w:rsidRPr="00484DAF">
        <w:rPr>
          <w:sz w:val="24"/>
          <w:szCs w:val="24"/>
        </w:rPr>
        <w:t>recht op aftrek voorbelasting bestaat. Derhalve is hier sprake van een cumulatieve voorwaarde. Indien namelijk het geleverde onroerend goed wordt gebruikt als bedrijfsmiddel, maar geen recht bestaat op vooraftrek van BTW</w:t>
      </w:r>
      <w:r w:rsidR="0067337C" w:rsidRPr="00484DAF">
        <w:rPr>
          <w:rStyle w:val="Voetnootmarkering"/>
          <w:sz w:val="24"/>
          <w:szCs w:val="24"/>
        </w:rPr>
        <w:footnoteReference w:id="82"/>
      </w:r>
      <w:r w:rsidRPr="00484DAF">
        <w:rPr>
          <w:sz w:val="24"/>
          <w:szCs w:val="24"/>
        </w:rPr>
        <w:t>, is beroep op de vrijstelling van artikel 15, lid 1</w:t>
      </w:r>
      <w:r w:rsidR="003633A4" w:rsidRPr="00484DAF">
        <w:rPr>
          <w:sz w:val="24"/>
          <w:szCs w:val="24"/>
        </w:rPr>
        <w:t>,</w:t>
      </w:r>
      <w:r w:rsidRPr="00484DAF">
        <w:rPr>
          <w:sz w:val="24"/>
          <w:szCs w:val="24"/>
        </w:rPr>
        <w:t xml:space="preserve"> onderdeel a Wet BRV wel mogelijk. Volgens </w:t>
      </w:r>
      <w:r w:rsidRPr="00484DAF">
        <w:rPr>
          <w:i/>
          <w:sz w:val="24"/>
          <w:szCs w:val="24"/>
        </w:rPr>
        <w:t>Bijl</w:t>
      </w:r>
      <w:r w:rsidRPr="00484DAF">
        <w:rPr>
          <w:sz w:val="24"/>
          <w:szCs w:val="24"/>
        </w:rPr>
        <w:t xml:space="preserve"> is van een bedrijfsmiddel sprake indien onroerend goed daadwerkelijk ten behoeve van de onderneming wordt aangewend. Onvoldoende is eventuele geschiktheid voor gebruik of verhuur.</w:t>
      </w:r>
      <w:r w:rsidRPr="00484DAF">
        <w:rPr>
          <w:rStyle w:val="Voetnootmarkering"/>
          <w:sz w:val="24"/>
          <w:szCs w:val="24"/>
        </w:rPr>
        <w:footnoteReference w:id="83"/>
      </w:r>
      <w:r w:rsidR="007205ED" w:rsidRPr="00484DAF">
        <w:rPr>
          <w:sz w:val="24"/>
          <w:szCs w:val="24"/>
        </w:rPr>
        <w:t xml:space="preserve"> </w:t>
      </w:r>
      <w:r w:rsidRPr="00484DAF">
        <w:rPr>
          <w:sz w:val="24"/>
          <w:szCs w:val="24"/>
        </w:rPr>
        <w:t>Ook wanneer een ondernemer het onroerend goed enkel gebruikt om nieuw onroerend goed</w:t>
      </w:r>
      <w:r w:rsidRPr="00484DAF">
        <w:rPr>
          <w:rStyle w:val="Voetnootmarkering"/>
          <w:sz w:val="24"/>
          <w:szCs w:val="24"/>
        </w:rPr>
        <w:footnoteReference w:id="84"/>
      </w:r>
      <w:r w:rsidRPr="00484DAF">
        <w:rPr>
          <w:sz w:val="24"/>
          <w:szCs w:val="24"/>
        </w:rPr>
        <w:t xml:space="preserve"> te vervaardigen, is geen sprake van een bedrijfsmiddel, aldus de redactie van </w:t>
      </w:r>
      <w:r w:rsidRPr="00484DAF">
        <w:rPr>
          <w:i/>
          <w:sz w:val="24"/>
          <w:szCs w:val="24"/>
        </w:rPr>
        <w:t>De Vakstudie</w:t>
      </w:r>
      <w:r w:rsidRPr="00484DAF">
        <w:rPr>
          <w:sz w:val="24"/>
          <w:szCs w:val="24"/>
        </w:rPr>
        <w:t>.</w:t>
      </w:r>
      <w:r w:rsidRPr="00484DAF">
        <w:rPr>
          <w:rStyle w:val="Voetnootmarkering"/>
          <w:sz w:val="24"/>
          <w:szCs w:val="24"/>
        </w:rPr>
        <w:footnoteReference w:id="85"/>
      </w:r>
      <w:r w:rsidR="00D72882" w:rsidRPr="00484DAF">
        <w:rPr>
          <w:sz w:val="24"/>
          <w:szCs w:val="24"/>
        </w:rPr>
        <w:t xml:space="preserve"> In het kader van deze scriptie is het goed op te merken dat een bouwterrein geen bedrijfsmiddel vormt</w:t>
      </w:r>
      <w:r w:rsidR="00D22C32" w:rsidRPr="00484DAF">
        <w:rPr>
          <w:sz w:val="24"/>
          <w:szCs w:val="24"/>
        </w:rPr>
        <w:t xml:space="preserve"> voor een projectontwikkelaar of aannemer</w:t>
      </w:r>
      <w:r w:rsidR="00D72882" w:rsidRPr="00484DAF">
        <w:rPr>
          <w:sz w:val="24"/>
          <w:szCs w:val="24"/>
        </w:rPr>
        <w:t xml:space="preserve">. Immers, wordt een bouwterrein in het bedrijf “gebruikt”, dan </w:t>
      </w:r>
      <w:r w:rsidR="00D22C32" w:rsidRPr="00484DAF">
        <w:rPr>
          <w:sz w:val="24"/>
          <w:szCs w:val="24"/>
        </w:rPr>
        <w:t>wordt er gebouwd, hetgeen al snel een gebouw oplevert.</w:t>
      </w:r>
    </w:p>
    <w:p w:rsidR="00557A1F" w:rsidRPr="00484DAF" w:rsidRDefault="00557A1F" w:rsidP="00CC552D">
      <w:pPr>
        <w:pStyle w:val="Kop2"/>
        <w:spacing w:before="0" w:line="360" w:lineRule="auto"/>
        <w:rPr>
          <w:rFonts w:ascii="Times New Roman" w:hAnsi="Times New Roman"/>
          <w:color w:val="auto"/>
          <w:sz w:val="24"/>
          <w:szCs w:val="24"/>
        </w:rPr>
      </w:pPr>
      <w:bookmarkStart w:id="47" w:name="_Toc234584038"/>
    </w:p>
    <w:p w:rsidR="00C07903" w:rsidRPr="00484DAF" w:rsidRDefault="00C07903" w:rsidP="00CC552D">
      <w:pPr>
        <w:pStyle w:val="Kop2"/>
        <w:spacing w:before="0" w:line="360" w:lineRule="auto"/>
        <w:rPr>
          <w:rFonts w:ascii="Times New Roman" w:hAnsi="Times New Roman"/>
          <w:color w:val="auto"/>
          <w:sz w:val="24"/>
          <w:szCs w:val="24"/>
        </w:rPr>
      </w:pPr>
      <w:bookmarkStart w:id="48" w:name="_Toc254043906"/>
      <w:r w:rsidRPr="00484DAF">
        <w:rPr>
          <w:rFonts w:ascii="Times New Roman" w:hAnsi="Times New Roman"/>
          <w:color w:val="auto"/>
          <w:sz w:val="24"/>
          <w:szCs w:val="24"/>
        </w:rPr>
        <w:t>2.2.3 ‘Geheel of gedeeltelijk’</w:t>
      </w:r>
      <w:bookmarkEnd w:id="47"/>
      <w:bookmarkEnd w:id="48"/>
    </w:p>
    <w:p w:rsidR="00C07903" w:rsidRPr="00484DAF" w:rsidRDefault="00C07903" w:rsidP="00CC552D">
      <w:pPr>
        <w:spacing w:after="0" w:line="360" w:lineRule="auto"/>
        <w:rPr>
          <w:sz w:val="24"/>
          <w:szCs w:val="24"/>
        </w:rPr>
      </w:pPr>
      <w:r w:rsidRPr="00484DAF">
        <w:rPr>
          <w:sz w:val="24"/>
          <w:szCs w:val="24"/>
        </w:rPr>
        <w:t>Over de reikwijdte van ‘geheel of gedeeltelijk’ heeft Hof Amsterdam</w:t>
      </w:r>
      <w:r w:rsidRPr="00484DAF">
        <w:rPr>
          <w:rStyle w:val="Voetnootmarkering"/>
          <w:sz w:val="24"/>
          <w:szCs w:val="24"/>
        </w:rPr>
        <w:footnoteReference w:id="86"/>
      </w:r>
      <w:r w:rsidRPr="00484DAF">
        <w:rPr>
          <w:sz w:val="24"/>
          <w:szCs w:val="24"/>
        </w:rPr>
        <w:t xml:space="preserve"> zich uitgesproken. In casu betrof het een bank, die een kantoorpand had betrokken waarvan slechts 0,34% werd gebruikt voor belaste prestaties. Derhalve had de bank enkel voor 0,34% recht op aftrek voorbelasting van verschuldigde BTW met betrekking tot de levering van het pand. De overige 99,66% </w:t>
      </w:r>
      <w:r w:rsidR="007205ED" w:rsidRPr="00484DAF">
        <w:rPr>
          <w:sz w:val="24"/>
          <w:szCs w:val="24"/>
        </w:rPr>
        <w:t>van het kantoorpand, welke werd</w:t>
      </w:r>
      <w:r w:rsidRPr="00484DAF">
        <w:rPr>
          <w:sz w:val="24"/>
          <w:szCs w:val="24"/>
        </w:rPr>
        <w:t xml:space="preserve"> gebruikt voor </w:t>
      </w:r>
      <w:r w:rsidR="007205ED" w:rsidRPr="00484DAF">
        <w:rPr>
          <w:sz w:val="24"/>
          <w:szCs w:val="24"/>
        </w:rPr>
        <w:t>vrijgestelde prestaties, leidde</w:t>
      </w:r>
      <w:r w:rsidRPr="00484DAF">
        <w:rPr>
          <w:sz w:val="24"/>
          <w:szCs w:val="24"/>
        </w:rPr>
        <w:t xml:space="preserve"> tot samenloop van omzetbelasting en overdrachtsbelasting. Het Hof heeft in genoemde zaak gesteld dat wanneer van de totale omzet van een ondernemer slechts een gedeelte van ten hoogste één procent bestaat uit met omzetbelasting belaste prestaties en het aangeschafte goed </w:t>
      </w:r>
      <w:r w:rsidRPr="00484DAF">
        <w:rPr>
          <w:sz w:val="24"/>
          <w:szCs w:val="24"/>
        </w:rPr>
        <w:lastRenderedPageBreak/>
        <w:t>slechts op indirecte wijze aan het verrichten van die prestaties bijdraagt, de samenloopvrijstelling ter voorkoming van dubbele belasting alsnog kan worden ingeroepen.</w:t>
      </w:r>
      <w:r w:rsidRPr="00484DAF">
        <w:rPr>
          <w:rStyle w:val="Voetnootmarkering"/>
          <w:sz w:val="24"/>
          <w:szCs w:val="24"/>
        </w:rPr>
        <w:footnoteReference w:id="87"/>
      </w:r>
      <w:r w:rsidR="003633A4" w:rsidRPr="00484DAF">
        <w:rPr>
          <w:sz w:val="24"/>
          <w:szCs w:val="24"/>
        </w:rPr>
        <w:t xml:space="preserve"> Strikt genomen is deze uitspraak in strijd met de wet, omdat de wet duidelijk</w:t>
      </w:r>
      <w:r w:rsidR="007205ED" w:rsidRPr="00484DAF">
        <w:rPr>
          <w:sz w:val="24"/>
          <w:szCs w:val="24"/>
        </w:rPr>
        <w:t>e</w:t>
      </w:r>
      <w:r w:rsidR="003633A4" w:rsidRPr="00484DAF">
        <w:rPr>
          <w:sz w:val="24"/>
          <w:szCs w:val="24"/>
        </w:rPr>
        <w:t xml:space="preserve"> taal spreekt dat geen sprake mag zijn van recht op aftrek van voorbelasting. </w:t>
      </w:r>
      <w:r w:rsidR="00056CEE" w:rsidRPr="00484DAF">
        <w:rPr>
          <w:sz w:val="24"/>
          <w:szCs w:val="24"/>
        </w:rPr>
        <w:t>Deze uitspraak</w:t>
      </w:r>
      <w:r w:rsidR="003633A4" w:rsidRPr="00484DAF">
        <w:rPr>
          <w:sz w:val="24"/>
          <w:szCs w:val="24"/>
        </w:rPr>
        <w:t xml:space="preserve"> dient dan ook niet </w:t>
      </w:r>
      <w:r w:rsidR="00056CEE" w:rsidRPr="00484DAF">
        <w:rPr>
          <w:sz w:val="24"/>
          <w:szCs w:val="24"/>
        </w:rPr>
        <w:t xml:space="preserve">voor </w:t>
      </w:r>
      <w:r w:rsidR="003633A4" w:rsidRPr="00484DAF">
        <w:rPr>
          <w:sz w:val="24"/>
          <w:szCs w:val="24"/>
        </w:rPr>
        <w:t xml:space="preserve">meer te worden </w:t>
      </w:r>
      <w:r w:rsidR="00056CEE" w:rsidRPr="00484DAF">
        <w:rPr>
          <w:sz w:val="24"/>
          <w:szCs w:val="24"/>
        </w:rPr>
        <w:t>aan</w:t>
      </w:r>
      <w:r w:rsidR="003633A4" w:rsidRPr="00484DAF">
        <w:rPr>
          <w:sz w:val="24"/>
          <w:szCs w:val="24"/>
        </w:rPr>
        <w:t>gezien dan coulance van de rechtsprekende macht.</w:t>
      </w:r>
      <w:r w:rsidR="00A068F6" w:rsidRPr="00484DAF">
        <w:rPr>
          <w:sz w:val="24"/>
          <w:szCs w:val="24"/>
        </w:rPr>
        <w:t xml:space="preserve"> </w:t>
      </w:r>
    </w:p>
    <w:p w:rsidR="00557A1F" w:rsidRPr="00484DAF" w:rsidRDefault="00557A1F" w:rsidP="00CC552D">
      <w:pPr>
        <w:pStyle w:val="Geenafstand"/>
        <w:spacing w:line="360" w:lineRule="auto"/>
        <w:rPr>
          <w:sz w:val="24"/>
          <w:szCs w:val="24"/>
        </w:rPr>
      </w:pPr>
    </w:p>
    <w:p w:rsidR="00C07903" w:rsidRPr="00484DAF" w:rsidRDefault="00CE1081" w:rsidP="00CC552D">
      <w:pPr>
        <w:pStyle w:val="Kop2"/>
        <w:spacing w:before="0" w:line="360" w:lineRule="auto"/>
        <w:rPr>
          <w:rFonts w:ascii="Times New Roman" w:hAnsi="Times New Roman"/>
          <w:color w:val="auto"/>
          <w:sz w:val="24"/>
          <w:szCs w:val="24"/>
        </w:rPr>
      </w:pPr>
      <w:bookmarkStart w:id="49" w:name="_Toc254043907"/>
      <w:r w:rsidRPr="00484DAF">
        <w:rPr>
          <w:rFonts w:ascii="Times New Roman" w:hAnsi="Times New Roman"/>
          <w:color w:val="auto"/>
          <w:sz w:val="24"/>
          <w:szCs w:val="24"/>
        </w:rPr>
        <w:t>2.2.4 (On)gunstige werking samenloopvrijstelling?</w:t>
      </w:r>
      <w:bookmarkEnd w:id="49"/>
    </w:p>
    <w:p w:rsidR="007163D6" w:rsidRPr="00484DAF" w:rsidRDefault="00CE1081" w:rsidP="00CC552D">
      <w:pPr>
        <w:spacing w:after="0" w:line="360" w:lineRule="auto"/>
        <w:rPr>
          <w:sz w:val="24"/>
          <w:szCs w:val="24"/>
        </w:rPr>
      </w:pPr>
      <w:r w:rsidRPr="00484DAF">
        <w:rPr>
          <w:sz w:val="24"/>
          <w:szCs w:val="24"/>
        </w:rPr>
        <w:t xml:space="preserve">Op het oog lijkt de in dit hoofdstuk beschreven vrijstelling een gunstige werking te hebben. Immers, cumulatie van belastingheffing wordt vermeden. Het verschilt echter per situatie of belastingplichtige liever </w:t>
      </w:r>
      <w:r w:rsidR="00ED104C" w:rsidRPr="00484DAF">
        <w:rPr>
          <w:sz w:val="24"/>
          <w:szCs w:val="24"/>
        </w:rPr>
        <w:t xml:space="preserve">19% BTW voldoet en de overdrachtsbelastingvrijstelling inroept of de levering vrijgesteld van BTW plaatsvindt en de verkrijger wordt belast met 6% overdrachtsbelasting. De </w:t>
      </w:r>
      <w:r w:rsidR="0073280C" w:rsidRPr="00484DAF">
        <w:rPr>
          <w:sz w:val="24"/>
          <w:szCs w:val="24"/>
        </w:rPr>
        <w:t xml:space="preserve">keuze hangt af van het </w:t>
      </w:r>
      <w:r w:rsidR="00ED104C" w:rsidRPr="00484DAF">
        <w:rPr>
          <w:sz w:val="24"/>
          <w:szCs w:val="24"/>
        </w:rPr>
        <w:t>al dan niet hebben van recht op vooraftrek. Indien de koper van onroerend goed recht heeft op aftrek van voorbelasting</w:t>
      </w:r>
      <w:r w:rsidR="0073280C" w:rsidRPr="00484DAF">
        <w:rPr>
          <w:rStyle w:val="Voetnootmarkering"/>
          <w:sz w:val="24"/>
          <w:szCs w:val="24"/>
        </w:rPr>
        <w:footnoteReference w:id="88"/>
      </w:r>
      <w:r w:rsidR="00ED104C" w:rsidRPr="00484DAF">
        <w:rPr>
          <w:sz w:val="24"/>
          <w:szCs w:val="24"/>
        </w:rPr>
        <w:t xml:space="preserve"> vormt de BTW bij aankoop geen kostenpost en verkiest de koper de vrijstelling van overdrachtsbelasting boven een BTW-vrijgestelde levering.</w:t>
      </w:r>
      <w:r w:rsidR="0073280C" w:rsidRPr="00484DAF">
        <w:rPr>
          <w:sz w:val="24"/>
          <w:szCs w:val="24"/>
        </w:rPr>
        <w:t xml:space="preserve"> Wanneer de koper niet-ondernemer (ook wel: particulier) is, </w:t>
      </w:r>
      <w:r w:rsidR="00DF6B10" w:rsidRPr="00484DAF">
        <w:rPr>
          <w:sz w:val="24"/>
          <w:szCs w:val="24"/>
        </w:rPr>
        <w:t xml:space="preserve">heeft diegene liever 6% overdrachtsbelasting te voldoen, dan 19% BTW. Projectontwikkelaars spelen </w:t>
      </w:r>
      <w:r w:rsidR="00370B81" w:rsidRPr="00484DAF">
        <w:rPr>
          <w:sz w:val="24"/>
          <w:szCs w:val="24"/>
        </w:rPr>
        <w:t>bij particuliere afnemers</w:t>
      </w:r>
      <w:r w:rsidR="00757A03" w:rsidRPr="00484DAF">
        <w:rPr>
          <w:sz w:val="24"/>
          <w:szCs w:val="24"/>
        </w:rPr>
        <w:t xml:space="preserve"> </w:t>
      </w:r>
      <w:r w:rsidR="00DF6B10" w:rsidRPr="00484DAF">
        <w:rPr>
          <w:sz w:val="24"/>
          <w:szCs w:val="24"/>
        </w:rPr>
        <w:t>graag in op dit te behalen “voordeel” van 13%</w:t>
      </w:r>
      <w:r w:rsidR="001304A2" w:rsidRPr="00484DAF">
        <w:rPr>
          <w:rStyle w:val="Voetnootmarkering"/>
          <w:sz w:val="24"/>
          <w:szCs w:val="24"/>
        </w:rPr>
        <w:footnoteReference w:id="89"/>
      </w:r>
      <w:r w:rsidR="00DF6B10" w:rsidRPr="00484DAF">
        <w:rPr>
          <w:sz w:val="24"/>
          <w:szCs w:val="24"/>
        </w:rPr>
        <w:t xml:space="preserve"> </w:t>
      </w:r>
      <w:r w:rsidR="00300F81" w:rsidRPr="00484DAF">
        <w:rPr>
          <w:sz w:val="24"/>
          <w:szCs w:val="24"/>
        </w:rPr>
        <w:t>door</w:t>
      </w:r>
      <w:r w:rsidR="003070A6" w:rsidRPr="00484DAF">
        <w:rPr>
          <w:sz w:val="24"/>
          <w:szCs w:val="24"/>
        </w:rPr>
        <w:t xml:space="preserve"> </w:t>
      </w:r>
      <w:r w:rsidR="00DF6B10" w:rsidRPr="00484DAF">
        <w:rPr>
          <w:sz w:val="24"/>
          <w:szCs w:val="24"/>
        </w:rPr>
        <w:t>‘vrij op naam’</w:t>
      </w:r>
      <w:r w:rsidR="003A4314" w:rsidRPr="00484DAF">
        <w:rPr>
          <w:rStyle w:val="Voetnootmarkering"/>
          <w:sz w:val="24"/>
          <w:szCs w:val="24"/>
        </w:rPr>
        <w:footnoteReference w:id="90"/>
      </w:r>
      <w:r w:rsidR="000E012B" w:rsidRPr="00484DAF">
        <w:rPr>
          <w:sz w:val="24"/>
          <w:szCs w:val="24"/>
        </w:rPr>
        <w:t xml:space="preserve"> </w:t>
      </w:r>
      <w:r w:rsidR="00DF6B10" w:rsidRPr="00484DAF">
        <w:rPr>
          <w:sz w:val="24"/>
          <w:szCs w:val="24"/>
        </w:rPr>
        <w:t>toekomstige bouwobjecten te verkopen.</w:t>
      </w:r>
      <w:r w:rsidR="008415DF" w:rsidRPr="00484DAF">
        <w:rPr>
          <w:rStyle w:val="Voetnootmarkering"/>
          <w:sz w:val="24"/>
          <w:szCs w:val="24"/>
        </w:rPr>
        <w:footnoteReference w:id="91"/>
      </w:r>
      <w:r w:rsidR="00370B81" w:rsidRPr="00484DAF">
        <w:rPr>
          <w:sz w:val="24"/>
          <w:szCs w:val="24"/>
        </w:rPr>
        <w:t xml:space="preserve"> Langs deze weg wordt de anders met 19% BTW belaste oplevering van de bouwlocatie beperkt tot een heffing van 6%.</w:t>
      </w:r>
      <w:r w:rsidR="00370B81" w:rsidRPr="00484DAF">
        <w:rPr>
          <w:rStyle w:val="Voetnootmarkering"/>
          <w:sz w:val="24"/>
          <w:szCs w:val="24"/>
        </w:rPr>
        <w:footnoteReference w:id="92"/>
      </w:r>
      <w:r w:rsidR="00370B81" w:rsidRPr="00484DAF">
        <w:rPr>
          <w:sz w:val="24"/>
          <w:szCs w:val="24"/>
        </w:rPr>
        <w:t xml:space="preserve"> De aanneemsom zelf wordt wel met 19% BTW belast. Bij afnemers die BTW-ondernemer zijn wordt door de projectontwikkelaar getracht (al dan niet geforceerd) een BTW-belaste levering te doen opdat de afnemer bij de verkrijging niet met overdrachtsbelasting wordt geconfronteerd</w:t>
      </w:r>
      <w:r w:rsidR="007163D6" w:rsidRPr="00484DAF">
        <w:rPr>
          <w:sz w:val="24"/>
          <w:szCs w:val="24"/>
        </w:rPr>
        <w:t>.</w:t>
      </w:r>
      <w:r w:rsidR="00B10FED" w:rsidRPr="00484DAF">
        <w:rPr>
          <w:rStyle w:val="Voetnootmarkering"/>
          <w:sz w:val="24"/>
          <w:szCs w:val="24"/>
        </w:rPr>
        <w:footnoteReference w:id="93"/>
      </w:r>
    </w:p>
    <w:p w:rsidR="00557A1F" w:rsidRPr="00484DAF" w:rsidRDefault="00557A1F" w:rsidP="00CC552D">
      <w:pPr>
        <w:pStyle w:val="Geenafstand"/>
        <w:spacing w:line="360" w:lineRule="auto"/>
        <w:rPr>
          <w:sz w:val="24"/>
          <w:szCs w:val="24"/>
        </w:rPr>
      </w:pPr>
    </w:p>
    <w:p w:rsidR="00CE1081" w:rsidRPr="00484DAF" w:rsidRDefault="00A068F6" w:rsidP="00CC552D">
      <w:pPr>
        <w:spacing w:after="0" w:line="360" w:lineRule="auto"/>
        <w:rPr>
          <w:sz w:val="24"/>
          <w:szCs w:val="24"/>
        </w:rPr>
      </w:pPr>
      <w:r w:rsidRPr="00484DAF">
        <w:rPr>
          <w:sz w:val="24"/>
          <w:szCs w:val="24"/>
        </w:rPr>
        <w:lastRenderedPageBreak/>
        <w:t>De</w:t>
      </w:r>
      <w:r w:rsidR="004C61A3" w:rsidRPr="00484DAF">
        <w:rPr>
          <w:sz w:val="24"/>
          <w:szCs w:val="24"/>
        </w:rPr>
        <w:t>ze</w:t>
      </w:r>
      <w:r w:rsidRPr="00484DAF">
        <w:rPr>
          <w:sz w:val="24"/>
          <w:szCs w:val="24"/>
        </w:rPr>
        <w:t xml:space="preserve"> door projectontwikkelaars gekozen </w:t>
      </w:r>
      <w:r w:rsidR="004C61A3" w:rsidRPr="00484DAF">
        <w:rPr>
          <w:sz w:val="24"/>
          <w:szCs w:val="24"/>
        </w:rPr>
        <w:t>constructie</w:t>
      </w:r>
      <w:r w:rsidR="007163D6" w:rsidRPr="00484DAF">
        <w:rPr>
          <w:sz w:val="24"/>
          <w:szCs w:val="24"/>
        </w:rPr>
        <w:t>s zijn</w:t>
      </w:r>
      <w:r w:rsidRPr="00484DAF">
        <w:rPr>
          <w:sz w:val="24"/>
          <w:szCs w:val="24"/>
        </w:rPr>
        <w:t xml:space="preserve"> echter niet zonder valkuilen. </w:t>
      </w:r>
      <w:r w:rsidR="004C26FE" w:rsidRPr="00484DAF">
        <w:rPr>
          <w:sz w:val="24"/>
          <w:szCs w:val="24"/>
        </w:rPr>
        <w:t>De overdrachtsbelasting kent namelijk een</w:t>
      </w:r>
      <w:r w:rsidR="004C26FE" w:rsidRPr="00484DAF">
        <w:rPr>
          <w:rStyle w:val="Voetnootmarkering"/>
          <w:sz w:val="24"/>
          <w:szCs w:val="24"/>
        </w:rPr>
        <w:footnoteReference w:id="94"/>
      </w:r>
      <w:r w:rsidR="004C26FE" w:rsidRPr="00484DAF">
        <w:rPr>
          <w:sz w:val="24"/>
          <w:szCs w:val="24"/>
        </w:rPr>
        <w:t xml:space="preserve"> strafsanctie</w:t>
      </w:r>
      <w:r w:rsidR="00FB4A41" w:rsidRPr="00484DAF">
        <w:rPr>
          <w:rStyle w:val="Voetnootmarkering"/>
          <w:sz w:val="24"/>
          <w:szCs w:val="24"/>
        </w:rPr>
        <w:footnoteReference w:id="95"/>
      </w:r>
      <w:r w:rsidR="004C26FE" w:rsidRPr="00484DAF">
        <w:rPr>
          <w:sz w:val="24"/>
          <w:szCs w:val="24"/>
        </w:rPr>
        <w:t xml:space="preserve"> voor het geval de koper voor minder dan 90% aftrekgerechtigd is en de aankoopsom </w:t>
      </w:r>
      <w:r w:rsidR="000E012B" w:rsidRPr="00484DAF">
        <w:rPr>
          <w:sz w:val="24"/>
          <w:szCs w:val="24"/>
        </w:rPr>
        <w:t>vrij op naam</w:t>
      </w:r>
      <w:r w:rsidR="004C26FE" w:rsidRPr="00484DAF">
        <w:rPr>
          <w:sz w:val="24"/>
          <w:szCs w:val="24"/>
        </w:rPr>
        <w:t xml:space="preserve"> lager is dan de waarde in het economische verkeer (in dit geval ten minste de kostprijs).</w:t>
      </w:r>
      <w:r w:rsidR="003911D6" w:rsidRPr="00484DAF">
        <w:rPr>
          <w:rStyle w:val="Voetnootmarkering"/>
          <w:sz w:val="24"/>
          <w:szCs w:val="24"/>
        </w:rPr>
        <w:footnoteReference w:id="96"/>
      </w:r>
      <w:r w:rsidR="004C26FE" w:rsidRPr="00484DAF">
        <w:rPr>
          <w:sz w:val="24"/>
          <w:szCs w:val="24"/>
        </w:rPr>
        <w:t xml:space="preserve"> Naast 19% BTW verschuldigd over de aankoopsom </w:t>
      </w:r>
      <w:r w:rsidR="000E012B" w:rsidRPr="00484DAF">
        <w:rPr>
          <w:sz w:val="24"/>
          <w:szCs w:val="24"/>
        </w:rPr>
        <w:t>vrij op naam</w:t>
      </w:r>
      <w:r w:rsidR="004C26FE" w:rsidRPr="00484DAF">
        <w:rPr>
          <w:rStyle w:val="Voetnootmarkering"/>
          <w:sz w:val="24"/>
          <w:szCs w:val="24"/>
        </w:rPr>
        <w:footnoteReference w:id="97"/>
      </w:r>
      <w:r w:rsidR="004C26FE" w:rsidRPr="00484DAF">
        <w:rPr>
          <w:sz w:val="24"/>
          <w:szCs w:val="24"/>
        </w:rPr>
        <w:t xml:space="preserve"> is </w:t>
      </w:r>
      <w:r w:rsidR="009E0881" w:rsidRPr="00484DAF">
        <w:rPr>
          <w:sz w:val="24"/>
          <w:szCs w:val="24"/>
        </w:rPr>
        <w:t xml:space="preserve">bij de strafheffing </w:t>
      </w:r>
      <w:r w:rsidR="004C26FE" w:rsidRPr="00484DAF">
        <w:rPr>
          <w:sz w:val="24"/>
          <w:szCs w:val="24"/>
        </w:rPr>
        <w:t>ook nog eens 6%</w:t>
      </w:r>
      <w:r w:rsidR="00B724BA" w:rsidRPr="00484DAF">
        <w:rPr>
          <w:sz w:val="24"/>
          <w:szCs w:val="24"/>
        </w:rPr>
        <w:t xml:space="preserve"> </w:t>
      </w:r>
      <w:r w:rsidR="009E0881" w:rsidRPr="00484DAF">
        <w:rPr>
          <w:sz w:val="24"/>
          <w:szCs w:val="24"/>
        </w:rPr>
        <w:t xml:space="preserve">overdrachtsbelasting </w:t>
      </w:r>
      <w:r w:rsidR="00B724BA" w:rsidRPr="00484DAF">
        <w:rPr>
          <w:sz w:val="24"/>
          <w:szCs w:val="24"/>
        </w:rPr>
        <w:t>over de kostprijs (inclusief BTW)</w:t>
      </w:r>
      <w:r w:rsidR="009E0881" w:rsidRPr="00484DAF">
        <w:rPr>
          <w:sz w:val="24"/>
          <w:szCs w:val="24"/>
        </w:rPr>
        <w:t xml:space="preserve"> verschuldigd</w:t>
      </w:r>
      <w:r w:rsidR="00B724BA" w:rsidRPr="00484DAF">
        <w:rPr>
          <w:sz w:val="24"/>
          <w:szCs w:val="24"/>
        </w:rPr>
        <w:t>.</w:t>
      </w:r>
      <w:r w:rsidR="00B03A4C" w:rsidRPr="00484DAF">
        <w:rPr>
          <w:sz w:val="24"/>
          <w:szCs w:val="24"/>
        </w:rPr>
        <w:t xml:space="preserve"> Naast deze strafsanctie schuilt in het verkopen </w:t>
      </w:r>
      <w:r w:rsidR="00582B0C" w:rsidRPr="00484DAF">
        <w:rPr>
          <w:sz w:val="24"/>
          <w:szCs w:val="24"/>
        </w:rPr>
        <w:t>vanaf de tekening het gevaar van een voortijdige ‘onbedoelde’ verkrijging van het economisch eigendom</w:t>
      </w:r>
      <w:r w:rsidR="00EF4E93" w:rsidRPr="00484DAF">
        <w:rPr>
          <w:sz w:val="24"/>
          <w:szCs w:val="24"/>
        </w:rPr>
        <w:t>,</w:t>
      </w:r>
      <w:r w:rsidR="00582B0C" w:rsidRPr="00484DAF">
        <w:rPr>
          <w:sz w:val="24"/>
          <w:szCs w:val="24"/>
        </w:rPr>
        <w:t xml:space="preserve"> zoals beschreven in paragraaf 2.1.2</w:t>
      </w:r>
      <w:r w:rsidR="001B329F" w:rsidRPr="00484DAF">
        <w:rPr>
          <w:sz w:val="24"/>
          <w:szCs w:val="24"/>
        </w:rPr>
        <w:t xml:space="preserve">, wanneer afspraken tussen koper en verkoper </w:t>
      </w:r>
      <w:r w:rsidR="00582B0C" w:rsidRPr="00484DAF">
        <w:rPr>
          <w:sz w:val="24"/>
          <w:szCs w:val="24"/>
        </w:rPr>
        <w:t>de gebruikelijke bedingen</w:t>
      </w:r>
      <w:r w:rsidR="00352CC9" w:rsidRPr="00484DAF">
        <w:rPr>
          <w:sz w:val="24"/>
          <w:szCs w:val="24"/>
        </w:rPr>
        <w:t xml:space="preserve"> </w:t>
      </w:r>
      <w:r w:rsidR="00582B0C" w:rsidRPr="00484DAF">
        <w:rPr>
          <w:sz w:val="24"/>
          <w:szCs w:val="24"/>
        </w:rPr>
        <w:t>in een koopovereenkomst</w:t>
      </w:r>
      <w:r w:rsidR="00352CC9" w:rsidRPr="00484DAF">
        <w:rPr>
          <w:sz w:val="24"/>
          <w:szCs w:val="24"/>
        </w:rPr>
        <w:t xml:space="preserve"> overschrijden. Denk daarbij aan contractueel vastgelegde handelingen, voorafgaande aan de levering, die door verkoper worden verricht </w:t>
      </w:r>
      <w:r w:rsidR="0020464D" w:rsidRPr="00484DAF">
        <w:rPr>
          <w:sz w:val="24"/>
          <w:szCs w:val="24"/>
        </w:rPr>
        <w:t xml:space="preserve">en </w:t>
      </w:r>
      <w:r w:rsidR="00352CC9" w:rsidRPr="00484DAF">
        <w:rPr>
          <w:sz w:val="24"/>
          <w:szCs w:val="24"/>
        </w:rPr>
        <w:t>al dan niet voor rekening en risico van de koper</w:t>
      </w:r>
      <w:r w:rsidR="0020464D" w:rsidRPr="00484DAF">
        <w:rPr>
          <w:sz w:val="24"/>
          <w:szCs w:val="24"/>
        </w:rPr>
        <w:t xml:space="preserve"> komen</w:t>
      </w:r>
      <w:r w:rsidR="00352CC9" w:rsidRPr="00484DAF">
        <w:rPr>
          <w:sz w:val="24"/>
          <w:szCs w:val="24"/>
        </w:rPr>
        <w:t xml:space="preserve">. </w:t>
      </w:r>
      <w:r w:rsidR="001B329F" w:rsidRPr="00484DAF">
        <w:rPr>
          <w:sz w:val="24"/>
          <w:szCs w:val="24"/>
        </w:rPr>
        <w:t xml:space="preserve">Op dat moment </w:t>
      </w:r>
      <w:r w:rsidR="0020464D" w:rsidRPr="00484DAF">
        <w:rPr>
          <w:sz w:val="24"/>
          <w:szCs w:val="24"/>
        </w:rPr>
        <w:t xml:space="preserve">kan </w:t>
      </w:r>
      <w:r w:rsidR="00582B0C" w:rsidRPr="00484DAF">
        <w:rPr>
          <w:sz w:val="24"/>
          <w:szCs w:val="24"/>
        </w:rPr>
        <w:t xml:space="preserve">overdrachtsbelasting </w:t>
      </w:r>
      <w:r w:rsidR="001B329F" w:rsidRPr="00484DAF">
        <w:rPr>
          <w:sz w:val="24"/>
          <w:szCs w:val="24"/>
        </w:rPr>
        <w:t xml:space="preserve">over de ‘econoom’ </w:t>
      </w:r>
      <w:r w:rsidR="00582B0C" w:rsidRPr="00484DAF">
        <w:rPr>
          <w:sz w:val="24"/>
          <w:szCs w:val="24"/>
        </w:rPr>
        <w:t xml:space="preserve">verschuldigd </w:t>
      </w:r>
      <w:r w:rsidR="0020464D" w:rsidRPr="00484DAF">
        <w:rPr>
          <w:sz w:val="24"/>
          <w:szCs w:val="24"/>
        </w:rPr>
        <w:t xml:space="preserve">zijn </w:t>
      </w:r>
      <w:r w:rsidR="00582B0C" w:rsidRPr="00484DAF">
        <w:rPr>
          <w:sz w:val="24"/>
          <w:szCs w:val="24"/>
        </w:rPr>
        <w:t xml:space="preserve">en </w:t>
      </w:r>
      <w:r w:rsidR="001B329F" w:rsidRPr="00484DAF">
        <w:rPr>
          <w:sz w:val="24"/>
          <w:szCs w:val="24"/>
        </w:rPr>
        <w:t xml:space="preserve">dient ten tijde van de </w:t>
      </w:r>
      <w:r w:rsidR="00582B0C" w:rsidRPr="00484DAF">
        <w:rPr>
          <w:sz w:val="24"/>
          <w:szCs w:val="24"/>
        </w:rPr>
        <w:t xml:space="preserve">werkelijke overdracht </w:t>
      </w:r>
      <w:r w:rsidR="0020464D" w:rsidRPr="00484DAF">
        <w:rPr>
          <w:sz w:val="24"/>
          <w:szCs w:val="24"/>
        </w:rPr>
        <w:t xml:space="preserve">daarenboven </w:t>
      </w:r>
      <w:r w:rsidR="001B329F" w:rsidRPr="00484DAF">
        <w:rPr>
          <w:sz w:val="24"/>
          <w:szCs w:val="24"/>
        </w:rPr>
        <w:t>BTW</w:t>
      </w:r>
      <w:r w:rsidR="0020464D" w:rsidRPr="00484DAF">
        <w:rPr>
          <w:sz w:val="24"/>
          <w:szCs w:val="24"/>
        </w:rPr>
        <w:t xml:space="preserve"> </w:t>
      </w:r>
      <w:r w:rsidR="001B329F" w:rsidRPr="00484DAF">
        <w:rPr>
          <w:sz w:val="24"/>
          <w:szCs w:val="24"/>
        </w:rPr>
        <w:t>te worden voldaan</w:t>
      </w:r>
      <w:r w:rsidR="00582B0C" w:rsidRPr="00484DAF">
        <w:rPr>
          <w:sz w:val="24"/>
          <w:szCs w:val="24"/>
        </w:rPr>
        <w:t xml:space="preserve">. </w:t>
      </w:r>
      <w:r w:rsidR="001B329F" w:rsidRPr="00484DAF">
        <w:rPr>
          <w:i/>
          <w:sz w:val="24"/>
          <w:szCs w:val="24"/>
        </w:rPr>
        <w:t>‘Een fiscaal doemscenario,’</w:t>
      </w:r>
      <w:r w:rsidR="001B329F" w:rsidRPr="00484DAF">
        <w:rPr>
          <w:sz w:val="24"/>
          <w:szCs w:val="24"/>
        </w:rPr>
        <w:t xml:space="preserve"> aldus </w:t>
      </w:r>
      <w:r w:rsidR="001B329F" w:rsidRPr="00484DAF">
        <w:rPr>
          <w:i/>
          <w:sz w:val="24"/>
          <w:szCs w:val="24"/>
        </w:rPr>
        <w:t>Wolff</w:t>
      </w:r>
      <w:r w:rsidR="001B329F" w:rsidRPr="00484DAF">
        <w:rPr>
          <w:sz w:val="24"/>
          <w:szCs w:val="24"/>
        </w:rPr>
        <w:t>.</w:t>
      </w:r>
      <w:r w:rsidR="001B329F" w:rsidRPr="00484DAF">
        <w:rPr>
          <w:rStyle w:val="Voetnootmarkering"/>
          <w:sz w:val="24"/>
          <w:szCs w:val="24"/>
        </w:rPr>
        <w:footnoteReference w:id="98"/>
      </w:r>
    </w:p>
    <w:p w:rsidR="00557A1F" w:rsidRPr="00484DAF" w:rsidRDefault="00557A1F" w:rsidP="00CC552D">
      <w:pPr>
        <w:pStyle w:val="Geenafstand"/>
        <w:spacing w:line="360" w:lineRule="auto"/>
        <w:rPr>
          <w:sz w:val="24"/>
          <w:szCs w:val="24"/>
        </w:rPr>
      </w:pPr>
    </w:p>
    <w:p w:rsidR="00AF461F" w:rsidRPr="00484DAF" w:rsidRDefault="00AF461F" w:rsidP="00CC552D">
      <w:pPr>
        <w:pStyle w:val="Kop1"/>
        <w:spacing w:before="0" w:line="360" w:lineRule="auto"/>
        <w:rPr>
          <w:rFonts w:ascii="Times New Roman" w:hAnsi="Times New Roman"/>
          <w:color w:val="auto"/>
          <w:sz w:val="24"/>
          <w:szCs w:val="24"/>
        </w:rPr>
      </w:pPr>
      <w:bookmarkStart w:id="50" w:name="_Toc254043908"/>
      <w:r w:rsidRPr="00484DAF">
        <w:rPr>
          <w:rFonts w:ascii="Times New Roman" w:hAnsi="Times New Roman"/>
          <w:color w:val="auto"/>
          <w:sz w:val="24"/>
          <w:szCs w:val="24"/>
        </w:rPr>
        <w:t>2.3 Rekenvoorbeeld</w:t>
      </w:r>
      <w:bookmarkEnd w:id="50"/>
    </w:p>
    <w:p w:rsidR="00DB79DF" w:rsidRPr="00484DAF" w:rsidRDefault="00AF461F" w:rsidP="00CC552D">
      <w:pPr>
        <w:spacing w:after="0" w:line="360" w:lineRule="auto"/>
        <w:rPr>
          <w:sz w:val="24"/>
          <w:szCs w:val="24"/>
        </w:rPr>
      </w:pPr>
      <w:r w:rsidRPr="00484DAF">
        <w:rPr>
          <w:sz w:val="24"/>
          <w:szCs w:val="24"/>
        </w:rPr>
        <w:t xml:space="preserve">Om de voorgaande paragraaf </w:t>
      </w:r>
      <w:r w:rsidR="009D1613" w:rsidRPr="00484DAF">
        <w:rPr>
          <w:sz w:val="24"/>
          <w:szCs w:val="24"/>
        </w:rPr>
        <w:t xml:space="preserve">inzichtelijk </w:t>
      </w:r>
      <w:r w:rsidR="00767799" w:rsidRPr="00484DAF">
        <w:rPr>
          <w:sz w:val="24"/>
          <w:szCs w:val="24"/>
        </w:rPr>
        <w:t>te maken, volgen</w:t>
      </w:r>
      <w:r w:rsidRPr="00484DAF">
        <w:rPr>
          <w:sz w:val="24"/>
          <w:szCs w:val="24"/>
        </w:rPr>
        <w:t xml:space="preserve"> hieronder </w:t>
      </w:r>
      <w:r w:rsidR="00767799" w:rsidRPr="00484DAF">
        <w:rPr>
          <w:sz w:val="24"/>
          <w:szCs w:val="24"/>
        </w:rPr>
        <w:t xml:space="preserve">twee </w:t>
      </w:r>
      <w:r w:rsidRPr="00484DAF">
        <w:rPr>
          <w:sz w:val="24"/>
          <w:szCs w:val="24"/>
        </w:rPr>
        <w:t>rekenvoorbeeld</w:t>
      </w:r>
      <w:r w:rsidR="00767799" w:rsidRPr="00484DAF">
        <w:rPr>
          <w:sz w:val="24"/>
          <w:szCs w:val="24"/>
        </w:rPr>
        <w:t>en</w:t>
      </w:r>
      <w:r w:rsidRPr="00484DAF">
        <w:rPr>
          <w:sz w:val="24"/>
          <w:szCs w:val="24"/>
        </w:rPr>
        <w:t>.</w:t>
      </w:r>
      <w:r w:rsidR="00767799" w:rsidRPr="00484DAF">
        <w:rPr>
          <w:sz w:val="24"/>
          <w:szCs w:val="24"/>
        </w:rPr>
        <w:t xml:space="preserve"> Voor beide gelden de volgende uitgangspunten. I</w:t>
      </w:r>
      <w:r w:rsidR="008D313D" w:rsidRPr="00484DAF">
        <w:rPr>
          <w:sz w:val="24"/>
          <w:szCs w:val="24"/>
        </w:rPr>
        <w:t xml:space="preserve">n casu </w:t>
      </w:r>
      <w:r w:rsidR="00767799" w:rsidRPr="00484DAF">
        <w:rPr>
          <w:sz w:val="24"/>
          <w:szCs w:val="24"/>
        </w:rPr>
        <w:t xml:space="preserve">is </w:t>
      </w:r>
      <w:r w:rsidR="008D313D" w:rsidRPr="00484DAF">
        <w:rPr>
          <w:sz w:val="24"/>
          <w:szCs w:val="24"/>
        </w:rPr>
        <w:t xml:space="preserve">sprake van een bouwterrein </w:t>
      </w:r>
      <w:r w:rsidR="00DB79DF" w:rsidRPr="00484DAF">
        <w:rPr>
          <w:sz w:val="24"/>
          <w:szCs w:val="24"/>
        </w:rPr>
        <w:t xml:space="preserve">ter waarde van </w:t>
      </w:r>
      <w:r w:rsidR="00FF12D5" w:rsidRPr="00484DAF">
        <w:rPr>
          <w:sz w:val="24"/>
          <w:szCs w:val="24"/>
        </w:rPr>
        <w:t xml:space="preserve">€ 200.000 (exclusief omzet- en overdrachtsbelasting). De aanneemsom om de kavel te bebouwen is € 150.000 (eveneens exclusief omzet- en overdrachtsbelasting). </w:t>
      </w:r>
      <w:r w:rsidR="00DB79DF" w:rsidRPr="00484DAF">
        <w:rPr>
          <w:sz w:val="24"/>
          <w:szCs w:val="24"/>
        </w:rPr>
        <w:t xml:space="preserve">In dit rekenvoorbeeld dient onderscheid te worden gemaakt tussen een </w:t>
      </w:r>
      <w:r w:rsidR="00767799" w:rsidRPr="00484DAF">
        <w:rPr>
          <w:sz w:val="24"/>
          <w:szCs w:val="24"/>
        </w:rPr>
        <w:t>BTW-</w:t>
      </w:r>
      <w:r w:rsidR="00DB79DF" w:rsidRPr="00484DAF">
        <w:rPr>
          <w:sz w:val="24"/>
          <w:szCs w:val="24"/>
        </w:rPr>
        <w:t xml:space="preserve">ondernemer als afnemer en een particulier als afnemer. Zoals hierboven beschreven, vormt de al dan niet in aftrek te brengen voorbelasting een belangrijk argument in de keuze van </w:t>
      </w:r>
      <w:r w:rsidR="00767799" w:rsidRPr="00484DAF">
        <w:rPr>
          <w:sz w:val="24"/>
          <w:szCs w:val="24"/>
        </w:rPr>
        <w:t>de soort levering</w:t>
      </w:r>
      <w:r w:rsidR="00DB79DF" w:rsidRPr="00484DAF">
        <w:rPr>
          <w:sz w:val="24"/>
          <w:szCs w:val="24"/>
        </w:rPr>
        <w:t>.</w:t>
      </w:r>
    </w:p>
    <w:p w:rsidR="006F2AE0" w:rsidRPr="00484DAF" w:rsidRDefault="006F2AE0" w:rsidP="00CC552D">
      <w:pPr>
        <w:pStyle w:val="Geenafstand"/>
        <w:spacing w:line="360" w:lineRule="auto"/>
        <w:rPr>
          <w:sz w:val="24"/>
          <w:szCs w:val="24"/>
        </w:rPr>
      </w:pPr>
    </w:p>
    <w:p w:rsidR="00DB79DF" w:rsidRPr="00484DAF" w:rsidRDefault="00DB79DF" w:rsidP="00CC552D">
      <w:pPr>
        <w:pStyle w:val="Kop2"/>
        <w:spacing w:before="0" w:line="360" w:lineRule="auto"/>
        <w:rPr>
          <w:rFonts w:ascii="Times New Roman" w:hAnsi="Times New Roman"/>
          <w:color w:val="auto"/>
          <w:sz w:val="24"/>
          <w:szCs w:val="24"/>
        </w:rPr>
      </w:pPr>
      <w:bookmarkStart w:id="51" w:name="_Toc254043909"/>
      <w:r w:rsidRPr="00484DAF">
        <w:rPr>
          <w:rFonts w:ascii="Times New Roman" w:hAnsi="Times New Roman"/>
          <w:color w:val="auto"/>
          <w:sz w:val="24"/>
          <w:szCs w:val="24"/>
        </w:rPr>
        <w:t>2.3.1 Afnemer is particulier (niet-ondernemer)</w:t>
      </w:r>
      <w:bookmarkEnd w:id="51"/>
    </w:p>
    <w:p w:rsidR="00FF12D5" w:rsidRPr="00484DAF" w:rsidRDefault="0026262E" w:rsidP="00CC552D">
      <w:pPr>
        <w:spacing w:after="0" w:line="360" w:lineRule="auto"/>
        <w:rPr>
          <w:sz w:val="24"/>
          <w:szCs w:val="24"/>
        </w:rPr>
      </w:pPr>
      <w:r w:rsidRPr="00484DAF">
        <w:rPr>
          <w:sz w:val="24"/>
          <w:szCs w:val="24"/>
        </w:rPr>
        <w:t xml:space="preserve">Een particulier die </w:t>
      </w:r>
      <w:r w:rsidR="000549DA" w:rsidRPr="00484DAF">
        <w:rPr>
          <w:sz w:val="24"/>
          <w:szCs w:val="24"/>
        </w:rPr>
        <w:t>de betreffende nieuwbouwwoning</w:t>
      </w:r>
      <w:r w:rsidR="00B5395C" w:rsidRPr="00484DAF">
        <w:rPr>
          <w:sz w:val="24"/>
          <w:szCs w:val="24"/>
        </w:rPr>
        <w:t xml:space="preserve"> inclusief ondergrond</w:t>
      </w:r>
      <w:r w:rsidR="000549DA" w:rsidRPr="00484DAF">
        <w:rPr>
          <w:sz w:val="24"/>
          <w:szCs w:val="24"/>
        </w:rPr>
        <w:t xml:space="preserve"> </w:t>
      </w:r>
      <w:r w:rsidR="008D313D" w:rsidRPr="00484DAF">
        <w:rPr>
          <w:sz w:val="24"/>
          <w:szCs w:val="24"/>
        </w:rPr>
        <w:t xml:space="preserve">in </w:t>
      </w:r>
      <w:r w:rsidR="000549DA" w:rsidRPr="00484DAF">
        <w:rPr>
          <w:sz w:val="24"/>
          <w:szCs w:val="24"/>
        </w:rPr>
        <w:t>opgeleverd</w:t>
      </w:r>
      <w:r w:rsidR="008D313D" w:rsidRPr="00484DAF">
        <w:rPr>
          <w:sz w:val="24"/>
          <w:szCs w:val="24"/>
        </w:rPr>
        <w:t>e</w:t>
      </w:r>
      <w:r w:rsidR="000549DA" w:rsidRPr="00484DAF">
        <w:rPr>
          <w:sz w:val="24"/>
          <w:szCs w:val="24"/>
        </w:rPr>
        <w:t xml:space="preserve"> </w:t>
      </w:r>
      <w:r w:rsidR="008D313D" w:rsidRPr="00484DAF">
        <w:rPr>
          <w:sz w:val="24"/>
          <w:szCs w:val="24"/>
        </w:rPr>
        <w:t xml:space="preserve">staat </w:t>
      </w:r>
      <w:r w:rsidR="000549DA" w:rsidRPr="00484DAF">
        <w:rPr>
          <w:sz w:val="24"/>
          <w:szCs w:val="24"/>
        </w:rPr>
        <w:t xml:space="preserve">koopt, </w:t>
      </w:r>
      <w:r w:rsidR="00B5395C" w:rsidRPr="00484DAF">
        <w:rPr>
          <w:sz w:val="24"/>
          <w:szCs w:val="24"/>
        </w:rPr>
        <w:t xml:space="preserve">krijgt </w:t>
      </w:r>
      <w:r w:rsidR="008D313D" w:rsidRPr="00484DAF">
        <w:rPr>
          <w:sz w:val="24"/>
          <w:szCs w:val="24"/>
        </w:rPr>
        <w:t xml:space="preserve">met </w:t>
      </w:r>
      <w:r w:rsidR="00B5395C" w:rsidRPr="00484DAF">
        <w:rPr>
          <w:sz w:val="24"/>
          <w:szCs w:val="24"/>
        </w:rPr>
        <w:t>de volgende kostprijs inclusief belastingen te maken</w:t>
      </w:r>
      <w:r w:rsidR="005C0296" w:rsidRPr="00484DAF">
        <w:rPr>
          <w:sz w:val="24"/>
          <w:szCs w:val="24"/>
        </w:rPr>
        <w:t>:</w:t>
      </w:r>
    </w:p>
    <w:tbl>
      <w:tblPr>
        <w:tblStyle w:val="Tabelraster"/>
        <w:tblW w:w="898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863"/>
        <w:gridCol w:w="1708"/>
        <w:gridCol w:w="294"/>
        <w:gridCol w:w="1728"/>
        <w:gridCol w:w="1529"/>
        <w:gridCol w:w="1863"/>
      </w:tblGrid>
      <w:tr w:rsidR="005448F9" w:rsidRPr="00484DAF" w:rsidTr="002D3B15">
        <w:trPr>
          <w:jc w:val="center"/>
        </w:trPr>
        <w:tc>
          <w:tcPr>
            <w:tcW w:w="1863" w:type="dxa"/>
          </w:tcPr>
          <w:p w:rsidR="000549DA" w:rsidRPr="00484DAF" w:rsidRDefault="005448F9" w:rsidP="00CC552D">
            <w:pPr>
              <w:pStyle w:val="Geenafstand"/>
              <w:spacing w:line="360" w:lineRule="auto"/>
              <w:rPr>
                <w:i/>
                <w:sz w:val="24"/>
                <w:szCs w:val="24"/>
              </w:rPr>
            </w:pPr>
            <w:r w:rsidRPr="00484DAF">
              <w:rPr>
                <w:i/>
                <w:sz w:val="24"/>
                <w:szCs w:val="24"/>
              </w:rPr>
              <w:lastRenderedPageBreak/>
              <w:t xml:space="preserve">Soort </w:t>
            </w:r>
          </w:p>
          <w:p w:rsidR="005448F9" w:rsidRPr="00484DAF" w:rsidRDefault="005448F9" w:rsidP="00CC552D">
            <w:pPr>
              <w:pStyle w:val="Geenafstand"/>
              <w:spacing w:line="360" w:lineRule="auto"/>
              <w:rPr>
                <w:i/>
                <w:sz w:val="24"/>
                <w:szCs w:val="24"/>
              </w:rPr>
            </w:pPr>
            <w:r w:rsidRPr="00484DAF">
              <w:rPr>
                <w:i/>
                <w:sz w:val="24"/>
                <w:szCs w:val="24"/>
              </w:rPr>
              <w:t>onroerend goed</w:t>
            </w:r>
          </w:p>
        </w:tc>
        <w:tc>
          <w:tcPr>
            <w:tcW w:w="1708" w:type="dxa"/>
          </w:tcPr>
          <w:p w:rsidR="005448F9" w:rsidRPr="00484DAF" w:rsidRDefault="005448F9" w:rsidP="00CC552D">
            <w:pPr>
              <w:pStyle w:val="Geenafstand"/>
              <w:spacing w:line="360" w:lineRule="auto"/>
              <w:rPr>
                <w:i/>
                <w:sz w:val="24"/>
                <w:szCs w:val="24"/>
              </w:rPr>
            </w:pPr>
            <w:r w:rsidRPr="00484DAF">
              <w:rPr>
                <w:i/>
                <w:sz w:val="24"/>
                <w:szCs w:val="24"/>
              </w:rPr>
              <w:t xml:space="preserve">Prijs </w:t>
            </w:r>
            <w:r w:rsidR="002D3B15" w:rsidRPr="00484DAF">
              <w:rPr>
                <w:i/>
                <w:sz w:val="24"/>
                <w:szCs w:val="24"/>
              </w:rPr>
              <w:t>e</w:t>
            </w:r>
            <w:r w:rsidRPr="00484DAF">
              <w:rPr>
                <w:i/>
                <w:sz w:val="24"/>
                <w:szCs w:val="24"/>
              </w:rPr>
              <w:t>xclusief</w:t>
            </w:r>
          </w:p>
          <w:p w:rsidR="005448F9" w:rsidRPr="00484DAF" w:rsidRDefault="00DB79DF" w:rsidP="00CC552D">
            <w:pPr>
              <w:pStyle w:val="Geenafstand"/>
              <w:spacing w:line="360" w:lineRule="auto"/>
              <w:rPr>
                <w:i/>
                <w:sz w:val="24"/>
                <w:szCs w:val="24"/>
              </w:rPr>
            </w:pPr>
            <w:r w:rsidRPr="00484DAF">
              <w:rPr>
                <w:i/>
                <w:sz w:val="24"/>
                <w:szCs w:val="24"/>
              </w:rPr>
              <w:t>B</w:t>
            </w:r>
            <w:r w:rsidR="005448F9" w:rsidRPr="00484DAF">
              <w:rPr>
                <w:i/>
                <w:sz w:val="24"/>
                <w:szCs w:val="24"/>
              </w:rPr>
              <w:t>elastingen</w:t>
            </w:r>
          </w:p>
        </w:tc>
        <w:tc>
          <w:tcPr>
            <w:tcW w:w="294" w:type="dxa"/>
          </w:tcPr>
          <w:p w:rsidR="005448F9" w:rsidRPr="00484DAF" w:rsidRDefault="005448F9" w:rsidP="00CC552D">
            <w:pPr>
              <w:pStyle w:val="Geenafstand"/>
              <w:spacing w:line="360" w:lineRule="auto"/>
              <w:rPr>
                <w:i/>
                <w:sz w:val="24"/>
                <w:szCs w:val="24"/>
              </w:rPr>
            </w:pPr>
          </w:p>
        </w:tc>
        <w:tc>
          <w:tcPr>
            <w:tcW w:w="1728" w:type="dxa"/>
          </w:tcPr>
          <w:p w:rsidR="005448F9" w:rsidRPr="00484DAF" w:rsidRDefault="005448F9" w:rsidP="00CC552D">
            <w:pPr>
              <w:pStyle w:val="Geenafstand"/>
              <w:spacing w:line="360" w:lineRule="auto"/>
              <w:rPr>
                <w:i/>
                <w:sz w:val="24"/>
                <w:szCs w:val="24"/>
              </w:rPr>
            </w:pPr>
            <w:r w:rsidRPr="00484DAF">
              <w:rPr>
                <w:i/>
                <w:sz w:val="24"/>
                <w:szCs w:val="24"/>
              </w:rPr>
              <w:t>Verschuldigde</w:t>
            </w:r>
          </w:p>
          <w:p w:rsidR="005448F9" w:rsidRPr="00484DAF" w:rsidRDefault="005448F9" w:rsidP="00CC552D">
            <w:pPr>
              <w:pStyle w:val="Geenafstand"/>
              <w:spacing w:line="360" w:lineRule="auto"/>
              <w:rPr>
                <w:i/>
                <w:sz w:val="24"/>
                <w:szCs w:val="24"/>
              </w:rPr>
            </w:pPr>
            <w:r w:rsidRPr="00484DAF">
              <w:rPr>
                <w:i/>
                <w:sz w:val="24"/>
                <w:szCs w:val="24"/>
              </w:rPr>
              <w:t>belasting</w:t>
            </w:r>
          </w:p>
        </w:tc>
        <w:tc>
          <w:tcPr>
            <w:tcW w:w="1529" w:type="dxa"/>
          </w:tcPr>
          <w:p w:rsidR="005448F9" w:rsidRPr="00484DAF" w:rsidRDefault="005448F9" w:rsidP="00CC552D">
            <w:pPr>
              <w:pStyle w:val="Geenafstand"/>
              <w:spacing w:line="360" w:lineRule="auto"/>
              <w:rPr>
                <w:i/>
                <w:sz w:val="24"/>
                <w:szCs w:val="24"/>
              </w:rPr>
            </w:pPr>
          </w:p>
        </w:tc>
        <w:tc>
          <w:tcPr>
            <w:tcW w:w="1863" w:type="dxa"/>
          </w:tcPr>
          <w:p w:rsidR="005448F9" w:rsidRPr="00484DAF" w:rsidRDefault="005448F9" w:rsidP="00CC552D">
            <w:pPr>
              <w:pStyle w:val="Geenafstand"/>
              <w:spacing w:line="360" w:lineRule="auto"/>
              <w:rPr>
                <w:i/>
                <w:sz w:val="24"/>
                <w:szCs w:val="24"/>
              </w:rPr>
            </w:pPr>
            <w:r w:rsidRPr="00484DAF">
              <w:rPr>
                <w:i/>
                <w:sz w:val="24"/>
                <w:szCs w:val="24"/>
              </w:rPr>
              <w:t>Totale kostprijs</w:t>
            </w:r>
          </w:p>
          <w:p w:rsidR="005448F9" w:rsidRPr="00484DAF" w:rsidRDefault="005448F9" w:rsidP="00CC552D">
            <w:pPr>
              <w:pStyle w:val="Geenafstand"/>
              <w:spacing w:line="360" w:lineRule="auto"/>
              <w:rPr>
                <w:i/>
                <w:sz w:val="24"/>
                <w:szCs w:val="24"/>
              </w:rPr>
            </w:pPr>
            <w:r w:rsidRPr="00484DAF">
              <w:rPr>
                <w:i/>
                <w:sz w:val="24"/>
                <w:szCs w:val="24"/>
              </w:rPr>
              <w:t>voor particulier</w:t>
            </w:r>
          </w:p>
        </w:tc>
      </w:tr>
      <w:tr w:rsidR="005448F9" w:rsidRPr="00484DAF" w:rsidTr="002D3B15">
        <w:trPr>
          <w:jc w:val="center"/>
        </w:trPr>
        <w:tc>
          <w:tcPr>
            <w:tcW w:w="1863" w:type="dxa"/>
          </w:tcPr>
          <w:p w:rsidR="005448F9" w:rsidRPr="00484DAF" w:rsidRDefault="005448F9" w:rsidP="00CC552D">
            <w:pPr>
              <w:pStyle w:val="Geenafstand"/>
              <w:spacing w:line="360" w:lineRule="auto"/>
              <w:rPr>
                <w:sz w:val="24"/>
                <w:szCs w:val="24"/>
              </w:rPr>
            </w:pPr>
            <w:r w:rsidRPr="00484DAF">
              <w:rPr>
                <w:sz w:val="24"/>
                <w:szCs w:val="24"/>
              </w:rPr>
              <w:t>Grond</w:t>
            </w:r>
          </w:p>
        </w:tc>
        <w:tc>
          <w:tcPr>
            <w:tcW w:w="1708" w:type="dxa"/>
          </w:tcPr>
          <w:p w:rsidR="005448F9" w:rsidRPr="00484DAF" w:rsidRDefault="005448F9" w:rsidP="00CC552D">
            <w:pPr>
              <w:pStyle w:val="Geenafstand"/>
              <w:spacing w:line="360" w:lineRule="auto"/>
              <w:rPr>
                <w:sz w:val="24"/>
                <w:szCs w:val="24"/>
              </w:rPr>
            </w:pPr>
            <w:r w:rsidRPr="00484DAF">
              <w:rPr>
                <w:sz w:val="24"/>
                <w:szCs w:val="24"/>
              </w:rPr>
              <w:t>€ 200.000</w:t>
            </w:r>
          </w:p>
        </w:tc>
        <w:tc>
          <w:tcPr>
            <w:tcW w:w="294" w:type="dxa"/>
          </w:tcPr>
          <w:p w:rsidR="005448F9" w:rsidRPr="00484DAF" w:rsidRDefault="005448F9" w:rsidP="00CC552D">
            <w:pPr>
              <w:pStyle w:val="Geenafstand"/>
              <w:spacing w:line="360" w:lineRule="auto"/>
              <w:rPr>
                <w:sz w:val="24"/>
                <w:szCs w:val="24"/>
              </w:rPr>
            </w:pPr>
          </w:p>
        </w:tc>
        <w:tc>
          <w:tcPr>
            <w:tcW w:w="1728" w:type="dxa"/>
          </w:tcPr>
          <w:p w:rsidR="005448F9" w:rsidRPr="00484DAF" w:rsidRDefault="005448F9" w:rsidP="00CC552D">
            <w:pPr>
              <w:pStyle w:val="Geenafstand"/>
              <w:spacing w:line="360" w:lineRule="auto"/>
              <w:rPr>
                <w:sz w:val="24"/>
                <w:szCs w:val="24"/>
              </w:rPr>
            </w:pPr>
            <w:r w:rsidRPr="00484DAF">
              <w:rPr>
                <w:sz w:val="24"/>
                <w:szCs w:val="24"/>
              </w:rPr>
              <w:t xml:space="preserve">€ 38.000 </w:t>
            </w:r>
          </w:p>
        </w:tc>
        <w:tc>
          <w:tcPr>
            <w:tcW w:w="1529" w:type="dxa"/>
          </w:tcPr>
          <w:p w:rsidR="005448F9" w:rsidRPr="00484DAF" w:rsidRDefault="005448F9" w:rsidP="00CC552D">
            <w:pPr>
              <w:pStyle w:val="Geenafstand"/>
              <w:spacing w:line="360" w:lineRule="auto"/>
              <w:rPr>
                <w:sz w:val="24"/>
                <w:szCs w:val="24"/>
              </w:rPr>
            </w:pPr>
            <w:r w:rsidRPr="00484DAF">
              <w:rPr>
                <w:sz w:val="24"/>
                <w:szCs w:val="24"/>
              </w:rPr>
              <w:t>(19% BTW)</w:t>
            </w:r>
          </w:p>
        </w:tc>
        <w:tc>
          <w:tcPr>
            <w:tcW w:w="1863" w:type="dxa"/>
          </w:tcPr>
          <w:p w:rsidR="005448F9" w:rsidRPr="00484DAF" w:rsidRDefault="005448F9" w:rsidP="00CC552D">
            <w:pPr>
              <w:pStyle w:val="Geenafstand"/>
              <w:spacing w:line="360" w:lineRule="auto"/>
              <w:rPr>
                <w:sz w:val="24"/>
                <w:szCs w:val="24"/>
              </w:rPr>
            </w:pPr>
            <w:r w:rsidRPr="00484DAF">
              <w:rPr>
                <w:sz w:val="24"/>
                <w:szCs w:val="24"/>
              </w:rPr>
              <w:t>€ 238.000</w:t>
            </w:r>
          </w:p>
        </w:tc>
      </w:tr>
      <w:tr w:rsidR="005448F9" w:rsidRPr="00484DAF" w:rsidTr="002D3B15">
        <w:trPr>
          <w:jc w:val="center"/>
        </w:trPr>
        <w:tc>
          <w:tcPr>
            <w:tcW w:w="1863" w:type="dxa"/>
          </w:tcPr>
          <w:p w:rsidR="005448F9" w:rsidRPr="00484DAF" w:rsidRDefault="005448F9" w:rsidP="00CC552D">
            <w:pPr>
              <w:pStyle w:val="Geenafstand"/>
              <w:spacing w:line="360" w:lineRule="auto"/>
              <w:rPr>
                <w:sz w:val="24"/>
                <w:szCs w:val="24"/>
              </w:rPr>
            </w:pPr>
            <w:r w:rsidRPr="00484DAF">
              <w:rPr>
                <w:sz w:val="24"/>
                <w:szCs w:val="24"/>
              </w:rPr>
              <w:t>Opstal</w:t>
            </w:r>
          </w:p>
        </w:tc>
        <w:tc>
          <w:tcPr>
            <w:tcW w:w="1708" w:type="dxa"/>
            <w:tcBorders>
              <w:bottom w:val="single" w:sz="4" w:space="0" w:color="auto"/>
            </w:tcBorders>
          </w:tcPr>
          <w:p w:rsidR="005448F9" w:rsidRPr="00484DAF" w:rsidRDefault="005448F9" w:rsidP="00CC552D">
            <w:pPr>
              <w:pStyle w:val="Geenafstand"/>
              <w:spacing w:line="360" w:lineRule="auto"/>
              <w:rPr>
                <w:sz w:val="24"/>
                <w:szCs w:val="24"/>
              </w:rPr>
            </w:pPr>
            <w:r w:rsidRPr="00484DAF">
              <w:rPr>
                <w:sz w:val="24"/>
                <w:szCs w:val="24"/>
              </w:rPr>
              <w:t>€ 150.000</w:t>
            </w:r>
          </w:p>
        </w:tc>
        <w:tc>
          <w:tcPr>
            <w:tcW w:w="294" w:type="dxa"/>
          </w:tcPr>
          <w:p w:rsidR="005448F9" w:rsidRPr="00484DAF" w:rsidRDefault="005448F9" w:rsidP="00CC552D">
            <w:pPr>
              <w:pStyle w:val="Geenafstand"/>
              <w:spacing w:line="360" w:lineRule="auto"/>
              <w:rPr>
                <w:sz w:val="24"/>
                <w:szCs w:val="24"/>
              </w:rPr>
            </w:pPr>
          </w:p>
        </w:tc>
        <w:tc>
          <w:tcPr>
            <w:tcW w:w="1728" w:type="dxa"/>
            <w:tcBorders>
              <w:bottom w:val="single" w:sz="4" w:space="0" w:color="auto"/>
            </w:tcBorders>
          </w:tcPr>
          <w:p w:rsidR="005448F9" w:rsidRPr="00484DAF" w:rsidRDefault="005448F9" w:rsidP="00CC552D">
            <w:pPr>
              <w:pStyle w:val="Geenafstand"/>
              <w:spacing w:line="360" w:lineRule="auto"/>
              <w:rPr>
                <w:sz w:val="24"/>
                <w:szCs w:val="24"/>
              </w:rPr>
            </w:pPr>
            <w:r w:rsidRPr="00484DAF">
              <w:rPr>
                <w:sz w:val="24"/>
                <w:szCs w:val="24"/>
              </w:rPr>
              <w:t xml:space="preserve">€ 28.500 </w:t>
            </w:r>
          </w:p>
        </w:tc>
        <w:tc>
          <w:tcPr>
            <w:tcW w:w="1529" w:type="dxa"/>
          </w:tcPr>
          <w:p w:rsidR="005448F9" w:rsidRPr="00484DAF" w:rsidRDefault="005448F9" w:rsidP="00CC552D">
            <w:pPr>
              <w:pStyle w:val="Geenafstand"/>
              <w:spacing w:line="360" w:lineRule="auto"/>
              <w:rPr>
                <w:sz w:val="24"/>
                <w:szCs w:val="24"/>
              </w:rPr>
            </w:pPr>
            <w:r w:rsidRPr="00484DAF">
              <w:rPr>
                <w:sz w:val="24"/>
                <w:szCs w:val="24"/>
              </w:rPr>
              <w:t>(19% BTW)</w:t>
            </w:r>
          </w:p>
        </w:tc>
        <w:tc>
          <w:tcPr>
            <w:tcW w:w="1863" w:type="dxa"/>
            <w:tcBorders>
              <w:bottom w:val="double" w:sz="4" w:space="0" w:color="auto"/>
            </w:tcBorders>
          </w:tcPr>
          <w:p w:rsidR="005448F9" w:rsidRPr="00484DAF" w:rsidRDefault="005448F9" w:rsidP="00CC552D">
            <w:pPr>
              <w:pStyle w:val="Geenafstand"/>
              <w:spacing w:line="360" w:lineRule="auto"/>
              <w:rPr>
                <w:sz w:val="24"/>
                <w:szCs w:val="24"/>
              </w:rPr>
            </w:pPr>
            <w:r w:rsidRPr="00484DAF">
              <w:rPr>
                <w:sz w:val="24"/>
                <w:szCs w:val="24"/>
              </w:rPr>
              <w:t>€ 178.500</w:t>
            </w:r>
          </w:p>
        </w:tc>
      </w:tr>
      <w:tr w:rsidR="005448F9" w:rsidRPr="00484DAF" w:rsidTr="002D3B15">
        <w:trPr>
          <w:jc w:val="center"/>
        </w:trPr>
        <w:tc>
          <w:tcPr>
            <w:tcW w:w="1863" w:type="dxa"/>
          </w:tcPr>
          <w:p w:rsidR="005448F9" w:rsidRPr="00484DAF" w:rsidRDefault="005448F9" w:rsidP="00CC552D">
            <w:pPr>
              <w:pStyle w:val="Geenafstand"/>
              <w:spacing w:line="360" w:lineRule="auto"/>
              <w:rPr>
                <w:sz w:val="24"/>
                <w:szCs w:val="24"/>
              </w:rPr>
            </w:pPr>
            <w:r w:rsidRPr="00484DAF">
              <w:rPr>
                <w:b/>
                <w:sz w:val="24"/>
                <w:szCs w:val="24"/>
              </w:rPr>
              <w:t>Totaal</w:t>
            </w:r>
          </w:p>
        </w:tc>
        <w:tc>
          <w:tcPr>
            <w:tcW w:w="1708" w:type="dxa"/>
            <w:tcBorders>
              <w:top w:val="single" w:sz="4" w:space="0" w:color="auto"/>
            </w:tcBorders>
          </w:tcPr>
          <w:p w:rsidR="005448F9" w:rsidRPr="00484DAF" w:rsidRDefault="005448F9" w:rsidP="00CC552D">
            <w:pPr>
              <w:pStyle w:val="Geenafstand"/>
              <w:spacing w:line="360" w:lineRule="auto"/>
              <w:rPr>
                <w:sz w:val="24"/>
                <w:szCs w:val="24"/>
              </w:rPr>
            </w:pPr>
            <w:r w:rsidRPr="00484DAF">
              <w:rPr>
                <w:sz w:val="24"/>
                <w:szCs w:val="24"/>
              </w:rPr>
              <w:t>€ 350.000</w:t>
            </w:r>
          </w:p>
        </w:tc>
        <w:tc>
          <w:tcPr>
            <w:tcW w:w="294" w:type="dxa"/>
          </w:tcPr>
          <w:p w:rsidR="005448F9" w:rsidRPr="00484DAF" w:rsidRDefault="005448F9" w:rsidP="00CC552D">
            <w:pPr>
              <w:pStyle w:val="Geenafstand"/>
              <w:spacing w:line="360" w:lineRule="auto"/>
              <w:rPr>
                <w:sz w:val="24"/>
                <w:szCs w:val="24"/>
              </w:rPr>
            </w:pPr>
          </w:p>
        </w:tc>
        <w:tc>
          <w:tcPr>
            <w:tcW w:w="1728" w:type="dxa"/>
            <w:tcBorders>
              <w:top w:val="single" w:sz="4" w:space="0" w:color="auto"/>
            </w:tcBorders>
          </w:tcPr>
          <w:p w:rsidR="005448F9" w:rsidRPr="00484DAF" w:rsidRDefault="005448F9" w:rsidP="00CC552D">
            <w:pPr>
              <w:pStyle w:val="Geenafstand"/>
              <w:spacing w:line="360" w:lineRule="auto"/>
              <w:rPr>
                <w:sz w:val="24"/>
                <w:szCs w:val="24"/>
              </w:rPr>
            </w:pPr>
            <w:r w:rsidRPr="00484DAF">
              <w:rPr>
                <w:sz w:val="24"/>
                <w:szCs w:val="24"/>
              </w:rPr>
              <w:t>€ 66.500</w:t>
            </w:r>
          </w:p>
        </w:tc>
        <w:tc>
          <w:tcPr>
            <w:tcW w:w="1529" w:type="dxa"/>
          </w:tcPr>
          <w:p w:rsidR="005448F9" w:rsidRPr="00484DAF" w:rsidRDefault="005448F9" w:rsidP="00CC552D">
            <w:pPr>
              <w:pStyle w:val="Geenafstand"/>
              <w:spacing w:line="360" w:lineRule="auto"/>
              <w:rPr>
                <w:b/>
                <w:sz w:val="24"/>
                <w:szCs w:val="24"/>
              </w:rPr>
            </w:pPr>
          </w:p>
        </w:tc>
        <w:tc>
          <w:tcPr>
            <w:tcW w:w="1863" w:type="dxa"/>
            <w:tcBorders>
              <w:top w:val="double" w:sz="4" w:space="0" w:color="auto"/>
            </w:tcBorders>
          </w:tcPr>
          <w:p w:rsidR="005448F9" w:rsidRPr="00484DAF" w:rsidRDefault="005448F9" w:rsidP="00CC552D">
            <w:pPr>
              <w:pStyle w:val="Geenafstand"/>
              <w:spacing w:line="360" w:lineRule="auto"/>
              <w:rPr>
                <w:b/>
                <w:sz w:val="24"/>
                <w:szCs w:val="24"/>
              </w:rPr>
            </w:pPr>
            <w:r w:rsidRPr="00484DAF">
              <w:rPr>
                <w:b/>
                <w:sz w:val="24"/>
                <w:szCs w:val="24"/>
              </w:rPr>
              <w:t>€ 416.500</w:t>
            </w:r>
          </w:p>
        </w:tc>
      </w:tr>
    </w:tbl>
    <w:p w:rsidR="005C0296" w:rsidRPr="00484DAF" w:rsidRDefault="005C0296" w:rsidP="00CC552D">
      <w:pPr>
        <w:pStyle w:val="Geenafstand"/>
        <w:spacing w:line="360" w:lineRule="auto"/>
        <w:rPr>
          <w:sz w:val="24"/>
          <w:szCs w:val="24"/>
        </w:rPr>
      </w:pPr>
    </w:p>
    <w:p w:rsidR="000549DA" w:rsidRPr="00484DAF" w:rsidRDefault="006B5582" w:rsidP="00CC552D">
      <w:pPr>
        <w:pStyle w:val="Geenafstand"/>
        <w:spacing w:line="360" w:lineRule="auto"/>
        <w:rPr>
          <w:sz w:val="24"/>
          <w:szCs w:val="24"/>
        </w:rPr>
      </w:pPr>
      <w:r w:rsidRPr="00484DAF">
        <w:rPr>
          <w:sz w:val="24"/>
          <w:szCs w:val="24"/>
        </w:rPr>
        <w:t xml:space="preserve">De BTW welke door de particulier wordt betaald, maar door de projectontwikkelaar per aangifte voldaan, vormt voor </w:t>
      </w:r>
      <w:r w:rsidR="00407AB3" w:rsidRPr="00484DAF">
        <w:rPr>
          <w:sz w:val="24"/>
          <w:szCs w:val="24"/>
        </w:rPr>
        <w:t>de projectontwikkelaar</w:t>
      </w:r>
      <w:r w:rsidRPr="00484DAF">
        <w:rPr>
          <w:sz w:val="24"/>
          <w:szCs w:val="24"/>
        </w:rPr>
        <w:t xml:space="preserve"> </w:t>
      </w:r>
      <w:r w:rsidR="0026262E" w:rsidRPr="00484DAF">
        <w:rPr>
          <w:sz w:val="24"/>
          <w:szCs w:val="24"/>
        </w:rPr>
        <w:t xml:space="preserve">per saldo </w:t>
      </w:r>
      <w:r w:rsidRPr="00484DAF">
        <w:rPr>
          <w:sz w:val="24"/>
          <w:szCs w:val="24"/>
        </w:rPr>
        <w:t>geen kostenpost.</w:t>
      </w:r>
      <w:r w:rsidR="0026262E" w:rsidRPr="00484DAF">
        <w:rPr>
          <w:sz w:val="24"/>
          <w:szCs w:val="24"/>
        </w:rPr>
        <w:t xml:space="preserve"> De particulier zit uiteraard wel met 16% van de totale kostprijs welke bestaat u</w:t>
      </w:r>
      <w:r w:rsidR="00767799" w:rsidRPr="00484DAF">
        <w:rPr>
          <w:sz w:val="24"/>
          <w:szCs w:val="24"/>
        </w:rPr>
        <w:t xml:space="preserve">it omzetbelasting in zijn maag. Overdrachtsbelasting blijft ter zake van de verkrijging van de nieuwbouw buiten beschouwing, omdat </w:t>
      </w:r>
      <w:r w:rsidR="00184F28" w:rsidRPr="00484DAF">
        <w:rPr>
          <w:sz w:val="24"/>
          <w:szCs w:val="24"/>
        </w:rPr>
        <w:t xml:space="preserve">de levering </w:t>
      </w:r>
      <w:r w:rsidR="00767799" w:rsidRPr="00484DAF">
        <w:rPr>
          <w:sz w:val="24"/>
          <w:szCs w:val="24"/>
        </w:rPr>
        <w:t xml:space="preserve">van rechtswege </w:t>
      </w:r>
      <w:r w:rsidR="00184F28" w:rsidRPr="00484DAF">
        <w:rPr>
          <w:sz w:val="24"/>
          <w:szCs w:val="24"/>
        </w:rPr>
        <w:t xml:space="preserve">met omzetbelasting </w:t>
      </w:r>
      <w:r w:rsidR="00767799" w:rsidRPr="00484DAF">
        <w:rPr>
          <w:sz w:val="24"/>
          <w:szCs w:val="24"/>
        </w:rPr>
        <w:t xml:space="preserve">is belast. </w:t>
      </w:r>
      <w:r w:rsidR="001D254E" w:rsidRPr="00484DAF">
        <w:rPr>
          <w:sz w:val="24"/>
          <w:szCs w:val="24"/>
        </w:rPr>
        <w:t xml:space="preserve">Merk op dat de opbrengst verkopen voor de </w:t>
      </w:r>
      <w:r w:rsidR="000549DA" w:rsidRPr="00484DAF">
        <w:rPr>
          <w:sz w:val="24"/>
          <w:szCs w:val="24"/>
        </w:rPr>
        <w:t>projectontwikkelaar hier € 350.000 bedraagt</w:t>
      </w:r>
      <w:r w:rsidR="00D45B74" w:rsidRPr="00484DAF">
        <w:rPr>
          <w:sz w:val="24"/>
          <w:szCs w:val="24"/>
        </w:rPr>
        <w:t xml:space="preserve"> en € 66.500</w:t>
      </w:r>
      <w:r w:rsidR="00184F28" w:rsidRPr="00484DAF">
        <w:rPr>
          <w:sz w:val="24"/>
          <w:szCs w:val="24"/>
        </w:rPr>
        <w:t xml:space="preserve"> aan BTW dient te worden voldaan</w:t>
      </w:r>
      <w:r w:rsidR="000549DA" w:rsidRPr="00484DAF">
        <w:rPr>
          <w:sz w:val="24"/>
          <w:szCs w:val="24"/>
        </w:rPr>
        <w:t>.</w:t>
      </w:r>
    </w:p>
    <w:p w:rsidR="000549DA" w:rsidRPr="00484DAF" w:rsidRDefault="000549DA" w:rsidP="00CC552D">
      <w:pPr>
        <w:pStyle w:val="Geenafstand"/>
        <w:spacing w:line="360" w:lineRule="auto"/>
        <w:rPr>
          <w:sz w:val="24"/>
          <w:szCs w:val="24"/>
        </w:rPr>
      </w:pPr>
    </w:p>
    <w:p w:rsidR="006B5582" w:rsidRPr="00484DAF" w:rsidRDefault="00F65B28" w:rsidP="00CC552D">
      <w:pPr>
        <w:pStyle w:val="Geenafstand"/>
        <w:spacing w:line="360" w:lineRule="auto"/>
        <w:rPr>
          <w:sz w:val="24"/>
          <w:szCs w:val="24"/>
        </w:rPr>
      </w:pPr>
      <w:r w:rsidRPr="00484DAF">
        <w:rPr>
          <w:sz w:val="24"/>
          <w:szCs w:val="24"/>
        </w:rPr>
        <w:t xml:space="preserve">Stel nu dat de </w:t>
      </w:r>
      <w:r w:rsidR="008D313D" w:rsidRPr="00484DAF">
        <w:rPr>
          <w:sz w:val="24"/>
          <w:szCs w:val="24"/>
        </w:rPr>
        <w:t>projectontwikkelaar een koopovereenkomst voor een kavel grond, niet zijnde een bouwterrein, met de particulier afsluit en gelijktijdig een aanneemovereenkomst voor de bouw van het opstal</w:t>
      </w:r>
      <w:r w:rsidR="00184F28" w:rsidRPr="00484DAF">
        <w:rPr>
          <w:sz w:val="24"/>
          <w:szCs w:val="24"/>
        </w:rPr>
        <w:t xml:space="preserve"> afsluit</w:t>
      </w:r>
      <w:r w:rsidR="008D313D" w:rsidRPr="00484DAF">
        <w:rPr>
          <w:sz w:val="24"/>
          <w:szCs w:val="24"/>
        </w:rPr>
        <w:t>.</w:t>
      </w:r>
      <w:r w:rsidR="00184F28" w:rsidRPr="00484DAF">
        <w:rPr>
          <w:rStyle w:val="Voetnootmarkering"/>
          <w:sz w:val="24"/>
          <w:szCs w:val="24"/>
        </w:rPr>
        <w:footnoteReference w:id="99"/>
      </w:r>
      <w:r w:rsidR="008D313D" w:rsidRPr="00484DAF">
        <w:rPr>
          <w:sz w:val="24"/>
          <w:szCs w:val="24"/>
        </w:rPr>
        <w:t xml:space="preserve"> </w:t>
      </w:r>
      <w:r w:rsidRPr="00484DAF">
        <w:rPr>
          <w:sz w:val="24"/>
          <w:szCs w:val="24"/>
        </w:rPr>
        <w:t xml:space="preserve">De verkrijging van </w:t>
      </w:r>
      <w:r w:rsidR="008D313D" w:rsidRPr="00484DAF">
        <w:rPr>
          <w:sz w:val="24"/>
          <w:szCs w:val="24"/>
        </w:rPr>
        <w:t xml:space="preserve">de grond </w:t>
      </w:r>
      <w:r w:rsidRPr="00484DAF">
        <w:rPr>
          <w:sz w:val="24"/>
          <w:szCs w:val="24"/>
        </w:rPr>
        <w:t>is belast met 6% overdrachtsbelasting</w:t>
      </w:r>
      <w:r w:rsidR="008D313D" w:rsidRPr="00484DAF">
        <w:rPr>
          <w:sz w:val="24"/>
          <w:szCs w:val="24"/>
        </w:rPr>
        <w:t xml:space="preserve"> nu geen sprake is van een bouwterrein</w:t>
      </w:r>
      <w:r w:rsidRPr="00484DAF">
        <w:rPr>
          <w:sz w:val="24"/>
          <w:szCs w:val="24"/>
        </w:rPr>
        <w:t xml:space="preserve">. </w:t>
      </w:r>
      <w:r w:rsidR="008D313D" w:rsidRPr="00484DAF">
        <w:rPr>
          <w:sz w:val="24"/>
          <w:szCs w:val="24"/>
        </w:rPr>
        <w:t>D</w:t>
      </w:r>
      <w:r w:rsidR="00D45B74" w:rsidRPr="00484DAF">
        <w:rPr>
          <w:sz w:val="24"/>
          <w:szCs w:val="24"/>
        </w:rPr>
        <w:t xml:space="preserve">e aanneemsom </w:t>
      </w:r>
      <w:r w:rsidR="008D313D" w:rsidRPr="00484DAF">
        <w:rPr>
          <w:sz w:val="24"/>
          <w:szCs w:val="24"/>
        </w:rPr>
        <w:t xml:space="preserve">is wel </w:t>
      </w:r>
      <w:r w:rsidR="00D45B74" w:rsidRPr="00484DAF">
        <w:rPr>
          <w:sz w:val="24"/>
          <w:szCs w:val="24"/>
        </w:rPr>
        <w:t>belast met 19% BTW. Het kostenplaatje ziet er als volgt uit:</w:t>
      </w:r>
    </w:p>
    <w:p w:rsidR="002F4EF6" w:rsidRPr="00484DAF" w:rsidRDefault="002F4EF6" w:rsidP="00CC552D">
      <w:pPr>
        <w:pStyle w:val="Geenafstand"/>
        <w:spacing w:line="360" w:lineRule="auto"/>
        <w:rPr>
          <w:sz w:val="24"/>
          <w:szCs w:val="24"/>
        </w:rPr>
      </w:pPr>
    </w:p>
    <w:tbl>
      <w:tblPr>
        <w:tblStyle w:val="Tabelraster"/>
        <w:tblW w:w="90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982"/>
        <w:gridCol w:w="1708"/>
        <w:gridCol w:w="236"/>
        <w:gridCol w:w="1728"/>
        <w:gridCol w:w="1529"/>
        <w:gridCol w:w="1863"/>
      </w:tblGrid>
      <w:tr w:rsidR="00530761" w:rsidRPr="00484DAF" w:rsidTr="00530761">
        <w:trPr>
          <w:jc w:val="center"/>
        </w:trPr>
        <w:tc>
          <w:tcPr>
            <w:tcW w:w="1982" w:type="dxa"/>
          </w:tcPr>
          <w:p w:rsidR="00B5395C" w:rsidRPr="00484DAF" w:rsidRDefault="00530761" w:rsidP="00CC552D">
            <w:pPr>
              <w:pStyle w:val="Geenafstand"/>
              <w:spacing w:line="360" w:lineRule="auto"/>
              <w:rPr>
                <w:i/>
                <w:sz w:val="24"/>
                <w:szCs w:val="24"/>
              </w:rPr>
            </w:pPr>
            <w:r w:rsidRPr="00484DAF">
              <w:rPr>
                <w:i/>
                <w:sz w:val="24"/>
                <w:szCs w:val="24"/>
              </w:rPr>
              <w:t xml:space="preserve">Soort </w:t>
            </w:r>
          </w:p>
          <w:p w:rsidR="00530761" w:rsidRPr="00484DAF" w:rsidRDefault="00530761" w:rsidP="00CC552D">
            <w:pPr>
              <w:pStyle w:val="Geenafstand"/>
              <w:spacing w:line="360" w:lineRule="auto"/>
              <w:rPr>
                <w:i/>
                <w:sz w:val="24"/>
                <w:szCs w:val="24"/>
              </w:rPr>
            </w:pPr>
            <w:r w:rsidRPr="00484DAF">
              <w:rPr>
                <w:i/>
                <w:sz w:val="24"/>
                <w:szCs w:val="24"/>
              </w:rPr>
              <w:t>onroerend goed</w:t>
            </w:r>
          </w:p>
        </w:tc>
        <w:tc>
          <w:tcPr>
            <w:tcW w:w="1708" w:type="dxa"/>
          </w:tcPr>
          <w:p w:rsidR="00530761" w:rsidRPr="00484DAF" w:rsidRDefault="00530761" w:rsidP="00CC552D">
            <w:pPr>
              <w:pStyle w:val="Geenafstand"/>
              <w:spacing w:line="360" w:lineRule="auto"/>
              <w:rPr>
                <w:i/>
                <w:sz w:val="24"/>
                <w:szCs w:val="24"/>
              </w:rPr>
            </w:pPr>
            <w:r w:rsidRPr="00484DAF">
              <w:rPr>
                <w:i/>
                <w:sz w:val="24"/>
                <w:szCs w:val="24"/>
              </w:rPr>
              <w:t>Prijs exclusief</w:t>
            </w:r>
          </w:p>
          <w:p w:rsidR="00530761" w:rsidRPr="00484DAF" w:rsidRDefault="00530761" w:rsidP="00CC552D">
            <w:pPr>
              <w:pStyle w:val="Geenafstand"/>
              <w:spacing w:line="360" w:lineRule="auto"/>
              <w:rPr>
                <w:i/>
                <w:sz w:val="24"/>
                <w:szCs w:val="24"/>
              </w:rPr>
            </w:pPr>
            <w:r w:rsidRPr="00484DAF">
              <w:rPr>
                <w:i/>
                <w:sz w:val="24"/>
                <w:szCs w:val="24"/>
              </w:rPr>
              <w:t>belastingen</w:t>
            </w:r>
          </w:p>
        </w:tc>
        <w:tc>
          <w:tcPr>
            <w:tcW w:w="236" w:type="dxa"/>
          </w:tcPr>
          <w:p w:rsidR="00530761" w:rsidRPr="00484DAF" w:rsidRDefault="00530761" w:rsidP="00CC552D">
            <w:pPr>
              <w:pStyle w:val="Geenafstand"/>
              <w:spacing w:line="360" w:lineRule="auto"/>
              <w:rPr>
                <w:i/>
                <w:sz w:val="24"/>
                <w:szCs w:val="24"/>
              </w:rPr>
            </w:pPr>
          </w:p>
        </w:tc>
        <w:tc>
          <w:tcPr>
            <w:tcW w:w="1728" w:type="dxa"/>
          </w:tcPr>
          <w:p w:rsidR="00530761" w:rsidRPr="00484DAF" w:rsidRDefault="00530761" w:rsidP="00CC552D">
            <w:pPr>
              <w:pStyle w:val="Geenafstand"/>
              <w:spacing w:line="360" w:lineRule="auto"/>
              <w:rPr>
                <w:i/>
                <w:sz w:val="24"/>
                <w:szCs w:val="24"/>
              </w:rPr>
            </w:pPr>
            <w:r w:rsidRPr="00484DAF">
              <w:rPr>
                <w:i/>
                <w:sz w:val="24"/>
                <w:szCs w:val="24"/>
              </w:rPr>
              <w:t>Verschuldigde</w:t>
            </w:r>
          </w:p>
          <w:p w:rsidR="00530761" w:rsidRPr="00484DAF" w:rsidRDefault="00530761" w:rsidP="00CC552D">
            <w:pPr>
              <w:pStyle w:val="Geenafstand"/>
              <w:spacing w:line="360" w:lineRule="auto"/>
              <w:rPr>
                <w:i/>
                <w:sz w:val="24"/>
                <w:szCs w:val="24"/>
              </w:rPr>
            </w:pPr>
            <w:r w:rsidRPr="00484DAF">
              <w:rPr>
                <w:i/>
                <w:sz w:val="24"/>
                <w:szCs w:val="24"/>
              </w:rPr>
              <w:t>belasting</w:t>
            </w:r>
          </w:p>
        </w:tc>
        <w:tc>
          <w:tcPr>
            <w:tcW w:w="1529" w:type="dxa"/>
          </w:tcPr>
          <w:p w:rsidR="00530761" w:rsidRPr="00484DAF" w:rsidRDefault="00530761" w:rsidP="00CC552D">
            <w:pPr>
              <w:pStyle w:val="Geenafstand"/>
              <w:spacing w:line="360" w:lineRule="auto"/>
              <w:rPr>
                <w:i/>
                <w:sz w:val="24"/>
                <w:szCs w:val="24"/>
              </w:rPr>
            </w:pPr>
          </w:p>
        </w:tc>
        <w:tc>
          <w:tcPr>
            <w:tcW w:w="1863" w:type="dxa"/>
          </w:tcPr>
          <w:p w:rsidR="00530761" w:rsidRPr="00484DAF" w:rsidRDefault="00530761" w:rsidP="00CC552D">
            <w:pPr>
              <w:pStyle w:val="Geenafstand"/>
              <w:spacing w:line="360" w:lineRule="auto"/>
              <w:rPr>
                <w:i/>
                <w:sz w:val="24"/>
                <w:szCs w:val="24"/>
              </w:rPr>
            </w:pPr>
            <w:r w:rsidRPr="00484DAF">
              <w:rPr>
                <w:i/>
                <w:sz w:val="24"/>
                <w:szCs w:val="24"/>
              </w:rPr>
              <w:t>Totale kostprijs</w:t>
            </w:r>
          </w:p>
          <w:p w:rsidR="00530761" w:rsidRPr="00484DAF" w:rsidRDefault="00530761" w:rsidP="00CC552D">
            <w:pPr>
              <w:pStyle w:val="Geenafstand"/>
              <w:spacing w:line="360" w:lineRule="auto"/>
              <w:rPr>
                <w:i/>
                <w:sz w:val="24"/>
                <w:szCs w:val="24"/>
              </w:rPr>
            </w:pPr>
          </w:p>
        </w:tc>
      </w:tr>
      <w:tr w:rsidR="00530761" w:rsidRPr="00484DAF" w:rsidTr="00530761">
        <w:trPr>
          <w:jc w:val="center"/>
        </w:trPr>
        <w:tc>
          <w:tcPr>
            <w:tcW w:w="1982" w:type="dxa"/>
          </w:tcPr>
          <w:p w:rsidR="00530761" w:rsidRPr="00484DAF" w:rsidRDefault="00530761" w:rsidP="00CC552D">
            <w:pPr>
              <w:pStyle w:val="Geenafstand"/>
              <w:spacing w:line="360" w:lineRule="auto"/>
              <w:rPr>
                <w:sz w:val="24"/>
                <w:szCs w:val="24"/>
              </w:rPr>
            </w:pPr>
            <w:r w:rsidRPr="00484DAF">
              <w:rPr>
                <w:sz w:val="24"/>
                <w:szCs w:val="24"/>
              </w:rPr>
              <w:t>Grond</w:t>
            </w:r>
          </w:p>
        </w:tc>
        <w:tc>
          <w:tcPr>
            <w:tcW w:w="1708" w:type="dxa"/>
          </w:tcPr>
          <w:p w:rsidR="00530761" w:rsidRPr="00484DAF" w:rsidRDefault="00530761" w:rsidP="00CC552D">
            <w:pPr>
              <w:pStyle w:val="Geenafstand"/>
              <w:spacing w:line="360" w:lineRule="auto"/>
              <w:rPr>
                <w:sz w:val="24"/>
                <w:szCs w:val="24"/>
              </w:rPr>
            </w:pPr>
            <w:r w:rsidRPr="00484DAF">
              <w:rPr>
                <w:sz w:val="24"/>
                <w:szCs w:val="24"/>
              </w:rPr>
              <w:t>€ 200.000</w:t>
            </w:r>
          </w:p>
        </w:tc>
        <w:tc>
          <w:tcPr>
            <w:tcW w:w="236" w:type="dxa"/>
          </w:tcPr>
          <w:p w:rsidR="00530761" w:rsidRPr="00484DAF" w:rsidRDefault="00530761" w:rsidP="00CC552D">
            <w:pPr>
              <w:pStyle w:val="Geenafstand"/>
              <w:spacing w:line="360" w:lineRule="auto"/>
              <w:rPr>
                <w:sz w:val="24"/>
                <w:szCs w:val="24"/>
              </w:rPr>
            </w:pPr>
          </w:p>
        </w:tc>
        <w:tc>
          <w:tcPr>
            <w:tcW w:w="1728" w:type="dxa"/>
          </w:tcPr>
          <w:p w:rsidR="00530761" w:rsidRPr="00484DAF" w:rsidRDefault="00530761" w:rsidP="00CC552D">
            <w:pPr>
              <w:pStyle w:val="Geenafstand"/>
              <w:spacing w:line="360" w:lineRule="auto"/>
              <w:rPr>
                <w:sz w:val="24"/>
                <w:szCs w:val="24"/>
              </w:rPr>
            </w:pPr>
            <w:r w:rsidRPr="00484DAF">
              <w:rPr>
                <w:sz w:val="24"/>
                <w:szCs w:val="24"/>
              </w:rPr>
              <w:t>€ 12.000</w:t>
            </w:r>
          </w:p>
        </w:tc>
        <w:tc>
          <w:tcPr>
            <w:tcW w:w="1529" w:type="dxa"/>
          </w:tcPr>
          <w:p w:rsidR="00530761" w:rsidRPr="00484DAF" w:rsidRDefault="00530761" w:rsidP="00CC552D">
            <w:pPr>
              <w:pStyle w:val="Geenafstand"/>
              <w:spacing w:line="360" w:lineRule="auto"/>
              <w:rPr>
                <w:sz w:val="24"/>
                <w:szCs w:val="24"/>
              </w:rPr>
            </w:pPr>
            <w:r w:rsidRPr="00484DAF">
              <w:rPr>
                <w:sz w:val="24"/>
                <w:szCs w:val="24"/>
              </w:rPr>
              <w:t>(6% OVB)</w:t>
            </w:r>
          </w:p>
        </w:tc>
        <w:tc>
          <w:tcPr>
            <w:tcW w:w="1863" w:type="dxa"/>
          </w:tcPr>
          <w:p w:rsidR="00530761" w:rsidRPr="00484DAF" w:rsidRDefault="00530761" w:rsidP="00CC552D">
            <w:pPr>
              <w:pStyle w:val="Geenafstand"/>
              <w:spacing w:line="360" w:lineRule="auto"/>
              <w:rPr>
                <w:sz w:val="24"/>
                <w:szCs w:val="24"/>
              </w:rPr>
            </w:pPr>
            <w:r w:rsidRPr="00484DAF">
              <w:rPr>
                <w:sz w:val="24"/>
                <w:szCs w:val="24"/>
              </w:rPr>
              <w:t>€ 212.000</w:t>
            </w:r>
          </w:p>
        </w:tc>
      </w:tr>
      <w:tr w:rsidR="00530761" w:rsidRPr="00484DAF" w:rsidTr="00530761">
        <w:trPr>
          <w:jc w:val="center"/>
        </w:trPr>
        <w:tc>
          <w:tcPr>
            <w:tcW w:w="1982" w:type="dxa"/>
          </w:tcPr>
          <w:p w:rsidR="00530761" w:rsidRPr="00484DAF" w:rsidRDefault="00530761" w:rsidP="00CC552D">
            <w:pPr>
              <w:pStyle w:val="Geenafstand"/>
              <w:spacing w:line="360" w:lineRule="auto"/>
              <w:rPr>
                <w:sz w:val="24"/>
                <w:szCs w:val="24"/>
              </w:rPr>
            </w:pPr>
            <w:r w:rsidRPr="00484DAF">
              <w:rPr>
                <w:sz w:val="24"/>
                <w:szCs w:val="24"/>
              </w:rPr>
              <w:t>Opstal</w:t>
            </w:r>
          </w:p>
        </w:tc>
        <w:tc>
          <w:tcPr>
            <w:tcW w:w="1708" w:type="dxa"/>
            <w:tcBorders>
              <w:bottom w:val="single" w:sz="4" w:space="0" w:color="auto"/>
            </w:tcBorders>
          </w:tcPr>
          <w:p w:rsidR="00530761" w:rsidRPr="00484DAF" w:rsidRDefault="00530761" w:rsidP="00CC552D">
            <w:pPr>
              <w:pStyle w:val="Geenafstand"/>
              <w:spacing w:line="360" w:lineRule="auto"/>
              <w:rPr>
                <w:sz w:val="24"/>
                <w:szCs w:val="24"/>
              </w:rPr>
            </w:pPr>
            <w:r w:rsidRPr="00484DAF">
              <w:rPr>
                <w:sz w:val="24"/>
                <w:szCs w:val="24"/>
              </w:rPr>
              <w:t>€ 150.000</w:t>
            </w:r>
          </w:p>
        </w:tc>
        <w:tc>
          <w:tcPr>
            <w:tcW w:w="236" w:type="dxa"/>
          </w:tcPr>
          <w:p w:rsidR="00530761" w:rsidRPr="00484DAF" w:rsidRDefault="00530761" w:rsidP="00CC552D">
            <w:pPr>
              <w:pStyle w:val="Geenafstand"/>
              <w:spacing w:line="360" w:lineRule="auto"/>
              <w:rPr>
                <w:sz w:val="24"/>
                <w:szCs w:val="24"/>
              </w:rPr>
            </w:pPr>
          </w:p>
        </w:tc>
        <w:tc>
          <w:tcPr>
            <w:tcW w:w="1728" w:type="dxa"/>
            <w:tcBorders>
              <w:bottom w:val="single" w:sz="4" w:space="0" w:color="auto"/>
            </w:tcBorders>
          </w:tcPr>
          <w:p w:rsidR="00530761" w:rsidRPr="00484DAF" w:rsidRDefault="00530761" w:rsidP="00CC552D">
            <w:pPr>
              <w:pStyle w:val="Geenafstand"/>
              <w:spacing w:line="360" w:lineRule="auto"/>
              <w:rPr>
                <w:sz w:val="24"/>
                <w:szCs w:val="24"/>
              </w:rPr>
            </w:pPr>
            <w:r w:rsidRPr="00484DAF">
              <w:rPr>
                <w:sz w:val="24"/>
                <w:szCs w:val="24"/>
              </w:rPr>
              <w:t xml:space="preserve">€ 28.500 </w:t>
            </w:r>
          </w:p>
        </w:tc>
        <w:tc>
          <w:tcPr>
            <w:tcW w:w="1529" w:type="dxa"/>
          </w:tcPr>
          <w:p w:rsidR="00530761" w:rsidRPr="00484DAF" w:rsidRDefault="00530761" w:rsidP="00CC552D">
            <w:pPr>
              <w:pStyle w:val="Geenafstand"/>
              <w:spacing w:line="360" w:lineRule="auto"/>
              <w:rPr>
                <w:sz w:val="24"/>
                <w:szCs w:val="24"/>
              </w:rPr>
            </w:pPr>
            <w:r w:rsidRPr="00484DAF">
              <w:rPr>
                <w:sz w:val="24"/>
                <w:szCs w:val="24"/>
              </w:rPr>
              <w:t>(19% BTW)</w:t>
            </w:r>
          </w:p>
        </w:tc>
        <w:tc>
          <w:tcPr>
            <w:tcW w:w="1863" w:type="dxa"/>
            <w:tcBorders>
              <w:bottom w:val="double" w:sz="4" w:space="0" w:color="auto"/>
            </w:tcBorders>
          </w:tcPr>
          <w:p w:rsidR="00530761" w:rsidRPr="00484DAF" w:rsidRDefault="00530761" w:rsidP="00CC552D">
            <w:pPr>
              <w:pStyle w:val="Geenafstand"/>
              <w:spacing w:line="360" w:lineRule="auto"/>
              <w:rPr>
                <w:sz w:val="24"/>
                <w:szCs w:val="24"/>
              </w:rPr>
            </w:pPr>
            <w:r w:rsidRPr="00484DAF">
              <w:rPr>
                <w:sz w:val="24"/>
                <w:szCs w:val="24"/>
              </w:rPr>
              <w:t>€ 178.500</w:t>
            </w:r>
          </w:p>
        </w:tc>
      </w:tr>
      <w:tr w:rsidR="00530761" w:rsidRPr="00484DAF" w:rsidTr="00530761">
        <w:trPr>
          <w:jc w:val="center"/>
        </w:trPr>
        <w:tc>
          <w:tcPr>
            <w:tcW w:w="1982" w:type="dxa"/>
          </w:tcPr>
          <w:p w:rsidR="00530761" w:rsidRPr="00484DAF" w:rsidRDefault="00530761" w:rsidP="00CC552D">
            <w:pPr>
              <w:pStyle w:val="Geenafstand"/>
              <w:spacing w:line="360" w:lineRule="auto"/>
              <w:rPr>
                <w:sz w:val="24"/>
                <w:szCs w:val="24"/>
              </w:rPr>
            </w:pPr>
            <w:r w:rsidRPr="00484DAF">
              <w:rPr>
                <w:b/>
                <w:sz w:val="24"/>
                <w:szCs w:val="24"/>
              </w:rPr>
              <w:t>Totaal</w:t>
            </w:r>
          </w:p>
        </w:tc>
        <w:tc>
          <w:tcPr>
            <w:tcW w:w="1708" w:type="dxa"/>
            <w:tcBorders>
              <w:top w:val="single" w:sz="4" w:space="0" w:color="auto"/>
            </w:tcBorders>
          </w:tcPr>
          <w:p w:rsidR="00530761" w:rsidRPr="00484DAF" w:rsidRDefault="00530761" w:rsidP="00CC552D">
            <w:pPr>
              <w:pStyle w:val="Geenafstand"/>
              <w:spacing w:line="360" w:lineRule="auto"/>
              <w:rPr>
                <w:sz w:val="24"/>
                <w:szCs w:val="24"/>
              </w:rPr>
            </w:pPr>
            <w:r w:rsidRPr="00484DAF">
              <w:rPr>
                <w:sz w:val="24"/>
                <w:szCs w:val="24"/>
              </w:rPr>
              <w:t>€ 350.000</w:t>
            </w:r>
          </w:p>
        </w:tc>
        <w:tc>
          <w:tcPr>
            <w:tcW w:w="236" w:type="dxa"/>
          </w:tcPr>
          <w:p w:rsidR="00530761" w:rsidRPr="00484DAF" w:rsidRDefault="00530761" w:rsidP="00CC552D">
            <w:pPr>
              <w:pStyle w:val="Geenafstand"/>
              <w:spacing w:line="360" w:lineRule="auto"/>
              <w:rPr>
                <w:sz w:val="24"/>
                <w:szCs w:val="24"/>
              </w:rPr>
            </w:pPr>
          </w:p>
        </w:tc>
        <w:tc>
          <w:tcPr>
            <w:tcW w:w="1728" w:type="dxa"/>
            <w:tcBorders>
              <w:top w:val="single" w:sz="4" w:space="0" w:color="auto"/>
            </w:tcBorders>
          </w:tcPr>
          <w:p w:rsidR="00530761" w:rsidRPr="00484DAF" w:rsidRDefault="00530761" w:rsidP="00CC552D">
            <w:pPr>
              <w:pStyle w:val="Geenafstand"/>
              <w:spacing w:line="360" w:lineRule="auto"/>
              <w:rPr>
                <w:sz w:val="24"/>
                <w:szCs w:val="24"/>
              </w:rPr>
            </w:pPr>
            <w:r w:rsidRPr="00484DAF">
              <w:rPr>
                <w:sz w:val="24"/>
                <w:szCs w:val="24"/>
              </w:rPr>
              <w:t>€ 40.500</w:t>
            </w:r>
          </w:p>
        </w:tc>
        <w:tc>
          <w:tcPr>
            <w:tcW w:w="1529" w:type="dxa"/>
          </w:tcPr>
          <w:p w:rsidR="00530761" w:rsidRPr="00484DAF" w:rsidRDefault="00530761" w:rsidP="00CC552D">
            <w:pPr>
              <w:pStyle w:val="Geenafstand"/>
              <w:spacing w:line="360" w:lineRule="auto"/>
              <w:rPr>
                <w:b/>
                <w:sz w:val="24"/>
                <w:szCs w:val="24"/>
              </w:rPr>
            </w:pPr>
          </w:p>
        </w:tc>
        <w:tc>
          <w:tcPr>
            <w:tcW w:w="1863" w:type="dxa"/>
            <w:tcBorders>
              <w:top w:val="double" w:sz="4" w:space="0" w:color="auto"/>
            </w:tcBorders>
          </w:tcPr>
          <w:p w:rsidR="00530761" w:rsidRPr="00484DAF" w:rsidRDefault="00530761" w:rsidP="00CC552D">
            <w:pPr>
              <w:pStyle w:val="Geenafstand"/>
              <w:spacing w:line="360" w:lineRule="auto"/>
              <w:rPr>
                <w:b/>
                <w:sz w:val="24"/>
                <w:szCs w:val="24"/>
              </w:rPr>
            </w:pPr>
            <w:r w:rsidRPr="00484DAF">
              <w:rPr>
                <w:b/>
                <w:sz w:val="24"/>
                <w:szCs w:val="24"/>
              </w:rPr>
              <w:t>€ 390.500</w:t>
            </w:r>
          </w:p>
        </w:tc>
      </w:tr>
    </w:tbl>
    <w:p w:rsidR="002F4EF6" w:rsidRPr="00484DAF" w:rsidRDefault="002F4EF6" w:rsidP="00CC552D">
      <w:pPr>
        <w:pStyle w:val="Geenafstand"/>
        <w:spacing w:line="360" w:lineRule="auto"/>
        <w:rPr>
          <w:sz w:val="24"/>
          <w:szCs w:val="24"/>
        </w:rPr>
      </w:pPr>
    </w:p>
    <w:p w:rsidR="00DB79DF" w:rsidRPr="00484DAF" w:rsidRDefault="00D45B74" w:rsidP="00CC552D">
      <w:pPr>
        <w:pStyle w:val="Geenafstand"/>
        <w:spacing w:line="360" w:lineRule="auto"/>
        <w:rPr>
          <w:sz w:val="24"/>
          <w:szCs w:val="24"/>
        </w:rPr>
      </w:pPr>
      <w:r w:rsidRPr="00484DAF">
        <w:rPr>
          <w:sz w:val="24"/>
          <w:szCs w:val="24"/>
        </w:rPr>
        <w:t>Merk op dat de versch</w:t>
      </w:r>
      <w:r w:rsidR="00184F28" w:rsidRPr="00484DAF">
        <w:rPr>
          <w:sz w:val="24"/>
          <w:szCs w:val="24"/>
        </w:rPr>
        <w:t>uldigde belasting nog slechts € </w:t>
      </w:r>
      <w:r w:rsidRPr="00484DAF">
        <w:rPr>
          <w:sz w:val="24"/>
          <w:szCs w:val="24"/>
        </w:rPr>
        <w:t>40.500 bedraagt.</w:t>
      </w:r>
      <w:r w:rsidR="00557CD4" w:rsidRPr="00484DAF">
        <w:rPr>
          <w:sz w:val="24"/>
          <w:szCs w:val="24"/>
        </w:rPr>
        <w:t xml:space="preserve"> </w:t>
      </w:r>
      <w:r w:rsidR="00EE6166" w:rsidRPr="00484DAF">
        <w:rPr>
          <w:sz w:val="24"/>
          <w:szCs w:val="24"/>
        </w:rPr>
        <w:t xml:space="preserve">Een projectontwikkelaar die naar winst streeft, kan deze berekening ook maken en besluit de </w:t>
      </w:r>
      <w:r w:rsidR="00557CD4" w:rsidRPr="00484DAF">
        <w:rPr>
          <w:sz w:val="24"/>
          <w:szCs w:val="24"/>
        </w:rPr>
        <w:t xml:space="preserve">nieuwbouw voor </w:t>
      </w:r>
      <w:r w:rsidR="00D96187" w:rsidRPr="00484DAF">
        <w:rPr>
          <w:sz w:val="24"/>
          <w:szCs w:val="24"/>
        </w:rPr>
        <w:t>€ 410.000</w:t>
      </w:r>
      <w:r w:rsidR="00557CD4" w:rsidRPr="00484DAF">
        <w:rPr>
          <w:sz w:val="24"/>
          <w:szCs w:val="24"/>
        </w:rPr>
        <w:t xml:space="preserve"> vrij op naam op te leveren. </w:t>
      </w:r>
      <w:r w:rsidRPr="00484DAF">
        <w:rPr>
          <w:sz w:val="24"/>
          <w:szCs w:val="24"/>
        </w:rPr>
        <w:t xml:space="preserve">Voor de particulier vormt genoemd bedrag de totale kostprijs inclusief belastingen. De projectontwikkelaar neemt zoals beschreven bij verkoop vanaf de tekening alle belastingen op zich, waaronder de aftrekbare BTW en de niet aftrekbare overdrachtsbelasting. </w:t>
      </w:r>
      <w:r w:rsidR="00184F28" w:rsidRPr="00484DAF">
        <w:rPr>
          <w:sz w:val="24"/>
          <w:szCs w:val="24"/>
        </w:rPr>
        <w:t xml:space="preserve">Door verkoop van het project voor € 410.000 </w:t>
      </w:r>
      <w:r w:rsidR="00091FBE" w:rsidRPr="00484DAF">
        <w:rPr>
          <w:sz w:val="24"/>
          <w:szCs w:val="24"/>
        </w:rPr>
        <w:lastRenderedPageBreak/>
        <w:t>houdt de projectontwi</w:t>
      </w:r>
      <w:r w:rsidR="00EE6166" w:rsidRPr="00484DAF">
        <w:rPr>
          <w:sz w:val="24"/>
          <w:szCs w:val="24"/>
        </w:rPr>
        <w:t>kkelaar € </w:t>
      </w:r>
      <w:r w:rsidR="00356E78" w:rsidRPr="00484DAF">
        <w:rPr>
          <w:sz w:val="24"/>
          <w:szCs w:val="24"/>
        </w:rPr>
        <w:t>1</w:t>
      </w:r>
      <w:r w:rsidR="00091FBE" w:rsidRPr="00484DAF">
        <w:rPr>
          <w:sz w:val="24"/>
          <w:szCs w:val="24"/>
        </w:rPr>
        <w:t>9</w:t>
      </w:r>
      <w:r w:rsidR="00CD18F3" w:rsidRPr="00484DAF">
        <w:rPr>
          <w:sz w:val="24"/>
          <w:szCs w:val="24"/>
        </w:rPr>
        <w:t>.5</w:t>
      </w:r>
      <w:r w:rsidR="002F4EF6" w:rsidRPr="00484DAF">
        <w:rPr>
          <w:sz w:val="24"/>
          <w:szCs w:val="24"/>
        </w:rPr>
        <w:t>00</w:t>
      </w:r>
      <w:r w:rsidR="00B5395C" w:rsidRPr="00484DAF">
        <w:rPr>
          <w:sz w:val="24"/>
          <w:szCs w:val="24"/>
        </w:rPr>
        <w:t xml:space="preserve"> in eigen kas en </w:t>
      </w:r>
      <w:r w:rsidR="00184F28" w:rsidRPr="00484DAF">
        <w:rPr>
          <w:sz w:val="24"/>
          <w:szCs w:val="24"/>
        </w:rPr>
        <w:t xml:space="preserve">bedragen </w:t>
      </w:r>
      <w:r w:rsidR="00B5395C" w:rsidRPr="00484DAF">
        <w:rPr>
          <w:sz w:val="24"/>
          <w:szCs w:val="24"/>
        </w:rPr>
        <w:t>de opbrengst verkopen in dit geval € 369.500.</w:t>
      </w:r>
      <w:r w:rsidR="00091FBE" w:rsidRPr="00484DAF">
        <w:rPr>
          <w:sz w:val="24"/>
          <w:szCs w:val="24"/>
        </w:rPr>
        <w:t xml:space="preserve"> </w:t>
      </w:r>
      <w:r w:rsidR="00557CD4" w:rsidRPr="00484DAF">
        <w:rPr>
          <w:sz w:val="24"/>
          <w:szCs w:val="24"/>
        </w:rPr>
        <w:t xml:space="preserve">De kopende particulier geniet een voordeel </w:t>
      </w:r>
      <w:r w:rsidR="00EE6166" w:rsidRPr="00484DAF">
        <w:rPr>
          <w:sz w:val="24"/>
          <w:szCs w:val="24"/>
        </w:rPr>
        <w:t xml:space="preserve">ten opzicht van de eerste situatie </w:t>
      </w:r>
      <w:r w:rsidR="00557CD4" w:rsidRPr="00484DAF">
        <w:rPr>
          <w:sz w:val="24"/>
          <w:szCs w:val="24"/>
        </w:rPr>
        <w:t>van € 6.500. Opgeteld met het voordeel van de projectontw</w:t>
      </w:r>
      <w:r w:rsidR="00184F28" w:rsidRPr="00484DAF">
        <w:rPr>
          <w:sz w:val="24"/>
          <w:szCs w:val="24"/>
        </w:rPr>
        <w:t>ikkelaar wordt € 26.000 bespaard</w:t>
      </w:r>
      <w:r w:rsidR="00557CD4" w:rsidRPr="00484DAF">
        <w:rPr>
          <w:sz w:val="24"/>
          <w:szCs w:val="24"/>
        </w:rPr>
        <w:t xml:space="preserve">, zijnde de niet verschuldigde BTW over levering van de kavel minus de overdrachtsbelasting </w:t>
      </w:r>
      <w:r w:rsidR="00126F24" w:rsidRPr="00484DAF">
        <w:rPr>
          <w:sz w:val="24"/>
          <w:szCs w:val="24"/>
        </w:rPr>
        <w:t xml:space="preserve">(13% van </w:t>
      </w:r>
      <w:r w:rsidR="00557CD4" w:rsidRPr="00484DAF">
        <w:rPr>
          <w:sz w:val="24"/>
          <w:szCs w:val="24"/>
        </w:rPr>
        <w:t>200.000).</w:t>
      </w:r>
    </w:p>
    <w:p w:rsidR="00557A1F" w:rsidRPr="00484DAF" w:rsidRDefault="00557A1F" w:rsidP="00CC552D">
      <w:pPr>
        <w:pStyle w:val="Geenafstand"/>
        <w:spacing w:line="360" w:lineRule="auto"/>
        <w:rPr>
          <w:sz w:val="24"/>
          <w:szCs w:val="24"/>
        </w:rPr>
      </w:pPr>
    </w:p>
    <w:p w:rsidR="007163D6" w:rsidRPr="00484DAF" w:rsidRDefault="007163D6" w:rsidP="00CC552D">
      <w:pPr>
        <w:pStyle w:val="Kop2"/>
        <w:spacing w:before="0" w:line="360" w:lineRule="auto"/>
        <w:rPr>
          <w:rFonts w:ascii="Times New Roman" w:hAnsi="Times New Roman"/>
          <w:color w:val="auto"/>
          <w:sz w:val="24"/>
          <w:szCs w:val="24"/>
        </w:rPr>
      </w:pPr>
      <w:bookmarkStart w:id="52" w:name="_Toc254043910"/>
      <w:r w:rsidRPr="00484DAF">
        <w:rPr>
          <w:rFonts w:ascii="Times New Roman" w:hAnsi="Times New Roman"/>
          <w:color w:val="auto"/>
          <w:sz w:val="24"/>
          <w:szCs w:val="24"/>
        </w:rPr>
        <w:t>2.3.2 Afnemer is ondernemer</w:t>
      </w:r>
      <w:bookmarkEnd w:id="52"/>
    </w:p>
    <w:p w:rsidR="00F506FE" w:rsidRPr="00484DAF" w:rsidRDefault="007163D6" w:rsidP="00CC552D">
      <w:pPr>
        <w:spacing w:after="0" w:line="360" w:lineRule="auto"/>
        <w:rPr>
          <w:sz w:val="24"/>
          <w:szCs w:val="24"/>
        </w:rPr>
      </w:pPr>
      <w:r w:rsidRPr="00484DAF">
        <w:rPr>
          <w:sz w:val="24"/>
          <w:szCs w:val="24"/>
        </w:rPr>
        <w:t>Stel nu dat de afnemer een aftrekgerechtigde BTW-ondernemer is. De aan de afnemer in rekening gebrachte BTW kan als aftrek voorbelasting worden teruggevraagd.</w:t>
      </w:r>
      <w:r w:rsidR="00A739F0" w:rsidRPr="00484DAF">
        <w:rPr>
          <w:rStyle w:val="Voetnootmarkering"/>
          <w:sz w:val="24"/>
          <w:szCs w:val="24"/>
        </w:rPr>
        <w:footnoteReference w:id="100"/>
      </w:r>
      <w:r w:rsidR="00F506FE" w:rsidRPr="00484DAF">
        <w:rPr>
          <w:sz w:val="24"/>
          <w:szCs w:val="24"/>
        </w:rPr>
        <w:t xml:space="preserve"> De overdrachtsbelasting verschuldigd bij verkrijging van onroerend goed is echter niet aftrekbaar.</w:t>
      </w:r>
      <w:r w:rsidR="00126F24" w:rsidRPr="00484DAF">
        <w:rPr>
          <w:sz w:val="24"/>
          <w:szCs w:val="24"/>
        </w:rPr>
        <w:t xml:space="preserve"> Allereerst wordt de situatie geschetst waarbij middels </w:t>
      </w:r>
      <w:r w:rsidR="00F506FE" w:rsidRPr="00484DAF">
        <w:rPr>
          <w:sz w:val="24"/>
          <w:szCs w:val="24"/>
        </w:rPr>
        <w:t xml:space="preserve">een koop/aanneemovereenkomst een </w:t>
      </w:r>
      <w:r w:rsidR="00126F24" w:rsidRPr="00484DAF">
        <w:rPr>
          <w:sz w:val="24"/>
          <w:szCs w:val="24"/>
        </w:rPr>
        <w:t xml:space="preserve">kavel </w:t>
      </w:r>
      <w:r w:rsidR="00F506FE" w:rsidRPr="00484DAF">
        <w:rPr>
          <w:sz w:val="24"/>
          <w:szCs w:val="24"/>
        </w:rPr>
        <w:t>grond, niet zijnde een bouwterrein, wordt geleverd</w:t>
      </w:r>
      <w:r w:rsidR="00126F24" w:rsidRPr="00484DAF">
        <w:rPr>
          <w:sz w:val="24"/>
          <w:szCs w:val="24"/>
        </w:rPr>
        <w:t>. Dit leidt tot het volgende kostenplaatje</w:t>
      </w:r>
      <w:r w:rsidR="00F506FE" w:rsidRPr="00484DAF">
        <w:rPr>
          <w:sz w:val="24"/>
          <w:szCs w:val="24"/>
        </w:rPr>
        <w:t>:</w:t>
      </w:r>
    </w:p>
    <w:tbl>
      <w:tblPr>
        <w:tblStyle w:val="Tabelraster"/>
        <w:tblW w:w="90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982"/>
        <w:gridCol w:w="1708"/>
        <w:gridCol w:w="236"/>
        <w:gridCol w:w="1728"/>
        <w:gridCol w:w="1529"/>
        <w:gridCol w:w="1863"/>
      </w:tblGrid>
      <w:tr w:rsidR="00F506FE" w:rsidRPr="00484DAF" w:rsidTr="00F668DE">
        <w:trPr>
          <w:jc w:val="center"/>
        </w:trPr>
        <w:tc>
          <w:tcPr>
            <w:tcW w:w="1982" w:type="dxa"/>
          </w:tcPr>
          <w:p w:rsidR="00F506FE" w:rsidRPr="00484DAF" w:rsidRDefault="00F506FE" w:rsidP="00CC552D">
            <w:pPr>
              <w:pStyle w:val="Geenafstand"/>
              <w:spacing w:line="360" w:lineRule="auto"/>
              <w:rPr>
                <w:i/>
                <w:sz w:val="24"/>
                <w:szCs w:val="24"/>
              </w:rPr>
            </w:pPr>
            <w:r w:rsidRPr="00484DAF">
              <w:rPr>
                <w:i/>
                <w:sz w:val="24"/>
                <w:szCs w:val="24"/>
              </w:rPr>
              <w:t xml:space="preserve">Soort </w:t>
            </w:r>
          </w:p>
          <w:p w:rsidR="00F506FE" w:rsidRPr="00484DAF" w:rsidRDefault="00F506FE" w:rsidP="00CC552D">
            <w:pPr>
              <w:pStyle w:val="Geenafstand"/>
              <w:spacing w:line="360" w:lineRule="auto"/>
              <w:rPr>
                <w:i/>
                <w:sz w:val="24"/>
                <w:szCs w:val="24"/>
              </w:rPr>
            </w:pPr>
            <w:r w:rsidRPr="00484DAF">
              <w:rPr>
                <w:i/>
                <w:sz w:val="24"/>
                <w:szCs w:val="24"/>
              </w:rPr>
              <w:t>onroerend goed</w:t>
            </w:r>
          </w:p>
        </w:tc>
        <w:tc>
          <w:tcPr>
            <w:tcW w:w="1708" w:type="dxa"/>
          </w:tcPr>
          <w:p w:rsidR="00F506FE" w:rsidRPr="00484DAF" w:rsidRDefault="00F506FE" w:rsidP="00CC552D">
            <w:pPr>
              <w:pStyle w:val="Geenafstand"/>
              <w:spacing w:line="360" w:lineRule="auto"/>
              <w:rPr>
                <w:i/>
                <w:sz w:val="24"/>
                <w:szCs w:val="24"/>
              </w:rPr>
            </w:pPr>
            <w:r w:rsidRPr="00484DAF">
              <w:rPr>
                <w:i/>
                <w:sz w:val="24"/>
                <w:szCs w:val="24"/>
              </w:rPr>
              <w:t>Prijs exclusief</w:t>
            </w:r>
          </w:p>
          <w:p w:rsidR="00F506FE" w:rsidRPr="00484DAF" w:rsidRDefault="00F506FE" w:rsidP="00CC552D">
            <w:pPr>
              <w:pStyle w:val="Geenafstand"/>
              <w:spacing w:line="360" w:lineRule="auto"/>
              <w:rPr>
                <w:i/>
                <w:sz w:val="24"/>
                <w:szCs w:val="24"/>
              </w:rPr>
            </w:pPr>
            <w:r w:rsidRPr="00484DAF">
              <w:rPr>
                <w:i/>
                <w:sz w:val="24"/>
                <w:szCs w:val="24"/>
              </w:rPr>
              <w:t>belastingen</w:t>
            </w:r>
          </w:p>
        </w:tc>
        <w:tc>
          <w:tcPr>
            <w:tcW w:w="236" w:type="dxa"/>
          </w:tcPr>
          <w:p w:rsidR="00F506FE" w:rsidRPr="00484DAF" w:rsidRDefault="00F506FE" w:rsidP="00CC552D">
            <w:pPr>
              <w:pStyle w:val="Geenafstand"/>
              <w:spacing w:line="360" w:lineRule="auto"/>
              <w:rPr>
                <w:i/>
                <w:sz w:val="24"/>
                <w:szCs w:val="24"/>
              </w:rPr>
            </w:pPr>
          </w:p>
        </w:tc>
        <w:tc>
          <w:tcPr>
            <w:tcW w:w="1728" w:type="dxa"/>
          </w:tcPr>
          <w:p w:rsidR="00F506FE" w:rsidRPr="00484DAF" w:rsidRDefault="00F506FE" w:rsidP="00CC552D">
            <w:pPr>
              <w:pStyle w:val="Geenafstand"/>
              <w:spacing w:line="360" w:lineRule="auto"/>
              <w:rPr>
                <w:i/>
                <w:sz w:val="24"/>
                <w:szCs w:val="24"/>
              </w:rPr>
            </w:pPr>
            <w:r w:rsidRPr="00484DAF">
              <w:rPr>
                <w:i/>
                <w:sz w:val="24"/>
                <w:szCs w:val="24"/>
              </w:rPr>
              <w:t>Verschuldigde</w:t>
            </w:r>
          </w:p>
          <w:p w:rsidR="00F506FE" w:rsidRPr="00484DAF" w:rsidRDefault="00F506FE" w:rsidP="00CC552D">
            <w:pPr>
              <w:pStyle w:val="Geenafstand"/>
              <w:spacing w:line="360" w:lineRule="auto"/>
              <w:rPr>
                <w:i/>
                <w:sz w:val="24"/>
                <w:szCs w:val="24"/>
              </w:rPr>
            </w:pPr>
            <w:r w:rsidRPr="00484DAF">
              <w:rPr>
                <w:i/>
                <w:sz w:val="24"/>
                <w:szCs w:val="24"/>
              </w:rPr>
              <w:t>belasting</w:t>
            </w:r>
          </w:p>
        </w:tc>
        <w:tc>
          <w:tcPr>
            <w:tcW w:w="1529" w:type="dxa"/>
          </w:tcPr>
          <w:p w:rsidR="00F506FE" w:rsidRPr="00484DAF" w:rsidRDefault="00F506FE" w:rsidP="00CC552D">
            <w:pPr>
              <w:pStyle w:val="Geenafstand"/>
              <w:spacing w:line="360" w:lineRule="auto"/>
              <w:rPr>
                <w:i/>
                <w:sz w:val="24"/>
                <w:szCs w:val="24"/>
              </w:rPr>
            </w:pPr>
          </w:p>
        </w:tc>
        <w:tc>
          <w:tcPr>
            <w:tcW w:w="1863" w:type="dxa"/>
          </w:tcPr>
          <w:p w:rsidR="00F506FE" w:rsidRPr="00484DAF" w:rsidRDefault="00F506FE" w:rsidP="00CC552D">
            <w:pPr>
              <w:pStyle w:val="Geenafstand"/>
              <w:spacing w:line="360" w:lineRule="auto"/>
              <w:rPr>
                <w:i/>
                <w:sz w:val="24"/>
                <w:szCs w:val="24"/>
              </w:rPr>
            </w:pPr>
            <w:r w:rsidRPr="00484DAF">
              <w:rPr>
                <w:i/>
                <w:sz w:val="24"/>
                <w:szCs w:val="24"/>
              </w:rPr>
              <w:t>Totale kostprijs</w:t>
            </w:r>
          </w:p>
          <w:p w:rsidR="00F506FE" w:rsidRPr="00484DAF" w:rsidRDefault="00F506FE" w:rsidP="00CC552D">
            <w:pPr>
              <w:pStyle w:val="Geenafstand"/>
              <w:spacing w:line="360" w:lineRule="auto"/>
              <w:rPr>
                <w:i/>
                <w:sz w:val="24"/>
                <w:szCs w:val="24"/>
              </w:rPr>
            </w:pPr>
          </w:p>
        </w:tc>
      </w:tr>
      <w:tr w:rsidR="00F506FE" w:rsidRPr="00484DAF" w:rsidTr="00F668DE">
        <w:trPr>
          <w:jc w:val="center"/>
        </w:trPr>
        <w:tc>
          <w:tcPr>
            <w:tcW w:w="1982" w:type="dxa"/>
          </w:tcPr>
          <w:p w:rsidR="00F506FE" w:rsidRPr="00484DAF" w:rsidRDefault="00F506FE" w:rsidP="00CC552D">
            <w:pPr>
              <w:pStyle w:val="Geenafstand"/>
              <w:spacing w:line="360" w:lineRule="auto"/>
              <w:rPr>
                <w:sz w:val="24"/>
                <w:szCs w:val="24"/>
              </w:rPr>
            </w:pPr>
            <w:r w:rsidRPr="00484DAF">
              <w:rPr>
                <w:sz w:val="24"/>
                <w:szCs w:val="24"/>
              </w:rPr>
              <w:t>Grond</w:t>
            </w:r>
          </w:p>
        </w:tc>
        <w:tc>
          <w:tcPr>
            <w:tcW w:w="1708" w:type="dxa"/>
          </w:tcPr>
          <w:p w:rsidR="00F506FE" w:rsidRPr="00484DAF" w:rsidRDefault="00F506FE" w:rsidP="00CC552D">
            <w:pPr>
              <w:pStyle w:val="Geenafstand"/>
              <w:spacing w:line="360" w:lineRule="auto"/>
              <w:rPr>
                <w:sz w:val="24"/>
                <w:szCs w:val="24"/>
              </w:rPr>
            </w:pPr>
            <w:r w:rsidRPr="00484DAF">
              <w:rPr>
                <w:sz w:val="24"/>
                <w:szCs w:val="24"/>
              </w:rPr>
              <w:t>€ 200.000</w:t>
            </w:r>
          </w:p>
        </w:tc>
        <w:tc>
          <w:tcPr>
            <w:tcW w:w="236" w:type="dxa"/>
          </w:tcPr>
          <w:p w:rsidR="00F506FE" w:rsidRPr="00484DAF" w:rsidRDefault="00F506FE" w:rsidP="00CC552D">
            <w:pPr>
              <w:pStyle w:val="Geenafstand"/>
              <w:spacing w:line="360" w:lineRule="auto"/>
              <w:rPr>
                <w:sz w:val="24"/>
                <w:szCs w:val="24"/>
              </w:rPr>
            </w:pPr>
          </w:p>
        </w:tc>
        <w:tc>
          <w:tcPr>
            <w:tcW w:w="1728" w:type="dxa"/>
          </w:tcPr>
          <w:p w:rsidR="00F506FE" w:rsidRPr="00484DAF" w:rsidRDefault="00F506FE" w:rsidP="00CC552D">
            <w:pPr>
              <w:pStyle w:val="Geenafstand"/>
              <w:spacing w:line="360" w:lineRule="auto"/>
              <w:rPr>
                <w:sz w:val="24"/>
                <w:szCs w:val="24"/>
              </w:rPr>
            </w:pPr>
            <w:r w:rsidRPr="00484DAF">
              <w:rPr>
                <w:sz w:val="24"/>
                <w:szCs w:val="24"/>
              </w:rPr>
              <w:t>€ 12.000</w:t>
            </w:r>
          </w:p>
        </w:tc>
        <w:tc>
          <w:tcPr>
            <w:tcW w:w="1529" w:type="dxa"/>
          </w:tcPr>
          <w:p w:rsidR="00F506FE" w:rsidRPr="00484DAF" w:rsidRDefault="00F506FE" w:rsidP="00CC552D">
            <w:pPr>
              <w:pStyle w:val="Geenafstand"/>
              <w:spacing w:line="360" w:lineRule="auto"/>
              <w:rPr>
                <w:sz w:val="24"/>
                <w:szCs w:val="24"/>
              </w:rPr>
            </w:pPr>
            <w:r w:rsidRPr="00484DAF">
              <w:rPr>
                <w:sz w:val="24"/>
                <w:szCs w:val="24"/>
              </w:rPr>
              <w:t>(6% OVB)</w:t>
            </w:r>
          </w:p>
        </w:tc>
        <w:tc>
          <w:tcPr>
            <w:tcW w:w="1863" w:type="dxa"/>
          </w:tcPr>
          <w:p w:rsidR="00F506FE" w:rsidRPr="00484DAF" w:rsidRDefault="00F506FE" w:rsidP="00CC552D">
            <w:pPr>
              <w:pStyle w:val="Geenafstand"/>
              <w:spacing w:line="360" w:lineRule="auto"/>
              <w:rPr>
                <w:sz w:val="24"/>
                <w:szCs w:val="24"/>
              </w:rPr>
            </w:pPr>
            <w:r w:rsidRPr="00484DAF">
              <w:rPr>
                <w:sz w:val="24"/>
                <w:szCs w:val="24"/>
              </w:rPr>
              <w:t>€ 212.000</w:t>
            </w:r>
          </w:p>
        </w:tc>
      </w:tr>
      <w:tr w:rsidR="00F506FE" w:rsidRPr="00484DAF" w:rsidTr="00F668DE">
        <w:trPr>
          <w:jc w:val="center"/>
        </w:trPr>
        <w:tc>
          <w:tcPr>
            <w:tcW w:w="1982" w:type="dxa"/>
          </w:tcPr>
          <w:p w:rsidR="00F506FE" w:rsidRPr="00484DAF" w:rsidRDefault="00F506FE" w:rsidP="00CC552D">
            <w:pPr>
              <w:pStyle w:val="Geenafstand"/>
              <w:spacing w:line="360" w:lineRule="auto"/>
              <w:rPr>
                <w:sz w:val="24"/>
                <w:szCs w:val="24"/>
              </w:rPr>
            </w:pPr>
            <w:r w:rsidRPr="00484DAF">
              <w:rPr>
                <w:sz w:val="24"/>
                <w:szCs w:val="24"/>
              </w:rPr>
              <w:t>Opstal</w:t>
            </w:r>
          </w:p>
        </w:tc>
        <w:tc>
          <w:tcPr>
            <w:tcW w:w="1708" w:type="dxa"/>
            <w:tcBorders>
              <w:bottom w:val="single" w:sz="4" w:space="0" w:color="auto"/>
            </w:tcBorders>
          </w:tcPr>
          <w:p w:rsidR="00F506FE" w:rsidRPr="00484DAF" w:rsidRDefault="00F506FE" w:rsidP="00CC552D">
            <w:pPr>
              <w:pStyle w:val="Geenafstand"/>
              <w:spacing w:line="360" w:lineRule="auto"/>
              <w:rPr>
                <w:sz w:val="24"/>
                <w:szCs w:val="24"/>
              </w:rPr>
            </w:pPr>
            <w:r w:rsidRPr="00484DAF">
              <w:rPr>
                <w:sz w:val="24"/>
                <w:szCs w:val="24"/>
              </w:rPr>
              <w:t>€ 150.000</w:t>
            </w:r>
          </w:p>
        </w:tc>
        <w:tc>
          <w:tcPr>
            <w:tcW w:w="236" w:type="dxa"/>
          </w:tcPr>
          <w:p w:rsidR="00F506FE" w:rsidRPr="00484DAF" w:rsidRDefault="00F506FE" w:rsidP="00CC552D">
            <w:pPr>
              <w:pStyle w:val="Geenafstand"/>
              <w:spacing w:line="360" w:lineRule="auto"/>
              <w:rPr>
                <w:sz w:val="24"/>
                <w:szCs w:val="24"/>
              </w:rPr>
            </w:pPr>
          </w:p>
        </w:tc>
        <w:tc>
          <w:tcPr>
            <w:tcW w:w="1728" w:type="dxa"/>
            <w:tcBorders>
              <w:bottom w:val="single" w:sz="4" w:space="0" w:color="auto"/>
            </w:tcBorders>
          </w:tcPr>
          <w:p w:rsidR="00F506FE" w:rsidRPr="00484DAF" w:rsidRDefault="00F506FE" w:rsidP="00CC552D">
            <w:pPr>
              <w:pStyle w:val="Geenafstand"/>
              <w:spacing w:line="360" w:lineRule="auto"/>
              <w:rPr>
                <w:sz w:val="24"/>
                <w:szCs w:val="24"/>
              </w:rPr>
            </w:pPr>
            <w:r w:rsidRPr="00484DAF">
              <w:rPr>
                <w:sz w:val="24"/>
                <w:szCs w:val="24"/>
              </w:rPr>
              <w:t>(vooraftrek)</w:t>
            </w:r>
          </w:p>
        </w:tc>
        <w:tc>
          <w:tcPr>
            <w:tcW w:w="1529" w:type="dxa"/>
          </w:tcPr>
          <w:p w:rsidR="00F506FE" w:rsidRPr="00484DAF" w:rsidRDefault="00F506FE" w:rsidP="00CC552D">
            <w:pPr>
              <w:pStyle w:val="Geenafstand"/>
              <w:spacing w:line="360" w:lineRule="auto"/>
              <w:rPr>
                <w:sz w:val="24"/>
                <w:szCs w:val="24"/>
              </w:rPr>
            </w:pPr>
            <w:r w:rsidRPr="00484DAF">
              <w:rPr>
                <w:sz w:val="24"/>
                <w:szCs w:val="24"/>
              </w:rPr>
              <w:t>(19% BTW)</w:t>
            </w:r>
          </w:p>
        </w:tc>
        <w:tc>
          <w:tcPr>
            <w:tcW w:w="1863" w:type="dxa"/>
            <w:tcBorders>
              <w:bottom w:val="double" w:sz="4" w:space="0" w:color="auto"/>
            </w:tcBorders>
          </w:tcPr>
          <w:p w:rsidR="00F506FE" w:rsidRPr="00484DAF" w:rsidRDefault="00F506FE" w:rsidP="00CC552D">
            <w:pPr>
              <w:pStyle w:val="Geenafstand"/>
              <w:spacing w:line="360" w:lineRule="auto"/>
              <w:rPr>
                <w:sz w:val="24"/>
                <w:szCs w:val="24"/>
              </w:rPr>
            </w:pPr>
            <w:r w:rsidRPr="00484DAF">
              <w:rPr>
                <w:sz w:val="24"/>
                <w:szCs w:val="24"/>
              </w:rPr>
              <w:t>€ 150.000</w:t>
            </w:r>
          </w:p>
        </w:tc>
      </w:tr>
      <w:tr w:rsidR="00F506FE" w:rsidRPr="00484DAF" w:rsidTr="00F668DE">
        <w:trPr>
          <w:jc w:val="center"/>
        </w:trPr>
        <w:tc>
          <w:tcPr>
            <w:tcW w:w="1982" w:type="dxa"/>
          </w:tcPr>
          <w:p w:rsidR="00F506FE" w:rsidRPr="00484DAF" w:rsidRDefault="00F506FE" w:rsidP="00CC552D">
            <w:pPr>
              <w:pStyle w:val="Geenafstand"/>
              <w:spacing w:line="360" w:lineRule="auto"/>
              <w:rPr>
                <w:sz w:val="24"/>
                <w:szCs w:val="24"/>
              </w:rPr>
            </w:pPr>
            <w:r w:rsidRPr="00484DAF">
              <w:rPr>
                <w:b/>
                <w:sz w:val="24"/>
                <w:szCs w:val="24"/>
              </w:rPr>
              <w:t>Totaal</w:t>
            </w:r>
          </w:p>
        </w:tc>
        <w:tc>
          <w:tcPr>
            <w:tcW w:w="1708" w:type="dxa"/>
            <w:tcBorders>
              <w:top w:val="single" w:sz="4" w:space="0" w:color="auto"/>
            </w:tcBorders>
          </w:tcPr>
          <w:p w:rsidR="00F506FE" w:rsidRPr="00484DAF" w:rsidRDefault="00F506FE" w:rsidP="00CC552D">
            <w:pPr>
              <w:pStyle w:val="Geenafstand"/>
              <w:spacing w:line="360" w:lineRule="auto"/>
              <w:rPr>
                <w:sz w:val="24"/>
                <w:szCs w:val="24"/>
              </w:rPr>
            </w:pPr>
            <w:r w:rsidRPr="00484DAF">
              <w:rPr>
                <w:sz w:val="24"/>
                <w:szCs w:val="24"/>
              </w:rPr>
              <w:t>€ 350.000</w:t>
            </w:r>
          </w:p>
        </w:tc>
        <w:tc>
          <w:tcPr>
            <w:tcW w:w="236" w:type="dxa"/>
          </w:tcPr>
          <w:p w:rsidR="00F506FE" w:rsidRPr="00484DAF" w:rsidRDefault="00F506FE" w:rsidP="00CC552D">
            <w:pPr>
              <w:pStyle w:val="Geenafstand"/>
              <w:spacing w:line="360" w:lineRule="auto"/>
              <w:rPr>
                <w:sz w:val="24"/>
                <w:szCs w:val="24"/>
              </w:rPr>
            </w:pPr>
          </w:p>
        </w:tc>
        <w:tc>
          <w:tcPr>
            <w:tcW w:w="1728" w:type="dxa"/>
            <w:tcBorders>
              <w:top w:val="single" w:sz="4" w:space="0" w:color="auto"/>
            </w:tcBorders>
          </w:tcPr>
          <w:p w:rsidR="00F506FE" w:rsidRPr="00484DAF" w:rsidRDefault="00F506FE" w:rsidP="00CC552D">
            <w:pPr>
              <w:pStyle w:val="Geenafstand"/>
              <w:spacing w:line="360" w:lineRule="auto"/>
              <w:rPr>
                <w:sz w:val="24"/>
                <w:szCs w:val="24"/>
              </w:rPr>
            </w:pPr>
            <w:r w:rsidRPr="00484DAF">
              <w:rPr>
                <w:sz w:val="24"/>
                <w:szCs w:val="24"/>
              </w:rPr>
              <w:t>€ 12.000</w:t>
            </w:r>
          </w:p>
        </w:tc>
        <w:tc>
          <w:tcPr>
            <w:tcW w:w="1529" w:type="dxa"/>
          </w:tcPr>
          <w:p w:rsidR="00F506FE" w:rsidRPr="00484DAF" w:rsidRDefault="00F506FE" w:rsidP="00CC552D">
            <w:pPr>
              <w:pStyle w:val="Geenafstand"/>
              <w:spacing w:line="360" w:lineRule="auto"/>
              <w:rPr>
                <w:b/>
                <w:sz w:val="24"/>
                <w:szCs w:val="24"/>
              </w:rPr>
            </w:pPr>
          </w:p>
        </w:tc>
        <w:tc>
          <w:tcPr>
            <w:tcW w:w="1863" w:type="dxa"/>
            <w:tcBorders>
              <w:top w:val="double" w:sz="4" w:space="0" w:color="auto"/>
            </w:tcBorders>
          </w:tcPr>
          <w:p w:rsidR="00F506FE" w:rsidRPr="00484DAF" w:rsidRDefault="00F506FE" w:rsidP="00CC552D">
            <w:pPr>
              <w:pStyle w:val="Geenafstand"/>
              <w:spacing w:line="360" w:lineRule="auto"/>
              <w:rPr>
                <w:b/>
                <w:sz w:val="24"/>
                <w:szCs w:val="24"/>
              </w:rPr>
            </w:pPr>
            <w:r w:rsidRPr="00484DAF">
              <w:rPr>
                <w:b/>
                <w:sz w:val="24"/>
                <w:szCs w:val="24"/>
              </w:rPr>
              <w:t>€ 362.00</w:t>
            </w:r>
            <w:r w:rsidR="00407AB3" w:rsidRPr="00484DAF">
              <w:rPr>
                <w:b/>
                <w:sz w:val="24"/>
                <w:szCs w:val="24"/>
              </w:rPr>
              <w:t>0</w:t>
            </w:r>
          </w:p>
        </w:tc>
      </w:tr>
    </w:tbl>
    <w:p w:rsidR="00F506FE" w:rsidRPr="00484DAF" w:rsidRDefault="00F506FE" w:rsidP="00CC552D">
      <w:pPr>
        <w:pStyle w:val="Geenafstand"/>
        <w:spacing w:line="360" w:lineRule="auto"/>
        <w:rPr>
          <w:sz w:val="24"/>
          <w:szCs w:val="24"/>
        </w:rPr>
      </w:pPr>
    </w:p>
    <w:p w:rsidR="00557A1F" w:rsidRPr="00484DAF" w:rsidRDefault="0011788E" w:rsidP="00CC552D">
      <w:pPr>
        <w:pStyle w:val="Geenafstand"/>
        <w:spacing w:line="360" w:lineRule="auto"/>
        <w:rPr>
          <w:sz w:val="24"/>
          <w:szCs w:val="24"/>
        </w:rPr>
      </w:pPr>
      <w:r w:rsidRPr="00484DAF">
        <w:rPr>
          <w:sz w:val="24"/>
          <w:szCs w:val="24"/>
        </w:rPr>
        <w:t xml:space="preserve">Om reeds vermelde redenen verkrijgt de </w:t>
      </w:r>
      <w:r w:rsidR="00A739F0" w:rsidRPr="00484DAF">
        <w:rPr>
          <w:sz w:val="24"/>
          <w:szCs w:val="24"/>
        </w:rPr>
        <w:t xml:space="preserve">kopende ondernemer </w:t>
      </w:r>
      <w:r w:rsidRPr="00484DAF">
        <w:rPr>
          <w:sz w:val="24"/>
          <w:szCs w:val="24"/>
        </w:rPr>
        <w:t xml:space="preserve">liever een BTW-belaste levering. De afnemer </w:t>
      </w:r>
      <w:r w:rsidR="00A739F0" w:rsidRPr="00484DAF">
        <w:rPr>
          <w:sz w:val="24"/>
          <w:szCs w:val="24"/>
        </w:rPr>
        <w:t xml:space="preserve">zal met de projectontwikkelaar overeen willen komen dat niet “een” kavel grond wordt geleverd, maar een bouwterrein. In deze scriptie wordt </w:t>
      </w:r>
      <w:r w:rsidRPr="00484DAF">
        <w:rPr>
          <w:sz w:val="24"/>
          <w:szCs w:val="24"/>
        </w:rPr>
        <w:t xml:space="preserve">verderop </w:t>
      </w:r>
      <w:r w:rsidR="00A739F0" w:rsidRPr="00484DAF">
        <w:rPr>
          <w:sz w:val="24"/>
          <w:szCs w:val="24"/>
        </w:rPr>
        <w:t xml:space="preserve">nader ingegaan op de gekunstelde wijze waarop dit plaatsvindt. </w:t>
      </w:r>
      <w:r w:rsidRPr="00484DAF">
        <w:rPr>
          <w:sz w:val="24"/>
          <w:szCs w:val="24"/>
        </w:rPr>
        <w:t xml:space="preserve">Gevolg van de BTW-belaste levering is dat </w:t>
      </w:r>
      <w:r w:rsidR="00594EDE" w:rsidRPr="00484DAF">
        <w:rPr>
          <w:sz w:val="24"/>
          <w:szCs w:val="24"/>
        </w:rPr>
        <w:t xml:space="preserve">in beginsel de verkoopprijs </w:t>
      </w:r>
      <w:r w:rsidRPr="00484DAF">
        <w:rPr>
          <w:sz w:val="24"/>
          <w:szCs w:val="24"/>
        </w:rPr>
        <w:t xml:space="preserve">van de nieuwbouw </w:t>
      </w:r>
      <w:r w:rsidR="00594EDE" w:rsidRPr="00484DAF">
        <w:rPr>
          <w:sz w:val="24"/>
          <w:szCs w:val="24"/>
        </w:rPr>
        <w:t>gelijk is aan de opbrengstverkopen van de projectontwikkelaar:</w:t>
      </w:r>
    </w:p>
    <w:p w:rsidR="00594EDE" w:rsidRPr="00484DAF" w:rsidRDefault="00594EDE" w:rsidP="00CC552D">
      <w:pPr>
        <w:pStyle w:val="Geenafstand"/>
        <w:spacing w:line="360" w:lineRule="auto"/>
        <w:rPr>
          <w:sz w:val="24"/>
          <w:szCs w:val="24"/>
        </w:rPr>
      </w:pPr>
    </w:p>
    <w:tbl>
      <w:tblPr>
        <w:tblStyle w:val="Tabelraster"/>
        <w:tblW w:w="90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982"/>
        <w:gridCol w:w="1708"/>
        <w:gridCol w:w="236"/>
        <w:gridCol w:w="1728"/>
        <w:gridCol w:w="1529"/>
        <w:gridCol w:w="1863"/>
      </w:tblGrid>
      <w:tr w:rsidR="00594EDE" w:rsidRPr="00484DAF" w:rsidTr="00F668DE">
        <w:trPr>
          <w:jc w:val="center"/>
        </w:trPr>
        <w:tc>
          <w:tcPr>
            <w:tcW w:w="1982" w:type="dxa"/>
          </w:tcPr>
          <w:p w:rsidR="00594EDE" w:rsidRPr="00484DAF" w:rsidRDefault="00594EDE" w:rsidP="00CC552D">
            <w:pPr>
              <w:pStyle w:val="Geenafstand"/>
              <w:spacing w:line="360" w:lineRule="auto"/>
              <w:rPr>
                <w:i/>
                <w:sz w:val="24"/>
                <w:szCs w:val="24"/>
              </w:rPr>
            </w:pPr>
            <w:r w:rsidRPr="00484DAF">
              <w:rPr>
                <w:i/>
                <w:sz w:val="24"/>
                <w:szCs w:val="24"/>
              </w:rPr>
              <w:t xml:space="preserve">Soort </w:t>
            </w:r>
          </w:p>
          <w:p w:rsidR="00594EDE" w:rsidRPr="00484DAF" w:rsidRDefault="00594EDE" w:rsidP="00CC552D">
            <w:pPr>
              <w:pStyle w:val="Geenafstand"/>
              <w:spacing w:line="360" w:lineRule="auto"/>
              <w:rPr>
                <w:i/>
                <w:sz w:val="24"/>
                <w:szCs w:val="24"/>
              </w:rPr>
            </w:pPr>
            <w:r w:rsidRPr="00484DAF">
              <w:rPr>
                <w:i/>
                <w:sz w:val="24"/>
                <w:szCs w:val="24"/>
              </w:rPr>
              <w:t>onroerend goed</w:t>
            </w:r>
          </w:p>
        </w:tc>
        <w:tc>
          <w:tcPr>
            <w:tcW w:w="1708" w:type="dxa"/>
          </w:tcPr>
          <w:p w:rsidR="00594EDE" w:rsidRPr="00484DAF" w:rsidRDefault="00594EDE" w:rsidP="00CC552D">
            <w:pPr>
              <w:pStyle w:val="Geenafstand"/>
              <w:spacing w:line="360" w:lineRule="auto"/>
              <w:rPr>
                <w:i/>
                <w:sz w:val="24"/>
                <w:szCs w:val="24"/>
              </w:rPr>
            </w:pPr>
            <w:r w:rsidRPr="00484DAF">
              <w:rPr>
                <w:i/>
                <w:sz w:val="24"/>
                <w:szCs w:val="24"/>
              </w:rPr>
              <w:t>Prijs exclusief</w:t>
            </w:r>
          </w:p>
          <w:p w:rsidR="00594EDE" w:rsidRPr="00484DAF" w:rsidRDefault="00594EDE" w:rsidP="00CC552D">
            <w:pPr>
              <w:pStyle w:val="Geenafstand"/>
              <w:spacing w:line="360" w:lineRule="auto"/>
              <w:rPr>
                <w:i/>
                <w:sz w:val="24"/>
                <w:szCs w:val="24"/>
              </w:rPr>
            </w:pPr>
            <w:r w:rsidRPr="00484DAF">
              <w:rPr>
                <w:i/>
                <w:sz w:val="24"/>
                <w:szCs w:val="24"/>
              </w:rPr>
              <w:t>belastingen</w:t>
            </w:r>
          </w:p>
        </w:tc>
        <w:tc>
          <w:tcPr>
            <w:tcW w:w="236" w:type="dxa"/>
          </w:tcPr>
          <w:p w:rsidR="00594EDE" w:rsidRPr="00484DAF" w:rsidRDefault="00594EDE" w:rsidP="00CC552D">
            <w:pPr>
              <w:pStyle w:val="Geenafstand"/>
              <w:spacing w:line="360" w:lineRule="auto"/>
              <w:rPr>
                <w:i/>
                <w:sz w:val="24"/>
                <w:szCs w:val="24"/>
              </w:rPr>
            </w:pPr>
          </w:p>
        </w:tc>
        <w:tc>
          <w:tcPr>
            <w:tcW w:w="1728" w:type="dxa"/>
          </w:tcPr>
          <w:p w:rsidR="00594EDE" w:rsidRPr="00484DAF" w:rsidRDefault="00594EDE" w:rsidP="00CC552D">
            <w:pPr>
              <w:pStyle w:val="Geenafstand"/>
              <w:spacing w:line="360" w:lineRule="auto"/>
              <w:rPr>
                <w:i/>
                <w:sz w:val="24"/>
                <w:szCs w:val="24"/>
              </w:rPr>
            </w:pPr>
            <w:r w:rsidRPr="00484DAF">
              <w:rPr>
                <w:i/>
                <w:sz w:val="24"/>
                <w:szCs w:val="24"/>
              </w:rPr>
              <w:t>Verschuldigde</w:t>
            </w:r>
          </w:p>
          <w:p w:rsidR="00594EDE" w:rsidRPr="00484DAF" w:rsidRDefault="00594EDE" w:rsidP="00CC552D">
            <w:pPr>
              <w:pStyle w:val="Geenafstand"/>
              <w:spacing w:line="360" w:lineRule="auto"/>
              <w:rPr>
                <w:i/>
                <w:sz w:val="24"/>
                <w:szCs w:val="24"/>
              </w:rPr>
            </w:pPr>
            <w:r w:rsidRPr="00484DAF">
              <w:rPr>
                <w:i/>
                <w:sz w:val="24"/>
                <w:szCs w:val="24"/>
              </w:rPr>
              <w:t>belasting</w:t>
            </w:r>
          </w:p>
        </w:tc>
        <w:tc>
          <w:tcPr>
            <w:tcW w:w="1529" w:type="dxa"/>
          </w:tcPr>
          <w:p w:rsidR="00594EDE" w:rsidRPr="00484DAF" w:rsidRDefault="00594EDE" w:rsidP="00CC552D">
            <w:pPr>
              <w:pStyle w:val="Geenafstand"/>
              <w:spacing w:line="360" w:lineRule="auto"/>
              <w:rPr>
                <w:i/>
                <w:sz w:val="24"/>
                <w:szCs w:val="24"/>
              </w:rPr>
            </w:pPr>
          </w:p>
        </w:tc>
        <w:tc>
          <w:tcPr>
            <w:tcW w:w="1863" w:type="dxa"/>
          </w:tcPr>
          <w:p w:rsidR="00594EDE" w:rsidRPr="00484DAF" w:rsidRDefault="00594EDE" w:rsidP="00CC552D">
            <w:pPr>
              <w:pStyle w:val="Geenafstand"/>
              <w:spacing w:line="360" w:lineRule="auto"/>
              <w:rPr>
                <w:i/>
                <w:sz w:val="24"/>
                <w:szCs w:val="24"/>
              </w:rPr>
            </w:pPr>
            <w:r w:rsidRPr="00484DAF">
              <w:rPr>
                <w:i/>
                <w:sz w:val="24"/>
                <w:szCs w:val="24"/>
              </w:rPr>
              <w:t>Totale kostprijs</w:t>
            </w:r>
          </w:p>
          <w:p w:rsidR="00594EDE" w:rsidRPr="00484DAF" w:rsidRDefault="00594EDE" w:rsidP="00CC552D">
            <w:pPr>
              <w:pStyle w:val="Geenafstand"/>
              <w:spacing w:line="360" w:lineRule="auto"/>
              <w:rPr>
                <w:i/>
                <w:sz w:val="24"/>
                <w:szCs w:val="24"/>
              </w:rPr>
            </w:pPr>
          </w:p>
        </w:tc>
      </w:tr>
      <w:tr w:rsidR="00594EDE" w:rsidRPr="00484DAF" w:rsidTr="00F668DE">
        <w:trPr>
          <w:jc w:val="center"/>
        </w:trPr>
        <w:tc>
          <w:tcPr>
            <w:tcW w:w="1982" w:type="dxa"/>
          </w:tcPr>
          <w:p w:rsidR="00594EDE" w:rsidRPr="00484DAF" w:rsidRDefault="00594EDE" w:rsidP="00CC552D">
            <w:pPr>
              <w:pStyle w:val="Geenafstand"/>
              <w:spacing w:line="360" w:lineRule="auto"/>
              <w:rPr>
                <w:sz w:val="24"/>
                <w:szCs w:val="24"/>
              </w:rPr>
            </w:pPr>
            <w:r w:rsidRPr="00484DAF">
              <w:rPr>
                <w:sz w:val="24"/>
                <w:szCs w:val="24"/>
              </w:rPr>
              <w:t>Grond</w:t>
            </w:r>
          </w:p>
        </w:tc>
        <w:tc>
          <w:tcPr>
            <w:tcW w:w="1708" w:type="dxa"/>
          </w:tcPr>
          <w:p w:rsidR="00594EDE" w:rsidRPr="00484DAF" w:rsidRDefault="00594EDE" w:rsidP="00CC552D">
            <w:pPr>
              <w:pStyle w:val="Geenafstand"/>
              <w:spacing w:line="360" w:lineRule="auto"/>
              <w:rPr>
                <w:sz w:val="24"/>
                <w:szCs w:val="24"/>
              </w:rPr>
            </w:pPr>
            <w:r w:rsidRPr="00484DAF">
              <w:rPr>
                <w:sz w:val="24"/>
                <w:szCs w:val="24"/>
              </w:rPr>
              <w:t>€ 200.000</w:t>
            </w:r>
          </w:p>
        </w:tc>
        <w:tc>
          <w:tcPr>
            <w:tcW w:w="236" w:type="dxa"/>
          </w:tcPr>
          <w:p w:rsidR="00594EDE" w:rsidRPr="00484DAF" w:rsidRDefault="00594EDE" w:rsidP="00CC552D">
            <w:pPr>
              <w:pStyle w:val="Geenafstand"/>
              <w:spacing w:line="360" w:lineRule="auto"/>
              <w:rPr>
                <w:sz w:val="24"/>
                <w:szCs w:val="24"/>
              </w:rPr>
            </w:pPr>
          </w:p>
        </w:tc>
        <w:tc>
          <w:tcPr>
            <w:tcW w:w="1728" w:type="dxa"/>
          </w:tcPr>
          <w:p w:rsidR="00594EDE" w:rsidRPr="00484DAF" w:rsidRDefault="00594EDE" w:rsidP="00CC552D">
            <w:pPr>
              <w:pStyle w:val="Geenafstand"/>
              <w:spacing w:line="360" w:lineRule="auto"/>
              <w:rPr>
                <w:sz w:val="24"/>
                <w:szCs w:val="24"/>
              </w:rPr>
            </w:pPr>
            <w:r w:rsidRPr="00484DAF">
              <w:rPr>
                <w:sz w:val="24"/>
                <w:szCs w:val="24"/>
              </w:rPr>
              <w:t>(vooraftrek)</w:t>
            </w:r>
          </w:p>
        </w:tc>
        <w:tc>
          <w:tcPr>
            <w:tcW w:w="1529" w:type="dxa"/>
          </w:tcPr>
          <w:p w:rsidR="00594EDE" w:rsidRPr="00484DAF" w:rsidRDefault="00594EDE" w:rsidP="00CC552D">
            <w:pPr>
              <w:pStyle w:val="Geenafstand"/>
              <w:spacing w:line="360" w:lineRule="auto"/>
              <w:rPr>
                <w:sz w:val="24"/>
                <w:szCs w:val="24"/>
              </w:rPr>
            </w:pPr>
            <w:r w:rsidRPr="00484DAF">
              <w:rPr>
                <w:sz w:val="24"/>
                <w:szCs w:val="24"/>
              </w:rPr>
              <w:t>(19% BTW)</w:t>
            </w:r>
          </w:p>
        </w:tc>
        <w:tc>
          <w:tcPr>
            <w:tcW w:w="1863" w:type="dxa"/>
          </w:tcPr>
          <w:p w:rsidR="00594EDE" w:rsidRPr="00484DAF" w:rsidRDefault="00594EDE" w:rsidP="00CC552D">
            <w:pPr>
              <w:pStyle w:val="Geenafstand"/>
              <w:spacing w:line="360" w:lineRule="auto"/>
              <w:rPr>
                <w:sz w:val="24"/>
                <w:szCs w:val="24"/>
              </w:rPr>
            </w:pPr>
            <w:r w:rsidRPr="00484DAF">
              <w:rPr>
                <w:sz w:val="24"/>
                <w:szCs w:val="24"/>
              </w:rPr>
              <w:t>€ 200.000</w:t>
            </w:r>
          </w:p>
        </w:tc>
      </w:tr>
      <w:tr w:rsidR="00594EDE" w:rsidRPr="00484DAF" w:rsidTr="00F668DE">
        <w:trPr>
          <w:jc w:val="center"/>
        </w:trPr>
        <w:tc>
          <w:tcPr>
            <w:tcW w:w="1982" w:type="dxa"/>
          </w:tcPr>
          <w:p w:rsidR="00594EDE" w:rsidRPr="00484DAF" w:rsidRDefault="00594EDE" w:rsidP="00CC552D">
            <w:pPr>
              <w:pStyle w:val="Geenafstand"/>
              <w:spacing w:line="360" w:lineRule="auto"/>
              <w:rPr>
                <w:sz w:val="24"/>
                <w:szCs w:val="24"/>
              </w:rPr>
            </w:pPr>
            <w:r w:rsidRPr="00484DAF">
              <w:rPr>
                <w:sz w:val="24"/>
                <w:szCs w:val="24"/>
              </w:rPr>
              <w:t>Opstal</w:t>
            </w:r>
          </w:p>
        </w:tc>
        <w:tc>
          <w:tcPr>
            <w:tcW w:w="1708" w:type="dxa"/>
            <w:tcBorders>
              <w:bottom w:val="single" w:sz="4" w:space="0" w:color="auto"/>
            </w:tcBorders>
          </w:tcPr>
          <w:p w:rsidR="00594EDE" w:rsidRPr="00484DAF" w:rsidRDefault="00594EDE" w:rsidP="00CC552D">
            <w:pPr>
              <w:pStyle w:val="Geenafstand"/>
              <w:spacing w:line="360" w:lineRule="auto"/>
              <w:rPr>
                <w:sz w:val="24"/>
                <w:szCs w:val="24"/>
              </w:rPr>
            </w:pPr>
            <w:r w:rsidRPr="00484DAF">
              <w:rPr>
                <w:sz w:val="24"/>
                <w:szCs w:val="24"/>
              </w:rPr>
              <w:t>€ 150.000</w:t>
            </w:r>
          </w:p>
        </w:tc>
        <w:tc>
          <w:tcPr>
            <w:tcW w:w="236" w:type="dxa"/>
          </w:tcPr>
          <w:p w:rsidR="00594EDE" w:rsidRPr="00484DAF" w:rsidRDefault="00594EDE" w:rsidP="00CC552D">
            <w:pPr>
              <w:pStyle w:val="Geenafstand"/>
              <w:spacing w:line="360" w:lineRule="auto"/>
              <w:rPr>
                <w:sz w:val="24"/>
                <w:szCs w:val="24"/>
              </w:rPr>
            </w:pPr>
          </w:p>
        </w:tc>
        <w:tc>
          <w:tcPr>
            <w:tcW w:w="1728" w:type="dxa"/>
            <w:tcBorders>
              <w:bottom w:val="single" w:sz="4" w:space="0" w:color="auto"/>
            </w:tcBorders>
          </w:tcPr>
          <w:p w:rsidR="00594EDE" w:rsidRPr="00484DAF" w:rsidRDefault="00594EDE" w:rsidP="00CC552D">
            <w:pPr>
              <w:pStyle w:val="Geenafstand"/>
              <w:spacing w:line="360" w:lineRule="auto"/>
              <w:rPr>
                <w:sz w:val="24"/>
                <w:szCs w:val="24"/>
              </w:rPr>
            </w:pPr>
            <w:r w:rsidRPr="00484DAF">
              <w:rPr>
                <w:sz w:val="24"/>
                <w:szCs w:val="24"/>
              </w:rPr>
              <w:t>(vooraftrek)</w:t>
            </w:r>
          </w:p>
        </w:tc>
        <w:tc>
          <w:tcPr>
            <w:tcW w:w="1529" w:type="dxa"/>
          </w:tcPr>
          <w:p w:rsidR="00594EDE" w:rsidRPr="00484DAF" w:rsidRDefault="00594EDE" w:rsidP="00CC552D">
            <w:pPr>
              <w:pStyle w:val="Geenafstand"/>
              <w:spacing w:line="360" w:lineRule="auto"/>
              <w:rPr>
                <w:sz w:val="24"/>
                <w:szCs w:val="24"/>
              </w:rPr>
            </w:pPr>
            <w:r w:rsidRPr="00484DAF">
              <w:rPr>
                <w:sz w:val="24"/>
                <w:szCs w:val="24"/>
              </w:rPr>
              <w:t>(19% BTW)</w:t>
            </w:r>
          </w:p>
        </w:tc>
        <w:tc>
          <w:tcPr>
            <w:tcW w:w="1863" w:type="dxa"/>
            <w:tcBorders>
              <w:bottom w:val="double" w:sz="4" w:space="0" w:color="auto"/>
            </w:tcBorders>
          </w:tcPr>
          <w:p w:rsidR="00594EDE" w:rsidRPr="00484DAF" w:rsidRDefault="00594EDE" w:rsidP="00CC552D">
            <w:pPr>
              <w:pStyle w:val="Geenafstand"/>
              <w:spacing w:line="360" w:lineRule="auto"/>
              <w:rPr>
                <w:sz w:val="24"/>
                <w:szCs w:val="24"/>
              </w:rPr>
            </w:pPr>
            <w:r w:rsidRPr="00484DAF">
              <w:rPr>
                <w:sz w:val="24"/>
                <w:szCs w:val="24"/>
              </w:rPr>
              <w:t>€ 150.000</w:t>
            </w:r>
          </w:p>
        </w:tc>
      </w:tr>
      <w:tr w:rsidR="00594EDE" w:rsidRPr="00484DAF" w:rsidTr="00F668DE">
        <w:trPr>
          <w:jc w:val="center"/>
        </w:trPr>
        <w:tc>
          <w:tcPr>
            <w:tcW w:w="1982" w:type="dxa"/>
          </w:tcPr>
          <w:p w:rsidR="00594EDE" w:rsidRPr="00484DAF" w:rsidRDefault="00594EDE" w:rsidP="00CC552D">
            <w:pPr>
              <w:pStyle w:val="Geenafstand"/>
              <w:spacing w:line="360" w:lineRule="auto"/>
              <w:rPr>
                <w:sz w:val="24"/>
                <w:szCs w:val="24"/>
              </w:rPr>
            </w:pPr>
            <w:r w:rsidRPr="00484DAF">
              <w:rPr>
                <w:b/>
                <w:sz w:val="24"/>
                <w:szCs w:val="24"/>
              </w:rPr>
              <w:t>Totaal</w:t>
            </w:r>
          </w:p>
        </w:tc>
        <w:tc>
          <w:tcPr>
            <w:tcW w:w="1708" w:type="dxa"/>
            <w:tcBorders>
              <w:top w:val="single" w:sz="4" w:space="0" w:color="auto"/>
            </w:tcBorders>
          </w:tcPr>
          <w:p w:rsidR="00594EDE" w:rsidRPr="00484DAF" w:rsidRDefault="00594EDE" w:rsidP="00CC552D">
            <w:pPr>
              <w:pStyle w:val="Geenafstand"/>
              <w:spacing w:line="360" w:lineRule="auto"/>
              <w:rPr>
                <w:sz w:val="24"/>
                <w:szCs w:val="24"/>
              </w:rPr>
            </w:pPr>
            <w:r w:rsidRPr="00484DAF">
              <w:rPr>
                <w:sz w:val="24"/>
                <w:szCs w:val="24"/>
              </w:rPr>
              <w:t>€ 350.000</w:t>
            </w:r>
          </w:p>
        </w:tc>
        <w:tc>
          <w:tcPr>
            <w:tcW w:w="236" w:type="dxa"/>
          </w:tcPr>
          <w:p w:rsidR="00594EDE" w:rsidRPr="00484DAF" w:rsidRDefault="00594EDE" w:rsidP="00CC552D">
            <w:pPr>
              <w:pStyle w:val="Geenafstand"/>
              <w:spacing w:line="360" w:lineRule="auto"/>
              <w:rPr>
                <w:sz w:val="24"/>
                <w:szCs w:val="24"/>
              </w:rPr>
            </w:pPr>
          </w:p>
        </w:tc>
        <w:tc>
          <w:tcPr>
            <w:tcW w:w="1728" w:type="dxa"/>
            <w:tcBorders>
              <w:top w:val="single" w:sz="4" w:space="0" w:color="auto"/>
            </w:tcBorders>
          </w:tcPr>
          <w:p w:rsidR="00594EDE" w:rsidRPr="00484DAF" w:rsidRDefault="0011788E" w:rsidP="00CC552D">
            <w:pPr>
              <w:pStyle w:val="Geenafstand"/>
              <w:spacing w:line="360" w:lineRule="auto"/>
              <w:rPr>
                <w:sz w:val="24"/>
                <w:szCs w:val="24"/>
              </w:rPr>
            </w:pPr>
            <w:r w:rsidRPr="00484DAF">
              <w:rPr>
                <w:sz w:val="24"/>
                <w:szCs w:val="24"/>
              </w:rPr>
              <w:t>nihil</w:t>
            </w:r>
          </w:p>
        </w:tc>
        <w:tc>
          <w:tcPr>
            <w:tcW w:w="1529" w:type="dxa"/>
          </w:tcPr>
          <w:p w:rsidR="00594EDE" w:rsidRPr="00484DAF" w:rsidRDefault="00594EDE" w:rsidP="00CC552D">
            <w:pPr>
              <w:pStyle w:val="Geenafstand"/>
              <w:spacing w:line="360" w:lineRule="auto"/>
              <w:rPr>
                <w:b/>
                <w:sz w:val="24"/>
                <w:szCs w:val="24"/>
              </w:rPr>
            </w:pPr>
          </w:p>
        </w:tc>
        <w:tc>
          <w:tcPr>
            <w:tcW w:w="1863" w:type="dxa"/>
            <w:tcBorders>
              <w:top w:val="double" w:sz="4" w:space="0" w:color="auto"/>
            </w:tcBorders>
          </w:tcPr>
          <w:p w:rsidR="00594EDE" w:rsidRPr="00484DAF" w:rsidRDefault="00594EDE" w:rsidP="00CC552D">
            <w:pPr>
              <w:pStyle w:val="Geenafstand"/>
              <w:spacing w:line="360" w:lineRule="auto"/>
              <w:rPr>
                <w:b/>
                <w:sz w:val="24"/>
                <w:szCs w:val="24"/>
              </w:rPr>
            </w:pPr>
            <w:r w:rsidRPr="00484DAF">
              <w:rPr>
                <w:b/>
                <w:sz w:val="24"/>
                <w:szCs w:val="24"/>
              </w:rPr>
              <w:t>€ 350.000</w:t>
            </w:r>
          </w:p>
        </w:tc>
      </w:tr>
    </w:tbl>
    <w:p w:rsidR="00F506FE" w:rsidRPr="00484DAF" w:rsidRDefault="00F506FE" w:rsidP="00CC552D">
      <w:pPr>
        <w:pStyle w:val="Geenafstand"/>
        <w:spacing w:line="360" w:lineRule="auto"/>
        <w:rPr>
          <w:sz w:val="24"/>
          <w:szCs w:val="24"/>
        </w:rPr>
      </w:pPr>
    </w:p>
    <w:p w:rsidR="00D23D54" w:rsidRPr="00484DAF" w:rsidRDefault="00D23D54" w:rsidP="00CC552D">
      <w:pPr>
        <w:pStyle w:val="Geenafstand"/>
        <w:spacing w:line="360" w:lineRule="auto"/>
        <w:rPr>
          <w:sz w:val="24"/>
          <w:szCs w:val="24"/>
        </w:rPr>
      </w:pPr>
    </w:p>
    <w:p w:rsidR="002F4EF6" w:rsidRPr="00484DAF" w:rsidRDefault="0011788E" w:rsidP="00CC552D">
      <w:pPr>
        <w:pStyle w:val="Geenafstand"/>
        <w:spacing w:line="360" w:lineRule="auto"/>
        <w:rPr>
          <w:sz w:val="24"/>
          <w:szCs w:val="24"/>
        </w:rPr>
      </w:pPr>
      <w:r w:rsidRPr="00484DAF">
        <w:rPr>
          <w:sz w:val="24"/>
          <w:szCs w:val="24"/>
        </w:rPr>
        <w:t xml:space="preserve">De naar winst strevende projectontwikkelaar zal meewerken aan deze constructie om overdrachtsbelasting te ontgaan, maar zal daar wel </w:t>
      </w:r>
      <w:r w:rsidR="00594EDE" w:rsidRPr="00484DAF">
        <w:rPr>
          <w:sz w:val="24"/>
          <w:szCs w:val="24"/>
        </w:rPr>
        <w:t xml:space="preserve">munt </w:t>
      </w:r>
      <w:r w:rsidRPr="00484DAF">
        <w:rPr>
          <w:sz w:val="24"/>
          <w:szCs w:val="24"/>
        </w:rPr>
        <w:t xml:space="preserve">uit </w:t>
      </w:r>
      <w:r w:rsidR="00594EDE" w:rsidRPr="00484DAF">
        <w:rPr>
          <w:sz w:val="24"/>
          <w:szCs w:val="24"/>
        </w:rPr>
        <w:t>proberen te slaan</w:t>
      </w:r>
      <w:r w:rsidRPr="00484DAF">
        <w:rPr>
          <w:sz w:val="24"/>
          <w:szCs w:val="24"/>
        </w:rPr>
        <w:t xml:space="preserve">. Afgesproken wordt middels een koop/aanneemovereenkomst een bouwterrein te leveren waarna opstal wordt gerealiseerd voor de </w:t>
      </w:r>
      <w:r w:rsidR="00594EDE" w:rsidRPr="00484DAF">
        <w:rPr>
          <w:sz w:val="24"/>
          <w:szCs w:val="24"/>
        </w:rPr>
        <w:t xml:space="preserve">vrij op naam prijs van </w:t>
      </w:r>
      <w:r w:rsidRPr="00484DAF">
        <w:rPr>
          <w:sz w:val="24"/>
          <w:szCs w:val="24"/>
        </w:rPr>
        <w:t>bijvoorbeeld € 358</w:t>
      </w:r>
      <w:r w:rsidR="00F668DE" w:rsidRPr="00484DAF">
        <w:rPr>
          <w:sz w:val="24"/>
          <w:szCs w:val="24"/>
        </w:rPr>
        <w:t>.000.</w:t>
      </w:r>
      <w:r w:rsidR="00CD68C6" w:rsidRPr="00484DAF">
        <w:rPr>
          <w:sz w:val="24"/>
          <w:szCs w:val="24"/>
        </w:rPr>
        <w:t xml:space="preserve"> Dit is tevens de opbrengst verkopen voor de projectontwikkelaar. Het voordeel voor de afnemer is dat de verkoopprijs zodoende € 4.000 lager uitvalt. </w:t>
      </w:r>
      <w:r w:rsidR="00091FBE" w:rsidRPr="00484DAF">
        <w:rPr>
          <w:sz w:val="24"/>
          <w:szCs w:val="24"/>
        </w:rPr>
        <w:t>Het moge duidelijk zijn dat de samenloopvrijstelling in deze</w:t>
      </w:r>
      <w:r w:rsidR="000C16EB" w:rsidRPr="00484DAF">
        <w:rPr>
          <w:sz w:val="24"/>
          <w:szCs w:val="24"/>
        </w:rPr>
        <w:t>n</w:t>
      </w:r>
      <w:r w:rsidR="00091FBE" w:rsidRPr="00484DAF">
        <w:rPr>
          <w:sz w:val="24"/>
          <w:szCs w:val="24"/>
        </w:rPr>
        <w:t xml:space="preserve"> gekunsteld wordt ingezet.</w:t>
      </w:r>
      <w:r w:rsidR="00F668DE" w:rsidRPr="00484DAF">
        <w:rPr>
          <w:sz w:val="24"/>
          <w:szCs w:val="24"/>
        </w:rPr>
        <w:t xml:space="preserve"> Immers, een BTW-belas</w:t>
      </w:r>
      <w:r w:rsidR="00CD68C6" w:rsidRPr="00484DAF">
        <w:rPr>
          <w:sz w:val="24"/>
          <w:szCs w:val="24"/>
        </w:rPr>
        <w:t>te levering wordt geforceerd op</w:t>
      </w:r>
      <w:r w:rsidR="00F668DE" w:rsidRPr="00484DAF">
        <w:rPr>
          <w:sz w:val="24"/>
          <w:szCs w:val="24"/>
        </w:rPr>
        <w:t xml:space="preserve">dat cumulatie met overdrachtsbelasting wordt voorkomen. </w:t>
      </w:r>
      <w:r w:rsidR="00CD68C6" w:rsidRPr="00484DAF">
        <w:rPr>
          <w:sz w:val="24"/>
          <w:szCs w:val="24"/>
        </w:rPr>
        <w:t xml:space="preserve">Naar de letter van de wet is tegen deze transactie niets in te brengen. </w:t>
      </w:r>
      <w:r w:rsidR="00C856C0" w:rsidRPr="00484DAF">
        <w:rPr>
          <w:sz w:val="24"/>
          <w:szCs w:val="24"/>
        </w:rPr>
        <w:t>D</w:t>
      </w:r>
      <w:r w:rsidR="00356E78" w:rsidRPr="00484DAF">
        <w:rPr>
          <w:sz w:val="24"/>
          <w:szCs w:val="24"/>
        </w:rPr>
        <w:t>e BTW over de levering van grond is</w:t>
      </w:r>
      <w:r w:rsidR="00CD68C6" w:rsidRPr="00484DAF">
        <w:rPr>
          <w:sz w:val="24"/>
          <w:szCs w:val="24"/>
        </w:rPr>
        <w:t xml:space="preserve"> immers</w:t>
      </w:r>
      <w:r w:rsidR="00356E78" w:rsidRPr="00484DAF">
        <w:rPr>
          <w:sz w:val="24"/>
          <w:szCs w:val="24"/>
        </w:rPr>
        <w:t xml:space="preserve"> van rechtswege verschuldigd </w:t>
      </w:r>
      <w:r w:rsidR="00CD68C6" w:rsidRPr="00484DAF">
        <w:rPr>
          <w:sz w:val="24"/>
          <w:szCs w:val="24"/>
        </w:rPr>
        <w:t xml:space="preserve">(ervan uitgaande dat buiten kijf staat dat sprake is van een bouwterrein) </w:t>
      </w:r>
      <w:r w:rsidR="00356E78" w:rsidRPr="00484DAF">
        <w:rPr>
          <w:sz w:val="24"/>
          <w:szCs w:val="24"/>
        </w:rPr>
        <w:t xml:space="preserve">en </w:t>
      </w:r>
      <w:r w:rsidR="009211A3" w:rsidRPr="00484DAF">
        <w:rPr>
          <w:sz w:val="24"/>
          <w:szCs w:val="24"/>
        </w:rPr>
        <w:t xml:space="preserve">de nieuwbouw </w:t>
      </w:r>
      <w:r w:rsidR="00356E78" w:rsidRPr="00484DAF">
        <w:rPr>
          <w:sz w:val="24"/>
          <w:szCs w:val="24"/>
        </w:rPr>
        <w:t>wordt niet als bedrijfsmiddel gebruikt</w:t>
      </w:r>
      <w:r w:rsidR="009211A3" w:rsidRPr="00484DAF">
        <w:rPr>
          <w:sz w:val="24"/>
          <w:szCs w:val="24"/>
        </w:rPr>
        <w:t xml:space="preserve"> waardoor de aftrekgerechtigheid geen rol speelt</w:t>
      </w:r>
      <w:r w:rsidR="00356E78" w:rsidRPr="00484DAF">
        <w:rPr>
          <w:sz w:val="24"/>
          <w:szCs w:val="24"/>
        </w:rPr>
        <w:t>.</w:t>
      </w:r>
      <w:r w:rsidR="00C856C0" w:rsidRPr="00484DAF">
        <w:rPr>
          <w:sz w:val="24"/>
          <w:szCs w:val="24"/>
        </w:rPr>
        <w:t xml:space="preserve"> </w:t>
      </w:r>
      <w:r w:rsidR="002D3B15" w:rsidRPr="00484DAF">
        <w:rPr>
          <w:sz w:val="24"/>
          <w:szCs w:val="24"/>
        </w:rPr>
        <w:t xml:space="preserve">Doel en strekking van de wet hebben in </w:t>
      </w:r>
      <w:r w:rsidR="00C856C0" w:rsidRPr="00484DAF">
        <w:rPr>
          <w:sz w:val="24"/>
          <w:szCs w:val="24"/>
        </w:rPr>
        <w:t>dergelijk gebruik</w:t>
      </w:r>
      <w:r w:rsidR="009211A3" w:rsidRPr="00484DAF">
        <w:rPr>
          <w:sz w:val="24"/>
          <w:szCs w:val="24"/>
        </w:rPr>
        <w:t xml:space="preserve"> (of misbruik)</w:t>
      </w:r>
      <w:r w:rsidR="00C856C0" w:rsidRPr="00484DAF">
        <w:rPr>
          <w:sz w:val="24"/>
          <w:szCs w:val="24"/>
        </w:rPr>
        <w:t xml:space="preserve"> van de </w:t>
      </w:r>
      <w:r w:rsidR="009211A3" w:rsidRPr="00484DAF">
        <w:rPr>
          <w:sz w:val="24"/>
          <w:szCs w:val="24"/>
        </w:rPr>
        <w:t xml:space="preserve">samenloopvrijstelling </w:t>
      </w:r>
      <w:r w:rsidR="00C856C0" w:rsidRPr="00484DAF">
        <w:rPr>
          <w:sz w:val="24"/>
          <w:szCs w:val="24"/>
        </w:rPr>
        <w:t>niet voorzien.</w:t>
      </w:r>
    </w:p>
    <w:p w:rsidR="00557A1F" w:rsidRPr="00484DAF" w:rsidRDefault="00557A1F" w:rsidP="00CC552D">
      <w:pPr>
        <w:pStyle w:val="Geenafstand"/>
        <w:spacing w:line="360" w:lineRule="auto"/>
        <w:rPr>
          <w:sz w:val="24"/>
          <w:szCs w:val="24"/>
        </w:rPr>
      </w:pPr>
    </w:p>
    <w:p w:rsidR="00625A75" w:rsidRPr="00484DAF" w:rsidRDefault="00625A75" w:rsidP="00CC552D">
      <w:pPr>
        <w:pStyle w:val="Kop1"/>
        <w:spacing w:before="0" w:line="360" w:lineRule="auto"/>
        <w:rPr>
          <w:rFonts w:ascii="Times New Roman" w:hAnsi="Times New Roman"/>
          <w:color w:val="auto"/>
          <w:sz w:val="24"/>
          <w:szCs w:val="24"/>
        </w:rPr>
      </w:pPr>
      <w:bookmarkStart w:id="53" w:name="_Toc254043911"/>
      <w:r w:rsidRPr="00484DAF">
        <w:rPr>
          <w:rFonts w:ascii="Times New Roman" w:hAnsi="Times New Roman"/>
          <w:color w:val="auto"/>
          <w:sz w:val="24"/>
          <w:szCs w:val="24"/>
        </w:rPr>
        <w:t>2.</w:t>
      </w:r>
      <w:r w:rsidR="00AF461F" w:rsidRPr="00484DAF">
        <w:rPr>
          <w:rFonts w:ascii="Times New Roman" w:hAnsi="Times New Roman"/>
          <w:color w:val="auto"/>
          <w:sz w:val="24"/>
          <w:szCs w:val="24"/>
        </w:rPr>
        <w:t>4</w:t>
      </w:r>
      <w:r w:rsidRPr="00484DAF">
        <w:rPr>
          <w:rFonts w:ascii="Times New Roman" w:hAnsi="Times New Roman"/>
          <w:color w:val="auto"/>
          <w:sz w:val="24"/>
          <w:szCs w:val="24"/>
        </w:rPr>
        <w:t xml:space="preserve"> Tussenconclusie</w:t>
      </w:r>
      <w:r w:rsidR="00387C46" w:rsidRPr="00484DAF">
        <w:rPr>
          <w:rFonts w:ascii="Times New Roman" w:hAnsi="Times New Roman"/>
          <w:color w:val="auto"/>
          <w:sz w:val="24"/>
          <w:szCs w:val="24"/>
        </w:rPr>
        <w:t xml:space="preserve"> II</w:t>
      </w:r>
      <w:bookmarkEnd w:id="53"/>
    </w:p>
    <w:p w:rsidR="0049285B" w:rsidRPr="00484DAF" w:rsidRDefault="00986057" w:rsidP="00CC552D">
      <w:pPr>
        <w:spacing w:after="0" w:line="360" w:lineRule="auto"/>
        <w:rPr>
          <w:sz w:val="24"/>
          <w:szCs w:val="24"/>
        </w:rPr>
      </w:pPr>
      <w:r w:rsidRPr="00484DAF">
        <w:rPr>
          <w:sz w:val="24"/>
          <w:szCs w:val="24"/>
        </w:rPr>
        <w:t xml:space="preserve">Aan bod kwam in dit hoofdstuk een andere kostprijsverhogende belasting, namelijk de overdrachtsbelasting. Deze directe belasting wordt geheven ter zake van de verkrijging (in welke vorm dan ook) van in Nederland gelegen onroerend goed. Centraal staat het begrip onroerende zaak, welke (nu de overdrachtsbelasting geen Europese belasting is) geen communautair begrip </w:t>
      </w:r>
      <w:r w:rsidR="00300F81" w:rsidRPr="00484DAF">
        <w:rPr>
          <w:sz w:val="24"/>
          <w:szCs w:val="24"/>
        </w:rPr>
        <w:t>is</w:t>
      </w:r>
      <w:r w:rsidRPr="00484DAF">
        <w:rPr>
          <w:sz w:val="24"/>
          <w:szCs w:val="24"/>
        </w:rPr>
        <w:t xml:space="preserve">. Het civiele recht leert dat onder onroerend wordt verstaan grond, nog niet gewonnen delfstoffen, met de grond verenigde beplantingen, alsmede gebouwen en werken die duurzaam met de grond zijn verenigd, hetzij rechtstreeks, hetzij door vereniging met andere gebouwen of werken. Gezien het verschil in betekenis van onroerend goed/zaak </w:t>
      </w:r>
      <w:r w:rsidR="00300F81" w:rsidRPr="00484DAF">
        <w:rPr>
          <w:sz w:val="24"/>
          <w:szCs w:val="24"/>
        </w:rPr>
        <w:t xml:space="preserve">voor de omzetbelasting en overdrachtsbelasting </w:t>
      </w:r>
      <w:r w:rsidRPr="00484DAF">
        <w:rPr>
          <w:sz w:val="24"/>
          <w:szCs w:val="24"/>
        </w:rPr>
        <w:t xml:space="preserve">kan dit tot onduidelijkheid leiden. Dit komt </w:t>
      </w:r>
      <w:r w:rsidR="00542251" w:rsidRPr="00484DAF">
        <w:rPr>
          <w:sz w:val="24"/>
          <w:szCs w:val="24"/>
        </w:rPr>
        <w:t xml:space="preserve">veelal </w:t>
      </w:r>
      <w:r w:rsidRPr="00484DAF">
        <w:rPr>
          <w:sz w:val="24"/>
          <w:szCs w:val="24"/>
        </w:rPr>
        <w:t xml:space="preserve">naar voren in de samenloopvrijstelling. De overdrachtsbelasting kent namelijk een vrijstelling voor de verkrijging van onroerend goed welke reeds van rechtswege met </w:t>
      </w:r>
      <w:r w:rsidR="00F17D04" w:rsidRPr="00484DAF">
        <w:rPr>
          <w:sz w:val="24"/>
          <w:szCs w:val="24"/>
        </w:rPr>
        <w:t>BTW is belast, het goed niet als bedrijfsmiddel wordt gebruikt en zo dat wel het geval is geen recht op aftrek voorbelasting bestaat. De samenloopvrijstelling klinkt optimaal, maar in geval van (verondersteld) misbruik kent de overdrachtsbelasting een strafheffing in de vorm van overdrachtsbelasting over de kostprijs inclusief BTW.</w:t>
      </w:r>
      <w:r w:rsidR="00D23D54" w:rsidRPr="00484DAF">
        <w:rPr>
          <w:sz w:val="24"/>
          <w:szCs w:val="24"/>
        </w:rPr>
        <w:t xml:space="preserve"> Met behulp van een rekenvoorbeeld is aangetoond hoe, afhankelijk van de hoedanigheid van de afnemer, 13% BTW op gekunstelde wijze wordt bespaard, dan wel geforceerd een volledig met BTW belaste prestatie plaatsvindt om overdrachtsbelasting te besparen.</w:t>
      </w:r>
      <w:r w:rsidR="0049285B" w:rsidRPr="00484DAF">
        <w:rPr>
          <w:sz w:val="24"/>
          <w:szCs w:val="24"/>
        </w:rPr>
        <w:br w:type="page"/>
      </w:r>
    </w:p>
    <w:p w:rsidR="0049285B" w:rsidRPr="00484DAF" w:rsidRDefault="0049285B" w:rsidP="00CC552D">
      <w:pPr>
        <w:pStyle w:val="Kop1"/>
        <w:spacing w:before="0" w:line="360" w:lineRule="auto"/>
        <w:rPr>
          <w:rFonts w:ascii="Times New Roman" w:hAnsi="Times New Roman"/>
          <w:color w:val="auto"/>
          <w:sz w:val="24"/>
          <w:szCs w:val="24"/>
        </w:rPr>
      </w:pPr>
      <w:bookmarkStart w:id="54" w:name="_Toc254043912"/>
      <w:r w:rsidRPr="00484DAF">
        <w:rPr>
          <w:rFonts w:ascii="Times New Roman" w:hAnsi="Times New Roman"/>
          <w:color w:val="auto"/>
          <w:sz w:val="24"/>
          <w:szCs w:val="24"/>
        </w:rPr>
        <w:lastRenderedPageBreak/>
        <w:t xml:space="preserve">Hoofdstuk 3: </w:t>
      </w:r>
      <w:r w:rsidR="00821A0B" w:rsidRPr="00484DAF">
        <w:rPr>
          <w:rFonts w:ascii="Times New Roman" w:hAnsi="Times New Roman"/>
          <w:color w:val="auto"/>
          <w:sz w:val="24"/>
          <w:szCs w:val="24"/>
        </w:rPr>
        <w:t>(Gedeelte van een) gebouw en het erbij behorend terrein</w:t>
      </w:r>
      <w:bookmarkEnd w:id="54"/>
    </w:p>
    <w:p w:rsidR="003A7032" w:rsidRPr="00484DAF" w:rsidRDefault="003A7032" w:rsidP="00CC552D">
      <w:pPr>
        <w:pStyle w:val="Geenafstand"/>
        <w:spacing w:line="360" w:lineRule="auto"/>
        <w:rPr>
          <w:sz w:val="24"/>
          <w:szCs w:val="24"/>
        </w:rPr>
      </w:pPr>
      <w:r w:rsidRPr="00484DAF">
        <w:rPr>
          <w:sz w:val="24"/>
          <w:szCs w:val="24"/>
        </w:rPr>
        <w:t>In de voorgaande hoofdstukken is uiteengezet hoe de heffing en samenloop van omzetbelasting en overdrachtsbelasting ten aanzien van onroerend goed plaatsvindt. Daarbij is bewust geen aandacht besteed aan de invulling van het begrip “gebouw” en “bouwterrein”. Over laatstgenoemde wordt in hoofdstuk 4 uitgeweid, terwijl zowel de Europese als Nederlandse invulling van “gebouw” in dit hoofdstuk aan bod komt. Daarbij wordt ook “vervaardiging” als bedoeld in de richtlijn en hedendaagse rechtspraak uitgelegd.</w:t>
      </w:r>
    </w:p>
    <w:p w:rsidR="00557A1F" w:rsidRPr="00484DAF" w:rsidRDefault="00557A1F" w:rsidP="00CC552D">
      <w:pPr>
        <w:pStyle w:val="Geenafstand"/>
        <w:spacing w:line="360" w:lineRule="auto"/>
        <w:rPr>
          <w:sz w:val="24"/>
          <w:szCs w:val="24"/>
        </w:rPr>
      </w:pPr>
    </w:p>
    <w:p w:rsidR="003A7032" w:rsidRPr="00484DAF" w:rsidRDefault="003A7032" w:rsidP="00CC552D">
      <w:pPr>
        <w:pStyle w:val="Kop1"/>
        <w:spacing w:before="0" w:line="360" w:lineRule="auto"/>
        <w:rPr>
          <w:rFonts w:ascii="Times New Roman" w:hAnsi="Times New Roman"/>
          <w:color w:val="auto"/>
          <w:sz w:val="24"/>
          <w:szCs w:val="24"/>
        </w:rPr>
      </w:pPr>
      <w:bookmarkStart w:id="55" w:name="_Toc235084390"/>
      <w:bookmarkStart w:id="56" w:name="_Toc254043913"/>
      <w:r w:rsidRPr="00484DAF">
        <w:rPr>
          <w:rFonts w:ascii="Times New Roman" w:hAnsi="Times New Roman"/>
          <w:color w:val="auto"/>
          <w:sz w:val="24"/>
          <w:szCs w:val="24"/>
        </w:rPr>
        <w:t xml:space="preserve">3.1 </w:t>
      </w:r>
      <w:r w:rsidR="001673F1" w:rsidRPr="00484DAF">
        <w:rPr>
          <w:rFonts w:ascii="Times New Roman" w:hAnsi="Times New Roman"/>
          <w:color w:val="auto"/>
          <w:sz w:val="24"/>
          <w:szCs w:val="24"/>
        </w:rPr>
        <w:t>Gebouw in</w:t>
      </w:r>
      <w:r w:rsidR="0091413D" w:rsidRPr="00484DAF">
        <w:rPr>
          <w:rFonts w:ascii="Times New Roman" w:hAnsi="Times New Roman"/>
          <w:color w:val="auto"/>
          <w:sz w:val="24"/>
          <w:szCs w:val="24"/>
        </w:rPr>
        <w:t xml:space="preserve"> </w:t>
      </w:r>
      <w:r w:rsidRPr="00484DAF">
        <w:rPr>
          <w:rFonts w:ascii="Times New Roman" w:hAnsi="Times New Roman"/>
          <w:color w:val="auto"/>
          <w:sz w:val="24"/>
          <w:szCs w:val="24"/>
        </w:rPr>
        <w:t>BTW-richtlijn</w:t>
      </w:r>
      <w:bookmarkEnd w:id="55"/>
      <w:bookmarkEnd w:id="56"/>
    </w:p>
    <w:p w:rsidR="00477B69" w:rsidRPr="00484DAF" w:rsidRDefault="00B865CD" w:rsidP="00CC552D">
      <w:pPr>
        <w:spacing w:after="0" w:line="360" w:lineRule="auto"/>
        <w:rPr>
          <w:sz w:val="24"/>
          <w:szCs w:val="24"/>
        </w:rPr>
      </w:pPr>
      <w:r w:rsidRPr="00484DAF">
        <w:rPr>
          <w:sz w:val="24"/>
          <w:szCs w:val="24"/>
        </w:rPr>
        <w:t xml:space="preserve">Ingevolge artikel </w:t>
      </w:r>
      <w:r w:rsidR="00F3722C" w:rsidRPr="00484DAF">
        <w:rPr>
          <w:sz w:val="24"/>
          <w:szCs w:val="24"/>
        </w:rPr>
        <w:t xml:space="preserve">12, lid 2 </w:t>
      </w:r>
      <w:r w:rsidRPr="00484DAF">
        <w:rPr>
          <w:sz w:val="24"/>
          <w:szCs w:val="24"/>
        </w:rPr>
        <w:t>BTW-richtlijn</w:t>
      </w:r>
      <w:r w:rsidR="005C38DD" w:rsidRPr="00484DAF">
        <w:rPr>
          <w:rStyle w:val="Voetnootmarkering"/>
          <w:sz w:val="24"/>
          <w:szCs w:val="24"/>
        </w:rPr>
        <w:footnoteReference w:id="101"/>
      </w:r>
      <w:r w:rsidRPr="00484DAF">
        <w:rPr>
          <w:sz w:val="24"/>
          <w:szCs w:val="24"/>
        </w:rPr>
        <w:t xml:space="preserve"> </w:t>
      </w:r>
      <w:r w:rsidR="00F3722C" w:rsidRPr="00484DAF">
        <w:rPr>
          <w:sz w:val="24"/>
          <w:szCs w:val="24"/>
        </w:rPr>
        <w:t xml:space="preserve">wordt als </w:t>
      </w:r>
      <w:r w:rsidR="00F91D02" w:rsidRPr="00484DAF">
        <w:rPr>
          <w:sz w:val="24"/>
          <w:szCs w:val="24"/>
        </w:rPr>
        <w:t>“</w:t>
      </w:r>
      <w:r w:rsidR="00F3722C" w:rsidRPr="00484DAF">
        <w:rPr>
          <w:sz w:val="24"/>
          <w:szCs w:val="24"/>
        </w:rPr>
        <w:t>gebouw</w:t>
      </w:r>
      <w:r w:rsidR="00F91D02" w:rsidRPr="00484DAF">
        <w:rPr>
          <w:sz w:val="24"/>
          <w:szCs w:val="24"/>
        </w:rPr>
        <w:t>”</w:t>
      </w:r>
      <w:r w:rsidR="00F3722C" w:rsidRPr="00484DAF">
        <w:rPr>
          <w:sz w:val="24"/>
          <w:szCs w:val="24"/>
        </w:rPr>
        <w:t xml:space="preserve"> beschouwd ieder bouwwerk dat vast met de grond is verbonden. </w:t>
      </w:r>
      <w:r w:rsidR="00FD16CD" w:rsidRPr="00484DAF">
        <w:rPr>
          <w:sz w:val="24"/>
          <w:szCs w:val="24"/>
        </w:rPr>
        <w:t>Het criterium “vast met de grond verbonden” is reeds in</w:t>
      </w:r>
      <w:r w:rsidR="007F0C06" w:rsidRPr="00484DAF">
        <w:rPr>
          <w:sz w:val="24"/>
          <w:szCs w:val="24"/>
        </w:rPr>
        <w:t xml:space="preserve"> het eerste</w:t>
      </w:r>
      <w:r w:rsidR="00FD16CD" w:rsidRPr="00484DAF">
        <w:rPr>
          <w:sz w:val="24"/>
          <w:szCs w:val="24"/>
        </w:rPr>
        <w:t xml:space="preserve"> hoofdstuk </w:t>
      </w:r>
      <w:r w:rsidR="007F0C06" w:rsidRPr="00484DAF">
        <w:rPr>
          <w:sz w:val="24"/>
          <w:szCs w:val="24"/>
        </w:rPr>
        <w:t xml:space="preserve">van deze scriptie </w:t>
      </w:r>
      <w:r w:rsidR="00FD16CD" w:rsidRPr="00484DAF">
        <w:rPr>
          <w:sz w:val="24"/>
          <w:szCs w:val="24"/>
        </w:rPr>
        <w:t xml:space="preserve">aan bod gekomen bij de behandeling van het arrest </w:t>
      </w:r>
      <w:r w:rsidR="00FD16CD" w:rsidRPr="00484DAF">
        <w:rPr>
          <w:i/>
          <w:sz w:val="24"/>
          <w:szCs w:val="24"/>
        </w:rPr>
        <w:t>Rudolf Maierhofer.</w:t>
      </w:r>
      <w:r w:rsidR="00FD16CD" w:rsidRPr="00484DAF">
        <w:rPr>
          <w:sz w:val="24"/>
          <w:szCs w:val="24"/>
        </w:rPr>
        <w:t xml:space="preserve"> Verdere Europese jurisprudentie hieromtrent is </w:t>
      </w:r>
      <w:r w:rsidR="007B4A68" w:rsidRPr="00484DAF">
        <w:rPr>
          <w:sz w:val="24"/>
          <w:szCs w:val="24"/>
        </w:rPr>
        <w:t xml:space="preserve">mij </w:t>
      </w:r>
      <w:r w:rsidR="00FD16CD" w:rsidRPr="00484DAF">
        <w:rPr>
          <w:sz w:val="24"/>
          <w:szCs w:val="24"/>
        </w:rPr>
        <w:t xml:space="preserve">niet bekend. </w:t>
      </w:r>
      <w:r w:rsidR="00031849" w:rsidRPr="00484DAF">
        <w:rPr>
          <w:sz w:val="24"/>
          <w:szCs w:val="24"/>
        </w:rPr>
        <w:t>Wat opvalt aan het gebruik van het woord “bouwwerk”</w:t>
      </w:r>
      <w:r w:rsidR="00E034CB" w:rsidRPr="00484DAF">
        <w:rPr>
          <w:sz w:val="24"/>
          <w:szCs w:val="24"/>
        </w:rPr>
        <w:t xml:space="preserve"> </w:t>
      </w:r>
      <w:r w:rsidR="00031849" w:rsidRPr="00484DAF">
        <w:rPr>
          <w:sz w:val="24"/>
          <w:szCs w:val="24"/>
        </w:rPr>
        <w:t>is dat dit meer behelst dan woningen, kantoorpanden, winkels, garages of schuren</w:t>
      </w:r>
      <w:r w:rsidR="00477B69" w:rsidRPr="00484DAF">
        <w:rPr>
          <w:sz w:val="24"/>
          <w:szCs w:val="24"/>
        </w:rPr>
        <w:t xml:space="preserve"> alleen</w:t>
      </w:r>
      <w:r w:rsidR="008256A2" w:rsidRPr="00484DAF">
        <w:rPr>
          <w:sz w:val="24"/>
          <w:szCs w:val="24"/>
        </w:rPr>
        <w:t>.</w:t>
      </w:r>
      <w:r w:rsidR="008256A2" w:rsidRPr="00484DAF">
        <w:rPr>
          <w:rStyle w:val="Voetnootmarkering"/>
          <w:sz w:val="24"/>
          <w:szCs w:val="24"/>
        </w:rPr>
        <w:footnoteReference w:id="102"/>
      </w:r>
      <w:r w:rsidR="008256A2" w:rsidRPr="00484DAF">
        <w:rPr>
          <w:sz w:val="24"/>
          <w:szCs w:val="24"/>
        </w:rPr>
        <w:t xml:space="preserve"> O</w:t>
      </w:r>
      <w:r w:rsidR="00031849" w:rsidRPr="00484DAF">
        <w:rPr>
          <w:sz w:val="24"/>
          <w:szCs w:val="24"/>
        </w:rPr>
        <w:t>ok viaducten, bruggen, straten</w:t>
      </w:r>
      <w:r w:rsidR="00980609" w:rsidRPr="00484DAF">
        <w:rPr>
          <w:rStyle w:val="Voetnootmarkering"/>
          <w:sz w:val="24"/>
          <w:szCs w:val="24"/>
        </w:rPr>
        <w:footnoteReference w:id="103"/>
      </w:r>
      <w:r w:rsidR="00031849" w:rsidRPr="00484DAF">
        <w:rPr>
          <w:sz w:val="24"/>
          <w:szCs w:val="24"/>
        </w:rPr>
        <w:t xml:space="preserve">, pleinen, wegen, masten, tunnels, zwembaden, </w:t>
      </w:r>
      <w:r w:rsidR="002659BD" w:rsidRPr="00484DAF">
        <w:rPr>
          <w:sz w:val="24"/>
          <w:szCs w:val="24"/>
        </w:rPr>
        <w:t>sluizen, spoorwegen, atletiekbanen en kunstgrasvelden</w:t>
      </w:r>
      <w:r w:rsidR="008256A2" w:rsidRPr="00484DAF">
        <w:rPr>
          <w:sz w:val="24"/>
          <w:szCs w:val="24"/>
        </w:rPr>
        <w:t xml:space="preserve"> vallen onder dit begrip</w:t>
      </w:r>
      <w:r w:rsidR="002659BD" w:rsidRPr="00484DAF">
        <w:rPr>
          <w:sz w:val="24"/>
          <w:szCs w:val="24"/>
        </w:rPr>
        <w:t>.</w:t>
      </w:r>
      <w:r w:rsidR="002659BD" w:rsidRPr="00484DAF">
        <w:rPr>
          <w:rStyle w:val="Voetnootmarkering"/>
          <w:sz w:val="24"/>
          <w:szCs w:val="24"/>
        </w:rPr>
        <w:footnoteReference w:id="104"/>
      </w:r>
      <w:r w:rsidR="007F0C06" w:rsidRPr="00484DAF">
        <w:rPr>
          <w:sz w:val="24"/>
          <w:szCs w:val="24"/>
        </w:rPr>
        <w:t xml:space="preserve"> </w:t>
      </w:r>
      <w:r w:rsidR="00BB4C02" w:rsidRPr="00484DAF">
        <w:rPr>
          <w:sz w:val="24"/>
          <w:szCs w:val="24"/>
        </w:rPr>
        <w:t xml:space="preserve">Hoewel Europees niet aan de orde, is dit in </w:t>
      </w:r>
      <w:r w:rsidR="00980609" w:rsidRPr="00484DAF">
        <w:rPr>
          <w:sz w:val="24"/>
          <w:szCs w:val="24"/>
        </w:rPr>
        <w:t>Nederlandse jurisprudentie meerdere malen uitgewezen.</w:t>
      </w:r>
      <w:r w:rsidR="00980609" w:rsidRPr="00484DAF">
        <w:rPr>
          <w:rStyle w:val="Voetnootmarkering"/>
          <w:sz w:val="24"/>
          <w:szCs w:val="24"/>
        </w:rPr>
        <w:footnoteReference w:id="105"/>
      </w:r>
      <w:r w:rsidR="00980609" w:rsidRPr="00484DAF">
        <w:rPr>
          <w:sz w:val="24"/>
          <w:szCs w:val="24"/>
        </w:rPr>
        <w:t xml:space="preserve"> </w:t>
      </w:r>
      <w:r w:rsidR="007F0C06" w:rsidRPr="00484DAF">
        <w:rPr>
          <w:sz w:val="24"/>
          <w:szCs w:val="24"/>
        </w:rPr>
        <w:t xml:space="preserve">Daar in </w:t>
      </w:r>
      <w:r w:rsidR="00BA5F0C" w:rsidRPr="00484DAF">
        <w:rPr>
          <w:sz w:val="24"/>
          <w:szCs w:val="24"/>
        </w:rPr>
        <w:t xml:space="preserve">artikel 12, lid 2 BTW-richtlijn </w:t>
      </w:r>
      <w:r w:rsidR="007F0C06" w:rsidRPr="00484DAF">
        <w:rPr>
          <w:sz w:val="24"/>
          <w:szCs w:val="24"/>
        </w:rPr>
        <w:t>voorts de mogelijkheid wordt geboden zelf invulling te geven aan ‘verbouwing van gebouwen’ en het begrip ‘bijbehorend terrein’, zal uitleg over deze begrippen in de volgende paragraaf worden gegeven.</w:t>
      </w:r>
    </w:p>
    <w:p w:rsidR="00557A1F" w:rsidRPr="00484DAF" w:rsidRDefault="00557A1F" w:rsidP="00CC552D">
      <w:pPr>
        <w:pStyle w:val="Geenafstand"/>
        <w:spacing w:line="360" w:lineRule="auto"/>
        <w:rPr>
          <w:sz w:val="24"/>
          <w:szCs w:val="24"/>
        </w:rPr>
      </w:pPr>
    </w:p>
    <w:p w:rsidR="0091413D" w:rsidRPr="00484DAF" w:rsidRDefault="0091413D" w:rsidP="00CC552D">
      <w:pPr>
        <w:pStyle w:val="Kop1"/>
        <w:spacing w:before="0" w:line="360" w:lineRule="auto"/>
        <w:rPr>
          <w:rFonts w:ascii="Times New Roman" w:hAnsi="Times New Roman"/>
          <w:color w:val="auto"/>
          <w:sz w:val="24"/>
          <w:szCs w:val="24"/>
        </w:rPr>
      </w:pPr>
      <w:bookmarkStart w:id="57" w:name="_Toc235084391"/>
      <w:bookmarkStart w:id="58" w:name="_Toc254043914"/>
      <w:r w:rsidRPr="00484DAF">
        <w:rPr>
          <w:rFonts w:ascii="Times New Roman" w:hAnsi="Times New Roman"/>
          <w:color w:val="auto"/>
          <w:sz w:val="24"/>
          <w:szCs w:val="24"/>
        </w:rPr>
        <w:lastRenderedPageBreak/>
        <w:t>3.2 Gebouw in Wet OB 1968</w:t>
      </w:r>
      <w:bookmarkEnd w:id="57"/>
      <w:bookmarkEnd w:id="58"/>
    </w:p>
    <w:p w:rsidR="002E24CF" w:rsidRPr="00484DAF" w:rsidRDefault="00C32A84" w:rsidP="00CC552D">
      <w:pPr>
        <w:spacing w:after="0" w:line="360" w:lineRule="auto"/>
        <w:rPr>
          <w:sz w:val="24"/>
          <w:szCs w:val="24"/>
        </w:rPr>
      </w:pPr>
      <w:r w:rsidRPr="00484DAF">
        <w:rPr>
          <w:sz w:val="24"/>
          <w:szCs w:val="24"/>
        </w:rPr>
        <w:t>Ingevolge artikel 11, lid 3, onderdeel a Wet OB 1968 wordt als gebouw beschouwd ieder bouwwerk dat vast met de grond is verbonden. Dit is zodoende letterlijk in lijn met de Nederlandse versie van de BTW-richtlijn</w:t>
      </w:r>
      <w:r w:rsidR="001B727B" w:rsidRPr="00484DAF">
        <w:rPr>
          <w:sz w:val="24"/>
          <w:szCs w:val="24"/>
        </w:rPr>
        <w:t xml:space="preserve"> en zoals in vorige paragraaf naar voren kwam reeds ingevuld door de Nederlandse rechtsprekende macht</w:t>
      </w:r>
      <w:r w:rsidRPr="00484DAF">
        <w:rPr>
          <w:sz w:val="24"/>
          <w:szCs w:val="24"/>
        </w:rPr>
        <w:t>.</w:t>
      </w:r>
      <w:r w:rsidR="001B727B" w:rsidRPr="00484DAF">
        <w:rPr>
          <w:sz w:val="24"/>
          <w:szCs w:val="24"/>
        </w:rPr>
        <w:t xml:space="preserve"> </w:t>
      </w:r>
      <w:r w:rsidR="001D4CFC" w:rsidRPr="00484DAF">
        <w:rPr>
          <w:i/>
          <w:sz w:val="24"/>
          <w:szCs w:val="24"/>
        </w:rPr>
        <w:t xml:space="preserve">Van </w:t>
      </w:r>
      <w:r w:rsidR="001B727B" w:rsidRPr="00484DAF">
        <w:rPr>
          <w:i/>
          <w:sz w:val="24"/>
          <w:szCs w:val="24"/>
        </w:rPr>
        <w:t>Straaten</w:t>
      </w:r>
      <w:r w:rsidR="001B727B" w:rsidRPr="00484DAF">
        <w:rPr>
          <w:sz w:val="24"/>
          <w:szCs w:val="24"/>
        </w:rPr>
        <w:t xml:space="preserve"> merkt op dat een gebouw in aanbouw op zichzelf ook al een gebouw kan zijn, namelijk vanaf het moment dat sprake is van vaste verbondenheid met de grond.</w:t>
      </w:r>
      <w:r w:rsidR="001B727B" w:rsidRPr="00484DAF">
        <w:rPr>
          <w:rStyle w:val="Voetnootmarkering"/>
          <w:sz w:val="24"/>
          <w:szCs w:val="24"/>
        </w:rPr>
        <w:footnoteReference w:id="106"/>
      </w:r>
      <w:r w:rsidR="00FA19AF" w:rsidRPr="00484DAF">
        <w:rPr>
          <w:sz w:val="24"/>
          <w:szCs w:val="24"/>
        </w:rPr>
        <w:t xml:space="preserve"> Gezien de letterlijke tekst</w:t>
      </w:r>
      <w:r w:rsidR="00845CD4" w:rsidRPr="00484DAF">
        <w:rPr>
          <w:sz w:val="24"/>
          <w:szCs w:val="24"/>
        </w:rPr>
        <w:t xml:space="preserve"> en invulling door het HvJ EG</w:t>
      </w:r>
      <w:r w:rsidR="00FA19AF" w:rsidRPr="00484DAF">
        <w:rPr>
          <w:sz w:val="24"/>
          <w:szCs w:val="24"/>
        </w:rPr>
        <w:t xml:space="preserve"> kan ik me in </w:t>
      </w:r>
      <w:r w:rsidR="00845CD4" w:rsidRPr="00484DAF">
        <w:rPr>
          <w:sz w:val="24"/>
          <w:szCs w:val="24"/>
        </w:rPr>
        <w:t xml:space="preserve">dit </w:t>
      </w:r>
      <w:r w:rsidR="00FA19AF" w:rsidRPr="00484DAF">
        <w:rPr>
          <w:sz w:val="24"/>
          <w:szCs w:val="24"/>
        </w:rPr>
        <w:t xml:space="preserve">standpunt vinden. Het betekent echter wel dat in </w:t>
      </w:r>
      <w:r w:rsidR="00845CD4" w:rsidRPr="00484DAF">
        <w:rPr>
          <w:sz w:val="24"/>
          <w:szCs w:val="24"/>
        </w:rPr>
        <w:t xml:space="preserve">een </w:t>
      </w:r>
      <w:r w:rsidR="00FA19AF" w:rsidRPr="00484DAF">
        <w:rPr>
          <w:sz w:val="24"/>
          <w:szCs w:val="24"/>
        </w:rPr>
        <w:t xml:space="preserve">BTW-gebouw </w:t>
      </w:r>
      <w:r w:rsidR="00845CD4" w:rsidRPr="00484DAF">
        <w:rPr>
          <w:sz w:val="24"/>
          <w:szCs w:val="24"/>
        </w:rPr>
        <w:t xml:space="preserve">mogelijk </w:t>
      </w:r>
      <w:r w:rsidR="00FA19AF" w:rsidRPr="00484DAF">
        <w:rPr>
          <w:sz w:val="24"/>
          <w:szCs w:val="24"/>
        </w:rPr>
        <w:t xml:space="preserve">voor de regen niet </w:t>
      </w:r>
      <w:r w:rsidR="00845CD4" w:rsidRPr="00484DAF">
        <w:rPr>
          <w:sz w:val="24"/>
          <w:szCs w:val="24"/>
        </w:rPr>
        <w:t xml:space="preserve">kan </w:t>
      </w:r>
      <w:r w:rsidR="00FA19AF" w:rsidRPr="00484DAF">
        <w:rPr>
          <w:sz w:val="24"/>
          <w:szCs w:val="24"/>
        </w:rPr>
        <w:t xml:space="preserve">worden </w:t>
      </w:r>
      <w:r w:rsidR="00845CD4" w:rsidRPr="00484DAF">
        <w:rPr>
          <w:sz w:val="24"/>
          <w:szCs w:val="24"/>
        </w:rPr>
        <w:t xml:space="preserve">geschuild </w:t>
      </w:r>
      <w:r w:rsidR="00FA19AF" w:rsidRPr="00484DAF">
        <w:rPr>
          <w:sz w:val="24"/>
          <w:szCs w:val="24"/>
        </w:rPr>
        <w:t xml:space="preserve">noch dat het gebouw bewoonbaar is. </w:t>
      </w:r>
      <w:r w:rsidR="00FA19AF" w:rsidRPr="00484DAF">
        <w:rPr>
          <w:i/>
          <w:sz w:val="24"/>
          <w:szCs w:val="24"/>
        </w:rPr>
        <w:t xml:space="preserve">Linssen </w:t>
      </w:r>
      <w:r w:rsidR="00FA19AF" w:rsidRPr="00484DAF">
        <w:rPr>
          <w:sz w:val="24"/>
          <w:szCs w:val="24"/>
        </w:rPr>
        <w:t xml:space="preserve">stelt wat dat </w:t>
      </w:r>
      <w:r w:rsidR="00845CD4" w:rsidRPr="00484DAF">
        <w:rPr>
          <w:sz w:val="24"/>
          <w:szCs w:val="24"/>
        </w:rPr>
        <w:t xml:space="preserve">betreft </w:t>
      </w:r>
      <w:r w:rsidR="00FA19AF" w:rsidRPr="00484DAF">
        <w:rPr>
          <w:sz w:val="24"/>
          <w:szCs w:val="24"/>
        </w:rPr>
        <w:t>een realistische</w:t>
      </w:r>
      <w:r w:rsidR="00344589" w:rsidRPr="00484DAF">
        <w:rPr>
          <w:sz w:val="24"/>
          <w:szCs w:val="24"/>
        </w:rPr>
        <w:t>r</w:t>
      </w:r>
      <w:r w:rsidR="00FA19AF" w:rsidRPr="00484DAF">
        <w:rPr>
          <w:sz w:val="24"/>
          <w:szCs w:val="24"/>
        </w:rPr>
        <w:t xml:space="preserve"> criterium voor </w:t>
      </w:r>
      <w:r w:rsidR="002E24CF" w:rsidRPr="00484DAF">
        <w:rPr>
          <w:sz w:val="24"/>
          <w:szCs w:val="24"/>
        </w:rPr>
        <w:t xml:space="preserve">nieuw gebouw op, namelijk </w:t>
      </w:r>
      <w:r w:rsidR="002E24CF" w:rsidRPr="00484DAF">
        <w:rPr>
          <w:i/>
          <w:sz w:val="24"/>
          <w:szCs w:val="24"/>
        </w:rPr>
        <w:t>‘dat het gebouw als zodanig gebruikt zou kunnen worden (dus minimaal wind- en waterdicht moet zijn, voorzien van warm en koud water en verwarming etc.)’</w:t>
      </w:r>
      <w:r w:rsidR="002E24CF" w:rsidRPr="00484DAF">
        <w:rPr>
          <w:rStyle w:val="Voetnootmarkering"/>
          <w:sz w:val="24"/>
          <w:szCs w:val="24"/>
        </w:rPr>
        <w:footnoteReference w:id="107"/>
      </w:r>
    </w:p>
    <w:p w:rsidR="00557A1F" w:rsidRPr="00484DAF" w:rsidRDefault="00557A1F" w:rsidP="00CC552D">
      <w:pPr>
        <w:pStyle w:val="Geenafstand"/>
        <w:spacing w:line="360" w:lineRule="auto"/>
        <w:rPr>
          <w:sz w:val="24"/>
          <w:szCs w:val="24"/>
        </w:rPr>
      </w:pPr>
    </w:p>
    <w:p w:rsidR="002E24CF" w:rsidRPr="00484DAF" w:rsidRDefault="001D4CFC" w:rsidP="00CC552D">
      <w:pPr>
        <w:pStyle w:val="Kop2"/>
        <w:spacing w:before="0" w:line="360" w:lineRule="auto"/>
        <w:rPr>
          <w:rFonts w:ascii="Times New Roman" w:hAnsi="Times New Roman"/>
          <w:color w:val="auto"/>
          <w:sz w:val="24"/>
          <w:szCs w:val="24"/>
        </w:rPr>
      </w:pPr>
      <w:bookmarkStart w:id="59" w:name="_Toc254043915"/>
      <w:r w:rsidRPr="00484DAF">
        <w:rPr>
          <w:rFonts w:ascii="Times New Roman" w:hAnsi="Times New Roman"/>
          <w:color w:val="auto"/>
          <w:sz w:val="24"/>
          <w:szCs w:val="24"/>
        </w:rPr>
        <w:t>3.2.1</w:t>
      </w:r>
      <w:r w:rsidR="002E24CF" w:rsidRPr="00484DAF">
        <w:rPr>
          <w:rFonts w:ascii="Times New Roman" w:hAnsi="Times New Roman"/>
          <w:color w:val="auto"/>
          <w:sz w:val="24"/>
          <w:szCs w:val="24"/>
        </w:rPr>
        <w:t xml:space="preserve"> Dijk een</w:t>
      </w:r>
      <w:r w:rsidR="00D417EA" w:rsidRPr="00484DAF">
        <w:rPr>
          <w:rFonts w:ascii="Times New Roman" w:hAnsi="Times New Roman"/>
          <w:color w:val="auto"/>
          <w:sz w:val="24"/>
          <w:szCs w:val="24"/>
        </w:rPr>
        <w:t xml:space="preserve"> </w:t>
      </w:r>
      <w:r w:rsidR="002E24CF" w:rsidRPr="00484DAF">
        <w:rPr>
          <w:rFonts w:ascii="Times New Roman" w:hAnsi="Times New Roman"/>
          <w:color w:val="auto"/>
          <w:sz w:val="24"/>
          <w:szCs w:val="24"/>
        </w:rPr>
        <w:t>gebouw?</w:t>
      </w:r>
      <w:bookmarkEnd w:id="59"/>
    </w:p>
    <w:p w:rsidR="00B7357D" w:rsidRPr="00484DAF" w:rsidRDefault="008D76E5" w:rsidP="00CC552D">
      <w:pPr>
        <w:spacing w:after="0" w:line="360" w:lineRule="auto"/>
        <w:rPr>
          <w:sz w:val="24"/>
          <w:szCs w:val="24"/>
        </w:rPr>
      </w:pPr>
      <w:r w:rsidRPr="00484DAF">
        <w:rPr>
          <w:sz w:val="24"/>
          <w:szCs w:val="24"/>
        </w:rPr>
        <w:t xml:space="preserve">Ondanks dat de tekst van artikel 11, lid 3, onderdeel a Wet OB 1968 in lijn is met de BTW-richtlijn levert het criterium van vaste verbondenheid de nodige hoofdbrekens op. </w:t>
      </w:r>
      <w:r w:rsidR="00B7357D" w:rsidRPr="00484DAF">
        <w:rPr>
          <w:sz w:val="24"/>
          <w:szCs w:val="24"/>
        </w:rPr>
        <w:t xml:space="preserve">Zo is aan de Hoge Raad de vraag voorgelegd of een dijk </w:t>
      </w:r>
      <w:r w:rsidR="005535D1" w:rsidRPr="00484DAF">
        <w:rPr>
          <w:sz w:val="24"/>
          <w:szCs w:val="24"/>
        </w:rPr>
        <w:t xml:space="preserve">(als zijnde een natuurlijke constructie) </w:t>
      </w:r>
      <w:r w:rsidR="00B7357D" w:rsidRPr="00484DAF">
        <w:rPr>
          <w:sz w:val="24"/>
          <w:szCs w:val="24"/>
        </w:rPr>
        <w:t>onder de noemer “gebouw” kan worden geschaard.</w:t>
      </w:r>
      <w:r w:rsidR="00B7357D" w:rsidRPr="00484DAF">
        <w:rPr>
          <w:rStyle w:val="Voetnootmarkering"/>
          <w:sz w:val="24"/>
          <w:szCs w:val="24"/>
        </w:rPr>
        <w:footnoteReference w:id="108"/>
      </w:r>
      <w:r w:rsidR="00B7357D" w:rsidRPr="00484DAF">
        <w:rPr>
          <w:sz w:val="24"/>
          <w:szCs w:val="24"/>
        </w:rPr>
        <w:t xml:space="preserve"> De Hoge Raad heeft de vraag doorverwezen naar Hof Den Bosch, welke tot op heden (vijf jaar na dato) het antwoord nog steeds schuldig is. Bij verwijzing geeft de Hoge Raad het volgende mee: </w:t>
      </w:r>
      <w:r w:rsidR="00B7357D" w:rsidRPr="00484DAF">
        <w:rPr>
          <w:i/>
          <w:sz w:val="24"/>
          <w:szCs w:val="24"/>
        </w:rPr>
        <w:t>‘Van een dijk, respectievelijk dijkverbreding, -verzwaring of -verhoging, kan niet zonder meer worden gezegd dat deze een gebouw, onderscheidenlijk een verbouwing</w:t>
      </w:r>
      <w:r w:rsidR="00344589" w:rsidRPr="00484DAF">
        <w:rPr>
          <w:i/>
          <w:sz w:val="24"/>
          <w:szCs w:val="24"/>
        </w:rPr>
        <w:t xml:space="preserve"> </w:t>
      </w:r>
      <w:r w:rsidR="005535D1" w:rsidRPr="00484DAF">
        <w:rPr>
          <w:i/>
          <w:sz w:val="24"/>
          <w:szCs w:val="24"/>
        </w:rPr>
        <w:t>(…)</w:t>
      </w:r>
      <w:r w:rsidR="00344589" w:rsidRPr="00484DAF">
        <w:rPr>
          <w:i/>
          <w:sz w:val="24"/>
          <w:szCs w:val="24"/>
        </w:rPr>
        <w:t xml:space="preserve"> oplevert.</w:t>
      </w:r>
      <w:r w:rsidR="005535D1" w:rsidRPr="00484DAF">
        <w:rPr>
          <w:i/>
          <w:sz w:val="24"/>
          <w:szCs w:val="24"/>
        </w:rPr>
        <w:t xml:space="preserve"> </w:t>
      </w:r>
      <w:r w:rsidR="00B7357D" w:rsidRPr="00484DAF">
        <w:rPr>
          <w:i/>
          <w:sz w:val="24"/>
          <w:szCs w:val="24"/>
        </w:rPr>
        <w:t xml:space="preserve">Naar redelijkerwijs niet voor twijfel vatbaar is, kan als zodanig </w:t>
      </w:r>
      <w:r w:rsidR="005535D1" w:rsidRPr="00484DAF">
        <w:rPr>
          <w:sz w:val="24"/>
          <w:szCs w:val="24"/>
        </w:rPr>
        <w:t>(met de grond verbonden constructies, MGVV)</w:t>
      </w:r>
      <w:r w:rsidR="005535D1" w:rsidRPr="00484DAF">
        <w:rPr>
          <w:i/>
          <w:sz w:val="24"/>
          <w:szCs w:val="24"/>
        </w:rPr>
        <w:t xml:space="preserve"> </w:t>
      </w:r>
      <w:r w:rsidR="00B7357D" w:rsidRPr="00484DAF">
        <w:rPr>
          <w:i/>
          <w:sz w:val="24"/>
          <w:szCs w:val="24"/>
        </w:rPr>
        <w:t>niet gelden een ophoging die uit niet meer bestaat dan opgeworpen mat</w:t>
      </w:r>
      <w:r w:rsidR="005535D1" w:rsidRPr="00484DAF">
        <w:rPr>
          <w:i/>
          <w:sz w:val="24"/>
          <w:szCs w:val="24"/>
        </w:rPr>
        <w:t>erialen als veen, zand of klei.’</w:t>
      </w:r>
      <w:r w:rsidR="005535D1" w:rsidRPr="00484DAF">
        <w:rPr>
          <w:rStyle w:val="Voetnootmarkering"/>
          <w:i/>
          <w:sz w:val="24"/>
          <w:szCs w:val="24"/>
        </w:rPr>
        <w:footnoteReference w:id="109"/>
      </w:r>
      <w:r w:rsidR="00783EF0" w:rsidRPr="00484DAF">
        <w:rPr>
          <w:sz w:val="24"/>
          <w:szCs w:val="24"/>
        </w:rPr>
        <w:t xml:space="preserve"> Wellicht ligt de oplossing in het idee om aan het criterium </w:t>
      </w:r>
      <w:r w:rsidR="002F2EED" w:rsidRPr="00484DAF">
        <w:rPr>
          <w:sz w:val="24"/>
          <w:szCs w:val="24"/>
        </w:rPr>
        <w:t xml:space="preserve">“vast met de grond verbonden” </w:t>
      </w:r>
      <w:r w:rsidR="00783EF0" w:rsidRPr="00484DAF">
        <w:rPr>
          <w:sz w:val="24"/>
          <w:szCs w:val="24"/>
        </w:rPr>
        <w:t xml:space="preserve">toe te voegen </w:t>
      </w:r>
      <w:r w:rsidR="002F2EED" w:rsidRPr="00484DAF">
        <w:rPr>
          <w:i/>
          <w:sz w:val="24"/>
          <w:szCs w:val="24"/>
        </w:rPr>
        <w:t>“</w:t>
      </w:r>
      <w:r w:rsidR="00783EF0" w:rsidRPr="00484DAF">
        <w:rPr>
          <w:i/>
          <w:sz w:val="24"/>
          <w:szCs w:val="24"/>
        </w:rPr>
        <w:t>niet zijnde een natuurlijke constructie</w:t>
      </w:r>
      <w:r w:rsidR="002F2EED" w:rsidRPr="00484DAF">
        <w:rPr>
          <w:i/>
          <w:sz w:val="24"/>
          <w:szCs w:val="24"/>
        </w:rPr>
        <w:t>”.</w:t>
      </w:r>
      <w:r w:rsidR="00A915E2" w:rsidRPr="00484DAF">
        <w:rPr>
          <w:sz w:val="24"/>
          <w:szCs w:val="24"/>
        </w:rPr>
        <w:t xml:space="preserve"> </w:t>
      </w:r>
      <w:r w:rsidR="00783EF0" w:rsidRPr="00484DAF">
        <w:rPr>
          <w:sz w:val="24"/>
          <w:szCs w:val="24"/>
        </w:rPr>
        <w:t xml:space="preserve">Mijns inziens is een dijk bestaande uit opgeworpen veen, zand en klei niets meer dan onbebouwde grond waar een berg </w:t>
      </w:r>
      <w:r w:rsidR="00E8252F" w:rsidRPr="00484DAF">
        <w:rPr>
          <w:sz w:val="24"/>
          <w:szCs w:val="24"/>
        </w:rPr>
        <w:t>grondsoorten op ligt. Een stenen dijk, zoals de waterkering, valt uiteraard wel onder het begrip “gebouw”</w:t>
      </w:r>
      <w:r w:rsidR="00A30FBA" w:rsidRPr="00484DAF">
        <w:rPr>
          <w:sz w:val="24"/>
          <w:szCs w:val="24"/>
        </w:rPr>
        <w:t xml:space="preserve"> </w:t>
      </w:r>
      <w:r w:rsidR="00E8252F" w:rsidRPr="00484DAF">
        <w:rPr>
          <w:sz w:val="24"/>
          <w:szCs w:val="24"/>
        </w:rPr>
        <w:t>aangezien daarbij zonder twijfel sprake is van een met de grond verbonden constructie in de ruime zin des woords.</w:t>
      </w:r>
    </w:p>
    <w:p w:rsidR="00557A1F" w:rsidRPr="00484DAF" w:rsidRDefault="00557A1F" w:rsidP="00CC552D">
      <w:pPr>
        <w:pStyle w:val="Geenafstand"/>
        <w:spacing w:line="360" w:lineRule="auto"/>
        <w:rPr>
          <w:sz w:val="24"/>
          <w:szCs w:val="24"/>
        </w:rPr>
      </w:pPr>
    </w:p>
    <w:p w:rsidR="003A7032" w:rsidRPr="00484DAF" w:rsidRDefault="00E8252F" w:rsidP="00CC552D">
      <w:pPr>
        <w:pStyle w:val="Kop1"/>
        <w:spacing w:before="0" w:line="360" w:lineRule="auto"/>
        <w:rPr>
          <w:rFonts w:ascii="Times New Roman" w:hAnsi="Times New Roman"/>
          <w:color w:val="auto"/>
          <w:sz w:val="24"/>
          <w:szCs w:val="24"/>
        </w:rPr>
      </w:pPr>
      <w:bookmarkStart w:id="60" w:name="_Toc235084392"/>
      <w:bookmarkStart w:id="61" w:name="_Toc254043916"/>
      <w:r w:rsidRPr="00484DAF">
        <w:rPr>
          <w:rFonts w:ascii="Times New Roman" w:hAnsi="Times New Roman"/>
          <w:color w:val="auto"/>
          <w:sz w:val="24"/>
          <w:szCs w:val="24"/>
        </w:rPr>
        <w:lastRenderedPageBreak/>
        <w:t>3.3</w:t>
      </w:r>
      <w:r w:rsidR="003A7032" w:rsidRPr="00484DAF">
        <w:rPr>
          <w:rFonts w:ascii="Times New Roman" w:hAnsi="Times New Roman"/>
          <w:color w:val="auto"/>
          <w:sz w:val="24"/>
          <w:szCs w:val="24"/>
        </w:rPr>
        <w:t xml:space="preserve"> </w:t>
      </w:r>
      <w:bookmarkStart w:id="62" w:name="_Toc235084393"/>
      <w:bookmarkEnd w:id="60"/>
      <w:r w:rsidR="003A7032" w:rsidRPr="00484DAF">
        <w:rPr>
          <w:rFonts w:ascii="Times New Roman" w:hAnsi="Times New Roman"/>
          <w:color w:val="auto"/>
          <w:sz w:val="24"/>
          <w:szCs w:val="24"/>
        </w:rPr>
        <w:t>Vervaardig</w:t>
      </w:r>
      <w:bookmarkEnd w:id="62"/>
      <w:r w:rsidR="00A527AE" w:rsidRPr="00484DAF">
        <w:rPr>
          <w:rFonts w:ascii="Times New Roman" w:hAnsi="Times New Roman"/>
          <w:color w:val="auto"/>
          <w:sz w:val="24"/>
          <w:szCs w:val="24"/>
        </w:rPr>
        <w:t>ing</w:t>
      </w:r>
      <w:bookmarkEnd w:id="61"/>
    </w:p>
    <w:p w:rsidR="00351DDE" w:rsidRPr="00484DAF" w:rsidRDefault="00E8252F" w:rsidP="00CC552D">
      <w:pPr>
        <w:pStyle w:val="Geenafstand"/>
        <w:spacing w:line="360" w:lineRule="auto"/>
        <w:rPr>
          <w:sz w:val="24"/>
          <w:szCs w:val="24"/>
        </w:rPr>
      </w:pPr>
      <w:r w:rsidRPr="00484DAF">
        <w:rPr>
          <w:sz w:val="24"/>
          <w:szCs w:val="24"/>
        </w:rPr>
        <w:t>Op grond van artikel 11, lid 3, onderdeel b Wet OB 1968 van voornoemd lid wordt na de verbouwing van een gebouw de ingebruikneming als ee</w:t>
      </w:r>
      <w:r w:rsidR="00104F25" w:rsidRPr="00484DAF">
        <w:rPr>
          <w:sz w:val="24"/>
          <w:szCs w:val="24"/>
        </w:rPr>
        <w:t>rste ingebruikneming aangemerkt</w:t>
      </w:r>
      <w:r w:rsidRPr="00484DAF">
        <w:rPr>
          <w:sz w:val="24"/>
          <w:szCs w:val="24"/>
        </w:rPr>
        <w:t xml:space="preserve"> indien door die verbouwing een vervaardigd goed is voortgebracht. </w:t>
      </w:r>
      <w:r w:rsidR="009A7DC3" w:rsidRPr="00484DAF">
        <w:rPr>
          <w:sz w:val="24"/>
          <w:szCs w:val="24"/>
        </w:rPr>
        <w:t xml:space="preserve">Lidstaten mogen </w:t>
      </w:r>
      <w:r w:rsidRPr="00484DAF">
        <w:rPr>
          <w:sz w:val="24"/>
          <w:szCs w:val="24"/>
        </w:rPr>
        <w:t xml:space="preserve">ingevolge artikel 12, lid 2 BTW-richtlijn </w:t>
      </w:r>
      <w:r w:rsidR="00994A7B" w:rsidRPr="00484DAF">
        <w:rPr>
          <w:sz w:val="24"/>
          <w:szCs w:val="24"/>
        </w:rPr>
        <w:t xml:space="preserve">voorwaarden bepalen voor een “nieuwe” eerste ingebruikneming na verbouwing van gebouwen. Indachtig dat na veel verbouwingen </w:t>
      </w:r>
      <w:r w:rsidR="00967A1D" w:rsidRPr="00484DAF">
        <w:rPr>
          <w:sz w:val="24"/>
          <w:szCs w:val="24"/>
        </w:rPr>
        <w:t xml:space="preserve">geen sprake is van letterlijke </w:t>
      </w:r>
      <w:r w:rsidR="00994A7B" w:rsidRPr="00484DAF">
        <w:rPr>
          <w:sz w:val="24"/>
          <w:szCs w:val="24"/>
        </w:rPr>
        <w:t>eerste ingebruikneming van het gebouw, maar ve</w:t>
      </w:r>
      <w:r w:rsidR="00967A1D" w:rsidRPr="00484DAF">
        <w:rPr>
          <w:sz w:val="24"/>
          <w:szCs w:val="24"/>
        </w:rPr>
        <w:t>elal</w:t>
      </w:r>
      <w:r w:rsidR="00994A7B" w:rsidRPr="00484DAF">
        <w:rPr>
          <w:sz w:val="24"/>
          <w:szCs w:val="24"/>
        </w:rPr>
        <w:t xml:space="preserve"> van een opnieuw in gebruik nemen</w:t>
      </w:r>
      <w:r w:rsidR="00967A1D" w:rsidRPr="00484DAF">
        <w:rPr>
          <w:sz w:val="24"/>
          <w:szCs w:val="24"/>
        </w:rPr>
        <w:t xml:space="preserve"> ofwel een voortzetting van de oorspronkelijke ingebruikneming, is het niet vreemd dat het HvJ EG zijn vin</w:t>
      </w:r>
      <w:r w:rsidR="00D8015F" w:rsidRPr="00484DAF">
        <w:rPr>
          <w:sz w:val="24"/>
          <w:szCs w:val="24"/>
        </w:rPr>
        <w:t>gers niet brandt aan het onderwe</w:t>
      </w:r>
      <w:r w:rsidR="00967A1D" w:rsidRPr="00484DAF">
        <w:rPr>
          <w:sz w:val="24"/>
          <w:szCs w:val="24"/>
        </w:rPr>
        <w:t xml:space="preserve">rp en lidstaten deze bevoegdheid geeft. </w:t>
      </w:r>
      <w:r w:rsidR="00CA1198" w:rsidRPr="00484DAF">
        <w:rPr>
          <w:sz w:val="24"/>
          <w:szCs w:val="24"/>
        </w:rPr>
        <w:t>Nu is</w:t>
      </w:r>
      <w:r w:rsidR="009A7DC3" w:rsidRPr="00484DAF">
        <w:rPr>
          <w:sz w:val="24"/>
          <w:szCs w:val="24"/>
        </w:rPr>
        <w:t xml:space="preserve"> dit voor de Nederlandse wetgeving </w:t>
      </w:r>
      <w:r w:rsidR="00967A1D" w:rsidRPr="00484DAF">
        <w:rPr>
          <w:sz w:val="24"/>
          <w:szCs w:val="24"/>
        </w:rPr>
        <w:t>geen nieuwe materie</w:t>
      </w:r>
      <w:r w:rsidR="009A7DC3" w:rsidRPr="00484DAF">
        <w:rPr>
          <w:sz w:val="24"/>
          <w:szCs w:val="24"/>
        </w:rPr>
        <w:t>, aangezien voor de wetswijziging van 11 juli 1997</w:t>
      </w:r>
      <w:r w:rsidR="009A7DC3" w:rsidRPr="00484DAF">
        <w:rPr>
          <w:rStyle w:val="Voetnootmarkering"/>
          <w:sz w:val="24"/>
          <w:szCs w:val="24"/>
        </w:rPr>
        <w:footnoteReference w:id="110"/>
      </w:r>
      <w:r w:rsidR="009A7DC3" w:rsidRPr="00484DAF">
        <w:rPr>
          <w:sz w:val="24"/>
          <w:szCs w:val="24"/>
        </w:rPr>
        <w:t xml:space="preserve"> </w:t>
      </w:r>
      <w:r w:rsidR="00994A7B" w:rsidRPr="00484DAF">
        <w:rPr>
          <w:sz w:val="24"/>
          <w:szCs w:val="24"/>
        </w:rPr>
        <w:t xml:space="preserve">een </w:t>
      </w:r>
      <w:r w:rsidR="00967A1D" w:rsidRPr="00484DAF">
        <w:rPr>
          <w:sz w:val="24"/>
          <w:szCs w:val="24"/>
        </w:rPr>
        <w:t>BTW-</w:t>
      </w:r>
      <w:r w:rsidR="00994A7B" w:rsidRPr="00484DAF">
        <w:rPr>
          <w:sz w:val="24"/>
          <w:szCs w:val="24"/>
        </w:rPr>
        <w:t xml:space="preserve">heffingsregime </w:t>
      </w:r>
      <w:r w:rsidR="00967A1D" w:rsidRPr="00484DAF">
        <w:rPr>
          <w:sz w:val="24"/>
          <w:szCs w:val="24"/>
        </w:rPr>
        <w:t xml:space="preserve">gold </w:t>
      </w:r>
      <w:r w:rsidR="00994A7B" w:rsidRPr="00484DAF">
        <w:rPr>
          <w:sz w:val="24"/>
          <w:szCs w:val="24"/>
        </w:rPr>
        <w:t xml:space="preserve">waarin voor </w:t>
      </w:r>
      <w:r w:rsidR="00967A1D" w:rsidRPr="00484DAF">
        <w:rPr>
          <w:sz w:val="24"/>
          <w:szCs w:val="24"/>
        </w:rPr>
        <w:t xml:space="preserve">BTW-vrijgestelde </w:t>
      </w:r>
      <w:r w:rsidR="001E5F8B" w:rsidRPr="00484DAF">
        <w:rPr>
          <w:sz w:val="24"/>
          <w:szCs w:val="24"/>
        </w:rPr>
        <w:t>levering van onroerend</w:t>
      </w:r>
      <w:r w:rsidR="00994A7B" w:rsidRPr="00484DAF">
        <w:rPr>
          <w:sz w:val="24"/>
          <w:szCs w:val="24"/>
        </w:rPr>
        <w:t xml:space="preserve"> </w:t>
      </w:r>
      <w:r w:rsidR="00967A1D" w:rsidRPr="00484DAF">
        <w:rPr>
          <w:sz w:val="24"/>
          <w:szCs w:val="24"/>
        </w:rPr>
        <w:t>goed een vervaardiging</w:t>
      </w:r>
      <w:r w:rsidR="00994A7B" w:rsidRPr="00484DAF">
        <w:rPr>
          <w:sz w:val="24"/>
          <w:szCs w:val="24"/>
        </w:rPr>
        <w:t>criterium</w:t>
      </w:r>
      <w:r w:rsidR="00967A1D" w:rsidRPr="00484DAF">
        <w:rPr>
          <w:sz w:val="24"/>
          <w:szCs w:val="24"/>
        </w:rPr>
        <w:t xml:space="preserve"> allesbepalend was.</w:t>
      </w:r>
      <w:r w:rsidR="008601E9" w:rsidRPr="00484DAF">
        <w:rPr>
          <w:rStyle w:val="Voetnootmarkering"/>
          <w:sz w:val="24"/>
          <w:szCs w:val="24"/>
        </w:rPr>
        <w:footnoteReference w:id="111"/>
      </w:r>
      <w:r w:rsidR="00967A1D" w:rsidRPr="00484DAF">
        <w:rPr>
          <w:sz w:val="24"/>
          <w:szCs w:val="24"/>
        </w:rPr>
        <w:t xml:space="preserve"> </w:t>
      </w:r>
      <w:r w:rsidR="007A2559" w:rsidRPr="00484DAF">
        <w:rPr>
          <w:sz w:val="24"/>
          <w:szCs w:val="24"/>
        </w:rPr>
        <w:t xml:space="preserve">De wetgever heeft getracht </w:t>
      </w:r>
      <w:r w:rsidR="00E91FE2" w:rsidRPr="00484DAF">
        <w:rPr>
          <w:sz w:val="24"/>
          <w:szCs w:val="24"/>
        </w:rPr>
        <w:t xml:space="preserve">met invoering van artikel 11, lid 3, onderdeel b Wet OB 1968 </w:t>
      </w:r>
      <w:r w:rsidR="007A2559" w:rsidRPr="00484DAF">
        <w:rPr>
          <w:sz w:val="24"/>
          <w:szCs w:val="24"/>
        </w:rPr>
        <w:t xml:space="preserve">slechts </w:t>
      </w:r>
      <w:r w:rsidR="00E91FE2" w:rsidRPr="00484DAF">
        <w:rPr>
          <w:sz w:val="24"/>
          <w:szCs w:val="24"/>
        </w:rPr>
        <w:t xml:space="preserve">bij die </w:t>
      </w:r>
      <w:r w:rsidR="007A2559" w:rsidRPr="00484DAF">
        <w:rPr>
          <w:sz w:val="24"/>
          <w:szCs w:val="24"/>
        </w:rPr>
        <w:t>verbouwingen, waarbij in feite een gebouw wordt voortgebracht dat maatschappelijk gezien tevoren niet bestond</w:t>
      </w:r>
      <w:r w:rsidR="00DD4BBB" w:rsidRPr="00484DAF">
        <w:rPr>
          <w:rStyle w:val="Voetnootmarkering"/>
          <w:sz w:val="24"/>
          <w:szCs w:val="24"/>
        </w:rPr>
        <w:footnoteReference w:id="112"/>
      </w:r>
      <w:r w:rsidR="00E91FE2" w:rsidRPr="00484DAF">
        <w:rPr>
          <w:sz w:val="24"/>
          <w:szCs w:val="24"/>
        </w:rPr>
        <w:t>,</w:t>
      </w:r>
      <w:r w:rsidR="007A2559" w:rsidRPr="00484DAF">
        <w:rPr>
          <w:sz w:val="24"/>
          <w:szCs w:val="24"/>
        </w:rPr>
        <w:t xml:space="preserve"> te spreken van een eerste ingebruikneming.</w:t>
      </w:r>
      <w:r w:rsidR="007A2559" w:rsidRPr="00484DAF">
        <w:rPr>
          <w:rStyle w:val="Voetnootmarkering"/>
          <w:sz w:val="24"/>
          <w:szCs w:val="24"/>
        </w:rPr>
        <w:footnoteReference w:id="113"/>
      </w:r>
      <w:r w:rsidR="007A2559" w:rsidRPr="00484DAF">
        <w:rPr>
          <w:sz w:val="24"/>
          <w:szCs w:val="24"/>
        </w:rPr>
        <w:t xml:space="preserve"> </w:t>
      </w:r>
      <w:r w:rsidR="00E91FE2" w:rsidRPr="00484DAF">
        <w:rPr>
          <w:sz w:val="24"/>
          <w:szCs w:val="24"/>
        </w:rPr>
        <w:t>Met andere woorden, het vervaardigingbegrip zoals bekend uit de jurispru</w:t>
      </w:r>
      <w:r w:rsidR="001E5F8B" w:rsidRPr="00484DAF">
        <w:rPr>
          <w:sz w:val="24"/>
          <w:szCs w:val="24"/>
        </w:rPr>
        <w:t>dentie blij</w:t>
      </w:r>
      <w:r w:rsidR="00E91FE2" w:rsidRPr="00484DAF">
        <w:rPr>
          <w:sz w:val="24"/>
          <w:szCs w:val="24"/>
        </w:rPr>
        <w:t>f</w:t>
      </w:r>
      <w:r w:rsidR="001E5F8B" w:rsidRPr="00484DAF">
        <w:rPr>
          <w:sz w:val="24"/>
          <w:szCs w:val="24"/>
        </w:rPr>
        <w:t>t</w:t>
      </w:r>
      <w:r w:rsidR="00E91FE2" w:rsidRPr="00484DAF">
        <w:rPr>
          <w:sz w:val="24"/>
          <w:szCs w:val="24"/>
        </w:rPr>
        <w:t xml:space="preserve"> gehandhaafd.</w:t>
      </w:r>
      <w:r w:rsidR="00351DDE" w:rsidRPr="00484DAF">
        <w:rPr>
          <w:rStyle w:val="Voetnootmarkering"/>
          <w:sz w:val="24"/>
          <w:szCs w:val="24"/>
        </w:rPr>
        <w:footnoteReference w:id="114"/>
      </w:r>
      <w:r w:rsidR="001E5F8B" w:rsidRPr="00484DAF">
        <w:rPr>
          <w:sz w:val="24"/>
          <w:szCs w:val="24"/>
        </w:rPr>
        <w:t xml:space="preserve"> Tevens wo</w:t>
      </w:r>
      <w:r w:rsidR="00283A71" w:rsidRPr="00484DAF">
        <w:rPr>
          <w:sz w:val="24"/>
          <w:szCs w:val="24"/>
        </w:rPr>
        <w:t>rd</w:t>
      </w:r>
      <w:r w:rsidR="001E5F8B" w:rsidRPr="00484DAF">
        <w:rPr>
          <w:sz w:val="24"/>
          <w:szCs w:val="24"/>
        </w:rPr>
        <w:t>t</w:t>
      </w:r>
      <w:r w:rsidR="00283A71" w:rsidRPr="00484DAF">
        <w:rPr>
          <w:sz w:val="24"/>
          <w:szCs w:val="24"/>
        </w:rPr>
        <w:t xml:space="preserve"> zo naadloos aangesloten bij de bedoeling van de toenmalige Zesde Richtlijn om alleen de levering van nieuwe gebouwen (al dan niet na verbouwing) te belasten.</w:t>
      </w:r>
    </w:p>
    <w:p w:rsidR="00557A1F" w:rsidRPr="00484DAF" w:rsidRDefault="00557A1F" w:rsidP="00CC552D">
      <w:pPr>
        <w:pStyle w:val="Geenafstand"/>
        <w:spacing w:line="360" w:lineRule="auto"/>
        <w:rPr>
          <w:sz w:val="24"/>
          <w:szCs w:val="24"/>
        </w:rPr>
      </w:pPr>
    </w:p>
    <w:p w:rsidR="00351DDE" w:rsidRPr="00484DAF" w:rsidRDefault="00CA1198" w:rsidP="00CC552D">
      <w:pPr>
        <w:pStyle w:val="Kop2"/>
        <w:spacing w:before="0" w:line="360" w:lineRule="auto"/>
        <w:rPr>
          <w:rFonts w:ascii="Times New Roman" w:hAnsi="Times New Roman"/>
          <w:i/>
          <w:color w:val="auto"/>
          <w:sz w:val="24"/>
          <w:szCs w:val="24"/>
        </w:rPr>
      </w:pPr>
      <w:bookmarkStart w:id="63" w:name="_Toc254043917"/>
      <w:r w:rsidRPr="00484DAF">
        <w:rPr>
          <w:rFonts w:ascii="Times New Roman" w:hAnsi="Times New Roman"/>
          <w:color w:val="auto"/>
          <w:sz w:val="24"/>
          <w:szCs w:val="24"/>
        </w:rPr>
        <w:t>3.3.1</w:t>
      </w:r>
      <w:r w:rsidR="00351DDE" w:rsidRPr="00484DAF">
        <w:rPr>
          <w:rFonts w:ascii="Times New Roman" w:hAnsi="Times New Roman"/>
          <w:color w:val="auto"/>
          <w:sz w:val="24"/>
          <w:szCs w:val="24"/>
        </w:rPr>
        <w:t xml:space="preserve"> </w:t>
      </w:r>
      <w:r w:rsidR="008601E9" w:rsidRPr="00484DAF">
        <w:rPr>
          <w:rFonts w:ascii="Times New Roman" w:hAnsi="Times New Roman"/>
          <w:color w:val="auto"/>
          <w:sz w:val="24"/>
          <w:szCs w:val="24"/>
        </w:rPr>
        <w:t>Functieverandering doorslaggevend</w:t>
      </w:r>
      <w:bookmarkEnd w:id="63"/>
    </w:p>
    <w:p w:rsidR="001127D3" w:rsidRPr="00484DAF" w:rsidRDefault="00913577" w:rsidP="00CC552D">
      <w:pPr>
        <w:spacing w:after="0" w:line="360" w:lineRule="auto"/>
        <w:rPr>
          <w:sz w:val="24"/>
          <w:szCs w:val="24"/>
        </w:rPr>
      </w:pPr>
      <w:r w:rsidRPr="00484DAF">
        <w:rPr>
          <w:sz w:val="24"/>
          <w:szCs w:val="24"/>
        </w:rPr>
        <w:t xml:space="preserve">Het vervaardigingvraagstuk speelt vooral een rol in jurisprudentie aangaande onroerend goed en is veelal feitelijk van aard. </w:t>
      </w:r>
      <w:r w:rsidR="00063E98" w:rsidRPr="00484DAF">
        <w:rPr>
          <w:sz w:val="24"/>
          <w:szCs w:val="24"/>
        </w:rPr>
        <w:t xml:space="preserve">Of een </w:t>
      </w:r>
      <w:r w:rsidR="0014024C" w:rsidRPr="00484DAF">
        <w:rPr>
          <w:sz w:val="24"/>
          <w:szCs w:val="24"/>
        </w:rPr>
        <w:t>goed</w:t>
      </w:r>
      <w:r w:rsidR="00063E98" w:rsidRPr="00484DAF">
        <w:rPr>
          <w:sz w:val="24"/>
          <w:szCs w:val="24"/>
        </w:rPr>
        <w:t xml:space="preserve"> is vervaardigd</w:t>
      </w:r>
      <w:r w:rsidR="00104F25" w:rsidRPr="00484DAF">
        <w:rPr>
          <w:sz w:val="24"/>
          <w:szCs w:val="24"/>
        </w:rPr>
        <w:t>,</w:t>
      </w:r>
      <w:r w:rsidR="00063E98" w:rsidRPr="00484DAF">
        <w:rPr>
          <w:sz w:val="24"/>
          <w:szCs w:val="24"/>
        </w:rPr>
        <w:t xml:space="preserve"> is onder andere van belang voor de</w:t>
      </w:r>
      <w:r w:rsidR="008601E9" w:rsidRPr="00484DAF">
        <w:rPr>
          <w:sz w:val="24"/>
          <w:szCs w:val="24"/>
        </w:rPr>
        <w:t xml:space="preserve"> </w:t>
      </w:r>
      <w:r w:rsidR="00063E98" w:rsidRPr="00484DAF">
        <w:rPr>
          <w:sz w:val="24"/>
          <w:szCs w:val="24"/>
        </w:rPr>
        <w:t xml:space="preserve">vraag of de levering van onroerend goed van rechtswege is belast en zodoende recht op de </w:t>
      </w:r>
      <w:r w:rsidR="00063E98" w:rsidRPr="00484DAF">
        <w:rPr>
          <w:sz w:val="24"/>
          <w:szCs w:val="24"/>
        </w:rPr>
        <w:lastRenderedPageBreak/>
        <w:t>samenloopvrijstelling uit de overdrachtsbelasting bestaat.</w:t>
      </w:r>
      <w:r w:rsidR="00063E98" w:rsidRPr="00484DAF">
        <w:rPr>
          <w:rStyle w:val="Voetnootmarkering"/>
          <w:sz w:val="24"/>
          <w:szCs w:val="24"/>
        </w:rPr>
        <w:footnoteReference w:id="115"/>
      </w:r>
      <w:r w:rsidR="008601E9" w:rsidRPr="00484DAF">
        <w:rPr>
          <w:sz w:val="24"/>
          <w:szCs w:val="24"/>
        </w:rPr>
        <w:t xml:space="preserve"> </w:t>
      </w:r>
      <w:r w:rsidR="00147EA0" w:rsidRPr="00484DAF">
        <w:rPr>
          <w:sz w:val="24"/>
          <w:szCs w:val="24"/>
        </w:rPr>
        <w:t xml:space="preserve">Het toeval wil dat, in plaats van prejudiciële vragen over vervaardiging van nieuw onroerend goed, de Hoge Raad </w:t>
      </w:r>
      <w:r w:rsidR="00DD4BBB" w:rsidRPr="00484DAF">
        <w:rPr>
          <w:sz w:val="24"/>
          <w:szCs w:val="24"/>
        </w:rPr>
        <w:t xml:space="preserve">in het verleden </w:t>
      </w:r>
      <w:r w:rsidR="00147EA0" w:rsidRPr="00484DAF">
        <w:rPr>
          <w:sz w:val="24"/>
          <w:szCs w:val="24"/>
        </w:rPr>
        <w:t xml:space="preserve">vragen heeft gesteld inzake vervaardiging van roerende goederen, in casu </w:t>
      </w:r>
      <w:r w:rsidR="00FB662F" w:rsidRPr="00484DAF">
        <w:rPr>
          <w:sz w:val="24"/>
          <w:szCs w:val="24"/>
        </w:rPr>
        <w:t>school</w:t>
      </w:r>
      <w:r w:rsidR="00147EA0" w:rsidRPr="00484DAF">
        <w:rPr>
          <w:sz w:val="24"/>
          <w:szCs w:val="24"/>
        </w:rPr>
        <w:t xml:space="preserve">boeken. </w:t>
      </w:r>
      <w:r w:rsidR="00DA474F" w:rsidRPr="00484DAF">
        <w:rPr>
          <w:sz w:val="24"/>
          <w:szCs w:val="24"/>
        </w:rPr>
        <w:t xml:space="preserve">Een </w:t>
      </w:r>
      <w:r w:rsidR="00FB662F" w:rsidRPr="00484DAF">
        <w:rPr>
          <w:sz w:val="24"/>
          <w:szCs w:val="24"/>
        </w:rPr>
        <w:t>Nederlandse schoolboek</w:t>
      </w:r>
      <w:r w:rsidR="009D1C46" w:rsidRPr="00484DAF">
        <w:rPr>
          <w:sz w:val="24"/>
          <w:szCs w:val="24"/>
        </w:rPr>
        <w:t>en</w:t>
      </w:r>
      <w:r w:rsidR="00FB662F" w:rsidRPr="00484DAF">
        <w:rPr>
          <w:sz w:val="24"/>
          <w:szCs w:val="24"/>
        </w:rPr>
        <w:t>handel hield zich onder andere bezig met het herstellen van gebruikte schoolboeken. De vraag die voorlag voor het HvJ EG was of deze werkzaamheden</w:t>
      </w:r>
      <w:r w:rsidR="00882B10" w:rsidRPr="00484DAF">
        <w:rPr>
          <w:sz w:val="24"/>
          <w:szCs w:val="24"/>
        </w:rPr>
        <w:t>,</w:t>
      </w:r>
      <w:r w:rsidR="00FB662F" w:rsidRPr="00484DAF">
        <w:rPr>
          <w:sz w:val="24"/>
          <w:szCs w:val="24"/>
        </w:rPr>
        <w:t xml:space="preserve"> in opdracht van diegene aan wie de schoolboeken toebehoorden</w:t>
      </w:r>
      <w:r w:rsidR="00772C32" w:rsidRPr="00484DAF">
        <w:rPr>
          <w:sz w:val="24"/>
          <w:szCs w:val="24"/>
        </w:rPr>
        <w:t>,</w:t>
      </w:r>
      <w:r w:rsidR="00FB662F" w:rsidRPr="00484DAF">
        <w:rPr>
          <w:sz w:val="24"/>
          <w:szCs w:val="24"/>
        </w:rPr>
        <w:t xml:space="preserve"> bij ‘oplevering’</w:t>
      </w:r>
      <w:r w:rsidR="00A30FBA" w:rsidRPr="00484DAF">
        <w:rPr>
          <w:sz w:val="24"/>
          <w:szCs w:val="24"/>
        </w:rPr>
        <w:t xml:space="preserve"> </w:t>
      </w:r>
      <w:r w:rsidR="00FB662F" w:rsidRPr="00484DAF">
        <w:rPr>
          <w:sz w:val="24"/>
          <w:szCs w:val="24"/>
        </w:rPr>
        <w:t>van de gerenoveerde boeken leid</w:t>
      </w:r>
      <w:r w:rsidR="009D1C46" w:rsidRPr="00484DAF">
        <w:rPr>
          <w:sz w:val="24"/>
          <w:szCs w:val="24"/>
        </w:rPr>
        <w:t>d</w:t>
      </w:r>
      <w:r w:rsidR="00882B10" w:rsidRPr="00484DAF">
        <w:rPr>
          <w:sz w:val="24"/>
          <w:szCs w:val="24"/>
        </w:rPr>
        <w:t>en</w:t>
      </w:r>
      <w:r w:rsidR="00FB662F" w:rsidRPr="00484DAF">
        <w:rPr>
          <w:sz w:val="24"/>
          <w:szCs w:val="24"/>
        </w:rPr>
        <w:t xml:space="preserve"> tot het vervaardigen of samenstellen van een roerend goed. </w:t>
      </w:r>
      <w:r w:rsidR="00147EA0" w:rsidRPr="00484DAF">
        <w:rPr>
          <w:sz w:val="24"/>
          <w:szCs w:val="24"/>
        </w:rPr>
        <w:t xml:space="preserve">In het </w:t>
      </w:r>
      <w:r w:rsidR="003A3EB6" w:rsidRPr="00484DAF">
        <w:rPr>
          <w:sz w:val="24"/>
          <w:szCs w:val="24"/>
        </w:rPr>
        <w:t>kern</w:t>
      </w:r>
      <w:r w:rsidR="00147EA0" w:rsidRPr="00484DAF">
        <w:rPr>
          <w:sz w:val="24"/>
          <w:szCs w:val="24"/>
        </w:rPr>
        <w:t xml:space="preserve">arrest </w:t>
      </w:r>
      <w:r w:rsidR="00DA474F" w:rsidRPr="00484DAF">
        <w:rPr>
          <w:i/>
          <w:sz w:val="24"/>
          <w:szCs w:val="24"/>
        </w:rPr>
        <w:t>Van Dijk’s Boek</w:t>
      </w:r>
      <w:r w:rsidR="00147EA0" w:rsidRPr="00484DAF">
        <w:rPr>
          <w:i/>
          <w:sz w:val="24"/>
          <w:szCs w:val="24"/>
        </w:rPr>
        <w:t>huis</w:t>
      </w:r>
      <w:r w:rsidR="00147EA0" w:rsidRPr="00484DAF">
        <w:rPr>
          <w:sz w:val="24"/>
          <w:szCs w:val="24"/>
          <w:vertAlign w:val="superscript"/>
        </w:rPr>
        <w:footnoteReference w:id="116"/>
      </w:r>
      <w:r w:rsidR="00104F25" w:rsidRPr="00484DAF">
        <w:rPr>
          <w:i/>
          <w:sz w:val="24"/>
          <w:szCs w:val="24"/>
        </w:rPr>
        <w:t xml:space="preserve"> </w:t>
      </w:r>
      <w:r w:rsidR="00147EA0" w:rsidRPr="00484DAF">
        <w:rPr>
          <w:sz w:val="24"/>
          <w:szCs w:val="24"/>
        </w:rPr>
        <w:t>spreekt het HvJ EG</w:t>
      </w:r>
      <w:r w:rsidR="00691B13" w:rsidRPr="00484DAF">
        <w:rPr>
          <w:sz w:val="24"/>
          <w:szCs w:val="24"/>
        </w:rPr>
        <w:t xml:space="preserve"> uit dat voor invulling van het begrip vervaardiging aangesloten dient te worden bij het spraakgebruik. Aangezien </w:t>
      </w:r>
      <w:r w:rsidR="00691B13" w:rsidRPr="00484DAF">
        <w:rPr>
          <w:i/>
          <w:sz w:val="24"/>
          <w:szCs w:val="24"/>
        </w:rPr>
        <w:t>‘voortbrengen van een goed dat tevoren niet bestond’</w:t>
      </w:r>
      <w:r w:rsidR="00691B13" w:rsidRPr="00484DAF">
        <w:rPr>
          <w:rStyle w:val="Voetnootmarkering"/>
          <w:i/>
          <w:sz w:val="24"/>
          <w:szCs w:val="24"/>
        </w:rPr>
        <w:footnoteReference w:id="117"/>
      </w:r>
      <w:r w:rsidR="00691B13" w:rsidRPr="00484DAF">
        <w:rPr>
          <w:sz w:val="24"/>
          <w:szCs w:val="24"/>
        </w:rPr>
        <w:t xml:space="preserve"> een wat summiere uitleg is, legt het HvJ EG in rechtsoverweging 22 uit dat sprake is van een nieuw goed </w:t>
      </w:r>
      <w:r w:rsidR="00FB1F8C" w:rsidRPr="00484DAF">
        <w:rPr>
          <w:i/>
          <w:sz w:val="24"/>
          <w:szCs w:val="24"/>
        </w:rPr>
        <w:t>‘</w:t>
      </w:r>
      <w:r w:rsidR="00691B13" w:rsidRPr="00484DAF">
        <w:rPr>
          <w:i/>
          <w:sz w:val="24"/>
          <w:szCs w:val="24"/>
        </w:rPr>
        <w:t>wanneer door het werk van de opdrachtnemer een goed ontstaat waarvan de functie volgens de in het maatschappelijk verkeer gangbare opvattingen verschilt van de functie die de verstrekte materialen hadden.</w:t>
      </w:r>
      <w:r w:rsidR="00FB1F8C" w:rsidRPr="00484DAF">
        <w:rPr>
          <w:i/>
          <w:sz w:val="24"/>
          <w:szCs w:val="24"/>
        </w:rPr>
        <w:t>’</w:t>
      </w:r>
      <w:r w:rsidR="00FB1F8C" w:rsidRPr="00484DAF">
        <w:rPr>
          <w:sz w:val="24"/>
          <w:szCs w:val="24"/>
        </w:rPr>
        <w:t xml:space="preserve"> </w:t>
      </w:r>
      <w:r w:rsidR="00DA474F" w:rsidRPr="00484DAF">
        <w:rPr>
          <w:sz w:val="24"/>
          <w:szCs w:val="24"/>
        </w:rPr>
        <w:t xml:space="preserve">Het HvJ EG concludeert dat (ingrijpende) </w:t>
      </w:r>
      <w:r w:rsidR="00691B13" w:rsidRPr="00484DAF">
        <w:rPr>
          <w:sz w:val="24"/>
          <w:szCs w:val="24"/>
        </w:rPr>
        <w:t>onderhouds</w:t>
      </w:r>
      <w:r w:rsidR="00DA474F" w:rsidRPr="00484DAF">
        <w:rPr>
          <w:sz w:val="24"/>
          <w:szCs w:val="24"/>
        </w:rPr>
        <w:t>werkzaamheden</w:t>
      </w:r>
      <w:r w:rsidR="00691B13" w:rsidRPr="00484DAF">
        <w:rPr>
          <w:sz w:val="24"/>
          <w:szCs w:val="24"/>
        </w:rPr>
        <w:t xml:space="preserve"> en reparatiewerkzaamheden</w:t>
      </w:r>
      <w:r w:rsidR="00DA474F" w:rsidRPr="00484DAF">
        <w:rPr>
          <w:sz w:val="24"/>
          <w:szCs w:val="24"/>
        </w:rPr>
        <w:t>,</w:t>
      </w:r>
      <w:r w:rsidR="00691B13" w:rsidRPr="00484DAF">
        <w:rPr>
          <w:sz w:val="24"/>
          <w:szCs w:val="24"/>
        </w:rPr>
        <w:t xml:space="preserve"> </w:t>
      </w:r>
      <w:r w:rsidR="00DA474F" w:rsidRPr="00484DAF">
        <w:rPr>
          <w:sz w:val="24"/>
          <w:szCs w:val="24"/>
        </w:rPr>
        <w:t xml:space="preserve">welke enkel tot doel hebben </w:t>
      </w:r>
      <w:r w:rsidR="00691B13" w:rsidRPr="00484DAF">
        <w:rPr>
          <w:sz w:val="24"/>
          <w:szCs w:val="24"/>
        </w:rPr>
        <w:t>de functie terug</w:t>
      </w:r>
      <w:r w:rsidR="00DA474F" w:rsidRPr="00484DAF">
        <w:rPr>
          <w:sz w:val="24"/>
          <w:szCs w:val="24"/>
        </w:rPr>
        <w:t xml:space="preserve"> te geven die het voordien had, niet</w:t>
      </w:r>
      <w:r w:rsidR="00A30FBA" w:rsidRPr="00484DAF">
        <w:rPr>
          <w:sz w:val="24"/>
          <w:szCs w:val="24"/>
        </w:rPr>
        <w:t xml:space="preserve"> </w:t>
      </w:r>
      <w:r w:rsidR="00DA474F" w:rsidRPr="00484DAF">
        <w:rPr>
          <w:sz w:val="24"/>
          <w:szCs w:val="24"/>
        </w:rPr>
        <w:t xml:space="preserve">leidt tot </w:t>
      </w:r>
      <w:r w:rsidR="00691B13" w:rsidRPr="00484DAF">
        <w:rPr>
          <w:sz w:val="24"/>
          <w:szCs w:val="24"/>
        </w:rPr>
        <w:t xml:space="preserve">het vervaardigen van </w:t>
      </w:r>
      <w:r w:rsidR="00DA474F" w:rsidRPr="00484DAF">
        <w:rPr>
          <w:sz w:val="24"/>
          <w:szCs w:val="24"/>
        </w:rPr>
        <w:t>roerend goed</w:t>
      </w:r>
      <w:r w:rsidR="00691B13" w:rsidRPr="00484DAF">
        <w:rPr>
          <w:sz w:val="24"/>
          <w:szCs w:val="24"/>
        </w:rPr>
        <w:t>.</w:t>
      </w:r>
      <w:r w:rsidR="00DF7A7F" w:rsidRPr="00484DAF">
        <w:rPr>
          <w:sz w:val="24"/>
          <w:szCs w:val="24"/>
        </w:rPr>
        <w:t xml:space="preserve"> De voortzetting van genoemd arrest voor de Hoge Raad leidde er dan ook toe dat in onderhavig geval geen sprake was van vervaardiging, omdat het gebruik dat van uiteengevallen boeken wordt gemaakt niet verschilt van het gebruik van herstelde boeken.</w:t>
      </w:r>
      <w:r w:rsidR="00DF7A7F" w:rsidRPr="00484DAF">
        <w:rPr>
          <w:rStyle w:val="Voetnootmarkering"/>
          <w:sz w:val="24"/>
          <w:szCs w:val="24"/>
        </w:rPr>
        <w:footnoteReference w:id="118"/>
      </w:r>
    </w:p>
    <w:p w:rsidR="00557A1F" w:rsidRPr="00484DAF" w:rsidRDefault="00557A1F" w:rsidP="00CC552D">
      <w:pPr>
        <w:pStyle w:val="Geenafstand"/>
        <w:spacing w:line="360" w:lineRule="auto"/>
        <w:rPr>
          <w:sz w:val="24"/>
          <w:szCs w:val="24"/>
        </w:rPr>
      </w:pPr>
    </w:p>
    <w:p w:rsidR="00882B10" w:rsidRPr="00484DAF" w:rsidRDefault="00CA1198" w:rsidP="00CC552D">
      <w:pPr>
        <w:pStyle w:val="Kop2"/>
        <w:spacing w:before="0" w:line="360" w:lineRule="auto"/>
        <w:rPr>
          <w:rFonts w:ascii="Times New Roman" w:hAnsi="Times New Roman"/>
          <w:color w:val="auto"/>
          <w:sz w:val="24"/>
          <w:szCs w:val="24"/>
        </w:rPr>
      </w:pPr>
      <w:bookmarkStart w:id="64" w:name="_Toc254043918"/>
      <w:r w:rsidRPr="00484DAF">
        <w:rPr>
          <w:rFonts w:ascii="Times New Roman" w:hAnsi="Times New Roman"/>
          <w:color w:val="auto"/>
          <w:sz w:val="24"/>
          <w:szCs w:val="24"/>
        </w:rPr>
        <w:t>3.3</w:t>
      </w:r>
      <w:r w:rsidR="005776E8" w:rsidRPr="00484DAF">
        <w:rPr>
          <w:rFonts w:ascii="Times New Roman" w:hAnsi="Times New Roman"/>
          <w:color w:val="auto"/>
          <w:sz w:val="24"/>
          <w:szCs w:val="24"/>
        </w:rPr>
        <w:t>.2</w:t>
      </w:r>
      <w:r w:rsidR="00882B10" w:rsidRPr="00484DAF">
        <w:rPr>
          <w:rFonts w:ascii="Times New Roman" w:hAnsi="Times New Roman"/>
          <w:color w:val="auto"/>
          <w:sz w:val="24"/>
          <w:szCs w:val="24"/>
        </w:rPr>
        <w:t xml:space="preserve"> Ontwikkeling</w:t>
      </w:r>
      <w:r w:rsidR="002C0FCE" w:rsidRPr="00484DAF">
        <w:rPr>
          <w:rFonts w:ascii="Times New Roman" w:hAnsi="Times New Roman"/>
          <w:color w:val="auto"/>
          <w:sz w:val="24"/>
          <w:szCs w:val="24"/>
        </w:rPr>
        <w:t>en</w:t>
      </w:r>
      <w:r w:rsidR="00882B10" w:rsidRPr="00484DAF">
        <w:rPr>
          <w:rFonts w:ascii="Times New Roman" w:hAnsi="Times New Roman"/>
          <w:color w:val="auto"/>
          <w:sz w:val="24"/>
          <w:szCs w:val="24"/>
        </w:rPr>
        <w:t xml:space="preserve"> in jurisprudentie</w:t>
      </w:r>
      <w:bookmarkEnd w:id="64"/>
    </w:p>
    <w:p w:rsidR="00135702" w:rsidRPr="00484DAF" w:rsidRDefault="00882B10" w:rsidP="00CC552D">
      <w:pPr>
        <w:spacing w:after="0" w:line="360" w:lineRule="auto"/>
        <w:rPr>
          <w:sz w:val="24"/>
          <w:szCs w:val="24"/>
        </w:rPr>
      </w:pPr>
      <w:r w:rsidRPr="00484DAF">
        <w:rPr>
          <w:sz w:val="24"/>
          <w:szCs w:val="24"/>
        </w:rPr>
        <w:t xml:space="preserve">Gedurende de jaren kort na </w:t>
      </w:r>
      <w:r w:rsidRPr="00484DAF">
        <w:rPr>
          <w:i/>
          <w:sz w:val="24"/>
          <w:szCs w:val="24"/>
        </w:rPr>
        <w:t>Van Dijk’s Boekhuis</w:t>
      </w:r>
      <w:r w:rsidRPr="00484DAF">
        <w:rPr>
          <w:sz w:val="24"/>
          <w:szCs w:val="24"/>
        </w:rPr>
        <w:t xml:space="preserve"> lag</w:t>
      </w:r>
      <w:r w:rsidR="005776E8" w:rsidRPr="00484DAF">
        <w:rPr>
          <w:sz w:val="24"/>
          <w:szCs w:val="24"/>
        </w:rPr>
        <w:t xml:space="preserve"> ook</w:t>
      </w:r>
      <w:r w:rsidRPr="00484DAF">
        <w:rPr>
          <w:sz w:val="24"/>
          <w:szCs w:val="24"/>
        </w:rPr>
        <w:t xml:space="preserve"> bij de vraag of </w:t>
      </w:r>
      <w:r w:rsidR="00252AEB" w:rsidRPr="00484DAF">
        <w:rPr>
          <w:sz w:val="24"/>
          <w:szCs w:val="24"/>
        </w:rPr>
        <w:t xml:space="preserve">een </w:t>
      </w:r>
      <w:r w:rsidR="005776E8" w:rsidRPr="00484DAF">
        <w:rPr>
          <w:sz w:val="24"/>
          <w:szCs w:val="24"/>
        </w:rPr>
        <w:t xml:space="preserve">onroerend </w:t>
      </w:r>
      <w:r w:rsidR="00252AEB" w:rsidRPr="00484DAF">
        <w:rPr>
          <w:sz w:val="24"/>
          <w:szCs w:val="24"/>
        </w:rPr>
        <w:t xml:space="preserve">goed is vervaardigd de nadruk op de functieverandering. In het arrest </w:t>
      </w:r>
      <w:r w:rsidR="00252AEB" w:rsidRPr="00484DAF">
        <w:rPr>
          <w:i/>
          <w:sz w:val="24"/>
          <w:szCs w:val="24"/>
        </w:rPr>
        <w:t>West-Indisch Huis</w:t>
      </w:r>
      <w:r w:rsidR="00252AEB" w:rsidRPr="00484DAF">
        <w:rPr>
          <w:rStyle w:val="Voetnootmarkering"/>
          <w:sz w:val="24"/>
          <w:szCs w:val="24"/>
        </w:rPr>
        <w:footnoteReference w:id="119"/>
      </w:r>
      <w:r w:rsidR="00252AEB" w:rsidRPr="00484DAF">
        <w:rPr>
          <w:sz w:val="24"/>
          <w:szCs w:val="24"/>
        </w:rPr>
        <w:t xml:space="preserve"> </w:t>
      </w:r>
      <w:r w:rsidR="00403956" w:rsidRPr="00484DAF">
        <w:rPr>
          <w:sz w:val="24"/>
          <w:szCs w:val="24"/>
        </w:rPr>
        <w:t>werd bijvoorbeeld geen vervaardiging aangemerkt</w:t>
      </w:r>
      <w:r w:rsidR="006314D2" w:rsidRPr="00484DAF">
        <w:rPr>
          <w:sz w:val="24"/>
          <w:szCs w:val="24"/>
        </w:rPr>
        <w:t xml:space="preserve">. In casu was het dak door brand volledig verwoest, waren de daaronder gelegen verdiepingen gedeeltelijk door brand aangetast </w:t>
      </w:r>
      <w:r w:rsidR="00481892" w:rsidRPr="00484DAF">
        <w:rPr>
          <w:sz w:val="24"/>
          <w:szCs w:val="24"/>
        </w:rPr>
        <w:t xml:space="preserve">en </w:t>
      </w:r>
      <w:r w:rsidR="009C7943" w:rsidRPr="00484DAF">
        <w:rPr>
          <w:sz w:val="24"/>
          <w:szCs w:val="24"/>
        </w:rPr>
        <w:t xml:space="preserve">was </w:t>
      </w:r>
      <w:r w:rsidR="006314D2" w:rsidRPr="00484DAF">
        <w:rPr>
          <w:sz w:val="24"/>
          <w:szCs w:val="24"/>
        </w:rPr>
        <w:t>sprake van waterschade.</w:t>
      </w:r>
      <w:r w:rsidR="00403956" w:rsidRPr="00484DAF">
        <w:rPr>
          <w:sz w:val="24"/>
          <w:szCs w:val="24"/>
        </w:rPr>
        <w:t xml:space="preserve"> Het argument dat de Hoge Raad aanvoert</w:t>
      </w:r>
      <w:r w:rsidR="00481892" w:rsidRPr="00484DAF">
        <w:rPr>
          <w:sz w:val="24"/>
          <w:szCs w:val="24"/>
        </w:rPr>
        <w:t>,</w:t>
      </w:r>
      <w:r w:rsidR="00403956" w:rsidRPr="00484DAF">
        <w:rPr>
          <w:sz w:val="24"/>
          <w:szCs w:val="24"/>
        </w:rPr>
        <w:t xml:space="preserve"> dat de werkzaamheden geen goed hebben voortge</w:t>
      </w:r>
      <w:r w:rsidR="00481892" w:rsidRPr="00484DAF">
        <w:rPr>
          <w:sz w:val="24"/>
          <w:szCs w:val="24"/>
        </w:rPr>
        <w:t>bracht</w:t>
      </w:r>
      <w:r w:rsidR="006314D2" w:rsidRPr="00484DAF">
        <w:rPr>
          <w:sz w:val="24"/>
          <w:szCs w:val="24"/>
        </w:rPr>
        <w:t xml:space="preserve"> dat tevoren niet bestond, is mijns inziens dan ook correct.</w:t>
      </w:r>
      <w:r w:rsidR="00135702" w:rsidRPr="00484DAF">
        <w:rPr>
          <w:sz w:val="24"/>
          <w:szCs w:val="24"/>
        </w:rPr>
        <w:t xml:space="preserve"> </w:t>
      </w:r>
      <w:r w:rsidR="00AF5E8D" w:rsidRPr="00484DAF">
        <w:rPr>
          <w:sz w:val="24"/>
          <w:szCs w:val="24"/>
        </w:rPr>
        <w:t>Functieverandering moet echter niet worden verward met bestemmingswijziging.</w:t>
      </w:r>
      <w:r w:rsidR="00B31F78" w:rsidRPr="00484DAF">
        <w:rPr>
          <w:sz w:val="24"/>
          <w:szCs w:val="24"/>
        </w:rPr>
        <w:t xml:space="preserve"> In zijn dissertatie merkt </w:t>
      </w:r>
      <w:r w:rsidR="00B31F78" w:rsidRPr="00484DAF">
        <w:rPr>
          <w:i/>
          <w:sz w:val="24"/>
          <w:szCs w:val="24"/>
        </w:rPr>
        <w:t>Bijl</w:t>
      </w:r>
      <w:r w:rsidR="00B31F78" w:rsidRPr="00484DAF">
        <w:rPr>
          <w:sz w:val="24"/>
          <w:szCs w:val="24"/>
        </w:rPr>
        <w:t xml:space="preserve"> op dat een bestemmingswijziging niet per definitie een functiewijziging </w:t>
      </w:r>
      <w:r w:rsidR="00940146" w:rsidRPr="00484DAF">
        <w:rPr>
          <w:sz w:val="24"/>
          <w:szCs w:val="24"/>
        </w:rPr>
        <w:lastRenderedPageBreak/>
        <w:t>vormt</w:t>
      </w:r>
      <w:r w:rsidR="009D35CD" w:rsidRPr="00484DAF">
        <w:rPr>
          <w:sz w:val="24"/>
          <w:szCs w:val="24"/>
        </w:rPr>
        <w:t xml:space="preserve"> </w:t>
      </w:r>
      <w:r w:rsidR="00B31F78" w:rsidRPr="00484DAF">
        <w:rPr>
          <w:i/>
          <w:sz w:val="24"/>
          <w:szCs w:val="24"/>
        </w:rPr>
        <w:t>‘indien men de functie van een onroerend goed objectief benadert.’</w:t>
      </w:r>
      <w:r w:rsidR="00B31F78" w:rsidRPr="00484DAF">
        <w:rPr>
          <w:rStyle w:val="Voetnootmarkering"/>
          <w:i/>
          <w:sz w:val="24"/>
          <w:szCs w:val="24"/>
        </w:rPr>
        <w:footnoteReference w:id="120"/>
      </w:r>
      <w:r w:rsidR="00B31F78" w:rsidRPr="00484DAF">
        <w:rPr>
          <w:sz w:val="24"/>
          <w:szCs w:val="24"/>
        </w:rPr>
        <w:t xml:space="preserve"> Daarmee doelt auteur op multifunctionee</w:t>
      </w:r>
      <w:r w:rsidR="002F4A08" w:rsidRPr="00484DAF">
        <w:rPr>
          <w:sz w:val="24"/>
          <w:szCs w:val="24"/>
        </w:rPr>
        <w:t>l</w:t>
      </w:r>
      <w:r w:rsidR="00B31F78" w:rsidRPr="00484DAF">
        <w:rPr>
          <w:sz w:val="24"/>
          <w:szCs w:val="24"/>
        </w:rPr>
        <w:t xml:space="preserve"> </w:t>
      </w:r>
      <w:r w:rsidR="00BB7FCC" w:rsidRPr="00484DAF">
        <w:rPr>
          <w:sz w:val="24"/>
          <w:szCs w:val="24"/>
        </w:rPr>
        <w:t xml:space="preserve">gebruik </w:t>
      </w:r>
      <w:r w:rsidR="00B31F78" w:rsidRPr="00484DAF">
        <w:rPr>
          <w:sz w:val="24"/>
          <w:szCs w:val="24"/>
        </w:rPr>
        <w:t>van onroerend goed.</w:t>
      </w:r>
      <w:r w:rsidR="002F4A08" w:rsidRPr="00484DAF">
        <w:rPr>
          <w:sz w:val="24"/>
          <w:szCs w:val="24"/>
        </w:rPr>
        <w:t xml:space="preserve"> </w:t>
      </w:r>
      <w:r w:rsidR="00940146" w:rsidRPr="00484DAF">
        <w:rPr>
          <w:sz w:val="24"/>
          <w:szCs w:val="24"/>
        </w:rPr>
        <w:t>Wanneer één</w:t>
      </w:r>
      <w:r w:rsidR="00BB7FCC" w:rsidRPr="00484DAF">
        <w:rPr>
          <w:sz w:val="24"/>
          <w:szCs w:val="24"/>
        </w:rPr>
        <w:t xml:space="preserve"> van de functies niet meer wordt gebruikt</w:t>
      </w:r>
      <w:r w:rsidR="00940146" w:rsidRPr="00484DAF">
        <w:rPr>
          <w:sz w:val="24"/>
          <w:szCs w:val="24"/>
        </w:rPr>
        <w:t>, is geen sprake van een gewijzigde functie van het pand.</w:t>
      </w:r>
      <w:r w:rsidR="00BB7FCC" w:rsidRPr="00484DAF">
        <w:rPr>
          <w:sz w:val="24"/>
          <w:szCs w:val="24"/>
        </w:rPr>
        <w:t xml:space="preserve"> </w:t>
      </w:r>
      <w:r w:rsidR="009D35CD" w:rsidRPr="00484DAF">
        <w:rPr>
          <w:sz w:val="24"/>
          <w:szCs w:val="24"/>
        </w:rPr>
        <w:t xml:space="preserve">Het pand blijft immers </w:t>
      </w:r>
      <w:r w:rsidR="00057A36" w:rsidRPr="00484DAF">
        <w:rPr>
          <w:sz w:val="24"/>
          <w:szCs w:val="24"/>
        </w:rPr>
        <w:t xml:space="preserve">een </w:t>
      </w:r>
      <w:r w:rsidR="009D35CD" w:rsidRPr="00484DAF">
        <w:rPr>
          <w:sz w:val="24"/>
          <w:szCs w:val="24"/>
        </w:rPr>
        <w:t>multifunctioneel</w:t>
      </w:r>
      <w:r w:rsidR="00057A36" w:rsidRPr="00484DAF">
        <w:rPr>
          <w:sz w:val="24"/>
          <w:szCs w:val="24"/>
        </w:rPr>
        <w:t xml:space="preserve"> karakter houden</w:t>
      </w:r>
      <w:r w:rsidR="009D35CD" w:rsidRPr="00484DAF">
        <w:rPr>
          <w:sz w:val="24"/>
          <w:szCs w:val="24"/>
        </w:rPr>
        <w:t xml:space="preserve">. </w:t>
      </w:r>
      <w:r w:rsidR="00BB7FCC" w:rsidRPr="00484DAF">
        <w:rPr>
          <w:sz w:val="24"/>
          <w:szCs w:val="24"/>
        </w:rPr>
        <w:t xml:space="preserve">Zo haalt </w:t>
      </w:r>
      <w:r w:rsidR="00BB7FCC" w:rsidRPr="00484DAF">
        <w:rPr>
          <w:i/>
          <w:sz w:val="24"/>
          <w:szCs w:val="24"/>
        </w:rPr>
        <w:t>Van Vliet</w:t>
      </w:r>
      <w:r w:rsidR="003070A6" w:rsidRPr="00484DAF">
        <w:rPr>
          <w:i/>
          <w:sz w:val="24"/>
          <w:szCs w:val="24"/>
        </w:rPr>
        <w:t xml:space="preserve"> </w:t>
      </w:r>
      <w:r w:rsidR="00BB7FCC" w:rsidRPr="00484DAF">
        <w:rPr>
          <w:sz w:val="24"/>
          <w:szCs w:val="24"/>
        </w:rPr>
        <w:t xml:space="preserve">het voorbeeld aan van een </w:t>
      </w:r>
      <w:r w:rsidR="00364B21" w:rsidRPr="00484DAF">
        <w:rPr>
          <w:sz w:val="24"/>
          <w:szCs w:val="24"/>
        </w:rPr>
        <w:t xml:space="preserve">voormalig kantoorpand </w:t>
      </w:r>
      <w:r w:rsidR="009D35CD" w:rsidRPr="00484DAF">
        <w:rPr>
          <w:sz w:val="24"/>
          <w:szCs w:val="24"/>
        </w:rPr>
        <w:t xml:space="preserve">dat </w:t>
      </w:r>
      <w:r w:rsidR="00BB7FCC" w:rsidRPr="00484DAF">
        <w:rPr>
          <w:sz w:val="24"/>
          <w:szCs w:val="24"/>
        </w:rPr>
        <w:t xml:space="preserve">op een zeker moment </w:t>
      </w:r>
      <w:r w:rsidR="009D35CD" w:rsidRPr="00484DAF">
        <w:rPr>
          <w:sz w:val="24"/>
          <w:szCs w:val="24"/>
        </w:rPr>
        <w:t>wordt be</w:t>
      </w:r>
      <w:r w:rsidR="00BB7FCC" w:rsidRPr="00484DAF">
        <w:rPr>
          <w:sz w:val="24"/>
          <w:szCs w:val="24"/>
        </w:rPr>
        <w:t>woond</w:t>
      </w:r>
      <w:r w:rsidR="00057A36" w:rsidRPr="00484DAF">
        <w:rPr>
          <w:sz w:val="24"/>
          <w:szCs w:val="24"/>
        </w:rPr>
        <w:t xml:space="preserve">, waarbij hij geen </w:t>
      </w:r>
      <w:r w:rsidR="00AF4D2F" w:rsidRPr="00484DAF">
        <w:rPr>
          <w:sz w:val="24"/>
          <w:szCs w:val="24"/>
        </w:rPr>
        <w:t xml:space="preserve">vervaardiging </w:t>
      </w:r>
      <w:r w:rsidR="00057A36" w:rsidRPr="00484DAF">
        <w:rPr>
          <w:sz w:val="24"/>
          <w:szCs w:val="24"/>
        </w:rPr>
        <w:t>aanwezig acht</w:t>
      </w:r>
      <w:r w:rsidR="00BB7FCC" w:rsidRPr="00484DAF">
        <w:rPr>
          <w:sz w:val="24"/>
          <w:szCs w:val="24"/>
        </w:rPr>
        <w:t>.</w:t>
      </w:r>
      <w:r w:rsidR="002F4A08" w:rsidRPr="00484DAF">
        <w:rPr>
          <w:rStyle w:val="Voetnootmarkering"/>
          <w:sz w:val="24"/>
          <w:szCs w:val="24"/>
        </w:rPr>
        <w:footnoteReference w:id="121"/>
      </w:r>
      <w:r w:rsidR="00BB7FCC" w:rsidRPr="00484DAF">
        <w:rPr>
          <w:sz w:val="24"/>
          <w:szCs w:val="24"/>
        </w:rPr>
        <w:t xml:space="preserve"> </w:t>
      </w:r>
      <w:r w:rsidR="00A2557A" w:rsidRPr="00484DAF">
        <w:rPr>
          <w:sz w:val="24"/>
          <w:szCs w:val="24"/>
        </w:rPr>
        <w:t xml:space="preserve">Hij </w:t>
      </w:r>
      <w:r w:rsidR="002D0D54" w:rsidRPr="00484DAF">
        <w:rPr>
          <w:sz w:val="24"/>
          <w:szCs w:val="24"/>
        </w:rPr>
        <w:t xml:space="preserve">blijkt een vooruitziende blik te hebben, want op </w:t>
      </w:r>
      <w:r w:rsidR="00687B22" w:rsidRPr="00484DAF">
        <w:rPr>
          <w:sz w:val="24"/>
          <w:szCs w:val="24"/>
        </w:rPr>
        <w:t>12 mei </w:t>
      </w:r>
      <w:r w:rsidR="00A2557A" w:rsidRPr="00484DAF">
        <w:rPr>
          <w:sz w:val="24"/>
          <w:szCs w:val="24"/>
        </w:rPr>
        <w:t>1989 oordeelt Hof Leeuwarden</w:t>
      </w:r>
      <w:r w:rsidR="00A2557A" w:rsidRPr="00484DAF">
        <w:rPr>
          <w:rStyle w:val="Voetnootmarkering"/>
          <w:sz w:val="24"/>
          <w:szCs w:val="24"/>
        </w:rPr>
        <w:footnoteReference w:id="122"/>
      </w:r>
      <w:r w:rsidR="00A2557A" w:rsidRPr="00484DAF">
        <w:rPr>
          <w:sz w:val="24"/>
          <w:szCs w:val="24"/>
        </w:rPr>
        <w:t xml:space="preserve"> in een zaak waarin kantoorruimten geschikt worden gemaakt voor kamerverhuur</w:t>
      </w:r>
      <w:r w:rsidR="00687B22" w:rsidRPr="00484DAF">
        <w:rPr>
          <w:sz w:val="24"/>
          <w:szCs w:val="24"/>
        </w:rPr>
        <w:t xml:space="preserve"> in dezelfde zin</w:t>
      </w:r>
      <w:r w:rsidR="00057A36" w:rsidRPr="00484DAF">
        <w:rPr>
          <w:sz w:val="24"/>
          <w:szCs w:val="24"/>
        </w:rPr>
        <w:t xml:space="preserve">. De reden </w:t>
      </w:r>
      <w:r w:rsidR="00687B22" w:rsidRPr="00484DAF">
        <w:rPr>
          <w:sz w:val="24"/>
          <w:szCs w:val="24"/>
        </w:rPr>
        <w:t xml:space="preserve">tot verbouwing </w:t>
      </w:r>
      <w:r w:rsidR="00AF4D2F" w:rsidRPr="00484DAF">
        <w:rPr>
          <w:sz w:val="24"/>
          <w:szCs w:val="24"/>
        </w:rPr>
        <w:t xml:space="preserve">was dat </w:t>
      </w:r>
      <w:r w:rsidR="00057A36" w:rsidRPr="00484DAF">
        <w:rPr>
          <w:sz w:val="24"/>
          <w:szCs w:val="24"/>
        </w:rPr>
        <w:t xml:space="preserve">naar </w:t>
      </w:r>
      <w:r w:rsidR="00687B22" w:rsidRPr="00484DAF">
        <w:rPr>
          <w:sz w:val="24"/>
          <w:szCs w:val="24"/>
        </w:rPr>
        <w:t>(</w:t>
      </w:r>
      <w:r w:rsidR="00057A36" w:rsidRPr="00484DAF">
        <w:rPr>
          <w:sz w:val="24"/>
          <w:szCs w:val="24"/>
        </w:rPr>
        <w:t>verhuur van</w:t>
      </w:r>
      <w:r w:rsidR="00687B22" w:rsidRPr="00484DAF">
        <w:rPr>
          <w:sz w:val="24"/>
          <w:szCs w:val="24"/>
        </w:rPr>
        <w:t>)</w:t>
      </w:r>
      <w:r w:rsidR="00057A36" w:rsidRPr="00484DAF">
        <w:rPr>
          <w:sz w:val="24"/>
          <w:szCs w:val="24"/>
        </w:rPr>
        <w:t xml:space="preserve"> </w:t>
      </w:r>
      <w:r w:rsidR="00AF4D2F" w:rsidRPr="00484DAF">
        <w:rPr>
          <w:sz w:val="24"/>
          <w:szCs w:val="24"/>
        </w:rPr>
        <w:t xml:space="preserve">kamers meer vraag was dan naar </w:t>
      </w:r>
      <w:r w:rsidR="00057A36" w:rsidRPr="00484DAF">
        <w:rPr>
          <w:sz w:val="24"/>
          <w:szCs w:val="24"/>
        </w:rPr>
        <w:t>kantoorruimten</w:t>
      </w:r>
      <w:r w:rsidR="00A2557A" w:rsidRPr="00484DAF">
        <w:rPr>
          <w:sz w:val="24"/>
          <w:szCs w:val="24"/>
        </w:rPr>
        <w:t xml:space="preserve">. </w:t>
      </w:r>
      <w:r w:rsidR="00057A36" w:rsidRPr="00484DAF">
        <w:rPr>
          <w:sz w:val="24"/>
          <w:szCs w:val="24"/>
        </w:rPr>
        <w:t xml:space="preserve">Het Hof acht </w:t>
      </w:r>
      <w:r w:rsidR="00057A36" w:rsidRPr="00484DAF">
        <w:rPr>
          <w:i/>
          <w:sz w:val="24"/>
          <w:szCs w:val="24"/>
        </w:rPr>
        <w:t>‘een verandering van bestemming niet voldoende om tot de vervaardiging van een onroerend goed te concluderen in het geval dat (…) de verbouwingshandelingen dusdanig beperkt zijn gebleven dat het door belanghebbende aangekochte pand niet heeft opgehouden te bestaan.’</w:t>
      </w:r>
      <w:r w:rsidR="00057A36" w:rsidRPr="00484DAF">
        <w:rPr>
          <w:sz w:val="24"/>
          <w:szCs w:val="24"/>
        </w:rPr>
        <w:t xml:space="preserve"> Deze uitspraak past in het licht van de objectieve benadering van </w:t>
      </w:r>
      <w:r w:rsidR="00057A36" w:rsidRPr="00484DAF">
        <w:rPr>
          <w:i/>
          <w:sz w:val="24"/>
          <w:szCs w:val="24"/>
        </w:rPr>
        <w:t>Bijl</w:t>
      </w:r>
      <w:r w:rsidR="00057A36" w:rsidRPr="00484DAF">
        <w:rPr>
          <w:sz w:val="24"/>
          <w:szCs w:val="24"/>
        </w:rPr>
        <w:t xml:space="preserve">. </w:t>
      </w:r>
      <w:r w:rsidR="00EF689A" w:rsidRPr="00484DAF">
        <w:rPr>
          <w:sz w:val="24"/>
          <w:szCs w:val="24"/>
        </w:rPr>
        <w:t>Kortom, v</w:t>
      </w:r>
      <w:r w:rsidR="00AF5E8D" w:rsidRPr="00484DAF">
        <w:rPr>
          <w:sz w:val="24"/>
          <w:szCs w:val="24"/>
        </w:rPr>
        <w:t xml:space="preserve">an vervaardiging is pas sprake als door mensenhanden </w:t>
      </w:r>
      <w:r w:rsidR="00057A36" w:rsidRPr="00484DAF">
        <w:rPr>
          <w:sz w:val="24"/>
          <w:szCs w:val="24"/>
        </w:rPr>
        <w:t xml:space="preserve">daadwerkelijk </w:t>
      </w:r>
      <w:r w:rsidR="00AF5E8D" w:rsidRPr="00484DAF">
        <w:rPr>
          <w:sz w:val="24"/>
          <w:szCs w:val="24"/>
        </w:rPr>
        <w:t>iets nieuws is voortgebracht.</w:t>
      </w:r>
      <w:r w:rsidR="009502B1" w:rsidRPr="00484DAF">
        <w:rPr>
          <w:sz w:val="24"/>
          <w:szCs w:val="24"/>
        </w:rPr>
        <w:t xml:space="preserve"> </w:t>
      </w:r>
      <w:r w:rsidR="00AF5E8D" w:rsidRPr="00484DAF">
        <w:rPr>
          <w:sz w:val="24"/>
          <w:szCs w:val="24"/>
        </w:rPr>
        <w:t>Een administratieve handeling door mensenhanden</w:t>
      </w:r>
      <w:r w:rsidR="001B5116" w:rsidRPr="00484DAF">
        <w:rPr>
          <w:sz w:val="24"/>
          <w:szCs w:val="24"/>
        </w:rPr>
        <w:t xml:space="preserve"> </w:t>
      </w:r>
      <w:r w:rsidR="00AF5E8D" w:rsidRPr="00484DAF">
        <w:rPr>
          <w:sz w:val="24"/>
          <w:szCs w:val="24"/>
        </w:rPr>
        <w:t xml:space="preserve">die leidt tot bestemmingswijziging is </w:t>
      </w:r>
      <w:r w:rsidR="00687B22" w:rsidRPr="00484DAF">
        <w:rPr>
          <w:sz w:val="24"/>
          <w:szCs w:val="24"/>
        </w:rPr>
        <w:t xml:space="preserve">daarbij </w:t>
      </w:r>
      <w:r w:rsidR="00AF5E8D" w:rsidRPr="00484DAF">
        <w:rPr>
          <w:sz w:val="24"/>
          <w:szCs w:val="24"/>
        </w:rPr>
        <w:t>niet afdoende</w:t>
      </w:r>
      <w:r w:rsidR="002D0D54" w:rsidRPr="00484DAF">
        <w:rPr>
          <w:sz w:val="24"/>
          <w:szCs w:val="24"/>
        </w:rPr>
        <w:t xml:space="preserve"> om te oordelen dat iets nieuws is voortgebracht</w:t>
      </w:r>
      <w:r w:rsidR="00AF5E8D" w:rsidRPr="00484DAF">
        <w:rPr>
          <w:sz w:val="24"/>
          <w:szCs w:val="24"/>
        </w:rPr>
        <w:t>.</w:t>
      </w:r>
      <w:r w:rsidR="00AF5E8D" w:rsidRPr="00484DAF">
        <w:rPr>
          <w:rStyle w:val="Voetnootmarkering"/>
          <w:sz w:val="24"/>
          <w:szCs w:val="24"/>
        </w:rPr>
        <w:footnoteReference w:id="123"/>
      </w:r>
    </w:p>
    <w:p w:rsidR="00557A1F" w:rsidRPr="00484DAF" w:rsidRDefault="00557A1F" w:rsidP="00CC552D">
      <w:pPr>
        <w:pStyle w:val="Geenafstand"/>
        <w:spacing w:line="360" w:lineRule="auto"/>
        <w:rPr>
          <w:sz w:val="24"/>
          <w:szCs w:val="24"/>
        </w:rPr>
      </w:pPr>
    </w:p>
    <w:p w:rsidR="00D838FE" w:rsidRPr="00484DAF" w:rsidRDefault="00D838FE" w:rsidP="00CC552D">
      <w:pPr>
        <w:pStyle w:val="Kop3"/>
        <w:spacing w:before="0" w:line="360" w:lineRule="auto"/>
        <w:rPr>
          <w:rFonts w:ascii="Times New Roman" w:hAnsi="Times New Roman"/>
          <w:color w:val="auto"/>
          <w:sz w:val="24"/>
          <w:szCs w:val="24"/>
        </w:rPr>
      </w:pPr>
      <w:bookmarkStart w:id="65" w:name="_Toc254043919"/>
      <w:r w:rsidRPr="00484DAF">
        <w:rPr>
          <w:rFonts w:ascii="Times New Roman" w:hAnsi="Times New Roman"/>
          <w:color w:val="auto"/>
          <w:sz w:val="24"/>
          <w:szCs w:val="24"/>
        </w:rPr>
        <w:t>3.3.</w:t>
      </w:r>
      <w:r w:rsidR="005776E8" w:rsidRPr="00484DAF">
        <w:rPr>
          <w:rFonts w:ascii="Times New Roman" w:hAnsi="Times New Roman"/>
          <w:color w:val="auto"/>
          <w:sz w:val="24"/>
          <w:szCs w:val="24"/>
        </w:rPr>
        <w:t>2</w:t>
      </w:r>
      <w:r w:rsidRPr="00484DAF">
        <w:rPr>
          <w:rFonts w:ascii="Times New Roman" w:hAnsi="Times New Roman"/>
          <w:color w:val="auto"/>
          <w:sz w:val="24"/>
          <w:szCs w:val="24"/>
        </w:rPr>
        <w:t xml:space="preserve">.1 </w:t>
      </w:r>
      <w:r w:rsidR="002C5ABB" w:rsidRPr="00484DAF">
        <w:rPr>
          <w:rFonts w:ascii="Times New Roman" w:hAnsi="Times New Roman"/>
          <w:color w:val="auto"/>
          <w:sz w:val="24"/>
          <w:szCs w:val="24"/>
        </w:rPr>
        <w:t>Verbouwing</w:t>
      </w:r>
      <w:bookmarkEnd w:id="65"/>
    </w:p>
    <w:p w:rsidR="00687B22" w:rsidRPr="00484DAF" w:rsidRDefault="002C5ABB" w:rsidP="00CC552D">
      <w:pPr>
        <w:spacing w:after="0" w:line="360" w:lineRule="auto"/>
        <w:rPr>
          <w:sz w:val="24"/>
          <w:szCs w:val="24"/>
        </w:rPr>
      </w:pPr>
      <w:r w:rsidRPr="00484DAF">
        <w:rPr>
          <w:sz w:val="24"/>
          <w:szCs w:val="24"/>
        </w:rPr>
        <w:t>Bij verbouwing wordt een reeds vervaardigd onroerend goed inwendig of uitwendig gewijzigd.</w:t>
      </w:r>
      <w:r w:rsidRPr="00484DAF">
        <w:rPr>
          <w:rStyle w:val="Voetnootmarkering"/>
          <w:sz w:val="24"/>
          <w:szCs w:val="24"/>
        </w:rPr>
        <w:footnoteReference w:id="124"/>
      </w:r>
      <w:r w:rsidR="00687B22" w:rsidRPr="00484DAF">
        <w:rPr>
          <w:sz w:val="24"/>
          <w:szCs w:val="24"/>
        </w:rPr>
        <w:t xml:space="preserve"> </w:t>
      </w:r>
      <w:r w:rsidR="00D838FE" w:rsidRPr="00484DAF">
        <w:rPr>
          <w:sz w:val="24"/>
          <w:szCs w:val="24"/>
        </w:rPr>
        <w:t>Gezien de casuïstische en complexe aard van jurisprudentie inzake vervaardiging volgt hier eerst een uitspraak waar niet over te twisten valt. Vervaardiging als gevolg van functieverandering is aangenomen toen een kerkgebouw werd verbouwd tot een huisartsenpraktijk. Hof Den Bosch nam bij deze beslissing in aanmerking dat de indeling van het pand inwendig volledig is gewijzigd evenals de aanwendingsmogelijkheden van het pand na verbouwing.</w:t>
      </w:r>
      <w:r w:rsidR="00D838FE" w:rsidRPr="00484DAF">
        <w:rPr>
          <w:rStyle w:val="Voetnootmarkering"/>
          <w:sz w:val="24"/>
          <w:szCs w:val="24"/>
        </w:rPr>
        <w:footnoteReference w:id="125"/>
      </w:r>
      <w:r w:rsidR="00D838FE" w:rsidRPr="00484DAF">
        <w:rPr>
          <w:sz w:val="24"/>
          <w:szCs w:val="24"/>
        </w:rPr>
        <w:t xml:space="preserve"> Daarbij maakt het niet uit </w:t>
      </w:r>
      <w:r w:rsidR="00561492" w:rsidRPr="00484DAF">
        <w:rPr>
          <w:sz w:val="24"/>
          <w:szCs w:val="24"/>
        </w:rPr>
        <w:t xml:space="preserve">of </w:t>
      </w:r>
      <w:r w:rsidR="00D838FE" w:rsidRPr="00484DAF">
        <w:rPr>
          <w:sz w:val="24"/>
          <w:szCs w:val="24"/>
        </w:rPr>
        <w:t>naar maatschappelijke opvattingen vanaf de buitenkant bezi</w:t>
      </w:r>
      <w:r w:rsidR="00561492" w:rsidRPr="00484DAF">
        <w:rPr>
          <w:sz w:val="24"/>
          <w:szCs w:val="24"/>
        </w:rPr>
        <w:t>en het uiterlijk van een kerk in stand i</w:t>
      </w:r>
      <w:r w:rsidR="00D838FE" w:rsidRPr="00484DAF">
        <w:rPr>
          <w:sz w:val="24"/>
          <w:szCs w:val="24"/>
        </w:rPr>
        <w:t>s gebleven.</w:t>
      </w:r>
      <w:r w:rsidR="003A3EB6" w:rsidRPr="00484DAF">
        <w:rPr>
          <w:sz w:val="24"/>
          <w:szCs w:val="24"/>
        </w:rPr>
        <w:t xml:space="preserve"> </w:t>
      </w:r>
      <w:r w:rsidR="000006E9" w:rsidRPr="00484DAF">
        <w:rPr>
          <w:sz w:val="24"/>
          <w:szCs w:val="24"/>
        </w:rPr>
        <w:t>Een inwendige wijziging heeft geen gevolgen voor de BTW-heffing</w:t>
      </w:r>
      <w:r w:rsidR="00E82ECA" w:rsidRPr="00484DAF">
        <w:rPr>
          <w:sz w:val="24"/>
          <w:szCs w:val="24"/>
        </w:rPr>
        <w:t>, zolang geen nieuw gebouw wordt vervaardigd</w:t>
      </w:r>
      <w:r w:rsidR="000006E9" w:rsidRPr="00484DAF">
        <w:rPr>
          <w:sz w:val="24"/>
          <w:szCs w:val="24"/>
        </w:rPr>
        <w:t>.</w:t>
      </w:r>
      <w:r w:rsidR="00E82ECA" w:rsidRPr="00484DAF">
        <w:rPr>
          <w:sz w:val="24"/>
          <w:szCs w:val="24"/>
        </w:rPr>
        <w:t xml:space="preserve"> Dit was aan de orde toen een gebouw verticaal werd gesplitst in twee zelfstandig van elkaar te onderscheiden gedeelten met ieder een eigen toegang. De Hoge Raad oordeelde dat </w:t>
      </w:r>
      <w:r w:rsidR="00CF0848" w:rsidRPr="00484DAF">
        <w:rPr>
          <w:sz w:val="24"/>
          <w:szCs w:val="24"/>
        </w:rPr>
        <w:t>van een</w:t>
      </w:r>
      <w:r w:rsidR="00E82ECA" w:rsidRPr="00484DAF">
        <w:rPr>
          <w:sz w:val="24"/>
          <w:szCs w:val="24"/>
        </w:rPr>
        <w:t xml:space="preserve"> </w:t>
      </w:r>
      <w:r w:rsidR="00E82ECA" w:rsidRPr="00484DAF">
        <w:rPr>
          <w:sz w:val="24"/>
          <w:szCs w:val="24"/>
        </w:rPr>
        <w:lastRenderedPageBreak/>
        <w:t xml:space="preserve">splitsing van één pand in tweeën niet kan worden gezegd </w:t>
      </w:r>
      <w:r w:rsidR="00CF0848" w:rsidRPr="00484DAF">
        <w:rPr>
          <w:sz w:val="24"/>
          <w:szCs w:val="24"/>
        </w:rPr>
        <w:t xml:space="preserve">dat </w:t>
      </w:r>
      <w:r w:rsidR="00E82ECA" w:rsidRPr="00484DAF">
        <w:rPr>
          <w:sz w:val="24"/>
          <w:szCs w:val="24"/>
        </w:rPr>
        <w:t xml:space="preserve">een dusdanig ingrijpende wijziging heeft plaatsgevonden </w:t>
      </w:r>
      <w:r w:rsidR="00CF0848" w:rsidRPr="00484DAF">
        <w:rPr>
          <w:sz w:val="24"/>
          <w:szCs w:val="24"/>
        </w:rPr>
        <w:t xml:space="preserve">waardoor </w:t>
      </w:r>
      <w:r w:rsidR="00E82ECA" w:rsidRPr="00484DAF">
        <w:rPr>
          <w:sz w:val="24"/>
          <w:szCs w:val="24"/>
        </w:rPr>
        <w:t xml:space="preserve">een goed is voortgebracht </w:t>
      </w:r>
      <w:r w:rsidR="00CF0848" w:rsidRPr="00484DAF">
        <w:rPr>
          <w:sz w:val="24"/>
          <w:szCs w:val="24"/>
        </w:rPr>
        <w:t xml:space="preserve">welke </w:t>
      </w:r>
      <w:r w:rsidR="00E82ECA" w:rsidRPr="00484DAF">
        <w:rPr>
          <w:sz w:val="24"/>
          <w:szCs w:val="24"/>
        </w:rPr>
        <w:t>tevoren niet bestond.</w:t>
      </w:r>
      <w:r w:rsidR="00E82ECA" w:rsidRPr="00484DAF">
        <w:rPr>
          <w:rStyle w:val="Voetnootmarkering"/>
          <w:sz w:val="24"/>
          <w:szCs w:val="24"/>
        </w:rPr>
        <w:footnoteReference w:id="126"/>
      </w:r>
      <w:r w:rsidR="006476A2" w:rsidRPr="00484DAF">
        <w:rPr>
          <w:sz w:val="24"/>
          <w:szCs w:val="24"/>
        </w:rPr>
        <w:t xml:space="preserve"> Hier waren zodoende geen twee nieuwe goederen vervaardigd.</w:t>
      </w:r>
      <w:r w:rsidR="006476A2" w:rsidRPr="00484DAF">
        <w:rPr>
          <w:rStyle w:val="Voetnootmarkering"/>
          <w:sz w:val="24"/>
          <w:szCs w:val="24"/>
        </w:rPr>
        <w:footnoteReference w:id="127"/>
      </w:r>
    </w:p>
    <w:p w:rsidR="00687B22" w:rsidRPr="00484DAF" w:rsidRDefault="00687B22" w:rsidP="00CC552D">
      <w:pPr>
        <w:spacing w:after="0" w:line="360" w:lineRule="auto"/>
        <w:rPr>
          <w:sz w:val="24"/>
          <w:szCs w:val="24"/>
        </w:rPr>
      </w:pPr>
    </w:p>
    <w:p w:rsidR="001127D3" w:rsidRPr="00484DAF" w:rsidRDefault="002C7588" w:rsidP="00CC552D">
      <w:pPr>
        <w:spacing w:after="0" w:line="360" w:lineRule="auto"/>
        <w:rPr>
          <w:sz w:val="24"/>
          <w:szCs w:val="24"/>
        </w:rPr>
      </w:pPr>
      <w:r w:rsidRPr="00484DAF">
        <w:rPr>
          <w:sz w:val="24"/>
          <w:szCs w:val="24"/>
        </w:rPr>
        <w:t xml:space="preserve">Hoewel het HvJ EG in het arrest </w:t>
      </w:r>
      <w:r w:rsidRPr="00484DAF">
        <w:rPr>
          <w:i/>
          <w:sz w:val="24"/>
          <w:szCs w:val="24"/>
        </w:rPr>
        <w:t>Van Dijk’s Boekhuis</w:t>
      </w:r>
      <w:r w:rsidRPr="00484DAF">
        <w:rPr>
          <w:sz w:val="24"/>
          <w:szCs w:val="24"/>
        </w:rPr>
        <w:t xml:space="preserve"> de nadruk legt op verandering in aanwendingsmogelijkheden (lees: functieverandering) van een pand, is uit Nederlandse jurisprudentie op te maken dat de </w:t>
      </w:r>
      <w:r w:rsidR="00481A4F" w:rsidRPr="00484DAF">
        <w:rPr>
          <w:sz w:val="24"/>
          <w:szCs w:val="24"/>
        </w:rPr>
        <w:t xml:space="preserve">verandering in </w:t>
      </w:r>
      <w:r w:rsidRPr="00484DAF">
        <w:rPr>
          <w:sz w:val="24"/>
          <w:szCs w:val="24"/>
        </w:rPr>
        <w:t>uiterlijke verschijningsvorm minstens even zwaar weegt.</w:t>
      </w:r>
      <w:r w:rsidR="00840677" w:rsidRPr="00484DAF">
        <w:rPr>
          <w:rStyle w:val="Voetnootmarkering"/>
          <w:sz w:val="24"/>
          <w:szCs w:val="24"/>
        </w:rPr>
        <w:footnoteReference w:id="128"/>
      </w:r>
      <w:r w:rsidR="00B84475" w:rsidRPr="00484DAF">
        <w:rPr>
          <w:sz w:val="24"/>
          <w:szCs w:val="24"/>
        </w:rPr>
        <w:t xml:space="preserve"> Dit wordt expliciet bevestigd door de Hoge Raad wanneer </w:t>
      </w:r>
      <w:r w:rsidR="0039371A" w:rsidRPr="00484DAF">
        <w:rPr>
          <w:sz w:val="24"/>
          <w:szCs w:val="24"/>
        </w:rPr>
        <w:t>h</w:t>
      </w:r>
      <w:r w:rsidR="00B84475" w:rsidRPr="00484DAF">
        <w:rPr>
          <w:sz w:val="24"/>
          <w:szCs w:val="24"/>
        </w:rPr>
        <w:t>ij in een arrest</w:t>
      </w:r>
      <w:r w:rsidR="0039371A" w:rsidRPr="00484DAF">
        <w:rPr>
          <w:sz w:val="24"/>
          <w:szCs w:val="24"/>
        </w:rPr>
        <w:t xml:space="preserve">, met betrekking tot ontzanding, </w:t>
      </w:r>
      <w:r w:rsidR="00B84475" w:rsidRPr="00484DAF">
        <w:rPr>
          <w:sz w:val="24"/>
          <w:szCs w:val="24"/>
        </w:rPr>
        <w:t xml:space="preserve">stelt </w:t>
      </w:r>
      <w:r w:rsidR="00481A4F" w:rsidRPr="00484DAF">
        <w:rPr>
          <w:i/>
          <w:sz w:val="24"/>
          <w:szCs w:val="24"/>
        </w:rPr>
        <w:t>‘</w:t>
      </w:r>
      <w:r w:rsidR="00B84475" w:rsidRPr="00484DAF">
        <w:rPr>
          <w:i/>
          <w:sz w:val="24"/>
          <w:szCs w:val="24"/>
        </w:rPr>
        <w:t xml:space="preserve">Voor </w:t>
      </w:r>
      <w:r w:rsidR="00ED08D4" w:rsidRPr="00484DAF">
        <w:rPr>
          <w:i/>
          <w:sz w:val="24"/>
          <w:szCs w:val="24"/>
        </w:rPr>
        <w:t xml:space="preserve">een zodanige gevolgtrekking </w:t>
      </w:r>
      <w:r w:rsidR="00B9507D" w:rsidRPr="00484DAF">
        <w:rPr>
          <w:sz w:val="24"/>
          <w:szCs w:val="24"/>
        </w:rPr>
        <w:t xml:space="preserve">(dat door ontzanding een goed is ontstaan dat tevoren niet bestond, MGVV) </w:t>
      </w:r>
      <w:r w:rsidR="00ED08D4" w:rsidRPr="00484DAF">
        <w:rPr>
          <w:i/>
          <w:sz w:val="24"/>
          <w:szCs w:val="24"/>
        </w:rPr>
        <w:t>(…)</w:t>
      </w:r>
      <w:r w:rsidR="00B84475" w:rsidRPr="00484DAF">
        <w:rPr>
          <w:i/>
          <w:sz w:val="24"/>
          <w:szCs w:val="24"/>
        </w:rPr>
        <w:t xml:space="preserve"> is met betrekking tot een onroerend goed </w:t>
      </w:r>
      <w:r w:rsidR="00ED08D4" w:rsidRPr="00484DAF">
        <w:rPr>
          <w:i/>
          <w:sz w:val="24"/>
          <w:szCs w:val="24"/>
        </w:rPr>
        <w:t xml:space="preserve">(…) </w:t>
      </w:r>
      <w:r w:rsidR="00B84475" w:rsidRPr="00484DAF">
        <w:rPr>
          <w:i/>
          <w:sz w:val="24"/>
          <w:szCs w:val="24"/>
        </w:rPr>
        <w:t>slechts plaats indien door de ontzanding hetzij in de overige aanwendingsmogelijkheden van het goed, hetzij in het uiterlijk en de inrichting van het landschap een ingrijpende wijziging is gebracht.</w:t>
      </w:r>
      <w:r w:rsidR="00481A4F" w:rsidRPr="00484DAF">
        <w:rPr>
          <w:i/>
          <w:sz w:val="24"/>
          <w:szCs w:val="24"/>
        </w:rPr>
        <w:t>’</w:t>
      </w:r>
      <w:r w:rsidRPr="00484DAF">
        <w:rPr>
          <w:rStyle w:val="Voetnootmarkering"/>
          <w:sz w:val="24"/>
          <w:szCs w:val="24"/>
        </w:rPr>
        <w:footnoteReference w:id="129"/>
      </w:r>
      <w:r w:rsidR="001D2C54" w:rsidRPr="00484DAF">
        <w:rPr>
          <w:sz w:val="24"/>
          <w:szCs w:val="24"/>
        </w:rPr>
        <w:t xml:space="preserve"> Daarbij moet wel worden onderkend dat restauratie (vergelijk het arrest </w:t>
      </w:r>
      <w:r w:rsidR="001D2C54" w:rsidRPr="00484DAF">
        <w:rPr>
          <w:i/>
          <w:sz w:val="24"/>
          <w:szCs w:val="24"/>
        </w:rPr>
        <w:t>West-Indisch Huis</w:t>
      </w:r>
      <w:r w:rsidR="001D2C54" w:rsidRPr="00484DAF">
        <w:rPr>
          <w:sz w:val="24"/>
          <w:szCs w:val="24"/>
        </w:rPr>
        <w:t xml:space="preserve"> besproken in paragraaf 3.3.3) en renovatie aan de uiterlijke verschijningsvorm geen wijziging bewerkstelligen. Dat de staat van </w:t>
      </w:r>
      <w:r w:rsidR="00B9507D" w:rsidRPr="00484DAF">
        <w:rPr>
          <w:sz w:val="24"/>
          <w:szCs w:val="24"/>
        </w:rPr>
        <w:t xml:space="preserve">betreffende onroerende goederen </w:t>
      </w:r>
      <w:r w:rsidR="001D2C54" w:rsidRPr="00484DAF">
        <w:rPr>
          <w:sz w:val="24"/>
          <w:szCs w:val="24"/>
        </w:rPr>
        <w:t xml:space="preserve">na deze bewerking veel beter is, doet er kennelijk niet </w:t>
      </w:r>
      <w:r w:rsidR="00B9507D" w:rsidRPr="00484DAF">
        <w:rPr>
          <w:sz w:val="24"/>
          <w:szCs w:val="24"/>
        </w:rPr>
        <w:t xml:space="preserve">aan </w:t>
      </w:r>
      <w:r w:rsidR="001D2C54" w:rsidRPr="00484DAF">
        <w:rPr>
          <w:sz w:val="24"/>
          <w:szCs w:val="24"/>
        </w:rPr>
        <w:t>toe.</w:t>
      </w:r>
      <w:r w:rsidR="000C55E5" w:rsidRPr="00484DAF">
        <w:rPr>
          <w:sz w:val="24"/>
          <w:szCs w:val="24"/>
        </w:rPr>
        <w:t xml:space="preserve"> Zo oordeelt Hof Den Bosch</w:t>
      </w:r>
      <w:r w:rsidR="00B84475" w:rsidRPr="00484DAF">
        <w:rPr>
          <w:rStyle w:val="Voetnootmarkering"/>
          <w:sz w:val="24"/>
          <w:szCs w:val="24"/>
        </w:rPr>
        <w:footnoteReference w:id="130"/>
      </w:r>
      <w:r w:rsidR="00B84475" w:rsidRPr="00484DAF">
        <w:rPr>
          <w:sz w:val="24"/>
          <w:szCs w:val="24"/>
        </w:rPr>
        <w:t xml:space="preserve"> </w:t>
      </w:r>
      <w:r w:rsidR="006C340E" w:rsidRPr="00484DAF">
        <w:rPr>
          <w:sz w:val="24"/>
          <w:szCs w:val="24"/>
        </w:rPr>
        <w:t xml:space="preserve">bij de renovatie van een pluimveestal dat geen sprake is van vervaardiging, omdat het gebruik, de capaciteit en het uiterlijk </w:t>
      </w:r>
      <w:r w:rsidR="000C55E5" w:rsidRPr="00484DAF">
        <w:rPr>
          <w:sz w:val="24"/>
          <w:szCs w:val="24"/>
        </w:rPr>
        <w:t xml:space="preserve">van de stal </w:t>
      </w:r>
      <w:r w:rsidR="00F12165" w:rsidRPr="00484DAF">
        <w:rPr>
          <w:sz w:val="24"/>
          <w:szCs w:val="24"/>
        </w:rPr>
        <w:t>ongewijzigd zijn gebleven en</w:t>
      </w:r>
      <w:r w:rsidR="006C340E" w:rsidRPr="00484DAF">
        <w:rPr>
          <w:sz w:val="24"/>
          <w:szCs w:val="24"/>
        </w:rPr>
        <w:t xml:space="preserve"> </w:t>
      </w:r>
      <w:r w:rsidR="000C55E5" w:rsidRPr="00484DAF">
        <w:rPr>
          <w:sz w:val="24"/>
          <w:szCs w:val="24"/>
        </w:rPr>
        <w:t xml:space="preserve">de betonvloer, gas-, water- en </w:t>
      </w:r>
      <w:r w:rsidR="006C340E" w:rsidRPr="00484DAF">
        <w:rPr>
          <w:sz w:val="24"/>
          <w:szCs w:val="24"/>
        </w:rPr>
        <w:t>licht</w:t>
      </w:r>
      <w:r w:rsidR="000C55E5" w:rsidRPr="00484DAF">
        <w:rPr>
          <w:sz w:val="24"/>
          <w:szCs w:val="24"/>
        </w:rPr>
        <w:t>aansluiting bij de</w:t>
      </w:r>
      <w:r w:rsidR="006C340E" w:rsidRPr="00484DAF">
        <w:rPr>
          <w:sz w:val="24"/>
          <w:szCs w:val="24"/>
        </w:rPr>
        <w:t xml:space="preserve"> renovatie intact zijn geble</w:t>
      </w:r>
      <w:r w:rsidR="0039371A" w:rsidRPr="00484DAF">
        <w:rPr>
          <w:sz w:val="24"/>
          <w:szCs w:val="24"/>
        </w:rPr>
        <w:t>ven. Enkel het gegeven dat het ‘</w:t>
      </w:r>
      <w:r w:rsidR="006C340E" w:rsidRPr="00484DAF">
        <w:rPr>
          <w:sz w:val="24"/>
          <w:szCs w:val="24"/>
        </w:rPr>
        <w:t>as</w:t>
      </w:r>
      <w:r w:rsidR="000C55E5" w:rsidRPr="00484DAF">
        <w:rPr>
          <w:sz w:val="24"/>
          <w:szCs w:val="24"/>
        </w:rPr>
        <w:t>besthoudende golfplaten dak</w:t>
      </w:r>
      <w:r w:rsidR="0039371A" w:rsidRPr="00484DAF">
        <w:rPr>
          <w:sz w:val="24"/>
          <w:szCs w:val="24"/>
        </w:rPr>
        <w:t xml:space="preserve">’ </w:t>
      </w:r>
      <w:r w:rsidR="006C340E" w:rsidRPr="00484DAF">
        <w:rPr>
          <w:sz w:val="24"/>
          <w:szCs w:val="24"/>
        </w:rPr>
        <w:t xml:space="preserve">vervangen is door een </w:t>
      </w:r>
      <w:r w:rsidR="0039371A" w:rsidRPr="00484DAF">
        <w:rPr>
          <w:sz w:val="24"/>
          <w:szCs w:val="24"/>
        </w:rPr>
        <w:t>‘</w:t>
      </w:r>
      <w:r w:rsidR="006C340E" w:rsidRPr="00484DAF">
        <w:rPr>
          <w:sz w:val="24"/>
          <w:szCs w:val="24"/>
        </w:rPr>
        <w:t>as</w:t>
      </w:r>
      <w:r w:rsidR="000C55E5" w:rsidRPr="00484DAF">
        <w:rPr>
          <w:sz w:val="24"/>
          <w:szCs w:val="24"/>
        </w:rPr>
        <w:t>bestvrij golfplaten dak</w:t>
      </w:r>
      <w:r w:rsidR="0039371A" w:rsidRPr="00484DAF">
        <w:rPr>
          <w:sz w:val="24"/>
          <w:szCs w:val="24"/>
        </w:rPr>
        <w:t>’</w:t>
      </w:r>
      <w:r w:rsidR="000C55E5" w:rsidRPr="00484DAF">
        <w:rPr>
          <w:sz w:val="24"/>
          <w:szCs w:val="24"/>
        </w:rPr>
        <w:t xml:space="preserve"> en het vervangen van betonnen zi</w:t>
      </w:r>
      <w:r w:rsidR="00B84475" w:rsidRPr="00484DAF">
        <w:rPr>
          <w:sz w:val="24"/>
          <w:szCs w:val="24"/>
        </w:rPr>
        <w:t>jwanden door opgemetselde muren leidt weliswaar tot verbetering van het onroerend goed, maar niet tot vervaardiging.</w:t>
      </w:r>
      <w:r w:rsidR="00B84475" w:rsidRPr="00484DAF">
        <w:rPr>
          <w:rStyle w:val="Voetnootmarkering"/>
          <w:sz w:val="24"/>
          <w:szCs w:val="24"/>
        </w:rPr>
        <w:footnoteReference w:id="131"/>
      </w:r>
    </w:p>
    <w:p w:rsidR="00557A1F" w:rsidRPr="00484DAF" w:rsidRDefault="00557A1F" w:rsidP="00CC552D">
      <w:pPr>
        <w:pStyle w:val="Geenafstand"/>
        <w:spacing w:line="360" w:lineRule="auto"/>
        <w:rPr>
          <w:sz w:val="24"/>
          <w:szCs w:val="24"/>
        </w:rPr>
      </w:pPr>
    </w:p>
    <w:p w:rsidR="00BE72C2" w:rsidRPr="00484DAF" w:rsidRDefault="0039371A" w:rsidP="00CC552D">
      <w:pPr>
        <w:spacing w:after="0" w:line="360" w:lineRule="auto"/>
        <w:rPr>
          <w:sz w:val="24"/>
          <w:szCs w:val="24"/>
        </w:rPr>
      </w:pPr>
      <w:r w:rsidRPr="00484DAF">
        <w:rPr>
          <w:sz w:val="24"/>
          <w:szCs w:val="24"/>
        </w:rPr>
        <w:t>Het moge</w:t>
      </w:r>
      <w:r w:rsidR="00A30FBA" w:rsidRPr="00484DAF">
        <w:rPr>
          <w:sz w:val="24"/>
          <w:szCs w:val="24"/>
        </w:rPr>
        <w:t xml:space="preserve"> </w:t>
      </w:r>
      <w:r w:rsidRPr="00484DAF">
        <w:rPr>
          <w:sz w:val="24"/>
          <w:szCs w:val="24"/>
        </w:rPr>
        <w:t xml:space="preserve">duidelijk zijn dat </w:t>
      </w:r>
      <w:r w:rsidR="00C705A3" w:rsidRPr="00484DAF">
        <w:rPr>
          <w:sz w:val="24"/>
          <w:szCs w:val="24"/>
        </w:rPr>
        <w:t xml:space="preserve">de twijfelgevallen de jurisprudentie </w:t>
      </w:r>
      <w:r w:rsidR="00032A61" w:rsidRPr="00484DAF">
        <w:rPr>
          <w:sz w:val="24"/>
          <w:szCs w:val="24"/>
        </w:rPr>
        <w:t xml:space="preserve">leuk maken. Wanneer immers duidelijk is dat zowel het uiterlijk als de functie van een gebouw is gewijzigd, is het vervaardigingvraagstuk snel opgelost. Indien slechts één van beiden is gewijzigd, dient te worden onderzocht of naar maatschappelijke opvattingen een goed is voortgebracht dat </w:t>
      </w:r>
      <w:r w:rsidR="00032A61" w:rsidRPr="00484DAF">
        <w:rPr>
          <w:sz w:val="24"/>
          <w:szCs w:val="24"/>
        </w:rPr>
        <w:lastRenderedPageBreak/>
        <w:t>tevoren niet bestond.</w:t>
      </w:r>
      <w:r w:rsidR="000428C2" w:rsidRPr="00484DAF">
        <w:rPr>
          <w:sz w:val="24"/>
          <w:szCs w:val="24"/>
        </w:rPr>
        <w:t xml:space="preserve"> Daarbij valt op dat in geval het uiterlijk van een gebouw niet ingrijpend wijzigt, de functieverandering ten koste moet gaan van de oude functie. Zo oordeelde Hof Den Bosch</w:t>
      </w:r>
      <w:r w:rsidR="000428C2" w:rsidRPr="00484DAF">
        <w:rPr>
          <w:rStyle w:val="Voetnootmarkering"/>
          <w:sz w:val="24"/>
          <w:szCs w:val="24"/>
        </w:rPr>
        <w:footnoteReference w:id="132"/>
      </w:r>
      <w:r w:rsidR="000428C2" w:rsidRPr="00484DAF">
        <w:rPr>
          <w:sz w:val="24"/>
          <w:szCs w:val="24"/>
        </w:rPr>
        <w:t xml:space="preserve"> onlangs in een zaak waarin een woonhuis inwendig wordt verbouwd naar</w:t>
      </w:r>
      <w:r w:rsidR="00A30FBA" w:rsidRPr="00484DAF">
        <w:rPr>
          <w:sz w:val="24"/>
          <w:szCs w:val="24"/>
        </w:rPr>
        <w:t xml:space="preserve"> </w:t>
      </w:r>
      <w:r w:rsidR="000428C2" w:rsidRPr="00484DAF">
        <w:rPr>
          <w:sz w:val="24"/>
          <w:szCs w:val="24"/>
        </w:rPr>
        <w:t xml:space="preserve">een pand met woon- en kantoorfunctie. </w:t>
      </w:r>
      <w:r w:rsidR="00BE72C2" w:rsidRPr="00484DAF">
        <w:rPr>
          <w:sz w:val="24"/>
          <w:szCs w:val="24"/>
        </w:rPr>
        <w:t xml:space="preserve">Het Hof oordeelt dat het onroerend goed </w:t>
      </w:r>
      <w:r w:rsidR="00F12165" w:rsidRPr="00484DAF">
        <w:rPr>
          <w:sz w:val="24"/>
          <w:szCs w:val="24"/>
        </w:rPr>
        <w:t xml:space="preserve">‘ondanks’ </w:t>
      </w:r>
      <w:r w:rsidR="00BE72C2" w:rsidRPr="00484DAF">
        <w:rPr>
          <w:sz w:val="24"/>
          <w:szCs w:val="24"/>
        </w:rPr>
        <w:t>de nieuwe indeling</w:t>
      </w:r>
      <w:r w:rsidR="00F12165" w:rsidRPr="00484DAF">
        <w:rPr>
          <w:sz w:val="24"/>
          <w:szCs w:val="24"/>
        </w:rPr>
        <w:t xml:space="preserve"> de functie van woonhuis behoud</w:t>
      </w:r>
      <w:r w:rsidR="009C7943" w:rsidRPr="00484DAF">
        <w:rPr>
          <w:sz w:val="24"/>
          <w:szCs w:val="24"/>
        </w:rPr>
        <w:t>t</w:t>
      </w:r>
      <w:r w:rsidR="00BE72C2" w:rsidRPr="00484DAF">
        <w:rPr>
          <w:sz w:val="24"/>
          <w:szCs w:val="24"/>
        </w:rPr>
        <w:t xml:space="preserve"> en daaraan niet afdoet dat het pand daadwerkelijk als kantoor wordt gebruikt, omdat de uiterlijke verschijningsvorm niet doet vermoeden dat geen sprake meer is van een woonhuis, dan wel het pand niet als zodanig meer wordt</w:t>
      </w:r>
      <w:r w:rsidR="00F12165" w:rsidRPr="00484DAF">
        <w:rPr>
          <w:sz w:val="24"/>
          <w:szCs w:val="24"/>
        </w:rPr>
        <w:t xml:space="preserve"> gebezigd</w:t>
      </w:r>
      <w:r w:rsidR="00BE72C2" w:rsidRPr="00484DAF">
        <w:rPr>
          <w:sz w:val="24"/>
          <w:szCs w:val="24"/>
        </w:rPr>
        <w:t>.</w:t>
      </w:r>
      <w:r w:rsidR="00BE72C2" w:rsidRPr="00484DAF">
        <w:rPr>
          <w:rStyle w:val="Voetnootmarkering"/>
          <w:sz w:val="24"/>
          <w:szCs w:val="24"/>
        </w:rPr>
        <w:footnoteReference w:id="133"/>
      </w:r>
    </w:p>
    <w:p w:rsidR="00557A1F" w:rsidRPr="00484DAF" w:rsidRDefault="00557A1F" w:rsidP="00CC552D">
      <w:pPr>
        <w:pStyle w:val="Geenafstand"/>
        <w:spacing w:line="360" w:lineRule="auto"/>
        <w:rPr>
          <w:sz w:val="24"/>
          <w:szCs w:val="24"/>
        </w:rPr>
      </w:pPr>
    </w:p>
    <w:p w:rsidR="00135702" w:rsidRPr="00484DAF" w:rsidRDefault="005776E8" w:rsidP="00CC552D">
      <w:pPr>
        <w:pStyle w:val="Kop3"/>
        <w:spacing w:before="0" w:line="360" w:lineRule="auto"/>
        <w:rPr>
          <w:rFonts w:ascii="Times New Roman" w:hAnsi="Times New Roman"/>
          <w:color w:val="auto"/>
          <w:sz w:val="24"/>
          <w:szCs w:val="24"/>
        </w:rPr>
      </w:pPr>
      <w:bookmarkStart w:id="66" w:name="_Toc254043920"/>
      <w:r w:rsidRPr="00484DAF">
        <w:rPr>
          <w:rFonts w:ascii="Times New Roman" w:hAnsi="Times New Roman"/>
          <w:color w:val="auto"/>
          <w:sz w:val="24"/>
          <w:szCs w:val="24"/>
        </w:rPr>
        <w:t>3.3.2</w:t>
      </w:r>
      <w:r w:rsidR="00D838FE" w:rsidRPr="00484DAF">
        <w:rPr>
          <w:rFonts w:ascii="Times New Roman" w:hAnsi="Times New Roman"/>
          <w:color w:val="auto"/>
          <w:sz w:val="24"/>
          <w:szCs w:val="24"/>
        </w:rPr>
        <w:t>.</w:t>
      </w:r>
      <w:r w:rsidR="00B93974" w:rsidRPr="00484DAF">
        <w:rPr>
          <w:rFonts w:ascii="Times New Roman" w:hAnsi="Times New Roman"/>
          <w:color w:val="auto"/>
          <w:sz w:val="24"/>
          <w:szCs w:val="24"/>
        </w:rPr>
        <w:t>2</w:t>
      </w:r>
      <w:r w:rsidR="00135702" w:rsidRPr="00484DAF">
        <w:rPr>
          <w:rFonts w:ascii="Times New Roman" w:hAnsi="Times New Roman"/>
          <w:color w:val="auto"/>
          <w:sz w:val="24"/>
          <w:szCs w:val="24"/>
        </w:rPr>
        <w:t xml:space="preserve"> </w:t>
      </w:r>
      <w:r w:rsidR="002C5ABB" w:rsidRPr="00484DAF">
        <w:rPr>
          <w:rFonts w:ascii="Times New Roman" w:hAnsi="Times New Roman"/>
          <w:color w:val="auto"/>
          <w:sz w:val="24"/>
          <w:szCs w:val="24"/>
        </w:rPr>
        <w:t>Verbouwing van sportcomplexen</w:t>
      </w:r>
      <w:bookmarkEnd w:id="66"/>
    </w:p>
    <w:p w:rsidR="001127D3" w:rsidRPr="00484DAF" w:rsidRDefault="0039371A" w:rsidP="00CC552D">
      <w:pPr>
        <w:spacing w:after="0" w:line="360" w:lineRule="auto"/>
        <w:rPr>
          <w:sz w:val="24"/>
          <w:szCs w:val="24"/>
        </w:rPr>
      </w:pPr>
      <w:r w:rsidRPr="00484DAF">
        <w:rPr>
          <w:sz w:val="24"/>
          <w:szCs w:val="24"/>
        </w:rPr>
        <w:t>Met betrekking tot sportcomplexen speelt een interessant vervaardigingvraagstuk</w:t>
      </w:r>
      <w:r w:rsidR="00BE72C2" w:rsidRPr="00484DAF">
        <w:rPr>
          <w:sz w:val="24"/>
          <w:szCs w:val="24"/>
        </w:rPr>
        <w:t xml:space="preserve"> aangaande de aanwendingsmogelijkheden en de uiterlijke verschijning</w:t>
      </w:r>
      <w:r w:rsidRPr="00484DAF">
        <w:rPr>
          <w:sz w:val="24"/>
          <w:szCs w:val="24"/>
        </w:rPr>
        <w:t xml:space="preserve">. </w:t>
      </w:r>
      <w:r w:rsidR="00C705A3" w:rsidRPr="00484DAF">
        <w:rPr>
          <w:sz w:val="24"/>
          <w:szCs w:val="24"/>
        </w:rPr>
        <w:t xml:space="preserve">Hier wordt wederom </w:t>
      </w:r>
      <w:r w:rsidR="00E756AA" w:rsidRPr="00484DAF">
        <w:rPr>
          <w:sz w:val="24"/>
          <w:szCs w:val="24"/>
        </w:rPr>
        <w:t>bevestigd</w:t>
      </w:r>
      <w:r w:rsidR="00C705A3" w:rsidRPr="00484DAF">
        <w:rPr>
          <w:sz w:val="24"/>
          <w:szCs w:val="24"/>
        </w:rPr>
        <w:t xml:space="preserve"> d</w:t>
      </w:r>
      <w:r w:rsidR="00526560" w:rsidRPr="00484DAF">
        <w:rPr>
          <w:sz w:val="24"/>
          <w:szCs w:val="24"/>
        </w:rPr>
        <w:t>at functieverandering</w:t>
      </w:r>
      <w:r w:rsidR="00F62078" w:rsidRPr="00484DAF">
        <w:rPr>
          <w:sz w:val="24"/>
          <w:szCs w:val="24"/>
        </w:rPr>
        <w:t xml:space="preserve"> als enig criterium</w:t>
      </w:r>
      <w:r w:rsidR="00481A4F" w:rsidRPr="00484DAF">
        <w:rPr>
          <w:sz w:val="24"/>
          <w:szCs w:val="24"/>
        </w:rPr>
        <w:t xml:space="preserve"> niet altijd zaligmakend is</w:t>
      </w:r>
      <w:r w:rsidR="00C705A3" w:rsidRPr="00484DAF">
        <w:rPr>
          <w:sz w:val="24"/>
          <w:szCs w:val="24"/>
        </w:rPr>
        <w:t>.</w:t>
      </w:r>
      <w:r w:rsidR="002F3316" w:rsidRPr="00484DAF">
        <w:rPr>
          <w:rStyle w:val="Voetnootmarkering"/>
          <w:sz w:val="24"/>
          <w:szCs w:val="24"/>
        </w:rPr>
        <w:footnoteReference w:id="134"/>
      </w:r>
      <w:r w:rsidR="00C705A3" w:rsidRPr="00484DAF">
        <w:rPr>
          <w:sz w:val="24"/>
          <w:szCs w:val="24"/>
        </w:rPr>
        <w:t xml:space="preserve"> In een uitspraak van Hof Arnhem</w:t>
      </w:r>
      <w:r w:rsidR="00526560" w:rsidRPr="00484DAF">
        <w:rPr>
          <w:rStyle w:val="Voetnootmarkering"/>
          <w:sz w:val="24"/>
          <w:szCs w:val="24"/>
        </w:rPr>
        <w:footnoteReference w:id="135"/>
      </w:r>
      <w:r w:rsidR="00551414" w:rsidRPr="00484DAF">
        <w:rPr>
          <w:sz w:val="24"/>
          <w:szCs w:val="24"/>
        </w:rPr>
        <w:t xml:space="preserve"> betrof </w:t>
      </w:r>
      <w:r w:rsidR="00C705A3" w:rsidRPr="00484DAF">
        <w:rPr>
          <w:sz w:val="24"/>
          <w:szCs w:val="24"/>
        </w:rPr>
        <w:t xml:space="preserve">het </w:t>
      </w:r>
      <w:r w:rsidR="00551414" w:rsidRPr="00484DAF">
        <w:rPr>
          <w:sz w:val="24"/>
          <w:szCs w:val="24"/>
        </w:rPr>
        <w:t>de vraag of de grondige verbouwing van een openluchtzwembad in een subtropisch zwemparadijs heeft geleid tot vervaardiging van nieuw onroerend goed.</w:t>
      </w:r>
      <w:r w:rsidR="00526560" w:rsidRPr="00484DAF">
        <w:rPr>
          <w:sz w:val="24"/>
          <w:szCs w:val="24"/>
        </w:rPr>
        <w:t xml:space="preserve"> </w:t>
      </w:r>
      <w:r w:rsidR="00551414" w:rsidRPr="00484DAF">
        <w:rPr>
          <w:sz w:val="24"/>
          <w:szCs w:val="24"/>
        </w:rPr>
        <w:t xml:space="preserve">In lijn met het arrest </w:t>
      </w:r>
      <w:r w:rsidR="00551414" w:rsidRPr="00484DAF">
        <w:rPr>
          <w:i/>
          <w:sz w:val="24"/>
          <w:szCs w:val="24"/>
        </w:rPr>
        <w:t xml:space="preserve">West-Indisch Huis </w:t>
      </w:r>
      <w:r w:rsidR="00551414" w:rsidRPr="00484DAF">
        <w:rPr>
          <w:sz w:val="24"/>
          <w:szCs w:val="24"/>
        </w:rPr>
        <w:t xml:space="preserve">had het Hof kunnen beslissen dat de functie van een openluchtzwembad, het bieden van zwemgelegenheid, niet verschilt van de functie van een subtropisch zwembad. Gelet op de aard en de omvang van de verrichte werkzaamheden </w:t>
      </w:r>
      <w:r w:rsidR="007541D5" w:rsidRPr="00484DAF">
        <w:rPr>
          <w:sz w:val="24"/>
          <w:szCs w:val="24"/>
        </w:rPr>
        <w:t xml:space="preserve">(nagenoeg alle onderdelen van het oude zwembad zijn vernieuwd), is het Hof </w:t>
      </w:r>
      <w:r w:rsidR="00E430A8" w:rsidRPr="00484DAF">
        <w:rPr>
          <w:sz w:val="24"/>
          <w:szCs w:val="24"/>
        </w:rPr>
        <w:t xml:space="preserve">echter </w:t>
      </w:r>
      <w:r w:rsidR="00551414" w:rsidRPr="00484DAF">
        <w:rPr>
          <w:sz w:val="24"/>
          <w:szCs w:val="24"/>
        </w:rPr>
        <w:t xml:space="preserve">van oordeel dat een zodanig ingrijpende wijziging in uiterlijk, inrichting en aanwendingsmogelijkheden heeft </w:t>
      </w:r>
      <w:r w:rsidR="007541D5" w:rsidRPr="00484DAF">
        <w:rPr>
          <w:sz w:val="24"/>
          <w:szCs w:val="24"/>
        </w:rPr>
        <w:t xml:space="preserve">plaatsgevonden dat het nieuwe complex niet </w:t>
      </w:r>
      <w:r w:rsidR="00551414" w:rsidRPr="00484DAF">
        <w:rPr>
          <w:sz w:val="24"/>
          <w:szCs w:val="24"/>
        </w:rPr>
        <w:t xml:space="preserve">kan worden vereenzelvigd met </w:t>
      </w:r>
      <w:r w:rsidR="007541D5" w:rsidRPr="00484DAF">
        <w:rPr>
          <w:sz w:val="24"/>
          <w:szCs w:val="24"/>
        </w:rPr>
        <w:t xml:space="preserve">het </w:t>
      </w:r>
      <w:r w:rsidR="00551414" w:rsidRPr="00484DAF">
        <w:rPr>
          <w:sz w:val="24"/>
          <w:szCs w:val="24"/>
        </w:rPr>
        <w:t xml:space="preserve">oorspronkelijke </w:t>
      </w:r>
      <w:r w:rsidR="007541D5" w:rsidRPr="00484DAF">
        <w:rPr>
          <w:sz w:val="24"/>
          <w:szCs w:val="24"/>
        </w:rPr>
        <w:t>onroerend goed. Ook naar maatschappelijke opvattingen is een goed ontstaan dat tevoren niet bestond.</w:t>
      </w:r>
      <w:r w:rsidR="007541D5" w:rsidRPr="00484DAF">
        <w:rPr>
          <w:rStyle w:val="Voetnootmarkering"/>
          <w:sz w:val="24"/>
          <w:szCs w:val="24"/>
        </w:rPr>
        <w:footnoteReference w:id="136"/>
      </w:r>
      <w:r w:rsidR="007541D5" w:rsidRPr="00484DAF">
        <w:rPr>
          <w:sz w:val="24"/>
          <w:szCs w:val="24"/>
        </w:rPr>
        <w:t xml:space="preserve"> </w:t>
      </w:r>
    </w:p>
    <w:p w:rsidR="00557A1F" w:rsidRPr="00484DAF" w:rsidRDefault="00557A1F" w:rsidP="00CC552D">
      <w:pPr>
        <w:pStyle w:val="Geenafstand"/>
        <w:spacing w:line="360" w:lineRule="auto"/>
        <w:rPr>
          <w:sz w:val="24"/>
          <w:szCs w:val="24"/>
        </w:rPr>
      </w:pPr>
    </w:p>
    <w:p w:rsidR="00F62078" w:rsidRPr="00484DAF" w:rsidRDefault="009F61C4" w:rsidP="00CC552D">
      <w:pPr>
        <w:spacing w:after="0" w:line="360" w:lineRule="auto"/>
        <w:rPr>
          <w:i/>
          <w:sz w:val="24"/>
          <w:szCs w:val="24"/>
        </w:rPr>
      </w:pPr>
      <w:r w:rsidRPr="00484DAF">
        <w:rPr>
          <w:sz w:val="24"/>
          <w:szCs w:val="24"/>
        </w:rPr>
        <w:t>Een vergelijkbare casus, maar dan met korfbalvelden is aan de orde geweest voor de Hoge Raad. In een arrest</w:t>
      </w:r>
      <w:r w:rsidR="00781C07" w:rsidRPr="00484DAF">
        <w:rPr>
          <w:rStyle w:val="Voetnootmarkering"/>
          <w:sz w:val="24"/>
          <w:szCs w:val="24"/>
        </w:rPr>
        <w:footnoteReference w:id="137"/>
      </w:r>
      <w:r w:rsidRPr="00484DAF">
        <w:rPr>
          <w:sz w:val="24"/>
          <w:szCs w:val="24"/>
        </w:rPr>
        <w:t xml:space="preserve"> werden </w:t>
      </w:r>
      <w:r w:rsidR="00781C07" w:rsidRPr="00484DAF">
        <w:rPr>
          <w:sz w:val="24"/>
          <w:szCs w:val="24"/>
        </w:rPr>
        <w:t xml:space="preserve">zes natuurgrasvelden gebruikt om op het oorspronkelijke gebied van drie velden woningbouw te realiseren en </w:t>
      </w:r>
      <w:r w:rsidR="002160F7" w:rsidRPr="00484DAF">
        <w:rPr>
          <w:sz w:val="24"/>
          <w:szCs w:val="24"/>
        </w:rPr>
        <w:t xml:space="preserve">op </w:t>
      </w:r>
      <w:r w:rsidR="00781C07" w:rsidRPr="00484DAF">
        <w:rPr>
          <w:sz w:val="24"/>
          <w:szCs w:val="24"/>
        </w:rPr>
        <w:t xml:space="preserve">de drie overige velden </w:t>
      </w:r>
      <w:r w:rsidR="00796C1E" w:rsidRPr="00484DAF">
        <w:rPr>
          <w:sz w:val="24"/>
          <w:szCs w:val="24"/>
        </w:rPr>
        <w:t xml:space="preserve">drie </w:t>
      </w:r>
      <w:r w:rsidR="00781C07" w:rsidRPr="00484DAF">
        <w:rPr>
          <w:sz w:val="24"/>
          <w:szCs w:val="24"/>
        </w:rPr>
        <w:t>kunstgrasveld</w:t>
      </w:r>
      <w:r w:rsidR="00796C1E" w:rsidRPr="00484DAF">
        <w:rPr>
          <w:sz w:val="24"/>
          <w:szCs w:val="24"/>
        </w:rPr>
        <w:t>en</w:t>
      </w:r>
      <w:r w:rsidR="002160F7" w:rsidRPr="00484DAF">
        <w:rPr>
          <w:sz w:val="24"/>
          <w:szCs w:val="24"/>
        </w:rPr>
        <w:t xml:space="preserve"> aan te leggen</w:t>
      </w:r>
      <w:r w:rsidR="00781C07" w:rsidRPr="00484DAF">
        <w:rPr>
          <w:sz w:val="24"/>
          <w:szCs w:val="24"/>
        </w:rPr>
        <w:t xml:space="preserve">. </w:t>
      </w:r>
      <w:r w:rsidR="00267243" w:rsidRPr="00484DAF">
        <w:rPr>
          <w:sz w:val="24"/>
          <w:szCs w:val="24"/>
        </w:rPr>
        <w:t>Zonder twijfel is d</w:t>
      </w:r>
      <w:r w:rsidR="00781C07" w:rsidRPr="00484DAF">
        <w:rPr>
          <w:sz w:val="24"/>
          <w:szCs w:val="24"/>
        </w:rPr>
        <w:t xml:space="preserve">at bij woningbouw </w:t>
      </w:r>
      <w:r w:rsidR="00267243" w:rsidRPr="00484DAF">
        <w:rPr>
          <w:sz w:val="24"/>
          <w:szCs w:val="24"/>
        </w:rPr>
        <w:t xml:space="preserve">op voormalig natuurgrasvelden een goed </w:t>
      </w:r>
      <w:r w:rsidR="00781C07" w:rsidRPr="00484DAF">
        <w:rPr>
          <w:sz w:val="24"/>
          <w:szCs w:val="24"/>
        </w:rPr>
        <w:t>wordt vervaardigd.</w:t>
      </w:r>
      <w:r w:rsidR="00267243" w:rsidRPr="00484DAF">
        <w:rPr>
          <w:sz w:val="24"/>
          <w:szCs w:val="24"/>
        </w:rPr>
        <w:t xml:space="preserve"> </w:t>
      </w:r>
      <w:r w:rsidR="002160F7" w:rsidRPr="00484DAF">
        <w:rPr>
          <w:sz w:val="24"/>
          <w:szCs w:val="24"/>
        </w:rPr>
        <w:t xml:space="preserve">Voor de aanleg van kunstgrasvelden wordt echter ook vervaardiging </w:t>
      </w:r>
      <w:r w:rsidR="002160F7" w:rsidRPr="00484DAF">
        <w:rPr>
          <w:sz w:val="24"/>
          <w:szCs w:val="24"/>
        </w:rPr>
        <w:lastRenderedPageBreak/>
        <w:t xml:space="preserve">geconstateerd. </w:t>
      </w:r>
      <w:r w:rsidR="00267243" w:rsidRPr="00484DAF">
        <w:rPr>
          <w:i/>
          <w:sz w:val="24"/>
          <w:szCs w:val="24"/>
        </w:rPr>
        <w:t>De Ruiter</w:t>
      </w:r>
      <w:r w:rsidR="00267243" w:rsidRPr="00484DAF">
        <w:rPr>
          <w:sz w:val="24"/>
          <w:szCs w:val="24"/>
        </w:rPr>
        <w:t xml:space="preserve"> stelt</w:t>
      </w:r>
      <w:r w:rsidR="00830D8D" w:rsidRPr="00484DAF">
        <w:rPr>
          <w:sz w:val="24"/>
          <w:szCs w:val="24"/>
        </w:rPr>
        <w:t xml:space="preserve"> hierover</w:t>
      </w:r>
      <w:r w:rsidR="00267243" w:rsidRPr="00484DAF">
        <w:rPr>
          <w:sz w:val="24"/>
          <w:szCs w:val="24"/>
        </w:rPr>
        <w:t xml:space="preserve"> in zijn artikel </w:t>
      </w:r>
      <w:r w:rsidR="00796C1E" w:rsidRPr="00484DAF">
        <w:rPr>
          <w:i/>
          <w:sz w:val="24"/>
          <w:szCs w:val="24"/>
        </w:rPr>
        <w:t>‘</w:t>
      </w:r>
      <w:r w:rsidR="00267243" w:rsidRPr="00484DAF">
        <w:rPr>
          <w:i/>
          <w:sz w:val="24"/>
          <w:szCs w:val="24"/>
        </w:rPr>
        <w:t xml:space="preserve">Vaststaat dus </w:t>
      </w:r>
      <w:r w:rsidR="003A3EB6" w:rsidRPr="00484DAF">
        <w:rPr>
          <w:sz w:val="24"/>
          <w:szCs w:val="24"/>
        </w:rPr>
        <w:t xml:space="preserve">[als gevolg van </w:t>
      </w:r>
      <w:r w:rsidR="00BB0ED5" w:rsidRPr="00484DAF">
        <w:rPr>
          <w:sz w:val="24"/>
          <w:szCs w:val="24"/>
        </w:rPr>
        <w:t>dit arrest</w:t>
      </w:r>
      <w:r w:rsidR="003A3EB6" w:rsidRPr="00484DAF">
        <w:rPr>
          <w:sz w:val="24"/>
          <w:szCs w:val="24"/>
        </w:rPr>
        <w:t xml:space="preserve">, MGVV] </w:t>
      </w:r>
      <w:r w:rsidR="00267243" w:rsidRPr="00484DAF">
        <w:rPr>
          <w:i/>
          <w:sz w:val="24"/>
          <w:szCs w:val="24"/>
        </w:rPr>
        <w:t>dat naar het oordeel van de Hoge Raad een kunstgrasveld een andere functie heeft dan een natuurgrasveld</w:t>
      </w:r>
      <w:r w:rsidR="00B84827" w:rsidRPr="00484DAF">
        <w:rPr>
          <w:i/>
          <w:sz w:val="24"/>
          <w:szCs w:val="24"/>
        </w:rPr>
        <w:t>.</w:t>
      </w:r>
      <w:r w:rsidR="00796C1E" w:rsidRPr="00484DAF">
        <w:rPr>
          <w:i/>
          <w:sz w:val="24"/>
          <w:szCs w:val="24"/>
        </w:rPr>
        <w:t>’</w:t>
      </w:r>
      <w:r w:rsidR="00796C1E" w:rsidRPr="00484DAF">
        <w:rPr>
          <w:rStyle w:val="Voetnootmarkering"/>
          <w:i/>
          <w:sz w:val="24"/>
          <w:szCs w:val="24"/>
        </w:rPr>
        <w:footnoteReference w:id="138"/>
      </w:r>
      <w:r w:rsidR="00B84827" w:rsidRPr="00484DAF">
        <w:rPr>
          <w:sz w:val="24"/>
          <w:szCs w:val="24"/>
        </w:rPr>
        <w:t xml:space="preserve"> Saillant detail is </w:t>
      </w:r>
      <w:r w:rsidR="00796C1E" w:rsidRPr="00484DAF">
        <w:rPr>
          <w:sz w:val="24"/>
          <w:szCs w:val="24"/>
        </w:rPr>
        <w:t xml:space="preserve">hier </w:t>
      </w:r>
      <w:r w:rsidR="00B84827" w:rsidRPr="00484DAF">
        <w:rPr>
          <w:sz w:val="24"/>
          <w:szCs w:val="24"/>
        </w:rPr>
        <w:t>dat de Hoge Raad zich in zijn arrest niet uitlaat over de functie, maar enkel constateert dat sprake is van vervaardiging.</w:t>
      </w:r>
      <w:r w:rsidR="00B84827" w:rsidRPr="00484DAF">
        <w:rPr>
          <w:rStyle w:val="Voetnootmarkering"/>
          <w:sz w:val="24"/>
          <w:szCs w:val="24"/>
        </w:rPr>
        <w:footnoteReference w:id="139"/>
      </w:r>
      <w:r w:rsidR="00267243" w:rsidRPr="00484DAF">
        <w:rPr>
          <w:i/>
          <w:sz w:val="24"/>
          <w:szCs w:val="24"/>
        </w:rPr>
        <w:t xml:space="preserve"> </w:t>
      </w:r>
      <w:r w:rsidR="00B84827" w:rsidRPr="00484DAF">
        <w:rPr>
          <w:sz w:val="24"/>
          <w:szCs w:val="24"/>
        </w:rPr>
        <w:t xml:space="preserve">De conclusie dat de functieverandering doorslaggevend is geweest, is wat voorbarig. </w:t>
      </w:r>
      <w:r w:rsidR="00267243" w:rsidRPr="00484DAF">
        <w:rPr>
          <w:i/>
          <w:sz w:val="24"/>
          <w:szCs w:val="24"/>
        </w:rPr>
        <w:t>Van der Paardt</w:t>
      </w:r>
      <w:r w:rsidR="00267243" w:rsidRPr="00484DAF">
        <w:rPr>
          <w:sz w:val="24"/>
          <w:szCs w:val="24"/>
        </w:rPr>
        <w:t xml:space="preserve"> merkt in de noot bij </w:t>
      </w:r>
      <w:r w:rsidR="00B84827" w:rsidRPr="00484DAF">
        <w:rPr>
          <w:i/>
          <w:sz w:val="24"/>
          <w:szCs w:val="24"/>
        </w:rPr>
        <w:t>BNB 2006/65</w:t>
      </w:r>
      <w:r w:rsidR="00B84827" w:rsidRPr="00484DAF">
        <w:rPr>
          <w:sz w:val="24"/>
          <w:szCs w:val="24"/>
        </w:rPr>
        <w:t xml:space="preserve"> terecht </w:t>
      </w:r>
      <w:r w:rsidR="00267243" w:rsidRPr="00484DAF">
        <w:rPr>
          <w:sz w:val="24"/>
          <w:szCs w:val="24"/>
        </w:rPr>
        <w:t>op</w:t>
      </w:r>
      <w:r w:rsidR="00B84827" w:rsidRPr="00484DAF">
        <w:rPr>
          <w:sz w:val="24"/>
          <w:szCs w:val="24"/>
        </w:rPr>
        <w:t xml:space="preserve"> dat d</w:t>
      </w:r>
      <w:r w:rsidR="00267243" w:rsidRPr="00484DAF">
        <w:rPr>
          <w:sz w:val="24"/>
          <w:szCs w:val="24"/>
        </w:rPr>
        <w:t xml:space="preserve">e Hoge Raad </w:t>
      </w:r>
      <w:r w:rsidR="00B84827" w:rsidRPr="00484DAF">
        <w:rPr>
          <w:sz w:val="24"/>
          <w:szCs w:val="24"/>
        </w:rPr>
        <w:t xml:space="preserve">zich </w:t>
      </w:r>
      <w:r w:rsidR="00267243" w:rsidRPr="00484DAF">
        <w:rPr>
          <w:sz w:val="24"/>
          <w:szCs w:val="24"/>
        </w:rPr>
        <w:t xml:space="preserve">wellicht ook wel </w:t>
      </w:r>
      <w:r w:rsidR="00B84827" w:rsidRPr="00484DAF">
        <w:rPr>
          <w:sz w:val="24"/>
          <w:szCs w:val="24"/>
        </w:rPr>
        <w:t>had</w:t>
      </w:r>
      <w:r w:rsidR="00796C1E" w:rsidRPr="00484DAF">
        <w:rPr>
          <w:sz w:val="24"/>
          <w:szCs w:val="24"/>
        </w:rPr>
        <w:t xml:space="preserve"> kunnen</w:t>
      </w:r>
      <w:r w:rsidR="00B84827" w:rsidRPr="00484DAF">
        <w:rPr>
          <w:sz w:val="24"/>
          <w:szCs w:val="24"/>
        </w:rPr>
        <w:t xml:space="preserve"> </w:t>
      </w:r>
      <w:r w:rsidR="00267243" w:rsidRPr="00484DAF">
        <w:rPr>
          <w:sz w:val="24"/>
          <w:szCs w:val="24"/>
        </w:rPr>
        <w:t>uitlaten over de vraag of sprake was van vervaardiging van de kunstgrasvelden.</w:t>
      </w:r>
      <w:r w:rsidR="00B84827" w:rsidRPr="00484DAF">
        <w:rPr>
          <w:sz w:val="24"/>
          <w:szCs w:val="24"/>
        </w:rPr>
        <w:t xml:space="preserve"> Jurisprudentie inzake kunstgrasvelden</w:t>
      </w:r>
      <w:r w:rsidR="00B26469" w:rsidRPr="00484DAF">
        <w:rPr>
          <w:sz w:val="24"/>
          <w:szCs w:val="24"/>
        </w:rPr>
        <w:t>, zij het voor hockeydoeleinden, was de revue</w:t>
      </w:r>
      <w:r w:rsidR="00830D8D" w:rsidRPr="00484DAF">
        <w:rPr>
          <w:sz w:val="24"/>
          <w:szCs w:val="24"/>
        </w:rPr>
        <w:t xml:space="preserve"> overigens wel al </w:t>
      </w:r>
      <w:r w:rsidR="00B26469" w:rsidRPr="00484DAF">
        <w:rPr>
          <w:sz w:val="24"/>
          <w:szCs w:val="24"/>
        </w:rPr>
        <w:t xml:space="preserve">gepasseerd. In een </w:t>
      </w:r>
      <w:r w:rsidR="00796C1E" w:rsidRPr="00484DAF">
        <w:rPr>
          <w:sz w:val="24"/>
          <w:szCs w:val="24"/>
        </w:rPr>
        <w:t>uitspraak</w:t>
      </w:r>
      <w:r w:rsidR="00B26469" w:rsidRPr="00484DAF">
        <w:rPr>
          <w:rStyle w:val="Voetnootmarkering"/>
          <w:sz w:val="24"/>
          <w:szCs w:val="24"/>
        </w:rPr>
        <w:footnoteReference w:id="140"/>
      </w:r>
      <w:r w:rsidR="00B26469" w:rsidRPr="00484DAF">
        <w:rPr>
          <w:sz w:val="24"/>
          <w:szCs w:val="24"/>
        </w:rPr>
        <w:t xml:space="preserve"> </w:t>
      </w:r>
      <w:r w:rsidR="00372BDB" w:rsidRPr="00484DAF">
        <w:rPr>
          <w:sz w:val="24"/>
          <w:szCs w:val="24"/>
        </w:rPr>
        <w:t>beslist</w:t>
      </w:r>
      <w:r w:rsidR="00796C1E" w:rsidRPr="00484DAF">
        <w:rPr>
          <w:sz w:val="24"/>
          <w:szCs w:val="24"/>
        </w:rPr>
        <w:t>e</w:t>
      </w:r>
      <w:r w:rsidR="00372BDB" w:rsidRPr="00484DAF">
        <w:rPr>
          <w:sz w:val="24"/>
          <w:szCs w:val="24"/>
        </w:rPr>
        <w:t xml:space="preserve"> </w:t>
      </w:r>
      <w:r w:rsidR="00B26469" w:rsidRPr="00484DAF">
        <w:rPr>
          <w:sz w:val="24"/>
          <w:szCs w:val="24"/>
        </w:rPr>
        <w:t xml:space="preserve">Hof </w:t>
      </w:r>
      <w:r w:rsidR="00267243" w:rsidRPr="00484DAF">
        <w:rPr>
          <w:sz w:val="24"/>
          <w:szCs w:val="24"/>
        </w:rPr>
        <w:t xml:space="preserve">Amsterdam </w:t>
      </w:r>
      <w:r w:rsidR="00796C1E" w:rsidRPr="00484DAF">
        <w:rPr>
          <w:sz w:val="24"/>
          <w:szCs w:val="24"/>
        </w:rPr>
        <w:t xml:space="preserve">namelijk al eens </w:t>
      </w:r>
      <w:r w:rsidR="00267243" w:rsidRPr="00484DAF">
        <w:rPr>
          <w:sz w:val="24"/>
          <w:szCs w:val="24"/>
        </w:rPr>
        <w:t xml:space="preserve">dat de aanleg van een kunstgrasveld </w:t>
      </w:r>
      <w:r w:rsidR="00372BDB" w:rsidRPr="00484DAF">
        <w:rPr>
          <w:sz w:val="24"/>
          <w:szCs w:val="24"/>
        </w:rPr>
        <w:t xml:space="preserve">is </w:t>
      </w:r>
      <w:r w:rsidR="00267243" w:rsidRPr="00484DAF">
        <w:rPr>
          <w:sz w:val="24"/>
          <w:szCs w:val="24"/>
        </w:rPr>
        <w:t>aan te merken als het voortbrengen van een goed dat tevoren niet bestond</w:t>
      </w:r>
      <w:r w:rsidR="00372BDB" w:rsidRPr="00484DAF">
        <w:rPr>
          <w:sz w:val="24"/>
          <w:szCs w:val="24"/>
        </w:rPr>
        <w:t>, omdat naar maatschappelijke opvattingen, g</w:t>
      </w:r>
      <w:r w:rsidR="00267243" w:rsidRPr="00484DAF">
        <w:rPr>
          <w:sz w:val="24"/>
          <w:szCs w:val="24"/>
        </w:rPr>
        <w:t>elet op de aard en de constructie van het kunstgrasveld</w:t>
      </w:r>
      <w:r w:rsidR="00372BDB" w:rsidRPr="00484DAF">
        <w:rPr>
          <w:sz w:val="24"/>
          <w:szCs w:val="24"/>
        </w:rPr>
        <w:t>,</w:t>
      </w:r>
      <w:r w:rsidR="00267243" w:rsidRPr="00484DAF">
        <w:rPr>
          <w:sz w:val="24"/>
          <w:szCs w:val="24"/>
        </w:rPr>
        <w:t xml:space="preserve"> het oorspronkelijke </w:t>
      </w:r>
      <w:r w:rsidR="00372BDB" w:rsidRPr="00484DAF">
        <w:rPr>
          <w:sz w:val="24"/>
          <w:szCs w:val="24"/>
        </w:rPr>
        <w:t>natuur</w:t>
      </w:r>
      <w:r w:rsidR="00267243" w:rsidRPr="00484DAF">
        <w:rPr>
          <w:sz w:val="24"/>
          <w:szCs w:val="24"/>
        </w:rPr>
        <w:t xml:space="preserve">grasveld niet </w:t>
      </w:r>
      <w:r w:rsidR="00372BDB" w:rsidRPr="00484DAF">
        <w:rPr>
          <w:sz w:val="24"/>
          <w:szCs w:val="24"/>
        </w:rPr>
        <w:t xml:space="preserve">is </w:t>
      </w:r>
      <w:r w:rsidR="00267243" w:rsidRPr="00484DAF">
        <w:rPr>
          <w:sz w:val="24"/>
          <w:szCs w:val="24"/>
        </w:rPr>
        <w:t>blijven bestaan.</w:t>
      </w:r>
      <w:r w:rsidR="0051180F" w:rsidRPr="00484DAF">
        <w:rPr>
          <w:sz w:val="24"/>
          <w:szCs w:val="24"/>
        </w:rPr>
        <w:t xml:space="preserve"> </w:t>
      </w:r>
      <w:r w:rsidR="002618EA" w:rsidRPr="00484DAF">
        <w:rPr>
          <w:sz w:val="24"/>
          <w:szCs w:val="24"/>
        </w:rPr>
        <w:t xml:space="preserve">De Hoge Raad bevestigde in cassatie </w:t>
      </w:r>
      <w:r w:rsidR="00830D8D" w:rsidRPr="00484DAF">
        <w:rPr>
          <w:sz w:val="24"/>
          <w:szCs w:val="24"/>
        </w:rPr>
        <w:t xml:space="preserve">het </w:t>
      </w:r>
      <w:r w:rsidR="002618EA" w:rsidRPr="00484DAF">
        <w:rPr>
          <w:sz w:val="24"/>
          <w:szCs w:val="24"/>
        </w:rPr>
        <w:t xml:space="preserve">voorgaande en </w:t>
      </w:r>
      <w:r w:rsidR="00830D8D" w:rsidRPr="00484DAF">
        <w:rPr>
          <w:sz w:val="24"/>
          <w:szCs w:val="24"/>
        </w:rPr>
        <w:t xml:space="preserve">tevens </w:t>
      </w:r>
      <w:r w:rsidR="002618EA" w:rsidRPr="00484DAF">
        <w:rPr>
          <w:sz w:val="24"/>
          <w:szCs w:val="24"/>
        </w:rPr>
        <w:t xml:space="preserve">de stelling van het Hof dat ook de functie van een kunstgrasveld verschilt naar maatschappelijke opvattingen van die van een natuurgrasveld. Deze onderscheidende functie komt voort uit het gegeven dat </w:t>
      </w:r>
      <w:r w:rsidR="002618EA" w:rsidRPr="00484DAF">
        <w:rPr>
          <w:i/>
          <w:sz w:val="24"/>
          <w:szCs w:val="24"/>
        </w:rPr>
        <w:t>‘een kunstgrasveld vrijwel vlak is, onder alle weersomstandigheden kan worden gebruikt, circa viermaal zoveel bespeelbare uren heeft als een grasveld en noodzakelijk is om hockeywedstrijden in competitieverband te kunnen spelen.’</w:t>
      </w:r>
      <w:r w:rsidR="002618EA" w:rsidRPr="00484DAF">
        <w:rPr>
          <w:rStyle w:val="Voetnootmarkering"/>
          <w:i/>
          <w:sz w:val="24"/>
          <w:szCs w:val="24"/>
        </w:rPr>
        <w:footnoteReference w:id="141"/>
      </w:r>
    </w:p>
    <w:p w:rsidR="00557A1F" w:rsidRPr="00484DAF" w:rsidRDefault="00557A1F" w:rsidP="00CC552D">
      <w:pPr>
        <w:pStyle w:val="Geenafstand"/>
        <w:spacing w:line="360" w:lineRule="auto"/>
        <w:rPr>
          <w:sz w:val="24"/>
          <w:szCs w:val="24"/>
        </w:rPr>
      </w:pPr>
    </w:p>
    <w:p w:rsidR="00D72F44" w:rsidRPr="00484DAF" w:rsidRDefault="005776E8" w:rsidP="00CC552D">
      <w:pPr>
        <w:pStyle w:val="Kop3"/>
        <w:spacing w:before="0" w:line="360" w:lineRule="auto"/>
        <w:rPr>
          <w:rFonts w:ascii="Times New Roman" w:hAnsi="Times New Roman"/>
          <w:color w:val="auto"/>
          <w:sz w:val="24"/>
          <w:szCs w:val="24"/>
        </w:rPr>
      </w:pPr>
      <w:bookmarkStart w:id="67" w:name="_Toc254043921"/>
      <w:r w:rsidRPr="00484DAF">
        <w:rPr>
          <w:rFonts w:ascii="Times New Roman" w:hAnsi="Times New Roman"/>
          <w:color w:val="auto"/>
          <w:sz w:val="24"/>
          <w:szCs w:val="24"/>
        </w:rPr>
        <w:t>3.3.2</w:t>
      </w:r>
      <w:r w:rsidR="00B93974" w:rsidRPr="00484DAF">
        <w:rPr>
          <w:rFonts w:ascii="Times New Roman" w:hAnsi="Times New Roman"/>
          <w:color w:val="auto"/>
          <w:sz w:val="24"/>
          <w:szCs w:val="24"/>
        </w:rPr>
        <w:t>.3</w:t>
      </w:r>
      <w:r w:rsidR="00D72F44" w:rsidRPr="00484DAF">
        <w:rPr>
          <w:rFonts w:ascii="Times New Roman" w:hAnsi="Times New Roman"/>
          <w:color w:val="auto"/>
          <w:sz w:val="24"/>
          <w:szCs w:val="24"/>
        </w:rPr>
        <w:t xml:space="preserve"> Aanbouw</w:t>
      </w:r>
      <w:bookmarkEnd w:id="67"/>
    </w:p>
    <w:p w:rsidR="001127D3" w:rsidRPr="00484DAF" w:rsidRDefault="00B67209" w:rsidP="00CC552D">
      <w:pPr>
        <w:spacing w:after="0" w:line="360" w:lineRule="auto"/>
        <w:rPr>
          <w:sz w:val="24"/>
          <w:szCs w:val="24"/>
        </w:rPr>
      </w:pPr>
      <w:r w:rsidRPr="00484DAF">
        <w:rPr>
          <w:sz w:val="24"/>
          <w:szCs w:val="24"/>
        </w:rPr>
        <w:t xml:space="preserve">Bij aanbouw ligt de vervaardigingdiscussie net weer anders dan bij verbouwing. Naast de vraag of functiewijziging en wijziging in uiterlijk vorm heeft plaatsgevonden, dient ook te worden bepaald of de aanbouw al dan niet een zelfstandig onderdeel van het onroerend goed vormt. </w:t>
      </w:r>
      <w:r w:rsidR="00404BA4" w:rsidRPr="00484DAF">
        <w:rPr>
          <w:sz w:val="24"/>
          <w:szCs w:val="24"/>
        </w:rPr>
        <w:t xml:space="preserve">Daarbij </w:t>
      </w:r>
      <w:r w:rsidR="00830D8D" w:rsidRPr="00484DAF">
        <w:rPr>
          <w:sz w:val="24"/>
          <w:szCs w:val="24"/>
        </w:rPr>
        <w:t xml:space="preserve">zijn </w:t>
      </w:r>
      <w:r w:rsidR="00404BA4" w:rsidRPr="00484DAF">
        <w:rPr>
          <w:sz w:val="24"/>
          <w:szCs w:val="24"/>
        </w:rPr>
        <w:t xml:space="preserve">vier varianten denkbaar, welke aan de hand van jurisprudentie zullen worden uitgelegd. </w:t>
      </w:r>
    </w:p>
    <w:p w:rsidR="00557A1F" w:rsidRPr="00484DAF" w:rsidRDefault="00557A1F" w:rsidP="00CC552D">
      <w:pPr>
        <w:pStyle w:val="Geenafstand"/>
        <w:spacing w:line="360" w:lineRule="auto"/>
        <w:rPr>
          <w:sz w:val="24"/>
          <w:szCs w:val="24"/>
        </w:rPr>
      </w:pPr>
    </w:p>
    <w:p w:rsidR="00B74684" w:rsidRPr="00484DAF" w:rsidRDefault="005776E8" w:rsidP="00CC552D">
      <w:pPr>
        <w:pStyle w:val="Kop4"/>
        <w:spacing w:before="0" w:line="360" w:lineRule="auto"/>
        <w:rPr>
          <w:rFonts w:ascii="Times New Roman" w:hAnsi="Times New Roman"/>
          <w:i w:val="0"/>
          <w:color w:val="auto"/>
          <w:sz w:val="24"/>
          <w:szCs w:val="24"/>
        </w:rPr>
      </w:pPr>
      <w:r w:rsidRPr="00484DAF">
        <w:rPr>
          <w:rFonts w:ascii="Times New Roman" w:hAnsi="Times New Roman"/>
          <w:i w:val="0"/>
          <w:color w:val="auto"/>
          <w:sz w:val="24"/>
          <w:szCs w:val="24"/>
        </w:rPr>
        <w:t>3.3.2</w:t>
      </w:r>
      <w:r w:rsidR="00B74684" w:rsidRPr="00484DAF">
        <w:rPr>
          <w:rFonts w:ascii="Times New Roman" w:hAnsi="Times New Roman"/>
          <w:i w:val="0"/>
          <w:color w:val="auto"/>
          <w:sz w:val="24"/>
          <w:szCs w:val="24"/>
        </w:rPr>
        <w:t>.3.1 Zelfstandig onderdeel</w:t>
      </w:r>
    </w:p>
    <w:p w:rsidR="00321CA4" w:rsidRPr="00484DAF" w:rsidRDefault="00404BA4" w:rsidP="00CC552D">
      <w:pPr>
        <w:spacing w:after="0" w:line="360" w:lineRule="auto"/>
        <w:rPr>
          <w:sz w:val="24"/>
          <w:szCs w:val="24"/>
        </w:rPr>
      </w:pPr>
      <w:r w:rsidRPr="00484DAF">
        <w:rPr>
          <w:sz w:val="24"/>
          <w:szCs w:val="24"/>
        </w:rPr>
        <w:t xml:space="preserve">Ten eerste </w:t>
      </w:r>
      <w:r w:rsidR="008043BF" w:rsidRPr="00484DAF">
        <w:rPr>
          <w:sz w:val="24"/>
          <w:szCs w:val="24"/>
        </w:rPr>
        <w:t xml:space="preserve">kan </w:t>
      </w:r>
      <w:r w:rsidR="00321CA4" w:rsidRPr="00484DAF">
        <w:rPr>
          <w:sz w:val="24"/>
          <w:szCs w:val="24"/>
        </w:rPr>
        <w:t>de aanbouw worden aangemerkt als een zelfstandig onroerend goed.</w:t>
      </w:r>
      <w:r w:rsidR="00DE7E5A" w:rsidRPr="00484DAF">
        <w:rPr>
          <w:sz w:val="24"/>
          <w:szCs w:val="24"/>
        </w:rPr>
        <w:t xml:space="preserve"> In dat geval is sprake van toetsing aan de eerder besproken criteria met betrekking tot wanneer sprake is van onroerend goed.</w:t>
      </w:r>
      <w:r w:rsidR="00321CA4" w:rsidRPr="00484DAF">
        <w:rPr>
          <w:sz w:val="24"/>
          <w:szCs w:val="24"/>
        </w:rPr>
        <w:t xml:space="preserve"> </w:t>
      </w:r>
      <w:r w:rsidR="00F83B56" w:rsidRPr="00484DAF">
        <w:rPr>
          <w:sz w:val="24"/>
          <w:szCs w:val="24"/>
        </w:rPr>
        <w:t>Illustratief voor deze variant is de uitspraak van Hof Arnhem</w:t>
      </w:r>
      <w:r w:rsidR="00F83B56" w:rsidRPr="00484DAF">
        <w:rPr>
          <w:rStyle w:val="Voetnootmarkering"/>
          <w:sz w:val="24"/>
          <w:szCs w:val="24"/>
        </w:rPr>
        <w:footnoteReference w:id="142"/>
      </w:r>
      <w:r w:rsidR="00F83B56" w:rsidRPr="00484DAF">
        <w:rPr>
          <w:sz w:val="24"/>
          <w:szCs w:val="24"/>
        </w:rPr>
        <w:t xml:space="preserve"> </w:t>
      </w:r>
      <w:r w:rsidR="00F83B56" w:rsidRPr="00484DAF">
        <w:rPr>
          <w:sz w:val="24"/>
          <w:szCs w:val="24"/>
        </w:rPr>
        <w:lastRenderedPageBreak/>
        <w:t>na verwijzing door de Hoge Raad in het arrest van 2 mei 2003</w:t>
      </w:r>
      <w:r w:rsidR="00F83B56" w:rsidRPr="00484DAF">
        <w:rPr>
          <w:rStyle w:val="Voetnootmarkering"/>
          <w:sz w:val="24"/>
          <w:szCs w:val="24"/>
        </w:rPr>
        <w:footnoteReference w:id="143"/>
      </w:r>
      <w:r w:rsidR="00F83B56" w:rsidRPr="00484DAF">
        <w:rPr>
          <w:sz w:val="24"/>
          <w:szCs w:val="24"/>
        </w:rPr>
        <w:t xml:space="preserve"> waarin </w:t>
      </w:r>
      <w:r w:rsidR="009A4FDD" w:rsidRPr="00484DAF">
        <w:rPr>
          <w:sz w:val="24"/>
          <w:szCs w:val="24"/>
        </w:rPr>
        <w:t xml:space="preserve">het onderwerp van </w:t>
      </w:r>
      <w:r w:rsidR="00830D8D" w:rsidRPr="00484DAF">
        <w:rPr>
          <w:sz w:val="24"/>
          <w:szCs w:val="24"/>
        </w:rPr>
        <w:t xml:space="preserve">geding een gebouwencomplex, </w:t>
      </w:r>
      <w:r w:rsidR="009A4FDD" w:rsidRPr="00484DAF">
        <w:rPr>
          <w:sz w:val="24"/>
          <w:szCs w:val="24"/>
        </w:rPr>
        <w:t xml:space="preserve">bestaande </w:t>
      </w:r>
      <w:r w:rsidR="00830D8D" w:rsidRPr="00484DAF">
        <w:rPr>
          <w:sz w:val="24"/>
          <w:szCs w:val="24"/>
        </w:rPr>
        <w:t xml:space="preserve">uit een </w:t>
      </w:r>
      <w:r w:rsidR="009A4FDD" w:rsidRPr="00484DAF">
        <w:rPr>
          <w:sz w:val="24"/>
          <w:szCs w:val="24"/>
        </w:rPr>
        <w:t>voor</w:t>
      </w:r>
      <w:r w:rsidR="00C52420" w:rsidRPr="00484DAF">
        <w:rPr>
          <w:sz w:val="24"/>
          <w:szCs w:val="24"/>
        </w:rPr>
        <w:t>-</w:t>
      </w:r>
      <w:r w:rsidR="009A4FDD" w:rsidRPr="00484DAF">
        <w:rPr>
          <w:sz w:val="24"/>
          <w:szCs w:val="24"/>
        </w:rPr>
        <w:t xml:space="preserve"> en achtergedeelte welke bouwkundig </w:t>
      </w:r>
      <w:r w:rsidR="00B65CA5" w:rsidRPr="00484DAF">
        <w:rPr>
          <w:sz w:val="24"/>
          <w:szCs w:val="24"/>
        </w:rPr>
        <w:t xml:space="preserve">(in dezelfde bouwstijl, intern met elkaar verbonden, maar tevens voor afzonderlijk gebruik geschikt door eenvoudige afsluiting) </w:t>
      </w:r>
      <w:r w:rsidR="009A4FDD" w:rsidRPr="00484DAF">
        <w:rPr>
          <w:sz w:val="24"/>
          <w:szCs w:val="24"/>
        </w:rPr>
        <w:t>op</w:t>
      </w:r>
      <w:r w:rsidR="00B65CA5" w:rsidRPr="00484DAF">
        <w:rPr>
          <w:sz w:val="24"/>
          <w:szCs w:val="24"/>
        </w:rPr>
        <w:t xml:space="preserve"> </w:t>
      </w:r>
      <w:r w:rsidR="006A2A06" w:rsidRPr="00484DAF">
        <w:rPr>
          <w:sz w:val="24"/>
          <w:szCs w:val="24"/>
        </w:rPr>
        <w:t xml:space="preserve">elkaar </w:t>
      </w:r>
      <w:r w:rsidR="00B65CA5" w:rsidRPr="00484DAF">
        <w:rPr>
          <w:sz w:val="24"/>
          <w:szCs w:val="24"/>
        </w:rPr>
        <w:t>waren afgestemd</w:t>
      </w:r>
      <w:r w:rsidR="006A2A06" w:rsidRPr="00484DAF">
        <w:rPr>
          <w:sz w:val="24"/>
          <w:szCs w:val="24"/>
        </w:rPr>
        <w:t>, was. Beide werden als kantoor</w:t>
      </w:r>
      <w:r w:rsidR="00B65CA5" w:rsidRPr="00484DAF">
        <w:rPr>
          <w:sz w:val="24"/>
          <w:szCs w:val="24"/>
        </w:rPr>
        <w:t xml:space="preserve">ruimte </w:t>
      </w:r>
      <w:r w:rsidR="00E756AA" w:rsidRPr="00484DAF">
        <w:rPr>
          <w:sz w:val="24"/>
          <w:szCs w:val="24"/>
        </w:rPr>
        <w:t>verhuurd</w:t>
      </w:r>
      <w:r w:rsidR="00B65CA5" w:rsidRPr="00484DAF">
        <w:rPr>
          <w:sz w:val="24"/>
          <w:szCs w:val="24"/>
        </w:rPr>
        <w:t xml:space="preserve">. Het voorgedeelte werd op een gegeven moment gesloopt </w:t>
      </w:r>
      <w:r w:rsidR="009A4FDD" w:rsidRPr="00484DAF">
        <w:rPr>
          <w:sz w:val="24"/>
          <w:szCs w:val="24"/>
        </w:rPr>
        <w:t xml:space="preserve">en daarna met nieuwe materialen </w:t>
      </w:r>
      <w:r w:rsidR="00B65CA5" w:rsidRPr="00484DAF">
        <w:rPr>
          <w:sz w:val="24"/>
          <w:szCs w:val="24"/>
        </w:rPr>
        <w:t xml:space="preserve">wederom </w:t>
      </w:r>
      <w:r w:rsidR="009A4FDD" w:rsidRPr="00484DAF">
        <w:rPr>
          <w:sz w:val="24"/>
          <w:szCs w:val="24"/>
        </w:rPr>
        <w:t xml:space="preserve">opgebouwd. </w:t>
      </w:r>
      <w:r w:rsidR="00B65CA5" w:rsidRPr="00484DAF">
        <w:rPr>
          <w:sz w:val="24"/>
          <w:szCs w:val="24"/>
        </w:rPr>
        <w:t xml:space="preserve">In geding was niet de vraag of </w:t>
      </w:r>
      <w:r w:rsidR="009A4FDD" w:rsidRPr="00484DAF">
        <w:rPr>
          <w:sz w:val="24"/>
          <w:szCs w:val="24"/>
        </w:rPr>
        <w:t xml:space="preserve">het complex als geheel </w:t>
      </w:r>
      <w:r w:rsidR="00B65CA5" w:rsidRPr="00484DAF">
        <w:rPr>
          <w:sz w:val="24"/>
          <w:szCs w:val="24"/>
        </w:rPr>
        <w:t xml:space="preserve">kon worden </w:t>
      </w:r>
      <w:r w:rsidR="009C7943" w:rsidRPr="00484DAF">
        <w:rPr>
          <w:sz w:val="24"/>
          <w:szCs w:val="24"/>
        </w:rPr>
        <w:t>aangemerkt als nieuw vervaardigd</w:t>
      </w:r>
      <w:r w:rsidR="00B65CA5" w:rsidRPr="00484DAF">
        <w:rPr>
          <w:sz w:val="24"/>
          <w:szCs w:val="24"/>
        </w:rPr>
        <w:t>. Aangezien zowel het uiterlijk als de functie van het voorgebouw niet wijzigde, was op grond van in paragraaf 3.3.3.1 behandelde jurisprudentie geen kans van slag</w:t>
      </w:r>
      <w:r w:rsidR="00781B20" w:rsidRPr="00484DAF">
        <w:rPr>
          <w:sz w:val="24"/>
          <w:szCs w:val="24"/>
        </w:rPr>
        <w:t>en</w:t>
      </w:r>
      <w:r w:rsidR="00B65CA5" w:rsidRPr="00484DAF">
        <w:rPr>
          <w:sz w:val="24"/>
          <w:szCs w:val="24"/>
        </w:rPr>
        <w:t xml:space="preserve">. In geding was wel </w:t>
      </w:r>
      <w:r w:rsidR="009A4FDD" w:rsidRPr="00484DAF">
        <w:rPr>
          <w:sz w:val="24"/>
          <w:szCs w:val="24"/>
        </w:rPr>
        <w:t>of het nieuwe</w:t>
      </w:r>
      <w:r w:rsidR="00B65CA5" w:rsidRPr="00484DAF">
        <w:rPr>
          <w:sz w:val="24"/>
          <w:szCs w:val="24"/>
        </w:rPr>
        <w:t xml:space="preserve"> </w:t>
      </w:r>
      <w:r w:rsidR="009A4FDD" w:rsidRPr="00484DAF">
        <w:rPr>
          <w:sz w:val="24"/>
          <w:szCs w:val="24"/>
        </w:rPr>
        <w:t xml:space="preserve">voorgedeelte, op zichzelf beschouwd, als nieuw vervaardigd </w:t>
      </w:r>
      <w:r w:rsidR="00B65CA5" w:rsidRPr="00484DAF">
        <w:rPr>
          <w:sz w:val="24"/>
          <w:szCs w:val="24"/>
        </w:rPr>
        <w:t xml:space="preserve">moest worden </w:t>
      </w:r>
      <w:r w:rsidR="009A4FDD" w:rsidRPr="00484DAF">
        <w:rPr>
          <w:sz w:val="24"/>
          <w:szCs w:val="24"/>
        </w:rPr>
        <w:t>aangemerkt</w:t>
      </w:r>
      <w:r w:rsidR="00B65CA5" w:rsidRPr="00484DAF">
        <w:rPr>
          <w:sz w:val="24"/>
          <w:szCs w:val="24"/>
        </w:rPr>
        <w:t xml:space="preserve">. </w:t>
      </w:r>
      <w:r w:rsidR="0044552F" w:rsidRPr="00484DAF">
        <w:rPr>
          <w:sz w:val="24"/>
          <w:szCs w:val="24"/>
        </w:rPr>
        <w:t xml:space="preserve">Hof Arnhem spreekt zich </w:t>
      </w:r>
      <w:r w:rsidR="003A45B0" w:rsidRPr="00484DAF">
        <w:rPr>
          <w:sz w:val="24"/>
          <w:szCs w:val="24"/>
        </w:rPr>
        <w:t xml:space="preserve">ten aanzien van de zelfstandigheid </w:t>
      </w:r>
      <w:r w:rsidR="0044552F" w:rsidRPr="00484DAF">
        <w:rPr>
          <w:sz w:val="24"/>
          <w:szCs w:val="24"/>
        </w:rPr>
        <w:t xml:space="preserve">bevestigend uit en dat </w:t>
      </w:r>
      <w:r w:rsidR="006A2A06" w:rsidRPr="00484DAF">
        <w:rPr>
          <w:sz w:val="24"/>
          <w:szCs w:val="24"/>
        </w:rPr>
        <w:t xml:space="preserve">het </w:t>
      </w:r>
      <w:r w:rsidR="0044552F" w:rsidRPr="00484DAF">
        <w:rPr>
          <w:sz w:val="24"/>
          <w:szCs w:val="24"/>
        </w:rPr>
        <w:t xml:space="preserve">op zichzelf staande voorgedeelte als nieuw vervaardigd dient te worden aangemerkt. </w:t>
      </w:r>
      <w:r w:rsidR="003A45B0" w:rsidRPr="00484DAF">
        <w:rPr>
          <w:sz w:val="24"/>
          <w:szCs w:val="24"/>
        </w:rPr>
        <w:t xml:space="preserve">De zelfstandigheid leidt het Hof </w:t>
      </w:r>
      <w:r w:rsidR="00CF26C0" w:rsidRPr="00484DAF">
        <w:rPr>
          <w:sz w:val="24"/>
          <w:szCs w:val="24"/>
        </w:rPr>
        <w:t xml:space="preserve">onder andere </w:t>
      </w:r>
      <w:r w:rsidR="003A45B0" w:rsidRPr="00484DAF">
        <w:rPr>
          <w:sz w:val="24"/>
          <w:szCs w:val="24"/>
        </w:rPr>
        <w:t xml:space="preserve">af aan de feiten dat </w:t>
      </w:r>
      <w:r w:rsidR="006A2A06" w:rsidRPr="00484DAF">
        <w:rPr>
          <w:sz w:val="24"/>
          <w:szCs w:val="24"/>
        </w:rPr>
        <w:t xml:space="preserve">de </w:t>
      </w:r>
      <w:r w:rsidR="003A45B0" w:rsidRPr="00484DAF">
        <w:rPr>
          <w:sz w:val="24"/>
          <w:szCs w:val="24"/>
        </w:rPr>
        <w:t xml:space="preserve">nieuwbouw een eigen toegang heeft, </w:t>
      </w:r>
      <w:r w:rsidR="00CF26C0" w:rsidRPr="00484DAF">
        <w:rPr>
          <w:sz w:val="24"/>
          <w:szCs w:val="24"/>
        </w:rPr>
        <w:t xml:space="preserve">alle noodzakelijke voorzieningen als gebruik voor kantoordoeleinden aanwezig zijn, de nieuwbouw </w:t>
      </w:r>
      <w:r w:rsidR="003A45B0" w:rsidRPr="00484DAF">
        <w:rPr>
          <w:sz w:val="24"/>
          <w:szCs w:val="24"/>
        </w:rPr>
        <w:t xml:space="preserve">naar aard en inrichting een eigen functie heeft, </w:t>
      </w:r>
      <w:r w:rsidR="00CF26C0" w:rsidRPr="00484DAF">
        <w:rPr>
          <w:sz w:val="24"/>
          <w:szCs w:val="24"/>
        </w:rPr>
        <w:t xml:space="preserve">namelijk </w:t>
      </w:r>
      <w:r w:rsidR="003A45B0" w:rsidRPr="00484DAF">
        <w:rPr>
          <w:sz w:val="24"/>
          <w:szCs w:val="24"/>
        </w:rPr>
        <w:t xml:space="preserve">de huisvesting van kantoren, welke functie </w:t>
      </w:r>
      <w:r w:rsidR="00CF26C0" w:rsidRPr="00484DAF">
        <w:rPr>
          <w:sz w:val="24"/>
          <w:szCs w:val="24"/>
        </w:rPr>
        <w:t xml:space="preserve">onafhankelijk van het achtergedeelte van het complex en het totale complex kan </w:t>
      </w:r>
      <w:r w:rsidR="003A45B0" w:rsidRPr="00484DAF">
        <w:rPr>
          <w:sz w:val="24"/>
          <w:szCs w:val="24"/>
        </w:rPr>
        <w:t>worden vervuld</w:t>
      </w:r>
      <w:r w:rsidR="00CF26C0" w:rsidRPr="00484DAF">
        <w:rPr>
          <w:sz w:val="24"/>
          <w:szCs w:val="24"/>
        </w:rPr>
        <w:t xml:space="preserve"> noch daaraan dienstbaar is.</w:t>
      </w:r>
      <w:r w:rsidR="00CF26C0" w:rsidRPr="00484DAF">
        <w:rPr>
          <w:rStyle w:val="Voetnootmarkering"/>
          <w:sz w:val="24"/>
          <w:szCs w:val="24"/>
        </w:rPr>
        <w:footnoteReference w:id="144"/>
      </w:r>
      <w:r w:rsidR="00CF26C0" w:rsidRPr="00484DAF">
        <w:rPr>
          <w:sz w:val="24"/>
          <w:szCs w:val="24"/>
        </w:rPr>
        <w:t xml:space="preserve"> </w:t>
      </w:r>
      <w:r w:rsidR="00F10A58" w:rsidRPr="00484DAF">
        <w:rPr>
          <w:sz w:val="24"/>
          <w:szCs w:val="24"/>
        </w:rPr>
        <w:t xml:space="preserve">Voor het oordeel dat een nieuw goed is vervaardigd, komt het Hof door verwijzing naar het arrest </w:t>
      </w:r>
      <w:r w:rsidR="00F10A58" w:rsidRPr="00484DAF">
        <w:rPr>
          <w:i/>
          <w:sz w:val="24"/>
          <w:szCs w:val="24"/>
        </w:rPr>
        <w:t>Van Dijk’s Boekhuis</w:t>
      </w:r>
      <w:r w:rsidR="00F10A58" w:rsidRPr="00484DAF">
        <w:rPr>
          <w:sz w:val="24"/>
          <w:szCs w:val="24"/>
        </w:rPr>
        <w:t xml:space="preserve">, waarbij de nadruk ligt op de nieuwe (zodoende andere) materialen waarmee het nieuwe voorgedeelte is gebouwd. </w:t>
      </w:r>
      <w:r w:rsidR="00F10A58" w:rsidRPr="00484DAF">
        <w:rPr>
          <w:i/>
          <w:sz w:val="24"/>
          <w:szCs w:val="24"/>
        </w:rPr>
        <w:t xml:space="preserve">Van Straaten </w:t>
      </w:r>
      <w:r w:rsidR="00F10A58" w:rsidRPr="00484DAF">
        <w:rPr>
          <w:sz w:val="24"/>
          <w:szCs w:val="24"/>
        </w:rPr>
        <w:t xml:space="preserve">leest hier in dat </w:t>
      </w:r>
      <w:r w:rsidR="009A4FDD" w:rsidRPr="00484DAF">
        <w:rPr>
          <w:sz w:val="24"/>
          <w:szCs w:val="24"/>
        </w:rPr>
        <w:t>als het</w:t>
      </w:r>
      <w:r w:rsidR="00F10A58" w:rsidRPr="00484DAF">
        <w:rPr>
          <w:sz w:val="24"/>
          <w:szCs w:val="24"/>
        </w:rPr>
        <w:t xml:space="preserve"> </w:t>
      </w:r>
      <w:r w:rsidR="009A4FDD" w:rsidRPr="00484DAF">
        <w:rPr>
          <w:sz w:val="24"/>
          <w:szCs w:val="24"/>
        </w:rPr>
        <w:t>nieuwe voorgedeelte uit de oorspronkelijke materialen was opgetrokken, geen nieuw</w:t>
      </w:r>
      <w:r w:rsidR="00F10A58" w:rsidRPr="00484DAF">
        <w:rPr>
          <w:sz w:val="24"/>
          <w:szCs w:val="24"/>
        </w:rPr>
        <w:t xml:space="preserve"> onroerend goed zou zijn </w:t>
      </w:r>
      <w:r w:rsidR="009A4FDD" w:rsidRPr="00484DAF">
        <w:rPr>
          <w:sz w:val="24"/>
          <w:szCs w:val="24"/>
        </w:rPr>
        <w:t>vervaardigd</w:t>
      </w:r>
      <w:r w:rsidR="00F10A58" w:rsidRPr="00484DAF">
        <w:rPr>
          <w:sz w:val="24"/>
          <w:szCs w:val="24"/>
        </w:rPr>
        <w:t>.</w:t>
      </w:r>
      <w:r w:rsidR="00F10A58" w:rsidRPr="00484DAF">
        <w:rPr>
          <w:rStyle w:val="Voetnootmarkering"/>
          <w:sz w:val="24"/>
          <w:szCs w:val="24"/>
        </w:rPr>
        <w:footnoteReference w:id="145"/>
      </w:r>
      <w:r w:rsidR="009A4FDD" w:rsidRPr="00484DAF">
        <w:rPr>
          <w:sz w:val="24"/>
          <w:szCs w:val="24"/>
        </w:rPr>
        <w:t xml:space="preserve"> </w:t>
      </w:r>
      <w:r w:rsidR="00EE3DC8" w:rsidRPr="00484DAF">
        <w:rPr>
          <w:sz w:val="24"/>
          <w:szCs w:val="24"/>
        </w:rPr>
        <w:t xml:space="preserve">Mijns inziens is deze lezing te ver gezocht. Wel kan ik me vinden in het door </w:t>
      </w:r>
      <w:r w:rsidR="00EE3DC8" w:rsidRPr="00484DAF">
        <w:rPr>
          <w:i/>
          <w:sz w:val="24"/>
          <w:szCs w:val="24"/>
        </w:rPr>
        <w:t xml:space="preserve">Van Straaten </w:t>
      </w:r>
      <w:r w:rsidR="00EE3DC8" w:rsidRPr="00484DAF">
        <w:rPr>
          <w:sz w:val="24"/>
          <w:szCs w:val="24"/>
        </w:rPr>
        <w:t>overbodige geachte gebruik van de ‘Van Dijk’s Boekhuis formule’. Na volledige sloop en herbouw op de zelfde plek is geen sprake van verbouwing als bedoeld in artikel 11, lid 3, onderdeel b Wet OB 1968. In een dergelijk geval is gelijkstelling van h</w:t>
      </w:r>
      <w:r w:rsidR="009A4FDD" w:rsidRPr="00484DAF">
        <w:rPr>
          <w:sz w:val="24"/>
          <w:szCs w:val="24"/>
        </w:rPr>
        <w:t xml:space="preserve">erbouw </w:t>
      </w:r>
      <w:r w:rsidR="00EE3DC8" w:rsidRPr="00484DAF">
        <w:rPr>
          <w:sz w:val="24"/>
          <w:szCs w:val="24"/>
        </w:rPr>
        <w:t>met nieuwbouw gerechtvaard</w:t>
      </w:r>
      <w:r w:rsidR="009A4FDD" w:rsidRPr="00484DAF">
        <w:rPr>
          <w:sz w:val="24"/>
          <w:szCs w:val="24"/>
        </w:rPr>
        <w:t>i</w:t>
      </w:r>
      <w:r w:rsidR="00EE3DC8" w:rsidRPr="00484DAF">
        <w:rPr>
          <w:sz w:val="24"/>
          <w:szCs w:val="24"/>
        </w:rPr>
        <w:t xml:space="preserve">gd, waarbij irrelevant is of de gebruikte materialen verkregen zijn uit de sloop van het oorspronkelijke </w:t>
      </w:r>
      <w:r w:rsidR="009A4FDD" w:rsidRPr="00484DAF">
        <w:rPr>
          <w:sz w:val="24"/>
          <w:szCs w:val="24"/>
        </w:rPr>
        <w:t>gebouw.</w:t>
      </w:r>
    </w:p>
    <w:p w:rsidR="00557A1F" w:rsidRPr="00484DAF" w:rsidRDefault="00557A1F" w:rsidP="00CC552D">
      <w:pPr>
        <w:pStyle w:val="Geenafstand"/>
        <w:spacing w:line="360" w:lineRule="auto"/>
        <w:rPr>
          <w:sz w:val="24"/>
          <w:szCs w:val="24"/>
        </w:rPr>
      </w:pPr>
    </w:p>
    <w:p w:rsidR="00B74684" w:rsidRPr="00484DAF" w:rsidRDefault="005776E8" w:rsidP="00CC552D">
      <w:pPr>
        <w:pStyle w:val="Kop4"/>
        <w:spacing w:before="0" w:line="360" w:lineRule="auto"/>
        <w:rPr>
          <w:rFonts w:ascii="Times New Roman" w:hAnsi="Times New Roman"/>
          <w:i w:val="0"/>
          <w:color w:val="auto"/>
          <w:sz w:val="24"/>
          <w:szCs w:val="24"/>
        </w:rPr>
      </w:pPr>
      <w:r w:rsidRPr="00484DAF">
        <w:rPr>
          <w:rFonts w:ascii="Times New Roman" w:hAnsi="Times New Roman"/>
          <w:i w:val="0"/>
          <w:color w:val="auto"/>
          <w:sz w:val="24"/>
          <w:szCs w:val="24"/>
        </w:rPr>
        <w:t>3.3.2</w:t>
      </w:r>
      <w:r w:rsidR="00B74684" w:rsidRPr="00484DAF">
        <w:rPr>
          <w:rFonts w:ascii="Times New Roman" w:hAnsi="Times New Roman"/>
          <w:i w:val="0"/>
          <w:color w:val="auto"/>
          <w:sz w:val="24"/>
          <w:szCs w:val="24"/>
        </w:rPr>
        <w:t>.3.2 Vervaardiging binnen complex</w:t>
      </w:r>
    </w:p>
    <w:p w:rsidR="00345439" w:rsidRPr="00484DAF" w:rsidRDefault="00321CA4" w:rsidP="00CC552D">
      <w:pPr>
        <w:spacing w:after="0" w:line="360" w:lineRule="auto"/>
        <w:rPr>
          <w:sz w:val="24"/>
          <w:szCs w:val="24"/>
        </w:rPr>
      </w:pPr>
      <w:r w:rsidRPr="00484DAF">
        <w:rPr>
          <w:sz w:val="24"/>
          <w:szCs w:val="24"/>
        </w:rPr>
        <w:t xml:space="preserve">Ten tweede kan </w:t>
      </w:r>
      <w:r w:rsidR="008043BF" w:rsidRPr="00484DAF">
        <w:rPr>
          <w:sz w:val="24"/>
          <w:szCs w:val="24"/>
        </w:rPr>
        <w:t>het resultaat van de aanbouw zijn dat het oude gebouw en de aanbouw samen (hierna: het complex) als één nieuw ver</w:t>
      </w:r>
      <w:r w:rsidR="001D23D7" w:rsidRPr="00484DAF">
        <w:rPr>
          <w:sz w:val="24"/>
          <w:szCs w:val="24"/>
        </w:rPr>
        <w:t xml:space="preserve">vaardigd goed worden aangemerkt. Eigenlijk is dan </w:t>
      </w:r>
      <w:r w:rsidR="001D23D7" w:rsidRPr="00484DAF">
        <w:rPr>
          <w:sz w:val="24"/>
          <w:szCs w:val="24"/>
        </w:rPr>
        <w:lastRenderedPageBreak/>
        <w:t>sprake van verbouwing van het oorspronkelijke onroerend goed en gelden de in voorgaande paragrafen uiteengezette criteria.</w:t>
      </w:r>
      <w:r w:rsidR="001B00FF" w:rsidRPr="00484DAF">
        <w:rPr>
          <w:sz w:val="24"/>
          <w:szCs w:val="24"/>
        </w:rPr>
        <w:t xml:space="preserve"> </w:t>
      </w:r>
      <w:r w:rsidR="00C61CA2" w:rsidRPr="00484DAF">
        <w:rPr>
          <w:sz w:val="24"/>
          <w:szCs w:val="24"/>
        </w:rPr>
        <w:t>Ten derde</w:t>
      </w:r>
      <w:r w:rsidR="001A7375" w:rsidRPr="00484DAF">
        <w:rPr>
          <w:sz w:val="24"/>
          <w:szCs w:val="24"/>
        </w:rPr>
        <w:t xml:space="preserve"> kan</w:t>
      </w:r>
      <w:r w:rsidR="00C61CA2" w:rsidRPr="00484DAF">
        <w:rPr>
          <w:sz w:val="24"/>
          <w:szCs w:val="24"/>
        </w:rPr>
        <w:t>,</w:t>
      </w:r>
      <w:r w:rsidR="001A7375" w:rsidRPr="00484DAF">
        <w:rPr>
          <w:sz w:val="24"/>
          <w:szCs w:val="24"/>
        </w:rPr>
        <w:t xml:space="preserve"> ondanks het feit dat de aanbouw geen zelfstandigheid vormt binnen het complex</w:t>
      </w:r>
      <w:r w:rsidR="001B00FF" w:rsidRPr="00484DAF">
        <w:rPr>
          <w:sz w:val="24"/>
          <w:szCs w:val="24"/>
        </w:rPr>
        <w:t>,</w:t>
      </w:r>
      <w:r w:rsidR="001A7375" w:rsidRPr="00484DAF">
        <w:rPr>
          <w:sz w:val="24"/>
          <w:szCs w:val="24"/>
        </w:rPr>
        <w:t xml:space="preserve"> een dusdanige mate van eigen (economische) zelfstandigheid </w:t>
      </w:r>
      <w:r w:rsidR="001B00FF" w:rsidRPr="00484DAF">
        <w:rPr>
          <w:sz w:val="24"/>
          <w:szCs w:val="24"/>
        </w:rPr>
        <w:t xml:space="preserve">aan de aanbouw </w:t>
      </w:r>
      <w:r w:rsidR="001A7375" w:rsidRPr="00484DAF">
        <w:rPr>
          <w:sz w:val="24"/>
          <w:szCs w:val="24"/>
        </w:rPr>
        <w:t>worden toegekend</w:t>
      </w:r>
      <w:r w:rsidR="000B756A" w:rsidRPr="00484DAF">
        <w:rPr>
          <w:sz w:val="24"/>
          <w:szCs w:val="24"/>
        </w:rPr>
        <w:t>,</w:t>
      </w:r>
      <w:r w:rsidR="001A7375" w:rsidRPr="00484DAF">
        <w:rPr>
          <w:sz w:val="24"/>
          <w:szCs w:val="24"/>
        </w:rPr>
        <w:t xml:space="preserve"> dat voor de omzetbelasting sprake is van vervaardiging van een nieuw goed.</w:t>
      </w:r>
      <w:r w:rsidR="00C27ACD" w:rsidRPr="00484DAF">
        <w:rPr>
          <w:sz w:val="24"/>
          <w:szCs w:val="24"/>
        </w:rPr>
        <w:t xml:space="preserve"> In de literatuur wordt ter verduidelijking van deze variant de uitspraak van Hof Den Bosch daterende</w:t>
      </w:r>
      <w:r w:rsidR="001A7375" w:rsidRPr="00484DAF">
        <w:rPr>
          <w:sz w:val="24"/>
          <w:szCs w:val="24"/>
        </w:rPr>
        <w:t xml:space="preserve"> </w:t>
      </w:r>
      <w:r w:rsidR="00C27ACD" w:rsidRPr="00484DAF">
        <w:rPr>
          <w:sz w:val="24"/>
          <w:szCs w:val="24"/>
        </w:rPr>
        <w:t>15 augustus 2003 aangehaald.</w:t>
      </w:r>
      <w:r w:rsidR="00C27ACD" w:rsidRPr="00484DAF">
        <w:rPr>
          <w:rStyle w:val="Voetnootmarkering"/>
          <w:sz w:val="24"/>
          <w:szCs w:val="24"/>
        </w:rPr>
        <w:footnoteReference w:id="146"/>
      </w:r>
      <w:r w:rsidR="00C27ACD" w:rsidRPr="00484DAF">
        <w:rPr>
          <w:sz w:val="24"/>
          <w:szCs w:val="24"/>
        </w:rPr>
        <w:t xml:space="preserve"> </w:t>
      </w:r>
      <w:r w:rsidR="002D18BE" w:rsidRPr="00484DAF">
        <w:rPr>
          <w:sz w:val="24"/>
          <w:szCs w:val="24"/>
        </w:rPr>
        <w:t>Een zelfstandige fysiotherapeut heeft zijn eerder aa</w:t>
      </w:r>
      <w:r w:rsidR="000B756A" w:rsidRPr="00484DAF">
        <w:rPr>
          <w:sz w:val="24"/>
          <w:szCs w:val="24"/>
        </w:rPr>
        <w:t>ngekochte woonhuis met garage l</w:t>
      </w:r>
      <w:r w:rsidR="002D18BE" w:rsidRPr="00484DAF">
        <w:rPr>
          <w:sz w:val="24"/>
          <w:szCs w:val="24"/>
        </w:rPr>
        <w:t>at</w:t>
      </w:r>
      <w:r w:rsidR="000B756A" w:rsidRPr="00484DAF">
        <w:rPr>
          <w:sz w:val="24"/>
          <w:szCs w:val="24"/>
        </w:rPr>
        <w:t>en</w:t>
      </w:r>
      <w:r w:rsidR="002D18BE" w:rsidRPr="00484DAF">
        <w:rPr>
          <w:sz w:val="24"/>
          <w:szCs w:val="24"/>
        </w:rPr>
        <w:t xml:space="preserve"> verbouwen tot een woon/praktijkpand. Daarbij is de garage gesloopt waarna de vrijgekomen grond is bebouwd met een praktijkruimte, welke bestond uit een entree (eigen toegang voor patiënten, maar voor de therapeut bereikbaar vanuit de eigen woning), een hal met receptie en drie behandelkamers (waarvan één tevens dienstdoende als spreekkamer). </w:t>
      </w:r>
      <w:r w:rsidR="00345439" w:rsidRPr="00484DAF">
        <w:rPr>
          <w:sz w:val="24"/>
          <w:szCs w:val="24"/>
        </w:rPr>
        <w:t xml:space="preserve">In geschil was of door de bouw van de praktijkruimte een nieuw goed was vervaardigd. Het Hof weet deze vraag bevestigend te beantwoorden, waarbij sprake is van vervaardiging van een goed als onderdeel van een complex waarbij het onderdeel een zekere zelfstandigheid bezit. Tot deze conclusie wordt gekomen doordat </w:t>
      </w:r>
      <w:r w:rsidR="000B756A" w:rsidRPr="00484DAF">
        <w:rPr>
          <w:sz w:val="24"/>
          <w:szCs w:val="24"/>
        </w:rPr>
        <w:t xml:space="preserve">gebruik van het </w:t>
      </w:r>
      <w:r w:rsidR="00345439" w:rsidRPr="00484DAF">
        <w:rPr>
          <w:sz w:val="24"/>
          <w:szCs w:val="24"/>
        </w:rPr>
        <w:t>praktijkgedeelte</w:t>
      </w:r>
      <w:r w:rsidR="000B756A" w:rsidRPr="00484DAF">
        <w:rPr>
          <w:sz w:val="24"/>
          <w:szCs w:val="24"/>
        </w:rPr>
        <w:t>,</w:t>
      </w:r>
      <w:r w:rsidR="00345439" w:rsidRPr="00484DAF">
        <w:rPr>
          <w:sz w:val="24"/>
          <w:szCs w:val="24"/>
        </w:rPr>
        <w:t xml:space="preserve"> gezien </w:t>
      </w:r>
      <w:r w:rsidR="000B756A" w:rsidRPr="00484DAF">
        <w:rPr>
          <w:sz w:val="24"/>
          <w:szCs w:val="24"/>
        </w:rPr>
        <w:t xml:space="preserve">de </w:t>
      </w:r>
      <w:r w:rsidR="00345439" w:rsidRPr="00484DAF">
        <w:rPr>
          <w:sz w:val="24"/>
          <w:szCs w:val="24"/>
        </w:rPr>
        <w:t>bouw(tekening) en inrichting als één geheel</w:t>
      </w:r>
      <w:r w:rsidR="000B756A" w:rsidRPr="00484DAF">
        <w:rPr>
          <w:sz w:val="24"/>
          <w:szCs w:val="24"/>
        </w:rPr>
        <w:t>,</w:t>
      </w:r>
      <w:r w:rsidR="00345439" w:rsidRPr="00484DAF">
        <w:rPr>
          <w:sz w:val="24"/>
          <w:szCs w:val="24"/>
        </w:rPr>
        <w:t xml:space="preserve"> los van het woonhuis</w:t>
      </w:r>
      <w:r w:rsidR="000B756A" w:rsidRPr="00484DAF">
        <w:rPr>
          <w:sz w:val="24"/>
          <w:szCs w:val="24"/>
        </w:rPr>
        <w:t xml:space="preserve"> wordt</w:t>
      </w:r>
      <w:r w:rsidR="00345439" w:rsidRPr="00484DAF">
        <w:rPr>
          <w:sz w:val="24"/>
          <w:szCs w:val="24"/>
        </w:rPr>
        <w:t xml:space="preserve"> </w:t>
      </w:r>
      <w:r w:rsidR="009C7943" w:rsidRPr="00484DAF">
        <w:rPr>
          <w:sz w:val="24"/>
          <w:szCs w:val="24"/>
        </w:rPr>
        <w:t>ge</w:t>
      </w:r>
      <w:r w:rsidR="00345439" w:rsidRPr="00484DAF">
        <w:rPr>
          <w:sz w:val="24"/>
          <w:szCs w:val="24"/>
        </w:rPr>
        <w:t>rechtvaardig</w:t>
      </w:r>
      <w:r w:rsidR="009C7943" w:rsidRPr="00484DAF">
        <w:rPr>
          <w:sz w:val="24"/>
          <w:szCs w:val="24"/>
        </w:rPr>
        <w:t>d</w:t>
      </w:r>
      <w:r w:rsidR="00345439" w:rsidRPr="00484DAF">
        <w:rPr>
          <w:sz w:val="24"/>
          <w:szCs w:val="24"/>
        </w:rPr>
        <w:t xml:space="preserve">. </w:t>
      </w:r>
      <w:r w:rsidR="00D50C0C" w:rsidRPr="00484DAF">
        <w:rPr>
          <w:sz w:val="24"/>
          <w:szCs w:val="24"/>
        </w:rPr>
        <w:t>In dezen is een goed vervaardigd dat tevoren niet bestond, doordat het praktijkgedeelte een eigen toegang heeft en tevens geen samenhang</w:t>
      </w:r>
      <w:r w:rsidR="00A30FBA" w:rsidRPr="00484DAF">
        <w:rPr>
          <w:sz w:val="24"/>
          <w:szCs w:val="24"/>
        </w:rPr>
        <w:t xml:space="preserve"> </w:t>
      </w:r>
      <w:r w:rsidR="00D50C0C" w:rsidRPr="00484DAF">
        <w:rPr>
          <w:sz w:val="24"/>
          <w:szCs w:val="24"/>
        </w:rPr>
        <w:t xml:space="preserve">kent voor wat betreft het </w:t>
      </w:r>
      <w:r w:rsidR="00345439" w:rsidRPr="00484DAF">
        <w:rPr>
          <w:sz w:val="24"/>
          <w:szCs w:val="24"/>
        </w:rPr>
        <w:t xml:space="preserve">gebruik, </w:t>
      </w:r>
      <w:r w:rsidR="00D50C0C" w:rsidRPr="00484DAF">
        <w:rPr>
          <w:sz w:val="24"/>
          <w:szCs w:val="24"/>
        </w:rPr>
        <w:t xml:space="preserve">de </w:t>
      </w:r>
      <w:r w:rsidR="00345439" w:rsidRPr="00484DAF">
        <w:rPr>
          <w:sz w:val="24"/>
          <w:szCs w:val="24"/>
        </w:rPr>
        <w:t xml:space="preserve">bouw en inrichting </w:t>
      </w:r>
      <w:r w:rsidR="00D50C0C" w:rsidRPr="00484DAF">
        <w:rPr>
          <w:sz w:val="24"/>
          <w:szCs w:val="24"/>
        </w:rPr>
        <w:t>van het woonhuis.</w:t>
      </w:r>
      <w:r w:rsidR="008B3A8E" w:rsidRPr="00484DAF">
        <w:rPr>
          <w:rStyle w:val="Voetnootmarkering"/>
          <w:sz w:val="24"/>
          <w:szCs w:val="24"/>
        </w:rPr>
        <w:t xml:space="preserve"> </w:t>
      </w:r>
      <w:r w:rsidR="008B3A8E" w:rsidRPr="00484DAF">
        <w:rPr>
          <w:rStyle w:val="Voetnootmarkering"/>
          <w:sz w:val="24"/>
          <w:szCs w:val="24"/>
        </w:rPr>
        <w:footnoteReference w:id="147"/>
      </w:r>
    </w:p>
    <w:p w:rsidR="00557A1F" w:rsidRPr="00484DAF" w:rsidRDefault="00557A1F" w:rsidP="00CC552D">
      <w:pPr>
        <w:pStyle w:val="Geenafstand"/>
        <w:spacing w:line="360" w:lineRule="auto"/>
        <w:rPr>
          <w:sz w:val="24"/>
          <w:szCs w:val="24"/>
        </w:rPr>
      </w:pPr>
    </w:p>
    <w:p w:rsidR="00B74684" w:rsidRPr="00484DAF" w:rsidRDefault="005776E8" w:rsidP="00CC552D">
      <w:pPr>
        <w:pStyle w:val="Kop4"/>
        <w:spacing w:before="0" w:line="360" w:lineRule="auto"/>
        <w:rPr>
          <w:rFonts w:ascii="Times New Roman" w:hAnsi="Times New Roman"/>
          <w:i w:val="0"/>
          <w:color w:val="auto"/>
          <w:sz w:val="24"/>
          <w:szCs w:val="24"/>
        </w:rPr>
      </w:pPr>
      <w:r w:rsidRPr="00484DAF">
        <w:rPr>
          <w:rFonts w:ascii="Times New Roman" w:hAnsi="Times New Roman"/>
          <w:i w:val="0"/>
          <w:color w:val="auto"/>
          <w:sz w:val="24"/>
          <w:szCs w:val="24"/>
        </w:rPr>
        <w:t>3.3.2</w:t>
      </w:r>
      <w:r w:rsidR="00B74684" w:rsidRPr="00484DAF">
        <w:rPr>
          <w:rFonts w:ascii="Times New Roman" w:hAnsi="Times New Roman"/>
          <w:i w:val="0"/>
          <w:color w:val="auto"/>
          <w:sz w:val="24"/>
          <w:szCs w:val="24"/>
        </w:rPr>
        <w:t>.3.3 Normale verbouwing</w:t>
      </w:r>
    </w:p>
    <w:p w:rsidR="00CF2D55" w:rsidRPr="00484DAF" w:rsidRDefault="00404BA4" w:rsidP="00CC552D">
      <w:pPr>
        <w:spacing w:after="0" w:line="360" w:lineRule="auto"/>
        <w:rPr>
          <w:sz w:val="24"/>
          <w:szCs w:val="24"/>
        </w:rPr>
      </w:pPr>
      <w:r w:rsidRPr="00484DAF">
        <w:rPr>
          <w:sz w:val="24"/>
          <w:szCs w:val="24"/>
        </w:rPr>
        <w:t xml:space="preserve">Tot slot, is ook mogelijk dat het resultaat van de aanbouw </w:t>
      </w:r>
      <w:r w:rsidR="008043BF" w:rsidRPr="00484DAF">
        <w:rPr>
          <w:sz w:val="24"/>
          <w:szCs w:val="24"/>
        </w:rPr>
        <w:t xml:space="preserve">er </w:t>
      </w:r>
      <w:r w:rsidRPr="00484DAF">
        <w:rPr>
          <w:sz w:val="24"/>
          <w:szCs w:val="24"/>
        </w:rPr>
        <w:t xml:space="preserve">niet </w:t>
      </w:r>
      <w:r w:rsidR="008043BF" w:rsidRPr="00484DAF">
        <w:rPr>
          <w:sz w:val="24"/>
          <w:szCs w:val="24"/>
        </w:rPr>
        <w:t>toe leidt dat het complex als nieuw vervaardigd wordt aangemerkt</w:t>
      </w:r>
      <w:r w:rsidR="001A7375" w:rsidRPr="00484DAF">
        <w:rPr>
          <w:sz w:val="24"/>
          <w:szCs w:val="24"/>
        </w:rPr>
        <w:t xml:space="preserve"> noch de aanbouw leidt tot zekere zelfstandigheid binnen het complex.</w:t>
      </w:r>
      <w:r w:rsidR="008043BF" w:rsidRPr="00484DAF">
        <w:rPr>
          <w:sz w:val="24"/>
          <w:szCs w:val="24"/>
        </w:rPr>
        <w:t xml:space="preserve"> </w:t>
      </w:r>
      <w:r w:rsidR="00DE7E5A" w:rsidRPr="00484DAF">
        <w:rPr>
          <w:sz w:val="24"/>
          <w:szCs w:val="24"/>
        </w:rPr>
        <w:t>Ook in deze</w:t>
      </w:r>
      <w:r w:rsidR="001127D3" w:rsidRPr="00484DAF">
        <w:rPr>
          <w:sz w:val="24"/>
          <w:szCs w:val="24"/>
        </w:rPr>
        <w:t>n</w:t>
      </w:r>
      <w:r w:rsidR="00DE7E5A" w:rsidRPr="00484DAF">
        <w:rPr>
          <w:sz w:val="24"/>
          <w:szCs w:val="24"/>
        </w:rPr>
        <w:t xml:space="preserve"> is de vergelijking met “normale verbouwing” van toepassing. Met betrekking tot dit deelonderwerp zijn twee uitspraken interessant. Ten eerste het arrest van 23 oktober 1991.</w:t>
      </w:r>
      <w:r w:rsidR="001127D3" w:rsidRPr="00484DAF">
        <w:rPr>
          <w:rStyle w:val="Voetnootmarkering"/>
          <w:sz w:val="24"/>
          <w:szCs w:val="24"/>
        </w:rPr>
        <w:footnoteReference w:id="148"/>
      </w:r>
      <w:r w:rsidR="00DE7E5A" w:rsidRPr="00484DAF">
        <w:rPr>
          <w:sz w:val="24"/>
          <w:szCs w:val="24"/>
        </w:rPr>
        <w:t xml:space="preserve"> </w:t>
      </w:r>
      <w:r w:rsidR="000204E9" w:rsidRPr="00484DAF">
        <w:rPr>
          <w:sz w:val="24"/>
          <w:szCs w:val="24"/>
        </w:rPr>
        <w:t xml:space="preserve">In casu was uit veiligheidsoverwegingen een (nood)trappenhuis gebouwd aan de zijkant van een flatgebouw. Het trappenhuis was net zo hoog als het flatgebouw en enkel vanuit de flat te bereiken, waarbij elke verdieping toegang had </w:t>
      </w:r>
      <w:r w:rsidR="0020569A" w:rsidRPr="00484DAF">
        <w:rPr>
          <w:sz w:val="24"/>
          <w:szCs w:val="24"/>
        </w:rPr>
        <w:t xml:space="preserve">tot de betonnen </w:t>
      </w:r>
      <w:r w:rsidR="0020569A" w:rsidRPr="00484DAF">
        <w:rPr>
          <w:sz w:val="24"/>
          <w:szCs w:val="24"/>
        </w:rPr>
        <w:lastRenderedPageBreak/>
        <w:t>noodvoorziening</w:t>
      </w:r>
      <w:r w:rsidR="000204E9" w:rsidRPr="00484DAF">
        <w:rPr>
          <w:sz w:val="24"/>
          <w:szCs w:val="24"/>
        </w:rPr>
        <w:t xml:space="preserve"> die enkele meters van het gebouw was opgericht. </w:t>
      </w:r>
      <w:r w:rsidR="001F5C9E" w:rsidRPr="00484DAF">
        <w:rPr>
          <w:sz w:val="24"/>
          <w:szCs w:val="24"/>
        </w:rPr>
        <w:t>In geschil was niet of door de bouw van het noodtrappenhuis het complex van het oorspronkelijke flatgebouw en het trappenhuis tezamen tot een nieuw vervaardigd goed hebben geleid. In geding was wel of het noodtrappenhuis an sich als nieuw vervaardigd kon worden bestempeld. Aangezien</w:t>
      </w:r>
      <w:r w:rsidR="0020569A" w:rsidRPr="00484DAF">
        <w:rPr>
          <w:sz w:val="24"/>
          <w:szCs w:val="24"/>
        </w:rPr>
        <w:t xml:space="preserve"> </w:t>
      </w:r>
      <w:r w:rsidR="001F5C9E" w:rsidRPr="00484DAF">
        <w:rPr>
          <w:sz w:val="24"/>
          <w:szCs w:val="24"/>
        </w:rPr>
        <w:t xml:space="preserve">de bouw van het noodtrappenhuis geen zelfstandig onroerend goed heeft doen ontstaan en eveneens niet </w:t>
      </w:r>
      <w:r w:rsidR="0020569A" w:rsidRPr="00484DAF">
        <w:rPr>
          <w:sz w:val="24"/>
          <w:szCs w:val="24"/>
        </w:rPr>
        <w:t xml:space="preserve">kan worden </w:t>
      </w:r>
      <w:r w:rsidR="001F5C9E" w:rsidRPr="00484DAF">
        <w:rPr>
          <w:sz w:val="24"/>
          <w:szCs w:val="24"/>
        </w:rPr>
        <w:t xml:space="preserve">gesproken van een onroerend goed binnen het complex dat een zekere zelfstandigheid </w:t>
      </w:r>
      <w:r w:rsidR="0020569A" w:rsidRPr="00484DAF">
        <w:rPr>
          <w:sz w:val="24"/>
          <w:szCs w:val="24"/>
        </w:rPr>
        <w:t>bezit</w:t>
      </w:r>
      <w:r w:rsidR="001F5C9E" w:rsidRPr="00484DAF">
        <w:rPr>
          <w:sz w:val="24"/>
          <w:szCs w:val="24"/>
        </w:rPr>
        <w:t>, wordt vervaardiging hier niet aangenomen.</w:t>
      </w:r>
      <w:r w:rsidR="0020569A" w:rsidRPr="00484DAF">
        <w:rPr>
          <w:rStyle w:val="Voetnootmarkering"/>
          <w:sz w:val="24"/>
          <w:szCs w:val="24"/>
        </w:rPr>
        <w:t xml:space="preserve"> </w:t>
      </w:r>
      <w:r w:rsidR="0020569A" w:rsidRPr="00484DAF">
        <w:rPr>
          <w:rStyle w:val="Voetnootmarkering"/>
          <w:sz w:val="24"/>
          <w:szCs w:val="24"/>
        </w:rPr>
        <w:footnoteReference w:id="149"/>
      </w:r>
      <w:r w:rsidR="001F5C9E" w:rsidRPr="00484DAF">
        <w:rPr>
          <w:sz w:val="24"/>
          <w:szCs w:val="24"/>
        </w:rPr>
        <w:t xml:space="preserve"> Deze onzelfstandigheid volgt uit het feit dat het noodtrappenhuis zelf geen eigen functie heeft en bovendien onmiddellijk en uitsluitend dienstbaar </w:t>
      </w:r>
      <w:r w:rsidR="00CF2D55" w:rsidRPr="00484DAF">
        <w:rPr>
          <w:sz w:val="24"/>
          <w:szCs w:val="24"/>
        </w:rPr>
        <w:t xml:space="preserve">is </w:t>
      </w:r>
      <w:r w:rsidR="001F5C9E" w:rsidRPr="00484DAF">
        <w:rPr>
          <w:sz w:val="24"/>
          <w:szCs w:val="24"/>
        </w:rPr>
        <w:t xml:space="preserve">aan het </w:t>
      </w:r>
      <w:r w:rsidR="00CF2D55" w:rsidRPr="00484DAF">
        <w:rPr>
          <w:sz w:val="24"/>
          <w:szCs w:val="24"/>
        </w:rPr>
        <w:t xml:space="preserve">flatgebouw. Daarbij wordt geen verschil gemaakt tussen </w:t>
      </w:r>
      <w:r w:rsidR="0020569A" w:rsidRPr="00484DAF">
        <w:rPr>
          <w:sz w:val="24"/>
          <w:szCs w:val="24"/>
        </w:rPr>
        <w:t>e</w:t>
      </w:r>
      <w:r w:rsidR="00CF2D55" w:rsidRPr="00484DAF">
        <w:rPr>
          <w:sz w:val="24"/>
          <w:szCs w:val="24"/>
        </w:rPr>
        <w:t>en uitwendig noodtrappenhuis en een binnen het gebouw aangelegde (nood)trappenhuis.</w:t>
      </w:r>
    </w:p>
    <w:p w:rsidR="00557A1F" w:rsidRPr="00484DAF" w:rsidRDefault="00557A1F" w:rsidP="00CC552D">
      <w:pPr>
        <w:pStyle w:val="Geenafstand"/>
        <w:spacing w:line="360" w:lineRule="auto"/>
        <w:rPr>
          <w:sz w:val="24"/>
          <w:szCs w:val="24"/>
        </w:rPr>
      </w:pPr>
    </w:p>
    <w:p w:rsidR="00882B10" w:rsidRPr="00484DAF" w:rsidRDefault="008043BF" w:rsidP="00CC552D">
      <w:pPr>
        <w:pStyle w:val="Geenafstand"/>
        <w:spacing w:line="360" w:lineRule="auto"/>
        <w:rPr>
          <w:sz w:val="24"/>
          <w:szCs w:val="24"/>
        </w:rPr>
      </w:pPr>
      <w:r w:rsidRPr="00484DAF">
        <w:rPr>
          <w:sz w:val="24"/>
          <w:szCs w:val="24"/>
        </w:rPr>
        <w:t>Waar de grens ligt</w:t>
      </w:r>
      <w:r w:rsidR="000204E9" w:rsidRPr="00484DAF">
        <w:rPr>
          <w:sz w:val="24"/>
          <w:szCs w:val="24"/>
        </w:rPr>
        <w:t xml:space="preserve"> tussen aanbouw en verbouwing</w:t>
      </w:r>
      <w:r w:rsidRPr="00484DAF">
        <w:rPr>
          <w:sz w:val="24"/>
          <w:szCs w:val="24"/>
        </w:rPr>
        <w:t xml:space="preserve"> </w:t>
      </w:r>
      <w:r w:rsidR="00A30FBA" w:rsidRPr="00484DAF">
        <w:rPr>
          <w:sz w:val="24"/>
          <w:szCs w:val="24"/>
        </w:rPr>
        <w:t xml:space="preserve">in combinatie met onzelfstandigheid </w:t>
      </w:r>
      <w:r w:rsidRPr="00484DAF">
        <w:rPr>
          <w:sz w:val="24"/>
          <w:szCs w:val="24"/>
        </w:rPr>
        <w:t>is lastig te peilen. Zo</w:t>
      </w:r>
      <w:r w:rsidR="00A30FBA" w:rsidRPr="00484DAF">
        <w:rPr>
          <w:sz w:val="24"/>
          <w:szCs w:val="24"/>
        </w:rPr>
        <w:t xml:space="preserve"> heeft</w:t>
      </w:r>
      <w:r w:rsidRPr="00484DAF">
        <w:rPr>
          <w:sz w:val="24"/>
          <w:szCs w:val="24"/>
        </w:rPr>
        <w:t xml:space="preserve"> Hof Leeuwarden</w:t>
      </w:r>
      <w:r w:rsidRPr="00484DAF">
        <w:rPr>
          <w:rStyle w:val="Voetnootmarkering"/>
          <w:sz w:val="24"/>
          <w:szCs w:val="24"/>
        </w:rPr>
        <w:footnoteReference w:id="150"/>
      </w:r>
      <w:r w:rsidR="001D23D7" w:rsidRPr="00484DAF">
        <w:rPr>
          <w:sz w:val="24"/>
          <w:szCs w:val="24"/>
        </w:rPr>
        <w:t xml:space="preserve"> onzelfstandigheid </w:t>
      </w:r>
      <w:r w:rsidRPr="00484DAF">
        <w:rPr>
          <w:sz w:val="24"/>
          <w:szCs w:val="24"/>
        </w:rPr>
        <w:t xml:space="preserve">geoordeeld inzake </w:t>
      </w:r>
      <w:r w:rsidR="00BF2C5E" w:rsidRPr="00484DAF">
        <w:rPr>
          <w:sz w:val="24"/>
          <w:szCs w:val="24"/>
        </w:rPr>
        <w:t xml:space="preserve">de verbouwing van een gemeentehuis waarbij (gemeten naar vloeroppervlakte) de helft van het oorspronkelijke gemeentehuis in stand is gebleven, waaronder het prominente hoofdgebouw. </w:t>
      </w:r>
      <w:r w:rsidR="0080618C" w:rsidRPr="00484DAF">
        <w:rPr>
          <w:sz w:val="24"/>
          <w:szCs w:val="24"/>
        </w:rPr>
        <w:t xml:space="preserve">Dit gedeelte maakt na de verbouwing nog slechts een derde deel uit van het nieuwe gemeentehuis, waarbij het hoofdgebouw diens functie behield. </w:t>
      </w:r>
      <w:r w:rsidR="00A109C8" w:rsidRPr="00484DAF">
        <w:rPr>
          <w:sz w:val="24"/>
          <w:szCs w:val="24"/>
        </w:rPr>
        <w:t xml:space="preserve">Het Hof </w:t>
      </w:r>
      <w:r w:rsidR="0080618C" w:rsidRPr="00484DAF">
        <w:rPr>
          <w:sz w:val="24"/>
          <w:szCs w:val="24"/>
        </w:rPr>
        <w:t xml:space="preserve">oordeelde dat de </w:t>
      </w:r>
      <w:r w:rsidR="0013230C" w:rsidRPr="00484DAF">
        <w:rPr>
          <w:sz w:val="24"/>
          <w:szCs w:val="24"/>
        </w:rPr>
        <w:t>bouwwerkzaamheden diene</w:t>
      </w:r>
      <w:r w:rsidR="00A109C8" w:rsidRPr="00484DAF">
        <w:rPr>
          <w:sz w:val="24"/>
          <w:szCs w:val="24"/>
        </w:rPr>
        <w:t>n te worden gezien als aanbouw v</w:t>
      </w:r>
      <w:r w:rsidR="0013230C" w:rsidRPr="00484DAF">
        <w:rPr>
          <w:sz w:val="24"/>
          <w:szCs w:val="24"/>
        </w:rPr>
        <w:t>an het hoofdgebouw. Het nieuwe onroerend goed kon nog steeds worden vereen</w:t>
      </w:r>
      <w:r w:rsidR="00A30FBA" w:rsidRPr="00484DAF">
        <w:rPr>
          <w:sz w:val="24"/>
          <w:szCs w:val="24"/>
        </w:rPr>
        <w:t xml:space="preserve">zelvigd met het oorspronkelijke </w:t>
      </w:r>
      <w:r w:rsidR="0013230C" w:rsidRPr="00484DAF">
        <w:rPr>
          <w:sz w:val="24"/>
          <w:szCs w:val="24"/>
        </w:rPr>
        <w:t>gemeentehuis waardoor ge</w:t>
      </w:r>
      <w:r w:rsidR="00A30FBA" w:rsidRPr="00484DAF">
        <w:rPr>
          <w:sz w:val="24"/>
          <w:szCs w:val="24"/>
        </w:rPr>
        <w:t>en sprake is van vervaardiging, aldus het Hof.</w:t>
      </w:r>
      <w:r w:rsidR="00A30FBA" w:rsidRPr="00484DAF">
        <w:rPr>
          <w:rStyle w:val="Voetnootmarkering"/>
          <w:sz w:val="24"/>
          <w:szCs w:val="24"/>
        </w:rPr>
        <w:footnoteReference w:id="151"/>
      </w:r>
    </w:p>
    <w:p w:rsidR="00557A1F" w:rsidRPr="00484DAF" w:rsidRDefault="00557A1F" w:rsidP="00CC552D">
      <w:pPr>
        <w:pStyle w:val="Geenafstand"/>
        <w:spacing w:line="360" w:lineRule="auto"/>
        <w:rPr>
          <w:sz w:val="24"/>
          <w:szCs w:val="24"/>
        </w:rPr>
      </w:pPr>
    </w:p>
    <w:p w:rsidR="00D72F44" w:rsidRPr="00484DAF" w:rsidRDefault="005776E8" w:rsidP="00CC552D">
      <w:pPr>
        <w:pStyle w:val="Kop3"/>
        <w:spacing w:before="0" w:line="360" w:lineRule="auto"/>
        <w:rPr>
          <w:rFonts w:ascii="Times New Roman" w:hAnsi="Times New Roman"/>
          <w:color w:val="auto"/>
          <w:sz w:val="24"/>
          <w:szCs w:val="24"/>
        </w:rPr>
      </w:pPr>
      <w:bookmarkStart w:id="68" w:name="_Toc254043922"/>
      <w:r w:rsidRPr="00484DAF">
        <w:rPr>
          <w:rFonts w:ascii="Times New Roman" w:hAnsi="Times New Roman"/>
          <w:color w:val="auto"/>
          <w:sz w:val="24"/>
          <w:szCs w:val="24"/>
        </w:rPr>
        <w:t>3.3.2</w:t>
      </w:r>
      <w:r w:rsidR="00B93974" w:rsidRPr="00484DAF">
        <w:rPr>
          <w:rFonts w:ascii="Times New Roman" w:hAnsi="Times New Roman"/>
          <w:color w:val="auto"/>
          <w:sz w:val="24"/>
          <w:szCs w:val="24"/>
        </w:rPr>
        <w:t>.4</w:t>
      </w:r>
      <w:r w:rsidR="00D72F44" w:rsidRPr="00484DAF">
        <w:rPr>
          <w:rFonts w:ascii="Times New Roman" w:hAnsi="Times New Roman"/>
          <w:color w:val="auto"/>
          <w:sz w:val="24"/>
          <w:szCs w:val="24"/>
        </w:rPr>
        <w:t xml:space="preserve"> Opbouw</w:t>
      </w:r>
      <w:r w:rsidR="00702567" w:rsidRPr="00484DAF">
        <w:rPr>
          <w:rFonts w:ascii="Times New Roman" w:hAnsi="Times New Roman"/>
          <w:color w:val="auto"/>
          <w:sz w:val="24"/>
          <w:szCs w:val="24"/>
        </w:rPr>
        <w:t>/</w:t>
      </w:r>
      <w:r w:rsidR="00A30FBA" w:rsidRPr="00484DAF">
        <w:rPr>
          <w:rFonts w:ascii="Times New Roman" w:hAnsi="Times New Roman"/>
          <w:color w:val="auto"/>
          <w:sz w:val="24"/>
          <w:szCs w:val="24"/>
        </w:rPr>
        <w:t>“</w:t>
      </w:r>
      <w:r w:rsidR="00702567" w:rsidRPr="00484DAF">
        <w:rPr>
          <w:rFonts w:ascii="Times New Roman" w:hAnsi="Times New Roman"/>
          <w:color w:val="auto"/>
          <w:sz w:val="24"/>
          <w:szCs w:val="24"/>
        </w:rPr>
        <w:t>Onderbouw</w:t>
      </w:r>
      <w:r w:rsidR="00A30FBA" w:rsidRPr="00484DAF">
        <w:rPr>
          <w:rFonts w:ascii="Times New Roman" w:hAnsi="Times New Roman"/>
          <w:color w:val="auto"/>
          <w:sz w:val="24"/>
          <w:szCs w:val="24"/>
        </w:rPr>
        <w:t>”</w:t>
      </w:r>
      <w:bookmarkEnd w:id="68"/>
    </w:p>
    <w:p w:rsidR="00D72F44" w:rsidRPr="00484DAF" w:rsidRDefault="001D4CFC" w:rsidP="00CC552D">
      <w:pPr>
        <w:spacing w:after="0" w:line="360" w:lineRule="auto"/>
        <w:rPr>
          <w:sz w:val="24"/>
          <w:szCs w:val="24"/>
        </w:rPr>
      </w:pPr>
      <w:r w:rsidRPr="00484DAF">
        <w:rPr>
          <w:i/>
          <w:sz w:val="24"/>
          <w:szCs w:val="24"/>
        </w:rPr>
        <w:t xml:space="preserve">Van </w:t>
      </w:r>
      <w:r w:rsidR="007F1812" w:rsidRPr="00484DAF">
        <w:rPr>
          <w:i/>
          <w:sz w:val="24"/>
          <w:szCs w:val="24"/>
        </w:rPr>
        <w:t xml:space="preserve">Straaten </w:t>
      </w:r>
      <w:r w:rsidR="007F1812" w:rsidRPr="00484DAF">
        <w:rPr>
          <w:sz w:val="24"/>
          <w:szCs w:val="24"/>
        </w:rPr>
        <w:t xml:space="preserve">zwengelt een interessante discussie </w:t>
      </w:r>
      <w:r w:rsidR="00B07B3F" w:rsidRPr="00484DAF">
        <w:rPr>
          <w:sz w:val="24"/>
          <w:szCs w:val="24"/>
        </w:rPr>
        <w:t xml:space="preserve">aan </w:t>
      </w:r>
      <w:r w:rsidR="007F1812" w:rsidRPr="00484DAF">
        <w:rPr>
          <w:sz w:val="24"/>
          <w:szCs w:val="24"/>
        </w:rPr>
        <w:t>in zijn vierluik</w:t>
      </w:r>
      <w:r w:rsidR="00C54EAA" w:rsidRPr="00484DAF">
        <w:rPr>
          <w:sz w:val="24"/>
          <w:szCs w:val="24"/>
        </w:rPr>
        <w:t>.</w:t>
      </w:r>
      <w:r w:rsidR="007F1812" w:rsidRPr="00484DAF">
        <w:rPr>
          <w:rStyle w:val="Voetnootmarkering"/>
          <w:sz w:val="24"/>
          <w:szCs w:val="24"/>
        </w:rPr>
        <w:footnoteReference w:id="152"/>
      </w:r>
      <w:r w:rsidR="00C54EAA" w:rsidRPr="00484DAF">
        <w:rPr>
          <w:sz w:val="24"/>
          <w:szCs w:val="24"/>
        </w:rPr>
        <w:t xml:space="preserve"> Hij vraagt zich af hoe de situatie dient te worden gekwalificeerd waarbij bovenop een bestaand gebouw een extra verdieping wordt gebouwd. In tegenstelling tot aanbouw wordt hier geen zelfstandig goed vervaardigd.</w:t>
      </w:r>
      <w:r w:rsidR="00E26C30" w:rsidRPr="00484DAF">
        <w:rPr>
          <w:rStyle w:val="Voetnootmarkering"/>
          <w:sz w:val="24"/>
          <w:szCs w:val="24"/>
        </w:rPr>
        <w:footnoteReference w:id="153"/>
      </w:r>
      <w:r w:rsidR="00C54EAA" w:rsidRPr="00484DAF">
        <w:rPr>
          <w:sz w:val="24"/>
          <w:szCs w:val="24"/>
        </w:rPr>
        <w:t xml:space="preserve"> Zodoende vormt de verdieping een onzelfstandig bestanddeel van het reeds bestaande gebouw.</w:t>
      </w:r>
      <w:r w:rsidR="00B07B3F" w:rsidRPr="00484DAF">
        <w:rPr>
          <w:sz w:val="24"/>
          <w:szCs w:val="24"/>
        </w:rPr>
        <w:t xml:space="preserve"> </w:t>
      </w:r>
      <w:r w:rsidR="00D10270" w:rsidRPr="00484DAF">
        <w:rPr>
          <w:sz w:val="24"/>
          <w:szCs w:val="24"/>
        </w:rPr>
        <w:t xml:space="preserve">Is hier dan sprake van verbouwing in de zin van artikel 11, lid 3 onderdeel b Wet OB 1968? Met </w:t>
      </w:r>
      <w:r w:rsidRPr="00484DAF">
        <w:rPr>
          <w:i/>
          <w:sz w:val="24"/>
          <w:szCs w:val="24"/>
        </w:rPr>
        <w:t xml:space="preserve">Van </w:t>
      </w:r>
      <w:r w:rsidR="00D10270" w:rsidRPr="00484DAF">
        <w:rPr>
          <w:i/>
          <w:sz w:val="24"/>
          <w:szCs w:val="24"/>
        </w:rPr>
        <w:t xml:space="preserve">Straaten </w:t>
      </w:r>
      <w:r w:rsidR="00D10270" w:rsidRPr="00484DAF">
        <w:rPr>
          <w:sz w:val="24"/>
          <w:szCs w:val="24"/>
        </w:rPr>
        <w:t>ben ik het</w:t>
      </w:r>
      <w:r w:rsidR="00DF563B" w:rsidRPr="00484DAF">
        <w:rPr>
          <w:sz w:val="24"/>
          <w:szCs w:val="24"/>
        </w:rPr>
        <w:t xml:space="preserve"> enerzijds</w:t>
      </w:r>
      <w:r w:rsidR="00D10270" w:rsidRPr="00484DAF">
        <w:rPr>
          <w:sz w:val="24"/>
          <w:szCs w:val="24"/>
        </w:rPr>
        <w:t xml:space="preserve"> eens dat door de opbouw een gebouw </w:t>
      </w:r>
      <w:r w:rsidR="00D10270" w:rsidRPr="00484DAF">
        <w:rPr>
          <w:sz w:val="24"/>
          <w:szCs w:val="24"/>
        </w:rPr>
        <w:lastRenderedPageBreak/>
        <w:t xml:space="preserve">is ontstaan dat tevoren niet </w:t>
      </w:r>
      <w:r w:rsidR="00E26C30" w:rsidRPr="00484DAF">
        <w:rPr>
          <w:sz w:val="24"/>
          <w:szCs w:val="24"/>
        </w:rPr>
        <w:t xml:space="preserve">bestond, waardoor sprake is van vervaardiging van onroerend goed. </w:t>
      </w:r>
      <w:r w:rsidR="00DF563B" w:rsidRPr="00484DAF">
        <w:rPr>
          <w:sz w:val="24"/>
          <w:szCs w:val="24"/>
        </w:rPr>
        <w:t xml:space="preserve">Anderzijds zou Hof Leeuwarden ten tijde van de </w:t>
      </w:r>
      <w:r w:rsidR="002846FC" w:rsidRPr="00484DAF">
        <w:rPr>
          <w:sz w:val="24"/>
          <w:szCs w:val="24"/>
        </w:rPr>
        <w:t xml:space="preserve">in vorige subparagraaf </w:t>
      </w:r>
      <w:r w:rsidR="00DF563B" w:rsidRPr="00484DAF">
        <w:rPr>
          <w:sz w:val="24"/>
          <w:szCs w:val="24"/>
        </w:rPr>
        <w:t xml:space="preserve">besproken uitspraak inzake het gemeentehuis wellicht beslissen dat ook </w:t>
      </w:r>
      <w:r w:rsidR="00D20D7B" w:rsidRPr="00484DAF">
        <w:rPr>
          <w:sz w:val="24"/>
          <w:szCs w:val="24"/>
        </w:rPr>
        <w:t>bij deze opbouw sprake is van ‘aanbouw’, omdat het nieuwe onroerend goed nog steeds kan worden vereenzelvigd met het oo</w:t>
      </w:r>
      <w:r w:rsidR="009B68A4" w:rsidRPr="00484DAF">
        <w:rPr>
          <w:sz w:val="24"/>
          <w:szCs w:val="24"/>
        </w:rPr>
        <w:t>rspronkelijke gebouw. De lastig</w:t>
      </w:r>
      <w:r w:rsidR="00D20D7B" w:rsidRPr="00484DAF">
        <w:rPr>
          <w:sz w:val="24"/>
          <w:szCs w:val="24"/>
        </w:rPr>
        <w:t xml:space="preserve"> te peilen grens wordt hier nogmaals bevestigd. Het vermoeden dat wel </w:t>
      </w:r>
      <w:r w:rsidR="00E26C30" w:rsidRPr="00484DAF">
        <w:rPr>
          <w:sz w:val="24"/>
          <w:szCs w:val="24"/>
        </w:rPr>
        <w:t xml:space="preserve">sprake is van vervaardiging zou </w:t>
      </w:r>
      <w:r w:rsidR="00D20D7B" w:rsidRPr="00484DAF">
        <w:rPr>
          <w:sz w:val="24"/>
          <w:szCs w:val="24"/>
        </w:rPr>
        <w:t xml:space="preserve">bijvoorbeeld </w:t>
      </w:r>
      <w:r w:rsidR="00E26C30" w:rsidRPr="00484DAF">
        <w:rPr>
          <w:sz w:val="24"/>
          <w:szCs w:val="24"/>
        </w:rPr>
        <w:t>versterkt kunnen worden indien de extra verdieping ook nog eens een extra functie met zich mee brengt, bijvoorbeeld een bar/restaurant bovenop een kantoorgebouw.</w:t>
      </w:r>
      <w:r w:rsidR="00702567" w:rsidRPr="00484DAF">
        <w:rPr>
          <w:sz w:val="24"/>
          <w:szCs w:val="24"/>
        </w:rPr>
        <w:t xml:space="preserve"> </w:t>
      </w:r>
      <w:r w:rsidR="00702567" w:rsidRPr="00484DAF">
        <w:rPr>
          <w:i/>
          <w:sz w:val="24"/>
          <w:szCs w:val="24"/>
        </w:rPr>
        <w:t>Koks en Van den Elsen</w:t>
      </w:r>
      <w:r w:rsidR="00702567" w:rsidRPr="00484DAF">
        <w:rPr>
          <w:sz w:val="24"/>
          <w:szCs w:val="24"/>
        </w:rPr>
        <w:t xml:space="preserve"> breken op hun beurt een lans voor ondergronds bouwen.</w:t>
      </w:r>
      <w:r w:rsidR="00702567" w:rsidRPr="00484DAF">
        <w:rPr>
          <w:rStyle w:val="Voetnootmarkering"/>
          <w:sz w:val="24"/>
          <w:szCs w:val="24"/>
        </w:rPr>
        <w:footnoteReference w:id="154"/>
      </w:r>
      <w:r w:rsidR="00702567" w:rsidRPr="00484DAF">
        <w:rPr>
          <w:sz w:val="24"/>
          <w:szCs w:val="24"/>
        </w:rPr>
        <w:t xml:space="preserve"> Zij stellen dat door verbeterde bouwtechnieken tegenwoordig ondergronds kan worden gebouwd zonder de bovenlaag (al dan niet</w:t>
      </w:r>
      <w:r w:rsidR="00A109C8" w:rsidRPr="00484DAF">
        <w:rPr>
          <w:sz w:val="24"/>
          <w:szCs w:val="24"/>
        </w:rPr>
        <w:t xml:space="preserve"> met</w:t>
      </w:r>
      <w:r w:rsidR="00702567" w:rsidRPr="00484DAF">
        <w:rPr>
          <w:sz w:val="24"/>
          <w:szCs w:val="24"/>
        </w:rPr>
        <w:t xml:space="preserve"> opstallen) aan te tasten. </w:t>
      </w:r>
      <w:r w:rsidR="0089693B" w:rsidRPr="00484DAF">
        <w:rPr>
          <w:sz w:val="24"/>
          <w:szCs w:val="24"/>
        </w:rPr>
        <w:t>Het knelpunt voor behandeling van dit soort onderstal begint bij het huidige begrippenkader welke is gebaseerd op tweedimensionaal denken, namelijk het gebruik van ruimte in de hoogte en in de breedte. De derde dimensie, gebruik van ondergrondse ruimte, valt hier buiten, terwijl wel degelijk ondergrondse vervaardiging mogelijk is. Driedimensionaal bezien is naar maatschappelijke opvattingen iets nieuws ontstaan wat tevoren niet bestond.</w:t>
      </w:r>
    </w:p>
    <w:p w:rsidR="00557A1F" w:rsidRPr="00484DAF" w:rsidRDefault="00557A1F" w:rsidP="00CC552D">
      <w:pPr>
        <w:pStyle w:val="Geenafstand"/>
        <w:spacing w:line="360" w:lineRule="auto"/>
        <w:rPr>
          <w:sz w:val="24"/>
          <w:szCs w:val="24"/>
        </w:rPr>
      </w:pPr>
    </w:p>
    <w:p w:rsidR="00C95AA8" w:rsidRPr="00484DAF" w:rsidRDefault="0013230C" w:rsidP="00CC552D">
      <w:pPr>
        <w:pStyle w:val="Kop2"/>
        <w:spacing w:before="0" w:line="360" w:lineRule="auto"/>
        <w:rPr>
          <w:rFonts w:ascii="Times New Roman" w:hAnsi="Times New Roman"/>
          <w:color w:val="auto"/>
          <w:sz w:val="24"/>
          <w:szCs w:val="24"/>
        </w:rPr>
      </w:pPr>
      <w:bookmarkStart w:id="69" w:name="_Toc254043923"/>
      <w:r w:rsidRPr="00484DAF">
        <w:rPr>
          <w:rFonts w:ascii="Times New Roman" w:hAnsi="Times New Roman"/>
          <w:color w:val="auto"/>
          <w:sz w:val="24"/>
          <w:szCs w:val="24"/>
        </w:rPr>
        <w:t>3.</w:t>
      </w:r>
      <w:r w:rsidR="00CA1198" w:rsidRPr="00484DAF">
        <w:rPr>
          <w:rFonts w:ascii="Times New Roman" w:hAnsi="Times New Roman"/>
          <w:color w:val="auto"/>
          <w:sz w:val="24"/>
          <w:szCs w:val="24"/>
        </w:rPr>
        <w:t>3</w:t>
      </w:r>
      <w:r w:rsidR="005776E8" w:rsidRPr="00484DAF">
        <w:rPr>
          <w:rFonts w:ascii="Times New Roman" w:hAnsi="Times New Roman"/>
          <w:color w:val="auto"/>
          <w:sz w:val="24"/>
          <w:szCs w:val="24"/>
        </w:rPr>
        <w:t>.3</w:t>
      </w:r>
      <w:r w:rsidRPr="00484DAF">
        <w:rPr>
          <w:rFonts w:ascii="Times New Roman" w:hAnsi="Times New Roman"/>
          <w:color w:val="auto"/>
          <w:sz w:val="24"/>
          <w:szCs w:val="24"/>
        </w:rPr>
        <w:t xml:space="preserve"> Tijdstip b</w:t>
      </w:r>
      <w:r w:rsidR="009C7943" w:rsidRPr="00484DAF">
        <w:rPr>
          <w:rFonts w:ascii="Times New Roman" w:hAnsi="Times New Roman"/>
          <w:color w:val="auto"/>
          <w:sz w:val="24"/>
          <w:szCs w:val="24"/>
        </w:rPr>
        <w:t>e</w:t>
      </w:r>
      <w:r w:rsidRPr="00484DAF">
        <w:rPr>
          <w:rFonts w:ascii="Times New Roman" w:hAnsi="Times New Roman"/>
          <w:color w:val="auto"/>
          <w:sz w:val="24"/>
          <w:szCs w:val="24"/>
        </w:rPr>
        <w:t>oordeling vervaardiging</w:t>
      </w:r>
      <w:bookmarkEnd w:id="69"/>
    </w:p>
    <w:p w:rsidR="00257338" w:rsidRPr="00484DAF" w:rsidRDefault="00565997" w:rsidP="00CC552D">
      <w:pPr>
        <w:spacing w:after="0" w:line="360" w:lineRule="auto"/>
        <w:rPr>
          <w:sz w:val="24"/>
          <w:szCs w:val="24"/>
        </w:rPr>
      </w:pPr>
      <w:r w:rsidRPr="00484DAF">
        <w:rPr>
          <w:sz w:val="24"/>
          <w:szCs w:val="24"/>
        </w:rPr>
        <w:t>Nu de vraag wanneer sprake is van vervaardiging is beantwoord, is het van belang te weten op welk moment dient te worden getoetst</w:t>
      </w:r>
      <w:r w:rsidR="00BC5FB4" w:rsidRPr="00484DAF">
        <w:rPr>
          <w:sz w:val="24"/>
          <w:szCs w:val="24"/>
        </w:rPr>
        <w:t xml:space="preserve"> of al dan niet sprake is van vervaardiging</w:t>
      </w:r>
      <w:r w:rsidRPr="00484DAF">
        <w:rPr>
          <w:sz w:val="24"/>
          <w:szCs w:val="24"/>
        </w:rPr>
        <w:t>.</w:t>
      </w:r>
      <w:r w:rsidR="00BC5FB4" w:rsidRPr="00484DAF">
        <w:rPr>
          <w:sz w:val="24"/>
          <w:szCs w:val="24"/>
        </w:rPr>
        <w:t xml:space="preserve"> In een conclusie heeft A</w:t>
      </w:r>
      <w:r w:rsidR="00B37E6D" w:rsidRPr="00484DAF">
        <w:rPr>
          <w:sz w:val="24"/>
          <w:szCs w:val="24"/>
        </w:rPr>
        <w:t>dvocaat</w:t>
      </w:r>
      <w:r w:rsidR="00BC5FB4" w:rsidRPr="00484DAF">
        <w:rPr>
          <w:sz w:val="24"/>
          <w:szCs w:val="24"/>
        </w:rPr>
        <w:t>-G</w:t>
      </w:r>
      <w:r w:rsidR="00B37E6D" w:rsidRPr="00484DAF">
        <w:rPr>
          <w:sz w:val="24"/>
          <w:szCs w:val="24"/>
        </w:rPr>
        <w:t>eneraal (hierna: A-G)</w:t>
      </w:r>
      <w:r w:rsidR="00BC5FB4" w:rsidRPr="00484DAF">
        <w:rPr>
          <w:sz w:val="24"/>
          <w:szCs w:val="24"/>
        </w:rPr>
        <w:t xml:space="preserve"> Groeneveld uiteengezet dat</w:t>
      </w:r>
      <w:r w:rsidR="00A30FBA" w:rsidRPr="00484DAF">
        <w:rPr>
          <w:sz w:val="24"/>
          <w:szCs w:val="24"/>
        </w:rPr>
        <w:t xml:space="preserve"> </w:t>
      </w:r>
      <w:r w:rsidR="00BC5FB4" w:rsidRPr="00484DAF">
        <w:rPr>
          <w:sz w:val="24"/>
          <w:szCs w:val="24"/>
        </w:rPr>
        <w:t xml:space="preserve">het leveringstijdstip als toetsingsmoment </w:t>
      </w:r>
      <w:r w:rsidR="00277830" w:rsidRPr="00484DAF">
        <w:rPr>
          <w:sz w:val="24"/>
          <w:szCs w:val="24"/>
        </w:rPr>
        <w:t xml:space="preserve">voor het vervaardigingcriterium </w:t>
      </w:r>
      <w:r w:rsidR="00BC5FB4" w:rsidRPr="00484DAF">
        <w:rPr>
          <w:sz w:val="24"/>
          <w:szCs w:val="24"/>
        </w:rPr>
        <w:t>dient.</w:t>
      </w:r>
      <w:r w:rsidR="008F4B4E" w:rsidRPr="00484DAF">
        <w:rPr>
          <w:rStyle w:val="Voetnootmarkering"/>
          <w:sz w:val="24"/>
          <w:szCs w:val="24"/>
        </w:rPr>
        <w:footnoteReference w:id="155"/>
      </w:r>
      <w:r w:rsidR="008F4B4E" w:rsidRPr="00484DAF">
        <w:rPr>
          <w:sz w:val="24"/>
          <w:szCs w:val="24"/>
        </w:rPr>
        <w:t xml:space="preserve"> </w:t>
      </w:r>
      <w:r w:rsidR="00B37E6D" w:rsidRPr="00484DAF">
        <w:rPr>
          <w:sz w:val="24"/>
          <w:szCs w:val="24"/>
        </w:rPr>
        <w:t xml:space="preserve">Daarbij beroept de A-G zich met name op </w:t>
      </w:r>
      <w:r w:rsidR="002360F7" w:rsidRPr="00484DAF">
        <w:rPr>
          <w:sz w:val="24"/>
          <w:szCs w:val="24"/>
        </w:rPr>
        <w:t xml:space="preserve">het </w:t>
      </w:r>
      <w:r w:rsidR="00B37E6D" w:rsidRPr="00484DAF">
        <w:rPr>
          <w:sz w:val="24"/>
          <w:szCs w:val="24"/>
        </w:rPr>
        <w:t>arrest van 9 december 1987</w:t>
      </w:r>
      <w:r w:rsidR="002360F7" w:rsidRPr="00484DAF">
        <w:rPr>
          <w:rStyle w:val="Voetnootmarkering"/>
          <w:sz w:val="24"/>
          <w:szCs w:val="24"/>
        </w:rPr>
        <w:footnoteReference w:id="156"/>
      </w:r>
      <w:r w:rsidR="00B37E6D" w:rsidRPr="00484DAF">
        <w:rPr>
          <w:sz w:val="24"/>
          <w:szCs w:val="24"/>
        </w:rPr>
        <w:t xml:space="preserve">, waarin de Hoge Raad </w:t>
      </w:r>
      <w:r w:rsidR="002360F7" w:rsidRPr="00484DAF">
        <w:rPr>
          <w:sz w:val="24"/>
          <w:szCs w:val="24"/>
        </w:rPr>
        <w:t>het oordeel van het Ho</w:t>
      </w:r>
      <w:r w:rsidR="003010C0" w:rsidRPr="00484DAF">
        <w:rPr>
          <w:sz w:val="24"/>
          <w:szCs w:val="24"/>
        </w:rPr>
        <w:t>f</w:t>
      </w:r>
      <w:r w:rsidR="002360F7" w:rsidRPr="00484DAF">
        <w:rPr>
          <w:sz w:val="24"/>
          <w:szCs w:val="24"/>
        </w:rPr>
        <w:t xml:space="preserve"> bevestigd dat </w:t>
      </w:r>
      <w:r w:rsidR="00B37E6D" w:rsidRPr="00484DAF">
        <w:rPr>
          <w:i/>
          <w:sz w:val="24"/>
          <w:szCs w:val="24"/>
        </w:rPr>
        <w:t xml:space="preserve">‘niet gezegd </w:t>
      </w:r>
      <w:r w:rsidR="002360F7" w:rsidRPr="00484DAF">
        <w:rPr>
          <w:sz w:val="24"/>
          <w:szCs w:val="24"/>
        </w:rPr>
        <w:t xml:space="preserve">[kan, MGVV] </w:t>
      </w:r>
      <w:r w:rsidR="00B37E6D" w:rsidRPr="00484DAF">
        <w:rPr>
          <w:i/>
          <w:sz w:val="24"/>
          <w:szCs w:val="24"/>
        </w:rPr>
        <w:t>worden dat ten tijde van de levering van het perceel aan belanghebbende een nieuw onroerend goed was ontstaan.’</w:t>
      </w:r>
      <w:r w:rsidR="00B37E6D" w:rsidRPr="00484DAF">
        <w:rPr>
          <w:rStyle w:val="Voetnootmarkering"/>
          <w:i/>
          <w:sz w:val="24"/>
          <w:szCs w:val="24"/>
        </w:rPr>
        <w:footnoteReference w:id="157"/>
      </w:r>
      <w:r w:rsidR="00B37E6D" w:rsidRPr="00484DAF">
        <w:rPr>
          <w:sz w:val="24"/>
          <w:szCs w:val="24"/>
        </w:rPr>
        <w:t xml:space="preserve"> </w:t>
      </w:r>
      <w:r w:rsidR="009A06E6" w:rsidRPr="00484DAF">
        <w:rPr>
          <w:sz w:val="24"/>
          <w:szCs w:val="24"/>
        </w:rPr>
        <w:t>Op dat moment dient te worden uitgezocht of de tot het moment van leveren uitgevoerde werkzaamheden hebben geleid tot een zaak die tevoren niet bestond.</w:t>
      </w:r>
    </w:p>
    <w:p w:rsidR="00557A1F" w:rsidRPr="00484DAF" w:rsidRDefault="00557A1F" w:rsidP="00CC552D">
      <w:pPr>
        <w:pStyle w:val="Geenafstand"/>
        <w:spacing w:line="360" w:lineRule="auto"/>
        <w:rPr>
          <w:sz w:val="24"/>
          <w:szCs w:val="24"/>
        </w:rPr>
      </w:pPr>
    </w:p>
    <w:p w:rsidR="003A7032" w:rsidRPr="00484DAF" w:rsidRDefault="00E8252F" w:rsidP="00CC552D">
      <w:pPr>
        <w:pStyle w:val="Kop1"/>
        <w:spacing w:before="0" w:line="360" w:lineRule="auto"/>
        <w:rPr>
          <w:rFonts w:ascii="Times New Roman" w:hAnsi="Times New Roman"/>
          <w:color w:val="auto"/>
          <w:sz w:val="24"/>
          <w:szCs w:val="24"/>
        </w:rPr>
      </w:pPr>
      <w:bookmarkStart w:id="70" w:name="_Toc235084394"/>
      <w:bookmarkStart w:id="71" w:name="_Toc254043924"/>
      <w:r w:rsidRPr="00484DAF">
        <w:rPr>
          <w:rFonts w:ascii="Times New Roman" w:hAnsi="Times New Roman"/>
          <w:color w:val="auto"/>
          <w:sz w:val="24"/>
          <w:szCs w:val="24"/>
        </w:rPr>
        <w:t>3.4</w:t>
      </w:r>
      <w:r w:rsidR="003A7032" w:rsidRPr="00484DAF">
        <w:rPr>
          <w:rFonts w:ascii="Times New Roman" w:hAnsi="Times New Roman"/>
          <w:color w:val="auto"/>
          <w:sz w:val="24"/>
          <w:szCs w:val="24"/>
        </w:rPr>
        <w:t xml:space="preserve"> Erbij behorend terrein</w:t>
      </w:r>
      <w:bookmarkEnd w:id="70"/>
      <w:bookmarkEnd w:id="71"/>
    </w:p>
    <w:p w:rsidR="00E466E8" w:rsidRPr="00484DAF" w:rsidRDefault="00E8252F" w:rsidP="00CC552D">
      <w:pPr>
        <w:spacing w:after="0" w:line="360" w:lineRule="auto"/>
        <w:rPr>
          <w:i/>
          <w:sz w:val="24"/>
          <w:szCs w:val="24"/>
        </w:rPr>
      </w:pPr>
      <w:r w:rsidRPr="00484DAF">
        <w:rPr>
          <w:sz w:val="24"/>
          <w:szCs w:val="24"/>
        </w:rPr>
        <w:t xml:space="preserve">Tot slot, luidt artikel 11, lid 3, onderdeel c Wet OB 1968 dat als erbij behorend terrein beschouwd wordt, ieder terrein dat naar maatschappelijke opvattingen behoort bij dan wel </w:t>
      </w:r>
      <w:r w:rsidRPr="00484DAF">
        <w:rPr>
          <w:sz w:val="24"/>
          <w:szCs w:val="24"/>
        </w:rPr>
        <w:lastRenderedPageBreak/>
        <w:t xml:space="preserve">dienstbaar is aan het gebouw. </w:t>
      </w:r>
      <w:r w:rsidR="00F8253F" w:rsidRPr="00484DAF">
        <w:rPr>
          <w:sz w:val="24"/>
          <w:szCs w:val="24"/>
        </w:rPr>
        <w:t xml:space="preserve">Door implementatie van dit onderdeel is ook hier gebruik gemaakt van de optie </w:t>
      </w:r>
      <w:r w:rsidRPr="00484DAF">
        <w:rPr>
          <w:sz w:val="24"/>
          <w:szCs w:val="24"/>
        </w:rPr>
        <w:t>uit artikel 12, lid 2 BTW-richtlijn</w:t>
      </w:r>
      <w:r w:rsidR="00F8253F" w:rsidRPr="00484DAF">
        <w:rPr>
          <w:sz w:val="24"/>
          <w:szCs w:val="24"/>
        </w:rPr>
        <w:t xml:space="preserve"> om een eigen invulling te geven aan het begrip “erbij behorend terrein”</w:t>
      </w:r>
      <w:r w:rsidRPr="00484DAF">
        <w:rPr>
          <w:sz w:val="24"/>
          <w:szCs w:val="24"/>
        </w:rPr>
        <w:t>.</w:t>
      </w:r>
      <w:r w:rsidR="00F8253F" w:rsidRPr="00484DAF">
        <w:rPr>
          <w:sz w:val="24"/>
          <w:szCs w:val="24"/>
        </w:rPr>
        <w:t xml:space="preserve"> De </w:t>
      </w:r>
      <w:r w:rsidR="00F35A74" w:rsidRPr="00484DAF">
        <w:rPr>
          <w:sz w:val="24"/>
          <w:szCs w:val="24"/>
        </w:rPr>
        <w:t>staatssecretaris</w:t>
      </w:r>
      <w:r w:rsidR="00F8253F" w:rsidRPr="00484DAF">
        <w:rPr>
          <w:sz w:val="24"/>
          <w:szCs w:val="24"/>
        </w:rPr>
        <w:t xml:space="preserve"> erkent in de Memorie van Toelichting </w:t>
      </w:r>
      <w:r w:rsidR="00AA5D7C" w:rsidRPr="00484DAF">
        <w:rPr>
          <w:sz w:val="24"/>
          <w:szCs w:val="24"/>
        </w:rPr>
        <w:t xml:space="preserve">dat </w:t>
      </w:r>
      <w:r w:rsidR="00F8253F" w:rsidRPr="00484DAF">
        <w:rPr>
          <w:sz w:val="24"/>
          <w:szCs w:val="24"/>
        </w:rPr>
        <w:t xml:space="preserve">dit een erg </w:t>
      </w:r>
      <w:r w:rsidR="00D838FE" w:rsidRPr="00484DAF">
        <w:rPr>
          <w:sz w:val="24"/>
          <w:szCs w:val="24"/>
        </w:rPr>
        <w:t>casuïstisch</w:t>
      </w:r>
      <w:r w:rsidR="00F8253F" w:rsidRPr="00484DAF">
        <w:rPr>
          <w:sz w:val="24"/>
          <w:szCs w:val="24"/>
        </w:rPr>
        <w:t>e bepaling is, waarbij het leveringscontract een indicatie kan vormen. Immers, wat tezamen wordt geleverd</w:t>
      </w:r>
      <w:r w:rsidR="00277830" w:rsidRPr="00484DAF">
        <w:rPr>
          <w:sz w:val="24"/>
          <w:szCs w:val="24"/>
        </w:rPr>
        <w:t>,</w:t>
      </w:r>
      <w:r w:rsidR="00F8253F" w:rsidRPr="00484DAF">
        <w:rPr>
          <w:sz w:val="24"/>
          <w:szCs w:val="24"/>
        </w:rPr>
        <w:t xml:space="preserve"> hoort vaak bij elkaar, zoals een siertuin bij een </w:t>
      </w:r>
      <w:r w:rsidR="00075B2E" w:rsidRPr="00484DAF">
        <w:rPr>
          <w:sz w:val="24"/>
          <w:szCs w:val="24"/>
        </w:rPr>
        <w:t>nieuwbouw</w:t>
      </w:r>
      <w:r w:rsidR="00F8253F" w:rsidRPr="00484DAF">
        <w:rPr>
          <w:sz w:val="24"/>
          <w:szCs w:val="24"/>
        </w:rPr>
        <w:t>eengezinswoning.</w:t>
      </w:r>
      <w:r w:rsidR="00075B2E" w:rsidRPr="00484DAF">
        <w:rPr>
          <w:rStyle w:val="Voetnootmarkering"/>
          <w:sz w:val="24"/>
          <w:szCs w:val="24"/>
        </w:rPr>
        <w:footnoteReference w:id="158"/>
      </w:r>
      <w:r w:rsidR="005A6433" w:rsidRPr="00484DAF">
        <w:rPr>
          <w:sz w:val="24"/>
          <w:szCs w:val="24"/>
        </w:rPr>
        <w:t xml:space="preserve"> In dezelfde zin kan het parkeerterrein van een bedrijfspand ook als behorend bij het gebouw worden aangemerkt.</w:t>
      </w:r>
      <w:r w:rsidR="005A6433" w:rsidRPr="00484DAF">
        <w:rPr>
          <w:rStyle w:val="Voetnootmarkering"/>
          <w:sz w:val="24"/>
          <w:szCs w:val="24"/>
        </w:rPr>
        <w:footnoteReference w:id="159"/>
      </w:r>
      <w:r w:rsidR="005A6433" w:rsidRPr="00484DAF">
        <w:rPr>
          <w:sz w:val="24"/>
          <w:szCs w:val="24"/>
        </w:rPr>
        <w:t xml:space="preserve"> </w:t>
      </w:r>
      <w:r w:rsidR="00E466E8" w:rsidRPr="00484DAF">
        <w:rPr>
          <w:sz w:val="24"/>
          <w:szCs w:val="24"/>
        </w:rPr>
        <w:t>Het HvJ EG heeft zich impl</w:t>
      </w:r>
      <w:r w:rsidR="00AA5D7C" w:rsidRPr="00484DAF">
        <w:rPr>
          <w:sz w:val="24"/>
          <w:szCs w:val="24"/>
        </w:rPr>
        <w:t>iciet over de behandeling van ‘</w:t>
      </w:r>
      <w:r w:rsidR="00E466E8" w:rsidRPr="00484DAF">
        <w:rPr>
          <w:sz w:val="24"/>
          <w:szCs w:val="24"/>
        </w:rPr>
        <w:t>erbij behorende terreinen</w:t>
      </w:r>
      <w:r w:rsidR="007A0F26" w:rsidRPr="00484DAF">
        <w:rPr>
          <w:sz w:val="24"/>
          <w:szCs w:val="24"/>
        </w:rPr>
        <w:t xml:space="preserve">’ uitgelaten </w:t>
      </w:r>
      <w:r w:rsidR="00E466E8" w:rsidRPr="00484DAF">
        <w:rPr>
          <w:sz w:val="24"/>
          <w:szCs w:val="24"/>
        </w:rPr>
        <w:t xml:space="preserve">ondanks dat invulling aan de lidstaten wordt overgelaten. In het arrest </w:t>
      </w:r>
      <w:r w:rsidR="00E466E8" w:rsidRPr="00484DAF">
        <w:rPr>
          <w:i/>
          <w:sz w:val="24"/>
          <w:szCs w:val="24"/>
        </w:rPr>
        <w:t>Brigitte Breitsohl</w:t>
      </w:r>
      <w:r w:rsidR="00E466E8" w:rsidRPr="00484DAF">
        <w:rPr>
          <w:rStyle w:val="Voetnootmarkering"/>
          <w:i/>
          <w:sz w:val="24"/>
          <w:szCs w:val="24"/>
        </w:rPr>
        <w:footnoteReference w:id="160"/>
      </w:r>
      <w:r w:rsidR="00E466E8" w:rsidRPr="00484DAF">
        <w:rPr>
          <w:sz w:val="24"/>
          <w:szCs w:val="24"/>
        </w:rPr>
        <w:t xml:space="preserve"> overweegt het Hof in rechtsoverweging 49 en 50: </w:t>
      </w:r>
      <w:r w:rsidR="00E466E8" w:rsidRPr="00484DAF">
        <w:rPr>
          <w:i/>
          <w:sz w:val="24"/>
          <w:szCs w:val="24"/>
        </w:rPr>
        <w:t xml:space="preserve">‘Artikel 4, lid 3, van de Zesde richtlijn </w:t>
      </w:r>
      <w:r w:rsidR="00E466E8" w:rsidRPr="00484DAF">
        <w:rPr>
          <w:sz w:val="24"/>
          <w:szCs w:val="24"/>
        </w:rPr>
        <w:t>(thans artikel 12, lid 3 BTW-richtlijn, MGVV)</w:t>
      </w:r>
      <w:r w:rsidR="00E466E8" w:rsidRPr="00484DAF">
        <w:rPr>
          <w:i/>
          <w:sz w:val="24"/>
          <w:szCs w:val="24"/>
        </w:rPr>
        <w:t xml:space="preserve"> maakt onderscheid tussen enerzijds de levering van bouwterreinen</w:t>
      </w:r>
      <w:r w:rsidR="007375C6" w:rsidRPr="00484DAF">
        <w:rPr>
          <w:i/>
          <w:sz w:val="24"/>
          <w:szCs w:val="24"/>
        </w:rPr>
        <w:t xml:space="preserve"> (…) </w:t>
      </w:r>
      <w:r w:rsidR="00E466E8" w:rsidRPr="00484DAF">
        <w:rPr>
          <w:i/>
          <w:sz w:val="24"/>
          <w:szCs w:val="24"/>
        </w:rPr>
        <w:t>en anderzijds de levering van een gebouw of een gedeelte van een gebouw en het erbij behorend terrein vóór eerste ingeb</w:t>
      </w:r>
      <w:r w:rsidR="007375C6" w:rsidRPr="00484DAF">
        <w:rPr>
          <w:i/>
          <w:sz w:val="24"/>
          <w:szCs w:val="24"/>
        </w:rPr>
        <w:t xml:space="preserve">ruikneming (…) </w:t>
      </w:r>
      <w:r w:rsidR="00E466E8" w:rsidRPr="00484DAF">
        <w:rPr>
          <w:i/>
          <w:sz w:val="24"/>
          <w:szCs w:val="24"/>
        </w:rPr>
        <w:t xml:space="preserve">Uit dit onderscheid </w:t>
      </w:r>
      <w:r w:rsidR="007375C6" w:rsidRPr="00484DAF">
        <w:rPr>
          <w:i/>
          <w:sz w:val="24"/>
          <w:szCs w:val="24"/>
        </w:rPr>
        <w:t xml:space="preserve">(…) </w:t>
      </w:r>
      <w:r w:rsidR="00E466E8" w:rsidRPr="00484DAF">
        <w:rPr>
          <w:i/>
          <w:sz w:val="24"/>
          <w:szCs w:val="24"/>
        </w:rPr>
        <w:t>blijkt dat gebouwen of gedeelten van gebouwen en het erbij behorend terrein voor de BTW niet van elkaar kunnen worden gescheiden.</w:t>
      </w:r>
      <w:r w:rsidR="007375C6" w:rsidRPr="00484DAF">
        <w:rPr>
          <w:i/>
          <w:sz w:val="24"/>
          <w:szCs w:val="24"/>
        </w:rPr>
        <w:t>’</w:t>
      </w:r>
      <w:r w:rsidR="007375C6" w:rsidRPr="00484DAF">
        <w:rPr>
          <w:sz w:val="24"/>
          <w:szCs w:val="24"/>
        </w:rPr>
        <w:t xml:space="preserve"> Er lijkt sprake te zijn van een rangorderegeling, die uitwijst dat wanneer een terrein eenmaal als ‘erbij behorend’ is aangemerkt altijd het heffingsregime van het betr</w:t>
      </w:r>
      <w:r w:rsidR="00BD4281" w:rsidRPr="00484DAF">
        <w:rPr>
          <w:sz w:val="24"/>
          <w:szCs w:val="24"/>
        </w:rPr>
        <w:t>effende gebouw volgt.</w:t>
      </w:r>
      <w:r w:rsidR="007375C6" w:rsidRPr="00484DAF">
        <w:rPr>
          <w:rStyle w:val="Voetnootmarkering"/>
          <w:sz w:val="24"/>
          <w:szCs w:val="24"/>
        </w:rPr>
        <w:footnoteReference w:id="161"/>
      </w:r>
      <w:r w:rsidR="00E419A6" w:rsidRPr="00484DAF">
        <w:rPr>
          <w:sz w:val="24"/>
          <w:szCs w:val="24"/>
        </w:rPr>
        <w:t xml:space="preserve"> Dit leidt tot enige frictie met de in het volgende hoofdstuk te bespreken definitie van bouwterrein. Indien eerder genoemde siertuin op een zeker moment zelfstandig gesplitst wordt geleverd en volgens de invulling van het begrip bouwterrein als zodanig kwalificeert, blijft echter het heffingsregime met betrekking tot de eengezinswoning van toepassing.</w:t>
      </w:r>
      <w:r w:rsidR="009D44FB" w:rsidRPr="00484DAF">
        <w:rPr>
          <w:sz w:val="24"/>
          <w:szCs w:val="24"/>
        </w:rPr>
        <w:t xml:space="preserve"> Daar de Nederlandse wet hier niet in voorziet, is de wetgeving niet in overeenstemming met de BTW-richtlijn.</w:t>
      </w:r>
      <w:r w:rsidR="009D44FB" w:rsidRPr="00484DAF">
        <w:rPr>
          <w:rStyle w:val="Voetnootmarkering"/>
          <w:sz w:val="24"/>
          <w:szCs w:val="24"/>
        </w:rPr>
        <w:footnoteReference w:id="162"/>
      </w:r>
      <w:r w:rsidR="009D44FB" w:rsidRPr="00484DAF">
        <w:rPr>
          <w:sz w:val="24"/>
          <w:szCs w:val="24"/>
        </w:rPr>
        <w:t xml:space="preserve"> Om dit euvel recht te trekken zou artikel 11, lid 4 eerste volzin Wet OB 1968 dienen te </w:t>
      </w:r>
      <w:r w:rsidR="00E756AA" w:rsidRPr="00484DAF">
        <w:rPr>
          <w:sz w:val="24"/>
          <w:szCs w:val="24"/>
        </w:rPr>
        <w:t>luiden:</w:t>
      </w:r>
      <w:r w:rsidR="009D44FB" w:rsidRPr="00484DAF">
        <w:rPr>
          <w:sz w:val="24"/>
          <w:szCs w:val="24"/>
        </w:rPr>
        <w:t xml:space="preserve"> </w:t>
      </w:r>
      <w:r w:rsidR="009D44FB" w:rsidRPr="00484DAF">
        <w:rPr>
          <w:i/>
          <w:sz w:val="24"/>
          <w:szCs w:val="24"/>
        </w:rPr>
        <w:t>‘Voor de toepassing van het eerste lid, onderdeel a, onder 1</w:t>
      </w:r>
      <w:r w:rsidR="009D44FB" w:rsidRPr="00484DAF">
        <w:rPr>
          <w:i/>
          <w:sz w:val="24"/>
          <w:szCs w:val="24"/>
          <w:vertAlign w:val="superscript"/>
        </w:rPr>
        <w:t>o</w:t>
      </w:r>
      <w:r w:rsidR="009D44FB" w:rsidRPr="00484DAF">
        <w:rPr>
          <w:i/>
          <w:sz w:val="24"/>
          <w:szCs w:val="24"/>
        </w:rPr>
        <w:t>, wordt als bouwterrein beschouwd onbebouwde grond, anders dan erbij behorend</w:t>
      </w:r>
      <w:r w:rsidR="00112A2C" w:rsidRPr="00484DAF">
        <w:rPr>
          <w:i/>
          <w:sz w:val="24"/>
          <w:szCs w:val="24"/>
        </w:rPr>
        <w:t xml:space="preserve"> terrein als bedoeld in derde</w:t>
      </w:r>
      <w:r w:rsidR="00DA5DA4" w:rsidRPr="00484DAF">
        <w:rPr>
          <w:i/>
          <w:sz w:val="24"/>
          <w:szCs w:val="24"/>
        </w:rPr>
        <w:t xml:space="preserve"> </w:t>
      </w:r>
      <w:r w:rsidR="00112A2C" w:rsidRPr="00484DAF">
        <w:rPr>
          <w:i/>
          <w:sz w:val="24"/>
          <w:szCs w:val="24"/>
        </w:rPr>
        <w:t>lid, onderdeel c; enz.’</w:t>
      </w:r>
    </w:p>
    <w:p w:rsidR="00557A1F" w:rsidRPr="00484DAF" w:rsidRDefault="00557A1F" w:rsidP="00CC552D">
      <w:pPr>
        <w:pStyle w:val="Geenafstand"/>
        <w:spacing w:line="360" w:lineRule="auto"/>
        <w:rPr>
          <w:sz w:val="24"/>
          <w:szCs w:val="24"/>
        </w:rPr>
      </w:pPr>
    </w:p>
    <w:p w:rsidR="00D331A6" w:rsidRPr="00484DAF" w:rsidRDefault="00D331A6" w:rsidP="00CC552D">
      <w:pPr>
        <w:pStyle w:val="Kop1"/>
        <w:spacing w:before="0" w:line="360" w:lineRule="auto"/>
        <w:rPr>
          <w:rFonts w:ascii="Times New Roman" w:hAnsi="Times New Roman"/>
          <w:color w:val="auto"/>
          <w:sz w:val="24"/>
          <w:szCs w:val="24"/>
        </w:rPr>
      </w:pPr>
      <w:bookmarkStart w:id="72" w:name="_Toc254043925"/>
      <w:r w:rsidRPr="00484DAF">
        <w:rPr>
          <w:rFonts w:ascii="Times New Roman" w:hAnsi="Times New Roman"/>
          <w:color w:val="auto"/>
          <w:sz w:val="24"/>
          <w:szCs w:val="24"/>
        </w:rPr>
        <w:t>3.5 Tussenconclusie</w:t>
      </w:r>
      <w:r w:rsidR="00387C46" w:rsidRPr="00484DAF">
        <w:rPr>
          <w:rFonts w:ascii="Times New Roman" w:hAnsi="Times New Roman"/>
          <w:color w:val="auto"/>
          <w:sz w:val="24"/>
          <w:szCs w:val="24"/>
        </w:rPr>
        <w:t xml:space="preserve"> III</w:t>
      </w:r>
      <w:bookmarkEnd w:id="72"/>
    </w:p>
    <w:p w:rsidR="00D331A6" w:rsidRPr="00484DAF" w:rsidRDefault="00D331A6" w:rsidP="00CC552D">
      <w:pPr>
        <w:spacing w:after="0" w:line="360" w:lineRule="auto"/>
        <w:rPr>
          <w:sz w:val="24"/>
          <w:szCs w:val="24"/>
        </w:rPr>
      </w:pPr>
      <w:r w:rsidRPr="00484DAF">
        <w:rPr>
          <w:sz w:val="24"/>
          <w:szCs w:val="24"/>
        </w:rPr>
        <w:t>Voor de communautaire toepassing van de BTW-richtlijn wordt onder gebouw verstaan</w:t>
      </w:r>
      <w:r w:rsidR="005C188F" w:rsidRPr="00484DAF">
        <w:rPr>
          <w:sz w:val="24"/>
          <w:szCs w:val="24"/>
        </w:rPr>
        <w:t xml:space="preserve"> ieder bouwwerk dat vast met de grond is verbonden. Het criterium vast met de grond verbonden kwam reeds naar voren in het arrest </w:t>
      </w:r>
      <w:r w:rsidR="005C188F" w:rsidRPr="00484DAF">
        <w:rPr>
          <w:i/>
          <w:sz w:val="24"/>
          <w:szCs w:val="24"/>
        </w:rPr>
        <w:t>Rudolf Maierhofer</w:t>
      </w:r>
      <w:r w:rsidR="005C188F" w:rsidRPr="00484DAF">
        <w:rPr>
          <w:sz w:val="24"/>
          <w:szCs w:val="24"/>
        </w:rPr>
        <w:t>. Kijken we naar het woord ‘bouwwerk’, kunnen we concluderen dat dit meer omvat dan alleen gebouwen</w:t>
      </w:r>
      <w:r w:rsidR="009628D0" w:rsidRPr="00484DAF">
        <w:rPr>
          <w:sz w:val="24"/>
          <w:szCs w:val="24"/>
        </w:rPr>
        <w:t>. D</w:t>
      </w:r>
      <w:r w:rsidR="005C188F" w:rsidRPr="00484DAF">
        <w:rPr>
          <w:sz w:val="24"/>
          <w:szCs w:val="24"/>
        </w:rPr>
        <w:t xml:space="preserve">aaronder </w:t>
      </w:r>
      <w:r w:rsidR="009628D0" w:rsidRPr="00484DAF">
        <w:rPr>
          <w:sz w:val="24"/>
          <w:szCs w:val="24"/>
        </w:rPr>
        <w:t xml:space="preserve">zijn </w:t>
      </w:r>
      <w:r w:rsidR="005C188F" w:rsidRPr="00484DAF">
        <w:rPr>
          <w:sz w:val="24"/>
          <w:szCs w:val="24"/>
        </w:rPr>
        <w:t>ook onder andere bruggen, zwembaden</w:t>
      </w:r>
      <w:r w:rsidR="001E164C" w:rsidRPr="00484DAF">
        <w:rPr>
          <w:sz w:val="24"/>
          <w:szCs w:val="24"/>
        </w:rPr>
        <w:t xml:space="preserve"> </w:t>
      </w:r>
      <w:r w:rsidR="005C188F" w:rsidRPr="00484DAF">
        <w:rPr>
          <w:sz w:val="24"/>
          <w:szCs w:val="24"/>
        </w:rPr>
        <w:t xml:space="preserve">en spoorwegen </w:t>
      </w:r>
      <w:r w:rsidR="009628D0" w:rsidRPr="00484DAF">
        <w:rPr>
          <w:sz w:val="24"/>
          <w:szCs w:val="24"/>
        </w:rPr>
        <w:t>te scharen</w:t>
      </w:r>
      <w:r w:rsidR="005C188F" w:rsidRPr="00484DAF">
        <w:rPr>
          <w:sz w:val="24"/>
          <w:szCs w:val="24"/>
        </w:rPr>
        <w:t>. De Nederlandse invulling van het begrip ‘gebouw’</w:t>
      </w:r>
      <w:r w:rsidR="001E164C" w:rsidRPr="00484DAF">
        <w:rPr>
          <w:sz w:val="24"/>
          <w:szCs w:val="24"/>
        </w:rPr>
        <w:t xml:space="preserve"> </w:t>
      </w:r>
      <w:r w:rsidR="005C188F" w:rsidRPr="00484DAF">
        <w:rPr>
          <w:sz w:val="24"/>
          <w:szCs w:val="24"/>
        </w:rPr>
        <w:t>is nagenoeg gelijkluidend</w:t>
      </w:r>
      <w:r w:rsidR="009628D0" w:rsidRPr="00484DAF">
        <w:rPr>
          <w:sz w:val="24"/>
          <w:szCs w:val="24"/>
        </w:rPr>
        <w:t xml:space="preserve"> aan het Europese begrip</w:t>
      </w:r>
      <w:r w:rsidR="005C188F" w:rsidRPr="00484DAF">
        <w:rPr>
          <w:sz w:val="24"/>
          <w:szCs w:val="24"/>
        </w:rPr>
        <w:t xml:space="preserve">. </w:t>
      </w:r>
      <w:r w:rsidR="007972DC" w:rsidRPr="00484DAF">
        <w:rPr>
          <w:sz w:val="24"/>
          <w:szCs w:val="24"/>
        </w:rPr>
        <w:t>Voor de vraag of een nieuw gebouw is ontstaan</w:t>
      </w:r>
      <w:r w:rsidR="00B20283" w:rsidRPr="00484DAF">
        <w:rPr>
          <w:sz w:val="24"/>
          <w:szCs w:val="24"/>
        </w:rPr>
        <w:t>,</w:t>
      </w:r>
      <w:r w:rsidR="007972DC" w:rsidRPr="00484DAF">
        <w:rPr>
          <w:sz w:val="24"/>
          <w:szCs w:val="24"/>
        </w:rPr>
        <w:t xml:space="preserve"> is het </w:t>
      </w:r>
      <w:r w:rsidR="009628D0" w:rsidRPr="00484DAF">
        <w:rPr>
          <w:sz w:val="24"/>
          <w:szCs w:val="24"/>
        </w:rPr>
        <w:t>vervaardigingvraagstuk</w:t>
      </w:r>
      <w:r w:rsidR="007972DC" w:rsidRPr="00484DAF">
        <w:rPr>
          <w:sz w:val="24"/>
          <w:szCs w:val="24"/>
        </w:rPr>
        <w:t xml:space="preserve"> van belang. Daarbij wordt het arrest </w:t>
      </w:r>
      <w:r w:rsidR="007972DC" w:rsidRPr="00484DAF">
        <w:rPr>
          <w:i/>
          <w:sz w:val="24"/>
          <w:szCs w:val="24"/>
        </w:rPr>
        <w:t>Van Dijk’s Boekhuis</w:t>
      </w:r>
      <w:r w:rsidR="001E164C" w:rsidRPr="00484DAF">
        <w:rPr>
          <w:i/>
          <w:sz w:val="24"/>
          <w:szCs w:val="24"/>
        </w:rPr>
        <w:t xml:space="preserve"> </w:t>
      </w:r>
      <w:r w:rsidR="007972DC" w:rsidRPr="00484DAF">
        <w:rPr>
          <w:sz w:val="24"/>
          <w:szCs w:val="24"/>
        </w:rPr>
        <w:t>als maatgevend aangehouden. Hierin is door het HvJ</w:t>
      </w:r>
      <w:r w:rsidR="009628D0" w:rsidRPr="00484DAF">
        <w:rPr>
          <w:sz w:val="24"/>
          <w:szCs w:val="24"/>
        </w:rPr>
        <w:t> </w:t>
      </w:r>
      <w:r w:rsidR="00493281" w:rsidRPr="00484DAF">
        <w:rPr>
          <w:sz w:val="24"/>
          <w:szCs w:val="24"/>
        </w:rPr>
        <w:t xml:space="preserve">EG </w:t>
      </w:r>
      <w:r w:rsidR="007972DC" w:rsidRPr="00484DAF">
        <w:rPr>
          <w:sz w:val="24"/>
          <w:szCs w:val="24"/>
        </w:rPr>
        <w:t xml:space="preserve">beslist dat sprake is van een nieuw goed wanneer een goed ontstaat welke een andere functie heeft dan de functie die de verstrekte materialen oorspronkelijk hadden. </w:t>
      </w:r>
      <w:r w:rsidR="00493281" w:rsidRPr="00484DAF">
        <w:rPr>
          <w:sz w:val="24"/>
          <w:szCs w:val="24"/>
        </w:rPr>
        <w:t xml:space="preserve">In de loop </w:t>
      </w:r>
      <w:r w:rsidR="00163153" w:rsidRPr="00484DAF">
        <w:rPr>
          <w:sz w:val="24"/>
          <w:szCs w:val="24"/>
        </w:rPr>
        <w:t>der</w:t>
      </w:r>
      <w:r w:rsidR="00493281" w:rsidRPr="00484DAF">
        <w:rPr>
          <w:sz w:val="24"/>
          <w:szCs w:val="24"/>
        </w:rPr>
        <w:t xml:space="preserve"> jaren is </w:t>
      </w:r>
      <w:r w:rsidR="009340C0" w:rsidRPr="00484DAF">
        <w:rPr>
          <w:sz w:val="24"/>
          <w:szCs w:val="24"/>
        </w:rPr>
        <w:t xml:space="preserve">met betrekking tot vervaardiging </w:t>
      </w:r>
      <w:r w:rsidR="005776E8" w:rsidRPr="00484DAF">
        <w:rPr>
          <w:sz w:val="24"/>
          <w:szCs w:val="24"/>
        </w:rPr>
        <w:t xml:space="preserve">zodoende </w:t>
      </w:r>
      <w:r w:rsidR="009340C0" w:rsidRPr="00484DAF">
        <w:rPr>
          <w:sz w:val="24"/>
          <w:szCs w:val="24"/>
        </w:rPr>
        <w:t>de nadruk komen te liggen op de vraag of functieverandering is opgetreden. Het vervaardigingvraagstuk onderscheidt vier soorten ‘bouw’, namelijk nieuwbouw, verbouwing, aanbouw,</w:t>
      </w:r>
      <w:r w:rsidR="001E164C" w:rsidRPr="00484DAF">
        <w:rPr>
          <w:sz w:val="24"/>
          <w:szCs w:val="24"/>
        </w:rPr>
        <w:t xml:space="preserve"> </w:t>
      </w:r>
      <w:r w:rsidR="009340C0" w:rsidRPr="00484DAF">
        <w:rPr>
          <w:sz w:val="24"/>
          <w:szCs w:val="24"/>
        </w:rPr>
        <w:t>en opbouw (dan w</w:t>
      </w:r>
      <w:r w:rsidR="009B68A4" w:rsidRPr="00484DAF">
        <w:rPr>
          <w:sz w:val="24"/>
          <w:szCs w:val="24"/>
        </w:rPr>
        <w:t xml:space="preserve">el onderbouw). Bij nieuwbouw wordt </w:t>
      </w:r>
      <w:r w:rsidR="009340C0" w:rsidRPr="00484DAF">
        <w:rPr>
          <w:sz w:val="24"/>
          <w:szCs w:val="24"/>
        </w:rPr>
        <w:t xml:space="preserve">altijd een nieuw goed vervaardigd. Bij verbouwing hangt het er van af of de functie en het uiterlijk zijn gewijzigd. Vervaardiging van aanbouw is afhankelijk van de vraag of het aangebouwde gedeelte een zelfstandig gedeelte vormt, dan wel </w:t>
      </w:r>
      <w:r w:rsidR="0077389D" w:rsidRPr="00484DAF">
        <w:rPr>
          <w:sz w:val="24"/>
          <w:szCs w:val="24"/>
        </w:rPr>
        <w:t>een zelfstandig economische fu</w:t>
      </w:r>
      <w:r w:rsidR="009628D0" w:rsidRPr="00484DAF">
        <w:rPr>
          <w:sz w:val="24"/>
          <w:szCs w:val="24"/>
        </w:rPr>
        <w:t xml:space="preserve">nctie heeft binnen een complex of </w:t>
      </w:r>
      <w:r w:rsidR="0077389D" w:rsidRPr="00484DAF">
        <w:rPr>
          <w:sz w:val="24"/>
          <w:szCs w:val="24"/>
        </w:rPr>
        <w:t xml:space="preserve">de aanbouw </w:t>
      </w:r>
      <w:r w:rsidR="009340C0" w:rsidRPr="00484DAF">
        <w:rPr>
          <w:sz w:val="24"/>
          <w:szCs w:val="24"/>
        </w:rPr>
        <w:t xml:space="preserve">het complex als </w:t>
      </w:r>
      <w:r w:rsidR="0077389D" w:rsidRPr="00484DAF">
        <w:rPr>
          <w:sz w:val="24"/>
          <w:szCs w:val="24"/>
        </w:rPr>
        <w:t xml:space="preserve">geheel nieuw </w:t>
      </w:r>
      <w:r w:rsidR="009340C0" w:rsidRPr="00484DAF">
        <w:rPr>
          <w:sz w:val="24"/>
          <w:szCs w:val="24"/>
        </w:rPr>
        <w:t xml:space="preserve">vervaardigd </w:t>
      </w:r>
      <w:r w:rsidR="0077389D" w:rsidRPr="00484DAF">
        <w:rPr>
          <w:sz w:val="24"/>
          <w:szCs w:val="24"/>
        </w:rPr>
        <w:t xml:space="preserve">doet zijn. </w:t>
      </w:r>
      <w:r w:rsidR="001B4484" w:rsidRPr="00484DAF">
        <w:rPr>
          <w:sz w:val="24"/>
          <w:szCs w:val="24"/>
        </w:rPr>
        <w:t xml:space="preserve">Vervaardiging door op- of onderbouw leidt vooral tot een theoretische discussie aangezien geen aanknopingspunten in de wet noch jurisprudentie te vinden zijn. </w:t>
      </w:r>
      <w:r w:rsidR="0077389D" w:rsidRPr="00484DAF">
        <w:rPr>
          <w:sz w:val="24"/>
          <w:szCs w:val="24"/>
        </w:rPr>
        <w:t xml:space="preserve">Het tijdstip van beoordelen of een nieuw goed is vervaardigd, is het leveringstijdstip. Tot slot is met betrekking tot het Nederlandse begrip gebouw van belang te weten dat onder </w:t>
      </w:r>
      <w:r w:rsidR="00A00913" w:rsidRPr="00484DAF">
        <w:rPr>
          <w:sz w:val="24"/>
          <w:szCs w:val="24"/>
        </w:rPr>
        <w:t xml:space="preserve">‘erbij behorend terrein’ wordt verstaan terrein dat naar maatschappelijke opvattingen tot een gebouw hoort, hetgeen per casus </w:t>
      </w:r>
      <w:r w:rsidR="009628D0" w:rsidRPr="00484DAF">
        <w:rPr>
          <w:sz w:val="24"/>
          <w:szCs w:val="24"/>
        </w:rPr>
        <w:t xml:space="preserve">dient te </w:t>
      </w:r>
      <w:r w:rsidR="00A00913" w:rsidRPr="00484DAF">
        <w:rPr>
          <w:sz w:val="24"/>
          <w:szCs w:val="24"/>
        </w:rPr>
        <w:t xml:space="preserve">worden beoordeeld. Opvallend is wel dat het HvJ EG </w:t>
      </w:r>
      <w:r w:rsidR="001B4484" w:rsidRPr="00484DAF">
        <w:rPr>
          <w:sz w:val="24"/>
          <w:szCs w:val="24"/>
        </w:rPr>
        <w:t xml:space="preserve">in het arrest </w:t>
      </w:r>
      <w:r w:rsidR="001B4484" w:rsidRPr="00484DAF">
        <w:rPr>
          <w:i/>
          <w:sz w:val="24"/>
          <w:szCs w:val="24"/>
        </w:rPr>
        <w:t xml:space="preserve">Brigitte Breitsohl </w:t>
      </w:r>
      <w:r w:rsidR="00A00913" w:rsidRPr="00484DAF">
        <w:rPr>
          <w:sz w:val="24"/>
          <w:szCs w:val="24"/>
        </w:rPr>
        <w:t>impliciet heeft gesteld</w:t>
      </w:r>
      <w:r w:rsidR="00163153" w:rsidRPr="00484DAF">
        <w:rPr>
          <w:sz w:val="24"/>
          <w:szCs w:val="24"/>
        </w:rPr>
        <w:t>,</w:t>
      </w:r>
      <w:r w:rsidR="00A00913" w:rsidRPr="00484DAF">
        <w:rPr>
          <w:sz w:val="24"/>
          <w:szCs w:val="24"/>
        </w:rPr>
        <w:t xml:space="preserve"> dat wanneer een terrein wordt aangemerkt </w:t>
      </w:r>
      <w:r w:rsidR="009628D0" w:rsidRPr="00484DAF">
        <w:rPr>
          <w:sz w:val="24"/>
          <w:szCs w:val="24"/>
        </w:rPr>
        <w:t xml:space="preserve">als </w:t>
      </w:r>
      <w:r w:rsidR="00A00913" w:rsidRPr="00484DAF">
        <w:rPr>
          <w:sz w:val="24"/>
          <w:szCs w:val="24"/>
        </w:rPr>
        <w:t>‘erbij behorend’ niet meer de status van bouwterrein kan verkrijgen.</w:t>
      </w:r>
    </w:p>
    <w:p w:rsidR="00D331A6" w:rsidRPr="00484DAF" w:rsidRDefault="00D331A6" w:rsidP="00CC552D">
      <w:pPr>
        <w:spacing w:after="0" w:line="360" w:lineRule="auto"/>
        <w:rPr>
          <w:sz w:val="24"/>
          <w:szCs w:val="24"/>
        </w:rPr>
      </w:pPr>
      <w:r w:rsidRPr="00484DAF">
        <w:rPr>
          <w:sz w:val="24"/>
          <w:szCs w:val="24"/>
        </w:rPr>
        <w:br w:type="page"/>
      </w:r>
    </w:p>
    <w:p w:rsidR="004A1AEF" w:rsidRPr="00484DAF" w:rsidRDefault="004A1AEF" w:rsidP="00CC552D">
      <w:pPr>
        <w:pStyle w:val="Kop1"/>
        <w:spacing w:before="0" w:line="360" w:lineRule="auto"/>
        <w:rPr>
          <w:rFonts w:ascii="Times New Roman" w:hAnsi="Times New Roman"/>
          <w:color w:val="auto"/>
          <w:sz w:val="24"/>
          <w:szCs w:val="24"/>
        </w:rPr>
      </w:pPr>
      <w:bookmarkStart w:id="73" w:name="_Toc254043926"/>
      <w:r w:rsidRPr="00484DAF">
        <w:rPr>
          <w:rFonts w:ascii="Times New Roman" w:hAnsi="Times New Roman"/>
          <w:color w:val="auto"/>
          <w:sz w:val="24"/>
          <w:szCs w:val="24"/>
        </w:rPr>
        <w:lastRenderedPageBreak/>
        <w:t>Hoofdstuk 4: Bouwterrein</w:t>
      </w:r>
      <w:bookmarkEnd w:id="73"/>
    </w:p>
    <w:p w:rsidR="004A1AEF" w:rsidRPr="00484DAF" w:rsidRDefault="00D572C9" w:rsidP="00CC552D">
      <w:pPr>
        <w:spacing w:after="0" w:line="360" w:lineRule="auto"/>
        <w:rPr>
          <w:sz w:val="24"/>
          <w:szCs w:val="24"/>
        </w:rPr>
      </w:pPr>
      <w:r w:rsidRPr="00484DAF">
        <w:rPr>
          <w:i/>
          <w:sz w:val="24"/>
          <w:szCs w:val="24"/>
        </w:rPr>
        <w:t xml:space="preserve">Van Zadelhoff </w:t>
      </w:r>
      <w:r w:rsidRPr="00484DAF">
        <w:rPr>
          <w:sz w:val="24"/>
          <w:szCs w:val="24"/>
        </w:rPr>
        <w:t>stelt in één van zijn artikelen gevat vast</w:t>
      </w:r>
      <w:r w:rsidR="008F299E" w:rsidRPr="00484DAF">
        <w:rPr>
          <w:sz w:val="24"/>
          <w:szCs w:val="24"/>
        </w:rPr>
        <w:t>:</w:t>
      </w:r>
      <w:r w:rsidRPr="00484DAF">
        <w:rPr>
          <w:sz w:val="24"/>
          <w:szCs w:val="24"/>
        </w:rPr>
        <w:t xml:space="preserve"> </w:t>
      </w:r>
      <w:r w:rsidRPr="00484DAF">
        <w:rPr>
          <w:i/>
          <w:sz w:val="24"/>
          <w:szCs w:val="24"/>
        </w:rPr>
        <w:t>‘Naast onder meer klei-, veen- en zandgronden, kunnen ook BTW-gronden worden onderscheiden.’</w:t>
      </w:r>
      <w:r w:rsidRPr="00484DAF">
        <w:rPr>
          <w:rStyle w:val="Voetnootmarkering"/>
          <w:sz w:val="24"/>
          <w:szCs w:val="24"/>
        </w:rPr>
        <w:footnoteReference w:id="163"/>
      </w:r>
      <w:r w:rsidRPr="00484DAF">
        <w:rPr>
          <w:sz w:val="24"/>
          <w:szCs w:val="24"/>
        </w:rPr>
        <w:t xml:space="preserve"> </w:t>
      </w:r>
      <w:r w:rsidR="007C4CE5" w:rsidRPr="00484DAF">
        <w:rPr>
          <w:sz w:val="24"/>
          <w:szCs w:val="24"/>
        </w:rPr>
        <w:t xml:space="preserve">Na in het vorige hoofdstuk de zinsnede ‘gebouw, gedeelte van een gebouw en het erbij behorende terrein’ uit artikel 11, lid 1, onderdeel a, ten eerste Wet OB 1968 te hebben onderzocht, wordt in dit hoofdstuk het begrip ‘bouwterrein’ ontleed. Daarvoor zal eerst </w:t>
      </w:r>
      <w:r w:rsidR="00DB6CD3" w:rsidRPr="00484DAF">
        <w:rPr>
          <w:sz w:val="24"/>
          <w:szCs w:val="24"/>
        </w:rPr>
        <w:t xml:space="preserve">worden </w:t>
      </w:r>
      <w:r w:rsidR="007C4CE5" w:rsidRPr="00484DAF">
        <w:rPr>
          <w:sz w:val="24"/>
          <w:szCs w:val="24"/>
        </w:rPr>
        <w:t>gekeken naar het Europees</w:t>
      </w:r>
      <w:r w:rsidR="00DB6CD3" w:rsidRPr="00484DAF">
        <w:rPr>
          <w:sz w:val="24"/>
          <w:szCs w:val="24"/>
        </w:rPr>
        <w:t xml:space="preserve"> </w:t>
      </w:r>
      <w:r w:rsidR="007C4CE5" w:rsidRPr="00484DAF">
        <w:rPr>
          <w:sz w:val="24"/>
          <w:szCs w:val="24"/>
        </w:rPr>
        <w:t xml:space="preserve">rechtelijke kader, waarna op </w:t>
      </w:r>
      <w:r w:rsidR="001673F1" w:rsidRPr="00484DAF">
        <w:rPr>
          <w:sz w:val="24"/>
          <w:szCs w:val="24"/>
        </w:rPr>
        <w:t>de Nederlandse invulling uitvoerig wordt ingegaan.</w:t>
      </w:r>
      <w:r w:rsidR="00534617" w:rsidRPr="00484DAF">
        <w:rPr>
          <w:sz w:val="24"/>
          <w:szCs w:val="24"/>
        </w:rPr>
        <w:t xml:space="preserve"> Van belang is allereerst te onderkennen dat gronden drie verschijningsvormen kennen, namelijk onbebouwde grond, bouwterrein en bebouwde grond.</w:t>
      </w:r>
      <w:r w:rsidR="00534617" w:rsidRPr="00484DAF">
        <w:rPr>
          <w:rStyle w:val="Voetnootmarkering"/>
          <w:sz w:val="24"/>
          <w:szCs w:val="24"/>
        </w:rPr>
        <w:footnoteReference w:id="164"/>
      </w:r>
      <w:r w:rsidR="00534617" w:rsidRPr="00484DAF">
        <w:rPr>
          <w:sz w:val="24"/>
          <w:szCs w:val="24"/>
        </w:rPr>
        <w:t xml:space="preserve"> Gedurende dit en komende hoofdstukken zullen deze drie elkaar veelvuldig kruisen.</w:t>
      </w:r>
    </w:p>
    <w:p w:rsidR="00557A1F" w:rsidRPr="00484DAF" w:rsidRDefault="00557A1F" w:rsidP="00CC552D">
      <w:pPr>
        <w:pStyle w:val="Geenafstand"/>
        <w:spacing w:line="360" w:lineRule="auto"/>
        <w:rPr>
          <w:sz w:val="24"/>
          <w:szCs w:val="24"/>
        </w:rPr>
      </w:pPr>
    </w:p>
    <w:p w:rsidR="001673F1" w:rsidRPr="00484DAF" w:rsidRDefault="001673F1" w:rsidP="00CC552D">
      <w:pPr>
        <w:pStyle w:val="Kop1"/>
        <w:spacing w:before="0" w:line="360" w:lineRule="auto"/>
        <w:rPr>
          <w:rFonts w:ascii="Times New Roman" w:hAnsi="Times New Roman"/>
          <w:color w:val="auto"/>
          <w:sz w:val="24"/>
          <w:szCs w:val="24"/>
        </w:rPr>
      </w:pPr>
      <w:bookmarkStart w:id="74" w:name="_Toc254043927"/>
      <w:r w:rsidRPr="00484DAF">
        <w:rPr>
          <w:rFonts w:ascii="Times New Roman" w:hAnsi="Times New Roman"/>
          <w:color w:val="auto"/>
          <w:sz w:val="24"/>
          <w:szCs w:val="24"/>
        </w:rPr>
        <w:t>4.1 Bouwterrein in BTW-richtlijn</w:t>
      </w:r>
      <w:bookmarkEnd w:id="74"/>
    </w:p>
    <w:p w:rsidR="007A3C31" w:rsidRPr="00484DAF" w:rsidRDefault="00166EF3" w:rsidP="00CC552D">
      <w:pPr>
        <w:spacing w:after="0" w:line="360" w:lineRule="auto"/>
        <w:rPr>
          <w:sz w:val="24"/>
          <w:szCs w:val="24"/>
        </w:rPr>
      </w:pPr>
      <w:r w:rsidRPr="00484DAF">
        <w:rPr>
          <w:sz w:val="24"/>
          <w:szCs w:val="24"/>
        </w:rPr>
        <w:t xml:space="preserve">Ingevolge artikel 135, lid 1, onderdeel k </w:t>
      </w:r>
      <w:r w:rsidR="00FE4339" w:rsidRPr="00484DAF">
        <w:rPr>
          <w:sz w:val="24"/>
          <w:szCs w:val="24"/>
        </w:rPr>
        <w:t xml:space="preserve">BTW-richtlijn </w:t>
      </w:r>
      <w:r w:rsidRPr="00484DAF">
        <w:rPr>
          <w:sz w:val="24"/>
          <w:szCs w:val="24"/>
        </w:rPr>
        <w:t xml:space="preserve">wordt vrijgesteld van BTW </w:t>
      </w:r>
      <w:r w:rsidRPr="00484DAF">
        <w:rPr>
          <w:i/>
          <w:sz w:val="24"/>
          <w:szCs w:val="24"/>
        </w:rPr>
        <w:t>‘de levering van onbebouwde gronden, met uitzondering van de in artikel 12, lid 1, punt b), bedoelde levering van een bouwterrein.’</w:t>
      </w:r>
      <w:r w:rsidRPr="00484DAF">
        <w:rPr>
          <w:sz w:val="24"/>
          <w:szCs w:val="24"/>
        </w:rPr>
        <w:t xml:space="preserve"> Terugbladerend naar artikel 12, lid 1, onderdeel b BTW-richtlijn en bekijkend in samenhang met artikel 12, lid 3 BTW-richtlijn blijkt dat </w:t>
      </w:r>
      <w:r w:rsidRPr="00484DAF">
        <w:rPr>
          <w:i/>
          <w:sz w:val="24"/>
          <w:szCs w:val="24"/>
        </w:rPr>
        <w:t xml:space="preserve">‘als bouwterrein </w:t>
      </w:r>
      <w:r w:rsidRPr="00484DAF">
        <w:rPr>
          <w:sz w:val="24"/>
          <w:szCs w:val="24"/>
        </w:rPr>
        <w:t>[wordt, MGVV]</w:t>
      </w:r>
      <w:r w:rsidRPr="00484DAF">
        <w:rPr>
          <w:i/>
          <w:sz w:val="24"/>
          <w:szCs w:val="24"/>
        </w:rPr>
        <w:t xml:space="preserve"> beschouwd, de door de lidstaten als zodanig omschreven al dan niet bouwrijp gemaakte terreinen.’</w:t>
      </w:r>
      <w:r w:rsidR="008F299E" w:rsidRPr="00484DAF">
        <w:rPr>
          <w:sz w:val="24"/>
          <w:szCs w:val="24"/>
        </w:rPr>
        <w:t xml:space="preserve"> Hieruit is op te maken, dat b</w:t>
      </w:r>
      <w:r w:rsidR="00D40E88" w:rsidRPr="00484DAF">
        <w:rPr>
          <w:sz w:val="24"/>
          <w:szCs w:val="24"/>
        </w:rPr>
        <w:t xml:space="preserve">ezien </w:t>
      </w:r>
      <w:r w:rsidR="008F299E" w:rsidRPr="00484DAF">
        <w:rPr>
          <w:sz w:val="24"/>
          <w:szCs w:val="24"/>
        </w:rPr>
        <w:t xml:space="preserve">vanuit </w:t>
      </w:r>
      <w:r w:rsidR="00D40E88" w:rsidRPr="00484DAF">
        <w:rPr>
          <w:sz w:val="24"/>
          <w:szCs w:val="24"/>
        </w:rPr>
        <w:t xml:space="preserve">de BTW-richtlijn de levering van een bouwterrein altijd </w:t>
      </w:r>
      <w:r w:rsidR="008F299E" w:rsidRPr="00484DAF">
        <w:rPr>
          <w:sz w:val="24"/>
          <w:szCs w:val="24"/>
        </w:rPr>
        <w:t xml:space="preserve">is </w:t>
      </w:r>
      <w:r w:rsidR="00D40E88" w:rsidRPr="00484DAF">
        <w:rPr>
          <w:sz w:val="24"/>
          <w:szCs w:val="24"/>
        </w:rPr>
        <w:t xml:space="preserve">belast </w:t>
      </w:r>
      <w:r w:rsidR="008F299E" w:rsidRPr="00484DAF">
        <w:rPr>
          <w:sz w:val="24"/>
          <w:szCs w:val="24"/>
        </w:rPr>
        <w:t xml:space="preserve">met BTW </w:t>
      </w:r>
      <w:r w:rsidR="00D40E88" w:rsidRPr="00484DAF">
        <w:rPr>
          <w:sz w:val="24"/>
          <w:szCs w:val="24"/>
        </w:rPr>
        <w:t xml:space="preserve">en het aan de lidstaten is om invulling te geven aan het begrip. </w:t>
      </w:r>
      <w:r w:rsidR="007A3C31" w:rsidRPr="00484DAF">
        <w:rPr>
          <w:i/>
          <w:sz w:val="24"/>
          <w:szCs w:val="24"/>
        </w:rPr>
        <w:t>Rakhan en Van Doorn</w:t>
      </w:r>
      <w:r w:rsidR="007A3C31" w:rsidRPr="00484DAF">
        <w:rPr>
          <w:rStyle w:val="Voetnootmarkering"/>
          <w:i/>
          <w:sz w:val="24"/>
          <w:szCs w:val="24"/>
        </w:rPr>
        <w:footnoteReference w:id="165"/>
      </w:r>
      <w:r w:rsidR="007A3C31" w:rsidRPr="00484DAF">
        <w:rPr>
          <w:sz w:val="24"/>
          <w:szCs w:val="24"/>
        </w:rPr>
        <w:t xml:space="preserve"> tonen zich oplettende lezers door zich af te vragen of de richtlijngever als basisvereiste voor het begrip bouwterrein heeft gesteld dat sprake moet zijn van onbebouwd terrein. Immers, bouwterreinen als bedoeld in artikel 12, lid 3 BTW-richtlijn vormen de uitzondering op alle “onbebouwde </w:t>
      </w:r>
      <w:r w:rsidR="00385071" w:rsidRPr="00484DAF">
        <w:rPr>
          <w:sz w:val="24"/>
          <w:szCs w:val="24"/>
        </w:rPr>
        <w:t>gronden</w:t>
      </w:r>
      <w:r w:rsidR="007A3C31" w:rsidRPr="00484DAF">
        <w:rPr>
          <w:sz w:val="24"/>
          <w:szCs w:val="24"/>
        </w:rPr>
        <w:t>”.</w:t>
      </w:r>
    </w:p>
    <w:p w:rsidR="00557A1F" w:rsidRPr="00484DAF" w:rsidRDefault="00557A1F" w:rsidP="00CC552D">
      <w:pPr>
        <w:pStyle w:val="Geenafstand"/>
        <w:spacing w:line="360" w:lineRule="auto"/>
        <w:rPr>
          <w:sz w:val="24"/>
          <w:szCs w:val="24"/>
        </w:rPr>
      </w:pPr>
    </w:p>
    <w:p w:rsidR="007A3C31" w:rsidRPr="00484DAF" w:rsidRDefault="007A3C31" w:rsidP="00CC552D">
      <w:pPr>
        <w:pStyle w:val="Kop2"/>
        <w:spacing w:before="0" w:line="360" w:lineRule="auto"/>
        <w:rPr>
          <w:rFonts w:ascii="Times New Roman" w:hAnsi="Times New Roman"/>
          <w:color w:val="auto"/>
          <w:sz w:val="24"/>
          <w:szCs w:val="24"/>
        </w:rPr>
      </w:pPr>
      <w:bookmarkStart w:id="75" w:name="_Toc254043928"/>
      <w:r w:rsidRPr="00484DAF">
        <w:rPr>
          <w:rFonts w:ascii="Times New Roman" w:hAnsi="Times New Roman"/>
          <w:color w:val="auto"/>
          <w:sz w:val="24"/>
          <w:szCs w:val="24"/>
        </w:rPr>
        <w:t xml:space="preserve">4.1.1 </w:t>
      </w:r>
      <w:r w:rsidR="00DF7EE3" w:rsidRPr="00484DAF">
        <w:rPr>
          <w:rFonts w:ascii="Times New Roman" w:hAnsi="Times New Roman"/>
          <w:color w:val="auto"/>
          <w:sz w:val="24"/>
          <w:szCs w:val="24"/>
        </w:rPr>
        <w:t>Communautair begrip</w:t>
      </w:r>
      <w:bookmarkEnd w:id="75"/>
    </w:p>
    <w:p w:rsidR="00F73503" w:rsidRPr="00484DAF" w:rsidRDefault="00D40E88" w:rsidP="00CC552D">
      <w:pPr>
        <w:spacing w:after="0" w:line="360" w:lineRule="auto"/>
        <w:rPr>
          <w:sz w:val="24"/>
          <w:szCs w:val="24"/>
        </w:rPr>
      </w:pPr>
      <w:r w:rsidRPr="00484DAF">
        <w:rPr>
          <w:sz w:val="24"/>
          <w:szCs w:val="24"/>
        </w:rPr>
        <w:t xml:space="preserve">Gezien de vrije omschrijving is het niet verwonderlijk dat prejudiciële vragen inzake de invulling </w:t>
      </w:r>
      <w:r w:rsidR="007A3C31" w:rsidRPr="00484DAF">
        <w:rPr>
          <w:sz w:val="24"/>
          <w:szCs w:val="24"/>
        </w:rPr>
        <w:t xml:space="preserve">van het begrip ‘bouwterrein’ </w:t>
      </w:r>
      <w:r w:rsidRPr="00484DAF">
        <w:rPr>
          <w:sz w:val="24"/>
          <w:szCs w:val="24"/>
        </w:rPr>
        <w:t xml:space="preserve">zijn gesteld. </w:t>
      </w:r>
      <w:r w:rsidR="006C16D7" w:rsidRPr="00484DAF">
        <w:rPr>
          <w:sz w:val="24"/>
          <w:szCs w:val="24"/>
        </w:rPr>
        <w:t>Deze vragen ko</w:t>
      </w:r>
      <w:r w:rsidR="006B060F" w:rsidRPr="00484DAF">
        <w:rPr>
          <w:sz w:val="24"/>
          <w:szCs w:val="24"/>
        </w:rPr>
        <w:t>men op conto van Hof Leeuwarden</w:t>
      </w:r>
      <w:r w:rsidR="006C16D7" w:rsidRPr="00484DAF">
        <w:rPr>
          <w:sz w:val="24"/>
          <w:szCs w:val="24"/>
        </w:rPr>
        <w:t xml:space="preserve"> die</w:t>
      </w:r>
      <w:r w:rsidR="00DA5DA4" w:rsidRPr="00484DAF">
        <w:rPr>
          <w:sz w:val="24"/>
          <w:szCs w:val="24"/>
        </w:rPr>
        <w:t xml:space="preserve"> </w:t>
      </w:r>
      <w:r w:rsidR="00CC36EC" w:rsidRPr="00484DAF">
        <w:rPr>
          <w:sz w:val="24"/>
          <w:szCs w:val="24"/>
        </w:rPr>
        <w:t>vragen heeft gesteld</w:t>
      </w:r>
      <w:r w:rsidR="007A3C31" w:rsidRPr="00484DAF">
        <w:rPr>
          <w:sz w:val="24"/>
          <w:szCs w:val="24"/>
        </w:rPr>
        <w:t xml:space="preserve"> </w:t>
      </w:r>
      <w:r w:rsidR="00540AFB" w:rsidRPr="00484DAF">
        <w:rPr>
          <w:sz w:val="24"/>
          <w:szCs w:val="24"/>
        </w:rPr>
        <w:t>welke uitmondde</w:t>
      </w:r>
      <w:r w:rsidR="007A3C31" w:rsidRPr="00484DAF">
        <w:rPr>
          <w:sz w:val="24"/>
          <w:szCs w:val="24"/>
        </w:rPr>
        <w:t>n</w:t>
      </w:r>
      <w:r w:rsidR="00CC36EC" w:rsidRPr="00484DAF">
        <w:rPr>
          <w:sz w:val="24"/>
          <w:szCs w:val="24"/>
        </w:rPr>
        <w:t xml:space="preserve"> </w:t>
      </w:r>
      <w:r w:rsidR="006B060F" w:rsidRPr="00484DAF">
        <w:rPr>
          <w:sz w:val="24"/>
          <w:szCs w:val="24"/>
        </w:rPr>
        <w:t xml:space="preserve">in het </w:t>
      </w:r>
      <w:r w:rsidR="00540AFB" w:rsidRPr="00484DAF">
        <w:rPr>
          <w:sz w:val="24"/>
          <w:szCs w:val="24"/>
        </w:rPr>
        <w:t xml:space="preserve">voor hen </w:t>
      </w:r>
      <w:r w:rsidR="006B060F" w:rsidRPr="00484DAF">
        <w:rPr>
          <w:sz w:val="24"/>
          <w:szCs w:val="24"/>
        </w:rPr>
        <w:t xml:space="preserve">weinig bevredigende </w:t>
      </w:r>
      <w:r w:rsidR="00CC36EC" w:rsidRPr="00484DAF">
        <w:rPr>
          <w:sz w:val="24"/>
          <w:szCs w:val="24"/>
        </w:rPr>
        <w:t xml:space="preserve">arrest </w:t>
      </w:r>
      <w:r w:rsidR="00CC36EC" w:rsidRPr="00484DAF">
        <w:rPr>
          <w:i/>
          <w:sz w:val="24"/>
          <w:szCs w:val="24"/>
        </w:rPr>
        <w:t>Gemeente Emmen</w:t>
      </w:r>
      <w:r w:rsidR="00CC36EC" w:rsidRPr="00484DAF">
        <w:rPr>
          <w:sz w:val="24"/>
          <w:szCs w:val="24"/>
        </w:rPr>
        <w:t>.</w:t>
      </w:r>
      <w:r w:rsidR="00CC36EC" w:rsidRPr="00484DAF">
        <w:rPr>
          <w:rStyle w:val="Voetnootmarkering"/>
          <w:sz w:val="24"/>
          <w:szCs w:val="24"/>
        </w:rPr>
        <w:footnoteReference w:id="166"/>
      </w:r>
      <w:r w:rsidR="00CC36EC" w:rsidRPr="00484DAF">
        <w:rPr>
          <w:sz w:val="24"/>
          <w:szCs w:val="24"/>
        </w:rPr>
        <w:t xml:space="preserve"> Het Friese Hof wilde </w:t>
      </w:r>
      <w:r w:rsidR="00D572C9" w:rsidRPr="00484DAF">
        <w:rPr>
          <w:sz w:val="24"/>
          <w:szCs w:val="24"/>
        </w:rPr>
        <w:t xml:space="preserve">gedetailleerd </w:t>
      </w:r>
      <w:r w:rsidR="00CC36EC" w:rsidRPr="00484DAF">
        <w:rPr>
          <w:sz w:val="24"/>
          <w:szCs w:val="24"/>
        </w:rPr>
        <w:t>weten</w:t>
      </w:r>
      <w:r w:rsidR="001B78E2" w:rsidRPr="00484DAF">
        <w:rPr>
          <w:sz w:val="24"/>
          <w:szCs w:val="24"/>
        </w:rPr>
        <w:t xml:space="preserve"> </w:t>
      </w:r>
      <w:r w:rsidR="009E7BD1" w:rsidRPr="00484DAF">
        <w:rPr>
          <w:sz w:val="24"/>
          <w:szCs w:val="24"/>
        </w:rPr>
        <w:t xml:space="preserve">wat onder bouwrijp gemaakte terreinen wordt verstaan, of het bestemmingsplan op die kwalificatie invloed heeft </w:t>
      </w:r>
      <w:r w:rsidR="001B78E2" w:rsidRPr="00484DAF">
        <w:rPr>
          <w:sz w:val="24"/>
          <w:szCs w:val="24"/>
        </w:rPr>
        <w:lastRenderedPageBreak/>
        <w:t xml:space="preserve">en/of </w:t>
      </w:r>
      <w:r w:rsidR="009E7BD1" w:rsidRPr="00484DAF">
        <w:rPr>
          <w:sz w:val="24"/>
          <w:szCs w:val="24"/>
        </w:rPr>
        <w:t>welke voorzieningen kwalificeren om van een bouwterrein te kunnen spreken.</w:t>
      </w:r>
      <w:r w:rsidR="009E7BD1" w:rsidRPr="00484DAF">
        <w:rPr>
          <w:rStyle w:val="Voetnootmarkering"/>
          <w:sz w:val="24"/>
          <w:szCs w:val="24"/>
        </w:rPr>
        <w:footnoteReference w:id="167"/>
      </w:r>
      <w:r w:rsidR="00BB5574" w:rsidRPr="00484DAF">
        <w:rPr>
          <w:sz w:val="24"/>
          <w:szCs w:val="24"/>
        </w:rPr>
        <w:t xml:space="preserve"> Het </w:t>
      </w:r>
      <w:r w:rsidR="007A3C31" w:rsidRPr="00484DAF">
        <w:rPr>
          <w:sz w:val="24"/>
          <w:szCs w:val="24"/>
        </w:rPr>
        <w:t xml:space="preserve">HvJ EG </w:t>
      </w:r>
      <w:r w:rsidR="00BB5574" w:rsidRPr="00484DAF">
        <w:rPr>
          <w:sz w:val="24"/>
          <w:szCs w:val="24"/>
        </w:rPr>
        <w:t>erkent dat strikte interpretatie</w:t>
      </w:r>
      <w:r w:rsidR="00FE4339" w:rsidRPr="00484DAF">
        <w:rPr>
          <w:rStyle w:val="Voetnootmarkering"/>
          <w:i/>
          <w:sz w:val="24"/>
          <w:szCs w:val="24"/>
        </w:rPr>
        <w:footnoteReference w:id="168"/>
      </w:r>
      <w:r w:rsidR="00BB5574" w:rsidRPr="00484DAF">
        <w:rPr>
          <w:sz w:val="24"/>
          <w:szCs w:val="24"/>
        </w:rPr>
        <w:t xml:space="preserve"> door lidstaten van autonome communautaire vrijstelling</w:t>
      </w:r>
      <w:r w:rsidR="00FE4339" w:rsidRPr="00484DAF">
        <w:rPr>
          <w:sz w:val="24"/>
          <w:szCs w:val="24"/>
        </w:rPr>
        <w:t xml:space="preserve">en vereist is, maar hiervan geen sprake </w:t>
      </w:r>
      <w:r w:rsidR="001B78E2" w:rsidRPr="00484DAF">
        <w:rPr>
          <w:sz w:val="24"/>
          <w:szCs w:val="24"/>
        </w:rPr>
        <w:t xml:space="preserve">kan </w:t>
      </w:r>
      <w:r w:rsidR="00FE4339" w:rsidRPr="00484DAF">
        <w:rPr>
          <w:sz w:val="24"/>
          <w:szCs w:val="24"/>
        </w:rPr>
        <w:t>zijn wanneer de omschrijving van bepaalde termen juist aan de lidstaten is overgelaten.</w:t>
      </w:r>
      <w:r w:rsidR="00FE4339" w:rsidRPr="00484DAF">
        <w:rPr>
          <w:rStyle w:val="Voetnootmarkering"/>
          <w:sz w:val="24"/>
          <w:szCs w:val="24"/>
        </w:rPr>
        <w:footnoteReference w:id="169"/>
      </w:r>
      <w:r w:rsidR="00FE4339" w:rsidRPr="00484DAF">
        <w:rPr>
          <w:sz w:val="24"/>
          <w:szCs w:val="24"/>
        </w:rPr>
        <w:t xml:space="preserve"> De enige beperking die </w:t>
      </w:r>
      <w:r w:rsidR="007D39E5" w:rsidRPr="00484DAF">
        <w:rPr>
          <w:sz w:val="24"/>
          <w:szCs w:val="24"/>
        </w:rPr>
        <w:t xml:space="preserve">de </w:t>
      </w:r>
      <w:r w:rsidR="00FE4339" w:rsidRPr="00484DAF">
        <w:rPr>
          <w:sz w:val="24"/>
          <w:szCs w:val="24"/>
        </w:rPr>
        <w:t xml:space="preserve">BTW-richtlijn aan lidstaten oplegt, is dat aan het doel van artikel 135, lid 1, onderdeel k BTW-richtlijn, namelijk de belastingvrije levering </w:t>
      </w:r>
      <w:r w:rsidR="007B3075" w:rsidRPr="00484DAF">
        <w:rPr>
          <w:sz w:val="24"/>
          <w:szCs w:val="24"/>
        </w:rPr>
        <w:t>van grond waarop niets is gebouwd noch de bedoeling bestaat om te bouwen, wordt getoo</w:t>
      </w:r>
      <w:r w:rsidR="001B78E2" w:rsidRPr="00484DAF">
        <w:rPr>
          <w:sz w:val="24"/>
          <w:szCs w:val="24"/>
        </w:rPr>
        <w:t>r</w:t>
      </w:r>
      <w:r w:rsidR="007B3075" w:rsidRPr="00484DAF">
        <w:rPr>
          <w:sz w:val="24"/>
          <w:szCs w:val="24"/>
        </w:rPr>
        <w:t>nd.</w:t>
      </w:r>
      <w:r w:rsidR="007B3075" w:rsidRPr="00484DAF">
        <w:rPr>
          <w:rStyle w:val="Voetnootmarkering"/>
          <w:sz w:val="24"/>
          <w:szCs w:val="24"/>
        </w:rPr>
        <w:footnoteReference w:id="170"/>
      </w:r>
      <w:r w:rsidR="00540AFB" w:rsidRPr="00484DAF">
        <w:rPr>
          <w:sz w:val="24"/>
          <w:szCs w:val="24"/>
        </w:rPr>
        <w:t xml:space="preserve"> </w:t>
      </w:r>
      <w:r w:rsidR="007A3C31" w:rsidRPr="00484DAF">
        <w:rPr>
          <w:sz w:val="24"/>
          <w:szCs w:val="24"/>
        </w:rPr>
        <w:t xml:space="preserve">Voorts is met betrekking tot voornoemd arrest van belang op te merken dat de zaak expliciet handelde over onbebouwde grond. </w:t>
      </w:r>
      <w:r w:rsidR="00F73503" w:rsidRPr="00484DAF">
        <w:rPr>
          <w:sz w:val="24"/>
          <w:szCs w:val="24"/>
        </w:rPr>
        <w:t xml:space="preserve">Uit het arrest komt echter niet duidelijk naar voren of </w:t>
      </w:r>
      <w:r w:rsidR="007A3C31" w:rsidRPr="00484DAF">
        <w:rPr>
          <w:sz w:val="24"/>
          <w:szCs w:val="24"/>
        </w:rPr>
        <w:t>bouwterrein</w:t>
      </w:r>
      <w:r w:rsidR="00F73503" w:rsidRPr="00484DAF">
        <w:rPr>
          <w:sz w:val="24"/>
          <w:szCs w:val="24"/>
        </w:rPr>
        <w:t xml:space="preserve"> onbebouwd moet zijn. </w:t>
      </w:r>
    </w:p>
    <w:p w:rsidR="00557A1F" w:rsidRPr="00484DAF" w:rsidRDefault="00557A1F" w:rsidP="00CC552D">
      <w:pPr>
        <w:pStyle w:val="Geenafstand"/>
        <w:spacing w:line="360" w:lineRule="auto"/>
        <w:rPr>
          <w:sz w:val="24"/>
          <w:szCs w:val="24"/>
        </w:rPr>
      </w:pPr>
    </w:p>
    <w:p w:rsidR="00DF7EE3" w:rsidRPr="00484DAF" w:rsidRDefault="00DF7EE3" w:rsidP="00CC552D">
      <w:pPr>
        <w:pStyle w:val="Kop2"/>
        <w:spacing w:before="0" w:line="360" w:lineRule="auto"/>
        <w:rPr>
          <w:rFonts w:ascii="Times New Roman" w:hAnsi="Times New Roman"/>
          <w:color w:val="auto"/>
          <w:sz w:val="24"/>
          <w:szCs w:val="24"/>
        </w:rPr>
      </w:pPr>
      <w:bookmarkStart w:id="76" w:name="_Toc254043929"/>
      <w:r w:rsidRPr="00484DAF">
        <w:rPr>
          <w:rFonts w:ascii="Times New Roman" w:hAnsi="Times New Roman"/>
          <w:color w:val="auto"/>
          <w:sz w:val="24"/>
          <w:szCs w:val="24"/>
        </w:rPr>
        <w:t>4.1.2 Bouwterrein (on)bebouwde grond?</w:t>
      </w:r>
      <w:bookmarkEnd w:id="76"/>
    </w:p>
    <w:p w:rsidR="001D7EA2" w:rsidRPr="00484DAF" w:rsidRDefault="00F73503" w:rsidP="00CC552D">
      <w:pPr>
        <w:spacing w:after="0" w:line="360" w:lineRule="auto"/>
        <w:rPr>
          <w:sz w:val="24"/>
          <w:szCs w:val="24"/>
        </w:rPr>
      </w:pPr>
      <w:r w:rsidRPr="00484DAF">
        <w:rPr>
          <w:sz w:val="24"/>
          <w:szCs w:val="24"/>
        </w:rPr>
        <w:t xml:space="preserve">Aanwijzingen voor het antwoord </w:t>
      </w:r>
      <w:r w:rsidR="00DF7EE3" w:rsidRPr="00484DAF">
        <w:rPr>
          <w:sz w:val="24"/>
          <w:szCs w:val="24"/>
        </w:rPr>
        <w:t xml:space="preserve">op laatste volzin </w:t>
      </w:r>
      <w:r w:rsidRPr="00484DAF">
        <w:rPr>
          <w:sz w:val="24"/>
          <w:szCs w:val="24"/>
        </w:rPr>
        <w:t xml:space="preserve">vinden </w:t>
      </w:r>
      <w:r w:rsidRPr="00484DAF">
        <w:rPr>
          <w:i/>
          <w:sz w:val="24"/>
          <w:szCs w:val="24"/>
        </w:rPr>
        <w:t>Rakhan en Van Doorn</w:t>
      </w:r>
      <w:r w:rsidRPr="00484DAF">
        <w:rPr>
          <w:sz w:val="24"/>
          <w:szCs w:val="24"/>
        </w:rPr>
        <w:t xml:space="preserve"> wel in de Franse vertaling van artikel 12, lid 3 BTW-richtlijn. Waar de Nederlandse versie spreekt van ‘al dan niet bouwrijp gemaakte terreinen’ (hetgeen niets los laat over de vereiste </w:t>
      </w:r>
      <w:r w:rsidR="007A30F2" w:rsidRPr="00484DAF">
        <w:rPr>
          <w:sz w:val="24"/>
          <w:szCs w:val="24"/>
        </w:rPr>
        <w:t>mate [</w:t>
      </w:r>
      <w:r w:rsidRPr="00484DAF">
        <w:rPr>
          <w:sz w:val="24"/>
          <w:szCs w:val="24"/>
        </w:rPr>
        <w:t>on</w:t>
      </w:r>
      <w:r w:rsidR="007A30F2" w:rsidRPr="00484DAF">
        <w:rPr>
          <w:sz w:val="24"/>
          <w:szCs w:val="24"/>
        </w:rPr>
        <w:t>]bebouwing</w:t>
      </w:r>
      <w:r w:rsidRPr="00484DAF">
        <w:rPr>
          <w:sz w:val="24"/>
          <w:szCs w:val="24"/>
        </w:rPr>
        <w:t xml:space="preserve">), spreekt de Franse versie van ‘terrains nus ou aménagés’, ofwel </w:t>
      </w:r>
      <w:r w:rsidR="007A30F2" w:rsidRPr="00484DAF">
        <w:rPr>
          <w:sz w:val="24"/>
          <w:szCs w:val="24"/>
        </w:rPr>
        <w:t>‘onbedekte (</w:t>
      </w:r>
      <w:r w:rsidR="00593976" w:rsidRPr="00484DAF">
        <w:rPr>
          <w:sz w:val="24"/>
          <w:szCs w:val="24"/>
        </w:rPr>
        <w:t>jargon: maagdelijke grond</w:t>
      </w:r>
      <w:r w:rsidR="00593976" w:rsidRPr="00484DAF">
        <w:rPr>
          <w:rStyle w:val="Voetnootmarkering"/>
          <w:sz w:val="24"/>
          <w:szCs w:val="24"/>
        </w:rPr>
        <w:footnoteReference w:id="171"/>
      </w:r>
      <w:r w:rsidR="007A30F2" w:rsidRPr="00484DAF">
        <w:rPr>
          <w:sz w:val="24"/>
          <w:szCs w:val="24"/>
        </w:rPr>
        <w:t xml:space="preserve">) of ingerichte terreinen’. De stelling van auteurs dat ‘ingericht’ duidt op bebouwde grond is mijns inziens wat voorbarig, maar wellicht valt ‘onbebouwde grond ingericht </w:t>
      </w:r>
      <w:r w:rsidR="00511D3B" w:rsidRPr="00484DAF">
        <w:rPr>
          <w:sz w:val="24"/>
          <w:szCs w:val="24"/>
        </w:rPr>
        <w:t xml:space="preserve">met in ieder geval </w:t>
      </w:r>
      <w:r w:rsidR="007A30F2" w:rsidRPr="00484DAF">
        <w:rPr>
          <w:sz w:val="24"/>
          <w:szCs w:val="24"/>
        </w:rPr>
        <w:t>voorziening(en) ten behoeve van bebouwing’ wel in het straatje van de BTW-richtlijn.</w:t>
      </w:r>
      <w:r w:rsidR="00E23322" w:rsidRPr="00484DAF">
        <w:rPr>
          <w:sz w:val="24"/>
          <w:szCs w:val="24"/>
        </w:rPr>
        <w:t xml:space="preserve"> Uit de toelichting en ontstaansgeschiedenis op </w:t>
      </w:r>
      <w:r w:rsidR="00511D3B" w:rsidRPr="00484DAF">
        <w:rPr>
          <w:sz w:val="24"/>
          <w:szCs w:val="24"/>
        </w:rPr>
        <w:t>artikel 135, lid </w:t>
      </w:r>
      <w:r w:rsidR="00E26E2D" w:rsidRPr="00484DAF">
        <w:rPr>
          <w:sz w:val="24"/>
          <w:szCs w:val="24"/>
        </w:rPr>
        <w:t xml:space="preserve">1, onderdeel j en k </w:t>
      </w:r>
      <w:r w:rsidR="00E23322" w:rsidRPr="00484DAF">
        <w:rPr>
          <w:sz w:val="24"/>
          <w:szCs w:val="24"/>
        </w:rPr>
        <w:t xml:space="preserve">BTW-richtlijn halen </w:t>
      </w:r>
      <w:r w:rsidR="00E23322" w:rsidRPr="00484DAF">
        <w:rPr>
          <w:i/>
          <w:sz w:val="24"/>
          <w:szCs w:val="24"/>
        </w:rPr>
        <w:t>Rakhan en Van Doorn</w:t>
      </w:r>
      <w:r w:rsidR="00E23322" w:rsidRPr="00484DAF">
        <w:rPr>
          <w:sz w:val="24"/>
          <w:szCs w:val="24"/>
        </w:rPr>
        <w:t xml:space="preserve"> een duidelijke aanwijzing dat ook bebouwde grond als bouwterrein door kan. Zij concluderen namelijk dat </w:t>
      </w:r>
      <w:r w:rsidR="00E26E2D" w:rsidRPr="00484DAF">
        <w:rPr>
          <w:sz w:val="24"/>
          <w:szCs w:val="24"/>
        </w:rPr>
        <w:t xml:space="preserve">de levering van onroerende goederen belast dient te zijn wanneer zij zich bevinden in de ‘bouw- en handelsfase’ om cumulatie in de bedrijfskolom te voorkomen. Deze fasen worden gekenmerkt doordat sprake is van levering voor eerste ingebruikneming respectievelijk dat sprake is van </w:t>
      </w:r>
      <w:r w:rsidR="00E26E2D" w:rsidRPr="00484DAF">
        <w:rPr>
          <w:sz w:val="24"/>
          <w:szCs w:val="24"/>
        </w:rPr>
        <w:lastRenderedPageBreak/>
        <w:t>een bouwterrein. Na deze fase wordt het onroerend goed ‘verbruikt’ en is een vrijstelling van toepassing.</w:t>
      </w:r>
      <w:r w:rsidR="00882242" w:rsidRPr="00484DAF">
        <w:rPr>
          <w:rStyle w:val="Voetnootmarkering"/>
          <w:sz w:val="24"/>
          <w:szCs w:val="24"/>
        </w:rPr>
        <w:footnoteReference w:id="172"/>
      </w:r>
    </w:p>
    <w:p w:rsidR="00557A1F" w:rsidRPr="00484DAF" w:rsidRDefault="00557A1F" w:rsidP="00CC552D">
      <w:pPr>
        <w:pStyle w:val="Geenafstand"/>
        <w:spacing w:line="360" w:lineRule="auto"/>
        <w:rPr>
          <w:sz w:val="24"/>
          <w:szCs w:val="24"/>
        </w:rPr>
      </w:pPr>
    </w:p>
    <w:p w:rsidR="00DF7EE3" w:rsidRPr="00484DAF" w:rsidRDefault="00DF7EE3" w:rsidP="00CC552D">
      <w:pPr>
        <w:pStyle w:val="Kop1"/>
        <w:spacing w:before="0" w:line="360" w:lineRule="auto"/>
        <w:rPr>
          <w:rFonts w:ascii="Times New Roman" w:hAnsi="Times New Roman"/>
          <w:color w:val="auto"/>
          <w:sz w:val="24"/>
          <w:szCs w:val="24"/>
        </w:rPr>
      </w:pPr>
      <w:bookmarkStart w:id="77" w:name="_Toc254043930"/>
      <w:r w:rsidRPr="00484DAF">
        <w:rPr>
          <w:rFonts w:ascii="Times New Roman" w:hAnsi="Times New Roman"/>
          <w:color w:val="auto"/>
          <w:sz w:val="24"/>
          <w:szCs w:val="24"/>
        </w:rPr>
        <w:t>4.2 Bouwterrein in Wet OB 1968</w:t>
      </w:r>
      <w:bookmarkEnd w:id="77"/>
    </w:p>
    <w:p w:rsidR="004102DB" w:rsidRPr="00484DAF" w:rsidRDefault="00EE1D39" w:rsidP="00CC552D">
      <w:pPr>
        <w:spacing w:after="0" w:line="360" w:lineRule="auto"/>
        <w:rPr>
          <w:sz w:val="24"/>
          <w:szCs w:val="24"/>
        </w:rPr>
      </w:pPr>
      <w:r w:rsidRPr="00484DAF">
        <w:rPr>
          <w:sz w:val="24"/>
          <w:szCs w:val="24"/>
        </w:rPr>
        <w:t xml:space="preserve">In de Nederlandse omzetbelasting omschrijft artikel 11, lid 4 Wet OB 1968 </w:t>
      </w:r>
      <w:r w:rsidR="00144E96" w:rsidRPr="00484DAF">
        <w:rPr>
          <w:sz w:val="24"/>
          <w:szCs w:val="24"/>
        </w:rPr>
        <w:t xml:space="preserve">sinds 11 juli 1997 </w:t>
      </w:r>
      <w:r w:rsidRPr="00484DAF">
        <w:rPr>
          <w:sz w:val="24"/>
          <w:szCs w:val="24"/>
        </w:rPr>
        <w:t xml:space="preserve">wat dient te worden verstaan onder de noemer ‘bouwterrein’. </w:t>
      </w:r>
      <w:r w:rsidR="00144E96" w:rsidRPr="00484DAF">
        <w:rPr>
          <w:sz w:val="24"/>
          <w:szCs w:val="24"/>
        </w:rPr>
        <w:t>Voor de wetswijziging</w:t>
      </w:r>
      <w:r w:rsidR="00144E96" w:rsidRPr="00484DAF">
        <w:rPr>
          <w:rStyle w:val="Voetnootmarkering"/>
          <w:sz w:val="24"/>
          <w:szCs w:val="24"/>
        </w:rPr>
        <w:footnoteReference w:id="173"/>
      </w:r>
      <w:r w:rsidR="00144E96" w:rsidRPr="00484DAF">
        <w:rPr>
          <w:sz w:val="24"/>
          <w:szCs w:val="24"/>
        </w:rPr>
        <w:t xml:space="preserve"> maakte de Nederlandse omzetbelastingwet geen onderscheid tussen bebouwde en onbebouwde grond.</w:t>
      </w:r>
      <w:r w:rsidR="00144E96" w:rsidRPr="00484DAF">
        <w:rPr>
          <w:rStyle w:val="Voetnootmarkering"/>
          <w:sz w:val="24"/>
          <w:szCs w:val="24"/>
        </w:rPr>
        <w:footnoteReference w:id="174"/>
      </w:r>
      <w:r w:rsidR="00144E96" w:rsidRPr="00484DAF">
        <w:rPr>
          <w:sz w:val="24"/>
          <w:szCs w:val="24"/>
        </w:rPr>
        <w:t xml:space="preserve"> Voor de kwalificatie van bouwterrein moet het gaan</w:t>
      </w:r>
      <w:r w:rsidR="009E6E9A" w:rsidRPr="00484DAF">
        <w:rPr>
          <w:sz w:val="24"/>
          <w:szCs w:val="24"/>
        </w:rPr>
        <w:t xml:space="preserve"> om onbebouwde grond (eerste voorwa</w:t>
      </w:r>
      <w:r w:rsidR="004102DB" w:rsidRPr="00484DAF">
        <w:rPr>
          <w:sz w:val="24"/>
          <w:szCs w:val="24"/>
        </w:rPr>
        <w:t>arde)</w:t>
      </w:r>
      <w:r w:rsidR="009E6E9A" w:rsidRPr="00484DAF">
        <w:rPr>
          <w:sz w:val="24"/>
          <w:szCs w:val="24"/>
        </w:rPr>
        <w:t xml:space="preserve"> waaraan </w:t>
      </w:r>
      <w:r w:rsidR="004102DB" w:rsidRPr="00484DAF">
        <w:rPr>
          <w:sz w:val="24"/>
          <w:szCs w:val="24"/>
        </w:rPr>
        <w:t xml:space="preserve">met het oog op bebouwing (tweede voorwaarde, hoewel </w:t>
      </w:r>
      <w:r w:rsidR="00D46DB3" w:rsidRPr="00484DAF">
        <w:rPr>
          <w:sz w:val="24"/>
          <w:szCs w:val="24"/>
        </w:rPr>
        <w:t xml:space="preserve">het de slotzin van </w:t>
      </w:r>
      <w:r w:rsidR="004102DB" w:rsidRPr="00484DAF">
        <w:rPr>
          <w:sz w:val="24"/>
          <w:szCs w:val="24"/>
        </w:rPr>
        <w:t xml:space="preserve">genoemd lid </w:t>
      </w:r>
      <w:r w:rsidR="00D46DB3" w:rsidRPr="00484DAF">
        <w:rPr>
          <w:sz w:val="24"/>
          <w:szCs w:val="24"/>
        </w:rPr>
        <w:t>betreft</w:t>
      </w:r>
      <w:r w:rsidR="004102DB" w:rsidRPr="00484DAF">
        <w:rPr>
          <w:sz w:val="24"/>
          <w:szCs w:val="24"/>
        </w:rPr>
        <w:t xml:space="preserve">) aan één van de volgende criteria is voldaan: </w:t>
      </w:r>
    </w:p>
    <w:p w:rsidR="004102DB" w:rsidRPr="00484DAF" w:rsidRDefault="004102DB" w:rsidP="00CC552D">
      <w:pPr>
        <w:pStyle w:val="Lijstalinea"/>
        <w:numPr>
          <w:ilvl w:val="0"/>
          <w:numId w:val="3"/>
        </w:numPr>
        <w:spacing w:after="0" w:line="360" w:lineRule="auto"/>
        <w:contextualSpacing w:val="0"/>
        <w:rPr>
          <w:sz w:val="24"/>
          <w:szCs w:val="24"/>
        </w:rPr>
      </w:pPr>
      <w:r w:rsidRPr="00484DAF">
        <w:rPr>
          <w:sz w:val="24"/>
          <w:szCs w:val="24"/>
        </w:rPr>
        <w:t xml:space="preserve">er vinden </w:t>
      </w:r>
      <w:r w:rsidR="009E6E9A" w:rsidRPr="00484DAF">
        <w:rPr>
          <w:sz w:val="24"/>
          <w:szCs w:val="24"/>
        </w:rPr>
        <w:t xml:space="preserve">bewerkingen </w:t>
      </w:r>
      <w:r w:rsidRPr="00484DAF">
        <w:rPr>
          <w:sz w:val="24"/>
          <w:szCs w:val="24"/>
        </w:rPr>
        <w:t>plaats of deze hebben plaatsgevonden (artikel 11, lid 4, onderdeel a Wet OB 1968); of</w:t>
      </w:r>
    </w:p>
    <w:p w:rsidR="004102DB" w:rsidRPr="00484DAF" w:rsidRDefault="004102DB" w:rsidP="00CC552D">
      <w:pPr>
        <w:pStyle w:val="Lijstalinea"/>
        <w:numPr>
          <w:ilvl w:val="0"/>
          <w:numId w:val="3"/>
        </w:numPr>
        <w:spacing w:after="0" w:line="360" w:lineRule="auto"/>
        <w:contextualSpacing w:val="0"/>
        <w:rPr>
          <w:sz w:val="24"/>
          <w:szCs w:val="24"/>
        </w:rPr>
      </w:pPr>
      <w:r w:rsidRPr="00484DAF">
        <w:rPr>
          <w:sz w:val="24"/>
          <w:szCs w:val="24"/>
        </w:rPr>
        <w:t xml:space="preserve">er worden of zijn </w:t>
      </w:r>
      <w:r w:rsidR="009E6E9A" w:rsidRPr="00484DAF">
        <w:rPr>
          <w:sz w:val="24"/>
          <w:szCs w:val="24"/>
        </w:rPr>
        <w:t>voorzieningen getroffen die uitsluitend dienstbaar zijn aan de grond</w:t>
      </w:r>
      <w:r w:rsidRPr="00484DAF">
        <w:rPr>
          <w:sz w:val="24"/>
          <w:szCs w:val="24"/>
        </w:rPr>
        <w:t xml:space="preserve"> (artikel 11, lid 4, onderdeel b Wet OB 1968); of</w:t>
      </w:r>
    </w:p>
    <w:p w:rsidR="004102DB" w:rsidRPr="00484DAF" w:rsidRDefault="009E6E9A" w:rsidP="00CC552D">
      <w:pPr>
        <w:pStyle w:val="Lijstalinea"/>
        <w:numPr>
          <w:ilvl w:val="0"/>
          <w:numId w:val="3"/>
        </w:numPr>
        <w:spacing w:after="0" w:line="360" w:lineRule="auto"/>
        <w:contextualSpacing w:val="0"/>
        <w:rPr>
          <w:sz w:val="24"/>
          <w:szCs w:val="24"/>
        </w:rPr>
      </w:pPr>
      <w:r w:rsidRPr="00484DAF">
        <w:rPr>
          <w:sz w:val="24"/>
          <w:szCs w:val="24"/>
        </w:rPr>
        <w:t xml:space="preserve">in de omgeving </w:t>
      </w:r>
      <w:r w:rsidR="004102DB" w:rsidRPr="00484DAF">
        <w:rPr>
          <w:sz w:val="24"/>
          <w:szCs w:val="24"/>
        </w:rPr>
        <w:t xml:space="preserve">worden of zijn </w:t>
      </w:r>
      <w:r w:rsidRPr="00484DAF">
        <w:rPr>
          <w:sz w:val="24"/>
          <w:szCs w:val="24"/>
        </w:rPr>
        <w:t>voorzieningen zijn getroffen</w:t>
      </w:r>
      <w:r w:rsidR="004102DB" w:rsidRPr="00484DAF">
        <w:rPr>
          <w:sz w:val="24"/>
          <w:szCs w:val="24"/>
        </w:rPr>
        <w:t xml:space="preserve"> (artikel 11, lid 4, onderdeel c Wet OB 1968); of</w:t>
      </w:r>
    </w:p>
    <w:p w:rsidR="00DF7EE3" w:rsidRPr="00484DAF" w:rsidRDefault="009E6E9A" w:rsidP="00CC552D">
      <w:pPr>
        <w:pStyle w:val="Lijstalinea"/>
        <w:numPr>
          <w:ilvl w:val="0"/>
          <w:numId w:val="3"/>
        </w:numPr>
        <w:spacing w:after="0" w:line="360" w:lineRule="auto"/>
        <w:contextualSpacing w:val="0"/>
        <w:rPr>
          <w:sz w:val="24"/>
          <w:szCs w:val="24"/>
        </w:rPr>
      </w:pPr>
      <w:r w:rsidRPr="00484DAF">
        <w:rPr>
          <w:sz w:val="24"/>
          <w:szCs w:val="24"/>
        </w:rPr>
        <w:t xml:space="preserve"> </w:t>
      </w:r>
      <w:r w:rsidR="004102DB" w:rsidRPr="00484DAF">
        <w:rPr>
          <w:sz w:val="24"/>
          <w:szCs w:val="24"/>
        </w:rPr>
        <w:t xml:space="preserve">er is </w:t>
      </w:r>
      <w:r w:rsidRPr="00484DAF">
        <w:rPr>
          <w:sz w:val="24"/>
          <w:szCs w:val="24"/>
        </w:rPr>
        <w:t>een bouwvergunning verleend</w:t>
      </w:r>
      <w:r w:rsidR="004102DB" w:rsidRPr="00484DAF">
        <w:rPr>
          <w:sz w:val="24"/>
          <w:szCs w:val="24"/>
        </w:rPr>
        <w:t xml:space="preserve"> </w:t>
      </w:r>
      <w:r w:rsidR="007F02B5" w:rsidRPr="00484DAF">
        <w:rPr>
          <w:sz w:val="24"/>
          <w:szCs w:val="24"/>
        </w:rPr>
        <w:t>(artikel 11, lid 4, onderdeel d</w:t>
      </w:r>
      <w:r w:rsidR="004102DB" w:rsidRPr="00484DAF">
        <w:rPr>
          <w:sz w:val="24"/>
          <w:szCs w:val="24"/>
        </w:rPr>
        <w:t xml:space="preserve"> Wet OB 1968)</w:t>
      </w:r>
      <w:r w:rsidR="007F02B5" w:rsidRPr="00484DAF">
        <w:rPr>
          <w:sz w:val="24"/>
          <w:szCs w:val="24"/>
        </w:rPr>
        <w:t>.</w:t>
      </w:r>
    </w:p>
    <w:p w:rsidR="00557A1F" w:rsidRPr="00484DAF" w:rsidRDefault="00557A1F" w:rsidP="00CC552D">
      <w:pPr>
        <w:spacing w:after="0" w:line="360" w:lineRule="auto"/>
        <w:rPr>
          <w:sz w:val="24"/>
          <w:szCs w:val="24"/>
        </w:rPr>
      </w:pPr>
    </w:p>
    <w:p w:rsidR="001D7EA2" w:rsidRPr="00484DAF" w:rsidRDefault="007F02B5" w:rsidP="00CC552D">
      <w:pPr>
        <w:pStyle w:val="Kop2"/>
        <w:spacing w:before="0" w:line="360" w:lineRule="auto"/>
        <w:rPr>
          <w:rFonts w:ascii="Times New Roman" w:hAnsi="Times New Roman"/>
          <w:color w:val="auto"/>
          <w:sz w:val="24"/>
          <w:szCs w:val="24"/>
        </w:rPr>
      </w:pPr>
      <w:bookmarkStart w:id="78" w:name="_Toc254043931"/>
      <w:r w:rsidRPr="00484DAF">
        <w:rPr>
          <w:rFonts w:ascii="Times New Roman" w:hAnsi="Times New Roman"/>
          <w:color w:val="auto"/>
          <w:sz w:val="24"/>
          <w:szCs w:val="24"/>
        </w:rPr>
        <w:t>4.2.1 Onbebouwde grond</w:t>
      </w:r>
      <w:bookmarkEnd w:id="78"/>
    </w:p>
    <w:p w:rsidR="007F02B5" w:rsidRPr="00484DAF" w:rsidRDefault="007F02B5" w:rsidP="00CC552D">
      <w:pPr>
        <w:spacing w:after="0" w:line="360" w:lineRule="auto"/>
        <w:rPr>
          <w:sz w:val="24"/>
          <w:szCs w:val="24"/>
        </w:rPr>
      </w:pPr>
      <w:r w:rsidRPr="00484DAF">
        <w:rPr>
          <w:sz w:val="24"/>
          <w:szCs w:val="24"/>
        </w:rPr>
        <w:t>De eerste voorwaarde voor een bouwterrein volgens de Nederlandse wetgever is dat sprake moet zijn voor onbebouwde grond.</w:t>
      </w:r>
      <w:r w:rsidR="00F92769" w:rsidRPr="00484DAF">
        <w:rPr>
          <w:rStyle w:val="Voetnootmarkering"/>
          <w:sz w:val="24"/>
          <w:szCs w:val="24"/>
        </w:rPr>
        <w:footnoteReference w:id="175"/>
      </w:r>
      <w:r w:rsidRPr="00484DAF">
        <w:rPr>
          <w:sz w:val="24"/>
          <w:szCs w:val="24"/>
        </w:rPr>
        <w:t xml:space="preserve"> </w:t>
      </w:r>
      <w:r w:rsidR="00F32174" w:rsidRPr="00484DAF">
        <w:rPr>
          <w:sz w:val="24"/>
          <w:szCs w:val="24"/>
        </w:rPr>
        <w:t>Het begrip ‘onbebouwde grond’ zelf</w:t>
      </w:r>
      <w:r w:rsidR="00DA5DA4" w:rsidRPr="00484DAF">
        <w:rPr>
          <w:sz w:val="24"/>
          <w:szCs w:val="24"/>
        </w:rPr>
        <w:t xml:space="preserve"> </w:t>
      </w:r>
      <w:r w:rsidR="00F32174" w:rsidRPr="00484DAF">
        <w:rPr>
          <w:sz w:val="24"/>
          <w:szCs w:val="24"/>
        </w:rPr>
        <w:t xml:space="preserve">wordt door de wetgever niet uitgelegd. Aangenomen dient te worden dat naar spraakgebruik invulling aan dit criterium mag worden gegeven. Met andere woorden, grond </w:t>
      </w:r>
      <w:r w:rsidR="00C24CF9" w:rsidRPr="00484DAF">
        <w:rPr>
          <w:sz w:val="24"/>
          <w:szCs w:val="24"/>
        </w:rPr>
        <w:t>waarvan</w:t>
      </w:r>
      <w:r w:rsidR="00F92769" w:rsidRPr="00484DAF">
        <w:rPr>
          <w:sz w:val="24"/>
          <w:szCs w:val="24"/>
        </w:rPr>
        <w:t xml:space="preserve"> boven </w:t>
      </w:r>
      <w:r w:rsidR="008902EC" w:rsidRPr="00484DAF">
        <w:rPr>
          <w:sz w:val="24"/>
          <w:szCs w:val="24"/>
        </w:rPr>
        <w:t xml:space="preserve">het oppervlak </w:t>
      </w:r>
      <w:r w:rsidR="00F92769" w:rsidRPr="00484DAF">
        <w:rPr>
          <w:sz w:val="24"/>
          <w:szCs w:val="24"/>
        </w:rPr>
        <w:t xml:space="preserve">geen </w:t>
      </w:r>
      <w:r w:rsidR="00F32174" w:rsidRPr="00484DAF">
        <w:rPr>
          <w:sz w:val="24"/>
          <w:szCs w:val="24"/>
        </w:rPr>
        <w:t>bebouwing</w:t>
      </w:r>
      <w:r w:rsidR="00F92769" w:rsidRPr="00484DAF">
        <w:rPr>
          <w:sz w:val="24"/>
          <w:szCs w:val="24"/>
        </w:rPr>
        <w:t xml:space="preserve"> aanwezig is</w:t>
      </w:r>
      <w:r w:rsidR="00F32174" w:rsidRPr="00484DAF">
        <w:rPr>
          <w:sz w:val="24"/>
          <w:szCs w:val="24"/>
        </w:rPr>
        <w:t>.</w:t>
      </w:r>
      <w:r w:rsidR="00F92769" w:rsidRPr="00484DAF">
        <w:rPr>
          <w:rStyle w:val="Voetnootmarkering"/>
          <w:sz w:val="24"/>
          <w:szCs w:val="24"/>
        </w:rPr>
        <w:footnoteReference w:id="176"/>
      </w:r>
      <w:r w:rsidR="00D46DB3" w:rsidRPr="00484DAF">
        <w:rPr>
          <w:sz w:val="24"/>
          <w:szCs w:val="24"/>
        </w:rPr>
        <w:t xml:space="preserve"> Daarbij zijn alleen die gronden zonder </w:t>
      </w:r>
      <w:r w:rsidR="00616D87" w:rsidRPr="00484DAF">
        <w:rPr>
          <w:sz w:val="24"/>
          <w:szCs w:val="24"/>
        </w:rPr>
        <w:t xml:space="preserve">enige </w:t>
      </w:r>
      <w:r w:rsidR="00D46DB3" w:rsidRPr="00484DAF">
        <w:rPr>
          <w:sz w:val="24"/>
          <w:szCs w:val="24"/>
        </w:rPr>
        <w:t>bebouwing belast met BTW</w:t>
      </w:r>
      <w:r w:rsidR="003F0A8B" w:rsidRPr="00484DAF">
        <w:rPr>
          <w:sz w:val="24"/>
          <w:szCs w:val="24"/>
        </w:rPr>
        <w:t>,</w:t>
      </w:r>
      <w:r w:rsidR="00D46DB3" w:rsidRPr="00484DAF">
        <w:rPr>
          <w:sz w:val="24"/>
          <w:szCs w:val="24"/>
        </w:rPr>
        <w:t xml:space="preserve"> die voldoen aan één van de opgesomde criteria.</w:t>
      </w:r>
      <w:r w:rsidR="00D46DB3" w:rsidRPr="00484DAF">
        <w:rPr>
          <w:rStyle w:val="Voetnootmarkering"/>
          <w:sz w:val="24"/>
          <w:szCs w:val="24"/>
        </w:rPr>
        <w:footnoteReference w:id="177"/>
      </w:r>
    </w:p>
    <w:p w:rsidR="00032945" w:rsidRPr="00484DAF" w:rsidRDefault="00032945" w:rsidP="00CC552D">
      <w:pPr>
        <w:pStyle w:val="Kop2"/>
        <w:spacing w:before="0" w:line="360" w:lineRule="auto"/>
        <w:rPr>
          <w:rFonts w:ascii="Times New Roman" w:hAnsi="Times New Roman"/>
          <w:color w:val="auto"/>
          <w:sz w:val="24"/>
          <w:szCs w:val="24"/>
        </w:rPr>
      </w:pPr>
      <w:bookmarkStart w:id="79" w:name="_Toc254043932"/>
      <w:r w:rsidRPr="00484DAF">
        <w:rPr>
          <w:rFonts w:ascii="Times New Roman" w:hAnsi="Times New Roman"/>
          <w:color w:val="auto"/>
          <w:sz w:val="24"/>
          <w:szCs w:val="24"/>
        </w:rPr>
        <w:lastRenderedPageBreak/>
        <w:t>4.2.2 Met het oog op bebouwing</w:t>
      </w:r>
      <w:bookmarkEnd w:id="79"/>
    </w:p>
    <w:p w:rsidR="00144E96" w:rsidRPr="00484DAF" w:rsidRDefault="003A5DC4" w:rsidP="00CC552D">
      <w:pPr>
        <w:spacing w:after="0" w:line="360" w:lineRule="auto"/>
        <w:rPr>
          <w:sz w:val="24"/>
          <w:szCs w:val="24"/>
        </w:rPr>
      </w:pPr>
      <w:r w:rsidRPr="00484DAF">
        <w:rPr>
          <w:sz w:val="24"/>
          <w:szCs w:val="24"/>
        </w:rPr>
        <w:t>Onbebouwde grond zal nooit een bouwterrein worden indien het oogmerk tot bebouwing ontbreekt. Met andere woorden, als bewerkingen of voor</w:t>
      </w:r>
      <w:r w:rsidR="003F0A8B" w:rsidRPr="00484DAF">
        <w:rPr>
          <w:sz w:val="24"/>
          <w:szCs w:val="24"/>
        </w:rPr>
        <w:t>zieningen met andere bedoeling d</w:t>
      </w:r>
      <w:r w:rsidRPr="00484DAF">
        <w:rPr>
          <w:sz w:val="24"/>
          <w:szCs w:val="24"/>
        </w:rPr>
        <w:t>an bebouwing worden gedaan</w:t>
      </w:r>
      <w:r w:rsidR="003F0A8B" w:rsidRPr="00484DAF">
        <w:rPr>
          <w:sz w:val="24"/>
          <w:szCs w:val="24"/>
        </w:rPr>
        <w:t xml:space="preserve"> verricht respectievelijk getroffen</w:t>
      </w:r>
      <w:r w:rsidRPr="00484DAF">
        <w:rPr>
          <w:sz w:val="24"/>
          <w:szCs w:val="24"/>
        </w:rPr>
        <w:t xml:space="preserve">. </w:t>
      </w:r>
      <w:r w:rsidR="00392E7F" w:rsidRPr="00484DAF">
        <w:rPr>
          <w:sz w:val="24"/>
          <w:szCs w:val="24"/>
        </w:rPr>
        <w:t>Ter illustratie, i</w:t>
      </w:r>
      <w:r w:rsidRPr="00484DAF">
        <w:rPr>
          <w:sz w:val="24"/>
          <w:szCs w:val="24"/>
        </w:rPr>
        <w:t xml:space="preserve">n het arrest van </w:t>
      </w:r>
      <w:r w:rsidR="00080513" w:rsidRPr="00484DAF">
        <w:rPr>
          <w:sz w:val="24"/>
          <w:szCs w:val="24"/>
        </w:rPr>
        <w:t>7</w:t>
      </w:r>
      <w:r w:rsidR="003F0A8B" w:rsidRPr="00484DAF">
        <w:rPr>
          <w:sz w:val="24"/>
          <w:szCs w:val="24"/>
        </w:rPr>
        <w:t> </w:t>
      </w:r>
      <w:r w:rsidR="00080513" w:rsidRPr="00484DAF">
        <w:rPr>
          <w:sz w:val="24"/>
          <w:szCs w:val="24"/>
        </w:rPr>
        <w:t>december 1994</w:t>
      </w:r>
      <w:r w:rsidR="00080513" w:rsidRPr="00484DAF">
        <w:rPr>
          <w:rStyle w:val="Voetnootmarkering"/>
          <w:sz w:val="24"/>
          <w:szCs w:val="24"/>
        </w:rPr>
        <w:footnoteReference w:id="178"/>
      </w:r>
      <w:r w:rsidR="00235442" w:rsidRPr="00484DAF">
        <w:rPr>
          <w:sz w:val="24"/>
          <w:szCs w:val="24"/>
        </w:rPr>
        <w:t xml:space="preserve"> </w:t>
      </w:r>
      <w:r w:rsidR="003F0A8B" w:rsidRPr="00484DAF">
        <w:rPr>
          <w:sz w:val="24"/>
          <w:szCs w:val="24"/>
        </w:rPr>
        <w:t xml:space="preserve">was </w:t>
      </w:r>
      <w:r w:rsidR="00235442" w:rsidRPr="00484DAF">
        <w:rPr>
          <w:sz w:val="24"/>
          <w:szCs w:val="24"/>
        </w:rPr>
        <w:t xml:space="preserve">in geding of een belastingplichtige omzetbelasting diende te voldoen over de levering van een stuk grasland welke door de verkoper is omgeploegd om bedrijfsklaar te </w:t>
      </w:r>
      <w:r w:rsidR="00C24CF9" w:rsidRPr="00484DAF">
        <w:rPr>
          <w:sz w:val="24"/>
          <w:szCs w:val="24"/>
        </w:rPr>
        <w:t xml:space="preserve">maken </w:t>
      </w:r>
      <w:r w:rsidR="00235442" w:rsidRPr="00484DAF">
        <w:rPr>
          <w:sz w:val="24"/>
          <w:szCs w:val="24"/>
        </w:rPr>
        <w:t>voor bollenteelt. Weliswaar hadden aan de grond bewerkingen plaatsgevonden, maar aangezien het oogmerk tot bebouwing ontbrak, was van een bouwterrein geen sprake.</w:t>
      </w:r>
      <w:r w:rsidR="005064C2" w:rsidRPr="00484DAF">
        <w:rPr>
          <w:sz w:val="24"/>
          <w:szCs w:val="24"/>
        </w:rPr>
        <w:t xml:space="preserve"> </w:t>
      </w:r>
    </w:p>
    <w:p w:rsidR="00557A1F" w:rsidRPr="00484DAF" w:rsidRDefault="00557A1F" w:rsidP="00CC552D">
      <w:pPr>
        <w:pStyle w:val="Geenafstand"/>
        <w:spacing w:line="360" w:lineRule="auto"/>
        <w:rPr>
          <w:sz w:val="24"/>
          <w:szCs w:val="24"/>
        </w:rPr>
      </w:pPr>
    </w:p>
    <w:p w:rsidR="00144E96" w:rsidRPr="00484DAF" w:rsidRDefault="00144E96" w:rsidP="00CC552D">
      <w:pPr>
        <w:pStyle w:val="Kop3"/>
        <w:spacing w:before="0" w:line="360" w:lineRule="auto"/>
        <w:rPr>
          <w:rFonts w:ascii="Times New Roman" w:hAnsi="Times New Roman"/>
          <w:color w:val="auto"/>
          <w:sz w:val="24"/>
          <w:szCs w:val="24"/>
        </w:rPr>
      </w:pPr>
      <w:bookmarkStart w:id="80" w:name="_Toc254043933"/>
      <w:r w:rsidRPr="00484DAF">
        <w:rPr>
          <w:rFonts w:ascii="Times New Roman" w:hAnsi="Times New Roman"/>
          <w:color w:val="auto"/>
          <w:sz w:val="24"/>
          <w:szCs w:val="24"/>
        </w:rPr>
        <w:t>4.2.2.1 Voor eeuwig een bouwterrein?</w:t>
      </w:r>
      <w:bookmarkEnd w:id="80"/>
    </w:p>
    <w:p w:rsidR="005064C2" w:rsidRPr="00484DAF" w:rsidRDefault="00D50483" w:rsidP="00CC552D">
      <w:pPr>
        <w:spacing w:after="0" w:line="360" w:lineRule="auto"/>
        <w:rPr>
          <w:sz w:val="24"/>
          <w:szCs w:val="24"/>
        </w:rPr>
      </w:pPr>
      <w:r w:rsidRPr="00484DAF">
        <w:rPr>
          <w:sz w:val="24"/>
          <w:szCs w:val="24"/>
        </w:rPr>
        <w:t>Het voornemen voor bebouwing kan jarenlang blijven staan</w:t>
      </w:r>
      <w:r w:rsidR="00C24CF9" w:rsidRPr="00484DAF">
        <w:rPr>
          <w:sz w:val="24"/>
          <w:szCs w:val="24"/>
        </w:rPr>
        <w:t>,</w:t>
      </w:r>
      <w:r w:rsidRPr="00484DAF">
        <w:rPr>
          <w:sz w:val="24"/>
          <w:szCs w:val="24"/>
        </w:rPr>
        <w:t xml:space="preserve"> zo blijkt uit een arrest van 24 december 2004.</w:t>
      </w:r>
      <w:r w:rsidR="00D17953" w:rsidRPr="00484DAF">
        <w:rPr>
          <w:rStyle w:val="Voetnootmarkering"/>
          <w:sz w:val="24"/>
          <w:szCs w:val="24"/>
        </w:rPr>
        <w:footnoteReference w:id="179"/>
      </w:r>
      <w:r w:rsidR="00D17953" w:rsidRPr="00484DAF">
        <w:rPr>
          <w:sz w:val="24"/>
          <w:szCs w:val="24"/>
        </w:rPr>
        <w:t xml:space="preserve"> In casu maakten </w:t>
      </w:r>
      <w:r w:rsidRPr="00484DAF">
        <w:rPr>
          <w:sz w:val="24"/>
          <w:szCs w:val="24"/>
        </w:rPr>
        <w:t xml:space="preserve">drie percelen grond deel </w:t>
      </w:r>
      <w:r w:rsidR="00D17953" w:rsidRPr="00484DAF">
        <w:rPr>
          <w:sz w:val="24"/>
          <w:szCs w:val="24"/>
        </w:rPr>
        <w:t xml:space="preserve">uit </w:t>
      </w:r>
      <w:r w:rsidRPr="00484DAF">
        <w:rPr>
          <w:sz w:val="24"/>
          <w:szCs w:val="24"/>
        </w:rPr>
        <w:t>van een industrieterrein</w:t>
      </w:r>
      <w:r w:rsidR="00D17953" w:rsidRPr="00484DAF">
        <w:rPr>
          <w:sz w:val="24"/>
          <w:szCs w:val="24"/>
        </w:rPr>
        <w:t xml:space="preserve"> welke was gelegen in een riviergebied</w:t>
      </w:r>
      <w:r w:rsidRPr="00484DAF">
        <w:rPr>
          <w:sz w:val="24"/>
          <w:szCs w:val="24"/>
        </w:rPr>
        <w:t xml:space="preserve">. </w:t>
      </w:r>
      <w:r w:rsidR="00D17953" w:rsidRPr="00484DAF">
        <w:rPr>
          <w:sz w:val="24"/>
          <w:szCs w:val="24"/>
        </w:rPr>
        <w:t>In de jaren zestig van de twintigste eeuw is h</w:t>
      </w:r>
      <w:r w:rsidRPr="00484DAF">
        <w:rPr>
          <w:sz w:val="24"/>
          <w:szCs w:val="24"/>
        </w:rPr>
        <w:t>et industrieterrein met het oog op de</w:t>
      </w:r>
      <w:r w:rsidR="00D17953" w:rsidRPr="00484DAF">
        <w:rPr>
          <w:sz w:val="24"/>
          <w:szCs w:val="24"/>
        </w:rPr>
        <w:t xml:space="preserve"> toekomstige bebouwing, in de vorm van </w:t>
      </w:r>
      <w:r w:rsidRPr="00484DAF">
        <w:rPr>
          <w:sz w:val="24"/>
          <w:szCs w:val="24"/>
        </w:rPr>
        <w:t xml:space="preserve">opstallen en installaties voor </w:t>
      </w:r>
      <w:r w:rsidR="00D17953" w:rsidRPr="00484DAF">
        <w:rPr>
          <w:sz w:val="24"/>
          <w:szCs w:val="24"/>
        </w:rPr>
        <w:t>industriële</w:t>
      </w:r>
      <w:r w:rsidRPr="00484DAF">
        <w:rPr>
          <w:sz w:val="24"/>
          <w:szCs w:val="24"/>
        </w:rPr>
        <w:t xml:space="preserve"> doel</w:t>
      </w:r>
      <w:r w:rsidR="00D17953" w:rsidRPr="00484DAF">
        <w:rPr>
          <w:sz w:val="24"/>
          <w:szCs w:val="24"/>
        </w:rPr>
        <w:t>en,</w:t>
      </w:r>
      <w:r w:rsidRPr="00484DAF">
        <w:rPr>
          <w:sz w:val="24"/>
          <w:szCs w:val="24"/>
        </w:rPr>
        <w:t xml:space="preserve"> met zand opgespoten. </w:t>
      </w:r>
      <w:r w:rsidR="00D17953" w:rsidRPr="00484DAF">
        <w:rPr>
          <w:sz w:val="24"/>
          <w:szCs w:val="24"/>
        </w:rPr>
        <w:t>Genoemde percelen zijn echter nooit meer bebouwd</w:t>
      </w:r>
      <w:r w:rsidR="000C5860" w:rsidRPr="00484DAF">
        <w:rPr>
          <w:sz w:val="24"/>
          <w:szCs w:val="24"/>
        </w:rPr>
        <w:t>. In het kader van</w:t>
      </w:r>
      <w:r w:rsidR="00DA5DA4" w:rsidRPr="00484DAF">
        <w:rPr>
          <w:sz w:val="24"/>
          <w:szCs w:val="24"/>
        </w:rPr>
        <w:t xml:space="preserve"> </w:t>
      </w:r>
      <w:r w:rsidRPr="00484DAF">
        <w:rPr>
          <w:sz w:val="24"/>
          <w:szCs w:val="24"/>
        </w:rPr>
        <w:t>toenemende dreiging van overstromingen</w:t>
      </w:r>
      <w:r w:rsidR="000C5860" w:rsidRPr="00484DAF">
        <w:rPr>
          <w:sz w:val="24"/>
          <w:szCs w:val="24"/>
        </w:rPr>
        <w:t xml:space="preserve"> behoorde bebouwing niet meer tot de opties en heeft oktober 1998 het waterschap de percelen opgekocht om te gebruiken als inbeddinggebied en voor eventuele dijkverzwaring.</w:t>
      </w:r>
      <w:r w:rsidR="000C5860" w:rsidRPr="00484DAF">
        <w:rPr>
          <w:rStyle w:val="Voetnootmarkering"/>
          <w:sz w:val="24"/>
          <w:szCs w:val="24"/>
        </w:rPr>
        <w:footnoteReference w:id="180"/>
      </w:r>
      <w:r w:rsidR="000C5860" w:rsidRPr="00484DAF">
        <w:rPr>
          <w:sz w:val="24"/>
          <w:szCs w:val="24"/>
        </w:rPr>
        <w:t xml:space="preserve"> In geschil is onder andere of de percelen kunnen worden aangemerkt als bouwterreinen.</w:t>
      </w:r>
      <w:r w:rsidR="00144E96" w:rsidRPr="00484DAF">
        <w:rPr>
          <w:sz w:val="24"/>
          <w:szCs w:val="24"/>
        </w:rPr>
        <w:t xml:space="preserve"> Hof Arnhem</w:t>
      </w:r>
      <w:r w:rsidR="00144E96" w:rsidRPr="00484DAF">
        <w:rPr>
          <w:rStyle w:val="Voetnootmarkering"/>
          <w:sz w:val="24"/>
          <w:szCs w:val="24"/>
        </w:rPr>
        <w:footnoteReference w:id="181"/>
      </w:r>
      <w:r w:rsidR="00144E96" w:rsidRPr="00484DAF">
        <w:rPr>
          <w:sz w:val="24"/>
          <w:szCs w:val="24"/>
        </w:rPr>
        <w:t xml:space="preserve"> </w:t>
      </w:r>
      <w:r w:rsidR="000C5860" w:rsidRPr="00484DAF">
        <w:rPr>
          <w:sz w:val="24"/>
          <w:szCs w:val="24"/>
        </w:rPr>
        <w:t xml:space="preserve">oordeelde </w:t>
      </w:r>
      <w:r w:rsidR="00144E96" w:rsidRPr="00484DAF">
        <w:rPr>
          <w:sz w:val="24"/>
          <w:szCs w:val="24"/>
        </w:rPr>
        <w:t xml:space="preserve">in de voorliggende zaak </w:t>
      </w:r>
      <w:r w:rsidR="008A6731" w:rsidRPr="00484DAF">
        <w:rPr>
          <w:sz w:val="24"/>
          <w:szCs w:val="24"/>
        </w:rPr>
        <w:t>dat de bewerkingen die in de rond 1960 hebben plaatsgevonden de grond bouwterreinstatus hebben opgeleverd en deze status nog steeds van kracht is aangezien ten tijde van de levering in 1998 geen bewerkingen hebben plaatsgevonden om dit ongedaan te maken.</w:t>
      </w:r>
      <w:r w:rsidR="00042A45" w:rsidRPr="00484DAF">
        <w:rPr>
          <w:sz w:val="24"/>
          <w:szCs w:val="24"/>
        </w:rPr>
        <w:t xml:space="preserve"> </w:t>
      </w:r>
      <w:r w:rsidR="00E07B48" w:rsidRPr="00484DAF">
        <w:rPr>
          <w:sz w:val="24"/>
          <w:szCs w:val="24"/>
        </w:rPr>
        <w:t xml:space="preserve">De Hoge Raad gaat in voornoemd arrest niet mee met de overwegingen van het Hof. Mijns inziens terecht, zij het dat de Hoge Raad zijn standpunt </w:t>
      </w:r>
      <w:r w:rsidR="00130AF9" w:rsidRPr="00484DAF">
        <w:rPr>
          <w:sz w:val="24"/>
          <w:szCs w:val="24"/>
        </w:rPr>
        <w:t xml:space="preserve">helaas </w:t>
      </w:r>
      <w:r w:rsidR="00E07B48" w:rsidRPr="00484DAF">
        <w:rPr>
          <w:sz w:val="24"/>
          <w:szCs w:val="24"/>
        </w:rPr>
        <w:t xml:space="preserve">direct afzwakt. Immers, </w:t>
      </w:r>
      <w:r w:rsidR="00130AF9" w:rsidRPr="00484DAF">
        <w:rPr>
          <w:i/>
          <w:sz w:val="24"/>
          <w:szCs w:val="24"/>
        </w:rPr>
        <w:t>‘</w:t>
      </w:r>
      <w:r w:rsidR="00E07B48" w:rsidRPr="00484DAF">
        <w:rPr>
          <w:i/>
          <w:sz w:val="24"/>
          <w:szCs w:val="24"/>
        </w:rPr>
        <w:t xml:space="preserve">De stukken van het geding laten geen andere conclusie toe dan dat in dit geval sprake is van de uitzonderlijke situatie dat objectief bepaalbaar is dat de percelen - ook zonder dat de bewerking ervan ongedaan wordt gemaakt - in de voorzienbare toekomst niet meer kunnen worden bebouwd met opstallen voor industriële doeleinden of voor woondoeleinden, noch zouden kunnen dienen als bij die </w:t>
      </w:r>
      <w:r w:rsidR="00E07B48" w:rsidRPr="00484DAF">
        <w:rPr>
          <w:i/>
          <w:sz w:val="24"/>
          <w:szCs w:val="24"/>
        </w:rPr>
        <w:lastRenderedPageBreak/>
        <w:t>gebouwen behorende grond.</w:t>
      </w:r>
      <w:r w:rsidR="00130AF9" w:rsidRPr="00484DAF">
        <w:rPr>
          <w:i/>
          <w:sz w:val="24"/>
          <w:szCs w:val="24"/>
        </w:rPr>
        <w:t>’</w:t>
      </w:r>
      <w:r w:rsidR="00130AF9" w:rsidRPr="00484DAF">
        <w:rPr>
          <w:rStyle w:val="Voetnootmarkering"/>
          <w:sz w:val="24"/>
          <w:szCs w:val="24"/>
        </w:rPr>
        <w:footnoteReference w:id="182"/>
      </w:r>
      <w:r w:rsidR="00130AF9" w:rsidRPr="00484DAF">
        <w:rPr>
          <w:sz w:val="24"/>
          <w:szCs w:val="24"/>
        </w:rPr>
        <w:t xml:space="preserve"> Met andere woorden, indien de stukken wel een andere conclusie toelaten, kan een bouwterrein voor eeuwig</w:t>
      </w:r>
      <w:r w:rsidR="00130AF9" w:rsidRPr="00484DAF">
        <w:rPr>
          <w:rStyle w:val="Voetnootmarkering"/>
          <w:sz w:val="24"/>
          <w:szCs w:val="24"/>
        </w:rPr>
        <w:footnoteReference w:id="183"/>
      </w:r>
      <w:r w:rsidR="00130AF9" w:rsidRPr="00484DAF">
        <w:rPr>
          <w:sz w:val="24"/>
          <w:szCs w:val="24"/>
        </w:rPr>
        <w:t xml:space="preserve"> de status van bouwterrein houden. </w:t>
      </w:r>
      <w:r w:rsidR="00EA5495" w:rsidRPr="00484DAF">
        <w:rPr>
          <w:i/>
          <w:sz w:val="24"/>
          <w:szCs w:val="24"/>
        </w:rPr>
        <w:t>Keijsers en Kronjee</w:t>
      </w:r>
      <w:r w:rsidR="00EA5495" w:rsidRPr="00484DAF">
        <w:rPr>
          <w:rStyle w:val="Voetnootmarkering"/>
          <w:sz w:val="24"/>
          <w:szCs w:val="24"/>
        </w:rPr>
        <w:footnoteReference w:id="184"/>
      </w:r>
      <w:r w:rsidR="00EA5495" w:rsidRPr="00484DAF">
        <w:rPr>
          <w:sz w:val="24"/>
          <w:szCs w:val="24"/>
        </w:rPr>
        <w:t xml:space="preserve"> menen dat de Hoge Raad kiest voor een logische benadering namelijk door aan te sluiten bij het </w:t>
      </w:r>
      <w:r w:rsidR="00BB1CCA" w:rsidRPr="00484DAF">
        <w:rPr>
          <w:sz w:val="24"/>
          <w:szCs w:val="24"/>
        </w:rPr>
        <w:t xml:space="preserve">gebruikelijke taalkundige begrip. Voorts concluderen zij dat na dit arrest vast staat dat op een BTW-bouwterrein moet kunnen worden gebouwd. Bij deze </w:t>
      </w:r>
      <w:r w:rsidR="00C57A8A" w:rsidRPr="00484DAF">
        <w:rPr>
          <w:sz w:val="24"/>
          <w:szCs w:val="24"/>
        </w:rPr>
        <w:t xml:space="preserve">laatste </w:t>
      </w:r>
      <w:r w:rsidR="00622D2E" w:rsidRPr="00484DAF">
        <w:rPr>
          <w:sz w:val="24"/>
          <w:szCs w:val="24"/>
        </w:rPr>
        <w:t>conclusie vraag ik me af of vóó</w:t>
      </w:r>
      <w:r w:rsidR="00BB1CCA" w:rsidRPr="00484DAF">
        <w:rPr>
          <w:sz w:val="24"/>
          <w:szCs w:val="24"/>
        </w:rPr>
        <w:t>r dit arrest niet dezelfde conclusie is te trekken uit de eis ‘met het oog op bebouwing’</w:t>
      </w:r>
      <w:r w:rsidR="00DA5DA4" w:rsidRPr="00484DAF">
        <w:rPr>
          <w:sz w:val="24"/>
          <w:szCs w:val="24"/>
        </w:rPr>
        <w:t xml:space="preserve"> </w:t>
      </w:r>
      <w:r w:rsidR="00BB1CCA" w:rsidRPr="00484DAF">
        <w:rPr>
          <w:sz w:val="24"/>
          <w:szCs w:val="24"/>
        </w:rPr>
        <w:t>in de wettekst.</w:t>
      </w:r>
    </w:p>
    <w:p w:rsidR="00557A1F" w:rsidRPr="00484DAF" w:rsidRDefault="00557A1F" w:rsidP="00CC552D">
      <w:pPr>
        <w:pStyle w:val="Geenafstand"/>
        <w:spacing w:line="360" w:lineRule="auto"/>
        <w:rPr>
          <w:sz w:val="24"/>
          <w:szCs w:val="24"/>
        </w:rPr>
      </w:pPr>
    </w:p>
    <w:p w:rsidR="00144E96" w:rsidRPr="00484DAF" w:rsidRDefault="00144E96" w:rsidP="00CC552D">
      <w:pPr>
        <w:pStyle w:val="Kop3"/>
        <w:spacing w:before="0" w:line="360" w:lineRule="auto"/>
        <w:rPr>
          <w:rFonts w:ascii="Times New Roman" w:hAnsi="Times New Roman"/>
          <w:color w:val="auto"/>
          <w:sz w:val="24"/>
          <w:szCs w:val="24"/>
        </w:rPr>
      </w:pPr>
      <w:bookmarkStart w:id="81" w:name="_Toc254043934"/>
      <w:r w:rsidRPr="00484DAF">
        <w:rPr>
          <w:rFonts w:ascii="Times New Roman" w:hAnsi="Times New Roman"/>
          <w:color w:val="auto"/>
          <w:sz w:val="24"/>
          <w:szCs w:val="24"/>
        </w:rPr>
        <w:t>4.2.2.2 Houdbaarheid</w:t>
      </w:r>
      <w:bookmarkEnd w:id="81"/>
    </w:p>
    <w:p w:rsidR="00E07B48" w:rsidRPr="00484DAF" w:rsidRDefault="00130AF9" w:rsidP="00CC552D">
      <w:pPr>
        <w:spacing w:after="0" w:line="360" w:lineRule="auto"/>
        <w:rPr>
          <w:sz w:val="24"/>
          <w:szCs w:val="24"/>
        </w:rPr>
      </w:pPr>
      <w:r w:rsidRPr="00484DAF">
        <w:rPr>
          <w:sz w:val="24"/>
          <w:szCs w:val="24"/>
        </w:rPr>
        <w:t xml:space="preserve">Mijns inziens, zou </w:t>
      </w:r>
      <w:r w:rsidR="003F55A0" w:rsidRPr="00484DAF">
        <w:rPr>
          <w:sz w:val="24"/>
          <w:szCs w:val="24"/>
        </w:rPr>
        <w:t xml:space="preserve">in het licht van bovenstaand arrest </w:t>
      </w:r>
      <w:r w:rsidRPr="00484DAF">
        <w:rPr>
          <w:sz w:val="24"/>
          <w:szCs w:val="24"/>
        </w:rPr>
        <w:t>een bepaalde houdbaarheid voor de bouwterreinstatus</w:t>
      </w:r>
      <w:r w:rsidR="00566810" w:rsidRPr="00484DAF">
        <w:rPr>
          <w:sz w:val="24"/>
          <w:szCs w:val="24"/>
        </w:rPr>
        <w:t xml:space="preserve"> </w:t>
      </w:r>
      <w:r w:rsidRPr="00484DAF">
        <w:rPr>
          <w:sz w:val="24"/>
          <w:szCs w:val="24"/>
        </w:rPr>
        <w:t xml:space="preserve">gerechtvaardigd zijn. </w:t>
      </w:r>
      <w:r w:rsidR="00A44D90" w:rsidRPr="00484DAF">
        <w:rPr>
          <w:sz w:val="24"/>
          <w:szCs w:val="24"/>
        </w:rPr>
        <w:t xml:space="preserve">Enerzijds kan worden </w:t>
      </w:r>
      <w:r w:rsidR="0015218D" w:rsidRPr="00484DAF">
        <w:rPr>
          <w:sz w:val="24"/>
          <w:szCs w:val="24"/>
        </w:rPr>
        <w:t xml:space="preserve">gekozen </w:t>
      </w:r>
      <w:r w:rsidR="008627F0" w:rsidRPr="00484DAF">
        <w:rPr>
          <w:sz w:val="24"/>
          <w:szCs w:val="24"/>
        </w:rPr>
        <w:t xml:space="preserve">voor een houdbaarheid in jaren. </w:t>
      </w:r>
      <w:r w:rsidRPr="00484DAF">
        <w:rPr>
          <w:sz w:val="24"/>
          <w:szCs w:val="24"/>
        </w:rPr>
        <w:t xml:space="preserve">Immers, de bewerkingen of voorzieningen dienen na een aantal jaren alsnog vernieuwd te worden om een dergelijke kavel bouwklaar te maken alsook een bouwvergunning niet voor </w:t>
      </w:r>
      <w:r w:rsidR="00F035F3" w:rsidRPr="00484DAF">
        <w:rPr>
          <w:sz w:val="24"/>
          <w:szCs w:val="24"/>
        </w:rPr>
        <w:t xml:space="preserve">een dusdanig </w:t>
      </w:r>
      <w:r w:rsidRPr="00484DAF">
        <w:rPr>
          <w:sz w:val="24"/>
          <w:szCs w:val="24"/>
        </w:rPr>
        <w:t>lange termijn wordt afgegeven.</w:t>
      </w:r>
      <w:r w:rsidR="001A36AF" w:rsidRPr="00484DAF">
        <w:rPr>
          <w:sz w:val="24"/>
          <w:szCs w:val="24"/>
        </w:rPr>
        <w:t xml:space="preserve"> </w:t>
      </w:r>
      <w:r w:rsidR="008627F0" w:rsidRPr="00484DAF">
        <w:rPr>
          <w:sz w:val="24"/>
          <w:szCs w:val="24"/>
        </w:rPr>
        <w:t>Daarbij dient wel te worden ge</w:t>
      </w:r>
      <w:r w:rsidR="001A36AF" w:rsidRPr="00484DAF">
        <w:rPr>
          <w:sz w:val="24"/>
          <w:szCs w:val="24"/>
        </w:rPr>
        <w:t>realiseer</w:t>
      </w:r>
      <w:r w:rsidR="008627F0" w:rsidRPr="00484DAF">
        <w:rPr>
          <w:sz w:val="24"/>
          <w:szCs w:val="24"/>
        </w:rPr>
        <w:t xml:space="preserve">d dat </w:t>
      </w:r>
      <w:r w:rsidR="001A36AF" w:rsidRPr="00484DAF">
        <w:rPr>
          <w:sz w:val="24"/>
          <w:szCs w:val="24"/>
        </w:rPr>
        <w:t>het moment van eerste ingebruikname van een bouwterrein lastig te bepalen</w:t>
      </w:r>
      <w:r w:rsidR="008611CB" w:rsidRPr="00484DAF">
        <w:rPr>
          <w:sz w:val="24"/>
          <w:szCs w:val="24"/>
        </w:rPr>
        <w:t xml:space="preserve"> is</w:t>
      </w:r>
      <w:r w:rsidR="001A36AF" w:rsidRPr="00484DAF">
        <w:rPr>
          <w:sz w:val="24"/>
          <w:szCs w:val="24"/>
        </w:rPr>
        <w:t xml:space="preserve">. </w:t>
      </w:r>
      <w:r w:rsidR="001A36AF" w:rsidRPr="00484DAF">
        <w:rPr>
          <w:i/>
          <w:sz w:val="24"/>
          <w:szCs w:val="24"/>
        </w:rPr>
        <w:t>Van Driel</w:t>
      </w:r>
      <w:r w:rsidR="001A36AF" w:rsidRPr="00484DAF">
        <w:rPr>
          <w:sz w:val="24"/>
          <w:szCs w:val="24"/>
        </w:rPr>
        <w:t xml:space="preserve"> merkt als reden</w:t>
      </w:r>
      <w:r w:rsidR="005D5B26" w:rsidRPr="00484DAF">
        <w:rPr>
          <w:sz w:val="24"/>
          <w:szCs w:val="24"/>
        </w:rPr>
        <w:t xml:space="preserve"> </w:t>
      </w:r>
      <w:r w:rsidR="008E57CA" w:rsidRPr="00484DAF">
        <w:rPr>
          <w:sz w:val="24"/>
          <w:szCs w:val="24"/>
        </w:rPr>
        <w:t xml:space="preserve">daarvoor </w:t>
      </w:r>
      <w:r w:rsidR="0015218D" w:rsidRPr="00484DAF">
        <w:rPr>
          <w:sz w:val="24"/>
          <w:szCs w:val="24"/>
        </w:rPr>
        <w:t xml:space="preserve">op, </w:t>
      </w:r>
      <w:r w:rsidR="001A36AF" w:rsidRPr="00484DAF">
        <w:rPr>
          <w:sz w:val="24"/>
          <w:szCs w:val="24"/>
        </w:rPr>
        <w:t>dat voor bouwterreinen geen twee jaartermijn</w:t>
      </w:r>
      <w:r w:rsidR="008E57CA" w:rsidRPr="00484DAF">
        <w:rPr>
          <w:sz w:val="24"/>
          <w:szCs w:val="24"/>
        </w:rPr>
        <w:t xml:space="preserve"> (</w:t>
      </w:r>
      <w:r w:rsidR="005D5B26" w:rsidRPr="00484DAF">
        <w:rPr>
          <w:sz w:val="24"/>
          <w:szCs w:val="24"/>
        </w:rPr>
        <w:t>net als voor levering van een gebouw</w:t>
      </w:r>
      <w:r w:rsidR="008E57CA" w:rsidRPr="00484DAF">
        <w:rPr>
          <w:sz w:val="24"/>
          <w:szCs w:val="24"/>
        </w:rPr>
        <w:t>)</w:t>
      </w:r>
      <w:r w:rsidR="005D5B26" w:rsidRPr="00484DAF">
        <w:rPr>
          <w:sz w:val="24"/>
          <w:szCs w:val="24"/>
        </w:rPr>
        <w:t xml:space="preserve"> </w:t>
      </w:r>
      <w:r w:rsidR="001A36AF" w:rsidRPr="00484DAF">
        <w:rPr>
          <w:sz w:val="24"/>
          <w:szCs w:val="24"/>
        </w:rPr>
        <w:t>is ingevoerd</w:t>
      </w:r>
      <w:r w:rsidR="005D5B26" w:rsidRPr="00484DAF">
        <w:rPr>
          <w:sz w:val="24"/>
          <w:szCs w:val="24"/>
        </w:rPr>
        <w:t>, omdat</w:t>
      </w:r>
      <w:r w:rsidR="001A36AF" w:rsidRPr="00484DAF">
        <w:rPr>
          <w:sz w:val="24"/>
          <w:szCs w:val="24"/>
        </w:rPr>
        <w:t xml:space="preserve"> buiten die periode de levering vrijgesteld </w:t>
      </w:r>
      <w:r w:rsidR="005D5B26" w:rsidRPr="00484DAF">
        <w:rPr>
          <w:sz w:val="24"/>
          <w:szCs w:val="24"/>
        </w:rPr>
        <w:t xml:space="preserve">zou zijn </w:t>
      </w:r>
      <w:r w:rsidR="001A36AF" w:rsidRPr="00484DAF">
        <w:rPr>
          <w:sz w:val="24"/>
          <w:szCs w:val="24"/>
        </w:rPr>
        <w:t>van BTW.</w:t>
      </w:r>
      <w:r w:rsidR="00F02FA2" w:rsidRPr="00484DAF">
        <w:rPr>
          <w:rStyle w:val="Voetnootmarkering"/>
          <w:sz w:val="24"/>
          <w:szCs w:val="24"/>
        </w:rPr>
        <w:footnoteReference w:id="185"/>
      </w:r>
      <w:r w:rsidR="001A36AF" w:rsidRPr="00484DAF">
        <w:rPr>
          <w:sz w:val="24"/>
          <w:szCs w:val="24"/>
        </w:rPr>
        <w:t xml:space="preserve"> </w:t>
      </w:r>
      <w:r w:rsidR="008627F0" w:rsidRPr="00484DAF">
        <w:rPr>
          <w:sz w:val="24"/>
          <w:szCs w:val="24"/>
        </w:rPr>
        <w:t xml:space="preserve">Anderzijds, kan voor de houdbaarheid ook worden aangesloten bij het karakter van het terrein. </w:t>
      </w:r>
      <w:r w:rsidR="00535CDA" w:rsidRPr="00484DAF">
        <w:rPr>
          <w:i/>
          <w:sz w:val="24"/>
          <w:szCs w:val="24"/>
        </w:rPr>
        <w:t>Nieuwenhuizen</w:t>
      </w:r>
      <w:r w:rsidR="00F035F3" w:rsidRPr="00484DAF">
        <w:rPr>
          <w:rStyle w:val="Voetnootmarkering"/>
          <w:i/>
          <w:sz w:val="24"/>
          <w:szCs w:val="24"/>
        </w:rPr>
        <w:footnoteReference w:id="186"/>
      </w:r>
      <w:r w:rsidR="0015218D" w:rsidRPr="00484DAF">
        <w:rPr>
          <w:sz w:val="24"/>
          <w:szCs w:val="24"/>
        </w:rPr>
        <w:t xml:space="preserve"> </w:t>
      </w:r>
      <w:r w:rsidR="008627F0" w:rsidRPr="00484DAF">
        <w:rPr>
          <w:sz w:val="24"/>
          <w:szCs w:val="24"/>
        </w:rPr>
        <w:t xml:space="preserve">roept daarbij </w:t>
      </w:r>
      <w:r w:rsidR="00F035F3" w:rsidRPr="00484DAF">
        <w:rPr>
          <w:sz w:val="24"/>
          <w:szCs w:val="24"/>
        </w:rPr>
        <w:t xml:space="preserve">op tot terughoudendheid bij bepaling van het statusverlies en dat </w:t>
      </w:r>
      <w:r w:rsidR="005D5B26" w:rsidRPr="00484DAF">
        <w:rPr>
          <w:sz w:val="24"/>
          <w:szCs w:val="24"/>
        </w:rPr>
        <w:t xml:space="preserve">daarbij </w:t>
      </w:r>
      <w:r w:rsidR="00F035F3" w:rsidRPr="00484DAF">
        <w:rPr>
          <w:sz w:val="24"/>
          <w:szCs w:val="24"/>
        </w:rPr>
        <w:t>enkel gebruik moet worden gemaakt van objectieve maatstaven</w:t>
      </w:r>
      <w:r w:rsidR="005D5B26" w:rsidRPr="00484DAF">
        <w:rPr>
          <w:sz w:val="24"/>
          <w:szCs w:val="24"/>
        </w:rPr>
        <w:t>. Als voorbeeld noemt hij</w:t>
      </w:r>
      <w:r w:rsidR="00F035F3" w:rsidRPr="00484DAF">
        <w:rPr>
          <w:sz w:val="24"/>
          <w:szCs w:val="24"/>
        </w:rPr>
        <w:t xml:space="preserve"> het nooit meer afgeven van een bouwvergunning voor dat perceel.</w:t>
      </w:r>
      <w:r w:rsidR="008627F0" w:rsidRPr="00484DAF">
        <w:rPr>
          <w:sz w:val="24"/>
          <w:szCs w:val="24"/>
        </w:rPr>
        <w:t xml:space="preserve"> Op dat moment is zeker dat het karakter van het perceel niet meer bouwterrein is. </w:t>
      </w:r>
      <w:r w:rsidR="005064C2" w:rsidRPr="00484DAF">
        <w:rPr>
          <w:i/>
          <w:sz w:val="24"/>
          <w:szCs w:val="24"/>
        </w:rPr>
        <w:t>Merkx</w:t>
      </w:r>
      <w:r w:rsidR="002674AB" w:rsidRPr="00484DAF">
        <w:rPr>
          <w:rStyle w:val="Voetnootmarkering"/>
          <w:i/>
          <w:sz w:val="24"/>
          <w:szCs w:val="24"/>
        </w:rPr>
        <w:footnoteReference w:id="187"/>
      </w:r>
      <w:r w:rsidR="005064C2" w:rsidRPr="00484DAF">
        <w:rPr>
          <w:i/>
          <w:sz w:val="24"/>
          <w:szCs w:val="24"/>
        </w:rPr>
        <w:t xml:space="preserve"> </w:t>
      </w:r>
      <w:r w:rsidR="005064C2" w:rsidRPr="00484DAF">
        <w:rPr>
          <w:sz w:val="24"/>
          <w:szCs w:val="24"/>
        </w:rPr>
        <w:t xml:space="preserve">daarentegen vindt verlies van de bouwterreinstatus al gerechtvaardigd wanneer </w:t>
      </w:r>
      <w:r w:rsidR="005064C2" w:rsidRPr="00484DAF">
        <w:rPr>
          <w:i/>
          <w:sz w:val="24"/>
          <w:szCs w:val="24"/>
        </w:rPr>
        <w:t>‘redelijk zeker’</w:t>
      </w:r>
      <w:r w:rsidR="00DA5DA4" w:rsidRPr="00484DAF">
        <w:rPr>
          <w:sz w:val="24"/>
          <w:szCs w:val="24"/>
        </w:rPr>
        <w:t xml:space="preserve"> </w:t>
      </w:r>
      <w:r w:rsidR="005064C2" w:rsidRPr="00484DAF">
        <w:rPr>
          <w:sz w:val="24"/>
          <w:szCs w:val="24"/>
        </w:rPr>
        <w:t xml:space="preserve">vaststaat dat de percelen niet zullen worden bebouwd. </w:t>
      </w:r>
      <w:r w:rsidR="002674AB" w:rsidRPr="00484DAF">
        <w:rPr>
          <w:sz w:val="24"/>
          <w:szCs w:val="24"/>
        </w:rPr>
        <w:t>Hoewel objectivering of formalisering niet altijd wordt</w:t>
      </w:r>
      <w:r w:rsidR="00566810" w:rsidRPr="00484DAF">
        <w:rPr>
          <w:sz w:val="24"/>
          <w:szCs w:val="24"/>
        </w:rPr>
        <w:t xml:space="preserve"> </w:t>
      </w:r>
      <w:r w:rsidR="002674AB" w:rsidRPr="00484DAF">
        <w:rPr>
          <w:sz w:val="24"/>
          <w:szCs w:val="24"/>
        </w:rPr>
        <w:t>gewaardeerd</w:t>
      </w:r>
      <w:r w:rsidR="002674AB" w:rsidRPr="00484DAF">
        <w:rPr>
          <w:rStyle w:val="Voetnootmarkering"/>
          <w:sz w:val="24"/>
          <w:szCs w:val="24"/>
        </w:rPr>
        <w:footnoteReference w:id="188"/>
      </w:r>
      <w:r w:rsidR="002674AB" w:rsidRPr="00484DAF">
        <w:rPr>
          <w:sz w:val="24"/>
          <w:szCs w:val="24"/>
        </w:rPr>
        <w:t xml:space="preserve"> neig ik als middenweg meer naar de stelling van </w:t>
      </w:r>
      <w:r w:rsidR="002674AB" w:rsidRPr="00484DAF">
        <w:rPr>
          <w:i/>
          <w:sz w:val="24"/>
          <w:szCs w:val="24"/>
        </w:rPr>
        <w:t xml:space="preserve">Nieuwenhuizen </w:t>
      </w:r>
      <w:r w:rsidR="002674AB" w:rsidRPr="00484DAF">
        <w:rPr>
          <w:sz w:val="24"/>
          <w:szCs w:val="24"/>
        </w:rPr>
        <w:t xml:space="preserve">dan naar de subjectviering door </w:t>
      </w:r>
      <w:r w:rsidR="002674AB" w:rsidRPr="00484DAF">
        <w:rPr>
          <w:sz w:val="24"/>
          <w:szCs w:val="24"/>
        </w:rPr>
        <w:lastRenderedPageBreak/>
        <w:t>Merkx.</w:t>
      </w:r>
      <w:r w:rsidR="002674AB" w:rsidRPr="00484DAF">
        <w:rPr>
          <w:rStyle w:val="Voetnootmarkering"/>
          <w:sz w:val="24"/>
          <w:szCs w:val="24"/>
        </w:rPr>
        <w:footnoteReference w:id="189"/>
      </w:r>
      <w:r w:rsidR="008F3895" w:rsidRPr="00484DAF">
        <w:rPr>
          <w:sz w:val="24"/>
          <w:szCs w:val="24"/>
        </w:rPr>
        <w:t xml:space="preserve"> De kwaliteit van een bouwterrein is immers beter te bepalen dan een redelijk veronderstelde duur.</w:t>
      </w:r>
    </w:p>
    <w:p w:rsidR="0015218D" w:rsidRPr="00484DAF" w:rsidRDefault="0015218D" w:rsidP="00CC552D">
      <w:pPr>
        <w:pStyle w:val="Geenafstand"/>
        <w:spacing w:line="360" w:lineRule="auto"/>
        <w:rPr>
          <w:sz w:val="24"/>
          <w:szCs w:val="24"/>
        </w:rPr>
      </w:pPr>
    </w:p>
    <w:p w:rsidR="00C827C5" w:rsidRPr="00484DAF" w:rsidRDefault="00032945" w:rsidP="00CC552D">
      <w:pPr>
        <w:pStyle w:val="Kop2"/>
        <w:spacing w:before="0" w:line="360" w:lineRule="auto"/>
        <w:rPr>
          <w:rFonts w:ascii="Times New Roman" w:hAnsi="Times New Roman"/>
          <w:color w:val="auto"/>
          <w:sz w:val="24"/>
          <w:szCs w:val="24"/>
        </w:rPr>
      </w:pPr>
      <w:bookmarkStart w:id="82" w:name="_Toc254043935"/>
      <w:r w:rsidRPr="00484DAF">
        <w:rPr>
          <w:rFonts w:ascii="Times New Roman" w:hAnsi="Times New Roman"/>
          <w:color w:val="auto"/>
          <w:sz w:val="24"/>
          <w:szCs w:val="24"/>
        </w:rPr>
        <w:t>4.2.3 Bewerkingen</w:t>
      </w:r>
      <w:bookmarkEnd w:id="82"/>
      <w:r w:rsidRPr="00484DAF">
        <w:rPr>
          <w:rFonts w:ascii="Times New Roman" w:hAnsi="Times New Roman"/>
          <w:color w:val="auto"/>
          <w:sz w:val="24"/>
          <w:szCs w:val="24"/>
        </w:rPr>
        <w:t xml:space="preserve"> </w:t>
      </w:r>
    </w:p>
    <w:p w:rsidR="004A6838" w:rsidRPr="00484DAF" w:rsidRDefault="00593976" w:rsidP="00CC552D">
      <w:pPr>
        <w:spacing w:after="0" w:line="360" w:lineRule="auto"/>
        <w:rPr>
          <w:i/>
          <w:sz w:val="24"/>
          <w:szCs w:val="24"/>
        </w:rPr>
      </w:pPr>
      <w:r w:rsidRPr="00484DAF">
        <w:rPr>
          <w:sz w:val="24"/>
          <w:szCs w:val="24"/>
        </w:rPr>
        <w:t xml:space="preserve">Als enige bewerking met het oog op bebouwing aan onbebouwde grond </w:t>
      </w:r>
      <w:r w:rsidR="002472C5" w:rsidRPr="00484DAF">
        <w:rPr>
          <w:sz w:val="24"/>
          <w:szCs w:val="24"/>
        </w:rPr>
        <w:t>plaatsvindt of he</w:t>
      </w:r>
      <w:r w:rsidR="00D27E89" w:rsidRPr="00484DAF">
        <w:rPr>
          <w:sz w:val="24"/>
          <w:szCs w:val="24"/>
        </w:rPr>
        <w:t>eft</w:t>
      </w:r>
      <w:r w:rsidR="002472C5" w:rsidRPr="00484DAF">
        <w:rPr>
          <w:sz w:val="24"/>
          <w:szCs w:val="24"/>
        </w:rPr>
        <w:t xml:space="preserve"> </w:t>
      </w:r>
      <w:r w:rsidRPr="00484DAF">
        <w:rPr>
          <w:sz w:val="24"/>
          <w:szCs w:val="24"/>
        </w:rPr>
        <w:t xml:space="preserve">plaatsgevonden, wordt een dergelijke kavel als bouwterrein aangemerkt op grond van artikel 11, lid 4, onderdeel a Wet OB 1968. </w:t>
      </w:r>
      <w:r w:rsidR="002472C5" w:rsidRPr="00484DAF">
        <w:rPr>
          <w:sz w:val="24"/>
          <w:szCs w:val="24"/>
        </w:rPr>
        <w:t>In de richtlijn wordt ‘bewerkingen met het oog op bebouwing’</w:t>
      </w:r>
      <w:r w:rsidR="00607383" w:rsidRPr="00484DAF">
        <w:rPr>
          <w:sz w:val="24"/>
          <w:szCs w:val="24"/>
        </w:rPr>
        <w:t xml:space="preserve"> samengevat in ‘bouwrijp maken’</w:t>
      </w:r>
      <w:r w:rsidR="002472C5" w:rsidRPr="00484DAF">
        <w:rPr>
          <w:sz w:val="24"/>
          <w:szCs w:val="24"/>
        </w:rPr>
        <w:t>.</w:t>
      </w:r>
      <w:r w:rsidR="00C60261" w:rsidRPr="00484DAF">
        <w:rPr>
          <w:rStyle w:val="Voetnootmarkering"/>
          <w:sz w:val="24"/>
          <w:szCs w:val="24"/>
        </w:rPr>
        <w:footnoteReference w:id="190"/>
      </w:r>
      <w:r w:rsidR="00607383" w:rsidRPr="00484DAF">
        <w:rPr>
          <w:sz w:val="24"/>
          <w:szCs w:val="24"/>
        </w:rPr>
        <w:t xml:space="preserve"> </w:t>
      </w:r>
      <w:r w:rsidR="00071DE5" w:rsidRPr="00484DAF">
        <w:rPr>
          <w:sz w:val="24"/>
          <w:szCs w:val="24"/>
        </w:rPr>
        <w:t xml:space="preserve">Onder bewerkingen dient te worden verstaan fysieke handelingen </w:t>
      </w:r>
      <w:r w:rsidR="00E756AA" w:rsidRPr="00484DAF">
        <w:rPr>
          <w:sz w:val="24"/>
          <w:szCs w:val="24"/>
        </w:rPr>
        <w:t>zoals</w:t>
      </w:r>
      <w:r w:rsidR="00071DE5" w:rsidRPr="00484DAF">
        <w:rPr>
          <w:sz w:val="24"/>
          <w:szCs w:val="24"/>
        </w:rPr>
        <w:t xml:space="preserve"> het rooien van bomen en struiken en het dempen van sloten. </w:t>
      </w:r>
      <w:r w:rsidR="002472C5" w:rsidRPr="00484DAF">
        <w:rPr>
          <w:sz w:val="24"/>
          <w:szCs w:val="24"/>
        </w:rPr>
        <w:t xml:space="preserve">Net als met veel jurisprudentie is meer bekend over welke handelingen niet onder ‘bewerkingen’ vallen, dan wel. Zo </w:t>
      </w:r>
      <w:r w:rsidR="00824F34" w:rsidRPr="00484DAF">
        <w:rPr>
          <w:sz w:val="24"/>
          <w:szCs w:val="24"/>
        </w:rPr>
        <w:t xml:space="preserve">is het storten van </w:t>
      </w:r>
      <w:r w:rsidR="0015218D" w:rsidRPr="00484DAF">
        <w:rPr>
          <w:sz w:val="24"/>
          <w:szCs w:val="24"/>
        </w:rPr>
        <w:t xml:space="preserve">een </w:t>
      </w:r>
      <w:r w:rsidR="00824F34" w:rsidRPr="00484DAF">
        <w:rPr>
          <w:sz w:val="24"/>
          <w:szCs w:val="24"/>
        </w:rPr>
        <w:t xml:space="preserve">in verhouding geringe hoeveelheid grond op maagdelijke grond (11 kubieke meter om 40.000 vierkante meter) geen bewerking als </w:t>
      </w:r>
      <w:r w:rsidR="00D27E89" w:rsidRPr="00484DAF">
        <w:rPr>
          <w:sz w:val="24"/>
          <w:szCs w:val="24"/>
        </w:rPr>
        <w:t>bedoeld in voornoemd onderdeel.</w:t>
      </w:r>
      <w:r w:rsidR="00824F34" w:rsidRPr="00484DAF">
        <w:rPr>
          <w:rStyle w:val="Voetnootmarkering"/>
          <w:sz w:val="24"/>
          <w:szCs w:val="24"/>
        </w:rPr>
        <w:footnoteReference w:id="191"/>
      </w:r>
      <w:r w:rsidR="00B973D3" w:rsidRPr="00484DAF">
        <w:rPr>
          <w:sz w:val="24"/>
          <w:szCs w:val="24"/>
        </w:rPr>
        <w:t xml:space="preserve"> Deze jurisprudentie is </w:t>
      </w:r>
      <w:r w:rsidR="004A6838" w:rsidRPr="00484DAF">
        <w:rPr>
          <w:sz w:val="24"/>
          <w:szCs w:val="24"/>
        </w:rPr>
        <w:t xml:space="preserve">echter </w:t>
      </w:r>
      <w:r w:rsidR="00B973D3" w:rsidRPr="00484DAF">
        <w:rPr>
          <w:sz w:val="24"/>
          <w:szCs w:val="24"/>
        </w:rPr>
        <w:t xml:space="preserve">gewezen onder het oude regime. In de bijbehorende noot merkt </w:t>
      </w:r>
      <w:r w:rsidR="00B973D3" w:rsidRPr="00484DAF">
        <w:rPr>
          <w:i/>
          <w:sz w:val="24"/>
          <w:szCs w:val="24"/>
        </w:rPr>
        <w:t>Van Zadelhoff</w:t>
      </w:r>
      <w:r w:rsidR="00DA5DA4" w:rsidRPr="00484DAF">
        <w:rPr>
          <w:sz w:val="24"/>
          <w:szCs w:val="24"/>
        </w:rPr>
        <w:t xml:space="preserve"> </w:t>
      </w:r>
      <w:r w:rsidR="004A6838" w:rsidRPr="00484DAF">
        <w:rPr>
          <w:sz w:val="24"/>
          <w:szCs w:val="24"/>
        </w:rPr>
        <w:t xml:space="preserve">terecht </w:t>
      </w:r>
      <w:r w:rsidR="00B973D3" w:rsidRPr="00484DAF">
        <w:rPr>
          <w:sz w:val="24"/>
          <w:szCs w:val="24"/>
        </w:rPr>
        <w:t>op</w:t>
      </w:r>
      <w:r w:rsidR="004A6838" w:rsidRPr="00484DAF">
        <w:rPr>
          <w:sz w:val="24"/>
          <w:szCs w:val="24"/>
        </w:rPr>
        <w:t>,</w:t>
      </w:r>
      <w:r w:rsidR="00B973D3" w:rsidRPr="00484DAF">
        <w:rPr>
          <w:sz w:val="24"/>
          <w:szCs w:val="24"/>
        </w:rPr>
        <w:t xml:space="preserve"> dat gelet op de ruime invulling van het begrip bewerkingen</w:t>
      </w:r>
      <w:r w:rsidR="006D3536" w:rsidRPr="00484DAF">
        <w:rPr>
          <w:sz w:val="24"/>
          <w:szCs w:val="24"/>
        </w:rPr>
        <w:t>,</w:t>
      </w:r>
      <w:r w:rsidR="00B973D3" w:rsidRPr="00484DAF">
        <w:rPr>
          <w:sz w:val="24"/>
          <w:szCs w:val="24"/>
        </w:rPr>
        <w:t xml:space="preserve"> het storten van grond als in voormelde zaak</w:t>
      </w:r>
      <w:r w:rsidR="004A6838" w:rsidRPr="00484DAF">
        <w:rPr>
          <w:sz w:val="24"/>
          <w:szCs w:val="24"/>
        </w:rPr>
        <w:t xml:space="preserve"> </w:t>
      </w:r>
      <w:r w:rsidR="00EE6A30" w:rsidRPr="00484DAF">
        <w:rPr>
          <w:sz w:val="24"/>
          <w:szCs w:val="24"/>
        </w:rPr>
        <w:t>anno 2010</w:t>
      </w:r>
      <w:r w:rsidR="00616D87" w:rsidRPr="00484DAF">
        <w:rPr>
          <w:sz w:val="24"/>
          <w:szCs w:val="24"/>
        </w:rPr>
        <w:t xml:space="preserve"> </w:t>
      </w:r>
      <w:r w:rsidR="004A6838" w:rsidRPr="00484DAF">
        <w:rPr>
          <w:sz w:val="24"/>
          <w:szCs w:val="24"/>
        </w:rPr>
        <w:t xml:space="preserve">wel zou kunnen leiden tot een bewerking. Hij haalt daarbij de staatssecretaris aan die in de memorie van toelichting laat optekenen </w:t>
      </w:r>
      <w:r w:rsidR="004A6838" w:rsidRPr="00484DAF">
        <w:rPr>
          <w:i/>
          <w:sz w:val="24"/>
          <w:szCs w:val="24"/>
        </w:rPr>
        <w:t>‘(…)</w:t>
      </w:r>
      <w:r w:rsidR="00D27E89" w:rsidRPr="00484DAF">
        <w:rPr>
          <w:i/>
          <w:sz w:val="24"/>
          <w:szCs w:val="24"/>
        </w:rPr>
        <w:t xml:space="preserve"> </w:t>
      </w:r>
      <w:r w:rsidR="004A6838" w:rsidRPr="00484DAF">
        <w:rPr>
          <w:i/>
          <w:sz w:val="24"/>
          <w:szCs w:val="24"/>
        </w:rPr>
        <w:t xml:space="preserve">elke fysieke werkzaamheid aan de grond </w:t>
      </w:r>
      <w:r w:rsidR="00EE6A30" w:rsidRPr="00484DAF">
        <w:rPr>
          <w:sz w:val="24"/>
          <w:szCs w:val="24"/>
        </w:rPr>
        <w:t xml:space="preserve">[is, MGVV] </w:t>
      </w:r>
      <w:r w:rsidR="004A6838" w:rsidRPr="00484DAF">
        <w:rPr>
          <w:i/>
          <w:sz w:val="24"/>
          <w:szCs w:val="24"/>
        </w:rPr>
        <w:t>als bewerking aan te merken, mits uiteraard -zoals de wettekst ook tot uitdrukking brengt - het een bewerking is met het oog op de bebouwing van de grond. Eén enkele bewerking - of een aanvang daarmee maken - is voldoende.’</w:t>
      </w:r>
      <w:r w:rsidR="00D27E89" w:rsidRPr="00484DAF">
        <w:rPr>
          <w:rStyle w:val="Voetnootmarkering"/>
          <w:i/>
          <w:sz w:val="24"/>
          <w:szCs w:val="24"/>
        </w:rPr>
        <w:footnoteReference w:id="192"/>
      </w:r>
    </w:p>
    <w:p w:rsidR="00557A1F" w:rsidRPr="00484DAF" w:rsidRDefault="00557A1F" w:rsidP="00CC552D">
      <w:pPr>
        <w:pStyle w:val="Geenafstand"/>
        <w:spacing w:line="360" w:lineRule="auto"/>
        <w:rPr>
          <w:sz w:val="24"/>
          <w:szCs w:val="24"/>
        </w:rPr>
      </w:pPr>
    </w:p>
    <w:p w:rsidR="00032945" w:rsidRPr="00484DAF" w:rsidRDefault="00032945" w:rsidP="00CC552D">
      <w:pPr>
        <w:pStyle w:val="Kop2"/>
        <w:spacing w:before="0" w:line="360" w:lineRule="auto"/>
        <w:rPr>
          <w:rFonts w:ascii="Times New Roman" w:hAnsi="Times New Roman"/>
          <w:color w:val="auto"/>
          <w:sz w:val="24"/>
          <w:szCs w:val="24"/>
        </w:rPr>
      </w:pPr>
      <w:bookmarkStart w:id="83" w:name="_Toc254043936"/>
      <w:r w:rsidRPr="00484DAF">
        <w:rPr>
          <w:rFonts w:ascii="Times New Roman" w:hAnsi="Times New Roman"/>
          <w:color w:val="auto"/>
          <w:sz w:val="24"/>
          <w:szCs w:val="24"/>
        </w:rPr>
        <w:t xml:space="preserve">4.2.4 Voorzieningen </w:t>
      </w:r>
      <w:r w:rsidR="004F0645" w:rsidRPr="00484DAF">
        <w:rPr>
          <w:rFonts w:ascii="Times New Roman" w:hAnsi="Times New Roman"/>
          <w:color w:val="auto"/>
          <w:sz w:val="24"/>
          <w:szCs w:val="24"/>
        </w:rPr>
        <w:t>uitsluitend dienstbaar aan de grond</w:t>
      </w:r>
      <w:bookmarkEnd w:id="83"/>
    </w:p>
    <w:p w:rsidR="00032945" w:rsidRPr="00484DAF" w:rsidRDefault="00C53924" w:rsidP="00CC552D">
      <w:pPr>
        <w:spacing w:after="0" w:line="360" w:lineRule="auto"/>
        <w:rPr>
          <w:sz w:val="24"/>
          <w:szCs w:val="24"/>
        </w:rPr>
      </w:pPr>
      <w:r w:rsidRPr="00484DAF">
        <w:rPr>
          <w:sz w:val="24"/>
          <w:szCs w:val="24"/>
        </w:rPr>
        <w:t xml:space="preserve">Onder artikel 11, lid 4, onderdeel b Wet OB 1968 worden alle voorzieningen van infrastructurele aard geschaard zolang de voorzieningen van nut zijn voor </w:t>
      </w:r>
      <w:r w:rsidR="006E12E0" w:rsidRPr="00484DAF">
        <w:rPr>
          <w:sz w:val="24"/>
          <w:szCs w:val="24"/>
        </w:rPr>
        <w:t xml:space="preserve">de </w:t>
      </w:r>
      <w:r w:rsidRPr="00484DAF">
        <w:rPr>
          <w:sz w:val="24"/>
          <w:szCs w:val="24"/>
        </w:rPr>
        <w:t xml:space="preserve">betreffende </w:t>
      </w:r>
      <w:r w:rsidR="006E12E0" w:rsidRPr="00484DAF">
        <w:rPr>
          <w:sz w:val="24"/>
          <w:szCs w:val="24"/>
        </w:rPr>
        <w:t>onbebouwde grond</w:t>
      </w:r>
      <w:r w:rsidRPr="00484DAF">
        <w:rPr>
          <w:sz w:val="24"/>
          <w:szCs w:val="24"/>
        </w:rPr>
        <w:t xml:space="preserve">. Daarbij kan worden gedacht aan </w:t>
      </w:r>
      <w:r w:rsidR="00F978B4" w:rsidRPr="00484DAF">
        <w:rPr>
          <w:sz w:val="24"/>
          <w:szCs w:val="24"/>
        </w:rPr>
        <w:t xml:space="preserve">het aansluiten van </w:t>
      </w:r>
      <w:r w:rsidRPr="00484DAF">
        <w:rPr>
          <w:sz w:val="24"/>
          <w:szCs w:val="24"/>
        </w:rPr>
        <w:t>riool</w:t>
      </w:r>
      <w:r w:rsidR="00F978B4" w:rsidRPr="00484DAF">
        <w:rPr>
          <w:sz w:val="24"/>
          <w:szCs w:val="24"/>
        </w:rPr>
        <w:t xml:space="preserve">leidingen op de betreffende kavel en het doortrekken van </w:t>
      </w:r>
      <w:r w:rsidRPr="00484DAF">
        <w:rPr>
          <w:sz w:val="24"/>
          <w:szCs w:val="24"/>
        </w:rPr>
        <w:t>elektriciteitskabels.</w:t>
      </w:r>
      <w:r w:rsidR="00F978B4" w:rsidRPr="00484DAF">
        <w:rPr>
          <w:sz w:val="24"/>
          <w:szCs w:val="24"/>
        </w:rPr>
        <w:t xml:space="preserve"> Ook nutsvoorzieningen vallen hieronder, getuige een arrest van 22 april 1998.</w:t>
      </w:r>
      <w:r w:rsidR="00F978B4" w:rsidRPr="00484DAF">
        <w:rPr>
          <w:rStyle w:val="Voetnootmarkering"/>
          <w:sz w:val="24"/>
          <w:szCs w:val="24"/>
        </w:rPr>
        <w:footnoteReference w:id="193"/>
      </w:r>
      <w:r w:rsidR="00F978B4" w:rsidRPr="00484DAF">
        <w:rPr>
          <w:sz w:val="24"/>
          <w:szCs w:val="24"/>
        </w:rPr>
        <w:t xml:space="preserve"> In dit arrest werd een gleuf gegraven (later </w:t>
      </w:r>
      <w:r w:rsidR="00F978B4" w:rsidRPr="00484DAF">
        <w:rPr>
          <w:sz w:val="24"/>
          <w:szCs w:val="24"/>
        </w:rPr>
        <w:lastRenderedPageBreak/>
        <w:t>weer volgestort met de oorspronkelijk uitgegraven grond) in het kader van een bestemmingsplan om kabels en leiding</w:t>
      </w:r>
      <w:r w:rsidR="00F843A1" w:rsidRPr="00484DAF">
        <w:rPr>
          <w:sz w:val="24"/>
          <w:szCs w:val="24"/>
        </w:rPr>
        <w:t>en</w:t>
      </w:r>
      <w:r w:rsidR="00F978B4" w:rsidRPr="00484DAF">
        <w:rPr>
          <w:sz w:val="24"/>
          <w:szCs w:val="24"/>
        </w:rPr>
        <w:t xml:space="preserve"> van nutsbedrijven </w:t>
      </w:r>
      <w:r w:rsidR="006E12E0" w:rsidRPr="00484DAF">
        <w:rPr>
          <w:sz w:val="24"/>
          <w:szCs w:val="24"/>
        </w:rPr>
        <w:t>aan te brengen.</w:t>
      </w:r>
      <w:r w:rsidR="00144E96" w:rsidRPr="00484DAF">
        <w:rPr>
          <w:sz w:val="24"/>
          <w:szCs w:val="24"/>
        </w:rPr>
        <w:t xml:space="preserve"> </w:t>
      </w:r>
      <w:r w:rsidR="00144E96" w:rsidRPr="00484DAF">
        <w:rPr>
          <w:i/>
          <w:sz w:val="24"/>
          <w:szCs w:val="24"/>
        </w:rPr>
        <w:t>Tielemans en Bouwman</w:t>
      </w:r>
      <w:r w:rsidR="00144E96" w:rsidRPr="00484DAF">
        <w:rPr>
          <w:rStyle w:val="Voetnootmarkering"/>
          <w:sz w:val="24"/>
          <w:szCs w:val="24"/>
        </w:rPr>
        <w:footnoteReference w:id="194"/>
      </w:r>
      <w:r w:rsidR="00144E96" w:rsidRPr="00484DAF">
        <w:rPr>
          <w:sz w:val="24"/>
          <w:szCs w:val="24"/>
        </w:rPr>
        <w:t xml:space="preserve"> geven aan dat door het treffen van een voorziening de grond naar maatschappelijke opvattingen een andere functie krijgt dan voorheen. Immers, van</w:t>
      </w:r>
      <w:r w:rsidR="00F5443B" w:rsidRPr="00484DAF">
        <w:rPr>
          <w:sz w:val="24"/>
          <w:szCs w:val="24"/>
        </w:rPr>
        <w:t>uit</w:t>
      </w:r>
      <w:r w:rsidR="00144E96" w:rsidRPr="00484DAF">
        <w:rPr>
          <w:sz w:val="24"/>
          <w:szCs w:val="24"/>
        </w:rPr>
        <w:t xml:space="preserve"> onbebouwde grond wordt een eerste aanzet gedaan tot bebouwde status. Dit ve</w:t>
      </w:r>
      <w:r w:rsidR="00AC7B3F" w:rsidRPr="00484DAF">
        <w:rPr>
          <w:sz w:val="24"/>
          <w:szCs w:val="24"/>
        </w:rPr>
        <w:t>rband rechtvaardigt de opname van dergelijke voorzieningen</w:t>
      </w:r>
      <w:r w:rsidR="00144E96" w:rsidRPr="00484DAF">
        <w:rPr>
          <w:sz w:val="24"/>
          <w:szCs w:val="24"/>
        </w:rPr>
        <w:t xml:space="preserve"> als mogelijk criterium voor de kwalificatie van bouwterrein (uiteraard onder voorbehoud van het oogpunt tot verbouwing).</w:t>
      </w:r>
    </w:p>
    <w:p w:rsidR="00557A1F" w:rsidRPr="00484DAF" w:rsidRDefault="00557A1F" w:rsidP="00CC552D">
      <w:pPr>
        <w:pStyle w:val="Geenafstand"/>
        <w:spacing w:line="360" w:lineRule="auto"/>
        <w:rPr>
          <w:sz w:val="24"/>
          <w:szCs w:val="24"/>
        </w:rPr>
      </w:pPr>
    </w:p>
    <w:p w:rsidR="00C53924" w:rsidRPr="00484DAF" w:rsidRDefault="00C53924" w:rsidP="00CC552D">
      <w:pPr>
        <w:pStyle w:val="Kop2"/>
        <w:spacing w:before="0" w:line="360" w:lineRule="auto"/>
        <w:rPr>
          <w:rFonts w:ascii="Times New Roman" w:hAnsi="Times New Roman"/>
          <w:color w:val="auto"/>
          <w:sz w:val="24"/>
          <w:szCs w:val="24"/>
        </w:rPr>
      </w:pPr>
      <w:bookmarkStart w:id="84" w:name="_Toc254043937"/>
      <w:r w:rsidRPr="00484DAF">
        <w:rPr>
          <w:rFonts w:ascii="Times New Roman" w:hAnsi="Times New Roman"/>
          <w:color w:val="auto"/>
          <w:sz w:val="24"/>
          <w:szCs w:val="24"/>
        </w:rPr>
        <w:t>4.2.5 Voorziening (in omgeving)</w:t>
      </w:r>
      <w:bookmarkEnd w:id="84"/>
    </w:p>
    <w:p w:rsidR="00032945" w:rsidRPr="00484DAF" w:rsidRDefault="006E12E0" w:rsidP="00CC552D">
      <w:pPr>
        <w:spacing w:after="0" w:line="360" w:lineRule="auto"/>
        <w:rPr>
          <w:sz w:val="24"/>
          <w:szCs w:val="24"/>
        </w:rPr>
      </w:pPr>
      <w:r w:rsidRPr="00484DAF">
        <w:rPr>
          <w:sz w:val="24"/>
          <w:szCs w:val="24"/>
        </w:rPr>
        <w:t>Evenals de voorziening</w:t>
      </w:r>
      <w:r w:rsidR="00AC7B3F" w:rsidRPr="00484DAF">
        <w:rPr>
          <w:sz w:val="24"/>
          <w:szCs w:val="24"/>
        </w:rPr>
        <w:t>en</w:t>
      </w:r>
      <w:r w:rsidRPr="00484DAF">
        <w:rPr>
          <w:sz w:val="24"/>
          <w:szCs w:val="24"/>
        </w:rPr>
        <w:t xml:space="preserve"> die uitsluitend dienstbaar aan de grond mogen zijn, wordt onder voorzieningen in de omgeving (artikel 11, lid 4, onderdeel c Wet OB 1968) ook gedoeld op infrastructurele voorziening</w:t>
      </w:r>
      <w:r w:rsidR="00AC7B3F" w:rsidRPr="00484DAF">
        <w:rPr>
          <w:sz w:val="24"/>
          <w:szCs w:val="24"/>
        </w:rPr>
        <w:t>en</w:t>
      </w:r>
      <w:r w:rsidRPr="00484DAF">
        <w:rPr>
          <w:sz w:val="24"/>
          <w:szCs w:val="24"/>
        </w:rPr>
        <w:t xml:space="preserve">. </w:t>
      </w:r>
      <w:r w:rsidR="00810A44" w:rsidRPr="00484DAF">
        <w:rPr>
          <w:sz w:val="24"/>
          <w:szCs w:val="24"/>
        </w:rPr>
        <w:t xml:space="preserve">Deze hoeven echter niet uitsluitend ten dienste van één kavel te staan, maar hebben een meer algemeen karakter. Een goed voorbeeld van dergelijke voorziening is het wegennet. Saillant is een uitspraak </w:t>
      </w:r>
      <w:r w:rsidR="008519D4" w:rsidRPr="00484DAF">
        <w:rPr>
          <w:sz w:val="24"/>
          <w:szCs w:val="24"/>
        </w:rPr>
        <w:t>van Hof Den Haag</w:t>
      </w:r>
      <w:r w:rsidR="008519D4" w:rsidRPr="00484DAF">
        <w:rPr>
          <w:rStyle w:val="Voetnootmarkering"/>
          <w:sz w:val="24"/>
          <w:szCs w:val="24"/>
        </w:rPr>
        <w:footnoteReference w:id="195"/>
      </w:r>
      <w:r w:rsidR="00810A44" w:rsidRPr="00484DAF">
        <w:rPr>
          <w:sz w:val="24"/>
          <w:szCs w:val="24"/>
        </w:rPr>
        <w:t xml:space="preserve"> </w:t>
      </w:r>
      <w:r w:rsidR="008519D4" w:rsidRPr="00484DAF">
        <w:rPr>
          <w:sz w:val="24"/>
          <w:szCs w:val="24"/>
        </w:rPr>
        <w:t>waarin bestaande voorzienin</w:t>
      </w:r>
      <w:r w:rsidR="00EE6A30" w:rsidRPr="00484DAF">
        <w:rPr>
          <w:sz w:val="24"/>
          <w:szCs w:val="24"/>
        </w:rPr>
        <w:t>gen niet worden geacht te zijn ge</w:t>
      </w:r>
      <w:r w:rsidR="008519D4" w:rsidRPr="00484DAF">
        <w:rPr>
          <w:sz w:val="24"/>
          <w:szCs w:val="24"/>
        </w:rPr>
        <w:t xml:space="preserve">troffen met het oog op bebouwing van kavels. </w:t>
      </w:r>
      <w:r w:rsidR="00587833" w:rsidRPr="00484DAF">
        <w:rPr>
          <w:sz w:val="24"/>
          <w:szCs w:val="24"/>
        </w:rPr>
        <w:t xml:space="preserve">De </w:t>
      </w:r>
      <w:r w:rsidR="00587833" w:rsidRPr="00484DAF">
        <w:rPr>
          <w:i/>
          <w:sz w:val="24"/>
          <w:szCs w:val="24"/>
        </w:rPr>
        <w:t xml:space="preserve">redactie </w:t>
      </w:r>
      <w:r w:rsidR="008519D4" w:rsidRPr="00484DAF">
        <w:rPr>
          <w:i/>
          <w:sz w:val="24"/>
          <w:szCs w:val="24"/>
        </w:rPr>
        <w:t>Vakstudie Nieuws</w:t>
      </w:r>
      <w:r w:rsidR="008519D4" w:rsidRPr="00484DAF">
        <w:rPr>
          <w:sz w:val="24"/>
          <w:szCs w:val="24"/>
        </w:rPr>
        <w:t xml:space="preserve"> </w:t>
      </w:r>
      <w:r w:rsidR="00587833" w:rsidRPr="00484DAF">
        <w:rPr>
          <w:sz w:val="24"/>
          <w:szCs w:val="24"/>
        </w:rPr>
        <w:t>merkt in de aantekening terecht op dat bij stadsvernieuwing, indien bestaande bebouwing niet passend wordt geacht, eerder aangelegde voorzieningen dienstbaar kunne</w:t>
      </w:r>
      <w:r w:rsidR="00B20283" w:rsidRPr="00484DAF">
        <w:rPr>
          <w:sz w:val="24"/>
          <w:szCs w:val="24"/>
        </w:rPr>
        <w:t>n zijn aan de nieuwe bebouwinga</w:t>
      </w:r>
      <w:r w:rsidR="00587833" w:rsidRPr="00484DAF">
        <w:rPr>
          <w:sz w:val="24"/>
          <w:szCs w:val="24"/>
        </w:rPr>
        <w:t>ders</w:t>
      </w:r>
      <w:r w:rsidR="00AC7B3F" w:rsidRPr="00484DAF">
        <w:rPr>
          <w:sz w:val="24"/>
          <w:szCs w:val="24"/>
        </w:rPr>
        <w:t>.</w:t>
      </w:r>
      <w:r w:rsidR="00DA5DA4" w:rsidRPr="00484DAF">
        <w:rPr>
          <w:sz w:val="24"/>
          <w:szCs w:val="24"/>
        </w:rPr>
        <w:t xml:space="preserve"> </w:t>
      </w:r>
      <w:r w:rsidR="00587833" w:rsidRPr="00484DAF">
        <w:rPr>
          <w:sz w:val="24"/>
          <w:szCs w:val="24"/>
        </w:rPr>
        <w:t xml:space="preserve">De enge uitleg van het Hof is overigens wel verklaarbaar vanuit de optiek dat anders </w:t>
      </w:r>
      <w:r w:rsidR="008519D4" w:rsidRPr="00484DAF">
        <w:rPr>
          <w:sz w:val="24"/>
          <w:szCs w:val="24"/>
        </w:rPr>
        <w:t xml:space="preserve">de meeste onbebouwde kavels binnen de landsgrenzen aan het criterium </w:t>
      </w:r>
      <w:r w:rsidR="00587833" w:rsidRPr="00484DAF">
        <w:rPr>
          <w:sz w:val="24"/>
          <w:szCs w:val="24"/>
        </w:rPr>
        <w:t xml:space="preserve">voldoen </w:t>
      </w:r>
      <w:r w:rsidR="008519D4" w:rsidRPr="00484DAF">
        <w:rPr>
          <w:sz w:val="24"/>
          <w:szCs w:val="24"/>
        </w:rPr>
        <w:t xml:space="preserve">dat in de omgeving voorzieningen </w:t>
      </w:r>
      <w:r w:rsidR="00587833" w:rsidRPr="00484DAF">
        <w:rPr>
          <w:sz w:val="24"/>
          <w:szCs w:val="24"/>
        </w:rPr>
        <w:t xml:space="preserve">zijn </w:t>
      </w:r>
      <w:r w:rsidR="008519D4" w:rsidRPr="00484DAF">
        <w:rPr>
          <w:sz w:val="24"/>
          <w:szCs w:val="24"/>
        </w:rPr>
        <w:t>getroffen</w:t>
      </w:r>
      <w:r w:rsidR="00587833" w:rsidRPr="00484DAF">
        <w:rPr>
          <w:sz w:val="24"/>
          <w:szCs w:val="24"/>
        </w:rPr>
        <w:t xml:space="preserve">. Dit </w:t>
      </w:r>
      <w:r w:rsidR="008519D4" w:rsidRPr="00484DAF">
        <w:rPr>
          <w:sz w:val="24"/>
          <w:szCs w:val="24"/>
        </w:rPr>
        <w:t xml:space="preserve">dankzij de </w:t>
      </w:r>
      <w:r w:rsidR="00587833" w:rsidRPr="00484DAF">
        <w:rPr>
          <w:sz w:val="24"/>
          <w:szCs w:val="24"/>
        </w:rPr>
        <w:t xml:space="preserve">uitstekende </w:t>
      </w:r>
      <w:r w:rsidR="008519D4" w:rsidRPr="00484DAF">
        <w:rPr>
          <w:sz w:val="24"/>
          <w:szCs w:val="24"/>
        </w:rPr>
        <w:t xml:space="preserve">Nederlandse infrastructuur. Alleen het oogmerk tot bebouwing ontbreekt </w:t>
      </w:r>
      <w:r w:rsidR="00AC7B3F" w:rsidRPr="00484DAF">
        <w:rPr>
          <w:sz w:val="24"/>
          <w:szCs w:val="24"/>
        </w:rPr>
        <w:t xml:space="preserve">nog </w:t>
      </w:r>
      <w:r w:rsidR="00587833" w:rsidRPr="00484DAF">
        <w:rPr>
          <w:sz w:val="24"/>
          <w:szCs w:val="24"/>
        </w:rPr>
        <w:t xml:space="preserve">om te </w:t>
      </w:r>
      <w:r w:rsidR="00EE6A30" w:rsidRPr="00484DAF">
        <w:rPr>
          <w:sz w:val="24"/>
          <w:szCs w:val="24"/>
        </w:rPr>
        <w:t xml:space="preserve">kwalificeren </w:t>
      </w:r>
      <w:r w:rsidR="00587833" w:rsidRPr="00484DAF">
        <w:rPr>
          <w:sz w:val="24"/>
          <w:szCs w:val="24"/>
        </w:rPr>
        <w:t>als bouwterrein</w:t>
      </w:r>
      <w:r w:rsidR="008519D4" w:rsidRPr="00484DAF">
        <w:rPr>
          <w:sz w:val="24"/>
          <w:szCs w:val="24"/>
        </w:rPr>
        <w:t xml:space="preserve">. </w:t>
      </w:r>
      <w:r w:rsidR="00587833" w:rsidRPr="00484DAF">
        <w:rPr>
          <w:sz w:val="24"/>
          <w:szCs w:val="24"/>
        </w:rPr>
        <w:t>In dit licht zou artikel 11, lid 4, onderdeel c Wet OB 1968 wellicht zelfs overbodig zijn.</w:t>
      </w:r>
    </w:p>
    <w:p w:rsidR="00557A1F" w:rsidRPr="00484DAF" w:rsidRDefault="00557A1F" w:rsidP="00CC552D">
      <w:pPr>
        <w:pStyle w:val="Geenafstand"/>
        <w:spacing w:line="360" w:lineRule="auto"/>
        <w:rPr>
          <w:sz w:val="24"/>
          <w:szCs w:val="24"/>
        </w:rPr>
      </w:pPr>
    </w:p>
    <w:p w:rsidR="00032945" w:rsidRPr="00484DAF" w:rsidRDefault="00032945" w:rsidP="00CC552D">
      <w:pPr>
        <w:pStyle w:val="Kop2"/>
        <w:spacing w:before="0" w:line="360" w:lineRule="auto"/>
        <w:rPr>
          <w:rFonts w:ascii="Times New Roman" w:hAnsi="Times New Roman"/>
          <w:color w:val="auto"/>
          <w:sz w:val="24"/>
          <w:szCs w:val="24"/>
        </w:rPr>
      </w:pPr>
      <w:bookmarkStart w:id="85" w:name="_Toc254043938"/>
      <w:r w:rsidRPr="00484DAF">
        <w:rPr>
          <w:rFonts w:ascii="Times New Roman" w:hAnsi="Times New Roman"/>
          <w:color w:val="auto"/>
          <w:sz w:val="24"/>
          <w:szCs w:val="24"/>
        </w:rPr>
        <w:t>4.2.</w:t>
      </w:r>
      <w:r w:rsidR="00E63DA6" w:rsidRPr="00484DAF">
        <w:rPr>
          <w:rFonts w:ascii="Times New Roman" w:hAnsi="Times New Roman"/>
          <w:color w:val="auto"/>
          <w:sz w:val="24"/>
          <w:szCs w:val="24"/>
        </w:rPr>
        <w:t>6</w:t>
      </w:r>
      <w:r w:rsidRPr="00484DAF">
        <w:rPr>
          <w:rFonts w:ascii="Times New Roman" w:hAnsi="Times New Roman"/>
          <w:color w:val="auto"/>
          <w:sz w:val="24"/>
          <w:szCs w:val="24"/>
        </w:rPr>
        <w:t xml:space="preserve"> Bouwvergunning</w:t>
      </w:r>
      <w:bookmarkEnd w:id="85"/>
    </w:p>
    <w:p w:rsidR="00F02FA2" w:rsidRPr="00484DAF" w:rsidRDefault="00E63DA6" w:rsidP="00CC552D">
      <w:pPr>
        <w:pStyle w:val="Geenafstand"/>
        <w:spacing w:line="360" w:lineRule="auto"/>
        <w:rPr>
          <w:sz w:val="24"/>
          <w:szCs w:val="24"/>
        </w:rPr>
      </w:pPr>
      <w:r w:rsidRPr="00484DAF">
        <w:rPr>
          <w:sz w:val="24"/>
          <w:szCs w:val="24"/>
        </w:rPr>
        <w:t>De afgifte van een b</w:t>
      </w:r>
      <w:r w:rsidR="005F1617" w:rsidRPr="00484DAF">
        <w:rPr>
          <w:sz w:val="24"/>
          <w:szCs w:val="24"/>
        </w:rPr>
        <w:t xml:space="preserve">ouwvergunning is het meest tastbare bewijs dat sprake is van een bouwterrein. </w:t>
      </w:r>
      <w:r w:rsidR="009A3CAB" w:rsidRPr="00484DAF">
        <w:rPr>
          <w:sz w:val="24"/>
          <w:szCs w:val="24"/>
        </w:rPr>
        <w:t xml:space="preserve">Daarbij </w:t>
      </w:r>
      <w:r w:rsidR="001A5D52" w:rsidRPr="00484DAF">
        <w:rPr>
          <w:sz w:val="24"/>
          <w:szCs w:val="24"/>
        </w:rPr>
        <w:t>kwalificeert een ontzandingvergunning niet als bouwvergunning.</w:t>
      </w:r>
      <w:r w:rsidR="001A5D52" w:rsidRPr="00484DAF">
        <w:rPr>
          <w:rStyle w:val="Voetnootmarkering"/>
          <w:sz w:val="24"/>
          <w:szCs w:val="24"/>
        </w:rPr>
        <w:footnoteReference w:id="196"/>
      </w:r>
      <w:r w:rsidR="009A3CAB" w:rsidRPr="00484DAF">
        <w:rPr>
          <w:sz w:val="24"/>
          <w:szCs w:val="24"/>
        </w:rPr>
        <w:t xml:space="preserve"> </w:t>
      </w:r>
      <w:r w:rsidR="005F1617" w:rsidRPr="00484DAF">
        <w:rPr>
          <w:sz w:val="24"/>
          <w:szCs w:val="24"/>
        </w:rPr>
        <w:t xml:space="preserve">Op het moment dat een bouwvergunning door de gemeente is afgegeven, maakt dit de overige criteria irrelevant. Onbebouwde grond kan zo </w:t>
      </w:r>
      <w:r w:rsidRPr="00484DAF">
        <w:rPr>
          <w:sz w:val="24"/>
          <w:szCs w:val="24"/>
        </w:rPr>
        <w:t>op grond van artikel 11, lid 4, onderdeel d Wet</w:t>
      </w:r>
      <w:r w:rsidR="00AC7B3F" w:rsidRPr="00484DAF">
        <w:rPr>
          <w:sz w:val="24"/>
          <w:szCs w:val="24"/>
        </w:rPr>
        <w:t> </w:t>
      </w:r>
      <w:r w:rsidRPr="00484DAF">
        <w:rPr>
          <w:sz w:val="24"/>
          <w:szCs w:val="24"/>
        </w:rPr>
        <w:t xml:space="preserve">OB 1968 </w:t>
      </w:r>
      <w:r w:rsidR="005F1617" w:rsidRPr="00484DAF">
        <w:rPr>
          <w:sz w:val="24"/>
          <w:szCs w:val="24"/>
        </w:rPr>
        <w:t xml:space="preserve">zonder enige bewerking of voorziening als bouwterrein worden aangemerkt. </w:t>
      </w:r>
      <w:r w:rsidR="00E86207" w:rsidRPr="00484DAF">
        <w:rPr>
          <w:sz w:val="24"/>
          <w:szCs w:val="24"/>
        </w:rPr>
        <w:t xml:space="preserve">Mij dunkt overigens dat een bouwvergunning niet zo maar van overheidswege wordt </w:t>
      </w:r>
      <w:r w:rsidR="00E86207" w:rsidRPr="00484DAF">
        <w:rPr>
          <w:sz w:val="24"/>
          <w:szCs w:val="24"/>
        </w:rPr>
        <w:lastRenderedPageBreak/>
        <w:t>afgegeven, dus wellicht dat genoemde voorzieningen of bewerking</w:t>
      </w:r>
      <w:r w:rsidR="00C3023A" w:rsidRPr="00484DAF">
        <w:rPr>
          <w:sz w:val="24"/>
          <w:szCs w:val="24"/>
        </w:rPr>
        <w:t>en</w:t>
      </w:r>
      <w:r w:rsidR="00E86207" w:rsidRPr="00484DAF">
        <w:rPr>
          <w:sz w:val="24"/>
          <w:szCs w:val="24"/>
        </w:rPr>
        <w:t xml:space="preserve"> voor een deel al hebben plaatsgevon</w:t>
      </w:r>
      <w:r w:rsidR="00D810B4" w:rsidRPr="00484DAF">
        <w:rPr>
          <w:sz w:val="24"/>
          <w:szCs w:val="24"/>
        </w:rPr>
        <w:t>den ten tijde van de afgifte. Na uitspraak van Hof Arnhem</w:t>
      </w:r>
      <w:r w:rsidR="00D810B4" w:rsidRPr="00484DAF">
        <w:rPr>
          <w:rStyle w:val="Voetnootmarkering"/>
          <w:sz w:val="24"/>
          <w:szCs w:val="24"/>
        </w:rPr>
        <w:footnoteReference w:id="197"/>
      </w:r>
      <w:r w:rsidR="00D810B4" w:rsidRPr="00484DAF">
        <w:rPr>
          <w:sz w:val="24"/>
          <w:szCs w:val="24"/>
        </w:rPr>
        <w:t xml:space="preserve"> blijkt dat intrekking of schorsing van een bouwvergunning na de levering niet tot ongedaan </w:t>
      </w:r>
      <w:r w:rsidR="001A5D52" w:rsidRPr="00484DAF">
        <w:rPr>
          <w:sz w:val="24"/>
          <w:szCs w:val="24"/>
        </w:rPr>
        <w:t xml:space="preserve">maken </w:t>
      </w:r>
      <w:r w:rsidR="00D810B4" w:rsidRPr="00484DAF">
        <w:rPr>
          <w:sz w:val="24"/>
          <w:szCs w:val="24"/>
        </w:rPr>
        <w:t>van de status bouwterrein</w:t>
      </w:r>
      <w:r w:rsidR="001A5D52" w:rsidRPr="00484DAF">
        <w:rPr>
          <w:sz w:val="24"/>
          <w:szCs w:val="24"/>
        </w:rPr>
        <w:t xml:space="preserve"> leidt.</w:t>
      </w:r>
      <w:r w:rsidR="009A3CAB" w:rsidRPr="00484DAF">
        <w:rPr>
          <w:sz w:val="24"/>
          <w:szCs w:val="24"/>
        </w:rPr>
        <w:t xml:space="preserve"> Wordt de bouwvergunning voor </w:t>
      </w:r>
      <w:r w:rsidR="00B20283" w:rsidRPr="00484DAF">
        <w:rPr>
          <w:sz w:val="24"/>
          <w:szCs w:val="24"/>
        </w:rPr>
        <w:t xml:space="preserve">de </w:t>
      </w:r>
      <w:r w:rsidR="009A3CAB" w:rsidRPr="00484DAF">
        <w:rPr>
          <w:sz w:val="24"/>
          <w:szCs w:val="24"/>
        </w:rPr>
        <w:t>levering ingetrokken, wordt niet voldaan aan artikel 11, lid 4, onderdeel d Wet OB 1968 en is geen sprake van een bouwterrein indien aan de maagdelijke grond geen bewerkingen hebben plaatsgevonden.</w:t>
      </w:r>
      <w:r w:rsidR="005F1950" w:rsidRPr="00484DAF">
        <w:rPr>
          <w:rStyle w:val="Voetnootmarkering"/>
          <w:sz w:val="24"/>
          <w:szCs w:val="24"/>
        </w:rPr>
        <w:footnoteReference w:id="198"/>
      </w:r>
      <w:r w:rsidR="009A3CAB" w:rsidRPr="00484DAF">
        <w:rPr>
          <w:sz w:val="24"/>
          <w:szCs w:val="24"/>
        </w:rPr>
        <w:t xml:space="preserve"> </w:t>
      </w:r>
    </w:p>
    <w:p w:rsidR="005F1950" w:rsidRPr="00484DAF" w:rsidRDefault="005F1950" w:rsidP="00CC552D">
      <w:pPr>
        <w:pStyle w:val="Geenafstand"/>
        <w:spacing w:line="360" w:lineRule="auto"/>
        <w:rPr>
          <w:sz w:val="24"/>
          <w:szCs w:val="24"/>
        </w:rPr>
      </w:pPr>
    </w:p>
    <w:p w:rsidR="004A1AEF" w:rsidRPr="00484DAF" w:rsidRDefault="009A3CAB" w:rsidP="00CC552D">
      <w:pPr>
        <w:pStyle w:val="Geenafstand"/>
        <w:spacing w:line="360" w:lineRule="auto"/>
        <w:rPr>
          <w:sz w:val="24"/>
          <w:szCs w:val="24"/>
        </w:rPr>
      </w:pPr>
      <w:r w:rsidRPr="00484DAF">
        <w:rPr>
          <w:sz w:val="24"/>
          <w:szCs w:val="24"/>
        </w:rPr>
        <w:t>Er zijn drie soorten bouwvergunningen te onderscheiden, namelijk de lichte bouwvergunning</w:t>
      </w:r>
      <w:r w:rsidRPr="00484DAF">
        <w:rPr>
          <w:rStyle w:val="Voetnootmarkering"/>
          <w:sz w:val="24"/>
          <w:szCs w:val="24"/>
        </w:rPr>
        <w:footnoteReference w:id="199"/>
      </w:r>
      <w:r w:rsidRPr="00484DAF">
        <w:rPr>
          <w:sz w:val="24"/>
          <w:szCs w:val="24"/>
        </w:rPr>
        <w:t xml:space="preserve">, de reguliere bouwvergunning en de gefaseerde bouwvergunning. </w:t>
      </w:r>
      <w:r w:rsidR="001806A6" w:rsidRPr="00484DAF">
        <w:rPr>
          <w:sz w:val="24"/>
          <w:szCs w:val="24"/>
        </w:rPr>
        <w:t>Bij afgifte van de eerste twee genoemde vergunningen is de vereiste bouwvergunning aanwezig, omdat maatschappelijk gezien bij een verleende bouwvergunning nagenoeg zeker is dat onbebouwde grond zal worden bebouwd</w:t>
      </w:r>
      <w:r w:rsidR="001806A6" w:rsidRPr="00484DAF">
        <w:rPr>
          <w:rStyle w:val="Voetnootmarkering"/>
          <w:sz w:val="24"/>
          <w:szCs w:val="24"/>
        </w:rPr>
        <w:footnoteReference w:id="200"/>
      </w:r>
      <w:r w:rsidR="001806A6" w:rsidRPr="00484DAF">
        <w:rPr>
          <w:sz w:val="24"/>
          <w:szCs w:val="24"/>
        </w:rPr>
        <w:t xml:space="preserve"> en kan maagdelijke grond zonder enige bewerking als bouwterrein kwalificeren. Bij een g</w:t>
      </w:r>
      <w:r w:rsidR="000F795B" w:rsidRPr="00484DAF">
        <w:rPr>
          <w:sz w:val="24"/>
          <w:szCs w:val="24"/>
        </w:rPr>
        <w:t>efaseerde bouwvergunning wordt de eerste fase verleen</w:t>
      </w:r>
      <w:r w:rsidR="00B20283" w:rsidRPr="00484DAF">
        <w:rPr>
          <w:sz w:val="24"/>
          <w:szCs w:val="24"/>
        </w:rPr>
        <w:t>d</w:t>
      </w:r>
      <w:r w:rsidR="000F795B" w:rsidRPr="00484DAF">
        <w:rPr>
          <w:sz w:val="24"/>
          <w:szCs w:val="24"/>
        </w:rPr>
        <w:t xml:space="preserve"> na beoordeling van ruimtelijke- en welstandstechnische aspecten, terwijl in de tweede fase bouwtechnische aspecten worden beoordeeld.</w:t>
      </w:r>
      <w:r w:rsidR="000F795B" w:rsidRPr="00484DAF">
        <w:rPr>
          <w:rStyle w:val="Voetnootmarkering"/>
          <w:sz w:val="24"/>
          <w:szCs w:val="24"/>
        </w:rPr>
        <w:footnoteReference w:id="201"/>
      </w:r>
      <w:r w:rsidR="000F795B" w:rsidRPr="00484DAF">
        <w:rPr>
          <w:sz w:val="24"/>
          <w:szCs w:val="24"/>
        </w:rPr>
        <w:t xml:space="preserve"> Daadwerkelijke bebouwing is in dezen pas (nagenoeg) zeker na </w:t>
      </w:r>
      <w:r w:rsidR="001806A6" w:rsidRPr="00484DAF">
        <w:rPr>
          <w:sz w:val="24"/>
          <w:szCs w:val="24"/>
        </w:rPr>
        <w:t>verlening van de tweede fase, hetgeen ertoe leidt dat pas dan sprake is van een bouwvergunning als bedoeld in artikel 11, lid 4 onderdeel d Wet OB 1968.</w:t>
      </w:r>
    </w:p>
    <w:p w:rsidR="00557A1F" w:rsidRPr="00484DAF" w:rsidRDefault="00557A1F" w:rsidP="00CC552D">
      <w:pPr>
        <w:pStyle w:val="Geenafstand"/>
        <w:spacing w:line="360" w:lineRule="auto"/>
        <w:rPr>
          <w:sz w:val="24"/>
          <w:szCs w:val="24"/>
        </w:rPr>
      </w:pPr>
    </w:p>
    <w:p w:rsidR="00061579" w:rsidRPr="00484DAF" w:rsidRDefault="00E86207" w:rsidP="00CC552D">
      <w:pPr>
        <w:pStyle w:val="Kop2"/>
        <w:spacing w:before="0" w:line="360" w:lineRule="auto"/>
        <w:rPr>
          <w:rFonts w:ascii="Times New Roman" w:hAnsi="Times New Roman"/>
          <w:color w:val="auto"/>
          <w:sz w:val="24"/>
          <w:szCs w:val="24"/>
        </w:rPr>
      </w:pPr>
      <w:bookmarkStart w:id="86" w:name="_Toc254043939"/>
      <w:r w:rsidRPr="00484DAF">
        <w:rPr>
          <w:rFonts w:ascii="Times New Roman" w:hAnsi="Times New Roman"/>
          <w:color w:val="auto"/>
          <w:sz w:val="24"/>
          <w:szCs w:val="24"/>
        </w:rPr>
        <w:t>4.2.7</w:t>
      </w:r>
      <w:r w:rsidR="00061579" w:rsidRPr="00484DAF">
        <w:rPr>
          <w:rFonts w:ascii="Times New Roman" w:hAnsi="Times New Roman"/>
          <w:color w:val="auto"/>
          <w:sz w:val="24"/>
          <w:szCs w:val="24"/>
        </w:rPr>
        <w:t xml:space="preserve"> Tijdstip beoordeling bouwterrein</w:t>
      </w:r>
      <w:bookmarkEnd w:id="86"/>
    </w:p>
    <w:p w:rsidR="0098723F" w:rsidRPr="00484DAF" w:rsidRDefault="00061579" w:rsidP="00CC552D">
      <w:pPr>
        <w:spacing w:after="0" w:line="360" w:lineRule="auto"/>
        <w:rPr>
          <w:sz w:val="24"/>
          <w:szCs w:val="24"/>
        </w:rPr>
      </w:pPr>
      <w:r w:rsidRPr="00484DAF">
        <w:rPr>
          <w:sz w:val="24"/>
          <w:szCs w:val="24"/>
        </w:rPr>
        <w:t xml:space="preserve">Evenals bij </w:t>
      </w:r>
      <w:r w:rsidR="00593C84" w:rsidRPr="00484DAF">
        <w:rPr>
          <w:sz w:val="24"/>
          <w:szCs w:val="24"/>
        </w:rPr>
        <w:t>vervaardiging</w:t>
      </w:r>
      <w:r w:rsidRPr="00484DAF">
        <w:rPr>
          <w:sz w:val="24"/>
          <w:szCs w:val="24"/>
        </w:rPr>
        <w:t xml:space="preserve"> luidt het antwoord op de vraag op welk moment wordt getoetst of sprake is van een bouwterrein</w:t>
      </w:r>
      <w:r w:rsidR="00593C84" w:rsidRPr="00484DAF">
        <w:rPr>
          <w:sz w:val="24"/>
          <w:szCs w:val="24"/>
        </w:rPr>
        <w:t>:</w:t>
      </w:r>
      <w:r w:rsidRPr="00484DAF">
        <w:rPr>
          <w:sz w:val="24"/>
          <w:szCs w:val="24"/>
        </w:rPr>
        <w:t xml:space="preserve"> het </w:t>
      </w:r>
      <w:r w:rsidR="0098723F" w:rsidRPr="00484DAF">
        <w:rPr>
          <w:sz w:val="24"/>
          <w:szCs w:val="24"/>
        </w:rPr>
        <w:t>leveringsmoment</w:t>
      </w:r>
      <w:r w:rsidRPr="00484DAF">
        <w:rPr>
          <w:sz w:val="24"/>
          <w:szCs w:val="24"/>
        </w:rPr>
        <w:t xml:space="preserve">. </w:t>
      </w:r>
      <w:r w:rsidR="009A3CAB" w:rsidRPr="00484DAF">
        <w:rPr>
          <w:sz w:val="24"/>
          <w:szCs w:val="24"/>
        </w:rPr>
        <w:t xml:space="preserve">In de vorige subparagraaf kwam het toetsingsmoment al impliciet naar voren. </w:t>
      </w:r>
      <w:r w:rsidRPr="00484DAF">
        <w:rPr>
          <w:sz w:val="24"/>
          <w:szCs w:val="24"/>
        </w:rPr>
        <w:t xml:space="preserve">Dit wordt bevestigd door de </w:t>
      </w:r>
      <w:r w:rsidR="0098723F" w:rsidRPr="00484DAF">
        <w:rPr>
          <w:sz w:val="24"/>
          <w:szCs w:val="24"/>
        </w:rPr>
        <w:t>staatssecretaris</w:t>
      </w:r>
      <w:r w:rsidRPr="00484DAF">
        <w:rPr>
          <w:sz w:val="24"/>
          <w:szCs w:val="24"/>
        </w:rPr>
        <w:t xml:space="preserve"> </w:t>
      </w:r>
      <w:r w:rsidR="00C3023A" w:rsidRPr="00484DAF">
        <w:rPr>
          <w:sz w:val="24"/>
          <w:szCs w:val="24"/>
        </w:rPr>
        <w:t>in zijn besluit van 14 juli </w:t>
      </w:r>
      <w:r w:rsidR="0098723F" w:rsidRPr="00484DAF">
        <w:rPr>
          <w:sz w:val="24"/>
          <w:szCs w:val="24"/>
        </w:rPr>
        <w:t>2009</w:t>
      </w:r>
      <w:r w:rsidR="0098723F" w:rsidRPr="00484DAF">
        <w:rPr>
          <w:rStyle w:val="Voetnootmarkering"/>
          <w:sz w:val="24"/>
          <w:szCs w:val="24"/>
        </w:rPr>
        <w:footnoteReference w:id="202"/>
      </w:r>
      <w:r w:rsidRPr="00484DAF">
        <w:rPr>
          <w:sz w:val="24"/>
          <w:szCs w:val="24"/>
        </w:rPr>
        <w:t xml:space="preserve"> </w:t>
      </w:r>
      <w:r w:rsidR="0098723F" w:rsidRPr="00484DAF">
        <w:rPr>
          <w:sz w:val="24"/>
          <w:szCs w:val="24"/>
        </w:rPr>
        <w:t xml:space="preserve">en lijkt me een juist standpunt. Waar de schoen </w:t>
      </w:r>
      <w:r w:rsidR="00622D2E" w:rsidRPr="00484DAF">
        <w:rPr>
          <w:sz w:val="24"/>
          <w:szCs w:val="24"/>
        </w:rPr>
        <w:t xml:space="preserve">enigszins </w:t>
      </w:r>
      <w:r w:rsidR="0098723F" w:rsidRPr="00484DAF">
        <w:rPr>
          <w:sz w:val="24"/>
          <w:szCs w:val="24"/>
        </w:rPr>
        <w:t>wringt, is mijns inziens wat dit hoofdstuk reeds meerdere malen is geconstateerd</w:t>
      </w:r>
      <w:r w:rsidR="00C3023A" w:rsidRPr="00484DAF">
        <w:rPr>
          <w:sz w:val="24"/>
          <w:szCs w:val="24"/>
        </w:rPr>
        <w:t>, namelijk</w:t>
      </w:r>
      <w:r w:rsidR="0098723F" w:rsidRPr="00484DAF">
        <w:rPr>
          <w:sz w:val="24"/>
          <w:szCs w:val="24"/>
        </w:rPr>
        <w:t xml:space="preserve"> dat enerzijds “oude” voorzieningen </w:t>
      </w:r>
      <w:r w:rsidR="00F5443B" w:rsidRPr="00484DAF">
        <w:rPr>
          <w:sz w:val="24"/>
          <w:szCs w:val="24"/>
        </w:rPr>
        <w:t xml:space="preserve">bij herontwikkeling ten behoeve van </w:t>
      </w:r>
      <w:r w:rsidR="0098723F" w:rsidRPr="00484DAF">
        <w:rPr>
          <w:sz w:val="24"/>
          <w:szCs w:val="24"/>
        </w:rPr>
        <w:t>nieuwbouw niet mee tellen of bewerkingen van v</w:t>
      </w:r>
      <w:r w:rsidR="00042A45" w:rsidRPr="00484DAF">
        <w:rPr>
          <w:sz w:val="24"/>
          <w:szCs w:val="24"/>
        </w:rPr>
        <w:t>eertig</w:t>
      </w:r>
      <w:r w:rsidR="0098723F" w:rsidRPr="00484DAF">
        <w:rPr>
          <w:sz w:val="24"/>
          <w:szCs w:val="24"/>
        </w:rPr>
        <w:t xml:space="preserve"> jaar geleden nog steeds invloed </w:t>
      </w:r>
      <w:r w:rsidR="00E86207" w:rsidRPr="00484DAF">
        <w:rPr>
          <w:sz w:val="24"/>
          <w:szCs w:val="24"/>
        </w:rPr>
        <w:t>hebben op het moment dat wordt getoetst of de kwalificatie van bouwterrein wel of niet verdiend is</w:t>
      </w:r>
      <w:r w:rsidR="00F5443B" w:rsidRPr="00484DAF">
        <w:rPr>
          <w:sz w:val="24"/>
          <w:szCs w:val="24"/>
        </w:rPr>
        <w:t xml:space="preserve"> (ook al zijn de bewerkingen </w:t>
      </w:r>
      <w:r w:rsidR="00F5443B" w:rsidRPr="00484DAF">
        <w:rPr>
          <w:sz w:val="24"/>
          <w:szCs w:val="24"/>
        </w:rPr>
        <w:lastRenderedPageBreak/>
        <w:t>niet meer bruikbaar)</w:t>
      </w:r>
      <w:r w:rsidR="00E86207" w:rsidRPr="00484DAF">
        <w:rPr>
          <w:sz w:val="24"/>
          <w:szCs w:val="24"/>
        </w:rPr>
        <w:t>.</w:t>
      </w:r>
      <w:r w:rsidR="00042A45" w:rsidRPr="00484DAF">
        <w:rPr>
          <w:sz w:val="24"/>
          <w:szCs w:val="24"/>
        </w:rPr>
        <w:t xml:space="preserve"> Overigens zijn </w:t>
      </w:r>
      <w:r w:rsidR="00042A45" w:rsidRPr="00484DAF">
        <w:rPr>
          <w:i/>
          <w:sz w:val="24"/>
          <w:szCs w:val="24"/>
        </w:rPr>
        <w:t>Keijsers en Kronjee</w:t>
      </w:r>
      <w:r w:rsidR="00042A45" w:rsidRPr="00484DAF">
        <w:rPr>
          <w:rStyle w:val="Voetnootmarkering"/>
          <w:i/>
          <w:sz w:val="24"/>
          <w:szCs w:val="24"/>
        </w:rPr>
        <w:footnoteReference w:id="203"/>
      </w:r>
      <w:r w:rsidR="00042A45" w:rsidRPr="00484DAF">
        <w:rPr>
          <w:sz w:val="24"/>
          <w:szCs w:val="24"/>
        </w:rPr>
        <w:t xml:space="preserve"> </w:t>
      </w:r>
      <w:r w:rsidR="00E07B48" w:rsidRPr="00484DAF">
        <w:rPr>
          <w:sz w:val="24"/>
          <w:szCs w:val="24"/>
        </w:rPr>
        <w:t>van mening dat het eventuele oogmerk tot bebouwing van grond getoetst d</w:t>
      </w:r>
      <w:r w:rsidR="00593C84" w:rsidRPr="00484DAF">
        <w:rPr>
          <w:sz w:val="24"/>
          <w:szCs w:val="24"/>
        </w:rPr>
        <w:t>ient te worden op het moment dat</w:t>
      </w:r>
      <w:r w:rsidR="00E07B48" w:rsidRPr="00484DAF">
        <w:rPr>
          <w:sz w:val="24"/>
          <w:szCs w:val="24"/>
        </w:rPr>
        <w:t xml:space="preserve"> de bewerkingen plaatsvinden, voorzieningen worden getroffen of een bouwvergunning wordt verleend. Deze mening on</w:t>
      </w:r>
      <w:r w:rsidR="00593C84" w:rsidRPr="00484DAF">
        <w:rPr>
          <w:sz w:val="24"/>
          <w:szCs w:val="24"/>
        </w:rPr>
        <w:t>derschrijf ik niet. Immers, zo</w:t>
      </w:r>
      <w:r w:rsidR="00E07B48" w:rsidRPr="00484DAF">
        <w:rPr>
          <w:sz w:val="24"/>
          <w:szCs w:val="24"/>
        </w:rPr>
        <w:t xml:space="preserve">lang niet </w:t>
      </w:r>
      <w:r w:rsidR="00593C84" w:rsidRPr="00484DAF">
        <w:rPr>
          <w:sz w:val="24"/>
          <w:szCs w:val="24"/>
        </w:rPr>
        <w:t xml:space="preserve">is </w:t>
      </w:r>
      <w:r w:rsidR="00E07B48" w:rsidRPr="00484DAF">
        <w:rPr>
          <w:sz w:val="24"/>
          <w:szCs w:val="24"/>
        </w:rPr>
        <w:t>geleverd</w:t>
      </w:r>
      <w:r w:rsidR="00593C84" w:rsidRPr="00484DAF">
        <w:rPr>
          <w:sz w:val="24"/>
          <w:szCs w:val="24"/>
        </w:rPr>
        <w:t>,</w:t>
      </w:r>
      <w:r w:rsidR="00E07B48" w:rsidRPr="00484DAF">
        <w:rPr>
          <w:sz w:val="24"/>
          <w:szCs w:val="24"/>
        </w:rPr>
        <w:t xml:space="preserve"> </w:t>
      </w:r>
      <w:r w:rsidR="00593C84" w:rsidRPr="00484DAF">
        <w:rPr>
          <w:sz w:val="24"/>
          <w:szCs w:val="24"/>
        </w:rPr>
        <w:t xml:space="preserve">is </w:t>
      </w:r>
      <w:r w:rsidR="00E07B48" w:rsidRPr="00484DAF">
        <w:rPr>
          <w:sz w:val="24"/>
          <w:szCs w:val="24"/>
        </w:rPr>
        <w:t xml:space="preserve">de BTW-status van een kavel niet relevant en </w:t>
      </w:r>
      <w:r w:rsidR="00593C84" w:rsidRPr="00484DAF">
        <w:rPr>
          <w:sz w:val="24"/>
          <w:szCs w:val="24"/>
        </w:rPr>
        <w:t xml:space="preserve">daarnaast kunnen </w:t>
      </w:r>
      <w:r w:rsidR="00E07B48" w:rsidRPr="00484DAF">
        <w:rPr>
          <w:sz w:val="24"/>
          <w:szCs w:val="24"/>
        </w:rPr>
        <w:t>nog voor</w:t>
      </w:r>
      <w:r w:rsidR="00593C84" w:rsidRPr="00484DAF">
        <w:rPr>
          <w:sz w:val="24"/>
          <w:szCs w:val="24"/>
        </w:rPr>
        <w:t xml:space="preserve"> de levering bewerkingen plaats</w:t>
      </w:r>
      <w:r w:rsidR="00E07B48" w:rsidRPr="00484DAF">
        <w:rPr>
          <w:sz w:val="24"/>
          <w:szCs w:val="24"/>
        </w:rPr>
        <w:t>vinden die genoemde handelingen ongedaan maken.</w:t>
      </w:r>
    </w:p>
    <w:p w:rsidR="00557A1F" w:rsidRPr="00484DAF" w:rsidRDefault="00557A1F" w:rsidP="00CC552D">
      <w:pPr>
        <w:pStyle w:val="Geenafstand"/>
        <w:spacing w:line="360" w:lineRule="auto"/>
        <w:rPr>
          <w:sz w:val="24"/>
          <w:szCs w:val="24"/>
        </w:rPr>
      </w:pPr>
    </w:p>
    <w:p w:rsidR="00F92769" w:rsidRPr="00484DAF" w:rsidRDefault="00F92769" w:rsidP="00CC552D">
      <w:pPr>
        <w:pStyle w:val="Kop1"/>
        <w:spacing w:before="0" w:line="360" w:lineRule="auto"/>
        <w:rPr>
          <w:rFonts w:ascii="Times New Roman" w:hAnsi="Times New Roman"/>
          <w:color w:val="auto"/>
          <w:sz w:val="24"/>
          <w:szCs w:val="24"/>
        </w:rPr>
      </w:pPr>
      <w:bookmarkStart w:id="87" w:name="_Toc254043940"/>
      <w:r w:rsidRPr="00484DAF">
        <w:rPr>
          <w:rFonts w:ascii="Times New Roman" w:hAnsi="Times New Roman"/>
          <w:color w:val="auto"/>
          <w:sz w:val="24"/>
          <w:szCs w:val="24"/>
        </w:rPr>
        <w:t>4.</w:t>
      </w:r>
      <w:r w:rsidR="00E86207" w:rsidRPr="00484DAF">
        <w:rPr>
          <w:rFonts w:ascii="Times New Roman" w:hAnsi="Times New Roman"/>
          <w:color w:val="auto"/>
          <w:sz w:val="24"/>
          <w:szCs w:val="24"/>
        </w:rPr>
        <w:t>3</w:t>
      </w:r>
      <w:r w:rsidR="00593C84" w:rsidRPr="00484DAF">
        <w:rPr>
          <w:rFonts w:ascii="Times New Roman" w:hAnsi="Times New Roman"/>
          <w:color w:val="auto"/>
          <w:sz w:val="24"/>
          <w:szCs w:val="24"/>
        </w:rPr>
        <w:t xml:space="preserve"> Meervoudig</w:t>
      </w:r>
      <w:r w:rsidR="00032945" w:rsidRPr="00484DAF">
        <w:rPr>
          <w:rFonts w:ascii="Times New Roman" w:hAnsi="Times New Roman"/>
          <w:color w:val="auto"/>
          <w:sz w:val="24"/>
          <w:szCs w:val="24"/>
        </w:rPr>
        <w:t xml:space="preserve"> grondgebruik</w:t>
      </w:r>
      <w:bookmarkEnd w:id="87"/>
    </w:p>
    <w:p w:rsidR="00ED07BC" w:rsidRPr="00484DAF" w:rsidRDefault="001242F2" w:rsidP="00CC552D">
      <w:pPr>
        <w:spacing w:after="0" w:line="360" w:lineRule="auto"/>
        <w:rPr>
          <w:sz w:val="24"/>
          <w:szCs w:val="24"/>
        </w:rPr>
      </w:pPr>
      <w:r w:rsidRPr="00484DAF">
        <w:rPr>
          <w:sz w:val="24"/>
          <w:szCs w:val="24"/>
        </w:rPr>
        <w:t xml:space="preserve">In </w:t>
      </w:r>
      <w:r w:rsidR="002E0883" w:rsidRPr="00484DAF">
        <w:rPr>
          <w:sz w:val="24"/>
          <w:szCs w:val="24"/>
        </w:rPr>
        <w:t>paragraaf</w:t>
      </w:r>
      <w:r w:rsidR="00593C84" w:rsidRPr="00484DAF">
        <w:rPr>
          <w:sz w:val="24"/>
          <w:szCs w:val="24"/>
        </w:rPr>
        <w:t xml:space="preserve"> 3.3.2</w:t>
      </w:r>
      <w:r w:rsidRPr="00484DAF">
        <w:rPr>
          <w:sz w:val="24"/>
          <w:szCs w:val="24"/>
        </w:rPr>
        <w:t>.4 kwam reeds problematiek aan de orde met betrekking tot ondergronds bouwen.</w:t>
      </w:r>
      <w:r w:rsidR="00DA5DA4" w:rsidRPr="00484DAF">
        <w:rPr>
          <w:sz w:val="24"/>
          <w:szCs w:val="24"/>
        </w:rPr>
        <w:t xml:space="preserve"> </w:t>
      </w:r>
      <w:r w:rsidRPr="00484DAF">
        <w:rPr>
          <w:sz w:val="24"/>
          <w:szCs w:val="24"/>
        </w:rPr>
        <w:t xml:space="preserve">Door verbeterde bouwtechnieken is het mogelijk ondergronds te bouwen zonder de bovenlaag aan te tasten. Wat nu als die bovenlaag niet </w:t>
      </w:r>
      <w:r w:rsidR="001D5E09" w:rsidRPr="00484DAF">
        <w:rPr>
          <w:sz w:val="24"/>
          <w:szCs w:val="24"/>
        </w:rPr>
        <w:t xml:space="preserve">is </w:t>
      </w:r>
      <w:r w:rsidRPr="00484DAF">
        <w:rPr>
          <w:sz w:val="24"/>
          <w:szCs w:val="24"/>
        </w:rPr>
        <w:t xml:space="preserve">bedekt met een opstal, maar bestaat uit onbebouwde grond. </w:t>
      </w:r>
      <w:r w:rsidR="002E0883" w:rsidRPr="00484DAF">
        <w:rPr>
          <w:sz w:val="24"/>
          <w:szCs w:val="24"/>
        </w:rPr>
        <w:t xml:space="preserve">Ter illustratie kan gedacht worden aan de bouw van een tunnel. In de tweedimensionale benadering, waarbij de plattegrond als basis voor de fiscale kwalificatie dient, wordt enkel gekeken naar het gebruik van ruimte in de hoogte en breedte. </w:t>
      </w:r>
      <w:r w:rsidRPr="00484DAF">
        <w:rPr>
          <w:sz w:val="24"/>
          <w:szCs w:val="24"/>
        </w:rPr>
        <w:t xml:space="preserve">Wederom komt een pleidooi naar voren </w:t>
      </w:r>
      <w:r w:rsidR="002E0883" w:rsidRPr="00484DAF">
        <w:rPr>
          <w:sz w:val="24"/>
          <w:szCs w:val="24"/>
        </w:rPr>
        <w:t>ten</w:t>
      </w:r>
      <w:r w:rsidR="00413321" w:rsidRPr="00484DAF">
        <w:rPr>
          <w:sz w:val="24"/>
          <w:szCs w:val="24"/>
        </w:rPr>
        <w:t xml:space="preserve"> faveure van een</w:t>
      </w:r>
      <w:r w:rsidRPr="00484DAF">
        <w:rPr>
          <w:sz w:val="24"/>
          <w:szCs w:val="24"/>
        </w:rPr>
        <w:t xml:space="preserve"> driedimensionale benadering (in het geval van bouwterreinen: gelaagde benadering)</w:t>
      </w:r>
      <w:r w:rsidR="00DA5DA4" w:rsidRPr="00484DAF">
        <w:rPr>
          <w:sz w:val="24"/>
          <w:szCs w:val="24"/>
        </w:rPr>
        <w:t xml:space="preserve"> </w:t>
      </w:r>
      <w:r w:rsidR="008262B1" w:rsidRPr="00484DAF">
        <w:rPr>
          <w:sz w:val="24"/>
          <w:szCs w:val="24"/>
        </w:rPr>
        <w:t>waarbij de derde dimensie wordt gevormd door de ondergrondse bebouwing</w:t>
      </w:r>
      <w:r w:rsidR="002E0883" w:rsidRPr="00484DAF">
        <w:rPr>
          <w:sz w:val="24"/>
          <w:szCs w:val="24"/>
        </w:rPr>
        <w:t>.</w:t>
      </w:r>
      <w:r w:rsidR="008262B1" w:rsidRPr="00484DAF">
        <w:rPr>
          <w:sz w:val="24"/>
          <w:szCs w:val="24"/>
        </w:rPr>
        <w:t xml:space="preserve"> </w:t>
      </w:r>
      <w:r w:rsidR="008262B1" w:rsidRPr="00484DAF">
        <w:rPr>
          <w:i/>
          <w:sz w:val="24"/>
          <w:szCs w:val="24"/>
        </w:rPr>
        <w:t>Breedveld en Braakman</w:t>
      </w:r>
      <w:r w:rsidR="002E0883" w:rsidRPr="00484DAF">
        <w:rPr>
          <w:rStyle w:val="Voetnootmarkering"/>
          <w:sz w:val="24"/>
          <w:szCs w:val="24"/>
        </w:rPr>
        <w:footnoteReference w:id="204"/>
      </w:r>
      <w:r w:rsidR="002E0883" w:rsidRPr="00484DAF">
        <w:rPr>
          <w:sz w:val="24"/>
          <w:szCs w:val="24"/>
        </w:rPr>
        <w:t xml:space="preserve"> </w:t>
      </w:r>
      <w:r w:rsidR="008262B1" w:rsidRPr="00484DAF">
        <w:rPr>
          <w:sz w:val="24"/>
          <w:szCs w:val="24"/>
        </w:rPr>
        <w:t>pleiten dan ook</w:t>
      </w:r>
      <w:r w:rsidR="003B3570" w:rsidRPr="00484DAF">
        <w:rPr>
          <w:sz w:val="24"/>
          <w:szCs w:val="24"/>
        </w:rPr>
        <w:t xml:space="preserve"> voor een </w:t>
      </w:r>
      <w:r w:rsidR="000511C1" w:rsidRPr="00484DAF">
        <w:rPr>
          <w:sz w:val="24"/>
          <w:szCs w:val="24"/>
        </w:rPr>
        <w:t xml:space="preserve">benadering vanuit </w:t>
      </w:r>
      <w:r w:rsidR="003B3570" w:rsidRPr="00484DAF">
        <w:rPr>
          <w:sz w:val="24"/>
          <w:szCs w:val="24"/>
        </w:rPr>
        <w:t xml:space="preserve">de </w:t>
      </w:r>
      <w:r w:rsidR="000511C1" w:rsidRPr="00484DAF">
        <w:rPr>
          <w:sz w:val="24"/>
          <w:szCs w:val="24"/>
        </w:rPr>
        <w:t>dwarsdoorsnede van het terrein. Op het moment dat een tunnel is gerealiseerd, kwalificeert deze als on</w:t>
      </w:r>
      <w:r w:rsidR="00E020D2" w:rsidRPr="00484DAF">
        <w:rPr>
          <w:sz w:val="24"/>
          <w:szCs w:val="24"/>
        </w:rPr>
        <w:t>roerend goed. Indien tussen de tunnel en de bovenste laag onbebouwde grond voldoende ruimte zit om daadwerkelijk op te bouwen, kan mijns inziens een splitsing plaatsvinden, waarbij de bovenste laag pas wordt aangemerkt als bouwterrein indien is voldaan aan de criteria van artikel 11, lid 4 Wet OB 1968 en de tunnel onderworpen is aan het regime met betrekking tot bouwwerken als bedoeld in artikel</w:t>
      </w:r>
      <w:r w:rsidR="00000BCB" w:rsidRPr="00484DAF">
        <w:rPr>
          <w:sz w:val="24"/>
          <w:szCs w:val="24"/>
        </w:rPr>
        <w:t xml:space="preserve"> </w:t>
      </w:r>
      <w:r w:rsidR="0068312A" w:rsidRPr="00484DAF">
        <w:rPr>
          <w:sz w:val="24"/>
          <w:szCs w:val="24"/>
        </w:rPr>
        <w:t>11, lid 3 Wet OB </w:t>
      </w:r>
      <w:r w:rsidR="00E020D2" w:rsidRPr="00484DAF">
        <w:rPr>
          <w:sz w:val="24"/>
          <w:szCs w:val="24"/>
        </w:rPr>
        <w:t>1968. Gezien de niet-communautaire invulling van het begrip bouwterrein is een dergelijke benadering mogelijk. Deze dient dan wel te worden vastgelegd in de wet.</w:t>
      </w:r>
      <w:r w:rsidR="00E020D2" w:rsidRPr="00484DAF">
        <w:rPr>
          <w:rStyle w:val="Voetnootmarkering"/>
          <w:sz w:val="24"/>
          <w:szCs w:val="24"/>
        </w:rPr>
        <w:footnoteReference w:id="205"/>
      </w:r>
      <w:r w:rsidR="00392E02" w:rsidRPr="00484DAF">
        <w:rPr>
          <w:sz w:val="24"/>
          <w:szCs w:val="24"/>
        </w:rPr>
        <w:t xml:space="preserve"> </w:t>
      </w:r>
      <w:r w:rsidR="00392E02" w:rsidRPr="00484DAF">
        <w:rPr>
          <w:i/>
          <w:sz w:val="24"/>
          <w:szCs w:val="24"/>
        </w:rPr>
        <w:t>Rakhan en Van Doorn</w:t>
      </w:r>
      <w:r w:rsidR="00392E02" w:rsidRPr="00484DAF">
        <w:rPr>
          <w:rStyle w:val="Voetnootmarkering"/>
          <w:i/>
          <w:sz w:val="24"/>
          <w:szCs w:val="24"/>
        </w:rPr>
        <w:footnoteReference w:id="206"/>
      </w:r>
      <w:r w:rsidR="00392E02" w:rsidRPr="00484DAF">
        <w:rPr>
          <w:sz w:val="24"/>
          <w:szCs w:val="24"/>
        </w:rPr>
        <w:t xml:space="preserve"> stellen </w:t>
      </w:r>
      <w:r w:rsidR="00644042" w:rsidRPr="00484DAF">
        <w:rPr>
          <w:sz w:val="24"/>
          <w:szCs w:val="24"/>
        </w:rPr>
        <w:t>in hun artikel voor om in het kader van de problematiek rond meervoudig grondgebruik het vereist</w:t>
      </w:r>
      <w:r w:rsidR="00413321" w:rsidRPr="00484DAF">
        <w:rPr>
          <w:sz w:val="24"/>
          <w:szCs w:val="24"/>
        </w:rPr>
        <w:t>e</w:t>
      </w:r>
      <w:r w:rsidR="00644042" w:rsidRPr="00484DAF">
        <w:rPr>
          <w:sz w:val="24"/>
          <w:szCs w:val="24"/>
        </w:rPr>
        <w:t xml:space="preserve"> van ‘onbebouwde grond’ achterwege te laten, waardoor </w:t>
      </w:r>
      <w:r w:rsidR="00644042" w:rsidRPr="00484DAF">
        <w:rPr>
          <w:sz w:val="24"/>
          <w:szCs w:val="24"/>
        </w:rPr>
        <w:lastRenderedPageBreak/>
        <w:t>elke grond waaraan een bewerking als bedoeld in artikel 11, lid 4 Wet OB 1968</w:t>
      </w:r>
      <w:r w:rsidR="00DA5DA4" w:rsidRPr="00484DAF">
        <w:rPr>
          <w:sz w:val="24"/>
          <w:szCs w:val="24"/>
        </w:rPr>
        <w:t xml:space="preserve"> </w:t>
      </w:r>
      <w:r w:rsidR="003B3570" w:rsidRPr="00484DAF">
        <w:rPr>
          <w:sz w:val="24"/>
          <w:szCs w:val="24"/>
        </w:rPr>
        <w:t xml:space="preserve">heeft plaatsgevonden </w:t>
      </w:r>
      <w:r w:rsidR="00644042" w:rsidRPr="00484DAF">
        <w:rPr>
          <w:sz w:val="24"/>
          <w:szCs w:val="24"/>
        </w:rPr>
        <w:t xml:space="preserve">als bouwterrein kan kwalificeren. Het voorbeeld dat zij aandragen met betrekking tot een brug werkt goed uit. In het voorbeeld van </w:t>
      </w:r>
      <w:r w:rsidR="00644042" w:rsidRPr="00484DAF">
        <w:rPr>
          <w:i/>
          <w:sz w:val="24"/>
          <w:szCs w:val="24"/>
        </w:rPr>
        <w:t xml:space="preserve">Breedveld en Braakman </w:t>
      </w:r>
      <w:r w:rsidR="00644042" w:rsidRPr="00484DAF">
        <w:rPr>
          <w:sz w:val="24"/>
          <w:szCs w:val="24"/>
        </w:rPr>
        <w:t xml:space="preserve">zou het voor de grond boven de tunnel </w:t>
      </w:r>
      <w:r w:rsidR="00D723F7" w:rsidRPr="00484DAF">
        <w:rPr>
          <w:sz w:val="24"/>
          <w:szCs w:val="24"/>
        </w:rPr>
        <w:t xml:space="preserve">echter </w:t>
      </w:r>
      <w:r w:rsidR="00644042" w:rsidRPr="00484DAF">
        <w:rPr>
          <w:sz w:val="24"/>
          <w:szCs w:val="24"/>
        </w:rPr>
        <w:t>niets oplossen, omdat vanwege de bouw van de tunnel bewerkingen aan de gr</w:t>
      </w:r>
      <w:r w:rsidR="00D723F7" w:rsidRPr="00484DAF">
        <w:rPr>
          <w:sz w:val="24"/>
          <w:szCs w:val="24"/>
        </w:rPr>
        <w:t>ond moeten plaatsvinden en het daarbij niet uitmaakt of die grond al dan niet bebouwd is. De driedimensionale benadering biedt wat dat betreft een beter</w:t>
      </w:r>
      <w:r w:rsidR="003B3570" w:rsidRPr="00484DAF">
        <w:rPr>
          <w:sz w:val="24"/>
          <w:szCs w:val="24"/>
        </w:rPr>
        <w:t>e</w:t>
      </w:r>
      <w:r w:rsidR="00D723F7" w:rsidRPr="00484DAF">
        <w:rPr>
          <w:sz w:val="24"/>
          <w:szCs w:val="24"/>
        </w:rPr>
        <w:t xml:space="preserve"> oplossing.</w:t>
      </w:r>
    </w:p>
    <w:p w:rsidR="00557A1F" w:rsidRPr="00484DAF" w:rsidRDefault="00557A1F" w:rsidP="00CC552D">
      <w:pPr>
        <w:pStyle w:val="Geenafstand"/>
        <w:spacing w:line="360" w:lineRule="auto"/>
        <w:rPr>
          <w:sz w:val="24"/>
          <w:szCs w:val="24"/>
        </w:rPr>
      </w:pPr>
    </w:p>
    <w:p w:rsidR="00ED07BC" w:rsidRPr="00484DAF" w:rsidRDefault="001D5E09" w:rsidP="00CC552D">
      <w:pPr>
        <w:pStyle w:val="Kop1"/>
        <w:spacing w:before="0" w:line="360" w:lineRule="auto"/>
        <w:rPr>
          <w:rFonts w:ascii="Times New Roman" w:hAnsi="Times New Roman"/>
          <w:color w:val="auto"/>
          <w:sz w:val="24"/>
          <w:szCs w:val="24"/>
        </w:rPr>
      </w:pPr>
      <w:bookmarkStart w:id="88" w:name="_Toc254043941"/>
      <w:r w:rsidRPr="00484DAF">
        <w:rPr>
          <w:rFonts w:ascii="Times New Roman" w:hAnsi="Times New Roman"/>
          <w:color w:val="auto"/>
          <w:sz w:val="24"/>
          <w:szCs w:val="24"/>
        </w:rPr>
        <w:t>4.4 Tussenconclusie IV</w:t>
      </w:r>
      <w:bookmarkEnd w:id="88"/>
    </w:p>
    <w:p w:rsidR="00ED07BC" w:rsidRPr="00484DAF" w:rsidRDefault="00951170" w:rsidP="00CC552D">
      <w:pPr>
        <w:spacing w:after="0" w:line="360" w:lineRule="auto"/>
        <w:rPr>
          <w:sz w:val="24"/>
          <w:szCs w:val="24"/>
        </w:rPr>
      </w:pPr>
      <w:r w:rsidRPr="00484DAF">
        <w:rPr>
          <w:sz w:val="24"/>
          <w:szCs w:val="24"/>
        </w:rPr>
        <w:t xml:space="preserve">Gronden kennen drie verschijningsvormen, namelijk onbebouwde grond, bouwterrein en bebouwde grond. Bouwterrein is ingevolge het arrest </w:t>
      </w:r>
      <w:r w:rsidRPr="00484DAF">
        <w:rPr>
          <w:i/>
          <w:sz w:val="24"/>
          <w:szCs w:val="24"/>
        </w:rPr>
        <w:t xml:space="preserve">Gemeente Emmen </w:t>
      </w:r>
      <w:r w:rsidRPr="00484DAF">
        <w:rPr>
          <w:sz w:val="24"/>
          <w:szCs w:val="24"/>
        </w:rPr>
        <w:t xml:space="preserve">een communautair begrip, waarbij een ruime uitleg van het begrip bouwterrein wordt toegestaan. Dit is onder andere af te leiden uit de Engelstalige en Franstalige versie van de BTW-richtlijn waarin voor bouwterrein geen eis van </w:t>
      </w:r>
      <w:r w:rsidR="00000BCB" w:rsidRPr="00484DAF">
        <w:rPr>
          <w:sz w:val="24"/>
          <w:szCs w:val="24"/>
        </w:rPr>
        <w:t xml:space="preserve">(enkel) </w:t>
      </w:r>
      <w:r w:rsidRPr="00484DAF">
        <w:rPr>
          <w:sz w:val="24"/>
          <w:szCs w:val="24"/>
        </w:rPr>
        <w:t>onbebouwdheid naar voren komt. Wellicht is verdedigbaar dat grond waaraan reeds bewerkingen hebben plaatsgevonden of waarvoor voorzieningen zijn getroffen ook als b</w:t>
      </w:r>
      <w:r w:rsidR="00000BCB" w:rsidRPr="00484DAF">
        <w:rPr>
          <w:sz w:val="24"/>
          <w:szCs w:val="24"/>
        </w:rPr>
        <w:t>ouwterrein kunnen voldoe</w:t>
      </w:r>
      <w:r w:rsidRPr="00484DAF">
        <w:rPr>
          <w:sz w:val="24"/>
          <w:szCs w:val="24"/>
        </w:rPr>
        <w:t>n.</w:t>
      </w:r>
      <w:r w:rsidR="00B67520" w:rsidRPr="00484DAF">
        <w:rPr>
          <w:sz w:val="24"/>
          <w:szCs w:val="24"/>
        </w:rPr>
        <w:t xml:space="preserve"> De Nederlandse omzetbelasting stelt drie voorwaarden aan een bouwterrein, namelijk dat sprake is</w:t>
      </w:r>
      <w:r w:rsidR="003B3570" w:rsidRPr="00484DAF">
        <w:rPr>
          <w:sz w:val="24"/>
          <w:szCs w:val="24"/>
        </w:rPr>
        <w:t xml:space="preserve"> van</w:t>
      </w:r>
      <w:r w:rsidR="00B67520" w:rsidRPr="00484DAF">
        <w:rPr>
          <w:sz w:val="24"/>
          <w:szCs w:val="24"/>
        </w:rPr>
        <w:t xml:space="preserve"> onbebouwde grond en met het oog op bebouwing aan één van de vier criteria van artikel 11, lid 4 Wet OB 1968 is voldaan. Onder onbebouwde grond wordt verstaan maagdelijke grond waarop geen bebouwing aanwezig is. Het oogmerk tot bebouwing is een voorwaarde die bij alle bewerkingen en voorzieningen speelt.</w:t>
      </w:r>
      <w:r w:rsidR="003A55C8" w:rsidRPr="00484DAF">
        <w:rPr>
          <w:sz w:val="24"/>
          <w:szCs w:val="24"/>
        </w:rPr>
        <w:t xml:space="preserve"> Getuige het arrest van 24 december 2004 kan het oogmerk alleen verloren gaan indien daartoe </w:t>
      </w:r>
      <w:r w:rsidR="00000BCB" w:rsidRPr="00484DAF">
        <w:rPr>
          <w:sz w:val="24"/>
          <w:szCs w:val="24"/>
        </w:rPr>
        <w:t>handelingen worden verricht, b</w:t>
      </w:r>
      <w:r w:rsidR="003A55C8" w:rsidRPr="00484DAF">
        <w:rPr>
          <w:sz w:val="24"/>
          <w:szCs w:val="24"/>
        </w:rPr>
        <w:t>ijvoorbeeld door het ongedaan maken van voorzieningen. Zo niet,</w:t>
      </w:r>
      <w:r w:rsidR="001E164C" w:rsidRPr="00484DAF">
        <w:rPr>
          <w:sz w:val="24"/>
          <w:szCs w:val="24"/>
        </w:rPr>
        <w:t xml:space="preserve"> </w:t>
      </w:r>
      <w:r w:rsidR="003A55C8" w:rsidRPr="00484DAF">
        <w:rPr>
          <w:sz w:val="24"/>
          <w:szCs w:val="24"/>
        </w:rPr>
        <w:t>blijft de status van bouwterrein behouden. Als bewerking aan de grond worden fysieke handelingen aangemerkt, bijvoorbeeld het rooien van bomen en struiken en het dempen van sloten. Voorziening</w:t>
      </w:r>
      <w:r w:rsidR="00000BCB" w:rsidRPr="00484DAF">
        <w:rPr>
          <w:sz w:val="24"/>
          <w:szCs w:val="24"/>
        </w:rPr>
        <w:t>en</w:t>
      </w:r>
      <w:r w:rsidR="003A55C8" w:rsidRPr="00484DAF">
        <w:rPr>
          <w:sz w:val="24"/>
          <w:szCs w:val="24"/>
        </w:rPr>
        <w:t xml:space="preserve"> zijn veelal van infrastructurele aard</w:t>
      </w:r>
      <w:r w:rsidR="00BE7742" w:rsidRPr="00484DAF">
        <w:rPr>
          <w:sz w:val="24"/>
          <w:szCs w:val="24"/>
        </w:rPr>
        <w:t xml:space="preserve">, zoals de aanleg van gas- en waterleidingen. Daarbij geldt niet als voorziening in de omgeving een dergelijke voorziening die in het kader van de oorspronkelijke bebouwing al aanwezig was. In Nederland kennen we drie soorten bouwvergunningen, namelijk de lichte bouwvergunning, de reguliere bouwvergunning en de gefaseerde bouwvergunning. De eerste twee voldoen bij afgifte direct aan het vereiste in artikel 11, lid 4, onderdeel d Wet OB 1968 terwijl bij de gefaseerde bouwvergunning de tweede fase dient te worden afgewacht. Het toetsingsmoment of aan één van de criteria voor de kwalificatie bouwterrein is voldaan, is </w:t>
      </w:r>
      <w:r w:rsidR="00000BCB" w:rsidRPr="00484DAF">
        <w:rPr>
          <w:sz w:val="24"/>
          <w:szCs w:val="24"/>
        </w:rPr>
        <w:t xml:space="preserve">logischerwijs </w:t>
      </w:r>
      <w:r w:rsidR="00BE7742" w:rsidRPr="00484DAF">
        <w:rPr>
          <w:sz w:val="24"/>
          <w:szCs w:val="24"/>
        </w:rPr>
        <w:t>het leveringsmoment.</w:t>
      </w:r>
      <w:r w:rsidR="00000BCB" w:rsidRPr="00484DAF">
        <w:rPr>
          <w:sz w:val="24"/>
          <w:szCs w:val="24"/>
        </w:rPr>
        <w:t xml:space="preserve"> Tot slot is ook voor bouwterreinen wat te zeggen voor een driedimensionale benadering in het kader van meervoudig grondgebruik.</w:t>
      </w:r>
      <w:r w:rsidR="00ED07BC" w:rsidRPr="00484DAF">
        <w:rPr>
          <w:sz w:val="24"/>
          <w:szCs w:val="24"/>
        </w:rPr>
        <w:br w:type="page"/>
      </w:r>
    </w:p>
    <w:p w:rsidR="00ED07BC" w:rsidRPr="00484DAF" w:rsidRDefault="00B1598D" w:rsidP="00CC552D">
      <w:pPr>
        <w:pStyle w:val="Kop1"/>
        <w:spacing w:before="0" w:line="360" w:lineRule="auto"/>
        <w:rPr>
          <w:rFonts w:ascii="Times New Roman" w:hAnsi="Times New Roman"/>
          <w:color w:val="auto"/>
          <w:sz w:val="24"/>
          <w:szCs w:val="24"/>
        </w:rPr>
      </w:pPr>
      <w:bookmarkStart w:id="89" w:name="_Toc254043942"/>
      <w:r w:rsidRPr="00484DAF">
        <w:rPr>
          <w:rFonts w:ascii="Times New Roman" w:hAnsi="Times New Roman"/>
          <w:color w:val="auto"/>
          <w:sz w:val="24"/>
          <w:szCs w:val="24"/>
        </w:rPr>
        <w:lastRenderedPageBreak/>
        <w:t>Hoofdstuk 5:</w:t>
      </w:r>
      <w:r w:rsidR="00ED07BC" w:rsidRPr="00484DAF">
        <w:rPr>
          <w:rFonts w:ascii="Times New Roman" w:hAnsi="Times New Roman"/>
          <w:color w:val="auto"/>
          <w:sz w:val="24"/>
          <w:szCs w:val="24"/>
        </w:rPr>
        <w:t xml:space="preserve"> </w:t>
      </w:r>
      <w:r w:rsidR="00352922" w:rsidRPr="00484DAF">
        <w:rPr>
          <w:rFonts w:ascii="Times New Roman" w:hAnsi="Times New Roman"/>
          <w:color w:val="auto"/>
          <w:sz w:val="24"/>
          <w:szCs w:val="24"/>
        </w:rPr>
        <w:t xml:space="preserve">Gevolgen sloopwerkzaamheden voor </w:t>
      </w:r>
      <w:r w:rsidR="00781B20" w:rsidRPr="00484DAF">
        <w:rPr>
          <w:rFonts w:ascii="Times New Roman" w:hAnsi="Times New Roman"/>
          <w:color w:val="auto"/>
          <w:sz w:val="24"/>
          <w:szCs w:val="24"/>
        </w:rPr>
        <w:t>‘</w:t>
      </w:r>
      <w:r w:rsidR="00352922" w:rsidRPr="00484DAF">
        <w:rPr>
          <w:rFonts w:ascii="Times New Roman" w:hAnsi="Times New Roman"/>
          <w:color w:val="auto"/>
          <w:sz w:val="24"/>
          <w:szCs w:val="24"/>
        </w:rPr>
        <w:t>nieuw gebouw</w:t>
      </w:r>
      <w:r w:rsidR="00781B20" w:rsidRPr="00484DAF">
        <w:rPr>
          <w:rFonts w:ascii="Times New Roman" w:hAnsi="Times New Roman"/>
          <w:color w:val="auto"/>
          <w:sz w:val="24"/>
          <w:szCs w:val="24"/>
        </w:rPr>
        <w:t>’</w:t>
      </w:r>
      <w:r w:rsidR="00352922" w:rsidRPr="00484DAF">
        <w:rPr>
          <w:rFonts w:ascii="Times New Roman" w:hAnsi="Times New Roman"/>
          <w:color w:val="auto"/>
          <w:sz w:val="24"/>
          <w:szCs w:val="24"/>
        </w:rPr>
        <w:t xml:space="preserve"> en </w:t>
      </w:r>
      <w:r w:rsidR="00781B20" w:rsidRPr="00484DAF">
        <w:rPr>
          <w:rFonts w:ascii="Times New Roman" w:hAnsi="Times New Roman"/>
          <w:color w:val="auto"/>
          <w:sz w:val="24"/>
          <w:szCs w:val="24"/>
        </w:rPr>
        <w:t>‘</w:t>
      </w:r>
      <w:r w:rsidR="00352922" w:rsidRPr="00484DAF">
        <w:rPr>
          <w:rFonts w:ascii="Times New Roman" w:hAnsi="Times New Roman"/>
          <w:color w:val="auto"/>
          <w:sz w:val="24"/>
          <w:szCs w:val="24"/>
        </w:rPr>
        <w:t>bouwterrein</w:t>
      </w:r>
      <w:r w:rsidR="00781B20" w:rsidRPr="00484DAF">
        <w:rPr>
          <w:rFonts w:ascii="Times New Roman" w:hAnsi="Times New Roman"/>
          <w:color w:val="auto"/>
          <w:sz w:val="24"/>
          <w:szCs w:val="24"/>
        </w:rPr>
        <w:t>’</w:t>
      </w:r>
      <w:bookmarkEnd w:id="89"/>
    </w:p>
    <w:p w:rsidR="00D17C53" w:rsidRPr="00484DAF" w:rsidRDefault="00352922" w:rsidP="00CC552D">
      <w:pPr>
        <w:pStyle w:val="Geenafstand"/>
        <w:spacing w:line="360" w:lineRule="auto"/>
        <w:rPr>
          <w:sz w:val="24"/>
          <w:szCs w:val="24"/>
        </w:rPr>
      </w:pPr>
      <w:r w:rsidRPr="00484DAF">
        <w:rPr>
          <w:sz w:val="24"/>
          <w:szCs w:val="24"/>
        </w:rPr>
        <w:t>Op voorgaande bladzijden is reeds melding gemaakt van het bijzondere karakter van slopen in het vervaardigingvraagstuk en de bepaling van het al dan niet aanwezig zijn van een bouwterrein.</w:t>
      </w:r>
      <w:r w:rsidR="007C43CA" w:rsidRPr="00484DAF">
        <w:rPr>
          <w:sz w:val="24"/>
          <w:szCs w:val="24"/>
        </w:rPr>
        <w:t xml:space="preserve"> Dit bijzondere karakter komt tot uitdrukking in het feit dat twee regimes zijn te onderscheiden, namelijk </w:t>
      </w:r>
      <w:r w:rsidR="0052503F" w:rsidRPr="00484DAF">
        <w:rPr>
          <w:sz w:val="24"/>
          <w:szCs w:val="24"/>
        </w:rPr>
        <w:t xml:space="preserve">(1) </w:t>
      </w:r>
      <w:r w:rsidR="007C43CA" w:rsidRPr="00484DAF">
        <w:rPr>
          <w:sz w:val="24"/>
          <w:szCs w:val="24"/>
        </w:rPr>
        <w:t xml:space="preserve">de overgang van oud onroerend goed dat door </w:t>
      </w:r>
      <w:r w:rsidR="00B77179" w:rsidRPr="00484DAF">
        <w:rPr>
          <w:sz w:val="24"/>
          <w:szCs w:val="24"/>
        </w:rPr>
        <w:t xml:space="preserve">volledige </w:t>
      </w:r>
      <w:r w:rsidR="007C43CA" w:rsidRPr="00484DAF">
        <w:rPr>
          <w:sz w:val="24"/>
          <w:szCs w:val="24"/>
        </w:rPr>
        <w:t xml:space="preserve">sloop verandert in een bouwterrein waarna nieuwbouw wordt gerealiseerd en </w:t>
      </w:r>
      <w:r w:rsidR="0052503F" w:rsidRPr="00484DAF">
        <w:rPr>
          <w:sz w:val="24"/>
          <w:szCs w:val="24"/>
        </w:rPr>
        <w:t xml:space="preserve">(2) </w:t>
      </w:r>
      <w:r w:rsidR="007C43CA" w:rsidRPr="00484DAF">
        <w:rPr>
          <w:sz w:val="24"/>
          <w:szCs w:val="24"/>
        </w:rPr>
        <w:t>de overgang van oud onroerend goed naar nieuw onroerend goed door verbouwing (al dan niet in combinatie met gedeeltelijke sloop).</w:t>
      </w:r>
      <w:r w:rsidR="001853D3" w:rsidRPr="00484DAF">
        <w:rPr>
          <w:rStyle w:val="Voetnootmarkering"/>
          <w:sz w:val="24"/>
          <w:szCs w:val="24"/>
        </w:rPr>
        <w:footnoteReference w:id="207"/>
      </w:r>
      <w:r w:rsidR="00B77179" w:rsidRPr="00484DAF">
        <w:rPr>
          <w:sz w:val="24"/>
          <w:szCs w:val="24"/>
        </w:rPr>
        <w:t xml:space="preserve"> </w:t>
      </w:r>
      <w:r w:rsidR="00661D7D" w:rsidRPr="00484DAF">
        <w:rPr>
          <w:sz w:val="24"/>
          <w:szCs w:val="24"/>
        </w:rPr>
        <w:t xml:space="preserve">Het tweede regime is impliciet in hoofdstuk </w:t>
      </w:r>
      <w:r w:rsidR="00413321" w:rsidRPr="00484DAF">
        <w:rPr>
          <w:sz w:val="24"/>
          <w:szCs w:val="24"/>
        </w:rPr>
        <w:t>3</w:t>
      </w:r>
      <w:r w:rsidR="00661D7D" w:rsidRPr="00484DAF">
        <w:rPr>
          <w:sz w:val="24"/>
          <w:szCs w:val="24"/>
        </w:rPr>
        <w:t xml:space="preserve"> aanbod gekomen waar het ging om de vraag of verbouwing leidt tot vervaardiging. De situatie waarbij oud onroerend goed door volledige sloop verandert i</w:t>
      </w:r>
      <w:r w:rsidR="00C76BA9" w:rsidRPr="00484DAF">
        <w:rPr>
          <w:sz w:val="24"/>
          <w:szCs w:val="24"/>
        </w:rPr>
        <w:t>n een bouwterrein (maar door sloo</w:t>
      </w:r>
      <w:r w:rsidR="00661D7D" w:rsidRPr="00484DAF">
        <w:rPr>
          <w:sz w:val="24"/>
          <w:szCs w:val="24"/>
        </w:rPr>
        <w:t xml:space="preserve">p eveneens als bebouwde of onbebouwde grond kan worden aangemerkt) en daarna in nieuwbouw komt in dit hoofdstuk aan bod. </w:t>
      </w:r>
      <w:r w:rsidR="00B77179" w:rsidRPr="00484DAF">
        <w:rPr>
          <w:sz w:val="24"/>
          <w:szCs w:val="24"/>
        </w:rPr>
        <w:t xml:space="preserve">Van volledige sloop is sprake indien </w:t>
      </w:r>
      <w:r w:rsidR="00AC39BE" w:rsidRPr="00484DAF">
        <w:rPr>
          <w:sz w:val="24"/>
          <w:szCs w:val="24"/>
        </w:rPr>
        <w:t>ook de fundering van een gebouw volledig wordt verwijderd. Evenals de kelder van een gebouw vormt de</w:t>
      </w:r>
      <w:r w:rsidR="00C76BA9" w:rsidRPr="00484DAF">
        <w:rPr>
          <w:sz w:val="24"/>
          <w:szCs w:val="24"/>
        </w:rPr>
        <w:t xml:space="preserve"> </w:t>
      </w:r>
      <w:r w:rsidR="00AC39BE" w:rsidRPr="00484DAF">
        <w:rPr>
          <w:sz w:val="24"/>
          <w:szCs w:val="24"/>
        </w:rPr>
        <w:t xml:space="preserve">fundering </w:t>
      </w:r>
      <w:r w:rsidR="0045705B" w:rsidRPr="00484DAF">
        <w:rPr>
          <w:sz w:val="24"/>
          <w:szCs w:val="24"/>
        </w:rPr>
        <w:t xml:space="preserve">namelijk </w:t>
      </w:r>
      <w:r w:rsidR="00AC39BE" w:rsidRPr="00484DAF">
        <w:rPr>
          <w:sz w:val="24"/>
          <w:szCs w:val="24"/>
        </w:rPr>
        <w:t>een onderdeel van het gebouw welke vast met de grond is verbonden.</w:t>
      </w:r>
      <w:r w:rsidR="00AC39BE" w:rsidRPr="00484DAF">
        <w:rPr>
          <w:rStyle w:val="Voetnootmarkering"/>
          <w:sz w:val="24"/>
          <w:szCs w:val="24"/>
        </w:rPr>
        <w:footnoteReference w:id="208"/>
      </w:r>
    </w:p>
    <w:p w:rsidR="00557A1F" w:rsidRPr="00484DAF" w:rsidRDefault="00557A1F" w:rsidP="00CC552D">
      <w:pPr>
        <w:pStyle w:val="Geenafstand"/>
        <w:spacing w:line="360" w:lineRule="auto"/>
        <w:rPr>
          <w:sz w:val="24"/>
          <w:szCs w:val="24"/>
        </w:rPr>
      </w:pPr>
    </w:p>
    <w:p w:rsidR="00D17C53" w:rsidRPr="00484DAF" w:rsidRDefault="00D17C53" w:rsidP="00CC552D">
      <w:pPr>
        <w:pStyle w:val="Kop1"/>
        <w:spacing w:before="0" w:line="360" w:lineRule="auto"/>
        <w:rPr>
          <w:rFonts w:ascii="Times New Roman" w:hAnsi="Times New Roman"/>
          <w:color w:val="auto"/>
          <w:sz w:val="24"/>
          <w:szCs w:val="24"/>
        </w:rPr>
      </w:pPr>
      <w:bookmarkStart w:id="90" w:name="_Toc254043943"/>
      <w:r w:rsidRPr="00484DAF">
        <w:rPr>
          <w:rFonts w:ascii="Times New Roman" w:hAnsi="Times New Roman"/>
          <w:color w:val="auto"/>
          <w:sz w:val="24"/>
          <w:szCs w:val="24"/>
        </w:rPr>
        <w:t>5.1 Standpunt Staatssecretaris</w:t>
      </w:r>
      <w:bookmarkEnd w:id="90"/>
    </w:p>
    <w:p w:rsidR="00ED07BC" w:rsidRPr="00484DAF" w:rsidRDefault="00D17C53" w:rsidP="00CC552D">
      <w:pPr>
        <w:pStyle w:val="Geenafstand"/>
        <w:spacing w:line="360" w:lineRule="auto"/>
        <w:rPr>
          <w:sz w:val="24"/>
          <w:szCs w:val="24"/>
        </w:rPr>
      </w:pPr>
      <w:r w:rsidRPr="00484DAF">
        <w:rPr>
          <w:sz w:val="24"/>
          <w:szCs w:val="24"/>
        </w:rPr>
        <w:t xml:space="preserve">Voornoemde </w:t>
      </w:r>
      <w:r w:rsidR="00F843A1" w:rsidRPr="00484DAF">
        <w:rPr>
          <w:sz w:val="24"/>
          <w:szCs w:val="24"/>
        </w:rPr>
        <w:t>twee regimes zijn tijdens de parlementaire behandeling van artikel 11, lid 3 en 4 Wet OB 1968 al</w:t>
      </w:r>
      <w:r w:rsidR="001853D3" w:rsidRPr="00484DAF">
        <w:rPr>
          <w:sz w:val="24"/>
          <w:szCs w:val="24"/>
        </w:rPr>
        <w:t>s</w:t>
      </w:r>
      <w:r w:rsidR="00F843A1" w:rsidRPr="00484DAF">
        <w:rPr>
          <w:sz w:val="24"/>
          <w:szCs w:val="24"/>
        </w:rPr>
        <w:t xml:space="preserve"> </w:t>
      </w:r>
      <w:r w:rsidR="001853D3" w:rsidRPr="00484DAF">
        <w:rPr>
          <w:sz w:val="24"/>
          <w:szCs w:val="24"/>
        </w:rPr>
        <w:t>volgt onderkend:</w:t>
      </w:r>
      <w:r w:rsidR="00F843A1" w:rsidRPr="00484DAF">
        <w:rPr>
          <w:sz w:val="24"/>
          <w:szCs w:val="24"/>
        </w:rPr>
        <w:t xml:space="preserve"> </w:t>
      </w:r>
      <w:r w:rsidR="00F843A1" w:rsidRPr="00484DAF">
        <w:rPr>
          <w:i/>
          <w:sz w:val="24"/>
          <w:szCs w:val="24"/>
        </w:rPr>
        <w:t xml:space="preserve">‘In de laatste situatie </w:t>
      </w:r>
      <w:r w:rsidR="00D968CE" w:rsidRPr="00484DAF">
        <w:rPr>
          <w:sz w:val="24"/>
          <w:szCs w:val="24"/>
        </w:rPr>
        <w:t xml:space="preserve">[gedeeltelijke sloop, MGVV] </w:t>
      </w:r>
      <w:r w:rsidR="00F843A1" w:rsidRPr="00484DAF">
        <w:rPr>
          <w:i/>
          <w:sz w:val="24"/>
          <w:szCs w:val="24"/>
        </w:rPr>
        <w:t xml:space="preserve">resteert er na de sloopwerkzaamheden nog steeds een gebouw (of een gedeelte van een gebouw) – er blijft bebouwing over die nog de functie van gebouw kan vervullen – en dus resteert er bebouwde grond. Deze werkzaamheden zullen dan ook meestal plaatsvinden in het kader van de verbouwing van een gebouw. </w:t>
      </w:r>
      <w:r w:rsidR="00D968CE" w:rsidRPr="00484DAF">
        <w:rPr>
          <w:i/>
          <w:sz w:val="24"/>
          <w:szCs w:val="24"/>
        </w:rPr>
        <w:t>(…)</w:t>
      </w:r>
      <w:r w:rsidR="00F843A1" w:rsidRPr="00484DAF">
        <w:rPr>
          <w:i/>
          <w:sz w:val="24"/>
          <w:szCs w:val="24"/>
        </w:rPr>
        <w:t xml:space="preserve"> </w:t>
      </w:r>
      <w:r w:rsidR="00F843A1" w:rsidRPr="00484DAF">
        <w:rPr>
          <w:i/>
          <w:sz w:val="24"/>
          <w:szCs w:val="24"/>
          <w:u w:val="single"/>
        </w:rPr>
        <w:t>Is daarentegen sprake van het geheel slopen van</w:t>
      </w:r>
      <w:r w:rsidR="00D968CE" w:rsidRPr="00484DAF">
        <w:rPr>
          <w:i/>
          <w:sz w:val="24"/>
          <w:szCs w:val="24"/>
          <w:u w:val="single"/>
        </w:rPr>
        <w:t xml:space="preserve"> </w:t>
      </w:r>
      <w:r w:rsidR="00F843A1" w:rsidRPr="00484DAF">
        <w:rPr>
          <w:i/>
          <w:sz w:val="24"/>
          <w:szCs w:val="24"/>
          <w:u w:val="single"/>
        </w:rPr>
        <w:t>een gebouw (of een gedeelte van een gebouw) – er blijft geen bebouwing meer over die nog de functie van gebouw kan vervullen – dan ontstaat onbebouwde grond.</w:t>
      </w:r>
      <w:r w:rsidR="00F843A1" w:rsidRPr="00484DAF">
        <w:rPr>
          <w:i/>
          <w:sz w:val="24"/>
          <w:szCs w:val="24"/>
        </w:rPr>
        <w:t xml:space="preserve"> Op dat moment vindt een overgang plaats van het regime voor bebouwde gronden naar dat voor onbebouwde gronden. Bij de levering of oplevering van die onbebouwde grond is belastingheffing ingevolge artikel 11 van de wet slechts aan de orde indien die grond een bouwterrein is</w:t>
      </w:r>
      <w:r w:rsidR="00D968CE" w:rsidRPr="00484DAF">
        <w:rPr>
          <w:i/>
          <w:sz w:val="24"/>
          <w:szCs w:val="24"/>
        </w:rPr>
        <w:t xml:space="preserve"> (…)</w:t>
      </w:r>
      <w:r w:rsidR="00F843A1" w:rsidRPr="00484DAF">
        <w:rPr>
          <w:i/>
          <w:sz w:val="24"/>
          <w:szCs w:val="24"/>
        </w:rPr>
        <w:t>’</w:t>
      </w:r>
      <w:r w:rsidR="0099031E" w:rsidRPr="00484DAF">
        <w:rPr>
          <w:rStyle w:val="Voetnootmarkering"/>
          <w:sz w:val="24"/>
          <w:szCs w:val="24"/>
        </w:rPr>
        <w:footnoteReference w:id="209"/>
      </w:r>
      <w:r w:rsidR="0099031E" w:rsidRPr="00484DAF">
        <w:rPr>
          <w:sz w:val="24"/>
          <w:szCs w:val="24"/>
        </w:rPr>
        <w:t xml:space="preserve"> </w:t>
      </w:r>
      <w:r w:rsidR="003E3574" w:rsidRPr="00484DAF">
        <w:rPr>
          <w:sz w:val="24"/>
          <w:szCs w:val="24"/>
        </w:rPr>
        <w:t xml:space="preserve">Het onderstreepte </w:t>
      </w:r>
      <w:r w:rsidRPr="00484DAF">
        <w:rPr>
          <w:sz w:val="24"/>
          <w:szCs w:val="24"/>
        </w:rPr>
        <w:t xml:space="preserve">standpunt is </w:t>
      </w:r>
      <w:r w:rsidR="0045705B" w:rsidRPr="00484DAF">
        <w:rPr>
          <w:sz w:val="24"/>
          <w:szCs w:val="24"/>
        </w:rPr>
        <w:t>getuig</w:t>
      </w:r>
      <w:r w:rsidR="003E3574" w:rsidRPr="00484DAF">
        <w:rPr>
          <w:sz w:val="24"/>
          <w:szCs w:val="24"/>
        </w:rPr>
        <w:t xml:space="preserve">e </w:t>
      </w:r>
      <w:r w:rsidRPr="00484DAF">
        <w:rPr>
          <w:sz w:val="24"/>
          <w:szCs w:val="24"/>
        </w:rPr>
        <w:t xml:space="preserve">het meest recente </w:t>
      </w:r>
      <w:r w:rsidR="002C553D" w:rsidRPr="00484DAF">
        <w:rPr>
          <w:sz w:val="24"/>
          <w:szCs w:val="24"/>
        </w:rPr>
        <w:t>omzetbelasting</w:t>
      </w:r>
      <w:r w:rsidRPr="00484DAF">
        <w:rPr>
          <w:sz w:val="24"/>
          <w:szCs w:val="24"/>
        </w:rPr>
        <w:t xml:space="preserve">besluit </w:t>
      </w:r>
      <w:r w:rsidR="002C553D" w:rsidRPr="00484DAF">
        <w:rPr>
          <w:sz w:val="24"/>
          <w:szCs w:val="24"/>
        </w:rPr>
        <w:t xml:space="preserve">van de staatssecretaris </w:t>
      </w:r>
      <w:r w:rsidRPr="00484DAF">
        <w:rPr>
          <w:sz w:val="24"/>
          <w:szCs w:val="24"/>
        </w:rPr>
        <w:t xml:space="preserve">aangaande </w:t>
      </w:r>
      <w:r w:rsidR="002C553D" w:rsidRPr="00484DAF">
        <w:rPr>
          <w:sz w:val="24"/>
          <w:szCs w:val="24"/>
        </w:rPr>
        <w:t>onder andere de levering van onroerend goed</w:t>
      </w:r>
      <w:r w:rsidR="003E3574" w:rsidRPr="00484DAF">
        <w:rPr>
          <w:sz w:val="24"/>
          <w:szCs w:val="24"/>
        </w:rPr>
        <w:t xml:space="preserve"> niet meer van toepassing</w:t>
      </w:r>
      <w:r w:rsidR="002C553D" w:rsidRPr="00484DAF">
        <w:rPr>
          <w:sz w:val="24"/>
          <w:szCs w:val="24"/>
        </w:rPr>
        <w:t>:</w:t>
      </w:r>
      <w:r w:rsidR="003E3574" w:rsidRPr="00484DAF">
        <w:rPr>
          <w:sz w:val="24"/>
          <w:szCs w:val="24"/>
        </w:rPr>
        <w:t xml:space="preserve"> </w:t>
      </w:r>
      <w:r w:rsidR="002C553D" w:rsidRPr="00484DAF">
        <w:rPr>
          <w:i/>
          <w:sz w:val="24"/>
          <w:szCs w:val="24"/>
        </w:rPr>
        <w:t xml:space="preserve">‘Het geheel of gedeeltelijk slopen van bestaande gebouwen leidt </w:t>
      </w:r>
      <w:r w:rsidR="00DE2D12" w:rsidRPr="00484DAF">
        <w:rPr>
          <w:i/>
          <w:sz w:val="24"/>
          <w:szCs w:val="24"/>
        </w:rPr>
        <w:t xml:space="preserve">(…) </w:t>
      </w:r>
      <w:r w:rsidR="002C553D" w:rsidRPr="00484DAF">
        <w:rPr>
          <w:i/>
          <w:sz w:val="24"/>
          <w:szCs w:val="24"/>
        </w:rPr>
        <w:t xml:space="preserve">niet tot het ontstaan van een bouwterrein. Grond waarop zich een gedeeltelijk gesloopt gebouw bevindt, </w:t>
      </w:r>
      <w:r w:rsidR="002C553D" w:rsidRPr="00484DAF">
        <w:rPr>
          <w:i/>
          <w:sz w:val="24"/>
          <w:szCs w:val="24"/>
        </w:rPr>
        <w:lastRenderedPageBreak/>
        <w:t>vormt voor de belastingheffing nog steeds bebouwde grond (…)</w:t>
      </w:r>
      <w:r w:rsidR="003E3574" w:rsidRPr="00484DAF">
        <w:rPr>
          <w:i/>
          <w:sz w:val="24"/>
          <w:szCs w:val="24"/>
        </w:rPr>
        <w:t>.’</w:t>
      </w:r>
      <w:r w:rsidR="00DE2D12" w:rsidRPr="00484DAF">
        <w:rPr>
          <w:rStyle w:val="Voetnootmarkering"/>
          <w:sz w:val="24"/>
          <w:szCs w:val="24"/>
        </w:rPr>
        <w:footnoteReference w:id="210"/>
      </w:r>
      <w:r w:rsidR="00CF3BC6" w:rsidRPr="00484DAF">
        <w:rPr>
          <w:sz w:val="24"/>
          <w:szCs w:val="24"/>
        </w:rPr>
        <w:t xml:space="preserve"> Wat betreft de eerste volzin is de strekking hetzelfde, immers onbebouwde grond is geen bouwterrein. Het keerpunt zit in de tweede volzin. Waar volgens de Memorie van Toelichting ook bij een gedeeltelijk gesloopt gebouw sprake kon zijn van onbebouwde grond stelt de staatssecretaris zich nu op het tegenovergestelde standpunt. </w:t>
      </w:r>
      <w:r w:rsidR="007C43CA" w:rsidRPr="00484DAF">
        <w:rPr>
          <w:sz w:val="24"/>
          <w:szCs w:val="24"/>
        </w:rPr>
        <w:t>Hierna worden beide regime</w:t>
      </w:r>
      <w:r w:rsidR="00D968CE" w:rsidRPr="00484DAF">
        <w:rPr>
          <w:sz w:val="24"/>
          <w:szCs w:val="24"/>
        </w:rPr>
        <w:t>s</w:t>
      </w:r>
      <w:r w:rsidR="007C43CA" w:rsidRPr="00484DAF">
        <w:rPr>
          <w:sz w:val="24"/>
          <w:szCs w:val="24"/>
        </w:rPr>
        <w:t xml:space="preserve"> aan de hand jurisprudentie </w:t>
      </w:r>
      <w:r w:rsidR="00F843A1" w:rsidRPr="00484DAF">
        <w:rPr>
          <w:sz w:val="24"/>
          <w:szCs w:val="24"/>
        </w:rPr>
        <w:t xml:space="preserve">en meningen uit de literatuur </w:t>
      </w:r>
      <w:r w:rsidR="007C43CA" w:rsidRPr="00484DAF">
        <w:rPr>
          <w:sz w:val="24"/>
          <w:szCs w:val="24"/>
        </w:rPr>
        <w:t>nader uitgelegd.</w:t>
      </w:r>
    </w:p>
    <w:p w:rsidR="00557A1F" w:rsidRPr="00484DAF" w:rsidRDefault="00557A1F" w:rsidP="00CC552D">
      <w:pPr>
        <w:pStyle w:val="Geenafstand"/>
        <w:spacing w:line="360" w:lineRule="auto"/>
        <w:rPr>
          <w:sz w:val="24"/>
          <w:szCs w:val="24"/>
        </w:rPr>
      </w:pPr>
    </w:p>
    <w:p w:rsidR="001A6B0E" w:rsidRPr="00484DAF" w:rsidRDefault="00C11AB8" w:rsidP="00CC552D">
      <w:pPr>
        <w:pStyle w:val="Kop1"/>
        <w:spacing w:before="0" w:line="360" w:lineRule="auto"/>
        <w:rPr>
          <w:rFonts w:ascii="Times New Roman" w:hAnsi="Times New Roman"/>
          <w:color w:val="auto"/>
          <w:sz w:val="24"/>
          <w:szCs w:val="24"/>
        </w:rPr>
      </w:pPr>
      <w:bookmarkStart w:id="91" w:name="_Toc254043944"/>
      <w:r w:rsidRPr="00484DAF">
        <w:rPr>
          <w:rFonts w:ascii="Times New Roman" w:hAnsi="Times New Roman"/>
          <w:color w:val="auto"/>
          <w:sz w:val="24"/>
          <w:szCs w:val="24"/>
        </w:rPr>
        <w:t>5.</w:t>
      </w:r>
      <w:r w:rsidR="0011030A" w:rsidRPr="00484DAF">
        <w:rPr>
          <w:rFonts w:ascii="Times New Roman" w:hAnsi="Times New Roman"/>
          <w:color w:val="auto"/>
          <w:sz w:val="24"/>
          <w:szCs w:val="24"/>
        </w:rPr>
        <w:t>2</w:t>
      </w:r>
      <w:r w:rsidR="00AC39BE" w:rsidRPr="00484DAF">
        <w:rPr>
          <w:rFonts w:ascii="Times New Roman" w:hAnsi="Times New Roman"/>
          <w:color w:val="auto"/>
          <w:sz w:val="24"/>
          <w:szCs w:val="24"/>
        </w:rPr>
        <w:t xml:space="preserve"> </w:t>
      </w:r>
      <w:r w:rsidR="008B2956" w:rsidRPr="00484DAF">
        <w:rPr>
          <w:rFonts w:ascii="Times New Roman" w:hAnsi="Times New Roman"/>
          <w:color w:val="auto"/>
          <w:sz w:val="24"/>
          <w:szCs w:val="24"/>
        </w:rPr>
        <w:t xml:space="preserve">Oud onroerend goed – </w:t>
      </w:r>
      <w:r w:rsidR="00C071DC" w:rsidRPr="00484DAF">
        <w:rPr>
          <w:rFonts w:ascii="Times New Roman" w:hAnsi="Times New Roman"/>
          <w:color w:val="auto"/>
          <w:sz w:val="24"/>
          <w:szCs w:val="24"/>
        </w:rPr>
        <w:t xml:space="preserve">volledige </w:t>
      </w:r>
      <w:r w:rsidR="008B2956" w:rsidRPr="00484DAF">
        <w:rPr>
          <w:rFonts w:ascii="Times New Roman" w:hAnsi="Times New Roman"/>
          <w:color w:val="auto"/>
          <w:sz w:val="24"/>
          <w:szCs w:val="24"/>
        </w:rPr>
        <w:t xml:space="preserve">sloop – </w:t>
      </w:r>
      <w:r w:rsidR="008D6079" w:rsidRPr="00484DAF">
        <w:rPr>
          <w:rFonts w:ascii="Times New Roman" w:hAnsi="Times New Roman"/>
          <w:color w:val="auto"/>
          <w:sz w:val="24"/>
          <w:szCs w:val="24"/>
        </w:rPr>
        <w:t>bouwterrein</w:t>
      </w:r>
      <w:bookmarkEnd w:id="91"/>
    </w:p>
    <w:p w:rsidR="001A6B0E" w:rsidRPr="00484DAF" w:rsidRDefault="002D524B" w:rsidP="00CC552D">
      <w:pPr>
        <w:spacing w:after="0" w:line="360" w:lineRule="auto"/>
        <w:rPr>
          <w:sz w:val="24"/>
          <w:szCs w:val="24"/>
        </w:rPr>
      </w:pPr>
      <w:r w:rsidRPr="00484DAF">
        <w:rPr>
          <w:sz w:val="24"/>
          <w:szCs w:val="24"/>
        </w:rPr>
        <w:t xml:space="preserve">Uit de eerder aangehaalde passage uit de Memorie van toelichting </w:t>
      </w:r>
      <w:r w:rsidR="00413321" w:rsidRPr="00484DAF">
        <w:rPr>
          <w:sz w:val="24"/>
          <w:szCs w:val="24"/>
        </w:rPr>
        <w:t>lei</w:t>
      </w:r>
      <w:r w:rsidR="00CF3BC6" w:rsidRPr="00484DAF">
        <w:rPr>
          <w:sz w:val="24"/>
          <w:szCs w:val="24"/>
        </w:rPr>
        <w:t>d</w:t>
      </w:r>
      <w:r w:rsidRPr="00484DAF">
        <w:rPr>
          <w:sz w:val="24"/>
          <w:szCs w:val="24"/>
        </w:rPr>
        <w:t xml:space="preserve">en </w:t>
      </w:r>
      <w:r w:rsidRPr="00484DAF">
        <w:rPr>
          <w:i/>
          <w:sz w:val="24"/>
          <w:szCs w:val="24"/>
        </w:rPr>
        <w:t>Rakhan en Van Doorn</w:t>
      </w:r>
      <w:r w:rsidR="00D8399F" w:rsidRPr="00484DAF">
        <w:rPr>
          <w:rStyle w:val="Voetnootmarkering"/>
          <w:sz w:val="24"/>
          <w:szCs w:val="24"/>
        </w:rPr>
        <w:footnoteReference w:id="211"/>
      </w:r>
      <w:r w:rsidRPr="00484DAF">
        <w:rPr>
          <w:i/>
          <w:sz w:val="24"/>
          <w:szCs w:val="24"/>
        </w:rPr>
        <w:t xml:space="preserve"> </w:t>
      </w:r>
      <w:r w:rsidR="00CF3BC6" w:rsidRPr="00484DAF">
        <w:rPr>
          <w:sz w:val="24"/>
          <w:szCs w:val="24"/>
        </w:rPr>
        <w:t xml:space="preserve">eveneens af </w:t>
      </w:r>
      <w:r w:rsidRPr="00484DAF">
        <w:rPr>
          <w:sz w:val="24"/>
          <w:szCs w:val="24"/>
        </w:rPr>
        <w:t>dat niet noodzakelijk is dat sloopwerkzaamheden zijn voltooid</w:t>
      </w:r>
      <w:r w:rsidR="00D8399F" w:rsidRPr="00484DAF">
        <w:rPr>
          <w:sz w:val="24"/>
          <w:szCs w:val="24"/>
        </w:rPr>
        <w:t xml:space="preserve"> (lees: dat alles wat aan het </w:t>
      </w:r>
      <w:r w:rsidR="00905D04" w:rsidRPr="00484DAF">
        <w:rPr>
          <w:sz w:val="24"/>
          <w:szCs w:val="24"/>
        </w:rPr>
        <w:t>oorspronkelijke</w:t>
      </w:r>
      <w:r w:rsidR="00D8399F" w:rsidRPr="00484DAF">
        <w:rPr>
          <w:sz w:val="24"/>
          <w:szCs w:val="24"/>
        </w:rPr>
        <w:t xml:space="preserve"> gebouw </w:t>
      </w:r>
      <w:r w:rsidR="00905D04" w:rsidRPr="00484DAF">
        <w:rPr>
          <w:sz w:val="24"/>
          <w:szCs w:val="24"/>
        </w:rPr>
        <w:t xml:space="preserve">doet </w:t>
      </w:r>
      <w:r w:rsidR="00D8399F" w:rsidRPr="00484DAF">
        <w:rPr>
          <w:sz w:val="24"/>
          <w:szCs w:val="24"/>
        </w:rPr>
        <w:t>denken uit de grond is verwijderd)</w:t>
      </w:r>
      <w:r w:rsidR="00905D04" w:rsidRPr="00484DAF">
        <w:rPr>
          <w:sz w:val="24"/>
          <w:szCs w:val="24"/>
        </w:rPr>
        <w:t xml:space="preserve"> om te kwalificeren als onbebouwde grond</w:t>
      </w:r>
      <w:r w:rsidRPr="00484DAF">
        <w:rPr>
          <w:sz w:val="24"/>
          <w:szCs w:val="24"/>
        </w:rPr>
        <w:t>, omdat al in eerder stadium het gebouw niet langer zijn functie van gebouw kan vervullen.</w:t>
      </w:r>
      <w:r w:rsidR="00905D04" w:rsidRPr="00484DAF">
        <w:rPr>
          <w:sz w:val="24"/>
          <w:szCs w:val="24"/>
        </w:rPr>
        <w:t xml:space="preserve"> </w:t>
      </w:r>
      <w:r w:rsidR="00CF3BC6" w:rsidRPr="00484DAF">
        <w:rPr>
          <w:sz w:val="24"/>
          <w:szCs w:val="24"/>
        </w:rPr>
        <w:t xml:space="preserve">Naar alle waarschijnlijkheid is de </w:t>
      </w:r>
      <w:r w:rsidR="00B77179" w:rsidRPr="00484DAF">
        <w:rPr>
          <w:sz w:val="24"/>
          <w:szCs w:val="24"/>
        </w:rPr>
        <w:t>meningverandering</w:t>
      </w:r>
      <w:r w:rsidR="00CF3BC6" w:rsidRPr="00484DAF">
        <w:rPr>
          <w:sz w:val="24"/>
          <w:szCs w:val="24"/>
        </w:rPr>
        <w:t xml:space="preserve"> van de staatssecretaris te verklaren vanuit </w:t>
      </w:r>
      <w:r w:rsidR="00905D04" w:rsidRPr="00484DAF">
        <w:rPr>
          <w:sz w:val="24"/>
          <w:szCs w:val="24"/>
        </w:rPr>
        <w:t>jurisprudentie waarin de Hoge Raad oordeelt</w:t>
      </w:r>
      <w:r w:rsidR="00DA4B8F" w:rsidRPr="00484DAF">
        <w:rPr>
          <w:sz w:val="24"/>
          <w:szCs w:val="24"/>
        </w:rPr>
        <w:t>,</w:t>
      </w:r>
      <w:r w:rsidR="00905D04" w:rsidRPr="00484DAF">
        <w:rPr>
          <w:sz w:val="24"/>
          <w:szCs w:val="24"/>
        </w:rPr>
        <w:t xml:space="preserve"> dat </w:t>
      </w:r>
      <w:r w:rsidR="008643AC" w:rsidRPr="00484DAF">
        <w:rPr>
          <w:sz w:val="24"/>
          <w:szCs w:val="24"/>
        </w:rPr>
        <w:t xml:space="preserve">enkel </w:t>
      </w:r>
      <w:r w:rsidR="00905D04" w:rsidRPr="00484DAF">
        <w:rPr>
          <w:sz w:val="24"/>
          <w:szCs w:val="24"/>
        </w:rPr>
        <w:t>sloop van alle opstallen ertoe leidt dat onbebouwde grond ontstaat en geen bouwterrein.</w:t>
      </w:r>
    </w:p>
    <w:p w:rsidR="00557A1F" w:rsidRPr="00484DAF" w:rsidRDefault="00557A1F" w:rsidP="00CC552D">
      <w:pPr>
        <w:pStyle w:val="Geenafstand"/>
        <w:spacing w:line="360" w:lineRule="auto"/>
        <w:rPr>
          <w:sz w:val="24"/>
          <w:szCs w:val="24"/>
        </w:rPr>
      </w:pPr>
    </w:p>
    <w:p w:rsidR="00905D04" w:rsidRPr="00484DAF" w:rsidRDefault="00905D04" w:rsidP="00CC552D">
      <w:pPr>
        <w:pStyle w:val="Kop2"/>
        <w:spacing w:before="0" w:line="360" w:lineRule="auto"/>
        <w:rPr>
          <w:rFonts w:ascii="Times New Roman" w:hAnsi="Times New Roman"/>
          <w:color w:val="auto"/>
          <w:sz w:val="24"/>
          <w:szCs w:val="24"/>
        </w:rPr>
      </w:pPr>
      <w:bookmarkStart w:id="92" w:name="_Toc254043945"/>
      <w:r w:rsidRPr="00484DAF">
        <w:rPr>
          <w:rFonts w:ascii="Times New Roman" w:hAnsi="Times New Roman"/>
          <w:color w:val="auto"/>
          <w:sz w:val="24"/>
          <w:szCs w:val="24"/>
        </w:rPr>
        <w:t>5.</w:t>
      </w:r>
      <w:r w:rsidR="0011030A" w:rsidRPr="00484DAF">
        <w:rPr>
          <w:rFonts w:ascii="Times New Roman" w:hAnsi="Times New Roman"/>
          <w:color w:val="auto"/>
          <w:sz w:val="24"/>
          <w:szCs w:val="24"/>
        </w:rPr>
        <w:t>2</w:t>
      </w:r>
      <w:r w:rsidRPr="00484DAF">
        <w:rPr>
          <w:rFonts w:ascii="Times New Roman" w:hAnsi="Times New Roman"/>
          <w:color w:val="auto"/>
          <w:sz w:val="24"/>
          <w:szCs w:val="24"/>
        </w:rPr>
        <w:t>.1 Jeugdhonkarrest</w:t>
      </w:r>
      <w:bookmarkEnd w:id="92"/>
    </w:p>
    <w:p w:rsidR="00B25364" w:rsidRPr="00484DAF" w:rsidRDefault="008643AC" w:rsidP="00CC552D">
      <w:pPr>
        <w:spacing w:after="0" w:line="360" w:lineRule="auto"/>
        <w:rPr>
          <w:sz w:val="24"/>
          <w:szCs w:val="24"/>
        </w:rPr>
      </w:pPr>
      <w:r w:rsidRPr="00484DAF">
        <w:rPr>
          <w:sz w:val="24"/>
          <w:szCs w:val="24"/>
        </w:rPr>
        <w:t>Illustratief hiervoor is het arrest van 10 augustus 2001</w:t>
      </w:r>
      <w:r w:rsidRPr="00484DAF">
        <w:rPr>
          <w:rStyle w:val="Voetnootmarkering"/>
          <w:sz w:val="24"/>
          <w:szCs w:val="24"/>
        </w:rPr>
        <w:footnoteReference w:id="212"/>
      </w:r>
      <w:r w:rsidRPr="00484DAF">
        <w:rPr>
          <w:sz w:val="24"/>
          <w:szCs w:val="24"/>
        </w:rPr>
        <w:t>, welke bekend is komen te staan als het ‘Jeugdhonkarrest’.</w:t>
      </w:r>
      <w:r w:rsidR="00934318" w:rsidRPr="00484DAF">
        <w:rPr>
          <w:sz w:val="24"/>
          <w:szCs w:val="24"/>
        </w:rPr>
        <w:t xml:space="preserve"> Onderwerp van geding was een perceel grond welke door de gemeente is aan</w:t>
      </w:r>
      <w:r w:rsidR="00413321" w:rsidRPr="00484DAF">
        <w:rPr>
          <w:sz w:val="24"/>
          <w:szCs w:val="24"/>
        </w:rPr>
        <w:t>ge</w:t>
      </w:r>
      <w:r w:rsidR="00934318" w:rsidRPr="00484DAF">
        <w:rPr>
          <w:sz w:val="24"/>
          <w:szCs w:val="24"/>
        </w:rPr>
        <w:t>kocht met het oog op verkaveling, verkoop en bebouwing van woningen</w:t>
      </w:r>
      <w:r w:rsidR="00F971D7" w:rsidRPr="00484DAF">
        <w:rPr>
          <w:sz w:val="24"/>
          <w:szCs w:val="24"/>
        </w:rPr>
        <w:t xml:space="preserve"> voor particulieren</w:t>
      </w:r>
      <w:r w:rsidR="00934318" w:rsidRPr="00484DAF">
        <w:rPr>
          <w:sz w:val="24"/>
          <w:szCs w:val="24"/>
        </w:rPr>
        <w:t>. Na de ondertekening van de koopovereenkomst, maar voor de levering van het perceel brak brand uit waardoor de aanwezige opstallen onherstelbaar werden verwoest. Uit veiligheidsoogpunt besloot de gemeente vervolgens de opstallen volledig te slopen (inclusief funderingen). Ontstane gaten vanwege de sloop en afvoer van materialen werden daarbij opgevuld met zand.</w:t>
      </w:r>
      <w:r w:rsidR="00C33DC2" w:rsidRPr="00484DAF">
        <w:rPr>
          <w:sz w:val="24"/>
          <w:szCs w:val="24"/>
        </w:rPr>
        <w:t xml:space="preserve"> </w:t>
      </w:r>
    </w:p>
    <w:p w:rsidR="00557A1F" w:rsidRPr="00484DAF" w:rsidRDefault="00557A1F" w:rsidP="00CC552D">
      <w:pPr>
        <w:pStyle w:val="Geenafstand"/>
        <w:spacing w:line="360" w:lineRule="auto"/>
        <w:rPr>
          <w:sz w:val="24"/>
          <w:szCs w:val="24"/>
        </w:rPr>
      </w:pPr>
    </w:p>
    <w:p w:rsidR="00B25364" w:rsidRPr="00484DAF" w:rsidRDefault="004F73BA" w:rsidP="00CC552D">
      <w:pPr>
        <w:pStyle w:val="Kop3"/>
        <w:spacing w:before="0" w:line="360" w:lineRule="auto"/>
        <w:rPr>
          <w:rFonts w:ascii="Times New Roman" w:hAnsi="Times New Roman"/>
          <w:color w:val="auto"/>
          <w:sz w:val="24"/>
          <w:szCs w:val="24"/>
        </w:rPr>
      </w:pPr>
      <w:bookmarkStart w:id="93" w:name="_Toc254043946"/>
      <w:r w:rsidRPr="00484DAF">
        <w:rPr>
          <w:rFonts w:ascii="Times New Roman" w:hAnsi="Times New Roman"/>
          <w:color w:val="auto"/>
          <w:sz w:val="24"/>
          <w:szCs w:val="24"/>
        </w:rPr>
        <w:t>5.2.1</w:t>
      </w:r>
      <w:r w:rsidR="00C2506B" w:rsidRPr="00484DAF">
        <w:rPr>
          <w:rFonts w:ascii="Times New Roman" w:hAnsi="Times New Roman"/>
          <w:color w:val="auto"/>
          <w:sz w:val="24"/>
          <w:szCs w:val="24"/>
        </w:rPr>
        <w:t>.1</w:t>
      </w:r>
      <w:r w:rsidR="00B25364" w:rsidRPr="00484DAF">
        <w:rPr>
          <w:rFonts w:ascii="Times New Roman" w:hAnsi="Times New Roman"/>
          <w:color w:val="auto"/>
          <w:sz w:val="24"/>
          <w:szCs w:val="24"/>
        </w:rPr>
        <w:t xml:space="preserve"> </w:t>
      </w:r>
      <w:r w:rsidRPr="00484DAF">
        <w:rPr>
          <w:rFonts w:ascii="Times New Roman" w:hAnsi="Times New Roman"/>
          <w:color w:val="auto"/>
          <w:sz w:val="24"/>
          <w:szCs w:val="24"/>
        </w:rPr>
        <w:t>Geding</w:t>
      </w:r>
      <w:bookmarkEnd w:id="93"/>
    </w:p>
    <w:p w:rsidR="00534617" w:rsidRPr="00484DAF" w:rsidRDefault="001A6004" w:rsidP="00CC552D">
      <w:pPr>
        <w:spacing w:after="0" w:line="360" w:lineRule="auto"/>
        <w:rPr>
          <w:sz w:val="24"/>
          <w:szCs w:val="24"/>
        </w:rPr>
      </w:pPr>
      <w:r w:rsidRPr="00484DAF">
        <w:rPr>
          <w:sz w:val="24"/>
          <w:szCs w:val="24"/>
        </w:rPr>
        <w:t>In geding voor Hof Den Haag</w:t>
      </w:r>
      <w:r w:rsidRPr="00484DAF">
        <w:rPr>
          <w:rStyle w:val="Voetnootmarkering"/>
          <w:sz w:val="24"/>
          <w:szCs w:val="24"/>
        </w:rPr>
        <w:footnoteReference w:id="213"/>
      </w:r>
      <w:r w:rsidRPr="00484DAF">
        <w:rPr>
          <w:sz w:val="24"/>
          <w:szCs w:val="24"/>
        </w:rPr>
        <w:t xml:space="preserve"> was de vraag of in dit geval sprake was van de levering van een bouwterrein.</w:t>
      </w:r>
      <w:r w:rsidR="00322F79" w:rsidRPr="00484DAF">
        <w:rPr>
          <w:sz w:val="24"/>
          <w:szCs w:val="24"/>
        </w:rPr>
        <w:t xml:space="preserve"> Het Hof oordeelt dat door de sloop van het jeugdhonk geen bouwterrein is ontstaan. Weliswaar is door sloop onbebouwde grond ontstaan, omdat geen bebouwing </w:t>
      </w:r>
      <w:r w:rsidR="00322F79" w:rsidRPr="00484DAF">
        <w:rPr>
          <w:sz w:val="24"/>
          <w:szCs w:val="24"/>
        </w:rPr>
        <w:lastRenderedPageBreak/>
        <w:t xml:space="preserve">resteert welke voldoet voor de functie van gebouw, maar geen bouwterrein wordt aangemerkt </w:t>
      </w:r>
      <w:r w:rsidR="005A1470" w:rsidRPr="00484DAF">
        <w:rPr>
          <w:i/>
          <w:sz w:val="24"/>
          <w:szCs w:val="24"/>
        </w:rPr>
        <w:t>‘nu de bewerkingen</w:t>
      </w:r>
      <w:r w:rsidR="005A1470" w:rsidRPr="00484DAF">
        <w:rPr>
          <w:sz w:val="24"/>
          <w:szCs w:val="24"/>
        </w:rPr>
        <w:t xml:space="preserve"> (het storten van zand, MGVV)</w:t>
      </w:r>
      <w:r w:rsidR="005A1470" w:rsidRPr="00484DAF">
        <w:rPr>
          <w:i/>
          <w:sz w:val="24"/>
          <w:szCs w:val="24"/>
        </w:rPr>
        <w:t xml:space="preserve"> niet zijn verricht met het oog op de bebouwing van de grond’</w:t>
      </w:r>
      <w:r w:rsidR="005A1470" w:rsidRPr="00484DAF">
        <w:rPr>
          <w:rStyle w:val="Voetnootmarkering"/>
          <w:i/>
          <w:sz w:val="24"/>
          <w:szCs w:val="24"/>
        </w:rPr>
        <w:footnoteReference w:id="214"/>
      </w:r>
      <w:r w:rsidR="00322F79" w:rsidRPr="00484DAF">
        <w:rPr>
          <w:sz w:val="24"/>
          <w:szCs w:val="24"/>
        </w:rPr>
        <w:t xml:space="preserve">. Het Hof ziet de zandstorting als </w:t>
      </w:r>
      <w:r w:rsidR="0088314C" w:rsidRPr="00484DAF">
        <w:rPr>
          <w:sz w:val="24"/>
          <w:szCs w:val="24"/>
        </w:rPr>
        <w:t>werkzaamheid die uitsluitend wordt verricht met het oog op sloop, waarbij het mogelijk de laatste sloophandeling betreft.</w:t>
      </w:r>
      <w:r w:rsidR="00AF03CA" w:rsidRPr="00484DAF">
        <w:rPr>
          <w:sz w:val="24"/>
          <w:szCs w:val="24"/>
        </w:rPr>
        <w:t xml:space="preserve"> </w:t>
      </w:r>
      <w:r w:rsidR="005A1470" w:rsidRPr="00484DAF">
        <w:rPr>
          <w:sz w:val="24"/>
          <w:szCs w:val="24"/>
        </w:rPr>
        <w:t xml:space="preserve">Zodoende is geen sprake van een </w:t>
      </w:r>
      <w:r w:rsidR="0088314C" w:rsidRPr="00484DAF">
        <w:rPr>
          <w:sz w:val="24"/>
          <w:szCs w:val="24"/>
        </w:rPr>
        <w:t>bewerking als bedoeld in artikel 11, li</w:t>
      </w:r>
      <w:r w:rsidR="0022366F" w:rsidRPr="00484DAF">
        <w:rPr>
          <w:sz w:val="24"/>
          <w:szCs w:val="24"/>
        </w:rPr>
        <w:t xml:space="preserve">d 4, onderdeel a </w:t>
      </w:r>
      <w:r w:rsidR="00A313A5" w:rsidRPr="00484DAF">
        <w:rPr>
          <w:sz w:val="24"/>
          <w:szCs w:val="24"/>
        </w:rPr>
        <w:t>Wet</w:t>
      </w:r>
      <w:r w:rsidR="005A1470" w:rsidRPr="00484DAF">
        <w:rPr>
          <w:sz w:val="24"/>
          <w:szCs w:val="24"/>
        </w:rPr>
        <w:t> </w:t>
      </w:r>
      <w:r w:rsidR="00A313A5" w:rsidRPr="00484DAF">
        <w:rPr>
          <w:sz w:val="24"/>
          <w:szCs w:val="24"/>
        </w:rPr>
        <w:t>OB 1968</w:t>
      </w:r>
      <w:r w:rsidR="0022366F" w:rsidRPr="00484DAF">
        <w:rPr>
          <w:sz w:val="24"/>
          <w:szCs w:val="24"/>
        </w:rPr>
        <w:t xml:space="preserve"> </w:t>
      </w:r>
      <w:r w:rsidR="00475D70" w:rsidRPr="00484DAF">
        <w:rPr>
          <w:sz w:val="24"/>
          <w:szCs w:val="24"/>
        </w:rPr>
        <w:t xml:space="preserve">plaatsgevonden </w:t>
      </w:r>
      <w:r w:rsidR="00A313A5" w:rsidRPr="00484DAF">
        <w:rPr>
          <w:sz w:val="24"/>
          <w:szCs w:val="24"/>
        </w:rPr>
        <w:t>waardoor geen bouwterrein is ontstaan en derhalve geen BTW dient te worden voldaan.</w:t>
      </w:r>
      <w:r w:rsidR="0096780A" w:rsidRPr="00484DAF">
        <w:rPr>
          <w:sz w:val="24"/>
          <w:szCs w:val="24"/>
        </w:rPr>
        <w:t xml:space="preserve"> </w:t>
      </w:r>
      <w:r w:rsidR="0088314C" w:rsidRPr="00484DAF">
        <w:rPr>
          <w:sz w:val="24"/>
          <w:szCs w:val="24"/>
        </w:rPr>
        <w:t xml:space="preserve">In cassatie </w:t>
      </w:r>
      <w:r w:rsidR="0005332E" w:rsidRPr="00484DAF">
        <w:rPr>
          <w:sz w:val="24"/>
          <w:szCs w:val="24"/>
        </w:rPr>
        <w:t>toont</w:t>
      </w:r>
      <w:r w:rsidR="0088314C" w:rsidRPr="00484DAF">
        <w:rPr>
          <w:sz w:val="24"/>
          <w:szCs w:val="24"/>
        </w:rPr>
        <w:t xml:space="preserve"> de Hoge Raad zich oneens met</w:t>
      </w:r>
      <w:r w:rsidR="0005332E" w:rsidRPr="00484DAF">
        <w:rPr>
          <w:sz w:val="24"/>
          <w:szCs w:val="24"/>
        </w:rPr>
        <w:t xml:space="preserve"> de staatssecretaris die stelt dat in</w:t>
      </w:r>
      <w:r w:rsidR="00960DE9" w:rsidRPr="00484DAF">
        <w:rPr>
          <w:sz w:val="24"/>
          <w:szCs w:val="24"/>
        </w:rPr>
        <w:t xml:space="preserve"> </w:t>
      </w:r>
      <w:r w:rsidR="0005332E" w:rsidRPr="00484DAF">
        <w:rPr>
          <w:sz w:val="24"/>
          <w:szCs w:val="24"/>
        </w:rPr>
        <w:t>beginsel het volledig slopen van opstallen een bewerking is als de in artikel 11, lid 4, onderdeel a Wet OB 1968 met het oog op bebouwing van grond. De uitspraak van Hof Den Haag blijft in stand</w:t>
      </w:r>
      <w:r w:rsidR="00AF03CA" w:rsidRPr="00484DAF">
        <w:rPr>
          <w:sz w:val="24"/>
          <w:szCs w:val="24"/>
        </w:rPr>
        <w:t xml:space="preserve"> (inclusief het hiervoor gecursiveerde gedeelte)</w:t>
      </w:r>
      <w:r w:rsidR="0005332E" w:rsidRPr="00484DAF">
        <w:rPr>
          <w:sz w:val="24"/>
          <w:szCs w:val="24"/>
        </w:rPr>
        <w:t xml:space="preserve">, waardoor </w:t>
      </w:r>
      <w:r w:rsidR="0096780A" w:rsidRPr="00484DAF">
        <w:rPr>
          <w:sz w:val="24"/>
          <w:szCs w:val="24"/>
        </w:rPr>
        <w:t xml:space="preserve">uit dit arrest kan worden geleerd </w:t>
      </w:r>
      <w:r w:rsidR="0054190C" w:rsidRPr="00484DAF">
        <w:rPr>
          <w:sz w:val="24"/>
          <w:szCs w:val="24"/>
        </w:rPr>
        <w:t xml:space="preserve">dat </w:t>
      </w:r>
      <w:r w:rsidR="0096780A" w:rsidRPr="00484DAF">
        <w:rPr>
          <w:sz w:val="24"/>
          <w:szCs w:val="24"/>
        </w:rPr>
        <w:t>sloop van opsta</w:t>
      </w:r>
      <w:r w:rsidR="0054190C" w:rsidRPr="00484DAF">
        <w:rPr>
          <w:sz w:val="24"/>
          <w:szCs w:val="24"/>
        </w:rPr>
        <w:t>llen leidt tot onbebouwde grond</w:t>
      </w:r>
      <w:r w:rsidR="005A1470" w:rsidRPr="00484DAF">
        <w:rPr>
          <w:sz w:val="24"/>
          <w:szCs w:val="24"/>
        </w:rPr>
        <w:t xml:space="preserve"> en</w:t>
      </w:r>
      <w:r w:rsidR="0054190C" w:rsidRPr="00484DAF">
        <w:rPr>
          <w:sz w:val="24"/>
          <w:szCs w:val="24"/>
        </w:rPr>
        <w:t xml:space="preserve"> </w:t>
      </w:r>
      <w:r w:rsidR="0096780A" w:rsidRPr="00484DAF">
        <w:rPr>
          <w:sz w:val="24"/>
          <w:szCs w:val="24"/>
        </w:rPr>
        <w:t xml:space="preserve">dat enkel de sloop van opstallen </w:t>
      </w:r>
      <w:r w:rsidR="008A73AF" w:rsidRPr="00484DAF">
        <w:rPr>
          <w:sz w:val="24"/>
          <w:szCs w:val="24"/>
        </w:rPr>
        <w:t xml:space="preserve">- </w:t>
      </w:r>
      <w:r w:rsidR="0054190C" w:rsidRPr="00484DAF">
        <w:rPr>
          <w:sz w:val="24"/>
          <w:szCs w:val="24"/>
        </w:rPr>
        <w:t>in onderhavig geval</w:t>
      </w:r>
      <w:r w:rsidR="008A73AF" w:rsidRPr="00484DAF">
        <w:rPr>
          <w:sz w:val="24"/>
          <w:szCs w:val="24"/>
        </w:rPr>
        <w:t xml:space="preserve"> -</w:t>
      </w:r>
      <w:r w:rsidR="0054190C" w:rsidRPr="00484DAF">
        <w:rPr>
          <w:sz w:val="24"/>
          <w:szCs w:val="24"/>
        </w:rPr>
        <w:t xml:space="preserve"> </w:t>
      </w:r>
      <w:r w:rsidR="0096780A" w:rsidRPr="00484DAF">
        <w:rPr>
          <w:sz w:val="24"/>
          <w:szCs w:val="24"/>
        </w:rPr>
        <w:t>niet leidt tot het ontstaan van een bouwterr</w:t>
      </w:r>
      <w:r w:rsidR="0054190C" w:rsidRPr="00484DAF">
        <w:rPr>
          <w:sz w:val="24"/>
          <w:szCs w:val="24"/>
        </w:rPr>
        <w:t>ein.</w:t>
      </w:r>
    </w:p>
    <w:p w:rsidR="005B76BB" w:rsidRPr="00484DAF" w:rsidRDefault="005B76BB" w:rsidP="00CC552D">
      <w:pPr>
        <w:pStyle w:val="Geenafstand"/>
        <w:spacing w:line="360" w:lineRule="auto"/>
        <w:rPr>
          <w:sz w:val="24"/>
          <w:szCs w:val="24"/>
        </w:rPr>
      </w:pPr>
    </w:p>
    <w:p w:rsidR="004F73BA" w:rsidRPr="00484DAF" w:rsidRDefault="004F73BA" w:rsidP="00CC552D">
      <w:pPr>
        <w:pStyle w:val="Kop3"/>
        <w:spacing w:before="0" w:line="360" w:lineRule="auto"/>
        <w:rPr>
          <w:rFonts w:ascii="Times New Roman" w:hAnsi="Times New Roman"/>
          <w:color w:val="auto"/>
          <w:sz w:val="24"/>
          <w:szCs w:val="24"/>
        </w:rPr>
      </w:pPr>
      <w:bookmarkStart w:id="94" w:name="_Toc254043947"/>
      <w:r w:rsidRPr="00484DAF">
        <w:rPr>
          <w:rFonts w:ascii="Times New Roman" w:hAnsi="Times New Roman"/>
          <w:color w:val="auto"/>
          <w:sz w:val="24"/>
          <w:szCs w:val="24"/>
        </w:rPr>
        <w:t>5.2.</w:t>
      </w:r>
      <w:r w:rsidR="00C2506B" w:rsidRPr="00484DAF">
        <w:rPr>
          <w:rFonts w:ascii="Times New Roman" w:hAnsi="Times New Roman"/>
          <w:color w:val="auto"/>
          <w:sz w:val="24"/>
          <w:szCs w:val="24"/>
        </w:rPr>
        <w:t>1.</w:t>
      </w:r>
      <w:r w:rsidRPr="00484DAF">
        <w:rPr>
          <w:rFonts w:ascii="Times New Roman" w:hAnsi="Times New Roman"/>
          <w:color w:val="auto"/>
          <w:sz w:val="24"/>
          <w:szCs w:val="24"/>
        </w:rPr>
        <w:t xml:space="preserve">2 </w:t>
      </w:r>
      <w:r w:rsidR="005B76BB" w:rsidRPr="00484DAF">
        <w:rPr>
          <w:rFonts w:ascii="Times New Roman" w:hAnsi="Times New Roman"/>
          <w:color w:val="auto"/>
          <w:sz w:val="24"/>
          <w:szCs w:val="24"/>
        </w:rPr>
        <w:t>Opmerkelijk</w:t>
      </w:r>
      <w:bookmarkEnd w:id="94"/>
    </w:p>
    <w:p w:rsidR="00F971D7" w:rsidRPr="00484DAF" w:rsidRDefault="004F73BA" w:rsidP="00CC552D">
      <w:pPr>
        <w:spacing w:after="0" w:line="360" w:lineRule="auto"/>
        <w:rPr>
          <w:sz w:val="24"/>
          <w:szCs w:val="24"/>
        </w:rPr>
      </w:pPr>
      <w:r w:rsidRPr="00484DAF">
        <w:rPr>
          <w:sz w:val="24"/>
          <w:szCs w:val="24"/>
        </w:rPr>
        <w:t>Opmerkelijk aan voorliggende casus is dat belanghebbende</w:t>
      </w:r>
      <w:r w:rsidR="00F971D7" w:rsidRPr="00484DAF">
        <w:rPr>
          <w:sz w:val="24"/>
          <w:szCs w:val="24"/>
        </w:rPr>
        <w:t xml:space="preserve"> (gemeente Krimpen aan den IJssel) </w:t>
      </w:r>
      <w:r w:rsidRPr="00484DAF">
        <w:rPr>
          <w:sz w:val="24"/>
          <w:szCs w:val="24"/>
        </w:rPr>
        <w:t>aanvankelijk BTW voldoet over de levering van het terrein, maar vervolgens in bezwaar gaat tegen de eigen BTW-aangifte</w:t>
      </w:r>
      <w:r w:rsidR="00F971D7" w:rsidRPr="00484DAF">
        <w:rPr>
          <w:sz w:val="24"/>
          <w:szCs w:val="24"/>
        </w:rPr>
        <w:t xml:space="preserve"> voor het gedeelte dat betrekking heeft op woningbouw voor particulieren. De </w:t>
      </w:r>
      <w:r w:rsidR="00F971D7" w:rsidRPr="00484DAF">
        <w:rPr>
          <w:i/>
          <w:sz w:val="24"/>
          <w:szCs w:val="24"/>
        </w:rPr>
        <w:t xml:space="preserve">Redactie Vakstudie-Nieuws </w:t>
      </w:r>
      <w:r w:rsidR="00F971D7" w:rsidRPr="00484DAF">
        <w:rPr>
          <w:sz w:val="24"/>
          <w:szCs w:val="24"/>
        </w:rPr>
        <w:t xml:space="preserve">noemt als mogelijkheid </w:t>
      </w:r>
      <w:r w:rsidR="00F971D7" w:rsidRPr="00484DAF">
        <w:rPr>
          <w:i/>
          <w:sz w:val="24"/>
          <w:szCs w:val="24"/>
        </w:rPr>
        <w:t>‘dat bij de levering voorzien werd, voordat andere handelingen werden gepleegd aan de grond, het perceel in delen door te verkopen en te leveren aan particulieren. Dezen zouden dan de grond verkrijgen met heffing van overdrachtsbelasting in plaats van heffing van omzetbelasting.’</w:t>
      </w:r>
      <w:r w:rsidR="00F971D7" w:rsidRPr="00484DAF">
        <w:rPr>
          <w:rStyle w:val="Voetnootmarkering"/>
          <w:i/>
          <w:sz w:val="24"/>
          <w:szCs w:val="24"/>
        </w:rPr>
        <w:footnoteReference w:id="215"/>
      </w:r>
      <w:r w:rsidR="00F41BD7" w:rsidRPr="00484DAF">
        <w:rPr>
          <w:sz w:val="24"/>
          <w:szCs w:val="24"/>
        </w:rPr>
        <w:t xml:space="preserve"> </w:t>
      </w:r>
    </w:p>
    <w:p w:rsidR="00F971D7" w:rsidRPr="00484DAF" w:rsidRDefault="00F971D7" w:rsidP="00CC552D">
      <w:pPr>
        <w:pStyle w:val="Geenafstand"/>
        <w:spacing w:line="360" w:lineRule="auto"/>
        <w:rPr>
          <w:sz w:val="24"/>
          <w:szCs w:val="24"/>
        </w:rPr>
      </w:pPr>
    </w:p>
    <w:p w:rsidR="00534617" w:rsidRPr="00484DAF" w:rsidRDefault="00534617" w:rsidP="00CC552D">
      <w:pPr>
        <w:pStyle w:val="Kop2"/>
        <w:spacing w:before="0" w:line="360" w:lineRule="auto"/>
        <w:rPr>
          <w:rFonts w:ascii="Times New Roman" w:hAnsi="Times New Roman"/>
          <w:color w:val="auto"/>
          <w:sz w:val="24"/>
          <w:szCs w:val="24"/>
        </w:rPr>
      </w:pPr>
      <w:bookmarkStart w:id="95" w:name="_Toc254043948"/>
      <w:r w:rsidRPr="00484DAF">
        <w:rPr>
          <w:rFonts w:ascii="Times New Roman" w:hAnsi="Times New Roman"/>
          <w:color w:val="auto"/>
          <w:sz w:val="24"/>
          <w:szCs w:val="24"/>
        </w:rPr>
        <w:t>5.2.2 Oogmerk relevant</w:t>
      </w:r>
      <w:bookmarkEnd w:id="95"/>
    </w:p>
    <w:p w:rsidR="00CA125F" w:rsidRPr="00484DAF" w:rsidRDefault="00534617" w:rsidP="00CC552D">
      <w:pPr>
        <w:spacing w:after="0" w:line="360" w:lineRule="auto"/>
        <w:rPr>
          <w:sz w:val="24"/>
          <w:szCs w:val="24"/>
        </w:rPr>
      </w:pPr>
      <w:r w:rsidRPr="00484DAF">
        <w:rPr>
          <w:sz w:val="24"/>
          <w:szCs w:val="24"/>
        </w:rPr>
        <w:t xml:space="preserve">In </w:t>
      </w:r>
      <w:r w:rsidR="00FD2AC1" w:rsidRPr="00484DAF">
        <w:rPr>
          <w:sz w:val="24"/>
          <w:szCs w:val="24"/>
        </w:rPr>
        <w:t xml:space="preserve">de laatste </w:t>
      </w:r>
      <w:r w:rsidRPr="00484DAF">
        <w:rPr>
          <w:sz w:val="24"/>
          <w:szCs w:val="24"/>
        </w:rPr>
        <w:t xml:space="preserve">volzin </w:t>
      </w:r>
      <w:r w:rsidR="00FD2AC1" w:rsidRPr="00484DAF">
        <w:rPr>
          <w:sz w:val="24"/>
          <w:szCs w:val="24"/>
        </w:rPr>
        <w:t xml:space="preserve">van paragraaf 5.2.1.1 </w:t>
      </w:r>
      <w:r w:rsidRPr="00484DAF">
        <w:rPr>
          <w:sz w:val="24"/>
          <w:szCs w:val="24"/>
        </w:rPr>
        <w:t xml:space="preserve">ligt </w:t>
      </w:r>
      <w:r w:rsidR="00475D70" w:rsidRPr="00484DAF">
        <w:rPr>
          <w:sz w:val="24"/>
          <w:szCs w:val="24"/>
        </w:rPr>
        <w:t xml:space="preserve">de </w:t>
      </w:r>
      <w:r w:rsidR="00AF03CA" w:rsidRPr="00484DAF">
        <w:rPr>
          <w:sz w:val="24"/>
          <w:szCs w:val="24"/>
        </w:rPr>
        <w:t xml:space="preserve">nadruk </w:t>
      </w:r>
      <w:r w:rsidR="005A1470" w:rsidRPr="00484DAF">
        <w:rPr>
          <w:sz w:val="24"/>
          <w:szCs w:val="24"/>
        </w:rPr>
        <w:t>“</w:t>
      </w:r>
      <w:r w:rsidR="00AF03CA" w:rsidRPr="00484DAF">
        <w:rPr>
          <w:sz w:val="24"/>
          <w:szCs w:val="24"/>
        </w:rPr>
        <w:t>op onderhavig geval</w:t>
      </w:r>
      <w:r w:rsidR="005A1470" w:rsidRPr="00484DAF">
        <w:rPr>
          <w:sz w:val="24"/>
          <w:szCs w:val="24"/>
        </w:rPr>
        <w:t>”</w:t>
      </w:r>
      <w:r w:rsidR="00AF03CA" w:rsidRPr="00484DAF">
        <w:rPr>
          <w:sz w:val="24"/>
          <w:szCs w:val="24"/>
        </w:rPr>
        <w:t xml:space="preserve">, omdat in de literatuur </w:t>
      </w:r>
      <w:r w:rsidR="005A1470" w:rsidRPr="00484DAF">
        <w:rPr>
          <w:sz w:val="24"/>
          <w:szCs w:val="24"/>
        </w:rPr>
        <w:t xml:space="preserve">naar aanleiding van voornoemd arrest </w:t>
      </w:r>
      <w:r w:rsidRPr="00484DAF">
        <w:rPr>
          <w:sz w:val="24"/>
          <w:szCs w:val="24"/>
        </w:rPr>
        <w:t xml:space="preserve">ten onrechte </w:t>
      </w:r>
      <w:r w:rsidR="00AF03CA" w:rsidRPr="00484DAF">
        <w:rPr>
          <w:sz w:val="24"/>
          <w:szCs w:val="24"/>
        </w:rPr>
        <w:t xml:space="preserve">wordt geopperd dat </w:t>
      </w:r>
      <w:r w:rsidR="00475D70" w:rsidRPr="00484DAF">
        <w:rPr>
          <w:sz w:val="24"/>
          <w:szCs w:val="24"/>
        </w:rPr>
        <w:t xml:space="preserve">uit de sloop van opstallen </w:t>
      </w:r>
      <w:r w:rsidR="00AF03CA" w:rsidRPr="00484DAF">
        <w:rPr>
          <w:sz w:val="24"/>
          <w:szCs w:val="24"/>
        </w:rPr>
        <w:t xml:space="preserve">nooit een bouwterrein kan ontstaan. De </w:t>
      </w:r>
      <w:r w:rsidR="00F35A74" w:rsidRPr="00484DAF">
        <w:rPr>
          <w:sz w:val="24"/>
          <w:szCs w:val="24"/>
        </w:rPr>
        <w:t>staatssecretaris</w:t>
      </w:r>
      <w:r w:rsidR="00AF03CA" w:rsidRPr="00484DAF">
        <w:rPr>
          <w:sz w:val="24"/>
          <w:szCs w:val="24"/>
        </w:rPr>
        <w:t xml:space="preserve"> is deze mening op basis van het Jeugdhonkarrest eveneens toegedaan, getuige de zinsnede</w:t>
      </w:r>
      <w:r w:rsidR="00AF03CA" w:rsidRPr="00484DAF">
        <w:rPr>
          <w:i/>
          <w:sz w:val="24"/>
          <w:szCs w:val="24"/>
        </w:rPr>
        <w:t>‘(…) niet relevant met welk (subjectief) doel de sloophandelingen zijn verricht. Met name is niet van belang of de sloophandelingen plaatsvinden met het oog op de bouw van nieuwe gebouwen.’</w:t>
      </w:r>
      <w:r w:rsidR="00AF03CA" w:rsidRPr="00484DAF">
        <w:rPr>
          <w:sz w:val="24"/>
          <w:szCs w:val="24"/>
        </w:rPr>
        <w:t xml:space="preserve"> </w:t>
      </w:r>
      <w:r w:rsidR="00AF03CA" w:rsidRPr="00484DAF">
        <w:rPr>
          <w:rStyle w:val="Voetnootmarkering"/>
          <w:sz w:val="24"/>
          <w:szCs w:val="24"/>
        </w:rPr>
        <w:footnoteReference w:id="216"/>
      </w:r>
      <w:r w:rsidR="00CF1143" w:rsidRPr="00484DAF">
        <w:rPr>
          <w:sz w:val="24"/>
          <w:szCs w:val="24"/>
        </w:rPr>
        <w:t xml:space="preserve"> </w:t>
      </w:r>
      <w:r w:rsidR="00AF03CA" w:rsidRPr="00484DAF">
        <w:rPr>
          <w:sz w:val="24"/>
          <w:szCs w:val="24"/>
        </w:rPr>
        <w:t xml:space="preserve">De </w:t>
      </w:r>
      <w:r w:rsidR="00AF03CA" w:rsidRPr="00484DAF">
        <w:rPr>
          <w:sz w:val="24"/>
          <w:szCs w:val="24"/>
        </w:rPr>
        <w:lastRenderedPageBreak/>
        <w:t>alternatieve uitleg van het arrest is dat hoewel sloop niet altijd</w:t>
      </w:r>
      <w:r w:rsidR="001302BF" w:rsidRPr="00484DAF">
        <w:rPr>
          <w:rStyle w:val="Voetnootmarkering"/>
          <w:sz w:val="24"/>
          <w:szCs w:val="24"/>
        </w:rPr>
        <w:footnoteReference w:id="217"/>
      </w:r>
      <w:r w:rsidR="00AF03CA" w:rsidRPr="00484DAF">
        <w:rPr>
          <w:sz w:val="24"/>
          <w:szCs w:val="24"/>
        </w:rPr>
        <w:t xml:space="preserve"> tot bouwterrein kan leiden, het oogmerk van de sloop relevant is om te bepalen of de bewerking wel of niet kwalificeert als in artikel 11, lid 4 Wet OB 1968. Door de Hoge Raad is immers de overweging van het Hof</w:t>
      </w:r>
      <w:r w:rsidRPr="00484DAF">
        <w:rPr>
          <w:sz w:val="24"/>
          <w:szCs w:val="24"/>
        </w:rPr>
        <w:t>,</w:t>
      </w:r>
      <w:r w:rsidR="00AF03CA" w:rsidRPr="00484DAF">
        <w:rPr>
          <w:sz w:val="24"/>
          <w:szCs w:val="24"/>
        </w:rPr>
        <w:t xml:space="preserve"> </w:t>
      </w:r>
      <w:r w:rsidRPr="00484DAF">
        <w:rPr>
          <w:sz w:val="24"/>
          <w:szCs w:val="24"/>
        </w:rPr>
        <w:t xml:space="preserve">dat </w:t>
      </w:r>
      <w:r w:rsidR="00AF03CA" w:rsidRPr="00484DAF">
        <w:rPr>
          <w:sz w:val="24"/>
          <w:szCs w:val="24"/>
        </w:rPr>
        <w:t>de reden van het niet aanmerken van sloop als bewerking ligt in de veronderstelling dat deze han</w:t>
      </w:r>
      <w:r w:rsidR="00184B7F" w:rsidRPr="00484DAF">
        <w:rPr>
          <w:sz w:val="24"/>
          <w:szCs w:val="24"/>
        </w:rPr>
        <w:t>delingen niet zijn gericht op bebouwing van</w:t>
      </w:r>
      <w:r w:rsidR="00AF03CA" w:rsidRPr="00484DAF">
        <w:rPr>
          <w:sz w:val="24"/>
          <w:szCs w:val="24"/>
        </w:rPr>
        <w:t xml:space="preserve"> grond</w:t>
      </w:r>
      <w:r w:rsidRPr="00484DAF">
        <w:rPr>
          <w:sz w:val="24"/>
          <w:szCs w:val="24"/>
        </w:rPr>
        <w:t xml:space="preserve">, in stand gehouden. In casu oordeelde het Hof dat het oogmerk van de sloop </w:t>
      </w:r>
      <w:r w:rsidR="008A73AF" w:rsidRPr="00484DAF">
        <w:rPr>
          <w:sz w:val="24"/>
          <w:szCs w:val="24"/>
        </w:rPr>
        <w:t>“</w:t>
      </w:r>
      <w:r w:rsidRPr="00484DAF">
        <w:rPr>
          <w:sz w:val="24"/>
          <w:szCs w:val="24"/>
        </w:rPr>
        <w:t>uit veiligheidsoverwegingen</w:t>
      </w:r>
      <w:r w:rsidR="008A73AF" w:rsidRPr="00484DAF">
        <w:rPr>
          <w:sz w:val="24"/>
          <w:szCs w:val="24"/>
        </w:rPr>
        <w:t>”</w:t>
      </w:r>
      <w:r w:rsidRPr="00484DAF">
        <w:rPr>
          <w:sz w:val="24"/>
          <w:szCs w:val="24"/>
        </w:rPr>
        <w:t xml:space="preserve"> was. </w:t>
      </w:r>
      <w:r w:rsidR="003272E9" w:rsidRPr="00484DAF">
        <w:rPr>
          <w:i/>
          <w:sz w:val="24"/>
          <w:szCs w:val="24"/>
        </w:rPr>
        <w:t>Van Zadelhoff</w:t>
      </w:r>
      <w:r w:rsidR="003272E9" w:rsidRPr="00484DAF">
        <w:rPr>
          <w:sz w:val="24"/>
          <w:szCs w:val="24"/>
        </w:rPr>
        <w:t xml:space="preserve"> </w:t>
      </w:r>
      <w:r w:rsidRPr="00484DAF">
        <w:rPr>
          <w:sz w:val="24"/>
          <w:szCs w:val="24"/>
        </w:rPr>
        <w:t xml:space="preserve">merkt </w:t>
      </w:r>
      <w:r w:rsidR="006D3536" w:rsidRPr="00484DAF">
        <w:rPr>
          <w:sz w:val="24"/>
          <w:szCs w:val="24"/>
        </w:rPr>
        <w:t>in de noot</w:t>
      </w:r>
      <w:r w:rsidR="003272E9" w:rsidRPr="00484DAF">
        <w:rPr>
          <w:rStyle w:val="Voetnootmarkering"/>
          <w:sz w:val="24"/>
          <w:szCs w:val="24"/>
        </w:rPr>
        <w:footnoteReference w:id="218"/>
      </w:r>
      <w:r w:rsidR="00413321" w:rsidRPr="00484DAF">
        <w:rPr>
          <w:sz w:val="24"/>
          <w:szCs w:val="24"/>
        </w:rPr>
        <w:t xml:space="preserve"> b</w:t>
      </w:r>
      <w:r w:rsidR="006D3536" w:rsidRPr="00484DAF">
        <w:rPr>
          <w:sz w:val="24"/>
          <w:szCs w:val="24"/>
        </w:rPr>
        <w:t>ij het Jeugdhonkarrest op dat de wetsgeschiedenis een geringe bewerking</w:t>
      </w:r>
      <w:r w:rsidR="008B2956" w:rsidRPr="00484DAF">
        <w:rPr>
          <w:sz w:val="24"/>
          <w:szCs w:val="24"/>
        </w:rPr>
        <w:t xml:space="preserve"> (waaronder het egaliseren</w:t>
      </w:r>
      <w:r w:rsidR="00960DE9" w:rsidRPr="00484DAF">
        <w:rPr>
          <w:sz w:val="24"/>
          <w:szCs w:val="24"/>
        </w:rPr>
        <w:t xml:space="preserve"> </w:t>
      </w:r>
      <w:r w:rsidR="008B2956" w:rsidRPr="00484DAF">
        <w:rPr>
          <w:sz w:val="24"/>
          <w:szCs w:val="24"/>
        </w:rPr>
        <w:t xml:space="preserve">en ophogen van terreinen) </w:t>
      </w:r>
      <w:r w:rsidR="006D3536" w:rsidRPr="00484DAF">
        <w:rPr>
          <w:sz w:val="24"/>
          <w:szCs w:val="24"/>
        </w:rPr>
        <w:t xml:space="preserve">al toereikend </w:t>
      </w:r>
      <w:r w:rsidR="00141F4D" w:rsidRPr="00484DAF">
        <w:rPr>
          <w:sz w:val="24"/>
          <w:szCs w:val="24"/>
        </w:rPr>
        <w:t xml:space="preserve">acht </w:t>
      </w:r>
      <w:r w:rsidR="006D3536" w:rsidRPr="00484DAF">
        <w:rPr>
          <w:sz w:val="24"/>
          <w:szCs w:val="24"/>
        </w:rPr>
        <w:t>om een bouwterrein te doen ontstaan</w:t>
      </w:r>
      <w:r w:rsidR="00141F4D" w:rsidRPr="00484DAF">
        <w:rPr>
          <w:sz w:val="24"/>
          <w:szCs w:val="24"/>
        </w:rPr>
        <w:t xml:space="preserve">. Uiteraard wel onder het voorbehoud dat de bewerking </w:t>
      </w:r>
      <w:r w:rsidR="006D3536" w:rsidRPr="00484DAF">
        <w:rPr>
          <w:sz w:val="24"/>
          <w:szCs w:val="24"/>
        </w:rPr>
        <w:t>plaatsvindt met het oog op de bebouwing van de grond.</w:t>
      </w:r>
      <w:r w:rsidR="008B2956" w:rsidRPr="00484DAF">
        <w:rPr>
          <w:sz w:val="24"/>
          <w:szCs w:val="24"/>
        </w:rPr>
        <w:t xml:space="preserve"> </w:t>
      </w:r>
      <w:r w:rsidR="003272E9" w:rsidRPr="00484DAF">
        <w:rPr>
          <w:sz w:val="24"/>
          <w:szCs w:val="24"/>
        </w:rPr>
        <w:t>De annotator verwacht zelfs dat de uitkomst van dit arrest anders was geweest indien het</w:t>
      </w:r>
      <w:r w:rsidR="00413321" w:rsidRPr="00484DAF">
        <w:rPr>
          <w:sz w:val="24"/>
          <w:szCs w:val="24"/>
        </w:rPr>
        <w:t xml:space="preserve"> </w:t>
      </w:r>
      <w:r w:rsidR="003272E9" w:rsidRPr="00484DAF">
        <w:rPr>
          <w:sz w:val="24"/>
          <w:szCs w:val="24"/>
        </w:rPr>
        <w:t xml:space="preserve">oogmerk </w:t>
      </w:r>
      <w:r w:rsidR="00184B7F" w:rsidRPr="00484DAF">
        <w:rPr>
          <w:sz w:val="24"/>
          <w:szCs w:val="24"/>
        </w:rPr>
        <w:t xml:space="preserve">van </w:t>
      </w:r>
      <w:r w:rsidR="00572960" w:rsidRPr="00484DAF">
        <w:rPr>
          <w:sz w:val="24"/>
          <w:szCs w:val="24"/>
        </w:rPr>
        <w:t>het gaten vullen niet alleen</w:t>
      </w:r>
      <w:r w:rsidR="003272E9" w:rsidRPr="00484DAF">
        <w:rPr>
          <w:sz w:val="24"/>
          <w:szCs w:val="24"/>
        </w:rPr>
        <w:t xml:space="preserve"> uit veiligheidsoverwegingen </w:t>
      </w:r>
      <w:r w:rsidR="00184B7F" w:rsidRPr="00484DAF">
        <w:rPr>
          <w:sz w:val="24"/>
          <w:szCs w:val="24"/>
        </w:rPr>
        <w:t>bestond</w:t>
      </w:r>
      <w:r w:rsidR="00572960" w:rsidRPr="00484DAF">
        <w:rPr>
          <w:sz w:val="24"/>
          <w:szCs w:val="24"/>
        </w:rPr>
        <w:t xml:space="preserve">, maar mede </w:t>
      </w:r>
      <w:r w:rsidR="003272E9" w:rsidRPr="00484DAF">
        <w:rPr>
          <w:sz w:val="24"/>
          <w:szCs w:val="24"/>
        </w:rPr>
        <w:t>met het oog op de toekomstige bebouwing</w:t>
      </w:r>
      <w:r w:rsidR="00184B7F" w:rsidRPr="00484DAF">
        <w:rPr>
          <w:sz w:val="24"/>
          <w:szCs w:val="24"/>
        </w:rPr>
        <w:t xml:space="preserve"> was</w:t>
      </w:r>
      <w:r w:rsidR="00572960" w:rsidRPr="00484DAF">
        <w:rPr>
          <w:sz w:val="24"/>
          <w:szCs w:val="24"/>
        </w:rPr>
        <w:t>.</w:t>
      </w:r>
      <w:r w:rsidR="00BE5BD6" w:rsidRPr="00484DAF">
        <w:rPr>
          <w:sz w:val="24"/>
          <w:szCs w:val="24"/>
        </w:rPr>
        <w:t xml:space="preserve"> De strekking </w:t>
      </w:r>
      <w:r w:rsidR="00E43D02" w:rsidRPr="00484DAF">
        <w:rPr>
          <w:sz w:val="24"/>
          <w:szCs w:val="24"/>
        </w:rPr>
        <w:t>van deze subjectieve toets</w:t>
      </w:r>
      <w:r w:rsidR="00BE5BD6" w:rsidRPr="00484DAF">
        <w:rPr>
          <w:sz w:val="24"/>
          <w:szCs w:val="24"/>
        </w:rPr>
        <w:t xml:space="preserve"> is bijvoorbeeld goed opgepikt door Hof Den Bosch</w:t>
      </w:r>
      <w:r w:rsidR="00BE5BD6" w:rsidRPr="00484DAF">
        <w:rPr>
          <w:rStyle w:val="Voetnootmarkering"/>
          <w:sz w:val="24"/>
          <w:szCs w:val="24"/>
        </w:rPr>
        <w:footnoteReference w:id="219"/>
      </w:r>
      <w:r w:rsidR="00BE5BD6" w:rsidRPr="00484DAF">
        <w:rPr>
          <w:sz w:val="24"/>
          <w:szCs w:val="24"/>
        </w:rPr>
        <w:t xml:space="preserve"> in 2002 betreffende een casus waarin een gemeente voor levering van bebouwde grond besloot de bestaande opstallen te laten slopen alsook de funderingen te verwijderen. Allereerst is opmerkelijk aan dit arrest dat</w:t>
      </w:r>
      <w:r w:rsidR="00CA125F" w:rsidRPr="00484DAF">
        <w:rPr>
          <w:sz w:val="24"/>
          <w:szCs w:val="24"/>
        </w:rPr>
        <w:t xml:space="preserve"> b</w:t>
      </w:r>
      <w:r w:rsidR="00BE5BD6" w:rsidRPr="00484DAF">
        <w:rPr>
          <w:sz w:val="24"/>
          <w:szCs w:val="24"/>
        </w:rPr>
        <w:t xml:space="preserve">eide partijen ter zitting </w:t>
      </w:r>
      <w:r w:rsidR="00184B7F" w:rsidRPr="00484DAF">
        <w:rPr>
          <w:sz w:val="24"/>
          <w:szCs w:val="24"/>
        </w:rPr>
        <w:t>verklaren</w:t>
      </w:r>
      <w:r w:rsidR="00CA125F" w:rsidRPr="00484DAF">
        <w:rPr>
          <w:sz w:val="24"/>
          <w:szCs w:val="24"/>
        </w:rPr>
        <w:t xml:space="preserve"> </w:t>
      </w:r>
      <w:r w:rsidR="00BE5BD6" w:rsidRPr="00484DAF">
        <w:rPr>
          <w:sz w:val="24"/>
          <w:szCs w:val="24"/>
        </w:rPr>
        <w:t xml:space="preserve">niet te weten waarom </w:t>
      </w:r>
      <w:r w:rsidR="00CA125F" w:rsidRPr="00484DAF">
        <w:rPr>
          <w:sz w:val="24"/>
          <w:szCs w:val="24"/>
        </w:rPr>
        <w:t xml:space="preserve">het voorgaande </w:t>
      </w:r>
      <w:r w:rsidR="00BE5BD6" w:rsidRPr="00484DAF">
        <w:rPr>
          <w:sz w:val="24"/>
          <w:szCs w:val="24"/>
        </w:rPr>
        <w:t>heeft plaatsgevonden.</w:t>
      </w:r>
      <w:r w:rsidR="00CA125F" w:rsidRPr="00484DAF">
        <w:rPr>
          <w:rStyle w:val="Voetnootmarkering"/>
          <w:sz w:val="24"/>
          <w:szCs w:val="24"/>
        </w:rPr>
        <w:footnoteReference w:id="220"/>
      </w:r>
      <w:r w:rsidR="008A73AF" w:rsidRPr="00484DAF">
        <w:rPr>
          <w:sz w:val="24"/>
          <w:szCs w:val="24"/>
        </w:rPr>
        <w:t xml:space="preserve"> </w:t>
      </w:r>
      <w:r w:rsidR="00CA125F" w:rsidRPr="00484DAF">
        <w:rPr>
          <w:sz w:val="24"/>
          <w:szCs w:val="24"/>
        </w:rPr>
        <w:t>Het Hof oordeelt dat de verwijdering van funderingen, anders dan de sloop van opstallen, als een bewerking van een perceel kan worden beschouwd indien wordt voldaan aan het vereiste van de laatste zinsnede van artikel 11, lid 4 Wet OB 1968</w:t>
      </w:r>
      <w:r w:rsidR="00055FA2" w:rsidRPr="00484DAF">
        <w:rPr>
          <w:sz w:val="24"/>
          <w:szCs w:val="24"/>
        </w:rPr>
        <w:t xml:space="preserve">, namelijk dat </w:t>
      </w:r>
      <w:r w:rsidR="00CA125F" w:rsidRPr="00484DAF">
        <w:rPr>
          <w:sz w:val="24"/>
          <w:szCs w:val="24"/>
        </w:rPr>
        <w:t>de bewerking heeft plaatsgevonden met het oog op de bebouwing van de grond.</w:t>
      </w:r>
      <w:r w:rsidR="007B7863" w:rsidRPr="00484DAF">
        <w:rPr>
          <w:rStyle w:val="Voetnootmarkering"/>
          <w:sz w:val="24"/>
          <w:szCs w:val="24"/>
        </w:rPr>
        <w:footnoteReference w:id="221"/>
      </w:r>
      <w:r w:rsidR="007B7863" w:rsidRPr="00484DAF">
        <w:rPr>
          <w:sz w:val="24"/>
          <w:szCs w:val="24"/>
        </w:rPr>
        <w:t xml:space="preserve"> Nu geen van beide partijen wist in welk kader sloop en verwijdering van de fundering heeft plaatsgevonden, is aan het oogmerk niet voldaan.</w:t>
      </w:r>
    </w:p>
    <w:p w:rsidR="00557A1F" w:rsidRPr="00484DAF" w:rsidRDefault="00557A1F" w:rsidP="00CC552D">
      <w:pPr>
        <w:pStyle w:val="Geenafstand"/>
        <w:spacing w:line="360" w:lineRule="auto"/>
        <w:rPr>
          <w:sz w:val="24"/>
          <w:szCs w:val="24"/>
        </w:rPr>
      </w:pPr>
    </w:p>
    <w:p w:rsidR="00534617" w:rsidRPr="00484DAF" w:rsidRDefault="00534617" w:rsidP="00CC552D">
      <w:pPr>
        <w:pStyle w:val="Kop2"/>
        <w:spacing w:before="0" w:line="360" w:lineRule="auto"/>
        <w:rPr>
          <w:rFonts w:ascii="Times New Roman" w:hAnsi="Times New Roman"/>
          <w:color w:val="auto"/>
          <w:sz w:val="24"/>
          <w:szCs w:val="24"/>
        </w:rPr>
      </w:pPr>
      <w:bookmarkStart w:id="96" w:name="_Toc254043949"/>
      <w:r w:rsidRPr="00484DAF">
        <w:rPr>
          <w:rFonts w:ascii="Times New Roman" w:hAnsi="Times New Roman"/>
          <w:color w:val="auto"/>
          <w:sz w:val="24"/>
          <w:szCs w:val="24"/>
        </w:rPr>
        <w:t>5.2.3 Verkeerde uitleg</w:t>
      </w:r>
      <w:bookmarkEnd w:id="96"/>
    </w:p>
    <w:p w:rsidR="00572960" w:rsidRPr="00484DAF" w:rsidRDefault="00966EB6" w:rsidP="00CC552D">
      <w:pPr>
        <w:spacing w:after="0" w:line="360" w:lineRule="auto"/>
        <w:rPr>
          <w:sz w:val="24"/>
          <w:szCs w:val="24"/>
        </w:rPr>
      </w:pPr>
      <w:r w:rsidRPr="00484DAF">
        <w:rPr>
          <w:sz w:val="24"/>
          <w:szCs w:val="24"/>
        </w:rPr>
        <w:t xml:space="preserve">De alternatieve uitleg van het Jeugdhonkarrest met nadruk op de veiligheidsoverwegingen </w:t>
      </w:r>
      <w:r w:rsidR="00AF03CA" w:rsidRPr="00484DAF">
        <w:rPr>
          <w:sz w:val="24"/>
          <w:szCs w:val="24"/>
        </w:rPr>
        <w:t xml:space="preserve">dient echter niet te worden overdreven. Zo gebruikte </w:t>
      </w:r>
      <w:r w:rsidRPr="00484DAF">
        <w:rPr>
          <w:sz w:val="24"/>
          <w:szCs w:val="24"/>
        </w:rPr>
        <w:t>Hof Den Bosch</w:t>
      </w:r>
      <w:r w:rsidRPr="00484DAF">
        <w:rPr>
          <w:rStyle w:val="Voetnootmarkering"/>
          <w:sz w:val="24"/>
          <w:szCs w:val="24"/>
        </w:rPr>
        <w:footnoteReference w:id="222"/>
      </w:r>
      <w:r w:rsidRPr="00484DAF">
        <w:rPr>
          <w:sz w:val="24"/>
          <w:szCs w:val="24"/>
        </w:rPr>
        <w:t xml:space="preserve"> </w:t>
      </w:r>
      <w:r w:rsidR="00AF03CA" w:rsidRPr="00484DAF">
        <w:rPr>
          <w:sz w:val="24"/>
          <w:szCs w:val="24"/>
        </w:rPr>
        <w:t xml:space="preserve">het arrest </w:t>
      </w:r>
      <w:r w:rsidR="008A73AF" w:rsidRPr="00484DAF">
        <w:rPr>
          <w:sz w:val="24"/>
          <w:szCs w:val="24"/>
        </w:rPr>
        <w:t xml:space="preserve">onjuist </w:t>
      </w:r>
      <w:r w:rsidR="00AF03CA" w:rsidRPr="00484DAF">
        <w:rPr>
          <w:sz w:val="24"/>
          <w:szCs w:val="24"/>
        </w:rPr>
        <w:t>in de volgende casus</w:t>
      </w:r>
      <w:r w:rsidRPr="00484DAF">
        <w:rPr>
          <w:sz w:val="24"/>
          <w:szCs w:val="24"/>
        </w:rPr>
        <w:t xml:space="preserve">. </w:t>
      </w:r>
      <w:r w:rsidR="00DD0210" w:rsidRPr="00484DAF">
        <w:rPr>
          <w:sz w:val="24"/>
          <w:szCs w:val="24"/>
        </w:rPr>
        <w:t xml:space="preserve">De gemeente levert twee kavels, welke voor de levering </w:t>
      </w:r>
      <w:r w:rsidR="00C10907" w:rsidRPr="00484DAF">
        <w:rPr>
          <w:sz w:val="24"/>
          <w:szCs w:val="24"/>
        </w:rPr>
        <w:t xml:space="preserve">door sloop </w:t>
      </w:r>
      <w:r w:rsidR="00DD0210" w:rsidRPr="00484DAF">
        <w:rPr>
          <w:sz w:val="24"/>
          <w:szCs w:val="24"/>
        </w:rPr>
        <w:t>ontdaan zijn van de omheining, betonnen vijver, dierenverblijf, opslagschuur</w:t>
      </w:r>
      <w:r w:rsidR="00425FCE" w:rsidRPr="00484DAF">
        <w:rPr>
          <w:sz w:val="24"/>
          <w:szCs w:val="24"/>
        </w:rPr>
        <w:t xml:space="preserve">, </w:t>
      </w:r>
      <w:r w:rsidR="00DD0210" w:rsidRPr="00484DAF">
        <w:rPr>
          <w:sz w:val="24"/>
          <w:szCs w:val="24"/>
        </w:rPr>
        <w:t>losse materialen</w:t>
      </w:r>
      <w:r w:rsidR="00425FCE" w:rsidRPr="00484DAF">
        <w:rPr>
          <w:sz w:val="24"/>
          <w:szCs w:val="24"/>
        </w:rPr>
        <w:t xml:space="preserve"> waarna geëgaliseerd is</w:t>
      </w:r>
      <w:r w:rsidR="00DD0210" w:rsidRPr="00484DAF">
        <w:rPr>
          <w:sz w:val="24"/>
          <w:szCs w:val="24"/>
        </w:rPr>
        <w:t>, aan particulieren. In geschil is of hier sprake is van levering van een bouwterrein.</w:t>
      </w:r>
      <w:r w:rsidR="00C10907" w:rsidRPr="00484DAF">
        <w:rPr>
          <w:sz w:val="24"/>
          <w:szCs w:val="24"/>
        </w:rPr>
        <w:t xml:space="preserve"> H</w:t>
      </w:r>
      <w:r w:rsidR="00C123F3" w:rsidRPr="00484DAF">
        <w:rPr>
          <w:sz w:val="24"/>
          <w:szCs w:val="24"/>
        </w:rPr>
        <w:t>of Den Bosch overweegt dat de</w:t>
      </w:r>
      <w:r w:rsidR="0078220D" w:rsidRPr="00484DAF">
        <w:rPr>
          <w:sz w:val="24"/>
          <w:szCs w:val="24"/>
        </w:rPr>
        <w:t xml:space="preserve"> genoemde</w:t>
      </w:r>
      <w:r w:rsidR="00C123F3" w:rsidRPr="00484DAF">
        <w:rPr>
          <w:sz w:val="24"/>
          <w:szCs w:val="24"/>
        </w:rPr>
        <w:t xml:space="preserve"> sloop</w:t>
      </w:r>
      <w:r w:rsidR="00425FCE" w:rsidRPr="00484DAF">
        <w:rPr>
          <w:sz w:val="24"/>
          <w:szCs w:val="24"/>
        </w:rPr>
        <w:t>- en egalisatie</w:t>
      </w:r>
      <w:r w:rsidR="00C123F3" w:rsidRPr="00484DAF">
        <w:rPr>
          <w:sz w:val="24"/>
          <w:szCs w:val="24"/>
        </w:rPr>
        <w:t xml:space="preserve">werkzaamheden </w:t>
      </w:r>
      <w:r w:rsidR="00C123F3" w:rsidRPr="00484DAF">
        <w:rPr>
          <w:sz w:val="24"/>
          <w:szCs w:val="24"/>
        </w:rPr>
        <w:lastRenderedPageBreak/>
        <w:t xml:space="preserve">worden aangemerkt als bewerkingen aan onbebouwde grond. </w:t>
      </w:r>
      <w:r w:rsidR="00DC5A93" w:rsidRPr="00484DAF">
        <w:rPr>
          <w:sz w:val="24"/>
          <w:szCs w:val="24"/>
        </w:rPr>
        <w:t xml:space="preserve">Met </w:t>
      </w:r>
      <w:r w:rsidR="00DC5A93" w:rsidRPr="00484DAF">
        <w:rPr>
          <w:i/>
          <w:sz w:val="24"/>
          <w:szCs w:val="24"/>
        </w:rPr>
        <w:t>Tielemans</w:t>
      </w:r>
      <w:r w:rsidR="00DC5A93" w:rsidRPr="00484DAF">
        <w:rPr>
          <w:rStyle w:val="Voetnootmarkering"/>
          <w:i/>
          <w:sz w:val="24"/>
          <w:szCs w:val="24"/>
        </w:rPr>
        <w:footnoteReference w:id="223"/>
      </w:r>
      <w:r w:rsidR="00DC5A93" w:rsidRPr="00484DAF">
        <w:rPr>
          <w:i/>
          <w:sz w:val="24"/>
          <w:szCs w:val="24"/>
        </w:rPr>
        <w:t xml:space="preserve"> </w:t>
      </w:r>
      <w:r w:rsidR="00DC5A93" w:rsidRPr="00484DAF">
        <w:rPr>
          <w:sz w:val="24"/>
          <w:szCs w:val="24"/>
        </w:rPr>
        <w:t xml:space="preserve">ben ik het eens dat egalisatiewerkzaamheden wel onder bewerkingen aan de grond kunnen worden geschaard. Dit soort werkzaamheden vallen onder de door </w:t>
      </w:r>
      <w:r w:rsidR="00F35A74" w:rsidRPr="00484DAF">
        <w:rPr>
          <w:sz w:val="24"/>
          <w:szCs w:val="24"/>
        </w:rPr>
        <w:t>staatssecretaris</w:t>
      </w:r>
      <w:r w:rsidR="00DC5A93" w:rsidRPr="00484DAF">
        <w:rPr>
          <w:sz w:val="24"/>
          <w:szCs w:val="24"/>
        </w:rPr>
        <w:t xml:space="preserve"> bedoelde fysieke handelingen met betrekking tot de grond. Sloopwerkzaamheden echter </w:t>
      </w:r>
      <w:r w:rsidR="00290A3F" w:rsidRPr="00484DAF">
        <w:rPr>
          <w:sz w:val="24"/>
          <w:szCs w:val="24"/>
        </w:rPr>
        <w:t xml:space="preserve">zijn enkel bedoeld om ruimte te maken voor nieuwbouw en is geen bewerking met het oog op bebouwing. </w:t>
      </w:r>
      <w:r w:rsidR="00DC5A93" w:rsidRPr="00484DAF">
        <w:rPr>
          <w:sz w:val="24"/>
          <w:szCs w:val="24"/>
        </w:rPr>
        <w:t>Het Jeugdhonkarrest wordt in voornoemde uitspraak door Hof Den Bosch erbij aangehaald, omdat á contrario hetgeen de gemeente betoog</w:t>
      </w:r>
      <w:r w:rsidR="00091FBE" w:rsidRPr="00484DAF">
        <w:rPr>
          <w:sz w:val="24"/>
          <w:szCs w:val="24"/>
        </w:rPr>
        <w:t>d</w:t>
      </w:r>
      <w:r w:rsidR="00DC5A93" w:rsidRPr="00484DAF">
        <w:rPr>
          <w:sz w:val="24"/>
          <w:szCs w:val="24"/>
        </w:rPr>
        <w:t xml:space="preserve">, geen sprake is van een dergelijke </w:t>
      </w:r>
      <w:r w:rsidR="00DC5A93" w:rsidRPr="00484DAF">
        <w:rPr>
          <w:i/>
          <w:sz w:val="24"/>
          <w:szCs w:val="24"/>
        </w:rPr>
        <w:t>‘bijzondere situatie’</w:t>
      </w:r>
      <w:r w:rsidR="00DC5A93" w:rsidRPr="00484DAF">
        <w:rPr>
          <w:rStyle w:val="Voetnootmarkering"/>
          <w:i/>
          <w:sz w:val="24"/>
          <w:szCs w:val="24"/>
        </w:rPr>
        <w:footnoteReference w:id="224"/>
      </w:r>
      <w:r w:rsidR="00DC5A93" w:rsidRPr="00484DAF">
        <w:rPr>
          <w:sz w:val="24"/>
          <w:szCs w:val="24"/>
        </w:rPr>
        <w:t xml:space="preserve"> uit veiligheidsoverwegingen.</w:t>
      </w:r>
      <w:r w:rsidR="001139E7" w:rsidRPr="00484DAF">
        <w:rPr>
          <w:sz w:val="24"/>
          <w:szCs w:val="24"/>
        </w:rPr>
        <w:t xml:space="preserve"> </w:t>
      </w:r>
      <w:r w:rsidR="00425FCE" w:rsidRPr="00484DAF">
        <w:rPr>
          <w:sz w:val="24"/>
          <w:szCs w:val="24"/>
        </w:rPr>
        <w:t xml:space="preserve">Deze </w:t>
      </w:r>
      <w:r w:rsidR="00DD0210" w:rsidRPr="00484DAF">
        <w:rPr>
          <w:sz w:val="24"/>
          <w:szCs w:val="24"/>
        </w:rPr>
        <w:t>uitspraak van Hof Den Bosch kan echter beter worden gezien als de uitzondering die d</w:t>
      </w:r>
      <w:r w:rsidR="009A2FBC" w:rsidRPr="00484DAF">
        <w:rPr>
          <w:sz w:val="24"/>
          <w:szCs w:val="24"/>
        </w:rPr>
        <w:t>e regel bevestigt</w:t>
      </w:r>
      <w:r w:rsidR="00425FCE" w:rsidRPr="00484DAF">
        <w:rPr>
          <w:sz w:val="24"/>
          <w:szCs w:val="24"/>
        </w:rPr>
        <w:t xml:space="preserve"> en niet tot recht worden verheven</w:t>
      </w:r>
      <w:r w:rsidR="00DD0210" w:rsidRPr="00484DAF">
        <w:rPr>
          <w:sz w:val="24"/>
          <w:szCs w:val="24"/>
        </w:rPr>
        <w:t>.</w:t>
      </w:r>
      <w:r w:rsidR="00C10907" w:rsidRPr="00484DAF">
        <w:rPr>
          <w:rStyle w:val="Voetnootmarkering"/>
          <w:sz w:val="24"/>
          <w:szCs w:val="24"/>
        </w:rPr>
        <w:footnoteReference w:id="225"/>
      </w:r>
    </w:p>
    <w:p w:rsidR="00557A1F" w:rsidRPr="00484DAF" w:rsidRDefault="00557A1F" w:rsidP="00CC552D">
      <w:pPr>
        <w:pStyle w:val="Geenafstand"/>
        <w:spacing w:line="360" w:lineRule="auto"/>
        <w:rPr>
          <w:sz w:val="24"/>
          <w:szCs w:val="24"/>
        </w:rPr>
      </w:pPr>
    </w:p>
    <w:p w:rsidR="005C0A7F" w:rsidRPr="00484DAF" w:rsidRDefault="005C0A7F" w:rsidP="00CC552D">
      <w:pPr>
        <w:pStyle w:val="Kop2"/>
        <w:spacing w:before="0" w:line="360" w:lineRule="auto"/>
        <w:rPr>
          <w:rFonts w:ascii="Times New Roman" w:hAnsi="Times New Roman"/>
          <w:color w:val="auto"/>
          <w:sz w:val="24"/>
          <w:szCs w:val="24"/>
        </w:rPr>
      </w:pPr>
      <w:bookmarkStart w:id="97" w:name="_Toc254043950"/>
      <w:r w:rsidRPr="00484DAF">
        <w:rPr>
          <w:rFonts w:ascii="Times New Roman" w:hAnsi="Times New Roman"/>
          <w:color w:val="auto"/>
          <w:sz w:val="24"/>
          <w:szCs w:val="24"/>
        </w:rPr>
        <w:t>5.</w:t>
      </w:r>
      <w:r w:rsidR="0011030A" w:rsidRPr="00484DAF">
        <w:rPr>
          <w:rFonts w:ascii="Times New Roman" w:hAnsi="Times New Roman"/>
          <w:color w:val="auto"/>
          <w:sz w:val="24"/>
          <w:szCs w:val="24"/>
        </w:rPr>
        <w:t>2</w:t>
      </w:r>
      <w:r w:rsidR="00534617" w:rsidRPr="00484DAF">
        <w:rPr>
          <w:rFonts w:ascii="Times New Roman" w:hAnsi="Times New Roman"/>
          <w:color w:val="auto"/>
          <w:sz w:val="24"/>
          <w:szCs w:val="24"/>
        </w:rPr>
        <w:t>.4 Twee wegen leiden naar bouwterrein</w:t>
      </w:r>
      <w:bookmarkEnd w:id="97"/>
    </w:p>
    <w:p w:rsidR="001A6B0E" w:rsidRPr="00484DAF" w:rsidRDefault="00A109AC" w:rsidP="00CC552D">
      <w:pPr>
        <w:spacing w:after="0" w:line="360" w:lineRule="auto"/>
        <w:rPr>
          <w:sz w:val="24"/>
          <w:szCs w:val="24"/>
        </w:rPr>
      </w:pPr>
      <w:r w:rsidRPr="00484DAF">
        <w:rPr>
          <w:i/>
          <w:sz w:val="24"/>
          <w:szCs w:val="24"/>
        </w:rPr>
        <w:t>Nieuwenhuizen</w:t>
      </w:r>
      <w:r w:rsidRPr="00484DAF">
        <w:rPr>
          <w:rStyle w:val="Voetnootmarkering"/>
          <w:i/>
          <w:sz w:val="24"/>
          <w:szCs w:val="24"/>
        </w:rPr>
        <w:footnoteReference w:id="226"/>
      </w:r>
      <w:r w:rsidRPr="00484DAF">
        <w:rPr>
          <w:sz w:val="24"/>
          <w:szCs w:val="24"/>
        </w:rPr>
        <w:t xml:space="preserve"> vindt </w:t>
      </w:r>
      <w:r w:rsidR="001139E7" w:rsidRPr="00484DAF">
        <w:rPr>
          <w:sz w:val="24"/>
          <w:szCs w:val="24"/>
        </w:rPr>
        <w:t xml:space="preserve">in zijn aantekening bij </w:t>
      </w:r>
      <w:r w:rsidR="00534617" w:rsidRPr="00484DAF">
        <w:rPr>
          <w:sz w:val="24"/>
          <w:szCs w:val="24"/>
        </w:rPr>
        <w:t>het Jeugdhonk</w:t>
      </w:r>
      <w:r w:rsidR="001139E7" w:rsidRPr="00484DAF">
        <w:rPr>
          <w:sz w:val="24"/>
          <w:szCs w:val="24"/>
        </w:rPr>
        <w:t xml:space="preserve">arrest </w:t>
      </w:r>
      <w:r w:rsidRPr="00484DAF">
        <w:rPr>
          <w:sz w:val="24"/>
          <w:szCs w:val="24"/>
        </w:rPr>
        <w:t xml:space="preserve">dat de </w:t>
      </w:r>
      <w:r w:rsidR="005C0A7F" w:rsidRPr="00484DAF">
        <w:rPr>
          <w:sz w:val="24"/>
          <w:szCs w:val="24"/>
        </w:rPr>
        <w:t>bedoeling van de gemeente te ver wordt gezocht, omdat zijns inziens naar maatschappelijke opvattingen sprake is van een bouwterrein</w:t>
      </w:r>
      <w:r w:rsidR="00C071DC" w:rsidRPr="00484DAF">
        <w:rPr>
          <w:sz w:val="24"/>
          <w:szCs w:val="24"/>
        </w:rPr>
        <w:t xml:space="preserve"> dat wordt geleverd</w:t>
      </w:r>
      <w:r w:rsidR="005C0A7F" w:rsidRPr="00484DAF">
        <w:rPr>
          <w:sz w:val="24"/>
          <w:szCs w:val="24"/>
        </w:rPr>
        <w:t>. De oplossing</w:t>
      </w:r>
      <w:r w:rsidR="00323320" w:rsidRPr="00484DAF">
        <w:rPr>
          <w:rStyle w:val="Voetnootmarkering"/>
          <w:sz w:val="24"/>
          <w:szCs w:val="24"/>
        </w:rPr>
        <w:footnoteReference w:id="227"/>
      </w:r>
      <w:r w:rsidR="005C0A7F" w:rsidRPr="00484DAF">
        <w:rPr>
          <w:sz w:val="24"/>
          <w:szCs w:val="24"/>
        </w:rPr>
        <w:t xml:space="preserve"> die hij voor vergelijkbare problematiek ziet, is eerst na de sloop een bouwvergunning aanvragen en daarna pas leveren opdat is voldaan aan het criterium van artikel 11, lid 4, onderdeel d Wet OB 1968.</w:t>
      </w:r>
      <w:r w:rsidR="00534617" w:rsidRPr="00484DAF">
        <w:rPr>
          <w:sz w:val="24"/>
          <w:szCs w:val="24"/>
        </w:rPr>
        <w:t xml:space="preserve"> </w:t>
      </w:r>
      <w:r w:rsidR="00EA530F" w:rsidRPr="00484DAF">
        <w:rPr>
          <w:sz w:val="24"/>
          <w:szCs w:val="24"/>
        </w:rPr>
        <w:t xml:space="preserve">Hoewel dit uit praktisch oogpunt het enige juiste is, zullen projectontwikkelaars </w:t>
      </w:r>
      <w:r w:rsidR="005C0296" w:rsidRPr="00484DAF">
        <w:rPr>
          <w:sz w:val="24"/>
          <w:szCs w:val="24"/>
        </w:rPr>
        <w:t>te allen tijden</w:t>
      </w:r>
      <w:r w:rsidR="00EA530F" w:rsidRPr="00484DAF">
        <w:rPr>
          <w:sz w:val="24"/>
          <w:szCs w:val="24"/>
        </w:rPr>
        <w:t xml:space="preserve"> proberen reeds in een eerder stadium de samenloopvrijstelling uit de overdrachtsbelasting te claimen. Een minder vergezochte bedoeling ten tijde van een levering lijkt me daarbij gerechtvaardigd. Overigens v</w:t>
      </w:r>
      <w:r w:rsidR="00534617" w:rsidRPr="00484DAF">
        <w:rPr>
          <w:sz w:val="24"/>
          <w:szCs w:val="24"/>
        </w:rPr>
        <w:t xml:space="preserve">alt </w:t>
      </w:r>
      <w:r w:rsidR="00EA530F" w:rsidRPr="00484DAF">
        <w:rPr>
          <w:sz w:val="24"/>
          <w:szCs w:val="24"/>
        </w:rPr>
        <w:t xml:space="preserve">het op dat behalve door </w:t>
      </w:r>
      <w:r w:rsidR="00EA530F" w:rsidRPr="00484DAF">
        <w:rPr>
          <w:i/>
          <w:sz w:val="24"/>
          <w:szCs w:val="24"/>
        </w:rPr>
        <w:t>Nieuwenhuizen</w:t>
      </w:r>
      <w:r w:rsidR="00EA530F" w:rsidRPr="00484DAF">
        <w:rPr>
          <w:sz w:val="24"/>
          <w:szCs w:val="24"/>
        </w:rPr>
        <w:t xml:space="preserve"> in </w:t>
      </w:r>
      <w:r w:rsidR="00B05E0F" w:rsidRPr="00484DAF">
        <w:rPr>
          <w:sz w:val="24"/>
          <w:szCs w:val="24"/>
        </w:rPr>
        <w:t xml:space="preserve">de bestudeerde literatuur </w:t>
      </w:r>
      <w:r w:rsidR="00534617" w:rsidRPr="00484DAF">
        <w:rPr>
          <w:sz w:val="24"/>
          <w:szCs w:val="24"/>
        </w:rPr>
        <w:t>nergens wordt aangehaald</w:t>
      </w:r>
      <w:r w:rsidR="00B05E0F" w:rsidRPr="00484DAF">
        <w:rPr>
          <w:sz w:val="24"/>
          <w:szCs w:val="24"/>
        </w:rPr>
        <w:t>,</w:t>
      </w:r>
      <w:r w:rsidR="00534617" w:rsidRPr="00484DAF">
        <w:rPr>
          <w:sz w:val="24"/>
          <w:szCs w:val="24"/>
        </w:rPr>
        <w:t xml:space="preserve"> </w:t>
      </w:r>
      <w:r w:rsidR="00B05E0F" w:rsidRPr="00484DAF">
        <w:rPr>
          <w:sz w:val="24"/>
          <w:szCs w:val="24"/>
        </w:rPr>
        <w:t xml:space="preserve">dat </w:t>
      </w:r>
      <w:r w:rsidR="00EA530F" w:rsidRPr="00484DAF">
        <w:rPr>
          <w:sz w:val="24"/>
          <w:szCs w:val="24"/>
        </w:rPr>
        <w:t xml:space="preserve">in het Jeugdhonkarrest </w:t>
      </w:r>
      <w:r w:rsidR="00534617" w:rsidRPr="00484DAF">
        <w:rPr>
          <w:sz w:val="24"/>
          <w:szCs w:val="24"/>
        </w:rPr>
        <w:t xml:space="preserve">reeds </w:t>
      </w:r>
      <w:r w:rsidR="00EA530F" w:rsidRPr="00484DAF">
        <w:rPr>
          <w:sz w:val="24"/>
          <w:szCs w:val="24"/>
        </w:rPr>
        <w:t xml:space="preserve">is </w:t>
      </w:r>
      <w:r w:rsidR="00534617" w:rsidRPr="00484DAF">
        <w:rPr>
          <w:sz w:val="24"/>
          <w:szCs w:val="24"/>
        </w:rPr>
        <w:t>vastgesteld door het Hof en overgenomen door de Hoge Raad</w:t>
      </w:r>
      <w:r w:rsidR="00B05E0F" w:rsidRPr="00484DAF">
        <w:rPr>
          <w:sz w:val="24"/>
          <w:szCs w:val="24"/>
        </w:rPr>
        <w:t>,</w:t>
      </w:r>
      <w:r w:rsidR="00534617" w:rsidRPr="00484DAF">
        <w:rPr>
          <w:sz w:val="24"/>
          <w:szCs w:val="24"/>
        </w:rPr>
        <w:t xml:space="preserve"> </w:t>
      </w:r>
      <w:r w:rsidR="007E5C0C" w:rsidRPr="00484DAF">
        <w:rPr>
          <w:sz w:val="24"/>
          <w:szCs w:val="24"/>
        </w:rPr>
        <w:t xml:space="preserve">dat </w:t>
      </w:r>
      <w:r w:rsidR="00534617" w:rsidRPr="00484DAF">
        <w:rPr>
          <w:sz w:val="24"/>
          <w:szCs w:val="24"/>
        </w:rPr>
        <w:t>de gemeente verkaveling, ve</w:t>
      </w:r>
      <w:r w:rsidR="00EA530F" w:rsidRPr="00484DAF">
        <w:rPr>
          <w:sz w:val="24"/>
          <w:szCs w:val="24"/>
        </w:rPr>
        <w:t xml:space="preserve">rkoop en bebouwing </w:t>
      </w:r>
      <w:r w:rsidR="003052DF" w:rsidRPr="00484DAF">
        <w:rPr>
          <w:sz w:val="24"/>
          <w:szCs w:val="24"/>
        </w:rPr>
        <w:t xml:space="preserve">van woningen voor particulieren voor ogen had. Daarnaast </w:t>
      </w:r>
      <w:r w:rsidR="00534617" w:rsidRPr="00484DAF">
        <w:rPr>
          <w:sz w:val="24"/>
          <w:szCs w:val="24"/>
        </w:rPr>
        <w:t xml:space="preserve">zou ik de discussie willen aangaan of opvulling van ontstane gaten in plaats van als laatste sloophandeling niet kan worden gezien als eerste handeling tot bebouwing. </w:t>
      </w:r>
      <w:r w:rsidR="0054190C" w:rsidRPr="00484DAF">
        <w:rPr>
          <w:sz w:val="24"/>
          <w:szCs w:val="24"/>
        </w:rPr>
        <w:t xml:space="preserve">Samenvattend, </w:t>
      </w:r>
      <w:r w:rsidR="00B05E0F" w:rsidRPr="00484DAF">
        <w:rPr>
          <w:sz w:val="24"/>
          <w:szCs w:val="24"/>
        </w:rPr>
        <w:t xml:space="preserve">bestaan </w:t>
      </w:r>
      <w:r w:rsidR="0054190C" w:rsidRPr="00484DAF">
        <w:rPr>
          <w:sz w:val="24"/>
          <w:szCs w:val="24"/>
        </w:rPr>
        <w:t>twee wegen die naar een bouwterrein leiden, namelijk</w:t>
      </w:r>
      <w:r w:rsidR="00285A07" w:rsidRPr="00484DAF">
        <w:rPr>
          <w:sz w:val="24"/>
          <w:szCs w:val="24"/>
        </w:rPr>
        <w:t>: voll</w:t>
      </w:r>
      <w:r w:rsidR="007E5C0C" w:rsidRPr="00484DAF">
        <w:rPr>
          <w:sz w:val="24"/>
          <w:szCs w:val="24"/>
        </w:rPr>
        <w:t xml:space="preserve">edige sloop met </w:t>
      </w:r>
      <w:r w:rsidR="00285A07" w:rsidRPr="00484DAF">
        <w:rPr>
          <w:sz w:val="24"/>
          <w:szCs w:val="24"/>
        </w:rPr>
        <w:t>vervolgens (een</w:t>
      </w:r>
      <w:r w:rsidR="0054190C" w:rsidRPr="00484DAF">
        <w:rPr>
          <w:sz w:val="24"/>
          <w:szCs w:val="24"/>
        </w:rPr>
        <w:t>) bewerking</w:t>
      </w:r>
      <w:r w:rsidR="007E5C0C" w:rsidRPr="00484DAF">
        <w:rPr>
          <w:sz w:val="24"/>
          <w:szCs w:val="24"/>
        </w:rPr>
        <w:t>(en)</w:t>
      </w:r>
      <w:r w:rsidR="0054190C" w:rsidRPr="00484DAF">
        <w:rPr>
          <w:sz w:val="24"/>
          <w:szCs w:val="24"/>
        </w:rPr>
        <w:t xml:space="preserve"> of sloop met het oog op bebouwing.</w:t>
      </w:r>
    </w:p>
    <w:p w:rsidR="003052DF" w:rsidRPr="00484DAF" w:rsidRDefault="003052DF" w:rsidP="00CC552D">
      <w:pPr>
        <w:pStyle w:val="Geenafstand"/>
        <w:spacing w:line="360" w:lineRule="auto"/>
        <w:rPr>
          <w:sz w:val="24"/>
          <w:szCs w:val="24"/>
        </w:rPr>
      </w:pPr>
    </w:p>
    <w:p w:rsidR="00B9752E" w:rsidRPr="00484DAF" w:rsidRDefault="00B9752E" w:rsidP="00CC552D">
      <w:pPr>
        <w:pStyle w:val="Kop1"/>
        <w:spacing w:before="0" w:line="360" w:lineRule="auto"/>
        <w:rPr>
          <w:rFonts w:ascii="Times New Roman" w:hAnsi="Times New Roman"/>
          <w:color w:val="auto"/>
          <w:sz w:val="24"/>
          <w:szCs w:val="24"/>
        </w:rPr>
      </w:pPr>
      <w:bookmarkStart w:id="98" w:name="_Toc254043951"/>
      <w:r w:rsidRPr="00484DAF">
        <w:rPr>
          <w:rFonts w:ascii="Times New Roman" w:hAnsi="Times New Roman"/>
          <w:color w:val="auto"/>
          <w:sz w:val="24"/>
          <w:szCs w:val="24"/>
        </w:rPr>
        <w:t>5.3 Status Jeugdhonkarrest binnen recente jurisprudentie</w:t>
      </w:r>
      <w:bookmarkEnd w:id="98"/>
    </w:p>
    <w:p w:rsidR="00B9752E" w:rsidRPr="00484DAF" w:rsidRDefault="00FF0E92" w:rsidP="00CC552D">
      <w:pPr>
        <w:spacing w:after="0" w:line="360" w:lineRule="auto"/>
        <w:rPr>
          <w:sz w:val="24"/>
          <w:szCs w:val="24"/>
        </w:rPr>
      </w:pPr>
      <w:r w:rsidRPr="00484DAF">
        <w:rPr>
          <w:sz w:val="24"/>
          <w:szCs w:val="24"/>
        </w:rPr>
        <w:t xml:space="preserve">Gezien het dynamische karakter van jurisprudentie, werpt zich de vraag op of het hierboven besproken Jeugdhonkarrest nog steeds maatgevend </w:t>
      </w:r>
      <w:r w:rsidR="003052DF" w:rsidRPr="00484DAF">
        <w:rPr>
          <w:sz w:val="24"/>
          <w:szCs w:val="24"/>
        </w:rPr>
        <w:t xml:space="preserve">is </w:t>
      </w:r>
      <w:r w:rsidRPr="00484DAF">
        <w:rPr>
          <w:sz w:val="24"/>
          <w:szCs w:val="24"/>
        </w:rPr>
        <w:t>voor de fiscale praktijk. Recent</w:t>
      </w:r>
      <w:r w:rsidR="00B05E0F" w:rsidRPr="00484DAF">
        <w:rPr>
          <w:sz w:val="24"/>
          <w:szCs w:val="24"/>
        </w:rPr>
        <w:t>elijk</w:t>
      </w:r>
      <w:r w:rsidRPr="00484DAF">
        <w:rPr>
          <w:sz w:val="24"/>
          <w:szCs w:val="24"/>
        </w:rPr>
        <w:t xml:space="preserve"> zijn twee arresten </w:t>
      </w:r>
      <w:r w:rsidR="00A4580F" w:rsidRPr="00484DAF">
        <w:rPr>
          <w:sz w:val="24"/>
          <w:szCs w:val="24"/>
        </w:rPr>
        <w:t xml:space="preserve">op 14 november 2008 </w:t>
      </w:r>
      <w:r w:rsidRPr="00484DAF">
        <w:rPr>
          <w:sz w:val="24"/>
          <w:szCs w:val="24"/>
        </w:rPr>
        <w:t>gewezen die beiden handelen over de vraag of sloophandelingen leiden tot vervaardiging.</w:t>
      </w:r>
    </w:p>
    <w:p w:rsidR="00557A1F" w:rsidRPr="00484DAF" w:rsidRDefault="00557A1F" w:rsidP="00CC552D">
      <w:pPr>
        <w:pStyle w:val="Geenafstand"/>
        <w:spacing w:line="360" w:lineRule="auto"/>
        <w:rPr>
          <w:sz w:val="24"/>
          <w:szCs w:val="24"/>
        </w:rPr>
      </w:pPr>
    </w:p>
    <w:p w:rsidR="00FF0E92" w:rsidRPr="00484DAF" w:rsidRDefault="00FF0E92" w:rsidP="00CC552D">
      <w:pPr>
        <w:pStyle w:val="Kop2"/>
        <w:spacing w:before="0" w:line="360" w:lineRule="auto"/>
        <w:rPr>
          <w:rFonts w:ascii="Times New Roman" w:hAnsi="Times New Roman"/>
          <w:color w:val="auto"/>
          <w:sz w:val="24"/>
          <w:szCs w:val="24"/>
        </w:rPr>
      </w:pPr>
      <w:bookmarkStart w:id="99" w:name="_Toc254043952"/>
      <w:r w:rsidRPr="00484DAF">
        <w:rPr>
          <w:rFonts w:ascii="Times New Roman" w:hAnsi="Times New Roman"/>
          <w:color w:val="auto"/>
          <w:sz w:val="24"/>
          <w:szCs w:val="24"/>
        </w:rPr>
        <w:t xml:space="preserve">5.3.1 </w:t>
      </w:r>
      <w:r w:rsidR="000864FC" w:rsidRPr="00484DAF">
        <w:rPr>
          <w:rFonts w:ascii="Times New Roman" w:hAnsi="Times New Roman"/>
          <w:color w:val="auto"/>
          <w:sz w:val="24"/>
          <w:szCs w:val="24"/>
        </w:rPr>
        <w:t>Gering kaliber egalisatiewerkzaamheden voldoende</w:t>
      </w:r>
      <w:bookmarkEnd w:id="99"/>
    </w:p>
    <w:p w:rsidR="002C5D2D" w:rsidRPr="00484DAF" w:rsidRDefault="00A4580F" w:rsidP="00CC552D">
      <w:pPr>
        <w:spacing w:after="0" w:line="360" w:lineRule="auto"/>
        <w:rPr>
          <w:sz w:val="24"/>
          <w:szCs w:val="24"/>
        </w:rPr>
      </w:pPr>
      <w:r w:rsidRPr="00484DAF">
        <w:rPr>
          <w:sz w:val="24"/>
          <w:szCs w:val="24"/>
        </w:rPr>
        <w:t>Het eerste arrest</w:t>
      </w:r>
      <w:r w:rsidRPr="00484DAF">
        <w:rPr>
          <w:rStyle w:val="Voetnootmarkering"/>
          <w:sz w:val="24"/>
          <w:szCs w:val="24"/>
        </w:rPr>
        <w:footnoteReference w:id="228"/>
      </w:r>
      <w:r w:rsidRPr="00484DAF">
        <w:rPr>
          <w:sz w:val="24"/>
          <w:szCs w:val="24"/>
        </w:rPr>
        <w:t xml:space="preserve"> handelt over een tuinder die zijn</w:t>
      </w:r>
      <w:r w:rsidR="00976CC8" w:rsidRPr="00484DAF">
        <w:rPr>
          <w:sz w:val="24"/>
          <w:szCs w:val="24"/>
        </w:rPr>
        <w:t xml:space="preserve"> </w:t>
      </w:r>
      <w:r w:rsidR="00A55778" w:rsidRPr="00484DAF">
        <w:rPr>
          <w:sz w:val="24"/>
          <w:szCs w:val="24"/>
        </w:rPr>
        <w:t xml:space="preserve">grond op 18 </w:t>
      </w:r>
      <w:r w:rsidR="00976CC8" w:rsidRPr="00484DAF">
        <w:rPr>
          <w:sz w:val="24"/>
          <w:szCs w:val="24"/>
        </w:rPr>
        <w:t xml:space="preserve">april 2002 </w:t>
      </w:r>
      <w:r w:rsidRPr="00484DAF">
        <w:rPr>
          <w:sz w:val="24"/>
          <w:szCs w:val="24"/>
        </w:rPr>
        <w:t xml:space="preserve">verkoopt aan </w:t>
      </w:r>
      <w:r w:rsidR="00185C63" w:rsidRPr="00484DAF">
        <w:rPr>
          <w:sz w:val="24"/>
          <w:szCs w:val="24"/>
        </w:rPr>
        <w:t>een andere tuinder.</w:t>
      </w:r>
      <w:r w:rsidR="00993B10" w:rsidRPr="00484DAF">
        <w:rPr>
          <w:rStyle w:val="Voetnootmarkering"/>
          <w:sz w:val="24"/>
          <w:szCs w:val="24"/>
        </w:rPr>
        <w:t xml:space="preserve"> </w:t>
      </w:r>
      <w:r w:rsidR="00993B10" w:rsidRPr="00484DAF">
        <w:rPr>
          <w:rStyle w:val="Voetnootmarkering"/>
          <w:sz w:val="24"/>
          <w:szCs w:val="24"/>
        </w:rPr>
        <w:footnoteReference w:id="229"/>
      </w:r>
      <w:r w:rsidR="00185C63" w:rsidRPr="00484DAF">
        <w:rPr>
          <w:sz w:val="24"/>
          <w:szCs w:val="24"/>
        </w:rPr>
        <w:t xml:space="preserve"> De opstallen op betrokken perceel, met tuinbouwbestemming volgens het bestemmingsplan, bestonden oorspronkelijk uit kassen, een waterbassin en een vuilstrook. Voor levering heeft </w:t>
      </w:r>
      <w:r w:rsidR="00F7113C" w:rsidRPr="00484DAF">
        <w:rPr>
          <w:sz w:val="24"/>
          <w:szCs w:val="24"/>
        </w:rPr>
        <w:t>de verkopende tuinder de aanwezige opstallen inclusief fundering en bijbehorende voorzieningen volledig laten slopen. Nog voor de sloop</w:t>
      </w:r>
      <w:r w:rsidR="00C85832" w:rsidRPr="00484DAF">
        <w:rPr>
          <w:sz w:val="24"/>
          <w:szCs w:val="24"/>
        </w:rPr>
        <w:t>,</w:t>
      </w:r>
      <w:r w:rsidR="00F7113C" w:rsidRPr="00484DAF">
        <w:rPr>
          <w:sz w:val="24"/>
          <w:szCs w:val="24"/>
        </w:rPr>
        <w:t xml:space="preserve"> zijn daarnaast </w:t>
      </w:r>
      <w:r w:rsidR="00185C63" w:rsidRPr="00484DAF">
        <w:rPr>
          <w:sz w:val="24"/>
          <w:szCs w:val="24"/>
        </w:rPr>
        <w:t xml:space="preserve">rijplaten </w:t>
      </w:r>
      <w:r w:rsidR="00F7113C" w:rsidRPr="00484DAF">
        <w:rPr>
          <w:sz w:val="24"/>
          <w:szCs w:val="24"/>
        </w:rPr>
        <w:t>in het kader van het verrijden en aanvoeren van grond</w:t>
      </w:r>
      <w:r w:rsidR="00976CC8" w:rsidRPr="00484DAF">
        <w:rPr>
          <w:sz w:val="24"/>
          <w:szCs w:val="24"/>
        </w:rPr>
        <w:t xml:space="preserve"> aangebracht</w:t>
      </w:r>
      <w:r w:rsidR="00F7113C" w:rsidRPr="00484DAF">
        <w:rPr>
          <w:sz w:val="24"/>
          <w:szCs w:val="24"/>
        </w:rPr>
        <w:t xml:space="preserve">, is het </w:t>
      </w:r>
      <w:r w:rsidR="00185C63" w:rsidRPr="00484DAF">
        <w:rPr>
          <w:sz w:val="24"/>
          <w:szCs w:val="24"/>
        </w:rPr>
        <w:t>waterbassin gedempt</w:t>
      </w:r>
      <w:r w:rsidR="00976CC8" w:rsidRPr="00484DAF">
        <w:rPr>
          <w:sz w:val="24"/>
          <w:szCs w:val="24"/>
        </w:rPr>
        <w:t>,</w:t>
      </w:r>
      <w:r w:rsidR="00185C63" w:rsidRPr="00484DAF">
        <w:rPr>
          <w:sz w:val="24"/>
          <w:szCs w:val="24"/>
        </w:rPr>
        <w:t xml:space="preserve"> dijkwallen dichtgereden en </w:t>
      </w:r>
      <w:r w:rsidR="00976CC8" w:rsidRPr="00484DAF">
        <w:rPr>
          <w:sz w:val="24"/>
          <w:szCs w:val="24"/>
        </w:rPr>
        <w:t xml:space="preserve">zijn </w:t>
      </w:r>
      <w:r w:rsidR="00185C63" w:rsidRPr="00484DAF">
        <w:rPr>
          <w:sz w:val="24"/>
          <w:szCs w:val="24"/>
        </w:rPr>
        <w:t xml:space="preserve">funderingsgaten </w:t>
      </w:r>
      <w:r w:rsidR="00976CC8" w:rsidRPr="00484DAF">
        <w:rPr>
          <w:sz w:val="24"/>
          <w:szCs w:val="24"/>
        </w:rPr>
        <w:t>opgevuld</w:t>
      </w:r>
      <w:r w:rsidR="00185C63" w:rsidRPr="00484DAF">
        <w:rPr>
          <w:sz w:val="24"/>
          <w:szCs w:val="24"/>
        </w:rPr>
        <w:t xml:space="preserve">. </w:t>
      </w:r>
      <w:r w:rsidR="00976CC8" w:rsidRPr="00484DAF">
        <w:rPr>
          <w:sz w:val="24"/>
          <w:szCs w:val="24"/>
        </w:rPr>
        <w:t xml:space="preserve">Tot slot heeft de tuinder na de sloopwerkzaamheden de geprofileerde </w:t>
      </w:r>
      <w:r w:rsidR="00185C63" w:rsidRPr="00484DAF">
        <w:rPr>
          <w:sz w:val="24"/>
          <w:szCs w:val="24"/>
        </w:rPr>
        <w:t xml:space="preserve">grond </w:t>
      </w:r>
      <w:r w:rsidR="00976CC8" w:rsidRPr="00484DAF">
        <w:rPr>
          <w:sz w:val="24"/>
          <w:szCs w:val="24"/>
        </w:rPr>
        <w:t>met een cultivator omgeploegd en los</w:t>
      </w:r>
      <w:r w:rsidR="00185C63" w:rsidRPr="00484DAF">
        <w:rPr>
          <w:sz w:val="24"/>
          <w:szCs w:val="24"/>
        </w:rPr>
        <w:t>getrokken (grofegalisatie).</w:t>
      </w:r>
      <w:r w:rsidR="00C85832" w:rsidRPr="00484DAF">
        <w:rPr>
          <w:sz w:val="24"/>
          <w:szCs w:val="24"/>
        </w:rPr>
        <w:t xml:space="preserve"> De tuinbouwgrond is op</w:t>
      </w:r>
      <w:r w:rsidR="00976CC8" w:rsidRPr="00484DAF">
        <w:rPr>
          <w:sz w:val="24"/>
          <w:szCs w:val="24"/>
        </w:rPr>
        <w:t xml:space="preserve"> </w:t>
      </w:r>
      <w:r w:rsidR="00A55778" w:rsidRPr="00484DAF">
        <w:rPr>
          <w:sz w:val="24"/>
          <w:szCs w:val="24"/>
        </w:rPr>
        <w:t xml:space="preserve">27 </w:t>
      </w:r>
      <w:r w:rsidR="00976CC8" w:rsidRPr="00484DAF">
        <w:rPr>
          <w:sz w:val="24"/>
          <w:szCs w:val="24"/>
        </w:rPr>
        <w:t>december 2002 belast met BTW geleverd. Na levering volgd</w:t>
      </w:r>
      <w:r w:rsidR="00756ED1" w:rsidRPr="00484DAF">
        <w:rPr>
          <w:sz w:val="24"/>
          <w:szCs w:val="24"/>
        </w:rPr>
        <w:t xml:space="preserve">en frees- en egalisatiewerkzaamheden. </w:t>
      </w:r>
      <w:r w:rsidR="00A55778" w:rsidRPr="00484DAF">
        <w:rPr>
          <w:sz w:val="24"/>
          <w:szCs w:val="24"/>
        </w:rPr>
        <w:t>25 m</w:t>
      </w:r>
      <w:r w:rsidR="00185C63" w:rsidRPr="00484DAF">
        <w:rPr>
          <w:sz w:val="24"/>
          <w:szCs w:val="24"/>
        </w:rPr>
        <w:t xml:space="preserve">aart 2004 </w:t>
      </w:r>
      <w:r w:rsidR="00756ED1" w:rsidRPr="00484DAF">
        <w:rPr>
          <w:sz w:val="24"/>
          <w:szCs w:val="24"/>
        </w:rPr>
        <w:t xml:space="preserve">is door de gemeente </w:t>
      </w:r>
      <w:r w:rsidR="00185C63" w:rsidRPr="00484DAF">
        <w:rPr>
          <w:sz w:val="24"/>
          <w:szCs w:val="24"/>
        </w:rPr>
        <w:t xml:space="preserve">een bouwvergunning </w:t>
      </w:r>
      <w:r w:rsidR="00756ED1" w:rsidRPr="00484DAF">
        <w:rPr>
          <w:sz w:val="24"/>
          <w:szCs w:val="24"/>
        </w:rPr>
        <w:t xml:space="preserve">afgegeven </w:t>
      </w:r>
      <w:r w:rsidR="00185C63" w:rsidRPr="00484DAF">
        <w:rPr>
          <w:sz w:val="24"/>
          <w:szCs w:val="24"/>
        </w:rPr>
        <w:t xml:space="preserve">voor het </w:t>
      </w:r>
      <w:r w:rsidR="00756ED1" w:rsidRPr="00484DAF">
        <w:rPr>
          <w:sz w:val="24"/>
          <w:szCs w:val="24"/>
        </w:rPr>
        <w:t>bouwen van een kas op voornoemd perceel.</w:t>
      </w:r>
      <w:r w:rsidR="008D3292" w:rsidRPr="00484DAF">
        <w:rPr>
          <w:sz w:val="24"/>
          <w:szCs w:val="24"/>
        </w:rPr>
        <w:t xml:space="preserve"> In geschil is of hier een bouwterrein is geleverd en uit dien hoofde BTW is verschuldigd op grond van de uitzondering van artikel 11, lid</w:t>
      </w:r>
      <w:r w:rsidR="00C85832" w:rsidRPr="00484DAF">
        <w:rPr>
          <w:sz w:val="24"/>
          <w:szCs w:val="24"/>
        </w:rPr>
        <w:t xml:space="preserve"> 1, onderdeel a, ten eerste Wet </w:t>
      </w:r>
      <w:r w:rsidR="008D3292" w:rsidRPr="00484DAF">
        <w:rPr>
          <w:sz w:val="24"/>
          <w:szCs w:val="24"/>
        </w:rPr>
        <w:t>OB 1968.</w:t>
      </w:r>
      <w:r w:rsidR="00A55778" w:rsidRPr="00484DAF">
        <w:rPr>
          <w:rStyle w:val="Voetnootmarkering"/>
          <w:sz w:val="24"/>
          <w:szCs w:val="24"/>
        </w:rPr>
        <w:footnoteReference w:id="230"/>
      </w:r>
    </w:p>
    <w:p w:rsidR="00557A1F" w:rsidRPr="00484DAF" w:rsidRDefault="00557A1F" w:rsidP="00CC552D">
      <w:pPr>
        <w:pStyle w:val="Geenafstand"/>
        <w:spacing w:line="360" w:lineRule="auto"/>
        <w:rPr>
          <w:sz w:val="24"/>
          <w:szCs w:val="24"/>
        </w:rPr>
      </w:pPr>
    </w:p>
    <w:p w:rsidR="00DE13BD" w:rsidRPr="00484DAF" w:rsidRDefault="00756ED1" w:rsidP="00CC552D">
      <w:pPr>
        <w:spacing w:after="0" w:line="360" w:lineRule="auto"/>
        <w:rPr>
          <w:i/>
          <w:sz w:val="24"/>
          <w:szCs w:val="24"/>
        </w:rPr>
      </w:pPr>
      <w:r w:rsidRPr="00484DAF">
        <w:rPr>
          <w:sz w:val="24"/>
          <w:szCs w:val="24"/>
        </w:rPr>
        <w:t>In de voorliggende</w:t>
      </w:r>
      <w:r w:rsidR="008D3292" w:rsidRPr="00484DAF">
        <w:rPr>
          <w:sz w:val="24"/>
          <w:szCs w:val="24"/>
        </w:rPr>
        <w:t xml:space="preserve"> uitspraak van Hof Den Haag</w:t>
      </w:r>
      <w:r w:rsidR="008D3292" w:rsidRPr="00484DAF">
        <w:rPr>
          <w:rStyle w:val="Voetnootmarkering"/>
          <w:sz w:val="24"/>
          <w:szCs w:val="24"/>
        </w:rPr>
        <w:footnoteReference w:id="231"/>
      </w:r>
      <w:r w:rsidR="00664ADF" w:rsidRPr="00484DAF">
        <w:rPr>
          <w:sz w:val="24"/>
          <w:szCs w:val="24"/>
        </w:rPr>
        <w:t xml:space="preserve"> heeft </w:t>
      </w:r>
      <w:r w:rsidR="00C94E41" w:rsidRPr="00484DAF">
        <w:rPr>
          <w:sz w:val="24"/>
          <w:szCs w:val="24"/>
        </w:rPr>
        <w:t xml:space="preserve">het </w:t>
      </w:r>
      <w:r w:rsidR="006D3EE1" w:rsidRPr="00484DAF">
        <w:rPr>
          <w:sz w:val="24"/>
          <w:szCs w:val="24"/>
        </w:rPr>
        <w:t>Hof beslist</w:t>
      </w:r>
      <w:r w:rsidR="00C85832" w:rsidRPr="00484DAF">
        <w:rPr>
          <w:sz w:val="24"/>
          <w:szCs w:val="24"/>
        </w:rPr>
        <w:t>,</w:t>
      </w:r>
      <w:r w:rsidR="006D3EE1" w:rsidRPr="00484DAF">
        <w:rPr>
          <w:sz w:val="24"/>
          <w:szCs w:val="24"/>
        </w:rPr>
        <w:t xml:space="preserve"> dat </w:t>
      </w:r>
      <w:r w:rsidR="00664ADF" w:rsidRPr="00484DAF">
        <w:rPr>
          <w:sz w:val="24"/>
          <w:szCs w:val="24"/>
        </w:rPr>
        <w:t xml:space="preserve">alle </w:t>
      </w:r>
      <w:r w:rsidR="006D3EE1" w:rsidRPr="00484DAF">
        <w:rPr>
          <w:sz w:val="24"/>
          <w:szCs w:val="24"/>
        </w:rPr>
        <w:t xml:space="preserve">voornoemde </w:t>
      </w:r>
      <w:r w:rsidR="00664ADF" w:rsidRPr="00484DAF">
        <w:rPr>
          <w:sz w:val="24"/>
          <w:szCs w:val="24"/>
        </w:rPr>
        <w:t>werkzaamheden en bewerkingen aan het perceel</w:t>
      </w:r>
      <w:r w:rsidR="006D3EE1" w:rsidRPr="00484DAF">
        <w:rPr>
          <w:sz w:val="24"/>
          <w:szCs w:val="24"/>
        </w:rPr>
        <w:t xml:space="preserve"> (waaronder het slopen van de opstallen)</w:t>
      </w:r>
      <w:r w:rsidR="00664ADF" w:rsidRPr="00484DAF">
        <w:rPr>
          <w:sz w:val="24"/>
          <w:szCs w:val="24"/>
        </w:rPr>
        <w:t xml:space="preserve"> hebben plaatsgevonden met het oog op bebouwing </w:t>
      </w:r>
      <w:r w:rsidR="006D3EE1" w:rsidRPr="00484DAF">
        <w:rPr>
          <w:sz w:val="24"/>
          <w:szCs w:val="24"/>
        </w:rPr>
        <w:t xml:space="preserve">van de grond (als bedoeld in artikel 11, vierde lid, onderdeel a Wet OB 1968). Derhalve is hier sprake van </w:t>
      </w:r>
      <w:r w:rsidR="00664ADF" w:rsidRPr="00484DAF">
        <w:rPr>
          <w:sz w:val="24"/>
          <w:szCs w:val="24"/>
        </w:rPr>
        <w:t xml:space="preserve">levering van een bouwterrein. Het Hof </w:t>
      </w:r>
      <w:r w:rsidR="006D3EE1" w:rsidRPr="00484DAF">
        <w:rPr>
          <w:sz w:val="24"/>
          <w:szCs w:val="24"/>
        </w:rPr>
        <w:t xml:space="preserve">legt in zijn beslissing daarbij de nadruk op de koopovereenkomst waarin alle handelingen zijn opgenomen. Tegen deze uitspraak casseerde de staatssecretaris </w:t>
      </w:r>
      <w:r w:rsidR="006D3EE1" w:rsidRPr="00484DAF">
        <w:rPr>
          <w:sz w:val="24"/>
          <w:szCs w:val="24"/>
        </w:rPr>
        <w:lastRenderedPageBreak/>
        <w:t xml:space="preserve">met verwijzing naar het Jeugdhonkarrest </w:t>
      </w:r>
      <w:r w:rsidR="001302BF" w:rsidRPr="00484DAF">
        <w:rPr>
          <w:sz w:val="24"/>
          <w:szCs w:val="24"/>
        </w:rPr>
        <w:t>waarin hij onjuist acht</w:t>
      </w:r>
      <w:r w:rsidR="00C85832" w:rsidRPr="00484DAF">
        <w:rPr>
          <w:sz w:val="24"/>
          <w:szCs w:val="24"/>
        </w:rPr>
        <w:t>,</w:t>
      </w:r>
      <w:r w:rsidR="001302BF" w:rsidRPr="00484DAF">
        <w:rPr>
          <w:sz w:val="24"/>
          <w:szCs w:val="24"/>
        </w:rPr>
        <w:t xml:space="preserve"> dat sloop van opstallen wordt aangemerkt als bewerking van een perceel met het oog op bebouwing. Terecht gaat de Hoge Raad niet mee met de stelling van de staatssecretaris. Immers, zoals in paragraaf 5.2.2 naar voren gekomen, blijkt dat sloop van opstallen niet altijd leidt tot vervaardiging van een bouwterrein. Vervaardiging is echter wel aan de orde wanneer sloopwerkzaamheden plaatsvinden met het oog op bebouwing.</w:t>
      </w:r>
      <w:r w:rsidR="00DE13BD" w:rsidRPr="00484DAF">
        <w:rPr>
          <w:rStyle w:val="Voetnootmarkering"/>
          <w:sz w:val="24"/>
          <w:szCs w:val="24"/>
        </w:rPr>
        <w:footnoteReference w:id="232"/>
      </w:r>
      <w:r w:rsidR="001302BF" w:rsidRPr="00484DAF">
        <w:rPr>
          <w:sz w:val="24"/>
          <w:szCs w:val="24"/>
        </w:rPr>
        <w:t xml:space="preserve"> </w:t>
      </w:r>
      <w:r w:rsidR="00BF4734" w:rsidRPr="00484DAF">
        <w:rPr>
          <w:sz w:val="24"/>
          <w:szCs w:val="24"/>
        </w:rPr>
        <w:t xml:space="preserve">De Hoge Raad geeft aan dat het oordeel van Hof Den Haag juist is, vanwege </w:t>
      </w:r>
      <w:r w:rsidR="00DE13BD" w:rsidRPr="00484DAF">
        <w:rPr>
          <w:sz w:val="24"/>
          <w:szCs w:val="24"/>
        </w:rPr>
        <w:t xml:space="preserve">de werkzaamheden die op </w:t>
      </w:r>
      <w:r w:rsidR="00BF4734" w:rsidRPr="00484DAF">
        <w:rPr>
          <w:sz w:val="24"/>
          <w:szCs w:val="24"/>
        </w:rPr>
        <w:t xml:space="preserve">de grond in kwestie voor </w:t>
      </w:r>
      <w:r w:rsidR="00DE13BD" w:rsidRPr="00484DAF">
        <w:rPr>
          <w:sz w:val="24"/>
          <w:szCs w:val="24"/>
        </w:rPr>
        <w:t>levering hebben plaatsgevonden.</w:t>
      </w:r>
      <w:r w:rsidR="00BF4734" w:rsidRPr="00484DAF">
        <w:rPr>
          <w:sz w:val="24"/>
          <w:szCs w:val="24"/>
        </w:rPr>
        <w:t xml:space="preserve"> Vlak na de sloop was (naar ik meen in verband met het verwijderen van funderingen) kort sprake van onbebouwde grond waarna egalisatiebewerkingen hebben plaats gevonden. Deze laatste bewerkingen voldoen in ieder geval aan het gestelde in artikel 11, lid 4, onderdeel a Wet OB 1968. Voorts is door de Hoge Raad </w:t>
      </w:r>
      <w:r w:rsidR="00C94E41" w:rsidRPr="00484DAF">
        <w:rPr>
          <w:sz w:val="24"/>
          <w:szCs w:val="24"/>
        </w:rPr>
        <w:t>op aanwijzing van de A-</w:t>
      </w:r>
      <w:r w:rsidR="007878FB" w:rsidRPr="00484DAF">
        <w:rPr>
          <w:sz w:val="24"/>
          <w:szCs w:val="24"/>
        </w:rPr>
        <w:t xml:space="preserve">G </w:t>
      </w:r>
      <w:r w:rsidR="00BF4734" w:rsidRPr="00484DAF">
        <w:rPr>
          <w:sz w:val="24"/>
          <w:szCs w:val="24"/>
        </w:rPr>
        <w:t>i</w:t>
      </w:r>
      <w:r w:rsidR="007878FB" w:rsidRPr="00484DAF">
        <w:rPr>
          <w:sz w:val="24"/>
          <w:szCs w:val="24"/>
        </w:rPr>
        <w:t xml:space="preserve">n aanmerking genomen dat </w:t>
      </w:r>
      <w:r w:rsidR="002C5D2D" w:rsidRPr="00484DAF">
        <w:rPr>
          <w:sz w:val="24"/>
          <w:szCs w:val="24"/>
        </w:rPr>
        <w:t>uit de parlementaire</w:t>
      </w:r>
      <w:r w:rsidR="00DE13BD" w:rsidRPr="00484DAF">
        <w:rPr>
          <w:sz w:val="24"/>
          <w:szCs w:val="24"/>
        </w:rPr>
        <w:t xml:space="preserve"> geschiedenis </w:t>
      </w:r>
      <w:r w:rsidR="002C5D2D" w:rsidRPr="00484DAF">
        <w:rPr>
          <w:sz w:val="24"/>
          <w:szCs w:val="24"/>
        </w:rPr>
        <w:t xml:space="preserve">blijkt dat </w:t>
      </w:r>
      <w:r w:rsidR="002C5D2D" w:rsidRPr="00484DAF">
        <w:rPr>
          <w:i/>
          <w:sz w:val="24"/>
          <w:szCs w:val="24"/>
        </w:rPr>
        <w:t>‘Eén geringe bewerking kan (…)</w:t>
      </w:r>
      <w:r w:rsidR="00C85832" w:rsidRPr="00484DAF">
        <w:rPr>
          <w:i/>
          <w:sz w:val="24"/>
          <w:szCs w:val="24"/>
        </w:rPr>
        <w:t xml:space="preserve"> </w:t>
      </w:r>
      <w:r w:rsidR="002C5D2D" w:rsidRPr="00484DAF">
        <w:rPr>
          <w:i/>
          <w:sz w:val="24"/>
          <w:szCs w:val="24"/>
        </w:rPr>
        <w:t>onbebouwde grond tot ‘bouwterrein’ bestempelen, mits uitgevoerd met het oog op bebouwing. Egalisatie (…) is door de medewetgever explici</w:t>
      </w:r>
      <w:r w:rsidR="00C85832" w:rsidRPr="00484DAF">
        <w:rPr>
          <w:i/>
          <w:sz w:val="24"/>
          <w:szCs w:val="24"/>
        </w:rPr>
        <w:t>et genoemd als voorbeeld van zo’</w:t>
      </w:r>
      <w:r w:rsidR="002C5D2D" w:rsidRPr="00484DAF">
        <w:rPr>
          <w:i/>
          <w:sz w:val="24"/>
          <w:szCs w:val="24"/>
        </w:rPr>
        <w:t>n bewerking.’</w:t>
      </w:r>
      <w:r w:rsidR="002C5D2D" w:rsidRPr="00484DAF">
        <w:rPr>
          <w:rStyle w:val="Voetnootmarkering"/>
          <w:sz w:val="24"/>
          <w:szCs w:val="24"/>
        </w:rPr>
        <w:footnoteReference w:id="233"/>
      </w:r>
    </w:p>
    <w:p w:rsidR="00557A1F" w:rsidRPr="00484DAF" w:rsidRDefault="00557A1F" w:rsidP="00CC552D">
      <w:pPr>
        <w:pStyle w:val="Geenafstand"/>
        <w:spacing w:line="360" w:lineRule="auto"/>
        <w:rPr>
          <w:sz w:val="24"/>
          <w:szCs w:val="24"/>
        </w:rPr>
      </w:pPr>
    </w:p>
    <w:p w:rsidR="00FF0E92" w:rsidRPr="00484DAF" w:rsidRDefault="00FA7DE8" w:rsidP="00CC552D">
      <w:pPr>
        <w:pStyle w:val="Kop2"/>
        <w:spacing w:before="0" w:line="360" w:lineRule="auto"/>
        <w:rPr>
          <w:rFonts w:ascii="Times New Roman" w:hAnsi="Times New Roman"/>
          <w:color w:val="auto"/>
          <w:sz w:val="24"/>
          <w:szCs w:val="24"/>
        </w:rPr>
      </w:pPr>
      <w:bookmarkStart w:id="100" w:name="_Toc254043953"/>
      <w:r w:rsidRPr="00484DAF">
        <w:rPr>
          <w:rFonts w:ascii="Times New Roman" w:hAnsi="Times New Roman"/>
          <w:color w:val="auto"/>
          <w:sz w:val="24"/>
          <w:szCs w:val="24"/>
        </w:rPr>
        <w:t>5.3.2</w:t>
      </w:r>
      <w:r w:rsidR="00FF0E92" w:rsidRPr="00484DAF">
        <w:rPr>
          <w:rFonts w:ascii="Times New Roman" w:hAnsi="Times New Roman"/>
          <w:color w:val="auto"/>
          <w:sz w:val="24"/>
          <w:szCs w:val="24"/>
        </w:rPr>
        <w:t xml:space="preserve"> </w:t>
      </w:r>
      <w:r w:rsidR="000864FC" w:rsidRPr="00484DAF">
        <w:rPr>
          <w:rFonts w:ascii="Times New Roman" w:hAnsi="Times New Roman"/>
          <w:color w:val="auto"/>
          <w:sz w:val="24"/>
          <w:szCs w:val="24"/>
        </w:rPr>
        <w:t>Motief doorslaggevend</w:t>
      </w:r>
      <w:bookmarkEnd w:id="100"/>
    </w:p>
    <w:p w:rsidR="000356EA" w:rsidRPr="00484DAF" w:rsidRDefault="00900489" w:rsidP="00CC552D">
      <w:pPr>
        <w:spacing w:after="0" w:line="360" w:lineRule="auto"/>
        <w:rPr>
          <w:sz w:val="24"/>
          <w:szCs w:val="24"/>
        </w:rPr>
      </w:pPr>
      <w:r w:rsidRPr="00484DAF">
        <w:rPr>
          <w:sz w:val="24"/>
          <w:szCs w:val="24"/>
        </w:rPr>
        <w:t>Het tweede arrest</w:t>
      </w:r>
      <w:r w:rsidR="003E4EE2" w:rsidRPr="00484DAF">
        <w:rPr>
          <w:rStyle w:val="Voetnootmarkering"/>
          <w:sz w:val="24"/>
          <w:szCs w:val="24"/>
        </w:rPr>
        <w:footnoteReference w:id="234"/>
      </w:r>
      <w:r w:rsidRPr="00484DAF">
        <w:rPr>
          <w:sz w:val="24"/>
          <w:szCs w:val="24"/>
        </w:rPr>
        <w:t xml:space="preserve"> gewezen op 14 november 2008 </w:t>
      </w:r>
      <w:r w:rsidR="000356EA" w:rsidRPr="00484DAF">
        <w:rPr>
          <w:sz w:val="24"/>
          <w:szCs w:val="24"/>
        </w:rPr>
        <w:t xml:space="preserve">was </w:t>
      </w:r>
      <w:r w:rsidRPr="00484DAF">
        <w:rPr>
          <w:sz w:val="24"/>
          <w:szCs w:val="24"/>
        </w:rPr>
        <w:t xml:space="preserve">casustechnisch </w:t>
      </w:r>
      <w:r w:rsidR="000356EA" w:rsidRPr="00484DAF">
        <w:rPr>
          <w:sz w:val="24"/>
          <w:szCs w:val="24"/>
        </w:rPr>
        <w:t xml:space="preserve">minder omvangrijk dan het hiervoor besproken arrest. </w:t>
      </w:r>
      <w:r w:rsidR="005E1D8A" w:rsidRPr="00484DAF">
        <w:rPr>
          <w:sz w:val="24"/>
          <w:szCs w:val="24"/>
        </w:rPr>
        <w:t xml:space="preserve">Op 26 </w:t>
      </w:r>
      <w:r w:rsidR="00634CC0" w:rsidRPr="00484DAF">
        <w:rPr>
          <w:sz w:val="24"/>
          <w:szCs w:val="24"/>
        </w:rPr>
        <w:t>oktober 2001 is</w:t>
      </w:r>
      <w:r w:rsidR="008525FC" w:rsidRPr="00484DAF">
        <w:rPr>
          <w:sz w:val="24"/>
          <w:szCs w:val="24"/>
        </w:rPr>
        <w:t>,</w:t>
      </w:r>
      <w:r w:rsidR="00634CC0" w:rsidRPr="00484DAF">
        <w:rPr>
          <w:sz w:val="24"/>
          <w:szCs w:val="24"/>
        </w:rPr>
        <w:t xml:space="preserve"> ingevolge een diezelfde maand gesloten verkoopovereenkomst</w:t>
      </w:r>
      <w:r w:rsidR="008525FC" w:rsidRPr="00484DAF">
        <w:rPr>
          <w:sz w:val="24"/>
          <w:szCs w:val="24"/>
        </w:rPr>
        <w:t>,</w:t>
      </w:r>
      <w:r w:rsidR="00634CC0" w:rsidRPr="00484DAF">
        <w:rPr>
          <w:sz w:val="24"/>
          <w:szCs w:val="24"/>
        </w:rPr>
        <w:t xml:space="preserve"> een perceel grond geleverd met het oog op het uitvoeren van een bouwplan. Voorheen stond op het gekochte perceel een schoolgebouw. In het voorjaar voor de levering is het gebouw </w:t>
      </w:r>
      <w:r w:rsidR="000356EA" w:rsidRPr="00484DAF">
        <w:rPr>
          <w:sz w:val="24"/>
          <w:szCs w:val="24"/>
        </w:rPr>
        <w:t xml:space="preserve">door en voor rekening van de verkoper </w:t>
      </w:r>
      <w:r w:rsidR="00FF7331" w:rsidRPr="00484DAF">
        <w:rPr>
          <w:sz w:val="24"/>
          <w:szCs w:val="24"/>
        </w:rPr>
        <w:t xml:space="preserve">volledig </w:t>
      </w:r>
      <w:r w:rsidR="000356EA" w:rsidRPr="00484DAF">
        <w:rPr>
          <w:sz w:val="24"/>
          <w:szCs w:val="24"/>
        </w:rPr>
        <w:t>gesloopt</w:t>
      </w:r>
      <w:r w:rsidR="00FF7331" w:rsidRPr="00484DAF">
        <w:rPr>
          <w:sz w:val="24"/>
          <w:szCs w:val="24"/>
        </w:rPr>
        <w:t xml:space="preserve"> (lees: ook </w:t>
      </w:r>
      <w:r w:rsidR="000356EA" w:rsidRPr="00484DAF">
        <w:rPr>
          <w:sz w:val="24"/>
          <w:szCs w:val="24"/>
        </w:rPr>
        <w:t>de funderingen zijn verwijderd</w:t>
      </w:r>
      <w:r w:rsidR="00FF7331" w:rsidRPr="00484DAF">
        <w:rPr>
          <w:sz w:val="24"/>
          <w:szCs w:val="24"/>
        </w:rPr>
        <w:t>)</w:t>
      </w:r>
      <w:r w:rsidR="000356EA" w:rsidRPr="00484DAF">
        <w:rPr>
          <w:sz w:val="24"/>
          <w:szCs w:val="24"/>
        </w:rPr>
        <w:t xml:space="preserve">, de grond gezuiverd en geëgaliseerd. </w:t>
      </w:r>
      <w:r w:rsidR="00FF7331" w:rsidRPr="00484DAF">
        <w:rPr>
          <w:sz w:val="24"/>
          <w:szCs w:val="24"/>
        </w:rPr>
        <w:t xml:space="preserve">Voorts omvatten de feiten dat op het moment van de levering </w:t>
      </w:r>
      <w:r w:rsidR="008525FC" w:rsidRPr="00484DAF">
        <w:rPr>
          <w:sz w:val="24"/>
          <w:szCs w:val="24"/>
        </w:rPr>
        <w:t xml:space="preserve">op </w:t>
      </w:r>
      <w:r w:rsidR="00FF7331" w:rsidRPr="00484DAF">
        <w:rPr>
          <w:sz w:val="24"/>
          <w:szCs w:val="24"/>
        </w:rPr>
        <w:t xml:space="preserve">een </w:t>
      </w:r>
      <w:r w:rsidR="00B62FAC" w:rsidRPr="00484DAF">
        <w:rPr>
          <w:sz w:val="24"/>
          <w:szCs w:val="24"/>
        </w:rPr>
        <w:t xml:space="preserve">nabij </w:t>
      </w:r>
      <w:r w:rsidR="00FF7331" w:rsidRPr="00484DAF">
        <w:rPr>
          <w:sz w:val="24"/>
          <w:szCs w:val="24"/>
        </w:rPr>
        <w:t>perceel</w:t>
      </w:r>
      <w:r w:rsidR="00B62FAC" w:rsidRPr="00484DAF">
        <w:rPr>
          <w:sz w:val="24"/>
          <w:szCs w:val="24"/>
        </w:rPr>
        <w:t>,</w:t>
      </w:r>
      <w:r w:rsidR="00FF7331" w:rsidRPr="00484DAF">
        <w:rPr>
          <w:sz w:val="24"/>
          <w:szCs w:val="24"/>
        </w:rPr>
        <w:t xml:space="preserve"> dat rond het betrokken perceel ligt (overigens eveneens in bezit van koper)</w:t>
      </w:r>
      <w:r w:rsidR="00B62FAC" w:rsidRPr="00484DAF">
        <w:rPr>
          <w:sz w:val="24"/>
          <w:szCs w:val="24"/>
        </w:rPr>
        <w:t>,</w:t>
      </w:r>
      <w:r w:rsidR="00FF7331" w:rsidRPr="00484DAF">
        <w:rPr>
          <w:sz w:val="24"/>
          <w:szCs w:val="24"/>
        </w:rPr>
        <w:t xml:space="preserve"> </w:t>
      </w:r>
      <w:r w:rsidR="000356EA" w:rsidRPr="00484DAF">
        <w:rPr>
          <w:sz w:val="24"/>
          <w:szCs w:val="24"/>
        </w:rPr>
        <w:t xml:space="preserve">een bouwstraat </w:t>
      </w:r>
      <w:r w:rsidR="00B62FAC" w:rsidRPr="00484DAF">
        <w:rPr>
          <w:sz w:val="24"/>
          <w:szCs w:val="24"/>
        </w:rPr>
        <w:t xml:space="preserve">is </w:t>
      </w:r>
      <w:r w:rsidR="000356EA" w:rsidRPr="00484DAF">
        <w:rPr>
          <w:sz w:val="24"/>
          <w:szCs w:val="24"/>
        </w:rPr>
        <w:t>aangelegd en de omheining hersteld.</w:t>
      </w:r>
    </w:p>
    <w:p w:rsidR="003052DF" w:rsidRPr="00484DAF" w:rsidRDefault="003052DF" w:rsidP="00CC552D">
      <w:pPr>
        <w:pStyle w:val="Geenafstand"/>
        <w:spacing w:line="360" w:lineRule="auto"/>
        <w:rPr>
          <w:sz w:val="24"/>
          <w:szCs w:val="24"/>
        </w:rPr>
      </w:pPr>
    </w:p>
    <w:p w:rsidR="00FB0810" w:rsidRPr="00484DAF" w:rsidRDefault="00FF7331" w:rsidP="00CC552D">
      <w:pPr>
        <w:pStyle w:val="Geenafstand"/>
        <w:spacing w:line="360" w:lineRule="auto"/>
        <w:rPr>
          <w:sz w:val="24"/>
          <w:szCs w:val="24"/>
        </w:rPr>
      </w:pPr>
      <w:r w:rsidRPr="00484DAF">
        <w:rPr>
          <w:sz w:val="24"/>
          <w:szCs w:val="24"/>
        </w:rPr>
        <w:lastRenderedPageBreak/>
        <w:t>Hof Den Bosch</w:t>
      </w:r>
      <w:r w:rsidRPr="00484DAF">
        <w:rPr>
          <w:rStyle w:val="Voetnootmarkering"/>
          <w:sz w:val="24"/>
          <w:szCs w:val="24"/>
        </w:rPr>
        <w:footnoteReference w:id="235"/>
      </w:r>
      <w:r w:rsidR="00052EB2" w:rsidRPr="00484DAF">
        <w:rPr>
          <w:sz w:val="24"/>
          <w:szCs w:val="24"/>
        </w:rPr>
        <w:t xml:space="preserve"> heeft in de voorafgaande </w:t>
      </w:r>
      <w:r w:rsidR="00B62FAC" w:rsidRPr="00484DAF">
        <w:rPr>
          <w:sz w:val="24"/>
          <w:szCs w:val="24"/>
        </w:rPr>
        <w:t>uit</w:t>
      </w:r>
      <w:r w:rsidR="00052EB2" w:rsidRPr="00484DAF">
        <w:rPr>
          <w:sz w:val="24"/>
          <w:szCs w:val="24"/>
        </w:rPr>
        <w:t>spraak geoordeeld</w:t>
      </w:r>
      <w:r w:rsidR="00300567" w:rsidRPr="00484DAF">
        <w:rPr>
          <w:sz w:val="24"/>
          <w:szCs w:val="24"/>
        </w:rPr>
        <w:t>,</w:t>
      </w:r>
      <w:r w:rsidR="00052EB2" w:rsidRPr="00484DAF">
        <w:rPr>
          <w:sz w:val="24"/>
          <w:szCs w:val="24"/>
        </w:rPr>
        <w:t xml:space="preserve"> dat sprake was van een BTW-belaste levering van een bou</w:t>
      </w:r>
      <w:r w:rsidR="00B62FAC" w:rsidRPr="00484DAF">
        <w:rPr>
          <w:sz w:val="24"/>
          <w:szCs w:val="24"/>
        </w:rPr>
        <w:t xml:space="preserve">wterrein, waardoor simultaan daaraan </w:t>
      </w:r>
      <w:r w:rsidR="00052EB2" w:rsidRPr="00484DAF">
        <w:rPr>
          <w:sz w:val="24"/>
          <w:szCs w:val="24"/>
        </w:rPr>
        <w:t xml:space="preserve">de verkrijging van het perceel is vrijgesteld van </w:t>
      </w:r>
      <w:r w:rsidRPr="00484DAF">
        <w:rPr>
          <w:sz w:val="24"/>
          <w:szCs w:val="24"/>
        </w:rPr>
        <w:t>overdrachtsbelasting</w:t>
      </w:r>
      <w:r w:rsidR="00B62FAC" w:rsidRPr="00484DAF">
        <w:rPr>
          <w:sz w:val="24"/>
          <w:szCs w:val="24"/>
        </w:rPr>
        <w:t xml:space="preserve"> door werking van de samenloopvrijstelling</w:t>
      </w:r>
      <w:r w:rsidRPr="00484DAF">
        <w:rPr>
          <w:sz w:val="24"/>
          <w:szCs w:val="24"/>
        </w:rPr>
        <w:t>.</w:t>
      </w:r>
      <w:r w:rsidR="00CE4281" w:rsidRPr="00484DAF">
        <w:rPr>
          <w:sz w:val="24"/>
          <w:szCs w:val="24"/>
        </w:rPr>
        <w:t xml:space="preserve"> De staatssecretaris toont zich weinig creatief door zich wederom te beroepen op het Jeugdhonkarrest met als stelling dat slopen van opstallen nooit kan leiden tot vervaardiging van een bouwterrein.</w:t>
      </w:r>
      <w:r w:rsidR="00FD0A69" w:rsidRPr="00484DAF">
        <w:rPr>
          <w:sz w:val="24"/>
          <w:szCs w:val="24"/>
        </w:rPr>
        <w:t xml:space="preserve"> Wederom oordeelt de Hoge Raad dat de uitspraak van het Hof dat het zuiveren en egaliseren van (na </w:t>
      </w:r>
      <w:r w:rsidR="00B62FAC" w:rsidRPr="00484DAF">
        <w:rPr>
          <w:sz w:val="24"/>
          <w:szCs w:val="24"/>
        </w:rPr>
        <w:t xml:space="preserve">de </w:t>
      </w:r>
      <w:r w:rsidR="00FD0A69" w:rsidRPr="00484DAF">
        <w:rPr>
          <w:sz w:val="24"/>
          <w:szCs w:val="24"/>
        </w:rPr>
        <w:t>sloop van opstallen) onbebouwde grond</w:t>
      </w:r>
      <w:r w:rsidR="00CF1143" w:rsidRPr="00484DAF">
        <w:rPr>
          <w:sz w:val="24"/>
          <w:szCs w:val="24"/>
        </w:rPr>
        <w:t xml:space="preserve"> </w:t>
      </w:r>
      <w:r w:rsidR="00FD0A69" w:rsidRPr="00484DAF">
        <w:rPr>
          <w:sz w:val="24"/>
          <w:szCs w:val="24"/>
        </w:rPr>
        <w:t xml:space="preserve">leidt tot vervaardiging van een bouwterrein. Daarbij heeft Hof Den </w:t>
      </w:r>
      <w:r w:rsidR="00C010D5" w:rsidRPr="00484DAF">
        <w:rPr>
          <w:sz w:val="24"/>
          <w:szCs w:val="24"/>
        </w:rPr>
        <w:t xml:space="preserve">Bosch </w:t>
      </w:r>
      <w:r w:rsidRPr="00484DAF">
        <w:rPr>
          <w:sz w:val="24"/>
          <w:szCs w:val="24"/>
        </w:rPr>
        <w:t xml:space="preserve">aannemelijk geacht dat </w:t>
      </w:r>
      <w:r w:rsidR="00FD0A69" w:rsidRPr="00484DAF">
        <w:rPr>
          <w:sz w:val="24"/>
          <w:szCs w:val="24"/>
        </w:rPr>
        <w:t>deze puinzuivering</w:t>
      </w:r>
      <w:r w:rsidR="00544A63" w:rsidRPr="00484DAF">
        <w:rPr>
          <w:sz w:val="24"/>
          <w:szCs w:val="24"/>
        </w:rPr>
        <w:t xml:space="preserve"> </w:t>
      </w:r>
      <w:r w:rsidR="00FD0A69" w:rsidRPr="00484DAF">
        <w:rPr>
          <w:sz w:val="24"/>
          <w:szCs w:val="24"/>
        </w:rPr>
        <w:t xml:space="preserve">plaats </w:t>
      </w:r>
      <w:r w:rsidR="00544A63" w:rsidRPr="00484DAF">
        <w:rPr>
          <w:sz w:val="24"/>
          <w:szCs w:val="24"/>
        </w:rPr>
        <w:t>heeft</w:t>
      </w:r>
      <w:r w:rsidR="00FD0A69" w:rsidRPr="00484DAF">
        <w:rPr>
          <w:sz w:val="24"/>
          <w:szCs w:val="24"/>
        </w:rPr>
        <w:t xml:space="preserve"> gehad met het </w:t>
      </w:r>
      <w:r w:rsidRPr="00484DAF">
        <w:rPr>
          <w:sz w:val="24"/>
          <w:szCs w:val="24"/>
        </w:rPr>
        <w:t xml:space="preserve">oog op bebouwing van </w:t>
      </w:r>
      <w:r w:rsidR="00FD0A69" w:rsidRPr="00484DAF">
        <w:rPr>
          <w:sz w:val="24"/>
          <w:szCs w:val="24"/>
        </w:rPr>
        <w:t xml:space="preserve">onbebouwde </w:t>
      </w:r>
      <w:r w:rsidRPr="00484DAF">
        <w:rPr>
          <w:sz w:val="24"/>
          <w:szCs w:val="24"/>
        </w:rPr>
        <w:t>grond.</w:t>
      </w:r>
      <w:r w:rsidR="00625E96" w:rsidRPr="00484DAF">
        <w:rPr>
          <w:rStyle w:val="Voetnootmarkering"/>
          <w:sz w:val="24"/>
          <w:szCs w:val="24"/>
        </w:rPr>
        <w:footnoteReference w:id="236"/>
      </w:r>
      <w:r w:rsidR="00FB0810" w:rsidRPr="00484DAF">
        <w:rPr>
          <w:sz w:val="24"/>
          <w:szCs w:val="24"/>
        </w:rPr>
        <w:t xml:space="preserve"> Voorts benadrukt de Hoge Raad dat het Hof het motief van fysieke handelingen als bedoeld in artikel 11, lid 4, onderdeel a Wet OB 1968 in onderhavige zaak k</w:t>
      </w:r>
      <w:r w:rsidR="00300567" w:rsidRPr="00484DAF">
        <w:rPr>
          <w:sz w:val="24"/>
          <w:szCs w:val="24"/>
        </w:rPr>
        <w:t>a</w:t>
      </w:r>
      <w:r w:rsidR="00FB0810" w:rsidRPr="00484DAF">
        <w:rPr>
          <w:sz w:val="24"/>
          <w:szCs w:val="24"/>
        </w:rPr>
        <w:t xml:space="preserve">n ontlenen aan het motief </w:t>
      </w:r>
      <w:r w:rsidRPr="00484DAF">
        <w:rPr>
          <w:sz w:val="24"/>
          <w:szCs w:val="24"/>
        </w:rPr>
        <w:t xml:space="preserve">waarmee </w:t>
      </w:r>
      <w:r w:rsidR="00FB0810" w:rsidRPr="00484DAF">
        <w:rPr>
          <w:sz w:val="24"/>
          <w:szCs w:val="24"/>
        </w:rPr>
        <w:t xml:space="preserve">tot </w:t>
      </w:r>
      <w:r w:rsidRPr="00484DAF">
        <w:rPr>
          <w:sz w:val="24"/>
          <w:szCs w:val="24"/>
        </w:rPr>
        <w:t xml:space="preserve">sloop van de opstallen </w:t>
      </w:r>
      <w:r w:rsidR="00FB0810" w:rsidRPr="00484DAF">
        <w:rPr>
          <w:sz w:val="24"/>
          <w:szCs w:val="24"/>
        </w:rPr>
        <w:t>is besloten</w:t>
      </w:r>
      <w:r w:rsidRPr="00484DAF">
        <w:rPr>
          <w:sz w:val="24"/>
          <w:szCs w:val="24"/>
        </w:rPr>
        <w:t>.</w:t>
      </w:r>
      <w:r w:rsidR="005C255C" w:rsidRPr="00484DAF">
        <w:rPr>
          <w:sz w:val="24"/>
          <w:szCs w:val="24"/>
        </w:rPr>
        <w:t xml:space="preserve"> Hiermee doelt de Hoge Raad op rechtsoverweging 4.3 </w:t>
      </w:r>
      <w:r w:rsidR="0066265D" w:rsidRPr="00484DAF">
        <w:rPr>
          <w:sz w:val="24"/>
          <w:szCs w:val="24"/>
        </w:rPr>
        <w:t xml:space="preserve">waarin onweersproken door </w:t>
      </w:r>
      <w:r w:rsidR="00B62FAC" w:rsidRPr="00484DAF">
        <w:rPr>
          <w:sz w:val="24"/>
          <w:szCs w:val="24"/>
        </w:rPr>
        <w:t xml:space="preserve">koper </w:t>
      </w:r>
      <w:r w:rsidR="0066265D" w:rsidRPr="00484DAF">
        <w:rPr>
          <w:sz w:val="24"/>
          <w:szCs w:val="24"/>
        </w:rPr>
        <w:t>wordt aangevoerd</w:t>
      </w:r>
      <w:r w:rsidR="00300567" w:rsidRPr="00484DAF">
        <w:rPr>
          <w:sz w:val="24"/>
          <w:szCs w:val="24"/>
        </w:rPr>
        <w:t>,</w:t>
      </w:r>
      <w:r w:rsidR="0066265D" w:rsidRPr="00484DAF">
        <w:rPr>
          <w:sz w:val="24"/>
          <w:szCs w:val="24"/>
        </w:rPr>
        <w:t xml:space="preserve"> dat </w:t>
      </w:r>
      <w:r w:rsidR="006944FA" w:rsidRPr="00484DAF">
        <w:rPr>
          <w:sz w:val="24"/>
          <w:szCs w:val="24"/>
        </w:rPr>
        <w:t>zowel informeel (bespreking met de gemeente) als formeel (</w:t>
      </w:r>
      <w:r w:rsidR="00625E96" w:rsidRPr="00484DAF">
        <w:rPr>
          <w:sz w:val="24"/>
          <w:szCs w:val="24"/>
        </w:rPr>
        <w:t xml:space="preserve">een </w:t>
      </w:r>
      <w:r w:rsidR="006944FA" w:rsidRPr="00484DAF">
        <w:rPr>
          <w:sz w:val="24"/>
          <w:szCs w:val="24"/>
        </w:rPr>
        <w:t>brief</w:t>
      </w:r>
      <w:r w:rsidR="00625E96" w:rsidRPr="00484DAF">
        <w:rPr>
          <w:sz w:val="24"/>
          <w:szCs w:val="24"/>
        </w:rPr>
        <w:t>)</w:t>
      </w:r>
      <w:r w:rsidR="006944FA" w:rsidRPr="00484DAF">
        <w:rPr>
          <w:sz w:val="24"/>
          <w:szCs w:val="24"/>
        </w:rPr>
        <w:t xml:space="preserve"> </w:t>
      </w:r>
      <w:r w:rsidR="00B62FAC" w:rsidRPr="00484DAF">
        <w:rPr>
          <w:sz w:val="24"/>
          <w:szCs w:val="24"/>
        </w:rPr>
        <w:t xml:space="preserve">al </w:t>
      </w:r>
      <w:r w:rsidR="006944FA" w:rsidRPr="00484DAF">
        <w:rPr>
          <w:sz w:val="24"/>
          <w:szCs w:val="24"/>
        </w:rPr>
        <w:t xml:space="preserve">lang bekend was </w:t>
      </w:r>
      <w:r w:rsidR="00B62FAC" w:rsidRPr="00484DAF">
        <w:rPr>
          <w:sz w:val="24"/>
          <w:szCs w:val="24"/>
        </w:rPr>
        <w:t xml:space="preserve">(lees: in 1998) </w:t>
      </w:r>
      <w:r w:rsidR="006944FA" w:rsidRPr="00484DAF">
        <w:rPr>
          <w:sz w:val="24"/>
          <w:szCs w:val="24"/>
        </w:rPr>
        <w:t>dat een reële kans bestond dat de bestemming</w:t>
      </w:r>
      <w:r w:rsidR="00CF1143" w:rsidRPr="00484DAF">
        <w:rPr>
          <w:sz w:val="24"/>
          <w:szCs w:val="24"/>
        </w:rPr>
        <w:t xml:space="preserve"> </w:t>
      </w:r>
      <w:r w:rsidR="006944FA" w:rsidRPr="00484DAF">
        <w:rPr>
          <w:sz w:val="24"/>
          <w:szCs w:val="24"/>
        </w:rPr>
        <w:t>van het perceel in woningbouw gewijzigd zou worden.</w:t>
      </w:r>
      <w:r w:rsidR="00544A63" w:rsidRPr="00484DAF">
        <w:rPr>
          <w:rStyle w:val="Voetnootmarkering"/>
          <w:sz w:val="24"/>
          <w:szCs w:val="24"/>
        </w:rPr>
        <w:footnoteReference w:id="237"/>
      </w:r>
      <w:r w:rsidR="00625E96" w:rsidRPr="00484DAF">
        <w:rPr>
          <w:sz w:val="24"/>
          <w:szCs w:val="24"/>
        </w:rPr>
        <w:t xml:space="preserve"> </w:t>
      </w:r>
      <w:r w:rsidR="00544A63" w:rsidRPr="00484DAF">
        <w:rPr>
          <w:sz w:val="24"/>
          <w:szCs w:val="24"/>
        </w:rPr>
        <w:t xml:space="preserve">Klaarblijkelijk </w:t>
      </w:r>
      <w:r w:rsidR="005C255C" w:rsidRPr="00484DAF">
        <w:rPr>
          <w:sz w:val="24"/>
          <w:szCs w:val="24"/>
        </w:rPr>
        <w:t>voert de Hoge Raad hier een subjectief criterium</w:t>
      </w:r>
      <w:r w:rsidR="003052DF" w:rsidRPr="00484DAF">
        <w:rPr>
          <w:sz w:val="24"/>
          <w:szCs w:val="24"/>
        </w:rPr>
        <w:t xml:space="preserve"> aan</w:t>
      </w:r>
      <w:r w:rsidR="005C255C" w:rsidRPr="00484DAF">
        <w:rPr>
          <w:sz w:val="24"/>
          <w:szCs w:val="24"/>
        </w:rPr>
        <w:t xml:space="preserve"> wat ‘met oog op bebouwing’ in</w:t>
      </w:r>
      <w:r w:rsidR="006944FA" w:rsidRPr="00484DAF">
        <w:rPr>
          <w:sz w:val="24"/>
          <w:szCs w:val="24"/>
        </w:rPr>
        <w:t xml:space="preserve">houdt, omdat in samenhang met het bouwrijp maken van de onbebouwde grond aannemelijk wordt </w:t>
      </w:r>
      <w:r w:rsidR="00300567" w:rsidRPr="00484DAF">
        <w:rPr>
          <w:sz w:val="24"/>
          <w:szCs w:val="24"/>
        </w:rPr>
        <w:t>g</w:t>
      </w:r>
      <w:r w:rsidR="006944FA" w:rsidRPr="00484DAF">
        <w:rPr>
          <w:sz w:val="24"/>
          <w:szCs w:val="24"/>
        </w:rPr>
        <w:t>evonden dat ook sloop van het schoolgebouw heeft plaatsgevonden met het oog op bebouwing.</w:t>
      </w:r>
      <w:r w:rsidR="00625E96" w:rsidRPr="00484DAF">
        <w:rPr>
          <w:sz w:val="24"/>
          <w:szCs w:val="24"/>
        </w:rPr>
        <w:t xml:space="preserve"> Gelijk aan de uitspraak van het Hof oordeelt de Hoge Raad dat sprake is van een </w:t>
      </w:r>
      <w:r w:rsidR="00FB0810" w:rsidRPr="00484DAF">
        <w:rPr>
          <w:sz w:val="24"/>
          <w:szCs w:val="24"/>
        </w:rPr>
        <w:t>bouwterrein als bedoeld in artikel 11, eerste lid, onderdeel a, ten eerste</w:t>
      </w:r>
      <w:r w:rsidR="00625E96" w:rsidRPr="00484DAF">
        <w:rPr>
          <w:sz w:val="24"/>
          <w:szCs w:val="24"/>
        </w:rPr>
        <w:t xml:space="preserve"> Wet OB 1968 en tegelijk beroep op de samenloopvrijstelling van </w:t>
      </w:r>
      <w:r w:rsidR="00FB0810" w:rsidRPr="00484DAF">
        <w:rPr>
          <w:sz w:val="24"/>
          <w:szCs w:val="24"/>
        </w:rPr>
        <w:t>artikel 15, lid</w:t>
      </w:r>
      <w:r w:rsidR="001D3CF7" w:rsidRPr="00484DAF">
        <w:rPr>
          <w:sz w:val="24"/>
          <w:szCs w:val="24"/>
        </w:rPr>
        <w:t xml:space="preserve"> 1</w:t>
      </w:r>
      <w:r w:rsidR="00FB0810" w:rsidRPr="00484DAF">
        <w:rPr>
          <w:sz w:val="24"/>
          <w:szCs w:val="24"/>
        </w:rPr>
        <w:t>, onderdeel a</w:t>
      </w:r>
      <w:r w:rsidR="006576E8" w:rsidRPr="00484DAF">
        <w:rPr>
          <w:sz w:val="24"/>
          <w:szCs w:val="24"/>
        </w:rPr>
        <w:t xml:space="preserve"> Wet BRV</w:t>
      </w:r>
      <w:r w:rsidR="001D3CF7" w:rsidRPr="00484DAF">
        <w:rPr>
          <w:sz w:val="24"/>
          <w:szCs w:val="24"/>
        </w:rPr>
        <w:t xml:space="preserve"> </w:t>
      </w:r>
      <w:r w:rsidR="00625E96" w:rsidRPr="00484DAF">
        <w:rPr>
          <w:sz w:val="24"/>
          <w:szCs w:val="24"/>
        </w:rPr>
        <w:t>terecht is.</w:t>
      </w:r>
    </w:p>
    <w:p w:rsidR="00557A1F" w:rsidRPr="00484DAF" w:rsidRDefault="00557A1F" w:rsidP="00CC552D">
      <w:pPr>
        <w:pStyle w:val="Geenafstand"/>
        <w:spacing w:line="360" w:lineRule="auto"/>
        <w:rPr>
          <w:sz w:val="24"/>
          <w:szCs w:val="24"/>
        </w:rPr>
      </w:pPr>
    </w:p>
    <w:p w:rsidR="00ED1270" w:rsidRPr="00484DAF" w:rsidRDefault="00ED1270" w:rsidP="00CC552D">
      <w:pPr>
        <w:pStyle w:val="Kop2"/>
        <w:spacing w:before="0" w:line="360" w:lineRule="auto"/>
        <w:rPr>
          <w:rFonts w:ascii="Times New Roman" w:hAnsi="Times New Roman"/>
          <w:color w:val="auto"/>
          <w:sz w:val="24"/>
          <w:szCs w:val="24"/>
        </w:rPr>
      </w:pPr>
      <w:bookmarkStart w:id="103" w:name="_Toc254043954"/>
      <w:r w:rsidRPr="00484DAF">
        <w:rPr>
          <w:rFonts w:ascii="Times New Roman" w:hAnsi="Times New Roman"/>
          <w:color w:val="auto"/>
          <w:sz w:val="24"/>
          <w:szCs w:val="24"/>
        </w:rPr>
        <w:t>5.3.</w:t>
      </w:r>
      <w:r w:rsidR="001C129E" w:rsidRPr="00484DAF">
        <w:rPr>
          <w:rFonts w:ascii="Times New Roman" w:hAnsi="Times New Roman"/>
          <w:color w:val="auto"/>
          <w:sz w:val="24"/>
          <w:szCs w:val="24"/>
        </w:rPr>
        <w:t>3</w:t>
      </w:r>
      <w:r w:rsidRPr="00484DAF">
        <w:rPr>
          <w:rFonts w:ascii="Times New Roman" w:hAnsi="Times New Roman"/>
          <w:color w:val="auto"/>
          <w:sz w:val="24"/>
          <w:szCs w:val="24"/>
        </w:rPr>
        <w:t xml:space="preserve"> </w:t>
      </w:r>
      <w:r w:rsidR="00FF55B7" w:rsidRPr="00484DAF">
        <w:rPr>
          <w:rFonts w:ascii="Times New Roman" w:hAnsi="Times New Roman"/>
          <w:color w:val="auto"/>
          <w:sz w:val="24"/>
          <w:szCs w:val="24"/>
        </w:rPr>
        <w:t>Ruimere bocht</w:t>
      </w:r>
      <w:bookmarkEnd w:id="103"/>
    </w:p>
    <w:p w:rsidR="00FF55B7" w:rsidRPr="00484DAF" w:rsidRDefault="00CE3C93" w:rsidP="00CC552D">
      <w:pPr>
        <w:spacing w:after="0" w:line="360" w:lineRule="auto"/>
        <w:rPr>
          <w:sz w:val="24"/>
          <w:szCs w:val="24"/>
        </w:rPr>
      </w:pPr>
      <w:r w:rsidRPr="00484DAF">
        <w:rPr>
          <w:sz w:val="24"/>
          <w:szCs w:val="24"/>
        </w:rPr>
        <w:t xml:space="preserve">Na de onlangs gewezen arresten inzake bouwterreinen lijkt het alsof de Hoge Raad zich in </w:t>
      </w:r>
      <w:r w:rsidR="001D3CF7" w:rsidRPr="00484DAF">
        <w:rPr>
          <w:sz w:val="24"/>
          <w:szCs w:val="24"/>
        </w:rPr>
        <w:t xml:space="preserve">het Jeugdhonkarrest heeft </w:t>
      </w:r>
      <w:r w:rsidRPr="00484DAF">
        <w:rPr>
          <w:sz w:val="24"/>
          <w:szCs w:val="24"/>
        </w:rPr>
        <w:t xml:space="preserve">verscholen achter de feitelijke vaststelling van Hof Den Haag dat de </w:t>
      </w:r>
      <w:r w:rsidRPr="00484DAF">
        <w:rPr>
          <w:sz w:val="24"/>
          <w:szCs w:val="24"/>
        </w:rPr>
        <w:lastRenderedPageBreak/>
        <w:t>sloopwerkzaamheden toentertijd als ‘laatste sloopwerkzaamheden’</w:t>
      </w:r>
      <w:r w:rsidR="00D417EA" w:rsidRPr="00484DAF">
        <w:rPr>
          <w:sz w:val="24"/>
          <w:szCs w:val="24"/>
        </w:rPr>
        <w:t xml:space="preserve"> </w:t>
      </w:r>
      <w:r w:rsidRPr="00484DAF">
        <w:rPr>
          <w:sz w:val="24"/>
          <w:szCs w:val="24"/>
        </w:rPr>
        <w:t>werden aangemerkt.</w:t>
      </w:r>
      <w:r w:rsidRPr="00484DAF">
        <w:rPr>
          <w:rStyle w:val="Voetnootmarkering"/>
          <w:sz w:val="24"/>
          <w:szCs w:val="24"/>
        </w:rPr>
        <w:footnoteReference w:id="238"/>
      </w:r>
      <w:r w:rsidRPr="00484DAF">
        <w:rPr>
          <w:sz w:val="24"/>
          <w:szCs w:val="24"/>
        </w:rPr>
        <w:t xml:space="preserve"> In beide arresten van 14 november 2008 was het echter wel aan de Hoge Raad om de rechtsov</w:t>
      </w:r>
      <w:r w:rsidR="00F314F6" w:rsidRPr="00484DAF">
        <w:rPr>
          <w:sz w:val="24"/>
          <w:szCs w:val="24"/>
        </w:rPr>
        <w:t>erwegingen van het Hof te toets</w:t>
      </w:r>
      <w:r w:rsidRPr="00484DAF">
        <w:rPr>
          <w:sz w:val="24"/>
          <w:szCs w:val="24"/>
        </w:rPr>
        <w:t xml:space="preserve">en aangezien het middel in cassatie </w:t>
      </w:r>
      <w:r w:rsidR="00666F55" w:rsidRPr="00484DAF">
        <w:rPr>
          <w:sz w:val="24"/>
          <w:szCs w:val="24"/>
        </w:rPr>
        <w:t xml:space="preserve">onjuiste interpretatie door het Hof trachtte te </w:t>
      </w:r>
      <w:r w:rsidR="001D3CF7" w:rsidRPr="00484DAF">
        <w:rPr>
          <w:sz w:val="24"/>
          <w:szCs w:val="24"/>
        </w:rPr>
        <w:t>motiveren</w:t>
      </w:r>
      <w:r w:rsidR="00666F55" w:rsidRPr="00484DAF">
        <w:rPr>
          <w:sz w:val="24"/>
          <w:szCs w:val="24"/>
        </w:rPr>
        <w:t xml:space="preserve">. De Hoge Raad lijkt er op aan te sturen dat de fase van sloophandelingen op een gegeven moment stopt, waarna elke volgende handeling </w:t>
      </w:r>
      <w:r w:rsidR="001D3CF7" w:rsidRPr="00484DAF">
        <w:rPr>
          <w:sz w:val="24"/>
          <w:szCs w:val="24"/>
        </w:rPr>
        <w:t>(mits aan het oogmerk bebouwing</w:t>
      </w:r>
      <w:r w:rsidR="00666F55" w:rsidRPr="00484DAF">
        <w:rPr>
          <w:sz w:val="24"/>
          <w:szCs w:val="24"/>
        </w:rPr>
        <w:t xml:space="preserve"> is voldaan</w:t>
      </w:r>
      <w:r w:rsidR="001D3CF7" w:rsidRPr="00484DAF">
        <w:rPr>
          <w:sz w:val="24"/>
          <w:szCs w:val="24"/>
        </w:rPr>
        <w:t>)</w:t>
      </w:r>
      <w:r w:rsidR="00666F55" w:rsidRPr="00484DAF">
        <w:rPr>
          <w:sz w:val="24"/>
          <w:szCs w:val="24"/>
        </w:rPr>
        <w:t xml:space="preserve"> tot kwalificatie </w:t>
      </w:r>
      <w:r w:rsidR="00300567" w:rsidRPr="00484DAF">
        <w:rPr>
          <w:sz w:val="24"/>
          <w:szCs w:val="24"/>
        </w:rPr>
        <w:t xml:space="preserve">van </w:t>
      </w:r>
      <w:r w:rsidR="00666F55" w:rsidRPr="00484DAF">
        <w:rPr>
          <w:sz w:val="24"/>
          <w:szCs w:val="24"/>
        </w:rPr>
        <w:t xml:space="preserve">bouwterrein kan leiden. </w:t>
      </w:r>
      <w:r w:rsidR="00666F55" w:rsidRPr="00484DAF">
        <w:rPr>
          <w:i/>
          <w:sz w:val="24"/>
          <w:szCs w:val="24"/>
        </w:rPr>
        <w:t>Bijl</w:t>
      </w:r>
      <w:r w:rsidR="00666F55" w:rsidRPr="00484DAF">
        <w:rPr>
          <w:rStyle w:val="Voetnootmarkering"/>
          <w:i/>
          <w:sz w:val="24"/>
          <w:szCs w:val="24"/>
        </w:rPr>
        <w:footnoteReference w:id="239"/>
      </w:r>
      <w:r w:rsidR="00666F55" w:rsidRPr="00484DAF">
        <w:rPr>
          <w:i/>
          <w:sz w:val="24"/>
          <w:szCs w:val="24"/>
        </w:rPr>
        <w:t xml:space="preserve"> </w:t>
      </w:r>
      <w:r w:rsidR="00666F55" w:rsidRPr="00484DAF">
        <w:rPr>
          <w:sz w:val="24"/>
          <w:szCs w:val="24"/>
        </w:rPr>
        <w:t>onderscheid</w:t>
      </w:r>
      <w:r w:rsidR="001D3CF7" w:rsidRPr="00484DAF">
        <w:rPr>
          <w:sz w:val="24"/>
          <w:szCs w:val="24"/>
        </w:rPr>
        <w:t>t</w:t>
      </w:r>
      <w:r w:rsidR="00666F55" w:rsidRPr="00484DAF">
        <w:rPr>
          <w:sz w:val="24"/>
          <w:szCs w:val="24"/>
        </w:rPr>
        <w:t xml:space="preserve"> </w:t>
      </w:r>
      <w:r w:rsidR="00455E9D" w:rsidRPr="00484DAF">
        <w:rPr>
          <w:sz w:val="24"/>
          <w:szCs w:val="24"/>
        </w:rPr>
        <w:t xml:space="preserve">in de noot bij de arresten van 14 november 2008 </w:t>
      </w:r>
      <w:r w:rsidR="00666F55" w:rsidRPr="00484DAF">
        <w:rPr>
          <w:sz w:val="24"/>
          <w:szCs w:val="24"/>
        </w:rPr>
        <w:t>drie stadia in het sloopproces.</w:t>
      </w:r>
      <w:r w:rsidR="006173C7" w:rsidRPr="00484DAF">
        <w:rPr>
          <w:sz w:val="24"/>
          <w:szCs w:val="24"/>
        </w:rPr>
        <w:t xml:space="preserve"> De eerste is het gebouw met bijbehorend terrein (oftewel de beginsituatie). Na sloop vangt de tweede fase aan, namelijk onbebouwde grond niet zijnde bouwterrein.</w:t>
      </w:r>
      <w:r w:rsidR="00D417EA" w:rsidRPr="00484DAF">
        <w:rPr>
          <w:sz w:val="24"/>
          <w:szCs w:val="24"/>
        </w:rPr>
        <w:t xml:space="preserve"> </w:t>
      </w:r>
      <w:r w:rsidR="006173C7" w:rsidRPr="00484DAF">
        <w:rPr>
          <w:sz w:val="24"/>
          <w:szCs w:val="24"/>
        </w:rPr>
        <w:t>Indien vervolgens aan één van de criteria van artikel 11, lid 4 Wet OB 1968 wordt voldaan, is het derde stadium een feit: bouwterrein.</w:t>
      </w:r>
      <w:r w:rsidR="009864D5" w:rsidRPr="00484DAF">
        <w:rPr>
          <w:sz w:val="24"/>
          <w:szCs w:val="24"/>
        </w:rPr>
        <w:t xml:space="preserve"> Daarbij mag </w:t>
      </w:r>
      <w:r w:rsidR="00E003AA" w:rsidRPr="00484DAF">
        <w:rPr>
          <w:sz w:val="24"/>
          <w:szCs w:val="24"/>
        </w:rPr>
        <w:t xml:space="preserve">van de Hoge Raad </w:t>
      </w:r>
      <w:r w:rsidR="009864D5" w:rsidRPr="00484DAF">
        <w:rPr>
          <w:sz w:val="24"/>
          <w:szCs w:val="24"/>
        </w:rPr>
        <w:t>voor het motief van de bewerking worden aangesloten bij de reden van sloop.</w:t>
      </w:r>
    </w:p>
    <w:p w:rsidR="00F314F6" w:rsidRPr="00484DAF" w:rsidRDefault="00F314F6" w:rsidP="00CC552D">
      <w:pPr>
        <w:pStyle w:val="Geenafstand"/>
        <w:spacing w:line="360" w:lineRule="auto"/>
        <w:rPr>
          <w:sz w:val="24"/>
          <w:szCs w:val="24"/>
        </w:rPr>
      </w:pPr>
    </w:p>
    <w:p w:rsidR="00ED1270" w:rsidRPr="00484DAF" w:rsidRDefault="00E003AA" w:rsidP="00CC552D">
      <w:pPr>
        <w:spacing w:after="0" w:line="360" w:lineRule="auto"/>
        <w:rPr>
          <w:sz w:val="24"/>
          <w:szCs w:val="24"/>
        </w:rPr>
      </w:pPr>
      <w:r w:rsidRPr="00484DAF">
        <w:rPr>
          <w:i/>
          <w:sz w:val="24"/>
          <w:szCs w:val="24"/>
        </w:rPr>
        <w:t>Eryilmaz</w:t>
      </w:r>
      <w:r w:rsidRPr="00484DAF">
        <w:rPr>
          <w:rStyle w:val="Voetnootmarkering"/>
          <w:i/>
          <w:sz w:val="24"/>
          <w:szCs w:val="24"/>
        </w:rPr>
        <w:footnoteReference w:id="240"/>
      </w:r>
      <w:r w:rsidRPr="00484DAF">
        <w:rPr>
          <w:sz w:val="24"/>
          <w:szCs w:val="24"/>
        </w:rPr>
        <w:t xml:space="preserve"> merkt op dat de Hoge Raad in het Jeugdhonkarrest te kort door de bocht lijkt te gaan.</w:t>
      </w:r>
      <w:r w:rsidR="00455E9D" w:rsidRPr="00484DAF">
        <w:rPr>
          <w:sz w:val="24"/>
          <w:szCs w:val="24"/>
        </w:rPr>
        <w:t xml:space="preserve"> Zijn stelling onderschrijf ik. Indien namelijk in genoemd </w:t>
      </w:r>
      <w:r w:rsidR="001D3CF7" w:rsidRPr="00484DAF">
        <w:rPr>
          <w:sz w:val="24"/>
          <w:szCs w:val="24"/>
        </w:rPr>
        <w:t xml:space="preserve">arrest </w:t>
      </w:r>
      <w:r w:rsidR="00455E9D" w:rsidRPr="00484DAF">
        <w:rPr>
          <w:sz w:val="24"/>
          <w:szCs w:val="24"/>
        </w:rPr>
        <w:t xml:space="preserve">was geredeneerd dat na de sloop </w:t>
      </w:r>
      <w:r w:rsidR="001D3CF7" w:rsidRPr="00484DAF">
        <w:rPr>
          <w:sz w:val="24"/>
          <w:szCs w:val="24"/>
        </w:rPr>
        <w:t xml:space="preserve">(al dan niet uit veiligheidsoverwegingen) </w:t>
      </w:r>
      <w:r w:rsidR="00455E9D" w:rsidRPr="00484DAF">
        <w:rPr>
          <w:sz w:val="24"/>
          <w:szCs w:val="24"/>
        </w:rPr>
        <w:t>van de door brand verwoest</w:t>
      </w:r>
      <w:r w:rsidR="001D3CF7" w:rsidRPr="00484DAF">
        <w:rPr>
          <w:sz w:val="24"/>
          <w:szCs w:val="24"/>
        </w:rPr>
        <w:t>e</w:t>
      </w:r>
      <w:r w:rsidR="00455E9D" w:rsidRPr="00484DAF">
        <w:rPr>
          <w:sz w:val="24"/>
          <w:szCs w:val="24"/>
        </w:rPr>
        <w:t xml:space="preserve"> opstallen onbebouwde grond was </w:t>
      </w:r>
      <w:r w:rsidR="004016C9" w:rsidRPr="00484DAF">
        <w:rPr>
          <w:sz w:val="24"/>
          <w:szCs w:val="24"/>
        </w:rPr>
        <w:t>ontstaan</w:t>
      </w:r>
      <w:r w:rsidR="00455E9D" w:rsidRPr="00484DAF">
        <w:rPr>
          <w:sz w:val="24"/>
          <w:szCs w:val="24"/>
        </w:rPr>
        <w:t>, had het opvullen van gaten met zand als eerste bewerking aan de grond met het oog op bebouwing</w:t>
      </w:r>
      <w:r w:rsidR="00B63E9A" w:rsidRPr="00484DAF">
        <w:rPr>
          <w:sz w:val="24"/>
          <w:szCs w:val="24"/>
        </w:rPr>
        <w:t xml:space="preserve"> kunnen worden aangemerkt</w:t>
      </w:r>
      <w:r w:rsidR="00455E9D" w:rsidRPr="00484DAF">
        <w:rPr>
          <w:sz w:val="24"/>
          <w:szCs w:val="24"/>
        </w:rPr>
        <w:t>. Zonder het opvullen van gaten waar oorspronkelijk de fundering lag, kan</w:t>
      </w:r>
      <w:r w:rsidR="00B63E9A" w:rsidRPr="00484DAF">
        <w:rPr>
          <w:sz w:val="24"/>
          <w:szCs w:val="24"/>
        </w:rPr>
        <w:t xml:space="preserve"> immers</w:t>
      </w:r>
      <w:r w:rsidR="00455E9D" w:rsidRPr="00484DAF">
        <w:rPr>
          <w:sz w:val="24"/>
          <w:szCs w:val="24"/>
        </w:rPr>
        <w:t xml:space="preserve"> niet worden gebouwd op het betreffende perceel, waardoor deze handeling een eerste bewerking tot bebouwing vormt in plaats van de laatste sloophandeling. </w:t>
      </w:r>
      <w:r w:rsidR="004016C9" w:rsidRPr="00484DAF">
        <w:rPr>
          <w:sz w:val="24"/>
          <w:szCs w:val="24"/>
        </w:rPr>
        <w:t xml:space="preserve">Duidelijk is dat het onderscheid tussen de arresten van 14 november 2008 en het Jeugdhonkarrest flinterdun is, waarbij een subjectief element het onderscheid kan maken. </w:t>
      </w:r>
      <w:r w:rsidR="00793693" w:rsidRPr="00484DAF">
        <w:rPr>
          <w:sz w:val="24"/>
          <w:szCs w:val="24"/>
        </w:rPr>
        <w:t xml:space="preserve">Dit is echter </w:t>
      </w:r>
      <w:r w:rsidR="00B63E9A" w:rsidRPr="00484DAF">
        <w:rPr>
          <w:sz w:val="24"/>
          <w:szCs w:val="24"/>
        </w:rPr>
        <w:t xml:space="preserve">niet </w:t>
      </w:r>
      <w:r w:rsidR="00793693" w:rsidRPr="00484DAF">
        <w:rPr>
          <w:sz w:val="24"/>
          <w:szCs w:val="24"/>
        </w:rPr>
        <w:t>“des omzetbelasting”, omdat het een zakelijke belasting betreft di</w:t>
      </w:r>
      <w:r w:rsidR="00F314F6" w:rsidRPr="00484DAF">
        <w:rPr>
          <w:sz w:val="24"/>
          <w:szCs w:val="24"/>
        </w:rPr>
        <w:t>e niet dient te worden verstoord</w:t>
      </w:r>
      <w:r w:rsidR="00793693" w:rsidRPr="00484DAF">
        <w:rPr>
          <w:sz w:val="24"/>
          <w:szCs w:val="24"/>
        </w:rPr>
        <w:t xml:space="preserve"> door subjectieve elementen.</w:t>
      </w:r>
      <w:r w:rsidR="0014718F" w:rsidRPr="00484DAF">
        <w:rPr>
          <w:rStyle w:val="Voetnootmarkering"/>
          <w:sz w:val="24"/>
          <w:szCs w:val="24"/>
        </w:rPr>
        <w:footnoteReference w:id="241"/>
      </w:r>
      <w:r w:rsidR="00793693" w:rsidRPr="00484DAF">
        <w:rPr>
          <w:sz w:val="24"/>
          <w:szCs w:val="24"/>
        </w:rPr>
        <w:t xml:space="preserve"> Dit blijkt uit het </w:t>
      </w:r>
      <w:r w:rsidR="0014718F" w:rsidRPr="00484DAF">
        <w:rPr>
          <w:sz w:val="24"/>
          <w:szCs w:val="24"/>
        </w:rPr>
        <w:t xml:space="preserve">door het HvJ EG </w:t>
      </w:r>
      <w:r w:rsidR="00793693" w:rsidRPr="00484DAF">
        <w:rPr>
          <w:sz w:val="24"/>
          <w:szCs w:val="24"/>
        </w:rPr>
        <w:t>gekoesterde neutraliteitsbeginsel waaruit volgt dat twee gelijke</w:t>
      </w:r>
      <w:r w:rsidR="0014718F" w:rsidRPr="00484DAF">
        <w:rPr>
          <w:sz w:val="24"/>
          <w:szCs w:val="24"/>
        </w:rPr>
        <w:t xml:space="preserve"> prestaties gelijk behandeld dienen te worden.</w:t>
      </w:r>
      <w:r w:rsidR="0014718F" w:rsidRPr="00484DAF">
        <w:rPr>
          <w:rStyle w:val="Voetnootmarkering"/>
          <w:sz w:val="24"/>
          <w:szCs w:val="24"/>
        </w:rPr>
        <w:footnoteReference w:id="242"/>
      </w:r>
      <w:r w:rsidR="00FF55B7" w:rsidRPr="00484DAF">
        <w:rPr>
          <w:sz w:val="24"/>
          <w:szCs w:val="24"/>
        </w:rPr>
        <w:t xml:space="preserve"> </w:t>
      </w:r>
      <w:r w:rsidR="00FF55B7" w:rsidRPr="00484DAF">
        <w:rPr>
          <w:i/>
          <w:sz w:val="24"/>
          <w:szCs w:val="24"/>
        </w:rPr>
        <w:t>Bijl</w:t>
      </w:r>
      <w:r w:rsidR="00D417EA" w:rsidRPr="00484DAF">
        <w:rPr>
          <w:i/>
          <w:sz w:val="24"/>
          <w:szCs w:val="24"/>
        </w:rPr>
        <w:t xml:space="preserve"> </w:t>
      </w:r>
      <w:r w:rsidR="00FF55B7" w:rsidRPr="00484DAF">
        <w:rPr>
          <w:sz w:val="24"/>
          <w:szCs w:val="24"/>
        </w:rPr>
        <w:t xml:space="preserve">wijst voorts op de onwenselijkheid van een subjectief criterium in het bijzondere geval </w:t>
      </w:r>
      <w:r w:rsidR="00B63E9A" w:rsidRPr="00484DAF">
        <w:rPr>
          <w:sz w:val="24"/>
          <w:szCs w:val="24"/>
        </w:rPr>
        <w:t xml:space="preserve">van </w:t>
      </w:r>
      <w:r w:rsidR="00FF55B7" w:rsidRPr="00484DAF">
        <w:rPr>
          <w:sz w:val="24"/>
          <w:szCs w:val="24"/>
        </w:rPr>
        <w:t xml:space="preserve">belaste levering van onroerend goed van rechtswege, omdat de BTW-kwalificatie direct gevolgen heeft voor de samenloopvrijstelling </w:t>
      </w:r>
      <w:r w:rsidR="00FF55B7" w:rsidRPr="00484DAF">
        <w:rPr>
          <w:sz w:val="24"/>
          <w:szCs w:val="24"/>
        </w:rPr>
        <w:lastRenderedPageBreak/>
        <w:t>van de overdrachtsbelasting (welke ook nog eens een totaal ander rechtskarakter heeft dan de omzetbelasting) en dit tot onbevredigende uitkomsten zou kunnen leiden.</w:t>
      </w:r>
    </w:p>
    <w:p w:rsidR="008C14A9" w:rsidRPr="00484DAF" w:rsidRDefault="008C14A9" w:rsidP="00CC552D">
      <w:pPr>
        <w:pStyle w:val="Geenafstand"/>
        <w:spacing w:line="360" w:lineRule="auto"/>
        <w:rPr>
          <w:sz w:val="24"/>
          <w:szCs w:val="24"/>
        </w:rPr>
      </w:pPr>
    </w:p>
    <w:p w:rsidR="00C11AB8" w:rsidRPr="00484DAF" w:rsidRDefault="00C11AB8" w:rsidP="00CC552D">
      <w:pPr>
        <w:pStyle w:val="Kop1"/>
        <w:spacing w:before="0" w:line="360" w:lineRule="auto"/>
        <w:rPr>
          <w:rFonts w:ascii="Times New Roman" w:hAnsi="Times New Roman"/>
          <w:color w:val="auto"/>
          <w:sz w:val="24"/>
          <w:szCs w:val="24"/>
        </w:rPr>
      </w:pPr>
      <w:bookmarkStart w:id="104" w:name="_Toc254043955"/>
      <w:r w:rsidRPr="00484DAF">
        <w:rPr>
          <w:rFonts w:ascii="Times New Roman" w:hAnsi="Times New Roman"/>
          <w:color w:val="auto"/>
          <w:sz w:val="24"/>
          <w:szCs w:val="24"/>
        </w:rPr>
        <w:t>5.</w:t>
      </w:r>
      <w:r w:rsidR="00B9752E" w:rsidRPr="00484DAF">
        <w:rPr>
          <w:rFonts w:ascii="Times New Roman" w:hAnsi="Times New Roman"/>
          <w:color w:val="auto"/>
          <w:sz w:val="24"/>
          <w:szCs w:val="24"/>
        </w:rPr>
        <w:t>4</w:t>
      </w:r>
      <w:r w:rsidRPr="00484DAF">
        <w:rPr>
          <w:rFonts w:ascii="Times New Roman" w:hAnsi="Times New Roman"/>
          <w:color w:val="auto"/>
          <w:sz w:val="24"/>
          <w:szCs w:val="24"/>
        </w:rPr>
        <w:t xml:space="preserve"> Oud onroerend goed –</w:t>
      </w:r>
      <w:r w:rsidR="001A36AF" w:rsidRPr="00484DAF">
        <w:rPr>
          <w:rFonts w:ascii="Times New Roman" w:hAnsi="Times New Roman"/>
          <w:color w:val="auto"/>
          <w:sz w:val="24"/>
          <w:szCs w:val="24"/>
        </w:rPr>
        <w:t xml:space="preserve"> </w:t>
      </w:r>
      <w:r w:rsidR="0011030A" w:rsidRPr="00484DAF">
        <w:rPr>
          <w:rFonts w:ascii="Times New Roman" w:hAnsi="Times New Roman"/>
          <w:color w:val="auto"/>
          <w:sz w:val="24"/>
          <w:szCs w:val="24"/>
        </w:rPr>
        <w:t xml:space="preserve">levering </w:t>
      </w:r>
      <w:r w:rsidR="001A36AF" w:rsidRPr="00484DAF">
        <w:rPr>
          <w:rFonts w:ascii="Times New Roman" w:hAnsi="Times New Roman"/>
          <w:color w:val="auto"/>
          <w:sz w:val="24"/>
          <w:szCs w:val="24"/>
        </w:rPr>
        <w:t xml:space="preserve">tijdens sloop - </w:t>
      </w:r>
      <w:r w:rsidRPr="00484DAF">
        <w:rPr>
          <w:rFonts w:ascii="Times New Roman" w:hAnsi="Times New Roman"/>
          <w:color w:val="auto"/>
          <w:sz w:val="24"/>
          <w:szCs w:val="24"/>
        </w:rPr>
        <w:t>nieuw onroerend goed</w:t>
      </w:r>
      <w:bookmarkEnd w:id="104"/>
    </w:p>
    <w:p w:rsidR="00C5099E" w:rsidRPr="00484DAF" w:rsidRDefault="00285A07" w:rsidP="00CC552D">
      <w:pPr>
        <w:pStyle w:val="Geenafstand"/>
        <w:spacing w:line="360" w:lineRule="auto"/>
        <w:rPr>
          <w:sz w:val="24"/>
          <w:szCs w:val="24"/>
        </w:rPr>
      </w:pPr>
      <w:r w:rsidRPr="00484DAF">
        <w:rPr>
          <w:sz w:val="24"/>
          <w:szCs w:val="24"/>
        </w:rPr>
        <w:t>Deze paragraaf beschrijft de situatie waarin een gebouw door</w:t>
      </w:r>
      <w:r w:rsidR="00B52D7C" w:rsidRPr="00484DAF">
        <w:rPr>
          <w:sz w:val="24"/>
          <w:szCs w:val="24"/>
        </w:rPr>
        <w:t xml:space="preserve"> verbouwing</w:t>
      </w:r>
      <w:r w:rsidRPr="00484DAF">
        <w:rPr>
          <w:sz w:val="24"/>
          <w:szCs w:val="24"/>
        </w:rPr>
        <w:t xml:space="preserve"> in nieuwbouw verandert. </w:t>
      </w:r>
      <w:r w:rsidR="00B52D7C" w:rsidRPr="00484DAF">
        <w:rPr>
          <w:sz w:val="24"/>
          <w:szCs w:val="24"/>
        </w:rPr>
        <w:t>Als kernarrest in dezen wordt aangeduid een arrest van 7 maart 2003.</w:t>
      </w:r>
      <w:r w:rsidR="00B52D7C" w:rsidRPr="00484DAF">
        <w:rPr>
          <w:rStyle w:val="Voetnootmarkering"/>
          <w:sz w:val="24"/>
          <w:szCs w:val="24"/>
        </w:rPr>
        <w:footnoteReference w:id="243"/>
      </w:r>
      <w:r w:rsidR="00B52D7C" w:rsidRPr="00484DAF">
        <w:rPr>
          <w:sz w:val="24"/>
          <w:szCs w:val="24"/>
        </w:rPr>
        <w:t xml:space="preserve"> </w:t>
      </w:r>
      <w:r w:rsidR="00015D05" w:rsidRPr="00484DAF">
        <w:rPr>
          <w:sz w:val="24"/>
          <w:szCs w:val="24"/>
        </w:rPr>
        <w:t>Waar het arrest van 10 augustus 2001 de vraag betrof of door sloop een bouwterrein wordt vervaardigd, betreft dit arrest de vraag of sloop ni</w:t>
      </w:r>
      <w:r w:rsidR="001A2560" w:rsidRPr="00484DAF">
        <w:rPr>
          <w:sz w:val="24"/>
          <w:szCs w:val="24"/>
        </w:rPr>
        <w:t>euw onroerend goed vervaardigt.</w:t>
      </w:r>
    </w:p>
    <w:p w:rsidR="001A2560" w:rsidRPr="00484DAF" w:rsidRDefault="001A2560" w:rsidP="00CC552D">
      <w:pPr>
        <w:pStyle w:val="Geenafstand"/>
        <w:spacing w:line="360" w:lineRule="auto"/>
        <w:rPr>
          <w:sz w:val="24"/>
          <w:szCs w:val="24"/>
        </w:rPr>
      </w:pPr>
    </w:p>
    <w:p w:rsidR="00C5099E" w:rsidRPr="00484DAF" w:rsidRDefault="00C5099E" w:rsidP="00CC552D">
      <w:pPr>
        <w:pStyle w:val="Kop2"/>
        <w:spacing w:before="0" w:line="360" w:lineRule="auto"/>
        <w:rPr>
          <w:rFonts w:ascii="Times New Roman" w:hAnsi="Times New Roman"/>
          <w:color w:val="auto"/>
          <w:sz w:val="24"/>
          <w:szCs w:val="24"/>
        </w:rPr>
      </w:pPr>
      <w:bookmarkStart w:id="105" w:name="_Toc254043956"/>
      <w:r w:rsidRPr="00484DAF">
        <w:rPr>
          <w:rFonts w:ascii="Times New Roman" w:hAnsi="Times New Roman"/>
          <w:color w:val="auto"/>
          <w:sz w:val="24"/>
          <w:szCs w:val="24"/>
        </w:rPr>
        <w:t>5.</w:t>
      </w:r>
      <w:r w:rsidR="00B9752E" w:rsidRPr="00484DAF">
        <w:rPr>
          <w:rFonts w:ascii="Times New Roman" w:hAnsi="Times New Roman"/>
          <w:color w:val="auto"/>
          <w:sz w:val="24"/>
          <w:szCs w:val="24"/>
        </w:rPr>
        <w:t>4</w:t>
      </w:r>
      <w:r w:rsidRPr="00484DAF">
        <w:rPr>
          <w:rFonts w:ascii="Times New Roman" w:hAnsi="Times New Roman"/>
          <w:color w:val="auto"/>
          <w:sz w:val="24"/>
          <w:szCs w:val="24"/>
        </w:rPr>
        <w:t>.1 Garagearrest</w:t>
      </w:r>
      <w:bookmarkEnd w:id="105"/>
    </w:p>
    <w:p w:rsidR="001A2560" w:rsidRPr="00484DAF" w:rsidRDefault="00310317" w:rsidP="00CC552D">
      <w:pPr>
        <w:pStyle w:val="Geenafstand"/>
        <w:spacing w:line="360" w:lineRule="auto"/>
        <w:rPr>
          <w:sz w:val="24"/>
          <w:szCs w:val="24"/>
        </w:rPr>
      </w:pPr>
      <w:r w:rsidRPr="00484DAF">
        <w:rPr>
          <w:sz w:val="24"/>
          <w:szCs w:val="24"/>
        </w:rPr>
        <w:t xml:space="preserve">Op 5 februari </w:t>
      </w:r>
      <w:r w:rsidR="00F131CC" w:rsidRPr="00484DAF">
        <w:rPr>
          <w:sz w:val="24"/>
          <w:szCs w:val="24"/>
        </w:rPr>
        <w:t>1999 v</w:t>
      </w:r>
      <w:r w:rsidR="000E7FB3" w:rsidRPr="00484DAF">
        <w:rPr>
          <w:sz w:val="24"/>
          <w:szCs w:val="24"/>
        </w:rPr>
        <w:t>indt een levering plaats</w:t>
      </w:r>
      <w:r w:rsidR="00F131CC" w:rsidRPr="00484DAF">
        <w:rPr>
          <w:sz w:val="24"/>
          <w:szCs w:val="24"/>
        </w:rPr>
        <w:t xml:space="preserve"> van </w:t>
      </w:r>
      <w:r w:rsidR="000E7FB3" w:rsidRPr="00484DAF">
        <w:rPr>
          <w:sz w:val="24"/>
          <w:szCs w:val="24"/>
        </w:rPr>
        <w:t>een</w:t>
      </w:r>
      <w:r w:rsidR="00F131CC" w:rsidRPr="00484DAF">
        <w:rPr>
          <w:sz w:val="24"/>
          <w:szCs w:val="24"/>
        </w:rPr>
        <w:t xml:space="preserve"> </w:t>
      </w:r>
      <w:r w:rsidR="00B52D7C" w:rsidRPr="00484DAF">
        <w:rPr>
          <w:sz w:val="24"/>
          <w:szCs w:val="24"/>
        </w:rPr>
        <w:t>winkelpand</w:t>
      </w:r>
      <w:r w:rsidR="00F131CC" w:rsidRPr="00484DAF">
        <w:rPr>
          <w:sz w:val="24"/>
          <w:szCs w:val="24"/>
        </w:rPr>
        <w:t xml:space="preserve"> </w:t>
      </w:r>
      <w:r w:rsidR="00B52D7C" w:rsidRPr="00484DAF">
        <w:rPr>
          <w:sz w:val="24"/>
          <w:szCs w:val="24"/>
        </w:rPr>
        <w:t xml:space="preserve">en een </w:t>
      </w:r>
      <w:r w:rsidR="009142E0" w:rsidRPr="00484DAF">
        <w:rPr>
          <w:sz w:val="24"/>
          <w:szCs w:val="24"/>
        </w:rPr>
        <w:t>garage</w:t>
      </w:r>
      <w:r w:rsidR="00B52D7C" w:rsidRPr="00484DAF">
        <w:rPr>
          <w:sz w:val="24"/>
          <w:szCs w:val="24"/>
        </w:rPr>
        <w:t>complex, bestaande uit een garage, kantoor, werkplaats, showroom en bovenwoning</w:t>
      </w:r>
      <w:r w:rsidR="00F131CC" w:rsidRPr="00484DAF">
        <w:rPr>
          <w:sz w:val="24"/>
          <w:szCs w:val="24"/>
        </w:rPr>
        <w:t xml:space="preserve">. Genoemde onroerende goederen </w:t>
      </w:r>
      <w:r w:rsidR="00B52D7C" w:rsidRPr="00484DAF">
        <w:rPr>
          <w:sz w:val="24"/>
          <w:szCs w:val="24"/>
        </w:rPr>
        <w:t xml:space="preserve">waren </w:t>
      </w:r>
      <w:r w:rsidRPr="00484DAF">
        <w:rPr>
          <w:sz w:val="24"/>
          <w:szCs w:val="24"/>
        </w:rPr>
        <w:t>op 1</w:t>
      </w:r>
      <w:r w:rsidR="00F131CC" w:rsidRPr="00484DAF">
        <w:rPr>
          <w:sz w:val="24"/>
          <w:szCs w:val="24"/>
        </w:rPr>
        <w:t xml:space="preserve"> december 1996 al </w:t>
      </w:r>
      <w:r w:rsidR="00B52D7C" w:rsidRPr="00484DAF">
        <w:rPr>
          <w:sz w:val="24"/>
          <w:szCs w:val="24"/>
        </w:rPr>
        <w:t>ontruimd</w:t>
      </w:r>
      <w:r w:rsidR="00F131CC" w:rsidRPr="00484DAF">
        <w:rPr>
          <w:sz w:val="24"/>
          <w:szCs w:val="24"/>
        </w:rPr>
        <w:t>, waarna i</w:t>
      </w:r>
      <w:r w:rsidR="00B52D7C" w:rsidRPr="00484DAF">
        <w:rPr>
          <w:sz w:val="24"/>
          <w:szCs w:val="24"/>
        </w:rPr>
        <w:t xml:space="preserve">n 1997 en 1998 saneringswerkzaamheden </w:t>
      </w:r>
      <w:r w:rsidR="00143170" w:rsidRPr="00484DAF">
        <w:rPr>
          <w:sz w:val="24"/>
          <w:szCs w:val="24"/>
        </w:rPr>
        <w:t>heb</w:t>
      </w:r>
      <w:r w:rsidR="00F131CC" w:rsidRPr="00484DAF">
        <w:rPr>
          <w:sz w:val="24"/>
          <w:szCs w:val="24"/>
        </w:rPr>
        <w:t xml:space="preserve">ben plaatsgevonden om </w:t>
      </w:r>
      <w:r w:rsidR="00B52D7C" w:rsidRPr="00484DAF">
        <w:rPr>
          <w:sz w:val="24"/>
          <w:szCs w:val="24"/>
        </w:rPr>
        <w:t xml:space="preserve">de </w:t>
      </w:r>
      <w:r w:rsidR="00F131CC" w:rsidRPr="00484DAF">
        <w:rPr>
          <w:sz w:val="24"/>
          <w:szCs w:val="24"/>
        </w:rPr>
        <w:t xml:space="preserve">vervuilde </w:t>
      </w:r>
      <w:r w:rsidR="00B52D7C" w:rsidRPr="00484DAF">
        <w:rPr>
          <w:sz w:val="24"/>
          <w:szCs w:val="24"/>
        </w:rPr>
        <w:t xml:space="preserve">grond kwalitatief </w:t>
      </w:r>
      <w:r w:rsidR="00F131CC" w:rsidRPr="00484DAF">
        <w:rPr>
          <w:sz w:val="24"/>
          <w:szCs w:val="24"/>
        </w:rPr>
        <w:t xml:space="preserve">in orde te maken voor een door koper </w:t>
      </w:r>
      <w:r w:rsidR="00B52D7C" w:rsidRPr="00484DAF">
        <w:rPr>
          <w:sz w:val="24"/>
          <w:szCs w:val="24"/>
        </w:rPr>
        <w:t>ontwikkeld nieuwbouwproject</w:t>
      </w:r>
      <w:r w:rsidR="000E7FB3" w:rsidRPr="00484DAF">
        <w:rPr>
          <w:sz w:val="24"/>
          <w:szCs w:val="24"/>
        </w:rPr>
        <w:t xml:space="preserve">. Het nieuwbouwproject zal </w:t>
      </w:r>
      <w:r w:rsidR="006B4121" w:rsidRPr="00484DAF">
        <w:rPr>
          <w:sz w:val="24"/>
          <w:szCs w:val="24"/>
        </w:rPr>
        <w:t>bestaan</w:t>
      </w:r>
      <w:r w:rsidR="00B52D7C" w:rsidRPr="00484DAF">
        <w:rPr>
          <w:sz w:val="24"/>
          <w:szCs w:val="24"/>
        </w:rPr>
        <w:t xml:space="preserve"> uit </w:t>
      </w:r>
      <w:r w:rsidR="006B4121" w:rsidRPr="00484DAF">
        <w:rPr>
          <w:sz w:val="24"/>
          <w:szCs w:val="24"/>
        </w:rPr>
        <w:t>winkels, kantoorruimte</w:t>
      </w:r>
      <w:r w:rsidR="00B52D7C" w:rsidRPr="00484DAF">
        <w:rPr>
          <w:sz w:val="24"/>
          <w:szCs w:val="24"/>
        </w:rPr>
        <w:t>, bankgebouw, parkeergarage, sportschool en woonappartementen.</w:t>
      </w:r>
      <w:r w:rsidR="006B4121" w:rsidRPr="00484DAF">
        <w:rPr>
          <w:sz w:val="24"/>
          <w:szCs w:val="24"/>
        </w:rPr>
        <w:t xml:space="preserve"> Derhalve zijn de twee comple</w:t>
      </w:r>
      <w:r w:rsidR="00143170" w:rsidRPr="00484DAF">
        <w:rPr>
          <w:sz w:val="24"/>
          <w:szCs w:val="24"/>
        </w:rPr>
        <w:t>x</w:t>
      </w:r>
      <w:r w:rsidR="000E7FB3" w:rsidRPr="00484DAF">
        <w:rPr>
          <w:sz w:val="24"/>
          <w:szCs w:val="24"/>
        </w:rPr>
        <w:t>en met het oog</w:t>
      </w:r>
      <w:r w:rsidR="006B4121" w:rsidRPr="00484DAF">
        <w:rPr>
          <w:sz w:val="24"/>
          <w:szCs w:val="24"/>
        </w:rPr>
        <w:t xml:space="preserve"> hierop gekocht. In het kader van eerder genoemde sanering zijn de volgende handelingen verricht:</w:t>
      </w:r>
      <w:r w:rsidR="00B52D7C" w:rsidRPr="00484DAF">
        <w:rPr>
          <w:sz w:val="24"/>
          <w:szCs w:val="24"/>
        </w:rPr>
        <w:t xml:space="preserve"> verwijdering van de vloer uit het garagecomplex,</w:t>
      </w:r>
      <w:r w:rsidR="006B4121" w:rsidRPr="00484DAF">
        <w:rPr>
          <w:sz w:val="24"/>
          <w:szCs w:val="24"/>
        </w:rPr>
        <w:t xml:space="preserve"> verwijdering </w:t>
      </w:r>
      <w:r w:rsidR="00B52D7C" w:rsidRPr="00484DAF">
        <w:rPr>
          <w:sz w:val="24"/>
          <w:szCs w:val="24"/>
        </w:rPr>
        <w:t xml:space="preserve">van niet-dragende muren uit </w:t>
      </w:r>
      <w:r w:rsidR="006B4121" w:rsidRPr="00484DAF">
        <w:rPr>
          <w:sz w:val="24"/>
          <w:szCs w:val="24"/>
        </w:rPr>
        <w:t xml:space="preserve">het gehele </w:t>
      </w:r>
      <w:r w:rsidR="00B52D7C" w:rsidRPr="00484DAF">
        <w:rPr>
          <w:sz w:val="24"/>
          <w:szCs w:val="24"/>
        </w:rPr>
        <w:t>complex, afgraven van de vervuilde grond en het aanbrengen van een schone grondlaag.</w:t>
      </w:r>
      <w:r w:rsidR="006B4121" w:rsidRPr="00484DAF">
        <w:rPr>
          <w:sz w:val="24"/>
          <w:szCs w:val="24"/>
        </w:rPr>
        <w:t xml:space="preserve"> </w:t>
      </w:r>
      <w:r w:rsidRPr="00484DAF">
        <w:rPr>
          <w:sz w:val="24"/>
          <w:szCs w:val="24"/>
        </w:rPr>
        <w:t xml:space="preserve">Op 26 februari 1999 </w:t>
      </w:r>
      <w:r w:rsidR="006B4121" w:rsidRPr="00484DAF">
        <w:rPr>
          <w:sz w:val="24"/>
          <w:szCs w:val="24"/>
        </w:rPr>
        <w:t xml:space="preserve">is met het oog op het aanstaande bouwproject een bouwvergunning afgegeven. Voor levering van genoemde onroerende goederen op </w:t>
      </w:r>
      <w:r w:rsidR="00B52D7C" w:rsidRPr="00484DAF">
        <w:rPr>
          <w:sz w:val="24"/>
          <w:szCs w:val="24"/>
        </w:rPr>
        <w:t xml:space="preserve">5 februari 1999 is </w:t>
      </w:r>
      <w:r w:rsidR="006B4121" w:rsidRPr="00484DAF">
        <w:rPr>
          <w:sz w:val="24"/>
          <w:szCs w:val="24"/>
        </w:rPr>
        <w:t xml:space="preserve">door koper </w:t>
      </w:r>
      <w:r w:rsidR="00B52D7C" w:rsidRPr="00484DAF">
        <w:rPr>
          <w:sz w:val="24"/>
          <w:szCs w:val="24"/>
        </w:rPr>
        <w:t xml:space="preserve">opdracht tot verdere </w:t>
      </w:r>
      <w:r w:rsidR="00DE21E7" w:rsidRPr="00484DAF">
        <w:rPr>
          <w:sz w:val="24"/>
          <w:szCs w:val="24"/>
        </w:rPr>
        <w:t xml:space="preserve">(volledige) </w:t>
      </w:r>
      <w:r w:rsidR="00B52D7C" w:rsidRPr="00484DAF">
        <w:rPr>
          <w:sz w:val="24"/>
          <w:szCs w:val="24"/>
        </w:rPr>
        <w:t xml:space="preserve">sloopwerkzaamheden </w:t>
      </w:r>
      <w:r w:rsidR="006B4121" w:rsidRPr="00484DAF">
        <w:rPr>
          <w:sz w:val="24"/>
          <w:szCs w:val="24"/>
        </w:rPr>
        <w:t>gegeven</w:t>
      </w:r>
      <w:r w:rsidR="00B52D7C" w:rsidRPr="00484DAF">
        <w:rPr>
          <w:sz w:val="24"/>
          <w:szCs w:val="24"/>
        </w:rPr>
        <w:t xml:space="preserve">, waarmee </w:t>
      </w:r>
      <w:r w:rsidR="006B4121" w:rsidRPr="00484DAF">
        <w:rPr>
          <w:sz w:val="24"/>
          <w:szCs w:val="24"/>
        </w:rPr>
        <w:t xml:space="preserve">vier dagen voor de levering een aanvang is gemaakt en tot begin </w:t>
      </w:r>
      <w:r w:rsidR="00B52D7C" w:rsidRPr="00484DAF">
        <w:rPr>
          <w:sz w:val="24"/>
          <w:szCs w:val="24"/>
        </w:rPr>
        <w:t xml:space="preserve">maart 1999 </w:t>
      </w:r>
      <w:r w:rsidR="00CD3597" w:rsidRPr="00484DAF">
        <w:rPr>
          <w:sz w:val="24"/>
          <w:szCs w:val="24"/>
        </w:rPr>
        <w:t>heeft geduurd</w:t>
      </w:r>
      <w:r w:rsidR="00B52D7C" w:rsidRPr="00484DAF">
        <w:rPr>
          <w:sz w:val="24"/>
          <w:szCs w:val="24"/>
        </w:rPr>
        <w:t>.</w:t>
      </w:r>
      <w:r w:rsidR="008D6079" w:rsidRPr="00484DAF">
        <w:rPr>
          <w:sz w:val="24"/>
          <w:szCs w:val="24"/>
        </w:rPr>
        <w:t xml:space="preserve"> </w:t>
      </w:r>
      <w:r w:rsidR="00D353C3" w:rsidRPr="00484DAF">
        <w:rPr>
          <w:sz w:val="24"/>
          <w:szCs w:val="24"/>
        </w:rPr>
        <w:t xml:space="preserve">Voor de Hoge Raad was in geschil of de verkregen onroerende goederen ten tijde van de levering op 5 februari 1999 een zodanige bewerking hadden ondergaan dat deze als nieuw vervaardigd in de zin van artikel 11, </w:t>
      </w:r>
      <w:r w:rsidR="00CD3597" w:rsidRPr="00484DAF">
        <w:rPr>
          <w:sz w:val="24"/>
          <w:szCs w:val="24"/>
        </w:rPr>
        <w:t>lid 1</w:t>
      </w:r>
      <w:r w:rsidR="00D353C3" w:rsidRPr="00484DAF">
        <w:rPr>
          <w:sz w:val="24"/>
          <w:szCs w:val="24"/>
        </w:rPr>
        <w:t>, onderdeel a, ten eerste Wet OB 1968 dienen te worden aangemerkt</w:t>
      </w:r>
      <w:r w:rsidR="00E04D38" w:rsidRPr="00484DAF">
        <w:rPr>
          <w:sz w:val="24"/>
          <w:szCs w:val="24"/>
        </w:rPr>
        <w:t>.</w:t>
      </w:r>
      <w:r w:rsidR="001E164C" w:rsidRPr="00484DAF">
        <w:rPr>
          <w:sz w:val="24"/>
          <w:szCs w:val="24"/>
        </w:rPr>
        <w:t xml:space="preserve"> </w:t>
      </w:r>
      <w:r w:rsidR="00CD3597" w:rsidRPr="00484DAF">
        <w:rPr>
          <w:sz w:val="24"/>
          <w:szCs w:val="24"/>
        </w:rPr>
        <w:t>Indien dat wel het geval is, is over de levering omzetbelasting verschuldigd en bestaat op grond van artikel 15, lid 1, onderdeel a Wet BRV recht op de samenloopvrijstelling</w:t>
      </w:r>
      <w:r w:rsidR="0004405D" w:rsidRPr="00484DAF">
        <w:rPr>
          <w:sz w:val="24"/>
          <w:szCs w:val="24"/>
        </w:rPr>
        <w:t xml:space="preserve"> (conform de wens van belanghebbende)</w:t>
      </w:r>
      <w:r w:rsidR="00CD3597" w:rsidRPr="00484DAF">
        <w:rPr>
          <w:sz w:val="24"/>
          <w:szCs w:val="24"/>
        </w:rPr>
        <w:t>.</w:t>
      </w:r>
    </w:p>
    <w:p w:rsidR="0004405D" w:rsidRPr="00484DAF" w:rsidRDefault="0004405D" w:rsidP="00CC552D">
      <w:pPr>
        <w:pStyle w:val="Geenafstand"/>
        <w:spacing w:line="360" w:lineRule="auto"/>
        <w:rPr>
          <w:sz w:val="24"/>
          <w:szCs w:val="24"/>
        </w:rPr>
      </w:pPr>
    </w:p>
    <w:p w:rsidR="007B0A8E" w:rsidRPr="00484DAF" w:rsidRDefault="00C5099E" w:rsidP="00CC552D">
      <w:pPr>
        <w:pStyle w:val="Kop2"/>
        <w:spacing w:before="0" w:line="360" w:lineRule="auto"/>
        <w:rPr>
          <w:rFonts w:ascii="Times New Roman" w:hAnsi="Times New Roman"/>
          <w:color w:val="auto"/>
          <w:sz w:val="24"/>
          <w:szCs w:val="24"/>
        </w:rPr>
      </w:pPr>
      <w:bookmarkStart w:id="106" w:name="_Toc254043957"/>
      <w:r w:rsidRPr="00484DAF">
        <w:rPr>
          <w:rFonts w:ascii="Times New Roman" w:hAnsi="Times New Roman"/>
          <w:color w:val="auto"/>
          <w:sz w:val="24"/>
          <w:szCs w:val="24"/>
        </w:rPr>
        <w:lastRenderedPageBreak/>
        <w:t>5.</w:t>
      </w:r>
      <w:r w:rsidR="00B9752E" w:rsidRPr="00484DAF">
        <w:rPr>
          <w:rFonts w:ascii="Times New Roman" w:hAnsi="Times New Roman"/>
          <w:color w:val="auto"/>
          <w:sz w:val="24"/>
          <w:szCs w:val="24"/>
        </w:rPr>
        <w:t>4</w:t>
      </w:r>
      <w:r w:rsidR="00D200A7" w:rsidRPr="00484DAF">
        <w:rPr>
          <w:rFonts w:ascii="Times New Roman" w:hAnsi="Times New Roman"/>
          <w:color w:val="auto"/>
          <w:sz w:val="24"/>
          <w:szCs w:val="24"/>
        </w:rPr>
        <w:t>.</w:t>
      </w:r>
      <w:r w:rsidRPr="00484DAF">
        <w:rPr>
          <w:rFonts w:ascii="Times New Roman" w:hAnsi="Times New Roman"/>
          <w:color w:val="auto"/>
          <w:sz w:val="24"/>
          <w:szCs w:val="24"/>
        </w:rPr>
        <w:t>2</w:t>
      </w:r>
      <w:r w:rsidR="007B0A8E" w:rsidRPr="00484DAF">
        <w:rPr>
          <w:rFonts w:ascii="Times New Roman" w:hAnsi="Times New Roman"/>
          <w:color w:val="auto"/>
          <w:sz w:val="24"/>
          <w:szCs w:val="24"/>
        </w:rPr>
        <w:t xml:space="preserve"> Standpunt belanghebbende</w:t>
      </w:r>
      <w:bookmarkEnd w:id="106"/>
    </w:p>
    <w:p w:rsidR="007B0A8E" w:rsidRPr="00484DAF" w:rsidRDefault="003E7500" w:rsidP="00CC552D">
      <w:pPr>
        <w:spacing w:after="0" w:line="360" w:lineRule="auto"/>
        <w:rPr>
          <w:sz w:val="24"/>
          <w:szCs w:val="24"/>
        </w:rPr>
      </w:pPr>
      <w:r w:rsidRPr="00484DAF">
        <w:rPr>
          <w:i/>
          <w:sz w:val="24"/>
          <w:szCs w:val="24"/>
        </w:rPr>
        <w:t>Nieuwenhuizen</w:t>
      </w:r>
      <w:r w:rsidRPr="00484DAF">
        <w:rPr>
          <w:sz w:val="24"/>
          <w:szCs w:val="24"/>
        </w:rPr>
        <w:t xml:space="preserve">, gemachtigde in deze zaak, beriep zich met name </w:t>
      </w:r>
      <w:r w:rsidR="00CD3597" w:rsidRPr="00484DAF">
        <w:rPr>
          <w:sz w:val="24"/>
          <w:szCs w:val="24"/>
        </w:rPr>
        <w:t xml:space="preserve">op </w:t>
      </w:r>
      <w:r w:rsidRPr="00484DAF">
        <w:rPr>
          <w:sz w:val="24"/>
          <w:szCs w:val="24"/>
        </w:rPr>
        <w:t xml:space="preserve">het arrest </w:t>
      </w:r>
      <w:r w:rsidRPr="00484DAF">
        <w:rPr>
          <w:i/>
          <w:sz w:val="24"/>
          <w:szCs w:val="24"/>
        </w:rPr>
        <w:t>Van Dijk’s Boekhuis</w:t>
      </w:r>
      <w:r w:rsidRPr="00484DAF">
        <w:rPr>
          <w:sz w:val="24"/>
          <w:szCs w:val="24"/>
        </w:rPr>
        <w:t>. Immers</w:t>
      </w:r>
      <w:r w:rsidR="009142E0" w:rsidRPr="00484DAF">
        <w:rPr>
          <w:sz w:val="24"/>
          <w:szCs w:val="24"/>
        </w:rPr>
        <w:t xml:space="preserve">, door sloop en aansluitende sanering was geen sprake meer van het oorspronkelijke garagecomplex. Dit is af te leiden </w:t>
      </w:r>
      <w:r w:rsidR="00CD3597" w:rsidRPr="00484DAF">
        <w:rPr>
          <w:sz w:val="24"/>
          <w:szCs w:val="24"/>
        </w:rPr>
        <w:t xml:space="preserve">uit </w:t>
      </w:r>
      <w:r w:rsidR="009142E0" w:rsidRPr="00484DAF">
        <w:rPr>
          <w:sz w:val="24"/>
          <w:szCs w:val="24"/>
        </w:rPr>
        <w:t>de functiewijziging, gewijzigde aanwendingsmogelijkheden en dat naar maatschappelijke opvattingen geen sprake meer was van een als garage dienstdoend gebouw.</w:t>
      </w:r>
      <w:r w:rsidR="00175B83" w:rsidRPr="00484DAF">
        <w:rPr>
          <w:sz w:val="24"/>
          <w:szCs w:val="24"/>
        </w:rPr>
        <w:t xml:space="preserve"> </w:t>
      </w:r>
      <w:r w:rsidR="008E34AE" w:rsidRPr="00484DAF">
        <w:rPr>
          <w:sz w:val="24"/>
          <w:szCs w:val="24"/>
        </w:rPr>
        <w:t>D</w:t>
      </w:r>
      <w:r w:rsidR="00175B83" w:rsidRPr="00484DAF">
        <w:rPr>
          <w:sz w:val="24"/>
          <w:szCs w:val="24"/>
        </w:rPr>
        <w:t xml:space="preserve">e mening van </w:t>
      </w:r>
      <w:r w:rsidR="00175B83" w:rsidRPr="00484DAF">
        <w:rPr>
          <w:i/>
          <w:sz w:val="24"/>
          <w:szCs w:val="24"/>
        </w:rPr>
        <w:t>Nieuwenhuizen</w:t>
      </w:r>
      <w:r w:rsidR="00175B83" w:rsidRPr="00484DAF">
        <w:rPr>
          <w:sz w:val="24"/>
          <w:szCs w:val="24"/>
        </w:rPr>
        <w:t xml:space="preserve"> dat nu de garagefunctie is verlaten, voldaan is aan rechtsoverweging 22 van voornoemd arrest: </w:t>
      </w:r>
      <w:r w:rsidR="00175B83" w:rsidRPr="00484DAF">
        <w:rPr>
          <w:i/>
          <w:sz w:val="24"/>
          <w:szCs w:val="24"/>
        </w:rPr>
        <w:t>‘Er is een nieuw goed wanneer door het werk van de opdrachtnemer een goed ontstaat waarvan de functie volgens de in het maatschappelijk verkeer gangbare opvattingen verschilt van de functie die de v</w:t>
      </w:r>
      <w:r w:rsidR="008E34AE" w:rsidRPr="00484DAF">
        <w:rPr>
          <w:i/>
          <w:sz w:val="24"/>
          <w:szCs w:val="24"/>
        </w:rPr>
        <w:t>erstrekte materialen hadden (…)</w:t>
      </w:r>
      <w:r w:rsidR="00175B83" w:rsidRPr="00484DAF">
        <w:rPr>
          <w:i/>
          <w:sz w:val="24"/>
          <w:szCs w:val="24"/>
        </w:rPr>
        <w:t>’</w:t>
      </w:r>
      <w:r w:rsidR="00175B83" w:rsidRPr="00484DAF">
        <w:rPr>
          <w:rStyle w:val="Voetnootmarkering"/>
          <w:sz w:val="24"/>
          <w:szCs w:val="24"/>
        </w:rPr>
        <w:footnoteReference w:id="244"/>
      </w:r>
      <w:r w:rsidR="00715BD9" w:rsidRPr="00484DAF">
        <w:rPr>
          <w:i/>
          <w:sz w:val="24"/>
          <w:szCs w:val="24"/>
        </w:rPr>
        <w:t xml:space="preserve"> </w:t>
      </w:r>
      <w:r w:rsidR="008E34AE" w:rsidRPr="00484DAF">
        <w:rPr>
          <w:sz w:val="24"/>
          <w:szCs w:val="24"/>
        </w:rPr>
        <w:t>onderschrijf ik niet volledig. Op het moment van levering is immers geen nieuwe functie gecreëerd. Enerzijds door de multifunctionaliteit van het gebouw, anderzijds doordat een gedeeltelijk gesloopt pand geen functie kan vervullen.</w:t>
      </w:r>
      <w:r w:rsidR="006D157E" w:rsidRPr="00484DAF">
        <w:rPr>
          <w:sz w:val="24"/>
          <w:szCs w:val="24"/>
        </w:rPr>
        <w:t xml:space="preserve"> Wel kan ik mij vinden in de stelling dat in de toekomst een nieuw vervaardigd goed </w:t>
      </w:r>
      <w:r w:rsidR="00472C6F" w:rsidRPr="00484DAF">
        <w:rPr>
          <w:sz w:val="24"/>
          <w:szCs w:val="24"/>
        </w:rPr>
        <w:t xml:space="preserve">ontstaat </w:t>
      </w:r>
      <w:r w:rsidR="006D157E" w:rsidRPr="00484DAF">
        <w:rPr>
          <w:sz w:val="24"/>
          <w:szCs w:val="24"/>
        </w:rPr>
        <w:t xml:space="preserve">op basis van de bekende feiten. </w:t>
      </w:r>
      <w:r w:rsidR="00D33F2A" w:rsidRPr="00484DAF">
        <w:rPr>
          <w:sz w:val="24"/>
          <w:szCs w:val="24"/>
        </w:rPr>
        <w:t xml:space="preserve">Evenals </w:t>
      </w:r>
      <w:r w:rsidR="0097791B" w:rsidRPr="00484DAF">
        <w:rPr>
          <w:sz w:val="24"/>
          <w:szCs w:val="24"/>
        </w:rPr>
        <w:t xml:space="preserve">opgemerkt aangaande </w:t>
      </w:r>
      <w:r w:rsidR="006D157E" w:rsidRPr="00484DAF">
        <w:rPr>
          <w:sz w:val="24"/>
          <w:szCs w:val="24"/>
        </w:rPr>
        <w:t xml:space="preserve">het Jeugdhonkarrest kan mijns inziens </w:t>
      </w:r>
      <w:r w:rsidR="00C55B61" w:rsidRPr="00484DAF">
        <w:rPr>
          <w:sz w:val="24"/>
          <w:szCs w:val="24"/>
        </w:rPr>
        <w:t xml:space="preserve">aan </w:t>
      </w:r>
      <w:r w:rsidR="006D157E" w:rsidRPr="00484DAF">
        <w:rPr>
          <w:sz w:val="24"/>
          <w:szCs w:val="24"/>
        </w:rPr>
        <w:t xml:space="preserve">de intentie waarmee onroerend goed wordt </w:t>
      </w:r>
      <w:r w:rsidR="0097791B" w:rsidRPr="00484DAF">
        <w:rPr>
          <w:sz w:val="24"/>
          <w:szCs w:val="24"/>
        </w:rPr>
        <w:t xml:space="preserve">verkocht dan wel </w:t>
      </w:r>
      <w:r w:rsidR="006D157E" w:rsidRPr="00484DAF">
        <w:rPr>
          <w:sz w:val="24"/>
          <w:szCs w:val="24"/>
        </w:rPr>
        <w:t xml:space="preserve">gekocht </w:t>
      </w:r>
      <w:r w:rsidR="00C55B61" w:rsidRPr="00484DAF">
        <w:rPr>
          <w:sz w:val="24"/>
          <w:szCs w:val="24"/>
        </w:rPr>
        <w:t>een meer doo</w:t>
      </w:r>
      <w:r w:rsidR="00472C6F" w:rsidRPr="00484DAF">
        <w:rPr>
          <w:sz w:val="24"/>
          <w:szCs w:val="24"/>
        </w:rPr>
        <w:t>r</w:t>
      </w:r>
      <w:r w:rsidR="00C55B61" w:rsidRPr="00484DAF">
        <w:rPr>
          <w:sz w:val="24"/>
          <w:szCs w:val="24"/>
        </w:rPr>
        <w:t>slaggevende betekenis worden toegekend.</w:t>
      </w:r>
    </w:p>
    <w:p w:rsidR="0004405D" w:rsidRPr="00484DAF" w:rsidRDefault="0004405D" w:rsidP="00CC552D">
      <w:pPr>
        <w:pStyle w:val="Geenafstand"/>
        <w:spacing w:line="360" w:lineRule="auto"/>
        <w:rPr>
          <w:sz w:val="24"/>
          <w:szCs w:val="24"/>
        </w:rPr>
      </w:pPr>
    </w:p>
    <w:p w:rsidR="007B0A8E" w:rsidRPr="00484DAF" w:rsidRDefault="007B0A8E" w:rsidP="00CC552D">
      <w:pPr>
        <w:pStyle w:val="Kop2"/>
        <w:spacing w:before="0" w:line="360" w:lineRule="auto"/>
        <w:rPr>
          <w:rFonts w:ascii="Times New Roman" w:hAnsi="Times New Roman"/>
          <w:color w:val="auto"/>
          <w:sz w:val="24"/>
          <w:szCs w:val="24"/>
        </w:rPr>
      </w:pPr>
      <w:bookmarkStart w:id="107" w:name="_Toc254043958"/>
      <w:r w:rsidRPr="00484DAF">
        <w:rPr>
          <w:rFonts w:ascii="Times New Roman" w:hAnsi="Times New Roman"/>
          <w:color w:val="auto"/>
          <w:sz w:val="24"/>
          <w:szCs w:val="24"/>
        </w:rPr>
        <w:t>5.</w:t>
      </w:r>
      <w:r w:rsidR="00B9752E" w:rsidRPr="00484DAF">
        <w:rPr>
          <w:rFonts w:ascii="Times New Roman" w:hAnsi="Times New Roman"/>
          <w:color w:val="auto"/>
          <w:sz w:val="24"/>
          <w:szCs w:val="24"/>
        </w:rPr>
        <w:t>4</w:t>
      </w:r>
      <w:r w:rsidR="00D200A7" w:rsidRPr="00484DAF">
        <w:rPr>
          <w:rFonts w:ascii="Times New Roman" w:hAnsi="Times New Roman"/>
          <w:color w:val="auto"/>
          <w:sz w:val="24"/>
          <w:szCs w:val="24"/>
        </w:rPr>
        <w:t>.3 Uitspraak Hof</w:t>
      </w:r>
      <w:bookmarkEnd w:id="107"/>
    </w:p>
    <w:p w:rsidR="00283530" w:rsidRPr="00484DAF" w:rsidRDefault="007E63CE" w:rsidP="00CC552D">
      <w:pPr>
        <w:spacing w:after="0" w:line="360" w:lineRule="auto"/>
        <w:rPr>
          <w:sz w:val="24"/>
          <w:szCs w:val="24"/>
        </w:rPr>
      </w:pPr>
      <w:r w:rsidRPr="00484DAF">
        <w:rPr>
          <w:sz w:val="24"/>
          <w:szCs w:val="24"/>
        </w:rPr>
        <w:t>Hof Den Haag</w:t>
      </w:r>
      <w:r w:rsidRPr="00484DAF">
        <w:rPr>
          <w:rStyle w:val="Voetnootmarkering"/>
          <w:sz w:val="24"/>
          <w:szCs w:val="24"/>
        </w:rPr>
        <w:footnoteReference w:id="245"/>
      </w:r>
      <w:r w:rsidR="00715BD9" w:rsidRPr="00484DAF">
        <w:rPr>
          <w:sz w:val="24"/>
          <w:szCs w:val="24"/>
        </w:rPr>
        <w:t xml:space="preserve"> geeft in</w:t>
      </w:r>
      <w:r w:rsidRPr="00484DAF">
        <w:rPr>
          <w:sz w:val="24"/>
          <w:szCs w:val="24"/>
        </w:rPr>
        <w:t xml:space="preserve"> </w:t>
      </w:r>
      <w:r w:rsidR="00715BD9" w:rsidRPr="00484DAF">
        <w:rPr>
          <w:sz w:val="24"/>
          <w:szCs w:val="24"/>
        </w:rPr>
        <w:t xml:space="preserve">zijn uitspraak aan </w:t>
      </w:r>
      <w:r w:rsidRPr="00484DAF">
        <w:rPr>
          <w:sz w:val="24"/>
          <w:szCs w:val="24"/>
        </w:rPr>
        <w:t>dat redelijke wetstoepassing met zich</w:t>
      </w:r>
      <w:r w:rsidR="00CF1143" w:rsidRPr="00484DAF">
        <w:rPr>
          <w:sz w:val="24"/>
          <w:szCs w:val="24"/>
        </w:rPr>
        <w:t xml:space="preserve"> </w:t>
      </w:r>
      <w:r w:rsidRPr="00484DAF">
        <w:rPr>
          <w:sz w:val="24"/>
          <w:szCs w:val="24"/>
        </w:rPr>
        <w:t xml:space="preserve">brengt mee dat in onderhavig geval de verkregen onroerende goederen ten tijde van de levering als nieuw vervaardigd dienen te worden aangemerkt. </w:t>
      </w:r>
      <w:r w:rsidR="004C2CFC" w:rsidRPr="00484DAF">
        <w:rPr>
          <w:sz w:val="24"/>
          <w:szCs w:val="24"/>
        </w:rPr>
        <w:t xml:space="preserve">Deze beslissing is gegrond op de feiten waaruit het Hof </w:t>
      </w:r>
      <w:r w:rsidRPr="00484DAF">
        <w:rPr>
          <w:sz w:val="24"/>
          <w:szCs w:val="24"/>
        </w:rPr>
        <w:t xml:space="preserve">redelijkerwijs </w:t>
      </w:r>
      <w:r w:rsidR="004C2CFC" w:rsidRPr="00484DAF">
        <w:rPr>
          <w:sz w:val="24"/>
          <w:szCs w:val="24"/>
        </w:rPr>
        <w:t>niet anders kan concluderen</w:t>
      </w:r>
      <w:r w:rsidR="00DE21E7" w:rsidRPr="00484DAF">
        <w:rPr>
          <w:sz w:val="24"/>
          <w:szCs w:val="24"/>
        </w:rPr>
        <w:t>, dan</w:t>
      </w:r>
      <w:r w:rsidR="004C2CFC" w:rsidRPr="00484DAF">
        <w:rPr>
          <w:sz w:val="24"/>
          <w:szCs w:val="24"/>
        </w:rPr>
        <w:t xml:space="preserve"> </w:t>
      </w:r>
      <w:r w:rsidRPr="00484DAF">
        <w:rPr>
          <w:sz w:val="24"/>
          <w:szCs w:val="24"/>
        </w:rPr>
        <w:t xml:space="preserve">dat na de koop van </w:t>
      </w:r>
      <w:r w:rsidR="004C2CFC" w:rsidRPr="00484DAF">
        <w:rPr>
          <w:sz w:val="24"/>
          <w:szCs w:val="24"/>
        </w:rPr>
        <w:t xml:space="preserve">beide complexen </w:t>
      </w:r>
      <w:r w:rsidRPr="00484DAF">
        <w:rPr>
          <w:sz w:val="24"/>
          <w:szCs w:val="24"/>
        </w:rPr>
        <w:t xml:space="preserve">een proces in gang </w:t>
      </w:r>
      <w:r w:rsidR="004C2CFC" w:rsidRPr="00484DAF">
        <w:rPr>
          <w:sz w:val="24"/>
          <w:szCs w:val="24"/>
        </w:rPr>
        <w:t xml:space="preserve">is </w:t>
      </w:r>
      <w:r w:rsidRPr="00484DAF">
        <w:rPr>
          <w:sz w:val="24"/>
          <w:szCs w:val="24"/>
        </w:rPr>
        <w:t xml:space="preserve">gezet </w:t>
      </w:r>
      <w:r w:rsidR="004C2CFC" w:rsidRPr="00484DAF">
        <w:rPr>
          <w:sz w:val="24"/>
          <w:szCs w:val="24"/>
        </w:rPr>
        <w:t xml:space="preserve">welke tot een nieuw vervaardigd goed leidt. Nadruk ligt daarbij op de veranderde functie van </w:t>
      </w:r>
      <w:r w:rsidRPr="00484DAF">
        <w:rPr>
          <w:sz w:val="24"/>
          <w:szCs w:val="24"/>
        </w:rPr>
        <w:t>het voorheen bestaande garagec</w:t>
      </w:r>
      <w:r w:rsidR="004C2CFC" w:rsidRPr="00484DAF">
        <w:rPr>
          <w:sz w:val="24"/>
          <w:szCs w:val="24"/>
        </w:rPr>
        <w:t xml:space="preserve">omplex als gevolg van de verbouwingen. Daarbij tekent het Hof voorts aan dat </w:t>
      </w:r>
      <w:r w:rsidRPr="00484DAF">
        <w:rPr>
          <w:sz w:val="24"/>
          <w:szCs w:val="24"/>
        </w:rPr>
        <w:t>alle feiten en omstandigheden</w:t>
      </w:r>
      <w:r w:rsidR="004C2CFC" w:rsidRPr="00484DAF">
        <w:rPr>
          <w:sz w:val="24"/>
          <w:szCs w:val="24"/>
        </w:rPr>
        <w:t xml:space="preserve">, </w:t>
      </w:r>
      <w:r w:rsidR="003E7500" w:rsidRPr="00484DAF">
        <w:rPr>
          <w:sz w:val="24"/>
          <w:szCs w:val="24"/>
        </w:rPr>
        <w:t xml:space="preserve">welke </w:t>
      </w:r>
      <w:r w:rsidR="004C2CFC" w:rsidRPr="00484DAF">
        <w:rPr>
          <w:sz w:val="24"/>
          <w:szCs w:val="24"/>
        </w:rPr>
        <w:t xml:space="preserve">zowel </w:t>
      </w:r>
      <w:r w:rsidRPr="00484DAF">
        <w:rPr>
          <w:sz w:val="24"/>
          <w:szCs w:val="24"/>
        </w:rPr>
        <w:t>na de koop</w:t>
      </w:r>
      <w:r w:rsidR="004C2CFC" w:rsidRPr="00484DAF">
        <w:rPr>
          <w:sz w:val="24"/>
          <w:szCs w:val="24"/>
        </w:rPr>
        <w:t xml:space="preserve"> als </w:t>
      </w:r>
      <w:r w:rsidRPr="00484DAF">
        <w:rPr>
          <w:sz w:val="24"/>
          <w:szCs w:val="24"/>
        </w:rPr>
        <w:t>t</w:t>
      </w:r>
      <w:r w:rsidR="003E7500" w:rsidRPr="00484DAF">
        <w:rPr>
          <w:sz w:val="24"/>
          <w:szCs w:val="24"/>
        </w:rPr>
        <w:t xml:space="preserve">en tijde van en na de levering </w:t>
      </w:r>
      <w:r w:rsidRPr="00484DAF">
        <w:rPr>
          <w:sz w:val="24"/>
          <w:szCs w:val="24"/>
        </w:rPr>
        <w:t xml:space="preserve">hebben plaatsgevonden als een complex van handelingen </w:t>
      </w:r>
      <w:r w:rsidR="003E7500" w:rsidRPr="00484DAF">
        <w:rPr>
          <w:sz w:val="24"/>
          <w:szCs w:val="24"/>
        </w:rPr>
        <w:t xml:space="preserve">dienen te worden beschouwd, </w:t>
      </w:r>
      <w:r w:rsidR="00CD3597" w:rsidRPr="00484DAF">
        <w:rPr>
          <w:sz w:val="24"/>
          <w:szCs w:val="24"/>
        </w:rPr>
        <w:t xml:space="preserve">welke </w:t>
      </w:r>
      <w:r w:rsidR="003E7500" w:rsidRPr="00484DAF">
        <w:rPr>
          <w:sz w:val="24"/>
          <w:szCs w:val="24"/>
        </w:rPr>
        <w:t xml:space="preserve">gericht </w:t>
      </w:r>
      <w:r w:rsidR="00CD3597" w:rsidRPr="00484DAF">
        <w:rPr>
          <w:sz w:val="24"/>
          <w:szCs w:val="24"/>
        </w:rPr>
        <w:t xml:space="preserve">zijn </w:t>
      </w:r>
      <w:r w:rsidR="003E7500" w:rsidRPr="00484DAF">
        <w:rPr>
          <w:sz w:val="24"/>
          <w:szCs w:val="24"/>
        </w:rPr>
        <w:t xml:space="preserve">op </w:t>
      </w:r>
      <w:r w:rsidR="0004405D" w:rsidRPr="00484DAF">
        <w:rPr>
          <w:sz w:val="24"/>
          <w:szCs w:val="24"/>
        </w:rPr>
        <w:t>vervaardiging.</w:t>
      </w:r>
    </w:p>
    <w:p w:rsidR="0004405D" w:rsidRPr="00484DAF" w:rsidRDefault="0004405D" w:rsidP="00CC552D">
      <w:pPr>
        <w:pStyle w:val="Geenafstand"/>
        <w:spacing w:line="360" w:lineRule="auto"/>
        <w:rPr>
          <w:sz w:val="24"/>
          <w:szCs w:val="24"/>
        </w:rPr>
      </w:pPr>
    </w:p>
    <w:p w:rsidR="00283530" w:rsidRPr="00484DAF" w:rsidRDefault="00B9752E" w:rsidP="00CC552D">
      <w:pPr>
        <w:pStyle w:val="Kop2"/>
        <w:spacing w:before="0" w:line="360" w:lineRule="auto"/>
        <w:rPr>
          <w:rFonts w:ascii="Times New Roman" w:hAnsi="Times New Roman"/>
          <w:color w:val="auto"/>
          <w:sz w:val="24"/>
          <w:szCs w:val="24"/>
        </w:rPr>
      </w:pPr>
      <w:bookmarkStart w:id="108" w:name="_Toc254043959"/>
      <w:r w:rsidRPr="00484DAF">
        <w:rPr>
          <w:rFonts w:ascii="Times New Roman" w:hAnsi="Times New Roman"/>
          <w:color w:val="auto"/>
          <w:sz w:val="24"/>
          <w:szCs w:val="24"/>
        </w:rPr>
        <w:t>5.4</w:t>
      </w:r>
      <w:r w:rsidR="00D200A7" w:rsidRPr="00484DAF">
        <w:rPr>
          <w:rFonts w:ascii="Times New Roman" w:hAnsi="Times New Roman"/>
          <w:color w:val="auto"/>
          <w:sz w:val="24"/>
          <w:szCs w:val="24"/>
        </w:rPr>
        <w:t>.4</w:t>
      </w:r>
      <w:r w:rsidR="00283530" w:rsidRPr="00484DAF">
        <w:rPr>
          <w:rFonts w:ascii="Times New Roman" w:hAnsi="Times New Roman"/>
          <w:color w:val="auto"/>
          <w:sz w:val="24"/>
          <w:szCs w:val="24"/>
        </w:rPr>
        <w:t xml:space="preserve"> Conclusie A-G</w:t>
      </w:r>
      <w:bookmarkEnd w:id="108"/>
    </w:p>
    <w:p w:rsidR="007B0A8E" w:rsidRPr="00484DAF" w:rsidRDefault="00783FE4" w:rsidP="00CC552D">
      <w:pPr>
        <w:spacing w:after="0" w:line="360" w:lineRule="auto"/>
        <w:rPr>
          <w:sz w:val="24"/>
          <w:szCs w:val="24"/>
        </w:rPr>
      </w:pPr>
      <w:r w:rsidRPr="00484DAF">
        <w:rPr>
          <w:sz w:val="24"/>
          <w:szCs w:val="24"/>
        </w:rPr>
        <w:t xml:space="preserve">In cassatie is het woord eerst aan </w:t>
      </w:r>
      <w:r w:rsidRPr="00484DAF">
        <w:rPr>
          <w:i/>
          <w:sz w:val="24"/>
          <w:szCs w:val="24"/>
        </w:rPr>
        <w:t>A-G Groeneveld</w:t>
      </w:r>
      <w:r w:rsidRPr="00484DAF">
        <w:rPr>
          <w:sz w:val="24"/>
          <w:szCs w:val="24"/>
        </w:rPr>
        <w:t xml:space="preserve">. </w:t>
      </w:r>
      <w:r w:rsidR="00283530" w:rsidRPr="00484DAF">
        <w:rPr>
          <w:sz w:val="24"/>
          <w:szCs w:val="24"/>
        </w:rPr>
        <w:t xml:space="preserve">Hoewel hij </w:t>
      </w:r>
      <w:r w:rsidR="00283530" w:rsidRPr="00484DAF">
        <w:rPr>
          <w:i/>
          <w:sz w:val="24"/>
          <w:szCs w:val="24"/>
        </w:rPr>
        <w:t>Van Dijk’s Boekhuis</w:t>
      </w:r>
      <w:r w:rsidR="00283530" w:rsidRPr="00484DAF">
        <w:rPr>
          <w:sz w:val="24"/>
          <w:szCs w:val="24"/>
        </w:rPr>
        <w:t xml:space="preserve"> erkent als richtinggevend in de rechtspraak gaat hij er in </w:t>
      </w:r>
      <w:r w:rsidR="00CD3597" w:rsidRPr="00484DAF">
        <w:rPr>
          <w:sz w:val="24"/>
          <w:szCs w:val="24"/>
        </w:rPr>
        <w:t xml:space="preserve">de </w:t>
      </w:r>
      <w:r w:rsidR="00283530" w:rsidRPr="00484DAF">
        <w:rPr>
          <w:sz w:val="24"/>
          <w:szCs w:val="24"/>
        </w:rPr>
        <w:t>bespreking van zijn mening niet op in.</w:t>
      </w:r>
      <w:r w:rsidR="00D200A7" w:rsidRPr="00484DAF">
        <w:rPr>
          <w:sz w:val="24"/>
          <w:szCs w:val="24"/>
        </w:rPr>
        <w:t xml:space="preserve"> </w:t>
      </w:r>
      <w:r w:rsidR="00283530" w:rsidRPr="00484DAF">
        <w:rPr>
          <w:sz w:val="24"/>
          <w:szCs w:val="24"/>
        </w:rPr>
        <w:t xml:space="preserve">Allereerst constateert de A-G terecht dat wanneer sloop slechts tot gedeeltelijke destructie van </w:t>
      </w:r>
      <w:r w:rsidR="00283530" w:rsidRPr="00484DAF">
        <w:rPr>
          <w:sz w:val="24"/>
          <w:szCs w:val="24"/>
        </w:rPr>
        <w:lastRenderedPageBreak/>
        <w:t xml:space="preserve">het gebouw leidt geen onbebouwde grond als bedoeld in artikel 11, lid 4 Wet OB 1968 ontstaat. Het vervaardigingvraagstuk met betrekking tot bouwterreinen is niet aan de orde. In onderhavige casus </w:t>
      </w:r>
      <w:r w:rsidR="00B0544A" w:rsidRPr="00484DAF">
        <w:rPr>
          <w:sz w:val="24"/>
          <w:szCs w:val="24"/>
        </w:rPr>
        <w:t xml:space="preserve">acht de A-G </w:t>
      </w:r>
      <w:r w:rsidR="00283530" w:rsidRPr="00484DAF">
        <w:rPr>
          <w:sz w:val="24"/>
          <w:szCs w:val="24"/>
        </w:rPr>
        <w:t xml:space="preserve">de criteria van </w:t>
      </w:r>
      <w:r w:rsidR="005C38DD" w:rsidRPr="00484DAF">
        <w:rPr>
          <w:sz w:val="24"/>
          <w:szCs w:val="24"/>
        </w:rPr>
        <w:t>artikel</w:t>
      </w:r>
      <w:r w:rsidR="00283530" w:rsidRPr="00484DAF">
        <w:rPr>
          <w:sz w:val="24"/>
          <w:szCs w:val="24"/>
        </w:rPr>
        <w:t xml:space="preserve"> 1</w:t>
      </w:r>
      <w:r w:rsidR="00B0544A" w:rsidRPr="00484DAF">
        <w:rPr>
          <w:sz w:val="24"/>
          <w:szCs w:val="24"/>
        </w:rPr>
        <w:t xml:space="preserve">1, </w:t>
      </w:r>
      <w:r w:rsidR="00CD3597" w:rsidRPr="00484DAF">
        <w:rPr>
          <w:sz w:val="24"/>
          <w:szCs w:val="24"/>
        </w:rPr>
        <w:t>lid 3</w:t>
      </w:r>
      <w:r w:rsidR="00B0544A" w:rsidRPr="00484DAF">
        <w:rPr>
          <w:sz w:val="24"/>
          <w:szCs w:val="24"/>
        </w:rPr>
        <w:t xml:space="preserve">, onderdeel b </w:t>
      </w:r>
      <w:r w:rsidR="00283530" w:rsidRPr="00484DAF">
        <w:rPr>
          <w:sz w:val="24"/>
          <w:szCs w:val="24"/>
        </w:rPr>
        <w:t>Wet OB</w:t>
      </w:r>
      <w:r w:rsidR="00B0544A" w:rsidRPr="00484DAF">
        <w:rPr>
          <w:sz w:val="24"/>
          <w:szCs w:val="24"/>
        </w:rPr>
        <w:t xml:space="preserve"> 1968 als maatgevend. In hoofdstuk 3 zagen we reeds dat moet </w:t>
      </w:r>
      <w:r w:rsidR="00283530" w:rsidRPr="00484DAF">
        <w:rPr>
          <w:sz w:val="24"/>
          <w:szCs w:val="24"/>
        </w:rPr>
        <w:t xml:space="preserve">worden beoordeeld of de sloopwerkzaamheden </w:t>
      </w:r>
      <w:r w:rsidR="00B0544A" w:rsidRPr="00484DAF">
        <w:rPr>
          <w:sz w:val="24"/>
          <w:szCs w:val="24"/>
        </w:rPr>
        <w:t xml:space="preserve">leiden </w:t>
      </w:r>
      <w:r w:rsidR="00283530" w:rsidRPr="00484DAF">
        <w:rPr>
          <w:sz w:val="24"/>
          <w:szCs w:val="24"/>
        </w:rPr>
        <w:t xml:space="preserve">tot vervaardiging van </w:t>
      </w:r>
      <w:r w:rsidR="00B0544A" w:rsidRPr="00484DAF">
        <w:rPr>
          <w:sz w:val="24"/>
          <w:szCs w:val="24"/>
        </w:rPr>
        <w:t>nieuw</w:t>
      </w:r>
      <w:r w:rsidR="00283530" w:rsidRPr="00484DAF">
        <w:rPr>
          <w:sz w:val="24"/>
          <w:szCs w:val="24"/>
        </w:rPr>
        <w:t xml:space="preserve"> onroerende </w:t>
      </w:r>
      <w:r w:rsidR="00B0544A" w:rsidRPr="00484DAF">
        <w:rPr>
          <w:sz w:val="24"/>
          <w:szCs w:val="24"/>
        </w:rPr>
        <w:t>goed</w:t>
      </w:r>
      <w:r w:rsidR="00283530" w:rsidRPr="00484DAF">
        <w:rPr>
          <w:sz w:val="24"/>
          <w:szCs w:val="24"/>
        </w:rPr>
        <w:t>.</w:t>
      </w:r>
      <w:r w:rsidR="00B0544A" w:rsidRPr="00484DAF">
        <w:rPr>
          <w:sz w:val="24"/>
          <w:szCs w:val="24"/>
        </w:rPr>
        <w:t xml:space="preserve"> Uit Nederlandse jurisprudentie volgt dat d</w:t>
      </w:r>
      <w:r w:rsidR="00283530" w:rsidRPr="00484DAF">
        <w:rPr>
          <w:sz w:val="24"/>
          <w:szCs w:val="24"/>
        </w:rPr>
        <w:t xml:space="preserve">aartoe </w:t>
      </w:r>
      <w:r w:rsidR="00B0544A" w:rsidRPr="00484DAF">
        <w:rPr>
          <w:sz w:val="24"/>
          <w:szCs w:val="24"/>
        </w:rPr>
        <w:t xml:space="preserve">op het leveringstijdstip </w:t>
      </w:r>
      <w:r w:rsidR="00283530" w:rsidRPr="00484DAF">
        <w:rPr>
          <w:sz w:val="24"/>
          <w:szCs w:val="24"/>
        </w:rPr>
        <w:t xml:space="preserve">een </w:t>
      </w:r>
      <w:r w:rsidR="00B0544A" w:rsidRPr="00484DAF">
        <w:rPr>
          <w:sz w:val="24"/>
          <w:szCs w:val="24"/>
        </w:rPr>
        <w:t>goed moet zijn voortgebracht dat</w:t>
      </w:r>
      <w:r w:rsidR="00283530" w:rsidRPr="00484DAF">
        <w:rPr>
          <w:sz w:val="24"/>
          <w:szCs w:val="24"/>
        </w:rPr>
        <w:t xml:space="preserve"> tevoren niet bestond</w:t>
      </w:r>
      <w:r w:rsidR="00B0544A" w:rsidRPr="00484DAF">
        <w:rPr>
          <w:sz w:val="24"/>
          <w:szCs w:val="24"/>
        </w:rPr>
        <w:t xml:space="preserve">. Beslissend hierbij zijn </w:t>
      </w:r>
      <w:r w:rsidR="00283530" w:rsidRPr="00484DAF">
        <w:rPr>
          <w:sz w:val="24"/>
          <w:szCs w:val="24"/>
        </w:rPr>
        <w:t>ingrijpende wijziging</w:t>
      </w:r>
      <w:r w:rsidR="00B0544A" w:rsidRPr="00484DAF">
        <w:rPr>
          <w:sz w:val="24"/>
          <w:szCs w:val="24"/>
        </w:rPr>
        <w:t>en</w:t>
      </w:r>
      <w:r w:rsidR="00283530" w:rsidRPr="00484DAF">
        <w:rPr>
          <w:sz w:val="24"/>
          <w:szCs w:val="24"/>
        </w:rPr>
        <w:t xml:space="preserve"> in </w:t>
      </w:r>
      <w:r w:rsidR="00B0544A" w:rsidRPr="00484DAF">
        <w:rPr>
          <w:sz w:val="24"/>
          <w:szCs w:val="24"/>
        </w:rPr>
        <w:t xml:space="preserve">de </w:t>
      </w:r>
      <w:r w:rsidR="00283530" w:rsidRPr="00484DAF">
        <w:rPr>
          <w:sz w:val="24"/>
          <w:szCs w:val="24"/>
        </w:rPr>
        <w:t>functie</w:t>
      </w:r>
      <w:r w:rsidR="00B0544A" w:rsidRPr="00484DAF">
        <w:rPr>
          <w:sz w:val="24"/>
          <w:szCs w:val="24"/>
        </w:rPr>
        <w:t xml:space="preserve"> van het gebouw en of</w:t>
      </w:r>
      <w:r w:rsidR="00CF1143" w:rsidRPr="00484DAF">
        <w:rPr>
          <w:sz w:val="24"/>
          <w:szCs w:val="24"/>
        </w:rPr>
        <w:t xml:space="preserve"> </w:t>
      </w:r>
      <w:r w:rsidR="00B0544A" w:rsidRPr="00484DAF">
        <w:rPr>
          <w:sz w:val="24"/>
          <w:szCs w:val="24"/>
        </w:rPr>
        <w:t xml:space="preserve">het </w:t>
      </w:r>
      <w:r w:rsidR="00283530" w:rsidRPr="00484DAF">
        <w:rPr>
          <w:sz w:val="24"/>
          <w:szCs w:val="24"/>
        </w:rPr>
        <w:t xml:space="preserve">uiterlijk </w:t>
      </w:r>
      <w:r w:rsidR="00B0544A" w:rsidRPr="00484DAF">
        <w:rPr>
          <w:sz w:val="24"/>
          <w:szCs w:val="24"/>
        </w:rPr>
        <w:t>(zowel in- als uitwendig) van het onroerend goed</w:t>
      </w:r>
      <w:r w:rsidR="00B0544A" w:rsidRPr="00484DAF">
        <w:rPr>
          <w:i/>
          <w:sz w:val="24"/>
          <w:szCs w:val="24"/>
        </w:rPr>
        <w:t>. A-G Groeneveld</w:t>
      </w:r>
      <w:r w:rsidR="005B6084" w:rsidRPr="00484DAF">
        <w:rPr>
          <w:rStyle w:val="Voetnootmarkering"/>
          <w:sz w:val="24"/>
          <w:szCs w:val="24"/>
        </w:rPr>
        <w:footnoteReference w:id="246"/>
      </w:r>
      <w:r w:rsidR="00B0544A" w:rsidRPr="00484DAF">
        <w:rPr>
          <w:sz w:val="24"/>
          <w:szCs w:val="24"/>
        </w:rPr>
        <w:t xml:space="preserve"> </w:t>
      </w:r>
      <w:r w:rsidR="00C5099E" w:rsidRPr="00484DAF">
        <w:rPr>
          <w:sz w:val="24"/>
          <w:szCs w:val="24"/>
        </w:rPr>
        <w:t xml:space="preserve">vraagt zich </w:t>
      </w:r>
      <w:r w:rsidR="00D64B58" w:rsidRPr="00484DAF">
        <w:rPr>
          <w:sz w:val="24"/>
          <w:szCs w:val="24"/>
        </w:rPr>
        <w:t xml:space="preserve">casu </w:t>
      </w:r>
      <w:r w:rsidR="00C5099E" w:rsidRPr="00484DAF">
        <w:rPr>
          <w:sz w:val="24"/>
          <w:szCs w:val="24"/>
        </w:rPr>
        <w:t xml:space="preserve">af </w:t>
      </w:r>
      <w:r w:rsidR="00D64B58" w:rsidRPr="00484DAF">
        <w:rPr>
          <w:sz w:val="24"/>
          <w:szCs w:val="24"/>
        </w:rPr>
        <w:t xml:space="preserve">of de gedeeltelijke sloop van </w:t>
      </w:r>
      <w:r w:rsidR="00C5099E" w:rsidRPr="00484DAF">
        <w:rPr>
          <w:sz w:val="24"/>
          <w:szCs w:val="24"/>
        </w:rPr>
        <w:t xml:space="preserve">een gebouw kan leiden tot een nieuw goed. Daarbij stelt hij wel de voorwaarde dat functieverandering niet alleen bestaat </w:t>
      </w:r>
      <w:r w:rsidR="00157233" w:rsidRPr="00484DAF">
        <w:rPr>
          <w:sz w:val="24"/>
          <w:szCs w:val="24"/>
        </w:rPr>
        <w:t xml:space="preserve">uit </w:t>
      </w:r>
      <w:r w:rsidR="00283530" w:rsidRPr="00484DAF">
        <w:rPr>
          <w:sz w:val="24"/>
          <w:szCs w:val="24"/>
        </w:rPr>
        <w:t xml:space="preserve">functieverlies van het </w:t>
      </w:r>
      <w:r w:rsidR="00C5099E" w:rsidRPr="00484DAF">
        <w:rPr>
          <w:sz w:val="24"/>
          <w:szCs w:val="24"/>
        </w:rPr>
        <w:t>oorspronkelijke gebouw, maar ten tijde van het leveren ook een nieuwe functie aan het gebouw kan worden toegekend.</w:t>
      </w:r>
      <w:r w:rsidR="004979E6" w:rsidRPr="00484DAF">
        <w:rPr>
          <w:sz w:val="24"/>
          <w:szCs w:val="24"/>
        </w:rPr>
        <w:t xml:space="preserve"> Hiermee redeneert de A-G</w:t>
      </w:r>
      <w:r w:rsidR="00C5099E" w:rsidRPr="00484DAF">
        <w:rPr>
          <w:sz w:val="24"/>
          <w:szCs w:val="24"/>
        </w:rPr>
        <w:t xml:space="preserve"> </w:t>
      </w:r>
      <w:r w:rsidR="004979E6" w:rsidRPr="00484DAF">
        <w:rPr>
          <w:sz w:val="24"/>
          <w:szCs w:val="24"/>
        </w:rPr>
        <w:t xml:space="preserve">in lijn met </w:t>
      </w:r>
      <w:r w:rsidR="004979E6" w:rsidRPr="00484DAF">
        <w:rPr>
          <w:i/>
          <w:sz w:val="24"/>
          <w:szCs w:val="24"/>
        </w:rPr>
        <w:t xml:space="preserve">Van Dijk’s Boekhuis </w:t>
      </w:r>
      <w:r w:rsidR="004979E6" w:rsidRPr="00484DAF">
        <w:rPr>
          <w:sz w:val="24"/>
          <w:szCs w:val="24"/>
        </w:rPr>
        <w:t xml:space="preserve">al noemt hij dit arrest enkel ter illustratie van gewezen jurisprudentie. </w:t>
      </w:r>
      <w:r w:rsidR="00C5099E" w:rsidRPr="00484DAF">
        <w:rPr>
          <w:sz w:val="24"/>
          <w:szCs w:val="24"/>
        </w:rPr>
        <w:t xml:space="preserve">In onderhavig geval is door sloop </w:t>
      </w:r>
      <w:r w:rsidR="00157233" w:rsidRPr="00484DAF">
        <w:rPr>
          <w:sz w:val="24"/>
          <w:szCs w:val="24"/>
        </w:rPr>
        <w:t xml:space="preserve">(nog) </w:t>
      </w:r>
      <w:r w:rsidR="00C5099E" w:rsidRPr="00484DAF">
        <w:rPr>
          <w:sz w:val="24"/>
          <w:szCs w:val="24"/>
        </w:rPr>
        <w:t>geen nieuwe functie gecreëerd en kan niet worden gesproken van vervaardiging.</w:t>
      </w:r>
    </w:p>
    <w:p w:rsidR="0004405D" w:rsidRPr="00484DAF" w:rsidRDefault="0004405D" w:rsidP="00CC552D">
      <w:pPr>
        <w:pStyle w:val="Geenafstand"/>
        <w:spacing w:line="360" w:lineRule="auto"/>
        <w:rPr>
          <w:sz w:val="24"/>
          <w:szCs w:val="24"/>
        </w:rPr>
      </w:pPr>
    </w:p>
    <w:p w:rsidR="007B0A8E" w:rsidRPr="00484DAF" w:rsidRDefault="00B9752E" w:rsidP="00CC552D">
      <w:pPr>
        <w:pStyle w:val="Kop2"/>
        <w:spacing w:before="0" w:line="360" w:lineRule="auto"/>
        <w:rPr>
          <w:rFonts w:ascii="Times New Roman" w:hAnsi="Times New Roman"/>
          <w:color w:val="auto"/>
          <w:sz w:val="24"/>
          <w:szCs w:val="24"/>
        </w:rPr>
      </w:pPr>
      <w:bookmarkStart w:id="109" w:name="_Toc254043960"/>
      <w:r w:rsidRPr="00484DAF">
        <w:rPr>
          <w:rFonts w:ascii="Times New Roman" w:hAnsi="Times New Roman"/>
          <w:color w:val="auto"/>
          <w:sz w:val="24"/>
          <w:szCs w:val="24"/>
        </w:rPr>
        <w:t>5.4</w:t>
      </w:r>
      <w:r w:rsidR="00D200A7" w:rsidRPr="00484DAF">
        <w:rPr>
          <w:rFonts w:ascii="Times New Roman" w:hAnsi="Times New Roman"/>
          <w:color w:val="auto"/>
          <w:sz w:val="24"/>
          <w:szCs w:val="24"/>
        </w:rPr>
        <w:t>.5</w:t>
      </w:r>
      <w:r w:rsidR="007B0A8E" w:rsidRPr="00484DAF">
        <w:rPr>
          <w:rFonts w:ascii="Times New Roman" w:hAnsi="Times New Roman"/>
          <w:color w:val="auto"/>
          <w:sz w:val="24"/>
          <w:szCs w:val="24"/>
        </w:rPr>
        <w:t xml:space="preserve"> </w:t>
      </w:r>
      <w:r w:rsidR="00D200A7" w:rsidRPr="00484DAF">
        <w:rPr>
          <w:rFonts w:ascii="Times New Roman" w:hAnsi="Times New Roman"/>
          <w:color w:val="auto"/>
          <w:sz w:val="24"/>
          <w:szCs w:val="24"/>
        </w:rPr>
        <w:t>Arrest Hoge Raad</w:t>
      </w:r>
      <w:bookmarkEnd w:id="109"/>
    </w:p>
    <w:p w:rsidR="00CD20B8" w:rsidRPr="00484DAF" w:rsidRDefault="00D200A7" w:rsidP="00CC552D">
      <w:pPr>
        <w:spacing w:after="0" w:line="360" w:lineRule="auto"/>
        <w:rPr>
          <w:sz w:val="24"/>
          <w:szCs w:val="24"/>
        </w:rPr>
      </w:pPr>
      <w:r w:rsidRPr="00484DAF">
        <w:rPr>
          <w:sz w:val="24"/>
          <w:szCs w:val="24"/>
        </w:rPr>
        <w:t xml:space="preserve">De Hoge Raad heeft in zijn arrest, zowel </w:t>
      </w:r>
      <w:r w:rsidR="00157233" w:rsidRPr="00484DAF">
        <w:rPr>
          <w:sz w:val="24"/>
          <w:szCs w:val="24"/>
        </w:rPr>
        <w:t xml:space="preserve">het </w:t>
      </w:r>
      <w:r w:rsidRPr="00484DAF">
        <w:rPr>
          <w:sz w:val="24"/>
          <w:szCs w:val="24"/>
        </w:rPr>
        <w:t>standpunt van belang</w:t>
      </w:r>
      <w:r w:rsidR="00DE21E7" w:rsidRPr="00484DAF">
        <w:rPr>
          <w:sz w:val="24"/>
          <w:szCs w:val="24"/>
        </w:rPr>
        <w:t>hebbende niet onderschreven als</w:t>
      </w:r>
      <w:r w:rsidRPr="00484DAF">
        <w:rPr>
          <w:sz w:val="24"/>
          <w:szCs w:val="24"/>
        </w:rPr>
        <w:t>ook niet de mening van A-G Groeneveld opgevolgd. Kennelijk is nog een derde zienswijze mogelijk.</w:t>
      </w:r>
      <w:r w:rsidR="005B6084" w:rsidRPr="00484DAF">
        <w:rPr>
          <w:sz w:val="24"/>
          <w:szCs w:val="24"/>
        </w:rPr>
        <w:t xml:space="preserve"> De Hoge Raad merkt namelijk stellig op</w:t>
      </w:r>
      <w:r w:rsidR="0037186B" w:rsidRPr="00484DAF">
        <w:rPr>
          <w:sz w:val="24"/>
          <w:szCs w:val="24"/>
        </w:rPr>
        <w:t>:</w:t>
      </w:r>
      <w:r w:rsidR="005B6084" w:rsidRPr="00484DAF">
        <w:rPr>
          <w:sz w:val="24"/>
          <w:szCs w:val="24"/>
        </w:rPr>
        <w:t xml:space="preserve"> </w:t>
      </w:r>
      <w:r w:rsidR="005B6084" w:rsidRPr="00484DAF">
        <w:rPr>
          <w:i/>
          <w:sz w:val="24"/>
          <w:szCs w:val="24"/>
        </w:rPr>
        <w:t>‘</w:t>
      </w:r>
      <w:r w:rsidR="00E845AB" w:rsidRPr="00484DAF">
        <w:rPr>
          <w:i/>
          <w:sz w:val="24"/>
          <w:szCs w:val="24"/>
        </w:rPr>
        <w:t>Het uitvoeren van sloopwerkzaamheden aan een gebouw kan niet worden aangemerkt als het</w:t>
      </w:r>
      <w:r w:rsidR="005B6084" w:rsidRPr="00484DAF">
        <w:rPr>
          <w:i/>
          <w:sz w:val="24"/>
          <w:szCs w:val="24"/>
        </w:rPr>
        <w:t xml:space="preserve"> verrichten van een verbouwing. </w:t>
      </w:r>
      <w:r w:rsidR="00E845AB" w:rsidRPr="00484DAF">
        <w:rPr>
          <w:i/>
          <w:sz w:val="24"/>
          <w:szCs w:val="24"/>
        </w:rPr>
        <w:t xml:space="preserve">Derhalve kan het enkele uitvoeren van sloopwerkzaamheden aan een gebouw dat in gebruik is of in gebruik is geweest, niet tot gevolg hebben dat het gebouw tijdens of na die werkzaamheden als zodanig voor het eerst in gebruik kan worden genomen </w:t>
      </w:r>
      <w:r w:rsidR="005B6084" w:rsidRPr="00484DAF">
        <w:rPr>
          <w:i/>
          <w:sz w:val="24"/>
          <w:szCs w:val="24"/>
        </w:rPr>
        <w:t>(…)</w:t>
      </w:r>
      <w:r w:rsidR="00E845AB" w:rsidRPr="00484DAF">
        <w:rPr>
          <w:i/>
          <w:sz w:val="24"/>
          <w:szCs w:val="24"/>
        </w:rPr>
        <w:t>, ongeacht of de werkzaamheden meer of minder ingrijpend zijn en ongeacht of deze gericht zijn op volledige afbraak dan wel de aanzet zijn tot een verbouwing</w:t>
      </w:r>
      <w:r w:rsidR="00050A0C" w:rsidRPr="00484DAF">
        <w:rPr>
          <w:i/>
          <w:sz w:val="24"/>
          <w:szCs w:val="24"/>
        </w:rPr>
        <w:t xml:space="preserve"> (…)</w:t>
      </w:r>
      <w:r w:rsidR="005B6084" w:rsidRPr="00484DAF">
        <w:rPr>
          <w:i/>
          <w:sz w:val="24"/>
          <w:szCs w:val="24"/>
        </w:rPr>
        <w:t>.’</w:t>
      </w:r>
      <w:r w:rsidR="005B6084" w:rsidRPr="00484DAF">
        <w:rPr>
          <w:rStyle w:val="Voetnootmarkering"/>
          <w:sz w:val="24"/>
          <w:szCs w:val="24"/>
        </w:rPr>
        <w:footnoteReference w:id="247"/>
      </w:r>
      <w:r w:rsidR="005B6084" w:rsidRPr="00484DAF">
        <w:rPr>
          <w:sz w:val="24"/>
          <w:szCs w:val="24"/>
        </w:rPr>
        <w:t xml:space="preserve"> </w:t>
      </w:r>
      <w:r w:rsidR="008E1BEA" w:rsidRPr="00484DAF">
        <w:rPr>
          <w:sz w:val="24"/>
          <w:szCs w:val="24"/>
        </w:rPr>
        <w:t>Daarmee komt de Hoge Raad tot dezelfde conclusie (zij het langs andere weg) als de A-G en verklaart voor recht dat slopen niet leidt tot verbouwing</w:t>
      </w:r>
      <w:r w:rsidR="002A5024" w:rsidRPr="00484DAF">
        <w:rPr>
          <w:rStyle w:val="Voetnootmarkering"/>
          <w:sz w:val="24"/>
          <w:szCs w:val="24"/>
        </w:rPr>
        <w:footnoteReference w:id="248"/>
      </w:r>
      <w:r w:rsidR="0071122F" w:rsidRPr="00484DAF">
        <w:rPr>
          <w:sz w:val="24"/>
          <w:szCs w:val="24"/>
        </w:rPr>
        <w:t xml:space="preserve"> en</w:t>
      </w:r>
      <w:r w:rsidR="008E1BEA" w:rsidRPr="00484DAF">
        <w:rPr>
          <w:sz w:val="24"/>
          <w:szCs w:val="24"/>
        </w:rPr>
        <w:t xml:space="preserve"> daardoor geen nieuw onroerend goed wordt </w:t>
      </w:r>
      <w:r w:rsidR="008E1BEA" w:rsidRPr="00484DAF">
        <w:rPr>
          <w:sz w:val="24"/>
          <w:szCs w:val="24"/>
        </w:rPr>
        <w:lastRenderedPageBreak/>
        <w:t>vervaardig</w:t>
      </w:r>
      <w:r w:rsidR="0071122F" w:rsidRPr="00484DAF">
        <w:rPr>
          <w:sz w:val="24"/>
          <w:szCs w:val="24"/>
        </w:rPr>
        <w:t>d</w:t>
      </w:r>
      <w:r w:rsidR="008E1BEA" w:rsidRPr="00484DAF">
        <w:rPr>
          <w:sz w:val="24"/>
          <w:szCs w:val="24"/>
        </w:rPr>
        <w:t>. Zodoende is sprake van oud onroerend goed (er is geen eerste ingebruikneming aan te merken), waardoor de omzetbelastingvrijstelling van rechtswege van toepassing is en daarmee de samenloopvrijstelling</w:t>
      </w:r>
      <w:r w:rsidR="0071122F" w:rsidRPr="00484DAF">
        <w:rPr>
          <w:sz w:val="24"/>
          <w:szCs w:val="24"/>
        </w:rPr>
        <w:t xml:space="preserve"> uit de overdrachtsbelasting</w:t>
      </w:r>
      <w:r w:rsidR="008E1BEA" w:rsidRPr="00484DAF">
        <w:rPr>
          <w:sz w:val="24"/>
          <w:szCs w:val="24"/>
        </w:rPr>
        <w:t xml:space="preserve"> buiten werking wordt gesteld.</w:t>
      </w:r>
    </w:p>
    <w:p w:rsidR="0004405D" w:rsidRPr="00484DAF" w:rsidRDefault="0004405D" w:rsidP="00CC552D">
      <w:pPr>
        <w:pStyle w:val="Geenafstand"/>
        <w:spacing w:line="360" w:lineRule="auto"/>
        <w:rPr>
          <w:sz w:val="24"/>
          <w:szCs w:val="24"/>
        </w:rPr>
      </w:pPr>
    </w:p>
    <w:p w:rsidR="008E1BEA" w:rsidRPr="00484DAF" w:rsidRDefault="00B9752E" w:rsidP="00CC552D">
      <w:pPr>
        <w:pStyle w:val="Kop2"/>
        <w:spacing w:before="0" w:line="360" w:lineRule="auto"/>
        <w:rPr>
          <w:rFonts w:ascii="Times New Roman" w:hAnsi="Times New Roman"/>
          <w:color w:val="auto"/>
          <w:sz w:val="24"/>
          <w:szCs w:val="24"/>
        </w:rPr>
      </w:pPr>
      <w:bookmarkStart w:id="110" w:name="_Toc254043961"/>
      <w:r w:rsidRPr="00484DAF">
        <w:rPr>
          <w:rFonts w:ascii="Times New Roman" w:hAnsi="Times New Roman"/>
          <w:color w:val="auto"/>
          <w:sz w:val="24"/>
          <w:szCs w:val="24"/>
        </w:rPr>
        <w:t>5.4</w:t>
      </w:r>
      <w:r w:rsidR="008E1BEA" w:rsidRPr="00484DAF">
        <w:rPr>
          <w:rFonts w:ascii="Times New Roman" w:hAnsi="Times New Roman"/>
          <w:color w:val="auto"/>
          <w:sz w:val="24"/>
          <w:szCs w:val="24"/>
        </w:rPr>
        <w:t xml:space="preserve">.6 </w:t>
      </w:r>
      <w:r w:rsidR="00CE3EA1" w:rsidRPr="00484DAF">
        <w:rPr>
          <w:rFonts w:ascii="Times New Roman" w:hAnsi="Times New Roman"/>
          <w:color w:val="auto"/>
          <w:sz w:val="24"/>
          <w:szCs w:val="24"/>
        </w:rPr>
        <w:t>Diverse</w:t>
      </w:r>
      <w:r w:rsidR="00D57BD1" w:rsidRPr="00484DAF">
        <w:rPr>
          <w:rFonts w:ascii="Times New Roman" w:hAnsi="Times New Roman"/>
          <w:color w:val="auto"/>
          <w:sz w:val="24"/>
          <w:szCs w:val="24"/>
        </w:rPr>
        <w:t xml:space="preserve"> m</w:t>
      </w:r>
      <w:r w:rsidR="008E1BEA" w:rsidRPr="00484DAF">
        <w:rPr>
          <w:rFonts w:ascii="Times New Roman" w:hAnsi="Times New Roman"/>
          <w:color w:val="auto"/>
          <w:sz w:val="24"/>
          <w:szCs w:val="24"/>
        </w:rPr>
        <w:t>eningen</w:t>
      </w:r>
      <w:bookmarkEnd w:id="110"/>
    </w:p>
    <w:p w:rsidR="004D7C67" w:rsidRPr="00484DAF" w:rsidRDefault="0096514F" w:rsidP="00CC552D">
      <w:pPr>
        <w:spacing w:after="0" w:line="360" w:lineRule="auto"/>
        <w:rPr>
          <w:sz w:val="24"/>
          <w:szCs w:val="24"/>
        </w:rPr>
      </w:pPr>
      <w:r w:rsidRPr="00484DAF">
        <w:rPr>
          <w:sz w:val="24"/>
          <w:szCs w:val="24"/>
        </w:rPr>
        <w:t xml:space="preserve">Waar de A-G nog impliciet verwees naar het arrest </w:t>
      </w:r>
      <w:r w:rsidRPr="00484DAF">
        <w:rPr>
          <w:i/>
          <w:sz w:val="24"/>
          <w:szCs w:val="24"/>
        </w:rPr>
        <w:t>Van Dijk</w:t>
      </w:r>
      <w:r w:rsidR="0037186B" w:rsidRPr="00484DAF">
        <w:rPr>
          <w:i/>
          <w:sz w:val="24"/>
          <w:szCs w:val="24"/>
        </w:rPr>
        <w:t>’</w:t>
      </w:r>
      <w:r w:rsidRPr="00484DAF">
        <w:rPr>
          <w:i/>
          <w:sz w:val="24"/>
          <w:szCs w:val="24"/>
        </w:rPr>
        <w:t>s Boekhuis</w:t>
      </w:r>
      <w:r w:rsidRPr="00484DAF">
        <w:rPr>
          <w:sz w:val="24"/>
          <w:szCs w:val="24"/>
        </w:rPr>
        <w:t xml:space="preserve"> gaat de Hoge Raad in het geheel niet in op het enige arrest inzake vervaardiging in de BTW-sferen</w:t>
      </w:r>
      <w:r w:rsidR="0037186B" w:rsidRPr="00484DAF">
        <w:rPr>
          <w:sz w:val="24"/>
          <w:szCs w:val="24"/>
        </w:rPr>
        <w:t>,</w:t>
      </w:r>
      <w:r w:rsidRPr="00484DAF">
        <w:rPr>
          <w:sz w:val="24"/>
          <w:szCs w:val="24"/>
        </w:rPr>
        <w:t xml:space="preserve"> doordat hij stopt met redeneren na de conclusie dat slopen geen </w:t>
      </w:r>
      <w:r w:rsidR="0037186B" w:rsidRPr="00484DAF">
        <w:rPr>
          <w:sz w:val="24"/>
          <w:szCs w:val="24"/>
        </w:rPr>
        <w:t xml:space="preserve">vorm van </w:t>
      </w:r>
      <w:r w:rsidRPr="00484DAF">
        <w:rPr>
          <w:sz w:val="24"/>
          <w:szCs w:val="24"/>
        </w:rPr>
        <w:t xml:space="preserve">vervaardigen is. </w:t>
      </w:r>
      <w:r w:rsidR="00965046" w:rsidRPr="00484DAF">
        <w:rPr>
          <w:sz w:val="24"/>
          <w:szCs w:val="24"/>
        </w:rPr>
        <w:t>De Hoge Raad wilde n</w:t>
      </w:r>
      <w:r w:rsidR="00C10AE3" w:rsidRPr="00484DAF">
        <w:rPr>
          <w:sz w:val="24"/>
          <w:szCs w:val="24"/>
        </w:rPr>
        <w:t>iet meegaan met Hof Den Haag</w:t>
      </w:r>
      <w:r w:rsidR="0037186B" w:rsidRPr="00484DAF">
        <w:rPr>
          <w:sz w:val="24"/>
          <w:szCs w:val="24"/>
        </w:rPr>
        <w:t>,</w:t>
      </w:r>
      <w:r w:rsidR="00C10AE3" w:rsidRPr="00484DAF">
        <w:rPr>
          <w:sz w:val="24"/>
          <w:szCs w:val="24"/>
        </w:rPr>
        <w:t xml:space="preserve"> dat</w:t>
      </w:r>
      <w:r w:rsidR="00965046" w:rsidRPr="00484DAF">
        <w:rPr>
          <w:sz w:val="24"/>
          <w:szCs w:val="24"/>
        </w:rPr>
        <w:t xml:space="preserve"> op basis van bouwplannen vervaardiging zag in onderhavige casus.</w:t>
      </w:r>
      <w:r w:rsidR="007413E3" w:rsidRPr="00484DAF">
        <w:rPr>
          <w:sz w:val="24"/>
          <w:szCs w:val="24"/>
        </w:rPr>
        <w:t xml:space="preserve"> </w:t>
      </w:r>
      <w:r w:rsidR="001B0544" w:rsidRPr="00484DAF">
        <w:rPr>
          <w:sz w:val="24"/>
          <w:szCs w:val="24"/>
        </w:rPr>
        <w:t>Enerzijds valt daarvoor wat te zeggen, omdat je op plannen niet kunt bouwen.</w:t>
      </w:r>
      <w:r w:rsidR="00965046" w:rsidRPr="00484DAF">
        <w:rPr>
          <w:rStyle w:val="Voetnootmarkering"/>
          <w:sz w:val="24"/>
          <w:szCs w:val="24"/>
        </w:rPr>
        <w:footnoteReference w:id="249"/>
      </w:r>
      <w:r w:rsidR="00965046" w:rsidRPr="00484DAF">
        <w:rPr>
          <w:sz w:val="24"/>
          <w:szCs w:val="24"/>
        </w:rPr>
        <w:t xml:space="preserve"> </w:t>
      </w:r>
      <w:r w:rsidR="00F22ADE" w:rsidRPr="00484DAF">
        <w:rPr>
          <w:sz w:val="24"/>
          <w:szCs w:val="24"/>
        </w:rPr>
        <w:t>Anderzijds ben ik het</w:t>
      </w:r>
      <w:r w:rsidR="007413E3" w:rsidRPr="00484DAF">
        <w:rPr>
          <w:sz w:val="24"/>
          <w:szCs w:val="24"/>
        </w:rPr>
        <w:t xml:space="preserve"> </w:t>
      </w:r>
      <w:r w:rsidR="00F22ADE" w:rsidRPr="00484DAF">
        <w:rPr>
          <w:sz w:val="24"/>
          <w:szCs w:val="24"/>
        </w:rPr>
        <w:t xml:space="preserve">met </w:t>
      </w:r>
      <w:r w:rsidR="007413E3" w:rsidRPr="00484DAF">
        <w:rPr>
          <w:i/>
          <w:sz w:val="24"/>
          <w:szCs w:val="24"/>
        </w:rPr>
        <w:t>Nieuwenhuizen</w:t>
      </w:r>
      <w:r w:rsidR="007413E3" w:rsidRPr="00484DAF">
        <w:rPr>
          <w:rStyle w:val="Voetnootmarkering"/>
          <w:i/>
          <w:sz w:val="24"/>
          <w:szCs w:val="24"/>
        </w:rPr>
        <w:footnoteReference w:id="250"/>
      </w:r>
      <w:r w:rsidR="007413E3" w:rsidRPr="00484DAF">
        <w:rPr>
          <w:i/>
          <w:sz w:val="24"/>
          <w:szCs w:val="24"/>
        </w:rPr>
        <w:t xml:space="preserve"> </w:t>
      </w:r>
      <w:r w:rsidR="007413E3" w:rsidRPr="00484DAF">
        <w:rPr>
          <w:sz w:val="24"/>
          <w:szCs w:val="24"/>
        </w:rPr>
        <w:t>eens</w:t>
      </w:r>
      <w:r w:rsidR="007D6691" w:rsidRPr="00484DAF">
        <w:rPr>
          <w:sz w:val="24"/>
          <w:szCs w:val="24"/>
        </w:rPr>
        <w:t>,</w:t>
      </w:r>
      <w:r w:rsidR="007413E3" w:rsidRPr="00484DAF">
        <w:rPr>
          <w:sz w:val="24"/>
          <w:szCs w:val="24"/>
        </w:rPr>
        <w:t xml:space="preserve"> dat door geen aandacht </w:t>
      </w:r>
      <w:r w:rsidR="0037186B" w:rsidRPr="00484DAF">
        <w:rPr>
          <w:sz w:val="24"/>
          <w:szCs w:val="24"/>
        </w:rPr>
        <w:t xml:space="preserve">aan </w:t>
      </w:r>
      <w:r w:rsidR="0037186B" w:rsidRPr="00484DAF">
        <w:rPr>
          <w:i/>
          <w:sz w:val="24"/>
          <w:szCs w:val="24"/>
        </w:rPr>
        <w:t xml:space="preserve">Van Dijk’s Boekhuis </w:t>
      </w:r>
      <w:r w:rsidR="007413E3" w:rsidRPr="00484DAF">
        <w:rPr>
          <w:sz w:val="24"/>
          <w:szCs w:val="24"/>
        </w:rPr>
        <w:t>te besteden</w:t>
      </w:r>
      <w:r w:rsidR="007D6691" w:rsidRPr="00484DAF">
        <w:rPr>
          <w:sz w:val="24"/>
          <w:szCs w:val="24"/>
        </w:rPr>
        <w:t xml:space="preserve"> </w:t>
      </w:r>
      <w:r w:rsidR="007413E3" w:rsidRPr="00484DAF">
        <w:rPr>
          <w:sz w:val="24"/>
          <w:szCs w:val="24"/>
        </w:rPr>
        <w:t xml:space="preserve">voorbij wordt gegaan aan </w:t>
      </w:r>
      <w:r w:rsidR="00DF438F" w:rsidRPr="00484DAF">
        <w:rPr>
          <w:sz w:val="24"/>
          <w:szCs w:val="24"/>
        </w:rPr>
        <w:t xml:space="preserve">het </w:t>
      </w:r>
      <w:r w:rsidR="007413E3" w:rsidRPr="00484DAF">
        <w:rPr>
          <w:sz w:val="24"/>
          <w:szCs w:val="24"/>
        </w:rPr>
        <w:t>belangrijk</w:t>
      </w:r>
      <w:r w:rsidR="00DF438F" w:rsidRPr="00484DAF">
        <w:rPr>
          <w:sz w:val="24"/>
          <w:szCs w:val="24"/>
        </w:rPr>
        <w:t>e</w:t>
      </w:r>
      <w:r w:rsidR="007413E3" w:rsidRPr="00484DAF">
        <w:rPr>
          <w:sz w:val="24"/>
          <w:szCs w:val="24"/>
        </w:rPr>
        <w:t xml:space="preserve"> </w:t>
      </w:r>
      <w:r w:rsidR="00DF438F" w:rsidRPr="00484DAF">
        <w:rPr>
          <w:sz w:val="24"/>
          <w:szCs w:val="24"/>
        </w:rPr>
        <w:t>(</w:t>
      </w:r>
      <w:r w:rsidR="007413E3" w:rsidRPr="00484DAF">
        <w:rPr>
          <w:sz w:val="24"/>
          <w:szCs w:val="24"/>
        </w:rPr>
        <w:t xml:space="preserve">en </w:t>
      </w:r>
      <w:r w:rsidR="00DF438F" w:rsidRPr="00484DAF">
        <w:rPr>
          <w:sz w:val="24"/>
          <w:szCs w:val="24"/>
        </w:rPr>
        <w:t xml:space="preserve">tevens </w:t>
      </w:r>
      <w:r w:rsidR="007413E3" w:rsidRPr="00484DAF">
        <w:rPr>
          <w:sz w:val="24"/>
          <w:szCs w:val="24"/>
        </w:rPr>
        <w:t>enige</w:t>
      </w:r>
      <w:r w:rsidR="00DF438F" w:rsidRPr="00484DAF">
        <w:rPr>
          <w:sz w:val="24"/>
          <w:szCs w:val="24"/>
        </w:rPr>
        <w:t>)</w:t>
      </w:r>
      <w:r w:rsidR="007413E3" w:rsidRPr="00484DAF">
        <w:rPr>
          <w:sz w:val="24"/>
          <w:szCs w:val="24"/>
        </w:rPr>
        <w:t xml:space="preserve"> Europees arrest inzake vervaardiging.</w:t>
      </w:r>
      <w:r w:rsidR="00DF438F" w:rsidRPr="00484DAF">
        <w:rPr>
          <w:rStyle w:val="Voetnootmarkering"/>
          <w:sz w:val="24"/>
          <w:szCs w:val="24"/>
        </w:rPr>
        <w:footnoteReference w:id="251"/>
      </w:r>
      <w:r w:rsidR="007413E3" w:rsidRPr="00484DAF">
        <w:rPr>
          <w:sz w:val="24"/>
          <w:szCs w:val="24"/>
        </w:rPr>
        <w:t xml:space="preserve"> Zo de Hoge Raad vindt dat geen sprake is van toepassing van dit arrest </w:t>
      </w:r>
      <w:r w:rsidR="00C010D5" w:rsidRPr="00484DAF">
        <w:rPr>
          <w:sz w:val="24"/>
          <w:szCs w:val="24"/>
        </w:rPr>
        <w:t xml:space="preserve">uitgaande van </w:t>
      </w:r>
      <w:r w:rsidR="007413E3" w:rsidRPr="00484DAF">
        <w:rPr>
          <w:sz w:val="24"/>
          <w:szCs w:val="24"/>
        </w:rPr>
        <w:t>gedeeltelijk</w:t>
      </w:r>
      <w:r w:rsidR="00C10AE3" w:rsidRPr="00484DAF">
        <w:rPr>
          <w:sz w:val="24"/>
          <w:szCs w:val="24"/>
        </w:rPr>
        <w:t>e</w:t>
      </w:r>
      <w:r w:rsidR="007413E3" w:rsidRPr="00484DAF">
        <w:rPr>
          <w:sz w:val="24"/>
          <w:szCs w:val="24"/>
        </w:rPr>
        <w:t xml:space="preserve"> sloop had hij ook</w:t>
      </w:r>
      <w:r w:rsidR="00CF1143" w:rsidRPr="00484DAF">
        <w:rPr>
          <w:sz w:val="24"/>
          <w:szCs w:val="24"/>
        </w:rPr>
        <w:t xml:space="preserve"> </w:t>
      </w:r>
      <w:r w:rsidR="007413E3" w:rsidRPr="00484DAF">
        <w:rPr>
          <w:sz w:val="24"/>
          <w:szCs w:val="24"/>
        </w:rPr>
        <w:t>prejudiciële vragen kunnen stellen aan het HvJ EG.</w:t>
      </w:r>
    </w:p>
    <w:p w:rsidR="003A5ADF" w:rsidRPr="00484DAF" w:rsidRDefault="003A5ADF" w:rsidP="00CC552D">
      <w:pPr>
        <w:pStyle w:val="Geenafstand"/>
        <w:spacing w:line="360" w:lineRule="auto"/>
        <w:rPr>
          <w:sz w:val="24"/>
          <w:szCs w:val="24"/>
        </w:rPr>
      </w:pPr>
    </w:p>
    <w:p w:rsidR="00F57CDA" w:rsidRPr="00484DAF" w:rsidRDefault="00F337DC" w:rsidP="00CC552D">
      <w:pPr>
        <w:spacing w:after="0" w:line="360" w:lineRule="auto"/>
        <w:rPr>
          <w:sz w:val="24"/>
          <w:szCs w:val="24"/>
        </w:rPr>
      </w:pPr>
      <w:r w:rsidRPr="00484DAF">
        <w:rPr>
          <w:sz w:val="24"/>
          <w:szCs w:val="24"/>
        </w:rPr>
        <w:t>Wellicht zouden vragen in dezen hebben uitgewezen dat indien de uitvoering van bouwplannen nagenoeg zeker is, aan het vereist</w:t>
      </w:r>
      <w:r w:rsidR="007D6691" w:rsidRPr="00484DAF">
        <w:rPr>
          <w:sz w:val="24"/>
          <w:szCs w:val="24"/>
        </w:rPr>
        <w:t>e</w:t>
      </w:r>
      <w:r w:rsidRPr="00484DAF">
        <w:rPr>
          <w:sz w:val="24"/>
          <w:szCs w:val="24"/>
        </w:rPr>
        <w:t xml:space="preserve"> van functieverandering is voldaan waardoor </w:t>
      </w:r>
      <w:r w:rsidR="00780262" w:rsidRPr="00484DAF">
        <w:rPr>
          <w:sz w:val="24"/>
          <w:szCs w:val="24"/>
        </w:rPr>
        <w:t xml:space="preserve">vervaardiging wordt </w:t>
      </w:r>
      <w:r w:rsidR="007D6691" w:rsidRPr="00484DAF">
        <w:rPr>
          <w:sz w:val="24"/>
          <w:szCs w:val="24"/>
        </w:rPr>
        <w:t>ond</w:t>
      </w:r>
      <w:r w:rsidR="00780262" w:rsidRPr="00484DAF">
        <w:rPr>
          <w:sz w:val="24"/>
          <w:szCs w:val="24"/>
        </w:rPr>
        <w:t>erken</w:t>
      </w:r>
      <w:r w:rsidR="00C010D5" w:rsidRPr="00484DAF">
        <w:rPr>
          <w:sz w:val="24"/>
          <w:szCs w:val="24"/>
        </w:rPr>
        <w:t>d</w:t>
      </w:r>
      <w:r w:rsidR="00AC53C8" w:rsidRPr="00484DAF">
        <w:rPr>
          <w:sz w:val="24"/>
          <w:szCs w:val="24"/>
        </w:rPr>
        <w:t>.</w:t>
      </w:r>
      <w:r w:rsidR="00F61D6B" w:rsidRPr="00484DAF">
        <w:rPr>
          <w:sz w:val="24"/>
          <w:szCs w:val="24"/>
        </w:rPr>
        <w:t xml:space="preserve"> Waarschijnlijk zou het HvJ EG toetsing alsnog aan de nationale rechter laten om te bepalen vanaf welk moment functieverandering optreedt. Niet aannemelijk is dat dit het geval is wanneer feitelijk nog geen verbouwing heeft plaatsgevonden. </w:t>
      </w:r>
      <w:r w:rsidR="00780262" w:rsidRPr="00484DAF">
        <w:rPr>
          <w:sz w:val="24"/>
          <w:szCs w:val="24"/>
        </w:rPr>
        <w:t xml:space="preserve">Daar het HvJ EG betreffende vervaardiging aansluit </w:t>
      </w:r>
      <w:r w:rsidR="00F57CDA" w:rsidRPr="00484DAF">
        <w:rPr>
          <w:sz w:val="24"/>
          <w:szCs w:val="24"/>
        </w:rPr>
        <w:t>bij het spraakgebruik had hij</w:t>
      </w:r>
      <w:r w:rsidR="00780262" w:rsidRPr="00484DAF">
        <w:rPr>
          <w:sz w:val="24"/>
          <w:szCs w:val="24"/>
        </w:rPr>
        <w:t xml:space="preserve"> ook kunnen uitmaken in hoeverre maatschappelijke opvatting</w:t>
      </w:r>
      <w:r w:rsidR="007D6691" w:rsidRPr="00484DAF">
        <w:rPr>
          <w:sz w:val="24"/>
          <w:szCs w:val="24"/>
        </w:rPr>
        <w:t>en doorslaggevend zijn. In het G</w:t>
      </w:r>
      <w:r w:rsidR="00780262" w:rsidRPr="00484DAF">
        <w:rPr>
          <w:sz w:val="24"/>
          <w:szCs w:val="24"/>
        </w:rPr>
        <w:t xml:space="preserve">aragearrest doet de Hoge Raad namelijk </w:t>
      </w:r>
      <w:r w:rsidR="00F57CDA" w:rsidRPr="00484DAF">
        <w:rPr>
          <w:sz w:val="24"/>
          <w:szCs w:val="24"/>
        </w:rPr>
        <w:t xml:space="preserve">een </w:t>
      </w:r>
      <w:r w:rsidR="00780262" w:rsidRPr="00484DAF">
        <w:rPr>
          <w:sz w:val="24"/>
          <w:szCs w:val="24"/>
        </w:rPr>
        <w:t xml:space="preserve">uitspraak die naar maatschappelijke </w:t>
      </w:r>
      <w:r w:rsidR="00780262" w:rsidRPr="00484DAF">
        <w:rPr>
          <w:sz w:val="24"/>
          <w:szCs w:val="24"/>
        </w:rPr>
        <w:lastRenderedPageBreak/>
        <w:t>opvattingen klopt.</w:t>
      </w:r>
      <w:r w:rsidR="00780262" w:rsidRPr="00484DAF">
        <w:rPr>
          <w:rStyle w:val="Voetnootmarkering"/>
          <w:sz w:val="24"/>
          <w:szCs w:val="24"/>
        </w:rPr>
        <w:footnoteReference w:id="252"/>
      </w:r>
      <w:r w:rsidR="00780262" w:rsidRPr="00484DAF">
        <w:rPr>
          <w:sz w:val="24"/>
          <w:szCs w:val="24"/>
        </w:rPr>
        <w:t xml:space="preserve"> </w:t>
      </w:r>
      <w:r w:rsidR="00AC53C8" w:rsidRPr="00484DAF">
        <w:rPr>
          <w:sz w:val="24"/>
          <w:szCs w:val="24"/>
        </w:rPr>
        <w:t xml:space="preserve">Immers, door sloop wordt wel een functie verloren, maar nog geen nieuwe functie </w:t>
      </w:r>
      <w:r w:rsidR="007D6691" w:rsidRPr="00484DAF">
        <w:rPr>
          <w:sz w:val="24"/>
          <w:szCs w:val="24"/>
        </w:rPr>
        <w:t>gecreëerd</w:t>
      </w:r>
      <w:r w:rsidR="00AC53C8" w:rsidRPr="00484DAF">
        <w:rPr>
          <w:sz w:val="24"/>
          <w:szCs w:val="24"/>
        </w:rPr>
        <w:t xml:space="preserve">. Evident is in casu wel dat de nieuwe functie er aan zit te komen. </w:t>
      </w:r>
      <w:r w:rsidR="004D7C67" w:rsidRPr="00484DAF">
        <w:rPr>
          <w:sz w:val="24"/>
          <w:szCs w:val="24"/>
        </w:rPr>
        <w:t xml:space="preserve">Voorts zou het HvJ EG zich kunnen uitlaten over de vraag of sloop tot vervaardiging leidt. In </w:t>
      </w:r>
      <w:r w:rsidR="004D7C67" w:rsidRPr="00484DAF">
        <w:rPr>
          <w:i/>
          <w:sz w:val="24"/>
          <w:szCs w:val="24"/>
        </w:rPr>
        <w:t xml:space="preserve">Van Dijk’s Boekhuis </w:t>
      </w:r>
      <w:r w:rsidR="004D7C67" w:rsidRPr="00484DAF">
        <w:rPr>
          <w:sz w:val="24"/>
          <w:szCs w:val="24"/>
        </w:rPr>
        <w:t xml:space="preserve">wordt voor invulling van vervaardiging aangesloten bij het spraakgebruik. Nu ben ik van </w:t>
      </w:r>
      <w:r w:rsidR="00E756AA" w:rsidRPr="00484DAF">
        <w:rPr>
          <w:sz w:val="24"/>
          <w:szCs w:val="24"/>
        </w:rPr>
        <w:t>mening, dat</w:t>
      </w:r>
      <w:r w:rsidR="004D7C67" w:rsidRPr="00484DAF">
        <w:rPr>
          <w:sz w:val="24"/>
          <w:szCs w:val="24"/>
        </w:rPr>
        <w:t xml:space="preserve"> slopen een (hetzij destructieve)</w:t>
      </w:r>
      <w:r w:rsidR="007D6691" w:rsidRPr="00484DAF">
        <w:rPr>
          <w:rStyle w:val="Voetnootmarkering"/>
          <w:sz w:val="24"/>
          <w:szCs w:val="24"/>
        </w:rPr>
        <w:t xml:space="preserve"> </w:t>
      </w:r>
      <w:r w:rsidR="007D6691" w:rsidRPr="00484DAF">
        <w:rPr>
          <w:rStyle w:val="Voetnootmarkering"/>
          <w:sz w:val="24"/>
          <w:szCs w:val="24"/>
        </w:rPr>
        <w:footnoteReference w:id="253"/>
      </w:r>
      <w:r w:rsidR="004D7C67" w:rsidRPr="00484DAF">
        <w:rPr>
          <w:sz w:val="24"/>
          <w:szCs w:val="24"/>
        </w:rPr>
        <w:t xml:space="preserve"> vorm van verbouwing is. Zonder enige sloop kan niet worden verbouwd. Graag had ik over dit pleitbare standpunt de mening van het HvJ EG gehoord.</w:t>
      </w:r>
      <w:r w:rsidR="00617905" w:rsidRPr="00484DAF">
        <w:rPr>
          <w:rStyle w:val="Voetnootmarkering"/>
          <w:sz w:val="24"/>
          <w:szCs w:val="24"/>
        </w:rPr>
        <w:footnoteReference w:id="254"/>
      </w:r>
    </w:p>
    <w:p w:rsidR="00F22ADE" w:rsidRPr="00484DAF" w:rsidRDefault="00F22ADE" w:rsidP="00CC552D">
      <w:pPr>
        <w:pStyle w:val="Geenafstand"/>
        <w:spacing w:line="360" w:lineRule="auto"/>
        <w:rPr>
          <w:sz w:val="24"/>
          <w:szCs w:val="24"/>
        </w:rPr>
      </w:pPr>
    </w:p>
    <w:p w:rsidR="00F57CDA" w:rsidRPr="00484DAF" w:rsidRDefault="00F57CDA" w:rsidP="00CC552D">
      <w:pPr>
        <w:pStyle w:val="Kop2"/>
        <w:spacing w:before="0" w:line="360" w:lineRule="auto"/>
        <w:rPr>
          <w:rFonts w:ascii="Times New Roman" w:hAnsi="Times New Roman"/>
          <w:color w:val="auto"/>
          <w:sz w:val="24"/>
          <w:szCs w:val="24"/>
        </w:rPr>
      </w:pPr>
      <w:bookmarkStart w:id="111" w:name="_Toc254043962"/>
      <w:r w:rsidRPr="00484DAF">
        <w:rPr>
          <w:rFonts w:ascii="Times New Roman" w:hAnsi="Times New Roman"/>
          <w:color w:val="auto"/>
          <w:sz w:val="24"/>
          <w:szCs w:val="24"/>
        </w:rPr>
        <w:t>5.4.7 Timing</w:t>
      </w:r>
      <w:bookmarkEnd w:id="111"/>
    </w:p>
    <w:p w:rsidR="00256731" w:rsidRPr="00484DAF" w:rsidRDefault="00780262" w:rsidP="00CC552D">
      <w:pPr>
        <w:spacing w:after="0" w:line="360" w:lineRule="auto"/>
        <w:rPr>
          <w:sz w:val="24"/>
          <w:szCs w:val="24"/>
        </w:rPr>
      </w:pPr>
      <w:r w:rsidRPr="00484DAF">
        <w:rPr>
          <w:sz w:val="24"/>
          <w:szCs w:val="24"/>
        </w:rPr>
        <w:t xml:space="preserve">Wat het </w:t>
      </w:r>
      <w:r w:rsidR="004D7C67" w:rsidRPr="00484DAF">
        <w:rPr>
          <w:sz w:val="24"/>
          <w:szCs w:val="24"/>
        </w:rPr>
        <w:t>G</w:t>
      </w:r>
      <w:r w:rsidRPr="00484DAF">
        <w:rPr>
          <w:sz w:val="24"/>
          <w:szCs w:val="24"/>
        </w:rPr>
        <w:t xml:space="preserve">aragearrest </w:t>
      </w:r>
      <w:r w:rsidR="004D7C67" w:rsidRPr="00484DAF">
        <w:rPr>
          <w:sz w:val="24"/>
          <w:szCs w:val="24"/>
        </w:rPr>
        <w:t>in praktisc</w:t>
      </w:r>
      <w:r w:rsidR="005B5149" w:rsidRPr="00484DAF">
        <w:rPr>
          <w:sz w:val="24"/>
          <w:szCs w:val="24"/>
        </w:rPr>
        <w:t>h</w:t>
      </w:r>
      <w:r w:rsidR="004D7C67" w:rsidRPr="00484DAF">
        <w:rPr>
          <w:sz w:val="24"/>
          <w:szCs w:val="24"/>
        </w:rPr>
        <w:t xml:space="preserve"> opzicht </w:t>
      </w:r>
      <w:r w:rsidRPr="00484DAF">
        <w:rPr>
          <w:sz w:val="24"/>
          <w:szCs w:val="24"/>
        </w:rPr>
        <w:t xml:space="preserve">duidelijk maakt, is dat levering van onroerend goed een kwestie van timing is. </w:t>
      </w:r>
      <w:r w:rsidR="00856215" w:rsidRPr="00484DAF">
        <w:rPr>
          <w:sz w:val="24"/>
          <w:szCs w:val="24"/>
        </w:rPr>
        <w:t xml:space="preserve">De voorliggende casus kan worden aangemerkt als een </w:t>
      </w:r>
      <w:r w:rsidR="00F337DC" w:rsidRPr="00484DAF">
        <w:rPr>
          <w:sz w:val="24"/>
          <w:szCs w:val="24"/>
        </w:rPr>
        <w:t>mistiming</w:t>
      </w:r>
      <w:r w:rsidR="00272115" w:rsidRPr="00484DAF">
        <w:rPr>
          <w:sz w:val="24"/>
          <w:szCs w:val="24"/>
        </w:rPr>
        <w:t xml:space="preserve"> (onder de huidige invulling van jurisprudentie)</w:t>
      </w:r>
      <w:r w:rsidR="00F337DC" w:rsidRPr="00484DAF">
        <w:rPr>
          <w:sz w:val="24"/>
          <w:szCs w:val="24"/>
        </w:rPr>
        <w:t>.</w:t>
      </w:r>
      <w:r w:rsidRPr="00484DAF">
        <w:rPr>
          <w:sz w:val="24"/>
          <w:szCs w:val="24"/>
        </w:rPr>
        <w:t xml:space="preserve"> Had de levering van het nieuwe onroerend goed plaatsgevonden nadat de nieuwbouw was voltooid, was het niet zo ver gekomen.</w:t>
      </w:r>
      <w:r w:rsidR="00856215" w:rsidRPr="00484DAF">
        <w:rPr>
          <w:sz w:val="24"/>
          <w:szCs w:val="24"/>
        </w:rPr>
        <w:t xml:space="preserve"> In paragraaf 5.2.4 kwam naar voren dat hoew</w:t>
      </w:r>
      <w:r w:rsidR="00512840" w:rsidRPr="00484DAF">
        <w:rPr>
          <w:sz w:val="24"/>
          <w:szCs w:val="24"/>
        </w:rPr>
        <w:t>el de meeste zekerheid omtrent d</w:t>
      </w:r>
      <w:r w:rsidR="00856215" w:rsidRPr="00484DAF">
        <w:rPr>
          <w:sz w:val="24"/>
          <w:szCs w:val="24"/>
        </w:rPr>
        <w:t xml:space="preserve">e status van een bouwterrein kan worden ontleend aan een bouwvergunning, dit in de praktijk niet de meest </w:t>
      </w:r>
      <w:r w:rsidR="00860938" w:rsidRPr="00484DAF">
        <w:rPr>
          <w:sz w:val="24"/>
          <w:szCs w:val="24"/>
        </w:rPr>
        <w:t>wenselijke is. In een geval als in het Garagearrest is het wachten met leveren totdat de nieuwbouw is voltooid niet zaligmakend. De verkopende partij loopt daarmee het risico dat de kopende partij om uiteenlopende redenen besluit toch</w:t>
      </w:r>
      <w:r w:rsidR="00512840" w:rsidRPr="00484DAF">
        <w:rPr>
          <w:sz w:val="24"/>
          <w:szCs w:val="24"/>
        </w:rPr>
        <w:t xml:space="preserve"> uit</w:t>
      </w:r>
      <w:r w:rsidR="00860938" w:rsidRPr="00484DAF">
        <w:rPr>
          <w:sz w:val="24"/>
          <w:szCs w:val="24"/>
        </w:rPr>
        <w:t xml:space="preserve"> het project te stappen.</w:t>
      </w:r>
      <w:r w:rsidR="00256731" w:rsidRPr="00484DAF">
        <w:rPr>
          <w:sz w:val="24"/>
          <w:szCs w:val="24"/>
        </w:rPr>
        <w:t xml:space="preserve"> De kopende partij op zijn beurt loopt het risico met overdrachtsbelasting te worden geconfronteerd wanneer levering wordt uitgesteld tot voltooiing van nieuwbouw of vervaardiging van onroerend goed door de verkoper. In hoofdstuk 2 is reeds uiteengezet dat het economisch eigendom, bij bedingen die normale koopovereenkomsten te buiten gaan, over kan gaan zonder dat één van de</w:t>
      </w:r>
      <w:r w:rsidR="00F22ADE" w:rsidRPr="00484DAF">
        <w:rPr>
          <w:sz w:val="24"/>
          <w:szCs w:val="24"/>
        </w:rPr>
        <w:t xml:space="preserve"> partijen zich ervan bewust is.</w:t>
      </w:r>
    </w:p>
    <w:p w:rsidR="00256731" w:rsidRPr="00484DAF" w:rsidRDefault="00256731" w:rsidP="00CC552D">
      <w:pPr>
        <w:pStyle w:val="Geenafstand"/>
        <w:spacing w:line="360" w:lineRule="auto"/>
        <w:rPr>
          <w:sz w:val="24"/>
          <w:szCs w:val="24"/>
        </w:rPr>
      </w:pPr>
    </w:p>
    <w:p w:rsidR="00AC53C8" w:rsidRPr="00484DAF" w:rsidRDefault="00B9752E" w:rsidP="00CC552D">
      <w:pPr>
        <w:pStyle w:val="Kop1"/>
        <w:spacing w:before="0" w:line="360" w:lineRule="auto"/>
        <w:rPr>
          <w:rFonts w:ascii="Times New Roman" w:hAnsi="Times New Roman"/>
          <w:color w:val="auto"/>
          <w:sz w:val="24"/>
          <w:szCs w:val="24"/>
        </w:rPr>
      </w:pPr>
      <w:bookmarkStart w:id="112" w:name="_Toc254043963"/>
      <w:r w:rsidRPr="00484DAF">
        <w:rPr>
          <w:rFonts w:ascii="Times New Roman" w:hAnsi="Times New Roman"/>
          <w:color w:val="auto"/>
          <w:sz w:val="24"/>
          <w:szCs w:val="24"/>
        </w:rPr>
        <w:t>5.5</w:t>
      </w:r>
      <w:r w:rsidR="00AC53C8" w:rsidRPr="00484DAF">
        <w:rPr>
          <w:rFonts w:ascii="Times New Roman" w:hAnsi="Times New Roman"/>
          <w:color w:val="auto"/>
          <w:sz w:val="24"/>
          <w:szCs w:val="24"/>
        </w:rPr>
        <w:t xml:space="preserve"> </w:t>
      </w:r>
      <w:r w:rsidR="00730E2C" w:rsidRPr="00484DAF">
        <w:rPr>
          <w:rFonts w:ascii="Times New Roman" w:hAnsi="Times New Roman"/>
          <w:color w:val="auto"/>
          <w:sz w:val="24"/>
          <w:szCs w:val="24"/>
        </w:rPr>
        <w:t>Arrest Don Bosco Onroerend Goed BV</w:t>
      </w:r>
      <w:bookmarkEnd w:id="112"/>
    </w:p>
    <w:p w:rsidR="00AC53C8" w:rsidRPr="00484DAF" w:rsidRDefault="00716EBF" w:rsidP="00CC552D">
      <w:pPr>
        <w:spacing w:after="0" w:line="360" w:lineRule="auto"/>
        <w:rPr>
          <w:sz w:val="24"/>
          <w:szCs w:val="24"/>
        </w:rPr>
      </w:pPr>
      <w:r w:rsidRPr="00484DAF">
        <w:rPr>
          <w:sz w:val="24"/>
          <w:szCs w:val="24"/>
        </w:rPr>
        <w:t xml:space="preserve">In voorgaande paragrafen is naar voren gekomen dat de </w:t>
      </w:r>
      <w:r w:rsidR="00F8714E" w:rsidRPr="00484DAF">
        <w:rPr>
          <w:sz w:val="24"/>
          <w:szCs w:val="24"/>
        </w:rPr>
        <w:t xml:space="preserve">casus </w:t>
      </w:r>
      <w:r w:rsidRPr="00484DAF">
        <w:rPr>
          <w:sz w:val="24"/>
          <w:szCs w:val="24"/>
        </w:rPr>
        <w:t>in het Garagearrest voor meerdere uitleggen vastbaar is. In paragraaf 5.4 zagen we voorts dat inzake bouwterreinarresten uit 2008 de Hoge Raad het standpunt daterende van 2001 iets heeft bijgeschaafd. Derhalve is de vraag gerechtvaardigd of ook inzake het vervaardigingvraagstuk</w:t>
      </w:r>
      <w:r w:rsidR="00EA5C6D" w:rsidRPr="00484DAF">
        <w:rPr>
          <w:sz w:val="24"/>
          <w:szCs w:val="24"/>
        </w:rPr>
        <w:t xml:space="preserve"> tijdens sloop nuance</w:t>
      </w:r>
      <w:r w:rsidR="005B65AB" w:rsidRPr="00484DAF">
        <w:rPr>
          <w:sz w:val="24"/>
          <w:szCs w:val="24"/>
        </w:rPr>
        <w:t>s</w:t>
      </w:r>
      <w:r w:rsidR="00EA5C6D" w:rsidRPr="00484DAF">
        <w:rPr>
          <w:sz w:val="24"/>
          <w:szCs w:val="24"/>
        </w:rPr>
        <w:t xml:space="preserve"> worden aangebracht. </w:t>
      </w:r>
      <w:r w:rsidR="00730E2C" w:rsidRPr="00484DAF">
        <w:rPr>
          <w:sz w:val="24"/>
          <w:szCs w:val="24"/>
        </w:rPr>
        <w:t xml:space="preserve">Aanknopingspunten zijn te vinden in prejudiciële </w:t>
      </w:r>
      <w:r w:rsidR="00730E2C" w:rsidRPr="00484DAF">
        <w:rPr>
          <w:sz w:val="24"/>
          <w:szCs w:val="24"/>
        </w:rPr>
        <w:lastRenderedPageBreak/>
        <w:t xml:space="preserve">vragen die aan het HvJ EG zijn gesteld in een arrest </w:t>
      </w:r>
      <w:r w:rsidR="00C017E3" w:rsidRPr="00484DAF">
        <w:rPr>
          <w:sz w:val="24"/>
          <w:szCs w:val="24"/>
        </w:rPr>
        <w:t>aangaande een casus</w:t>
      </w:r>
      <w:r w:rsidR="00D12918" w:rsidRPr="00484DAF">
        <w:rPr>
          <w:sz w:val="24"/>
          <w:szCs w:val="24"/>
        </w:rPr>
        <w:t>, dat</w:t>
      </w:r>
      <w:r w:rsidR="00C017E3" w:rsidRPr="00484DAF">
        <w:rPr>
          <w:sz w:val="24"/>
          <w:szCs w:val="24"/>
        </w:rPr>
        <w:t xml:space="preserve"> </w:t>
      </w:r>
      <w:r w:rsidR="00730E2C" w:rsidRPr="00484DAF">
        <w:rPr>
          <w:sz w:val="24"/>
          <w:szCs w:val="24"/>
        </w:rPr>
        <w:t xml:space="preserve">veel weg heeft van het Jeugdhonkarrest. </w:t>
      </w:r>
    </w:p>
    <w:p w:rsidR="008544DC" w:rsidRPr="00484DAF" w:rsidRDefault="008544DC" w:rsidP="00CC552D">
      <w:pPr>
        <w:pStyle w:val="Geenafstand"/>
        <w:spacing w:line="360" w:lineRule="auto"/>
        <w:rPr>
          <w:sz w:val="24"/>
          <w:szCs w:val="24"/>
        </w:rPr>
      </w:pPr>
    </w:p>
    <w:p w:rsidR="00900489" w:rsidRPr="00484DAF" w:rsidRDefault="00F04B1A" w:rsidP="00CC552D">
      <w:pPr>
        <w:pStyle w:val="Kop2"/>
        <w:spacing w:before="0" w:line="360" w:lineRule="auto"/>
        <w:rPr>
          <w:rFonts w:ascii="Times New Roman" w:hAnsi="Times New Roman"/>
          <w:color w:val="auto"/>
          <w:sz w:val="24"/>
          <w:szCs w:val="24"/>
        </w:rPr>
      </w:pPr>
      <w:bookmarkStart w:id="113" w:name="_Toc254043964"/>
      <w:r w:rsidRPr="00484DAF">
        <w:rPr>
          <w:rFonts w:ascii="Times New Roman" w:hAnsi="Times New Roman"/>
          <w:color w:val="auto"/>
          <w:sz w:val="24"/>
          <w:szCs w:val="24"/>
        </w:rPr>
        <w:t>5.5.1 Leidt gedeeltelijke sloop tot vervaardiging gebouw?</w:t>
      </w:r>
      <w:bookmarkEnd w:id="113"/>
    </w:p>
    <w:p w:rsidR="00F04B1A" w:rsidRPr="00484DAF" w:rsidRDefault="00F04B1A" w:rsidP="00CC552D">
      <w:pPr>
        <w:pStyle w:val="Geenafstand"/>
        <w:spacing w:line="360" w:lineRule="auto"/>
        <w:rPr>
          <w:sz w:val="24"/>
          <w:szCs w:val="24"/>
        </w:rPr>
      </w:pPr>
      <w:r w:rsidRPr="00484DAF">
        <w:rPr>
          <w:sz w:val="24"/>
          <w:szCs w:val="24"/>
        </w:rPr>
        <w:t>D</w:t>
      </w:r>
      <w:r w:rsidR="001371E3" w:rsidRPr="00484DAF">
        <w:rPr>
          <w:sz w:val="24"/>
          <w:szCs w:val="24"/>
        </w:rPr>
        <w:t>e casus in</w:t>
      </w:r>
      <w:r w:rsidRPr="00484DAF">
        <w:rPr>
          <w:sz w:val="24"/>
          <w:szCs w:val="24"/>
        </w:rPr>
        <w:t xml:space="preserve"> het arrest van 3 oktober 2008</w:t>
      </w:r>
      <w:r w:rsidR="004D585B" w:rsidRPr="00484DAF">
        <w:rPr>
          <w:rStyle w:val="Voetnootmarkering"/>
          <w:sz w:val="24"/>
          <w:szCs w:val="24"/>
        </w:rPr>
        <w:footnoteReference w:id="255"/>
      </w:r>
      <w:r w:rsidR="001371E3" w:rsidRPr="00484DAF">
        <w:rPr>
          <w:sz w:val="24"/>
          <w:szCs w:val="24"/>
        </w:rPr>
        <w:t xml:space="preserve"> luidde als volgt. In 1998 is een perceel grond met daarop twee gebouwen, welke oorspronkelijk dienst deden als school en internaat, verkocht. Koper wilde de opstallen volledig slopen om daarna één of meer kantoorpanden te bouwen. Met de verkoper is overeengekomen dat deze alle sloophandelingen voor zijn rekening neemt (aanvraag vergunning, aangaan overeenkomst met een sloopbedrijf</w:t>
      </w:r>
      <w:r w:rsidR="00B827DF" w:rsidRPr="00484DAF">
        <w:rPr>
          <w:sz w:val="24"/>
          <w:szCs w:val="24"/>
        </w:rPr>
        <w:t xml:space="preserve">, daarmee gepaard gaande kosten), onder voorbehoud dat uiteindelijk de kosten door koper worden gedragen door vermeerdering van de aankoopprijs. Niet in </w:t>
      </w:r>
      <w:r w:rsidR="00C017E3" w:rsidRPr="00484DAF">
        <w:rPr>
          <w:sz w:val="24"/>
          <w:szCs w:val="24"/>
        </w:rPr>
        <w:t>de prijsverhoging</w:t>
      </w:r>
      <w:r w:rsidR="00B827DF" w:rsidRPr="00484DAF">
        <w:rPr>
          <w:sz w:val="24"/>
          <w:szCs w:val="24"/>
        </w:rPr>
        <w:t xml:space="preserve"> zijn kosten voor asbestsanering, omdat deze kosten voor de verkoper zijn. </w:t>
      </w:r>
      <w:r w:rsidRPr="00484DAF">
        <w:rPr>
          <w:sz w:val="24"/>
          <w:szCs w:val="24"/>
        </w:rPr>
        <w:t xml:space="preserve">Op 27 augustus 1999 is door de gemeente </w:t>
      </w:r>
      <w:r w:rsidR="00B827DF" w:rsidRPr="00484DAF">
        <w:rPr>
          <w:sz w:val="24"/>
          <w:szCs w:val="24"/>
        </w:rPr>
        <w:t xml:space="preserve">een sloopvergunning afgegeven </w:t>
      </w:r>
      <w:r w:rsidRPr="00484DAF">
        <w:rPr>
          <w:sz w:val="24"/>
          <w:szCs w:val="24"/>
        </w:rPr>
        <w:t>onder voorwaarde dat pas na asbest</w:t>
      </w:r>
      <w:r w:rsidR="00B827DF" w:rsidRPr="00484DAF">
        <w:rPr>
          <w:sz w:val="24"/>
          <w:szCs w:val="24"/>
        </w:rPr>
        <w:t>sanering met de sloop</w:t>
      </w:r>
      <w:r w:rsidR="00064EC4" w:rsidRPr="00484DAF">
        <w:rPr>
          <w:sz w:val="24"/>
          <w:szCs w:val="24"/>
        </w:rPr>
        <w:t>werkzaamheden</w:t>
      </w:r>
      <w:r w:rsidR="00B827DF" w:rsidRPr="00484DAF">
        <w:rPr>
          <w:sz w:val="24"/>
          <w:szCs w:val="24"/>
        </w:rPr>
        <w:t xml:space="preserve"> </w:t>
      </w:r>
      <w:r w:rsidR="00064EC4" w:rsidRPr="00484DAF">
        <w:rPr>
          <w:sz w:val="24"/>
          <w:szCs w:val="24"/>
        </w:rPr>
        <w:t xml:space="preserve">mag </w:t>
      </w:r>
      <w:r w:rsidR="00B827DF" w:rsidRPr="00484DAF">
        <w:rPr>
          <w:sz w:val="24"/>
          <w:szCs w:val="24"/>
        </w:rPr>
        <w:t xml:space="preserve">worden begonnen. </w:t>
      </w:r>
      <w:r w:rsidR="00064EC4" w:rsidRPr="00484DAF">
        <w:rPr>
          <w:sz w:val="24"/>
          <w:szCs w:val="24"/>
        </w:rPr>
        <w:t>O</w:t>
      </w:r>
      <w:r w:rsidRPr="00484DAF">
        <w:rPr>
          <w:sz w:val="24"/>
          <w:szCs w:val="24"/>
        </w:rPr>
        <w:t xml:space="preserve">p 21 september 1999 </w:t>
      </w:r>
      <w:r w:rsidR="00064EC4" w:rsidRPr="00484DAF">
        <w:rPr>
          <w:sz w:val="24"/>
          <w:szCs w:val="24"/>
        </w:rPr>
        <w:t xml:space="preserve">wordt door de aannemer </w:t>
      </w:r>
      <w:r w:rsidRPr="00484DAF">
        <w:rPr>
          <w:sz w:val="24"/>
          <w:szCs w:val="24"/>
        </w:rPr>
        <w:t xml:space="preserve">een offerte </w:t>
      </w:r>
      <w:r w:rsidR="00064EC4" w:rsidRPr="00484DAF">
        <w:rPr>
          <w:sz w:val="24"/>
          <w:szCs w:val="24"/>
        </w:rPr>
        <w:t xml:space="preserve">opgemaakt </w:t>
      </w:r>
      <w:r w:rsidRPr="00484DAF">
        <w:rPr>
          <w:sz w:val="24"/>
          <w:szCs w:val="24"/>
        </w:rPr>
        <w:t xml:space="preserve">voor </w:t>
      </w:r>
      <w:r w:rsidR="00064EC4" w:rsidRPr="00484DAF">
        <w:rPr>
          <w:sz w:val="24"/>
          <w:szCs w:val="24"/>
        </w:rPr>
        <w:t xml:space="preserve">zowel </w:t>
      </w:r>
      <w:r w:rsidRPr="00484DAF">
        <w:rPr>
          <w:sz w:val="24"/>
          <w:szCs w:val="24"/>
        </w:rPr>
        <w:t xml:space="preserve">de asbestverwijdering </w:t>
      </w:r>
      <w:r w:rsidR="00064EC4" w:rsidRPr="00484DAF">
        <w:rPr>
          <w:sz w:val="24"/>
          <w:szCs w:val="24"/>
        </w:rPr>
        <w:t xml:space="preserve">als </w:t>
      </w:r>
      <w:r w:rsidRPr="00484DAF">
        <w:rPr>
          <w:sz w:val="24"/>
          <w:szCs w:val="24"/>
        </w:rPr>
        <w:t>het verdere sloopwerk</w:t>
      </w:r>
      <w:r w:rsidR="00064EC4" w:rsidRPr="00484DAF">
        <w:rPr>
          <w:sz w:val="24"/>
          <w:szCs w:val="24"/>
        </w:rPr>
        <w:t xml:space="preserve">. Op </w:t>
      </w:r>
      <w:r w:rsidRPr="00484DAF">
        <w:rPr>
          <w:sz w:val="24"/>
          <w:szCs w:val="24"/>
        </w:rPr>
        <w:t>30</w:t>
      </w:r>
      <w:r w:rsidR="00C017E3" w:rsidRPr="00484DAF">
        <w:rPr>
          <w:sz w:val="24"/>
          <w:szCs w:val="24"/>
        </w:rPr>
        <w:t> </w:t>
      </w:r>
      <w:r w:rsidRPr="00484DAF">
        <w:rPr>
          <w:sz w:val="24"/>
          <w:szCs w:val="24"/>
        </w:rPr>
        <w:t xml:space="preserve">september 1999 </w:t>
      </w:r>
      <w:r w:rsidR="00064EC4" w:rsidRPr="00484DAF">
        <w:rPr>
          <w:sz w:val="24"/>
          <w:szCs w:val="24"/>
        </w:rPr>
        <w:t xml:space="preserve">wordt in de ochtend </w:t>
      </w:r>
      <w:r w:rsidR="00C017E3" w:rsidRPr="00484DAF">
        <w:rPr>
          <w:sz w:val="24"/>
          <w:szCs w:val="24"/>
        </w:rPr>
        <w:t xml:space="preserve">met </w:t>
      </w:r>
      <w:r w:rsidR="00064EC4" w:rsidRPr="00484DAF">
        <w:rPr>
          <w:sz w:val="24"/>
          <w:szCs w:val="24"/>
        </w:rPr>
        <w:t xml:space="preserve">sloophandelingen </w:t>
      </w:r>
      <w:r w:rsidRPr="00484DAF">
        <w:rPr>
          <w:sz w:val="24"/>
          <w:szCs w:val="24"/>
        </w:rPr>
        <w:t xml:space="preserve">begonnen. </w:t>
      </w:r>
      <w:r w:rsidR="00C017E3" w:rsidRPr="00484DAF">
        <w:rPr>
          <w:sz w:val="24"/>
          <w:szCs w:val="24"/>
        </w:rPr>
        <w:t>Eveneens op 30 </w:t>
      </w:r>
      <w:r w:rsidR="00064EC4" w:rsidRPr="00484DAF">
        <w:rPr>
          <w:sz w:val="24"/>
          <w:szCs w:val="24"/>
        </w:rPr>
        <w:t xml:space="preserve">september 1999, maar dan ’s middags wordt het onroerend goedcomplex </w:t>
      </w:r>
      <w:r w:rsidRPr="00484DAF">
        <w:rPr>
          <w:sz w:val="24"/>
          <w:szCs w:val="24"/>
        </w:rPr>
        <w:t xml:space="preserve">geleverd. </w:t>
      </w:r>
      <w:r w:rsidR="00064EC4" w:rsidRPr="00484DAF">
        <w:rPr>
          <w:sz w:val="24"/>
          <w:szCs w:val="24"/>
        </w:rPr>
        <w:t xml:space="preserve">Ten tijde van de levering </w:t>
      </w:r>
      <w:r w:rsidRPr="00484DAF">
        <w:rPr>
          <w:sz w:val="24"/>
          <w:szCs w:val="24"/>
        </w:rPr>
        <w:t xml:space="preserve">was </w:t>
      </w:r>
      <w:r w:rsidR="00064EC4" w:rsidRPr="00484DAF">
        <w:rPr>
          <w:sz w:val="24"/>
          <w:szCs w:val="24"/>
        </w:rPr>
        <w:t xml:space="preserve">naar aanleiding van de aangevangen sloopwerkzaamheden </w:t>
      </w:r>
      <w:r w:rsidRPr="00484DAF">
        <w:rPr>
          <w:sz w:val="24"/>
          <w:szCs w:val="24"/>
        </w:rPr>
        <w:t xml:space="preserve">een </w:t>
      </w:r>
      <w:r w:rsidR="00064EC4" w:rsidRPr="00484DAF">
        <w:rPr>
          <w:sz w:val="24"/>
          <w:szCs w:val="24"/>
        </w:rPr>
        <w:t xml:space="preserve">deel </w:t>
      </w:r>
      <w:r w:rsidRPr="00484DAF">
        <w:rPr>
          <w:sz w:val="24"/>
          <w:szCs w:val="24"/>
        </w:rPr>
        <w:t>van de bestrating tussen de gebouwen verwijderd</w:t>
      </w:r>
      <w:r w:rsidR="00064EC4" w:rsidRPr="00484DAF">
        <w:rPr>
          <w:sz w:val="24"/>
          <w:szCs w:val="24"/>
        </w:rPr>
        <w:t xml:space="preserve">. Daarnaast was reeds bij </w:t>
      </w:r>
      <w:r w:rsidRPr="00484DAF">
        <w:rPr>
          <w:sz w:val="24"/>
          <w:szCs w:val="24"/>
        </w:rPr>
        <w:t xml:space="preserve">één </w:t>
      </w:r>
      <w:r w:rsidR="00064EC4" w:rsidRPr="00484DAF">
        <w:rPr>
          <w:sz w:val="24"/>
          <w:szCs w:val="24"/>
        </w:rPr>
        <w:t xml:space="preserve">van de twee </w:t>
      </w:r>
      <w:r w:rsidRPr="00484DAF">
        <w:rPr>
          <w:sz w:val="24"/>
          <w:szCs w:val="24"/>
        </w:rPr>
        <w:t>gebouw</w:t>
      </w:r>
      <w:r w:rsidR="00064EC4" w:rsidRPr="00484DAF">
        <w:rPr>
          <w:sz w:val="24"/>
          <w:szCs w:val="24"/>
        </w:rPr>
        <w:t>en</w:t>
      </w:r>
      <w:r w:rsidRPr="00484DAF">
        <w:rPr>
          <w:sz w:val="24"/>
          <w:szCs w:val="24"/>
        </w:rPr>
        <w:t xml:space="preserve"> </w:t>
      </w:r>
      <w:r w:rsidR="00064EC4" w:rsidRPr="00484DAF">
        <w:rPr>
          <w:sz w:val="24"/>
          <w:szCs w:val="24"/>
        </w:rPr>
        <w:t xml:space="preserve">een </w:t>
      </w:r>
      <w:r w:rsidRPr="00484DAF">
        <w:rPr>
          <w:sz w:val="24"/>
          <w:szCs w:val="24"/>
        </w:rPr>
        <w:t xml:space="preserve">gedeelte van </w:t>
      </w:r>
      <w:r w:rsidR="00064EC4" w:rsidRPr="00484DAF">
        <w:rPr>
          <w:sz w:val="24"/>
          <w:szCs w:val="24"/>
        </w:rPr>
        <w:t xml:space="preserve">de </w:t>
      </w:r>
      <w:r w:rsidRPr="00484DAF">
        <w:rPr>
          <w:sz w:val="24"/>
          <w:szCs w:val="24"/>
        </w:rPr>
        <w:t xml:space="preserve">zijgevel </w:t>
      </w:r>
      <w:r w:rsidR="00064EC4" w:rsidRPr="00484DAF">
        <w:rPr>
          <w:sz w:val="24"/>
          <w:szCs w:val="24"/>
        </w:rPr>
        <w:t xml:space="preserve">ingedrukt door een </w:t>
      </w:r>
      <w:r w:rsidRPr="00484DAF">
        <w:rPr>
          <w:sz w:val="24"/>
          <w:szCs w:val="24"/>
        </w:rPr>
        <w:t>hydraulische kraan</w:t>
      </w:r>
      <w:r w:rsidR="00064EC4" w:rsidRPr="00484DAF">
        <w:rPr>
          <w:sz w:val="24"/>
          <w:szCs w:val="24"/>
        </w:rPr>
        <w:t xml:space="preserve">. Daarbij zijn </w:t>
      </w:r>
      <w:r w:rsidRPr="00484DAF">
        <w:rPr>
          <w:sz w:val="24"/>
          <w:szCs w:val="24"/>
        </w:rPr>
        <w:t>ramen, kozijnen en metselwerk verwijderd en</w:t>
      </w:r>
      <w:r w:rsidR="00064EC4" w:rsidRPr="00484DAF">
        <w:rPr>
          <w:sz w:val="24"/>
          <w:szCs w:val="24"/>
        </w:rPr>
        <w:t>/of</w:t>
      </w:r>
      <w:r w:rsidRPr="00484DAF">
        <w:rPr>
          <w:sz w:val="24"/>
          <w:szCs w:val="24"/>
        </w:rPr>
        <w:t xml:space="preserve"> beschadigd.</w:t>
      </w:r>
      <w:r w:rsidR="00064EC4" w:rsidRPr="00484DAF">
        <w:rPr>
          <w:sz w:val="24"/>
          <w:szCs w:val="24"/>
        </w:rPr>
        <w:t xml:space="preserve"> </w:t>
      </w:r>
      <w:r w:rsidRPr="00484DAF">
        <w:rPr>
          <w:sz w:val="24"/>
          <w:szCs w:val="24"/>
        </w:rPr>
        <w:t xml:space="preserve">Na de levering is </w:t>
      </w:r>
      <w:r w:rsidR="00DE3885" w:rsidRPr="00484DAF">
        <w:rPr>
          <w:sz w:val="24"/>
          <w:szCs w:val="24"/>
        </w:rPr>
        <w:t xml:space="preserve">zoals afgesproken met de gemeente </w:t>
      </w:r>
      <w:r w:rsidRPr="00484DAF">
        <w:rPr>
          <w:sz w:val="24"/>
          <w:szCs w:val="24"/>
        </w:rPr>
        <w:t>eerst het aanwezige asbest verwijderd</w:t>
      </w:r>
      <w:r w:rsidR="00DE3885" w:rsidRPr="00484DAF">
        <w:rPr>
          <w:sz w:val="24"/>
          <w:szCs w:val="24"/>
        </w:rPr>
        <w:t>, waarna de panden in kort tijdsbestek</w:t>
      </w:r>
      <w:r w:rsidR="00D417EA" w:rsidRPr="00484DAF">
        <w:rPr>
          <w:sz w:val="24"/>
          <w:szCs w:val="24"/>
        </w:rPr>
        <w:t xml:space="preserve"> </w:t>
      </w:r>
      <w:r w:rsidRPr="00484DAF">
        <w:rPr>
          <w:sz w:val="24"/>
          <w:szCs w:val="24"/>
        </w:rPr>
        <w:t>verder</w:t>
      </w:r>
      <w:r w:rsidR="00DE3885" w:rsidRPr="00484DAF">
        <w:rPr>
          <w:sz w:val="24"/>
          <w:szCs w:val="24"/>
        </w:rPr>
        <w:t xml:space="preserve"> zijn</w:t>
      </w:r>
      <w:r w:rsidRPr="00484DAF">
        <w:rPr>
          <w:sz w:val="24"/>
          <w:szCs w:val="24"/>
        </w:rPr>
        <w:t xml:space="preserve"> gesloopt</w:t>
      </w:r>
      <w:r w:rsidR="00616EC9" w:rsidRPr="00484DAF">
        <w:rPr>
          <w:sz w:val="24"/>
          <w:szCs w:val="24"/>
        </w:rPr>
        <w:t>. U</w:t>
      </w:r>
      <w:r w:rsidR="00DE3885" w:rsidRPr="00484DAF">
        <w:rPr>
          <w:sz w:val="24"/>
          <w:szCs w:val="24"/>
        </w:rPr>
        <w:t>iteindelijk</w:t>
      </w:r>
      <w:r w:rsidRPr="00484DAF">
        <w:rPr>
          <w:sz w:val="24"/>
          <w:szCs w:val="24"/>
        </w:rPr>
        <w:t xml:space="preserve"> </w:t>
      </w:r>
      <w:r w:rsidR="00616EC9" w:rsidRPr="00484DAF">
        <w:rPr>
          <w:sz w:val="24"/>
          <w:szCs w:val="24"/>
        </w:rPr>
        <w:t xml:space="preserve">zijn </w:t>
      </w:r>
      <w:r w:rsidRPr="00484DAF">
        <w:rPr>
          <w:sz w:val="24"/>
          <w:szCs w:val="24"/>
        </w:rPr>
        <w:t xml:space="preserve">op het perceel </w:t>
      </w:r>
      <w:r w:rsidR="00DE3885" w:rsidRPr="00484DAF">
        <w:rPr>
          <w:sz w:val="24"/>
          <w:szCs w:val="24"/>
        </w:rPr>
        <w:t>nieuwe kantoor</w:t>
      </w:r>
      <w:r w:rsidRPr="00484DAF">
        <w:rPr>
          <w:sz w:val="24"/>
          <w:szCs w:val="24"/>
        </w:rPr>
        <w:t xml:space="preserve">panden </w:t>
      </w:r>
      <w:r w:rsidR="00DE3885" w:rsidRPr="00484DAF">
        <w:rPr>
          <w:sz w:val="24"/>
          <w:szCs w:val="24"/>
        </w:rPr>
        <w:t xml:space="preserve">in opdracht en voor rekening van koper </w:t>
      </w:r>
      <w:r w:rsidRPr="00484DAF">
        <w:rPr>
          <w:sz w:val="24"/>
          <w:szCs w:val="24"/>
        </w:rPr>
        <w:t>gebouwd.</w:t>
      </w:r>
      <w:r w:rsidR="00F30C06" w:rsidRPr="00484DAF">
        <w:rPr>
          <w:sz w:val="24"/>
          <w:szCs w:val="24"/>
        </w:rPr>
        <w:t xml:space="preserve"> In geschil is of gegeven deze omstandigheden een levering van een nieuw vervaardigd onroerend goed in de zin van artikel 11, lid 1, onderdeel a, ten eerste Wet OB 1968</w:t>
      </w:r>
      <w:r w:rsidR="00D417EA" w:rsidRPr="00484DAF">
        <w:rPr>
          <w:sz w:val="24"/>
          <w:szCs w:val="24"/>
        </w:rPr>
        <w:t xml:space="preserve"> </w:t>
      </w:r>
      <w:r w:rsidR="00F30C06" w:rsidRPr="00484DAF">
        <w:rPr>
          <w:sz w:val="24"/>
          <w:szCs w:val="24"/>
        </w:rPr>
        <w:t xml:space="preserve">plaatsvindt met het bijbehorende beroep op de samenloopvrijstelling van overdrachtsbelasting ingevolge artikel 15, lid 1, onderdeel a </w:t>
      </w:r>
      <w:r w:rsidR="00616EC9" w:rsidRPr="00484DAF">
        <w:rPr>
          <w:sz w:val="24"/>
          <w:szCs w:val="24"/>
        </w:rPr>
        <w:t>Wet </w:t>
      </w:r>
      <w:r w:rsidR="00F8714E" w:rsidRPr="00484DAF">
        <w:rPr>
          <w:sz w:val="24"/>
          <w:szCs w:val="24"/>
        </w:rPr>
        <w:t>BRV.</w:t>
      </w:r>
    </w:p>
    <w:p w:rsidR="00F8714E" w:rsidRPr="00484DAF" w:rsidRDefault="00F8714E" w:rsidP="00CC552D">
      <w:pPr>
        <w:pStyle w:val="Geenafstand"/>
        <w:spacing w:line="360" w:lineRule="auto"/>
        <w:rPr>
          <w:sz w:val="24"/>
          <w:szCs w:val="24"/>
        </w:rPr>
      </w:pPr>
    </w:p>
    <w:p w:rsidR="00DE3885" w:rsidRPr="00484DAF" w:rsidRDefault="00DE3885" w:rsidP="00CC552D">
      <w:pPr>
        <w:pStyle w:val="Kop2"/>
        <w:spacing w:before="0" w:line="360" w:lineRule="auto"/>
        <w:rPr>
          <w:rFonts w:ascii="Times New Roman" w:hAnsi="Times New Roman"/>
          <w:color w:val="auto"/>
          <w:sz w:val="24"/>
          <w:szCs w:val="24"/>
        </w:rPr>
      </w:pPr>
      <w:bookmarkStart w:id="114" w:name="_Toc254043965"/>
      <w:r w:rsidRPr="00484DAF">
        <w:rPr>
          <w:rFonts w:ascii="Times New Roman" w:hAnsi="Times New Roman"/>
          <w:color w:val="auto"/>
          <w:sz w:val="24"/>
          <w:szCs w:val="24"/>
        </w:rPr>
        <w:t xml:space="preserve">5.5.2 </w:t>
      </w:r>
      <w:r w:rsidR="00F30C06" w:rsidRPr="00484DAF">
        <w:rPr>
          <w:rFonts w:ascii="Times New Roman" w:hAnsi="Times New Roman"/>
          <w:color w:val="auto"/>
          <w:sz w:val="24"/>
          <w:szCs w:val="24"/>
        </w:rPr>
        <w:t>Hof Amsterdam: geen vervaardiging</w:t>
      </w:r>
      <w:bookmarkEnd w:id="114"/>
    </w:p>
    <w:p w:rsidR="00AA22D3" w:rsidRPr="00484DAF" w:rsidRDefault="00FE76D8" w:rsidP="00CC552D">
      <w:pPr>
        <w:pStyle w:val="Geenafstand"/>
        <w:spacing w:line="360" w:lineRule="auto"/>
        <w:rPr>
          <w:sz w:val="24"/>
          <w:szCs w:val="24"/>
        </w:rPr>
      </w:pPr>
      <w:r w:rsidRPr="00484DAF">
        <w:rPr>
          <w:sz w:val="24"/>
          <w:szCs w:val="24"/>
        </w:rPr>
        <w:t>Hof Amsterdam</w:t>
      </w:r>
      <w:r w:rsidRPr="00484DAF">
        <w:rPr>
          <w:rStyle w:val="Voetnootmarkering"/>
          <w:sz w:val="24"/>
          <w:szCs w:val="24"/>
        </w:rPr>
        <w:footnoteReference w:id="256"/>
      </w:r>
      <w:r w:rsidR="00AA22D3" w:rsidRPr="00484DAF">
        <w:rPr>
          <w:sz w:val="24"/>
          <w:szCs w:val="24"/>
        </w:rPr>
        <w:t xml:space="preserve"> was met voorliggende zaak rap klaar. </w:t>
      </w:r>
      <w:r w:rsidR="006409BD" w:rsidRPr="00484DAF">
        <w:rPr>
          <w:sz w:val="24"/>
          <w:szCs w:val="24"/>
        </w:rPr>
        <w:t xml:space="preserve">Primair wordt gesteld dat bovenvermelde verkrijging is vrijgesteld van overdrachtsbelasting, omdat de start van </w:t>
      </w:r>
      <w:r w:rsidR="006409BD" w:rsidRPr="00484DAF">
        <w:rPr>
          <w:sz w:val="24"/>
          <w:szCs w:val="24"/>
        </w:rPr>
        <w:lastRenderedPageBreak/>
        <w:t>sloophandelingen leidt tot een vervaardigd goed als bedoeld in artikel 11, lid 3, onderdeel b Wet OB 1968.</w:t>
      </w:r>
      <w:r w:rsidR="00444F6A" w:rsidRPr="00484DAF">
        <w:rPr>
          <w:rStyle w:val="Voetnootmarkering"/>
          <w:sz w:val="24"/>
          <w:szCs w:val="24"/>
        </w:rPr>
        <w:footnoteReference w:id="257"/>
      </w:r>
      <w:r w:rsidR="006409BD" w:rsidRPr="00484DAF">
        <w:rPr>
          <w:sz w:val="24"/>
          <w:szCs w:val="24"/>
        </w:rPr>
        <w:t xml:space="preserve"> Gevolg van deze stelling is dat de levering belast met BTW plaatsvindt. </w:t>
      </w:r>
      <w:r w:rsidR="00BF5CA6" w:rsidRPr="00484DAF">
        <w:rPr>
          <w:sz w:val="24"/>
          <w:szCs w:val="24"/>
        </w:rPr>
        <w:t>Het Hof heeft beslist</w:t>
      </w:r>
      <w:r w:rsidR="00C017E3" w:rsidRPr="00484DAF">
        <w:rPr>
          <w:sz w:val="24"/>
          <w:szCs w:val="24"/>
        </w:rPr>
        <w:t>,</w:t>
      </w:r>
      <w:r w:rsidR="00BF5CA6" w:rsidRPr="00484DAF">
        <w:rPr>
          <w:sz w:val="24"/>
          <w:szCs w:val="24"/>
        </w:rPr>
        <w:t xml:space="preserve"> dat de sloopwerkzaamheden verricht voorafgaande aan de levering </w:t>
      </w:r>
      <w:r w:rsidR="0003551A" w:rsidRPr="00484DAF">
        <w:rPr>
          <w:sz w:val="24"/>
          <w:szCs w:val="24"/>
        </w:rPr>
        <w:t xml:space="preserve">in onderhavige zaak </w:t>
      </w:r>
      <w:r w:rsidR="00BF5CA6" w:rsidRPr="00484DAF">
        <w:rPr>
          <w:sz w:val="24"/>
          <w:szCs w:val="24"/>
        </w:rPr>
        <w:t>leiden tot een dusdanig ondergeschi</w:t>
      </w:r>
      <w:r w:rsidR="000F69F7" w:rsidRPr="00484DAF">
        <w:rPr>
          <w:sz w:val="24"/>
          <w:szCs w:val="24"/>
        </w:rPr>
        <w:t>kte wijziging van het onroerend</w:t>
      </w:r>
      <w:r w:rsidR="00BF5CA6" w:rsidRPr="00484DAF">
        <w:rPr>
          <w:sz w:val="24"/>
          <w:szCs w:val="24"/>
        </w:rPr>
        <w:t xml:space="preserve"> goed</w:t>
      </w:r>
      <w:r w:rsidR="00C017E3" w:rsidRPr="00484DAF">
        <w:rPr>
          <w:sz w:val="24"/>
          <w:szCs w:val="24"/>
        </w:rPr>
        <w:t>,</w:t>
      </w:r>
      <w:r w:rsidR="00BF5CA6" w:rsidRPr="00484DAF">
        <w:rPr>
          <w:sz w:val="24"/>
          <w:szCs w:val="24"/>
        </w:rPr>
        <w:t xml:space="preserve"> </w:t>
      </w:r>
      <w:r w:rsidR="000F69F7" w:rsidRPr="00484DAF">
        <w:rPr>
          <w:sz w:val="24"/>
          <w:szCs w:val="24"/>
        </w:rPr>
        <w:t xml:space="preserve">dat </w:t>
      </w:r>
      <w:r w:rsidR="00BF5CA6" w:rsidRPr="00484DAF">
        <w:rPr>
          <w:sz w:val="24"/>
          <w:szCs w:val="24"/>
        </w:rPr>
        <w:t xml:space="preserve">vervaardiging van nieuw onroerend goed niet aan de orde is. Aan dit oordeel doet volgens het Hof niet af dat </w:t>
      </w:r>
      <w:r w:rsidR="000F69F7" w:rsidRPr="00484DAF">
        <w:rPr>
          <w:sz w:val="24"/>
          <w:szCs w:val="24"/>
        </w:rPr>
        <w:t xml:space="preserve">het </w:t>
      </w:r>
      <w:r w:rsidR="00BF5CA6" w:rsidRPr="00484DAF">
        <w:rPr>
          <w:sz w:val="24"/>
          <w:szCs w:val="24"/>
        </w:rPr>
        <w:t>bedoeling van koper is om de betrokken gebouwen volledig te slopen om vervolgens weer nieuwbouw neer te zetten.</w:t>
      </w:r>
      <w:r w:rsidR="00B93B89" w:rsidRPr="00484DAF">
        <w:rPr>
          <w:sz w:val="24"/>
          <w:szCs w:val="24"/>
        </w:rPr>
        <w:t xml:space="preserve"> </w:t>
      </w:r>
      <w:r w:rsidR="00B93B89" w:rsidRPr="00484DAF">
        <w:rPr>
          <w:i/>
          <w:sz w:val="24"/>
          <w:szCs w:val="24"/>
        </w:rPr>
        <w:t>Sanders</w:t>
      </w:r>
      <w:r w:rsidR="00B93B89" w:rsidRPr="00484DAF">
        <w:rPr>
          <w:rStyle w:val="Voetnootmarkering"/>
          <w:i/>
          <w:sz w:val="24"/>
          <w:szCs w:val="24"/>
        </w:rPr>
        <w:footnoteReference w:id="258"/>
      </w:r>
      <w:r w:rsidR="00F075A3" w:rsidRPr="00484DAF">
        <w:rPr>
          <w:sz w:val="24"/>
          <w:szCs w:val="24"/>
        </w:rPr>
        <w:t xml:space="preserve"> </w:t>
      </w:r>
      <w:r w:rsidR="0059610F" w:rsidRPr="00484DAF">
        <w:rPr>
          <w:sz w:val="24"/>
          <w:szCs w:val="24"/>
        </w:rPr>
        <w:t xml:space="preserve">vindt na het lezen van </w:t>
      </w:r>
      <w:r w:rsidR="00990B36" w:rsidRPr="00484DAF">
        <w:rPr>
          <w:sz w:val="24"/>
          <w:szCs w:val="24"/>
        </w:rPr>
        <w:t xml:space="preserve">alleen al </w:t>
      </w:r>
      <w:r w:rsidR="0059610F" w:rsidRPr="00484DAF">
        <w:rPr>
          <w:sz w:val="24"/>
          <w:szCs w:val="24"/>
        </w:rPr>
        <w:t>voorgaande overweging dat het Hof een j</w:t>
      </w:r>
      <w:r w:rsidR="00331E9C" w:rsidRPr="00484DAF">
        <w:rPr>
          <w:sz w:val="24"/>
          <w:szCs w:val="24"/>
        </w:rPr>
        <w:t xml:space="preserve">uiste beslissing heeft genomen. </w:t>
      </w:r>
      <w:r w:rsidR="00F075A3" w:rsidRPr="00484DAF">
        <w:rPr>
          <w:sz w:val="24"/>
          <w:szCs w:val="24"/>
        </w:rPr>
        <w:t xml:space="preserve">Echter, </w:t>
      </w:r>
      <w:r w:rsidR="0003551A" w:rsidRPr="00484DAF">
        <w:rPr>
          <w:sz w:val="24"/>
          <w:szCs w:val="24"/>
        </w:rPr>
        <w:t xml:space="preserve">in rechtsoverweging 5.8 wordt een subsidiair standpunt door belanghebbende </w:t>
      </w:r>
      <w:r w:rsidR="00F8714E" w:rsidRPr="00484DAF">
        <w:rPr>
          <w:sz w:val="24"/>
          <w:szCs w:val="24"/>
        </w:rPr>
        <w:t>ingenomen</w:t>
      </w:r>
      <w:r w:rsidR="0003551A" w:rsidRPr="00484DAF">
        <w:rPr>
          <w:sz w:val="24"/>
          <w:szCs w:val="24"/>
        </w:rPr>
        <w:t>, namelijk dat sprake is van vervaardiging van een bouwterrein.</w:t>
      </w:r>
      <w:r w:rsidR="00444F6A" w:rsidRPr="00484DAF">
        <w:rPr>
          <w:rStyle w:val="Voetnootmarkering"/>
          <w:sz w:val="24"/>
          <w:szCs w:val="24"/>
        </w:rPr>
        <w:footnoteReference w:id="259"/>
      </w:r>
      <w:r w:rsidR="0003551A" w:rsidRPr="00484DAF">
        <w:rPr>
          <w:sz w:val="24"/>
          <w:szCs w:val="24"/>
        </w:rPr>
        <w:t xml:space="preserve"> Belanghebbende komt hiertoe</w:t>
      </w:r>
      <w:r w:rsidR="0003551A" w:rsidRPr="00484DAF">
        <w:rPr>
          <w:rStyle w:val="Voetnootmarkering"/>
          <w:sz w:val="24"/>
          <w:szCs w:val="24"/>
        </w:rPr>
        <w:footnoteReference w:id="260"/>
      </w:r>
      <w:r w:rsidR="0003551A" w:rsidRPr="00484DAF">
        <w:rPr>
          <w:sz w:val="24"/>
          <w:szCs w:val="24"/>
        </w:rPr>
        <w:t xml:space="preserve"> </w:t>
      </w:r>
      <w:r w:rsidR="0022276A" w:rsidRPr="00484DAF">
        <w:rPr>
          <w:i/>
          <w:sz w:val="24"/>
          <w:szCs w:val="24"/>
        </w:rPr>
        <w:t>‘op grond van art. 4 lid 3 onder b Zesde Richtlijn</w:t>
      </w:r>
      <w:r w:rsidR="0022276A" w:rsidRPr="00484DAF">
        <w:rPr>
          <w:sz w:val="24"/>
          <w:szCs w:val="24"/>
        </w:rPr>
        <w:t xml:space="preserve"> (thans</w:t>
      </w:r>
      <w:r w:rsidR="00D417EA" w:rsidRPr="00484DAF">
        <w:rPr>
          <w:sz w:val="24"/>
          <w:szCs w:val="24"/>
        </w:rPr>
        <w:t xml:space="preserve"> </w:t>
      </w:r>
      <w:r w:rsidR="0022276A" w:rsidRPr="00484DAF">
        <w:rPr>
          <w:sz w:val="24"/>
          <w:szCs w:val="24"/>
        </w:rPr>
        <w:t xml:space="preserve">12, lid 3 BTW-richtlijn) </w:t>
      </w:r>
      <w:r w:rsidR="0022276A" w:rsidRPr="00484DAF">
        <w:rPr>
          <w:i/>
          <w:sz w:val="24"/>
          <w:szCs w:val="24"/>
        </w:rPr>
        <w:t xml:space="preserve">in samenhang met art. 13.B. onder h Zesde Richtlijn </w:t>
      </w:r>
      <w:r w:rsidR="0022276A" w:rsidRPr="00484DAF">
        <w:rPr>
          <w:sz w:val="24"/>
          <w:szCs w:val="24"/>
        </w:rPr>
        <w:t>(thans artikel 135, lid 1, onderdeel k BTW-richtlijn)</w:t>
      </w:r>
      <w:r w:rsidR="0022276A" w:rsidRPr="00484DAF">
        <w:rPr>
          <w:i/>
          <w:sz w:val="24"/>
          <w:szCs w:val="24"/>
        </w:rPr>
        <w:t xml:space="preserve"> </w:t>
      </w:r>
      <w:r w:rsidR="00040E2A" w:rsidRPr="00484DAF">
        <w:rPr>
          <w:sz w:val="24"/>
          <w:szCs w:val="24"/>
        </w:rPr>
        <w:t xml:space="preserve">(dat, MGVV) </w:t>
      </w:r>
      <w:r w:rsidR="0022276A" w:rsidRPr="00484DAF">
        <w:rPr>
          <w:i/>
          <w:sz w:val="24"/>
          <w:szCs w:val="24"/>
        </w:rPr>
        <w:t>belast dient te zijn de levering van onroerende zaken, die zich in d</w:t>
      </w:r>
      <w:r w:rsidR="00444F6A" w:rsidRPr="00484DAF">
        <w:rPr>
          <w:i/>
          <w:sz w:val="24"/>
          <w:szCs w:val="24"/>
        </w:rPr>
        <w:t>e bouw- en handelsfase bevinden.’</w:t>
      </w:r>
      <w:r w:rsidR="0022276A" w:rsidRPr="00484DAF">
        <w:rPr>
          <w:i/>
          <w:sz w:val="24"/>
          <w:szCs w:val="24"/>
        </w:rPr>
        <w:t xml:space="preserve"> </w:t>
      </w:r>
      <w:r w:rsidR="0022276A" w:rsidRPr="00484DAF">
        <w:rPr>
          <w:sz w:val="24"/>
          <w:szCs w:val="24"/>
        </w:rPr>
        <w:t>Het Hof is niet overtuigd en n</w:t>
      </w:r>
      <w:r w:rsidR="00F075A3" w:rsidRPr="00484DAF">
        <w:rPr>
          <w:sz w:val="24"/>
          <w:szCs w:val="24"/>
        </w:rPr>
        <w:t xml:space="preserve">aast </w:t>
      </w:r>
      <w:r w:rsidR="0003551A" w:rsidRPr="00484DAF">
        <w:rPr>
          <w:sz w:val="24"/>
          <w:szCs w:val="24"/>
        </w:rPr>
        <w:t xml:space="preserve">reeds genoemd </w:t>
      </w:r>
      <w:r w:rsidR="00F075A3" w:rsidRPr="00484DAF">
        <w:rPr>
          <w:sz w:val="24"/>
          <w:szCs w:val="24"/>
        </w:rPr>
        <w:t xml:space="preserve">oordeel </w:t>
      </w:r>
      <w:r w:rsidR="00C83F9C" w:rsidRPr="00484DAF">
        <w:rPr>
          <w:sz w:val="24"/>
          <w:szCs w:val="24"/>
        </w:rPr>
        <w:t>beslist z</w:t>
      </w:r>
      <w:r w:rsidR="0059610F" w:rsidRPr="00484DAF">
        <w:rPr>
          <w:sz w:val="24"/>
          <w:szCs w:val="24"/>
        </w:rPr>
        <w:t>ij</w:t>
      </w:r>
      <w:r w:rsidR="00040E2A" w:rsidRPr="00484DAF">
        <w:rPr>
          <w:sz w:val="24"/>
          <w:szCs w:val="24"/>
        </w:rPr>
        <w:t>,</w:t>
      </w:r>
      <w:r w:rsidR="0059610F" w:rsidRPr="00484DAF">
        <w:rPr>
          <w:sz w:val="24"/>
          <w:szCs w:val="24"/>
        </w:rPr>
        <w:t xml:space="preserve"> </w:t>
      </w:r>
      <w:r w:rsidR="000F69F7" w:rsidRPr="00484DAF">
        <w:rPr>
          <w:sz w:val="24"/>
          <w:szCs w:val="24"/>
        </w:rPr>
        <w:t xml:space="preserve">dat </w:t>
      </w:r>
      <w:r w:rsidR="00AA22D3" w:rsidRPr="00484DAF">
        <w:rPr>
          <w:sz w:val="24"/>
          <w:szCs w:val="24"/>
        </w:rPr>
        <w:t>geen sprake is van levering van een bouwterrein als bedoeld in artikel 11, lid 4</w:t>
      </w:r>
      <w:r w:rsidR="0059610F" w:rsidRPr="00484DAF">
        <w:rPr>
          <w:sz w:val="24"/>
          <w:szCs w:val="24"/>
        </w:rPr>
        <w:t xml:space="preserve"> Wet OB 1968. De reden hiervoor is dat geen </w:t>
      </w:r>
      <w:r w:rsidR="00AA22D3" w:rsidRPr="00484DAF">
        <w:rPr>
          <w:sz w:val="24"/>
          <w:szCs w:val="24"/>
        </w:rPr>
        <w:t xml:space="preserve">onbebouwde grond </w:t>
      </w:r>
      <w:r w:rsidR="0059610F" w:rsidRPr="00484DAF">
        <w:rPr>
          <w:sz w:val="24"/>
          <w:szCs w:val="24"/>
        </w:rPr>
        <w:t>wordt geleverd en dit naar de Nederlandse wet een vereiste is.</w:t>
      </w:r>
      <w:r w:rsidR="00444F6A" w:rsidRPr="00484DAF">
        <w:rPr>
          <w:rStyle w:val="Voetnootmarkering"/>
          <w:sz w:val="24"/>
          <w:szCs w:val="24"/>
        </w:rPr>
        <w:footnoteReference w:id="261"/>
      </w:r>
    </w:p>
    <w:p w:rsidR="00F8714E" w:rsidRPr="00484DAF" w:rsidRDefault="00F8714E" w:rsidP="00CC552D">
      <w:pPr>
        <w:pStyle w:val="Geenafstand"/>
        <w:spacing w:line="360" w:lineRule="auto"/>
        <w:rPr>
          <w:sz w:val="24"/>
          <w:szCs w:val="24"/>
        </w:rPr>
      </w:pPr>
    </w:p>
    <w:p w:rsidR="0059610F" w:rsidRPr="00484DAF" w:rsidRDefault="0059610F" w:rsidP="00CC552D">
      <w:pPr>
        <w:pStyle w:val="Kop2"/>
        <w:spacing w:before="0" w:line="360" w:lineRule="auto"/>
        <w:rPr>
          <w:rFonts w:ascii="Times New Roman" w:hAnsi="Times New Roman"/>
          <w:color w:val="auto"/>
          <w:sz w:val="24"/>
          <w:szCs w:val="24"/>
        </w:rPr>
      </w:pPr>
      <w:bookmarkStart w:id="115" w:name="_Toc254043966"/>
      <w:r w:rsidRPr="00484DAF">
        <w:rPr>
          <w:rFonts w:ascii="Times New Roman" w:hAnsi="Times New Roman"/>
          <w:color w:val="auto"/>
          <w:sz w:val="24"/>
          <w:szCs w:val="24"/>
        </w:rPr>
        <w:t>5.5.3 Prejudiciële vragen</w:t>
      </w:r>
      <w:bookmarkEnd w:id="115"/>
    </w:p>
    <w:p w:rsidR="0052148C" w:rsidRPr="00484DAF" w:rsidRDefault="00AF3BE5" w:rsidP="00CC552D">
      <w:pPr>
        <w:pStyle w:val="Geenafstand"/>
        <w:spacing w:line="360" w:lineRule="auto"/>
        <w:rPr>
          <w:sz w:val="24"/>
          <w:szCs w:val="24"/>
        </w:rPr>
      </w:pPr>
      <w:r w:rsidRPr="00484DAF">
        <w:rPr>
          <w:sz w:val="24"/>
          <w:szCs w:val="24"/>
        </w:rPr>
        <w:t xml:space="preserve">In tegenstelling tot de snelle afhandeling van het Hof inzake dit geding geeft de Hoge Raad toe twijfels te hebben. Het middel in cassatie </w:t>
      </w:r>
      <w:r w:rsidR="0052148C" w:rsidRPr="00484DAF">
        <w:rPr>
          <w:sz w:val="24"/>
          <w:szCs w:val="24"/>
        </w:rPr>
        <w:t>gaat niet in tegen één van beide standpunten, maar pakt ze samen aan met een overtuigend beroepschrift. De prejudiciële vragen die Hoge Raad stelt, luiden:</w:t>
      </w:r>
      <w:r w:rsidR="0052148C" w:rsidRPr="00484DAF">
        <w:rPr>
          <w:rStyle w:val="Voetnootmarkering"/>
          <w:sz w:val="24"/>
          <w:szCs w:val="24"/>
        </w:rPr>
        <w:footnoteReference w:id="262"/>
      </w:r>
    </w:p>
    <w:p w:rsidR="0052148C" w:rsidRPr="00484DAF" w:rsidRDefault="0052148C" w:rsidP="00CC552D">
      <w:pPr>
        <w:pStyle w:val="Geenafstand"/>
        <w:numPr>
          <w:ilvl w:val="0"/>
          <w:numId w:val="4"/>
        </w:numPr>
        <w:spacing w:line="360" w:lineRule="auto"/>
        <w:rPr>
          <w:i/>
          <w:sz w:val="24"/>
          <w:szCs w:val="24"/>
        </w:rPr>
      </w:pPr>
      <w:r w:rsidRPr="00484DAF">
        <w:rPr>
          <w:i/>
          <w:sz w:val="24"/>
          <w:szCs w:val="24"/>
        </w:rPr>
        <w:t xml:space="preserve">Moet artikel 13, B, letter g, </w:t>
      </w:r>
      <w:r w:rsidR="00594FE8" w:rsidRPr="00484DAF">
        <w:rPr>
          <w:sz w:val="24"/>
          <w:szCs w:val="24"/>
        </w:rPr>
        <w:t xml:space="preserve">(thans artikel 135, lid 1, onderdeel j BTW-richtlijn) </w:t>
      </w:r>
      <w:r w:rsidRPr="00484DAF">
        <w:rPr>
          <w:i/>
          <w:sz w:val="24"/>
          <w:szCs w:val="24"/>
        </w:rPr>
        <w:t xml:space="preserve">in samenhang met artikel 4, lid 3, letter a, van de Zesde richtlijn </w:t>
      </w:r>
      <w:r w:rsidR="00594FE8" w:rsidRPr="00484DAF">
        <w:rPr>
          <w:sz w:val="24"/>
          <w:szCs w:val="24"/>
        </w:rPr>
        <w:t xml:space="preserve">(thans artikel 12, lid </w:t>
      </w:r>
      <w:r w:rsidR="00081FF8" w:rsidRPr="00484DAF">
        <w:rPr>
          <w:sz w:val="24"/>
          <w:szCs w:val="24"/>
        </w:rPr>
        <w:t xml:space="preserve">1, </w:t>
      </w:r>
      <w:r w:rsidR="00081FF8" w:rsidRPr="00484DAF">
        <w:rPr>
          <w:sz w:val="24"/>
          <w:szCs w:val="24"/>
        </w:rPr>
        <w:lastRenderedPageBreak/>
        <w:t>onderdeel a</w:t>
      </w:r>
      <w:r w:rsidR="00594FE8" w:rsidRPr="00484DAF">
        <w:rPr>
          <w:sz w:val="24"/>
          <w:szCs w:val="24"/>
        </w:rPr>
        <w:t xml:space="preserve"> BTW-richtlijn) </w:t>
      </w:r>
      <w:r w:rsidRPr="00484DAF">
        <w:rPr>
          <w:i/>
          <w:sz w:val="24"/>
          <w:szCs w:val="24"/>
        </w:rPr>
        <w:t>zo worden uitgelegd dat belast is de levering van een gebouw dat gedeeltelijk is gesloopt met het oog op vervanging van dat gebouw door een nieuw op te richten gebouw?</w:t>
      </w:r>
    </w:p>
    <w:p w:rsidR="0052148C" w:rsidRPr="00484DAF" w:rsidRDefault="0052148C" w:rsidP="00CC552D">
      <w:pPr>
        <w:pStyle w:val="Geenafstand"/>
        <w:numPr>
          <w:ilvl w:val="0"/>
          <w:numId w:val="4"/>
        </w:numPr>
        <w:spacing w:line="360" w:lineRule="auto"/>
        <w:rPr>
          <w:i/>
          <w:sz w:val="24"/>
          <w:szCs w:val="24"/>
        </w:rPr>
      </w:pPr>
      <w:r w:rsidRPr="00484DAF">
        <w:rPr>
          <w:i/>
          <w:sz w:val="24"/>
          <w:szCs w:val="24"/>
        </w:rPr>
        <w:t>Is het voor de beantwoording van deze vraag van belang of de verkoper dan wel de koper van het gebouw de opdracht tot de sloop heeft gegeven en de kosten daarvan aan zich in rekening laat brengen, met dien verstande dat de levering alleen dan belast is als de verkoper de opdracht tot de sloop heeft gegeven en de kosten daarvan aan zich in rekening laat brengen?</w:t>
      </w:r>
    </w:p>
    <w:p w:rsidR="0052148C" w:rsidRPr="00484DAF" w:rsidRDefault="0052148C" w:rsidP="00CC552D">
      <w:pPr>
        <w:pStyle w:val="Geenafstand"/>
        <w:numPr>
          <w:ilvl w:val="0"/>
          <w:numId w:val="4"/>
        </w:numPr>
        <w:spacing w:line="360" w:lineRule="auto"/>
        <w:rPr>
          <w:i/>
          <w:sz w:val="24"/>
          <w:szCs w:val="24"/>
        </w:rPr>
      </w:pPr>
      <w:r w:rsidRPr="00484DAF">
        <w:rPr>
          <w:i/>
          <w:sz w:val="24"/>
          <w:szCs w:val="24"/>
        </w:rPr>
        <w:t>Is het voor de beantwoording van de eerste vraag van belang of de verkoper dan wel de koper van het gebouw de nieuwbouwplannen heeft ontwikkeld, met dien verstande dat de levering alleen dan belast is indien de verkoper de nieuwbouwplannen heeft ontwikkeld?</w:t>
      </w:r>
    </w:p>
    <w:p w:rsidR="0052148C" w:rsidRPr="00484DAF" w:rsidRDefault="0052148C" w:rsidP="00CC552D">
      <w:pPr>
        <w:pStyle w:val="Geenafstand"/>
        <w:numPr>
          <w:ilvl w:val="0"/>
          <w:numId w:val="4"/>
        </w:numPr>
        <w:spacing w:line="360" w:lineRule="auto"/>
        <w:rPr>
          <w:sz w:val="24"/>
          <w:szCs w:val="24"/>
        </w:rPr>
      </w:pPr>
      <w:r w:rsidRPr="00484DAF">
        <w:rPr>
          <w:i/>
          <w:sz w:val="24"/>
          <w:szCs w:val="24"/>
        </w:rPr>
        <w:t>Zo het antwoord op de eerste vraag bevestigend luidt, is dan belast elke levering die plaatsvindt na het tijdstip waarop de sloopwerkzaamheden feitelijk een aanvang nemen dan wel na enig later tijdstip, in het bijzonder het tijdstip waarop de sloop substantieel is gevorderd?</w:t>
      </w:r>
    </w:p>
    <w:p w:rsidR="00331E9C" w:rsidRPr="00484DAF" w:rsidRDefault="00331E9C" w:rsidP="00CC552D">
      <w:pPr>
        <w:pStyle w:val="Geenafstand"/>
        <w:spacing w:line="360" w:lineRule="auto"/>
        <w:rPr>
          <w:sz w:val="24"/>
          <w:szCs w:val="24"/>
        </w:rPr>
      </w:pPr>
    </w:p>
    <w:p w:rsidR="00331E9C" w:rsidRPr="00484DAF" w:rsidRDefault="007E25AA" w:rsidP="00CC552D">
      <w:pPr>
        <w:pStyle w:val="Geenafstand"/>
        <w:spacing w:line="360" w:lineRule="auto"/>
        <w:rPr>
          <w:sz w:val="24"/>
          <w:szCs w:val="24"/>
        </w:rPr>
      </w:pPr>
      <w:r w:rsidRPr="00484DAF">
        <w:rPr>
          <w:sz w:val="24"/>
          <w:szCs w:val="24"/>
        </w:rPr>
        <w:t>Hoewel de vragen toe te juichen zijn, is de vraag gerechtvaardigd waarom de Hoge Raad besluit tot het stellen van prejudiciële vragen in een casus die gelijkenissen toont met het Jeugdhonkarrest.</w:t>
      </w:r>
      <w:r w:rsidR="0013676A" w:rsidRPr="00484DAF">
        <w:rPr>
          <w:sz w:val="24"/>
          <w:szCs w:val="24"/>
        </w:rPr>
        <w:t xml:space="preserve"> Wellicht realiseerde de Hoge Raad zich ook dat ze in het Jeugdhonkarrest zoals eerder beargumenteerd te</w:t>
      </w:r>
      <w:r w:rsidR="00331E9C" w:rsidRPr="00484DAF">
        <w:rPr>
          <w:sz w:val="24"/>
          <w:szCs w:val="24"/>
        </w:rPr>
        <w:t xml:space="preserve"> kort door de bocht zijn gegaan of vindt hij </w:t>
      </w:r>
      <w:r w:rsidR="00F515F9" w:rsidRPr="00484DAF">
        <w:rPr>
          <w:sz w:val="24"/>
          <w:szCs w:val="24"/>
        </w:rPr>
        <w:t xml:space="preserve">in geval van </w:t>
      </w:r>
      <w:r w:rsidR="00F515F9" w:rsidRPr="00484DAF">
        <w:rPr>
          <w:i/>
          <w:sz w:val="24"/>
          <w:szCs w:val="24"/>
        </w:rPr>
        <w:t>Don Bosco Onroerend Goed BV</w:t>
      </w:r>
      <w:r w:rsidR="00F515F9" w:rsidRPr="00484DAF">
        <w:rPr>
          <w:sz w:val="24"/>
          <w:szCs w:val="24"/>
        </w:rPr>
        <w:t xml:space="preserve"> </w:t>
      </w:r>
      <w:r w:rsidR="00331E9C" w:rsidRPr="00484DAF">
        <w:rPr>
          <w:sz w:val="24"/>
          <w:szCs w:val="24"/>
        </w:rPr>
        <w:t xml:space="preserve">dat </w:t>
      </w:r>
      <w:r w:rsidR="00040E2A" w:rsidRPr="00484DAF">
        <w:rPr>
          <w:sz w:val="24"/>
          <w:szCs w:val="24"/>
        </w:rPr>
        <w:t xml:space="preserve">hier sprake is van </w:t>
      </w:r>
      <w:r w:rsidR="00331E9C" w:rsidRPr="00484DAF">
        <w:rPr>
          <w:sz w:val="24"/>
          <w:szCs w:val="24"/>
        </w:rPr>
        <w:t>sloop met oog op bebouwing en n</w:t>
      </w:r>
      <w:r w:rsidR="00040E2A" w:rsidRPr="00484DAF">
        <w:rPr>
          <w:sz w:val="24"/>
          <w:szCs w:val="24"/>
        </w:rPr>
        <w:t>iet op het oog op de veiligheid?</w:t>
      </w:r>
    </w:p>
    <w:p w:rsidR="00331E9C" w:rsidRPr="00484DAF" w:rsidRDefault="00331E9C" w:rsidP="00CC552D">
      <w:pPr>
        <w:pStyle w:val="Geenafstand"/>
        <w:spacing w:line="360" w:lineRule="auto"/>
        <w:rPr>
          <w:sz w:val="24"/>
          <w:szCs w:val="24"/>
        </w:rPr>
      </w:pPr>
    </w:p>
    <w:p w:rsidR="007E25AA" w:rsidRPr="00484DAF" w:rsidRDefault="0013676A" w:rsidP="00CC552D">
      <w:pPr>
        <w:pStyle w:val="Geenafstand"/>
        <w:spacing w:line="360" w:lineRule="auto"/>
        <w:rPr>
          <w:sz w:val="24"/>
          <w:szCs w:val="24"/>
        </w:rPr>
      </w:pPr>
      <w:r w:rsidRPr="00484DAF">
        <w:rPr>
          <w:sz w:val="24"/>
          <w:szCs w:val="24"/>
        </w:rPr>
        <w:t xml:space="preserve">Opvallend is overigens dat drie van de vijf raadsheren die op 3 oktober 2008 de kamer vormden tevens zitting hadden in het Garagearrest. Het was diezelfde kamer in het Garagearrest die ook beslisten in het Jeugdhonkarrest. Was de mening van de twee nu afwezigen toentertijd doorslaggevend of zijn de twee ‘nieuwe’ raadsheren zo overtuigend? Wellicht had de Hoge Raad nooit verwacht dat aan het Jeugdhonkarrest zoveel naamsbekendheid en navolging in de praktijk zou krijgen. Derhalve is mijns inziens sprake van voortschrijdend inzicht en wil de Hoge Raad </w:t>
      </w:r>
      <w:r w:rsidR="0081719A" w:rsidRPr="00484DAF">
        <w:rPr>
          <w:sz w:val="24"/>
          <w:szCs w:val="24"/>
        </w:rPr>
        <w:t>(</w:t>
      </w:r>
      <w:r w:rsidRPr="00484DAF">
        <w:rPr>
          <w:sz w:val="24"/>
          <w:szCs w:val="24"/>
        </w:rPr>
        <w:t xml:space="preserve">in de woorden van de </w:t>
      </w:r>
      <w:r w:rsidRPr="00484DAF">
        <w:rPr>
          <w:i/>
          <w:sz w:val="24"/>
          <w:szCs w:val="24"/>
        </w:rPr>
        <w:t>Redactie Vakstudie-Nieuws</w:t>
      </w:r>
      <w:r w:rsidR="0081719A" w:rsidRPr="00484DAF">
        <w:rPr>
          <w:sz w:val="24"/>
          <w:szCs w:val="24"/>
        </w:rPr>
        <w:t xml:space="preserve">) </w:t>
      </w:r>
      <w:r w:rsidRPr="00484DAF">
        <w:rPr>
          <w:i/>
          <w:sz w:val="24"/>
          <w:szCs w:val="24"/>
        </w:rPr>
        <w:t xml:space="preserve">‘kennelijk meer aan de weet komen over de werkingssfeer van het in de </w:t>
      </w:r>
      <w:r w:rsidRPr="00484DAF">
        <w:rPr>
          <w:i/>
          <w:sz w:val="24"/>
          <w:szCs w:val="24"/>
        </w:rPr>
        <w:lastRenderedPageBreak/>
        <w:t>omzetbelasting geldende algemene vrijstellingsregime voor onroerend goed.’</w:t>
      </w:r>
      <w:r w:rsidR="005C5D95" w:rsidRPr="00484DAF">
        <w:rPr>
          <w:rStyle w:val="Voetnootmarkering"/>
          <w:i/>
          <w:sz w:val="24"/>
          <w:szCs w:val="24"/>
        </w:rPr>
        <w:footnoteReference w:id="263"/>
      </w:r>
      <w:r w:rsidR="00AD20F9" w:rsidRPr="00484DAF">
        <w:rPr>
          <w:sz w:val="24"/>
          <w:szCs w:val="24"/>
        </w:rPr>
        <w:t xml:space="preserve"> Anders lijkt het vervaardigingvraagstuk aangaande onroerend </w:t>
      </w:r>
      <w:r w:rsidR="00D12918">
        <w:rPr>
          <w:sz w:val="24"/>
          <w:szCs w:val="24"/>
        </w:rPr>
        <w:t>goed vanwege het doorgaans casuï</w:t>
      </w:r>
      <w:r w:rsidR="00AD20F9" w:rsidRPr="00484DAF">
        <w:rPr>
          <w:sz w:val="24"/>
          <w:szCs w:val="24"/>
        </w:rPr>
        <w:t>stische karakter een kwestie van dobbelen met een dobbelsteen welke drie keer is bedrukt met “ja”</w:t>
      </w:r>
      <w:r w:rsidR="00184F28" w:rsidRPr="00484DAF">
        <w:rPr>
          <w:sz w:val="24"/>
          <w:szCs w:val="24"/>
        </w:rPr>
        <w:t xml:space="preserve"> </w:t>
      </w:r>
      <w:r w:rsidR="00AD20F9" w:rsidRPr="00484DAF">
        <w:rPr>
          <w:sz w:val="24"/>
          <w:szCs w:val="24"/>
        </w:rPr>
        <w:t>en drie keer met “nee.”</w:t>
      </w:r>
    </w:p>
    <w:p w:rsidR="00331E9C" w:rsidRPr="00484DAF" w:rsidRDefault="00331E9C" w:rsidP="00CC552D">
      <w:pPr>
        <w:pStyle w:val="Geenafstand"/>
        <w:spacing w:line="360" w:lineRule="auto"/>
        <w:rPr>
          <w:sz w:val="24"/>
          <w:szCs w:val="24"/>
        </w:rPr>
      </w:pPr>
    </w:p>
    <w:p w:rsidR="001E164C" w:rsidRPr="00484DAF" w:rsidRDefault="001E164C" w:rsidP="00CC552D">
      <w:pPr>
        <w:pStyle w:val="Kop3"/>
        <w:spacing w:before="0" w:line="360" w:lineRule="auto"/>
        <w:rPr>
          <w:rFonts w:ascii="Times New Roman" w:hAnsi="Times New Roman"/>
          <w:color w:val="auto"/>
          <w:sz w:val="24"/>
          <w:szCs w:val="24"/>
        </w:rPr>
      </w:pPr>
      <w:bookmarkStart w:id="116" w:name="_Toc254043967"/>
      <w:r w:rsidRPr="00484DAF">
        <w:rPr>
          <w:rFonts w:ascii="Times New Roman" w:hAnsi="Times New Roman"/>
          <w:color w:val="auto"/>
          <w:sz w:val="24"/>
          <w:szCs w:val="24"/>
        </w:rPr>
        <w:t>5.5.3.1 ‘Elke’ levering voorafgaand aan eerste ingebruikname</w:t>
      </w:r>
      <w:bookmarkEnd w:id="116"/>
    </w:p>
    <w:p w:rsidR="002A7897" w:rsidRPr="00484DAF" w:rsidRDefault="00C40A28" w:rsidP="00CC552D">
      <w:pPr>
        <w:spacing w:after="0" w:line="360" w:lineRule="auto"/>
        <w:rPr>
          <w:sz w:val="24"/>
          <w:szCs w:val="24"/>
        </w:rPr>
      </w:pPr>
      <w:r w:rsidRPr="00484DAF">
        <w:rPr>
          <w:sz w:val="24"/>
          <w:szCs w:val="24"/>
        </w:rPr>
        <w:t xml:space="preserve">Ter beantwoording van de eerste vraag constateert de Hoge Raad allereerst dat </w:t>
      </w:r>
      <w:r w:rsidR="00CD3C18" w:rsidRPr="00484DAF">
        <w:rPr>
          <w:sz w:val="24"/>
          <w:szCs w:val="24"/>
        </w:rPr>
        <w:t xml:space="preserve">door artikel 13, B, onderdeel g Zesde Richtlijn wordt vrijgesteld van BTW de levering van een (gedeelte van een) </w:t>
      </w:r>
      <w:r w:rsidR="00DF70CA" w:rsidRPr="00484DAF">
        <w:rPr>
          <w:sz w:val="24"/>
          <w:szCs w:val="24"/>
        </w:rPr>
        <w:t>gebouw</w:t>
      </w:r>
      <w:r w:rsidR="00CD3C18" w:rsidRPr="00484DAF">
        <w:rPr>
          <w:sz w:val="24"/>
          <w:szCs w:val="24"/>
        </w:rPr>
        <w:t xml:space="preserve"> en het erbij behorende terrein, anders dan bedoeld in artikel 4, lid </w:t>
      </w:r>
      <w:r w:rsidR="00081FF8" w:rsidRPr="00484DAF">
        <w:rPr>
          <w:sz w:val="24"/>
          <w:szCs w:val="24"/>
        </w:rPr>
        <w:t>3</w:t>
      </w:r>
      <w:r w:rsidR="00CD3C18" w:rsidRPr="00484DAF">
        <w:rPr>
          <w:sz w:val="24"/>
          <w:szCs w:val="24"/>
        </w:rPr>
        <w:t xml:space="preserve">, onderdeel a Zesde Richtlijn. </w:t>
      </w:r>
      <w:r w:rsidR="00DF70CA" w:rsidRPr="00484DAF">
        <w:rPr>
          <w:sz w:val="24"/>
          <w:szCs w:val="24"/>
        </w:rPr>
        <w:t>Zo dit van toepassing is, betekent dit dat de levering van een (gedeelte van een) gebouw</w:t>
      </w:r>
      <w:r w:rsidR="00D417EA" w:rsidRPr="00484DAF">
        <w:rPr>
          <w:sz w:val="24"/>
          <w:szCs w:val="24"/>
        </w:rPr>
        <w:t xml:space="preserve"> </w:t>
      </w:r>
      <w:r w:rsidR="00DF70CA" w:rsidRPr="00484DAF">
        <w:rPr>
          <w:sz w:val="24"/>
          <w:szCs w:val="24"/>
        </w:rPr>
        <w:t>en het erbij behorende terrein</w:t>
      </w:r>
      <w:r w:rsidR="00230B1E" w:rsidRPr="00484DAF">
        <w:rPr>
          <w:sz w:val="24"/>
          <w:szCs w:val="24"/>
        </w:rPr>
        <w:t xml:space="preserve"> belast i</w:t>
      </w:r>
      <w:r w:rsidR="001E164C" w:rsidRPr="00484DAF">
        <w:rPr>
          <w:sz w:val="24"/>
          <w:szCs w:val="24"/>
        </w:rPr>
        <w:t>s</w:t>
      </w:r>
      <w:r w:rsidR="00230B1E" w:rsidRPr="00484DAF">
        <w:rPr>
          <w:sz w:val="24"/>
          <w:szCs w:val="24"/>
        </w:rPr>
        <w:t xml:space="preserve"> met BTW voor eerste ingebruikneming van het onroerend goed. Daar de lidstaten zelf een criterium voor eerste ingebruikneming mogen toepassen, lijkt uit dit alles te volgen dat de Richtlijngever heeft willen bewerkstelligen</w:t>
      </w:r>
      <w:r w:rsidR="00F515F9" w:rsidRPr="00484DAF">
        <w:rPr>
          <w:sz w:val="24"/>
          <w:szCs w:val="24"/>
        </w:rPr>
        <w:t xml:space="preserve">, </w:t>
      </w:r>
      <w:r w:rsidR="00230B1E" w:rsidRPr="00484DAF">
        <w:rPr>
          <w:sz w:val="24"/>
          <w:szCs w:val="24"/>
        </w:rPr>
        <w:t>dat elke levering voorafgaande aan het tijdstip van eerste ingebruikname belast dient plaats te vinden. Daarbij is aan lidstaten voorts de mogelijkheid geboden deze belaste periode langer te laten doorlopen.</w:t>
      </w:r>
      <w:r w:rsidR="00384502" w:rsidRPr="00484DAF">
        <w:rPr>
          <w:sz w:val="24"/>
          <w:szCs w:val="24"/>
        </w:rPr>
        <w:t xml:space="preserve"> </w:t>
      </w:r>
      <w:r w:rsidR="00CF0AC6" w:rsidRPr="00484DAF">
        <w:rPr>
          <w:sz w:val="24"/>
          <w:szCs w:val="24"/>
        </w:rPr>
        <w:t xml:space="preserve">Omtrent de vraag wat het eerste moment is waarop sprake is van bedoelde levering van een (gedeelte van een) gebouw en het erbij behorende terrein vraagt </w:t>
      </w:r>
      <w:r w:rsidR="00384502" w:rsidRPr="00484DAF">
        <w:rPr>
          <w:sz w:val="24"/>
          <w:szCs w:val="24"/>
        </w:rPr>
        <w:t xml:space="preserve">de Hoge Raad </w:t>
      </w:r>
      <w:r w:rsidR="00CF0AC6" w:rsidRPr="00484DAF">
        <w:rPr>
          <w:sz w:val="24"/>
          <w:szCs w:val="24"/>
        </w:rPr>
        <w:t>zich op zijn beurt af</w:t>
      </w:r>
      <w:r w:rsidR="00384502" w:rsidRPr="00484DAF">
        <w:rPr>
          <w:sz w:val="24"/>
          <w:szCs w:val="24"/>
        </w:rPr>
        <w:t xml:space="preserve">: </w:t>
      </w:r>
      <w:r w:rsidR="00384502" w:rsidRPr="00484DAF">
        <w:rPr>
          <w:i/>
          <w:sz w:val="24"/>
          <w:szCs w:val="24"/>
        </w:rPr>
        <w:t>‘</w:t>
      </w:r>
      <w:r w:rsidRPr="00484DAF">
        <w:rPr>
          <w:i/>
          <w:sz w:val="24"/>
          <w:szCs w:val="24"/>
        </w:rPr>
        <w:t>Dient het gebouw ten tijde van de levering ten minste voltooid te zijn? Of is elke levering in de sloop- en/of bouwfase een levering in de zin van artikel 4, lid 3, letter a?</w:t>
      </w:r>
      <w:r w:rsidR="00384502" w:rsidRPr="00484DAF">
        <w:rPr>
          <w:i/>
          <w:sz w:val="24"/>
          <w:szCs w:val="24"/>
        </w:rPr>
        <w:t>’</w:t>
      </w:r>
      <w:r w:rsidR="00384502" w:rsidRPr="00484DAF">
        <w:rPr>
          <w:rStyle w:val="Voetnootmarkering"/>
          <w:i/>
          <w:sz w:val="24"/>
          <w:szCs w:val="24"/>
        </w:rPr>
        <w:footnoteReference w:id="264"/>
      </w:r>
      <w:r w:rsidR="000C65B2" w:rsidRPr="00484DAF">
        <w:rPr>
          <w:sz w:val="24"/>
          <w:szCs w:val="24"/>
        </w:rPr>
        <w:t xml:space="preserve"> Als één van de mogelijk</w:t>
      </w:r>
      <w:r w:rsidR="00812951" w:rsidRPr="00484DAF">
        <w:rPr>
          <w:sz w:val="24"/>
          <w:szCs w:val="24"/>
        </w:rPr>
        <w:t>heden</w:t>
      </w:r>
      <w:r w:rsidR="000C65B2" w:rsidRPr="00484DAF">
        <w:rPr>
          <w:sz w:val="24"/>
          <w:szCs w:val="24"/>
        </w:rPr>
        <w:t xml:space="preserve"> </w:t>
      </w:r>
      <w:r w:rsidR="00812951" w:rsidRPr="00484DAF">
        <w:rPr>
          <w:sz w:val="24"/>
          <w:szCs w:val="24"/>
        </w:rPr>
        <w:t xml:space="preserve">wijst </w:t>
      </w:r>
      <w:r w:rsidR="000C65B2" w:rsidRPr="00484DAF">
        <w:rPr>
          <w:sz w:val="24"/>
          <w:szCs w:val="24"/>
        </w:rPr>
        <w:t>de Hoge Raad in dezelfde rechtsoverweging</w:t>
      </w:r>
      <w:r w:rsidR="00812951" w:rsidRPr="00484DAF">
        <w:rPr>
          <w:sz w:val="24"/>
          <w:szCs w:val="24"/>
        </w:rPr>
        <w:t xml:space="preserve"> op</w:t>
      </w:r>
      <w:r w:rsidR="000C65B2" w:rsidRPr="00484DAF">
        <w:rPr>
          <w:sz w:val="24"/>
          <w:szCs w:val="24"/>
        </w:rPr>
        <w:t xml:space="preserve">: </w:t>
      </w:r>
      <w:r w:rsidR="000C65B2" w:rsidRPr="00484DAF">
        <w:rPr>
          <w:i/>
          <w:sz w:val="24"/>
          <w:szCs w:val="24"/>
        </w:rPr>
        <w:t xml:space="preserve">‘(…) </w:t>
      </w:r>
      <w:r w:rsidRPr="00484DAF">
        <w:rPr>
          <w:i/>
          <w:sz w:val="24"/>
          <w:szCs w:val="24"/>
        </w:rPr>
        <w:t>de levering van een gedeeltelijk gesloopt gebouw dat plaats moet maken voor het nieuwe gebouw, de levering van het (onbebouwde) terrein dat vrijkomt door de sloop en de levering van een gedeeltelijk voltooid gebouw.</w:t>
      </w:r>
      <w:r w:rsidR="005E514B" w:rsidRPr="00484DAF">
        <w:rPr>
          <w:i/>
          <w:sz w:val="24"/>
          <w:szCs w:val="24"/>
        </w:rPr>
        <w:t>’</w:t>
      </w:r>
      <w:r w:rsidR="00812951" w:rsidRPr="00484DAF">
        <w:rPr>
          <w:sz w:val="24"/>
          <w:szCs w:val="24"/>
        </w:rPr>
        <w:t xml:space="preserve"> </w:t>
      </w:r>
    </w:p>
    <w:p w:rsidR="00331E9C" w:rsidRPr="00484DAF" w:rsidRDefault="00331E9C" w:rsidP="00CC552D">
      <w:pPr>
        <w:pStyle w:val="Geenafstand"/>
        <w:spacing w:line="360" w:lineRule="auto"/>
        <w:rPr>
          <w:sz w:val="24"/>
          <w:szCs w:val="24"/>
        </w:rPr>
      </w:pPr>
    </w:p>
    <w:p w:rsidR="002A7897" w:rsidRPr="00484DAF" w:rsidRDefault="002A7897" w:rsidP="00CC552D">
      <w:pPr>
        <w:pStyle w:val="Kop3"/>
        <w:spacing w:before="0" w:line="360" w:lineRule="auto"/>
        <w:rPr>
          <w:rFonts w:ascii="Times New Roman" w:hAnsi="Times New Roman"/>
          <w:color w:val="auto"/>
          <w:sz w:val="24"/>
          <w:szCs w:val="24"/>
        </w:rPr>
      </w:pPr>
      <w:bookmarkStart w:id="117" w:name="_Toc254043968"/>
      <w:r w:rsidRPr="00484DAF">
        <w:rPr>
          <w:rFonts w:ascii="Times New Roman" w:hAnsi="Times New Roman"/>
          <w:color w:val="auto"/>
          <w:sz w:val="24"/>
          <w:szCs w:val="24"/>
        </w:rPr>
        <w:t>5.5.3.2 Neutraliteitsbeginsel</w:t>
      </w:r>
      <w:bookmarkEnd w:id="117"/>
    </w:p>
    <w:p w:rsidR="009A1B54" w:rsidRPr="00484DAF" w:rsidRDefault="00812951" w:rsidP="00CC552D">
      <w:pPr>
        <w:spacing w:after="0" w:line="360" w:lineRule="auto"/>
        <w:rPr>
          <w:sz w:val="24"/>
          <w:szCs w:val="24"/>
        </w:rPr>
      </w:pPr>
      <w:r w:rsidRPr="00484DAF">
        <w:rPr>
          <w:sz w:val="24"/>
          <w:szCs w:val="24"/>
        </w:rPr>
        <w:t>Voor de beantwoording van deze vragen wijst de Hoge Raad erop dat het doel van de</w:t>
      </w:r>
      <w:r w:rsidR="00D417EA" w:rsidRPr="00484DAF">
        <w:rPr>
          <w:sz w:val="24"/>
          <w:szCs w:val="24"/>
        </w:rPr>
        <w:t xml:space="preserve"> </w:t>
      </w:r>
      <w:r w:rsidRPr="00484DAF">
        <w:rPr>
          <w:sz w:val="24"/>
          <w:szCs w:val="24"/>
        </w:rPr>
        <w:t>vrijstelling en het neutraliteitsbeginsel een rol spelen. Daarbij wordt verwezen naar de toelichting op de oorspronkelijke tekst van de Zesde Richtlijn</w:t>
      </w:r>
      <w:r w:rsidR="00146645" w:rsidRPr="00484DAF">
        <w:rPr>
          <w:sz w:val="24"/>
          <w:szCs w:val="24"/>
        </w:rPr>
        <w:t>.</w:t>
      </w:r>
      <w:r w:rsidR="009A1B54" w:rsidRPr="00484DAF">
        <w:rPr>
          <w:sz w:val="24"/>
          <w:szCs w:val="24"/>
        </w:rPr>
        <w:t xml:space="preserve"> Overigens is de tekst voor invoering van de Zesde Richtlijn gewijzigd, waardoor de vraag opkomt of een toelichting op een niet als zodanig ingevoerde tekst maatgevend kan zijn voor een enigszins gewijzigde tekst. Ik ben van mening dat geen beroep kan worden gedaan op een dergelijke toelichting. </w:t>
      </w:r>
      <w:r w:rsidR="009A1B54" w:rsidRPr="00484DAF">
        <w:rPr>
          <w:sz w:val="24"/>
          <w:szCs w:val="24"/>
        </w:rPr>
        <w:lastRenderedPageBreak/>
        <w:t>Aangezien de Hoge Raad duidelijk steun zoekt in voornoemde toelichting ga ik vooralsnog in zijn denkwijze mee.</w:t>
      </w:r>
      <w:r w:rsidR="00146645" w:rsidRPr="00484DAF">
        <w:rPr>
          <w:sz w:val="24"/>
          <w:szCs w:val="24"/>
        </w:rPr>
        <w:t xml:space="preserve"> </w:t>
      </w:r>
    </w:p>
    <w:p w:rsidR="009A1B54" w:rsidRPr="00484DAF" w:rsidRDefault="009A1B54" w:rsidP="00CC552D">
      <w:pPr>
        <w:spacing w:after="0" w:line="360" w:lineRule="auto"/>
        <w:rPr>
          <w:sz w:val="24"/>
          <w:szCs w:val="24"/>
        </w:rPr>
      </w:pPr>
    </w:p>
    <w:p w:rsidR="002A7897" w:rsidRPr="00484DAF" w:rsidRDefault="00146645" w:rsidP="00CC552D">
      <w:pPr>
        <w:spacing w:after="0" w:line="360" w:lineRule="auto"/>
        <w:rPr>
          <w:sz w:val="24"/>
          <w:szCs w:val="24"/>
        </w:rPr>
      </w:pPr>
      <w:r w:rsidRPr="00484DAF">
        <w:rPr>
          <w:sz w:val="24"/>
          <w:szCs w:val="24"/>
        </w:rPr>
        <w:t xml:space="preserve">Volgens deze toelichting is </w:t>
      </w:r>
      <w:r w:rsidR="008633B7" w:rsidRPr="00484DAF">
        <w:rPr>
          <w:sz w:val="24"/>
          <w:szCs w:val="24"/>
        </w:rPr>
        <w:t xml:space="preserve">het doel dat </w:t>
      </w:r>
      <w:r w:rsidRPr="00484DAF">
        <w:rPr>
          <w:sz w:val="24"/>
          <w:szCs w:val="24"/>
        </w:rPr>
        <w:t xml:space="preserve">zowel ‘nieuwbouw’ </w:t>
      </w:r>
      <w:r w:rsidR="001A559E" w:rsidRPr="00484DAF">
        <w:rPr>
          <w:sz w:val="24"/>
          <w:szCs w:val="24"/>
        </w:rPr>
        <w:t>tot het moment van eerste ingebruikname als bouwterreinen buiten de werkingssfeer van de vrijstelling vallen en zodoende elke levering</w:t>
      </w:r>
      <w:r w:rsidR="008633B7" w:rsidRPr="00484DAF">
        <w:rPr>
          <w:sz w:val="24"/>
          <w:szCs w:val="24"/>
        </w:rPr>
        <w:t xml:space="preserve"> in die fase</w:t>
      </w:r>
      <w:r w:rsidR="001A559E" w:rsidRPr="00484DAF">
        <w:rPr>
          <w:sz w:val="24"/>
          <w:szCs w:val="24"/>
        </w:rPr>
        <w:t xml:space="preserve"> belast is met BTW. Opvallend aan het voorstel </w:t>
      </w:r>
      <w:r w:rsidR="00CF0AC6" w:rsidRPr="00484DAF">
        <w:rPr>
          <w:sz w:val="24"/>
          <w:szCs w:val="24"/>
        </w:rPr>
        <w:t xml:space="preserve">om te komen tot de Zesde Richtlijn </w:t>
      </w:r>
      <w:r w:rsidR="001A559E" w:rsidRPr="00484DAF">
        <w:rPr>
          <w:sz w:val="24"/>
          <w:szCs w:val="24"/>
        </w:rPr>
        <w:t xml:space="preserve">is dat </w:t>
      </w:r>
      <w:r w:rsidR="00C40A28" w:rsidRPr="00484DAF">
        <w:rPr>
          <w:sz w:val="24"/>
          <w:szCs w:val="24"/>
        </w:rPr>
        <w:t xml:space="preserve">tot bouwterreinen </w:t>
      </w:r>
      <w:r w:rsidR="001A559E" w:rsidRPr="00484DAF">
        <w:rPr>
          <w:sz w:val="24"/>
          <w:szCs w:val="24"/>
        </w:rPr>
        <w:t xml:space="preserve">worden </w:t>
      </w:r>
      <w:r w:rsidR="00C40A28" w:rsidRPr="00484DAF">
        <w:rPr>
          <w:sz w:val="24"/>
          <w:szCs w:val="24"/>
        </w:rPr>
        <w:t xml:space="preserve">gerekend terreinen met </w:t>
      </w:r>
      <w:r w:rsidR="001A559E" w:rsidRPr="00484DAF">
        <w:rPr>
          <w:sz w:val="24"/>
          <w:szCs w:val="24"/>
        </w:rPr>
        <w:t xml:space="preserve">in aanbouw zijnde </w:t>
      </w:r>
      <w:r w:rsidR="00C40A28" w:rsidRPr="00484DAF">
        <w:rPr>
          <w:sz w:val="24"/>
          <w:szCs w:val="24"/>
        </w:rPr>
        <w:t xml:space="preserve">gebouwen of met </w:t>
      </w:r>
      <w:r w:rsidR="001A559E" w:rsidRPr="00484DAF">
        <w:rPr>
          <w:sz w:val="24"/>
          <w:szCs w:val="24"/>
        </w:rPr>
        <w:t xml:space="preserve">voor sloop bestemde </w:t>
      </w:r>
      <w:r w:rsidR="00C40A28" w:rsidRPr="00484DAF">
        <w:rPr>
          <w:sz w:val="24"/>
          <w:szCs w:val="24"/>
        </w:rPr>
        <w:t>gebouwen</w:t>
      </w:r>
      <w:r w:rsidR="001A559E" w:rsidRPr="00484DAF">
        <w:rPr>
          <w:sz w:val="24"/>
          <w:szCs w:val="24"/>
        </w:rPr>
        <w:t>. Hieruit maakt de Hoge Raad op</w:t>
      </w:r>
      <w:r w:rsidR="00F515F9" w:rsidRPr="00484DAF">
        <w:rPr>
          <w:sz w:val="24"/>
          <w:szCs w:val="24"/>
        </w:rPr>
        <w:t>,</w:t>
      </w:r>
      <w:r w:rsidR="001A559E" w:rsidRPr="00484DAF">
        <w:rPr>
          <w:sz w:val="24"/>
          <w:szCs w:val="24"/>
        </w:rPr>
        <w:t xml:space="preserve"> dat de Richtlijngevers voor ogen hadden </w:t>
      </w:r>
      <w:r w:rsidR="001A559E" w:rsidRPr="00484DAF">
        <w:rPr>
          <w:i/>
          <w:sz w:val="24"/>
          <w:szCs w:val="24"/>
        </w:rPr>
        <w:t>‘</w:t>
      </w:r>
      <w:r w:rsidR="00C40A28" w:rsidRPr="00484DAF">
        <w:rPr>
          <w:i/>
          <w:sz w:val="24"/>
          <w:szCs w:val="24"/>
        </w:rPr>
        <w:t>nieuwbouw vanaf de voorgenomen sloop tot aan de eerste ingebruikneming in de heffing te betrekken.</w:t>
      </w:r>
      <w:r w:rsidR="001A559E" w:rsidRPr="00484DAF">
        <w:rPr>
          <w:i/>
          <w:sz w:val="24"/>
          <w:szCs w:val="24"/>
        </w:rPr>
        <w:t>’</w:t>
      </w:r>
      <w:r w:rsidR="00FB4CED" w:rsidRPr="00484DAF">
        <w:rPr>
          <w:rStyle w:val="Voetnootmarkering"/>
          <w:sz w:val="24"/>
          <w:szCs w:val="24"/>
        </w:rPr>
        <w:footnoteReference w:id="265"/>
      </w:r>
      <w:r w:rsidR="00FB4CED" w:rsidRPr="00484DAF">
        <w:rPr>
          <w:sz w:val="24"/>
          <w:szCs w:val="24"/>
        </w:rPr>
        <w:t xml:space="preserve"> </w:t>
      </w:r>
      <w:r w:rsidR="00622D97" w:rsidRPr="00484DAF">
        <w:rPr>
          <w:sz w:val="24"/>
          <w:szCs w:val="24"/>
        </w:rPr>
        <w:t>Wat de neutraliteit betreft, maa</w:t>
      </w:r>
      <w:r w:rsidR="00BF21AC" w:rsidRPr="00484DAF">
        <w:rPr>
          <w:sz w:val="24"/>
          <w:szCs w:val="24"/>
        </w:rPr>
        <w:t>kt</w:t>
      </w:r>
      <w:r w:rsidR="00622D97" w:rsidRPr="00484DAF">
        <w:rPr>
          <w:sz w:val="24"/>
          <w:szCs w:val="24"/>
        </w:rPr>
        <w:t xml:space="preserve"> de Hoge Raad melding van een opmerking in de toelichting op de voorgestelde Richtlijn</w:t>
      </w:r>
      <w:r w:rsidR="00FF58CD" w:rsidRPr="00484DAF">
        <w:rPr>
          <w:sz w:val="24"/>
          <w:szCs w:val="24"/>
        </w:rPr>
        <w:t xml:space="preserve">. Gesteld wordt namelijk dat </w:t>
      </w:r>
      <w:r w:rsidR="00622D97" w:rsidRPr="00484DAF">
        <w:rPr>
          <w:sz w:val="24"/>
          <w:szCs w:val="24"/>
        </w:rPr>
        <w:t xml:space="preserve">BTW te voldoen naar aanleiding van sloopwerkzaamheden, </w:t>
      </w:r>
      <w:r w:rsidR="00C40A28" w:rsidRPr="00484DAF">
        <w:rPr>
          <w:sz w:val="24"/>
          <w:szCs w:val="24"/>
        </w:rPr>
        <w:t xml:space="preserve">bouwrijp maken </w:t>
      </w:r>
      <w:r w:rsidR="00622D97" w:rsidRPr="00484DAF">
        <w:rPr>
          <w:sz w:val="24"/>
          <w:szCs w:val="24"/>
        </w:rPr>
        <w:t xml:space="preserve">van terreinen </w:t>
      </w:r>
      <w:r w:rsidR="00C40A28" w:rsidRPr="00484DAF">
        <w:rPr>
          <w:sz w:val="24"/>
          <w:szCs w:val="24"/>
        </w:rPr>
        <w:t xml:space="preserve">en de bouw </w:t>
      </w:r>
      <w:r w:rsidR="00622D97" w:rsidRPr="00484DAF">
        <w:rPr>
          <w:sz w:val="24"/>
          <w:szCs w:val="24"/>
        </w:rPr>
        <w:t>zelf</w:t>
      </w:r>
      <w:r w:rsidR="00F515F9" w:rsidRPr="00484DAF">
        <w:rPr>
          <w:sz w:val="24"/>
          <w:szCs w:val="24"/>
        </w:rPr>
        <w:t>,</w:t>
      </w:r>
      <w:r w:rsidR="00622D97" w:rsidRPr="00484DAF">
        <w:rPr>
          <w:sz w:val="24"/>
          <w:szCs w:val="24"/>
        </w:rPr>
        <w:t xml:space="preserve"> allemaal voor aftrek in aanmerking dien</w:t>
      </w:r>
      <w:r w:rsidR="00F515F9" w:rsidRPr="00484DAF">
        <w:rPr>
          <w:sz w:val="24"/>
          <w:szCs w:val="24"/>
        </w:rPr>
        <w:t>en</w:t>
      </w:r>
      <w:r w:rsidR="00622D97" w:rsidRPr="00484DAF">
        <w:rPr>
          <w:sz w:val="24"/>
          <w:szCs w:val="24"/>
        </w:rPr>
        <w:t xml:space="preserve"> te komen om te bewerkstelligen dat pas de eerste levering op of na eerste ingebruikneming </w:t>
      </w:r>
      <w:r w:rsidR="00FF58CD" w:rsidRPr="00484DAF">
        <w:rPr>
          <w:sz w:val="24"/>
          <w:szCs w:val="24"/>
        </w:rPr>
        <w:t xml:space="preserve">is </w:t>
      </w:r>
      <w:r w:rsidR="00622D97" w:rsidRPr="00484DAF">
        <w:rPr>
          <w:sz w:val="24"/>
          <w:szCs w:val="24"/>
        </w:rPr>
        <w:t>belast met BTW en alle voorafgaande levering</w:t>
      </w:r>
      <w:r w:rsidR="00FF58CD" w:rsidRPr="00484DAF">
        <w:rPr>
          <w:sz w:val="24"/>
          <w:szCs w:val="24"/>
        </w:rPr>
        <w:t>en</w:t>
      </w:r>
      <w:r w:rsidR="00622D97" w:rsidRPr="00484DAF">
        <w:rPr>
          <w:sz w:val="24"/>
          <w:szCs w:val="24"/>
        </w:rPr>
        <w:t xml:space="preserve"> daarvan zijn verschoond. </w:t>
      </w:r>
      <w:r w:rsidR="00622D97" w:rsidRPr="00484DAF">
        <w:rPr>
          <w:i/>
          <w:sz w:val="24"/>
          <w:szCs w:val="24"/>
        </w:rPr>
        <w:t>‘</w:t>
      </w:r>
      <w:r w:rsidR="00C40A28" w:rsidRPr="00484DAF">
        <w:rPr>
          <w:i/>
          <w:sz w:val="24"/>
          <w:szCs w:val="24"/>
        </w:rPr>
        <w:t>Dit resultaat wordt niet bereikt indien de levering van een terrein met een geheel of gedeeltelijk gesloopt gebouw vrijgesteld zou zijn: de btw op het slopen zou deel gaan uitmaken van de prijs van het nieuwe gebouw.</w:t>
      </w:r>
      <w:r w:rsidR="00622D97" w:rsidRPr="00484DAF">
        <w:rPr>
          <w:i/>
          <w:sz w:val="24"/>
          <w:szCs w:val="24"/>
        </w:rPr>
        <w:t>’</w:t>
      </w:r>
      <w:r w:rsidR="00622D97" w:rsidRPr="00484DAF">
        <w:rPr>
          <w:rStyle w:val="Voetnootmarkering"/>
          <w:sz w:val="24"/>
          <w:szCs w:val="24"/>
        </w:rPr>
        <w:footnoteReference w:id="266"/>
      </w:r>
      <w:r w:rsidR="00622D97" w:rsidRPr="00484DAF">
        <w:rPr>
          <w:sz w:val="24"/>
          <w:szCs w:val="24"/>
        </w:rPr>
        <w:t xml:space="preserve"> </w:t>
      </w:r>
    </w:p>
    <w:p w:rsidR="00331E9C" w:rsidRPr="00484DAF" w:rsidRDefault="00331E9C" w:rsidP="00CC552D">
      <w:pPr>
        <w:pStyle w:val="Geenafstand"/>
        <w:spacing w:line="360" w:lineRule="auto"/>
        <w:rPr>
          <w:sz w:val="24"/>
          <w:szCs w:val="24"/>
        </w:rPr>
      </w:pPr>
    </w:p>
    <w:p w:rsidR="002A7897" w:rsidRPr="00484DAF" w:rsidRDefault="002A7897" w:rsidP="00CC552D">
      <w:pPr>
        <w:pStyle w:val="Kop3"/>
        <w:spacing w:before="0" w:line="360" w:lineRule="auto"/>
        <w:rPr>
          <w:rFonts w:ascii="Times New Roman" w:hAnsi="Times New Roman"/>
          <w:color w:val="auto"/>
          <w:sz w:val="24"/>
          <w:szCs w:val="24"/>
        </w:rPr>
      </w:pPr>
      <w:bookmarkStart w:id="118" w:name="_Toc254043969"/>
      <w:r w:rsidRPr="00484DAF">
        <w:rPr>
          <w:rFonts w:ascii="Times New Roman" w:hAnsi="Times New Roman"/>
          <w:color w:val="auto"/>
          <w:sz w:val="24"/>
          <w:szCs w:val="24"/>
        </w:rPr>
        <w:t>5.5.3.3 Tweesprong</w:t>
      </w:r>
      <w:bookmarkEnd w:id="118"/>
    </w:p>
    <w:p w:rsidR="00B0710D" w:rsidRPr="00484DAF" w:rsidRDefault="00622D97" w:rsidP="00CC552D">
      <w:pPr>
        <w:spacing w:after="0" w:line="360" w:lineRule="auto"/>
        <w:rPr>
          <w:sz w:val="24"/>
          <w:szCs w:val="24"/>
        </w:rPr>
      </w:pPr>
      <w:r w:rsidRPr="00484DAF">
        <w:rPr>
          <w:sz w:val="24"/>
          <w:szCs w:val="24"/>
        </w:rPr>
        <w:t xml:space="preserve">De Hoge Raad ziet zich hier op een tweesprong. Zoals eerder gemeld is de tekst van het voorstel </w:t>
      </w:r>
      <w:r w:rsidR="00CF0AC6" w:rsidRPr="00484DAF">
        <w:rPr>
          <w:sz w:val="24"/>
          <w:szCs w:val="24"/>
        </w:rPr>
        <w:t xml:space="preserve">om te komen tot de Zesde Richtlijn </w:t>
      </w:r>
      <w:r w:rsidR="00034C9D" w:rsidRPr="00484DAF">
        <w:rPr>
          <w:sz w:val="24"/>
          <w:szCs w:val="24"/>
        </w:rPr>
        <w:t xml:space="preserve">gewijzigd om te luiden zoals bij ons bekend. De Hoge Raad vraagt zich af of de BTW-vrijstelling met betrekking tot levering van onroerend goed nog steeds vanuit het neutraliteitsbeginsel dient te worden uitgelegd. In dat geval zou </w:t>
      </w:r>
      <w:r w:rsidR="00C40A28" w:rsidRPr="00484DAF">
        <w:rPr>
          <w:sz w:val="24"/>
          <w:szCs w:val="24"/>
        </w:rPr>
        <w:t xml:space="preserve">artikel 4, lid 3, </w:t>
      </w:r>
      <w:r w:rsidR="00034C9D" w:rsidRPr="00484DAF">
        <w:rPr>
          <w:sz w:val="24"/>
          <w:szCs w:val="24"/>
        </w:rPr>
        <w:t xml:space="preserve">onderdeel </w:t>
      </w:r>
      <w:r w:rsidR="00C40A28" w:rsidRPr="00484DAF">
        <w:rPr>
          <w:sz w:val="24"/>
          <w:szCs w:val="24"/>
        </w:rPr>
        <w:t>a</w:t>
      </w:r>
      <w:r w:rsidR="00034C9D" w:rsidRPr="00484DAF">
        <w:rPr>
          <w:sz w:val="24"/>
          <w:szCs w:val="24"/>
        </w:rPr>
        <w:t xml:space="preserve"> </w:t>
      </w:r>
      <w:r w:rsidR="00C40A28" w:rsidRPr="00484DAF">
        <w:rPr>
          <w:sz w:val="24"/>
          <w:szCs w:val="24"/>
        </w:rPr>
        <w:t xml:space="preserve">Zesde richtlijn </w:t>
      </w:r>
      <w:r w:rsidR="00034C9D" w:rsidRPr="00484DAF">
        <w:rPr>
          <w:sz w:val="24"/>
          <w:szCs w:val="24"/>
        </w:rPr>
        <w:t xml:space="preserve">op dusdanig wijze worden </w:t>
      </w:r>
      <w:r w:rsidR="00C40A28" w:rsidRPr="00484DAF">
        <w:rPr>
          <w:sz w:val="24"/>
          <w:szCs w:val="24"/>
        </w:rPr>
        <w:t xml:space="preserve">uitgelegd </w:t>
      </w:r>
      <w:r w:rsidR="00081FF8" w:rsidRPr="00484DAF">
        <w:rPr>
          <w:sz w:val="24"/>
          <w:szCs w:val="24"/>
        </w:rPr>
        <w:t xml:space="preserve">dat </w:t>
      </w:r>
      <w:r w:rsidR="00034C9D" w:rsidRPr="00484DAF">
        <w:rPr>
          <w:sz w:val="24"/>
          <w:szCs w:val="24"/>
        </w:rPr>
        <w:t>(mogelijk</w:t>
      </w:r>
      <w:r w:rsidR="007F07AB" w:rsidRPr="00484DAF">
        <w:rPr>
          <w:sz w:val="24"/>
          <w:szCs w:val="24"/>
        </w:rPr>
        <w:t>e</w:t>
      </w:r>
      <w:r w:rsidR="00034C9D" w:rsidRPr="00484DAF">
        <w:rPr>
          <w:sz w:val="24"/>
          <w:szCs w:val="24"/>
        </w:rPr>
        <w:t xml:space="preserve"> verlengde termijn</w:t>
      </w:r>
      <w:r w:rsidR="007F07AB" w:rsidRPr="00484DAF">
        <w:rPr>
          <w:sz w:val="24"/>
          <w:szCs w:val="24"/>
        </w:rPr>
        <w:t>en</w:t>
      </w:r>
      <w:r w:rsidR="00034C9D" w:rsidRPr="00484DAF">
        <w:rPr>
          <w:sz w:val="24"/>
          <w:szCs w:val="24"/>
        </w:rPr>
        <w:t xml:space="preserve"> daargelaten) </w:t>
      </w:r>
      <w:r w:rsidR="00C40A28" w:rsidRPr="00484DAF">
        <w:rPr>
          <w:sz w:val="24"/>
          <w:szCs w:val="24"/>
        </w:rPr>
        <w:t xml:space="preserve">de levering van nieuw </w:t>
      </w:r>
      <w:r w:rsidR="00081FF8" w:rsidRPr="00484DAF">
        <w:rPr>
          <w:sz w:val="24"/>
          <w:szCs w:val="24"/>
        </w:rPr>
        <w:t xml:space="preserve">onroerend goed vanaf het begin van de sloopwerkzaamheden aan </w:t>
      </w:r>
      <w:r w:rsidR="00C40A28" w:rsidRPr="00484DAF">
        <w:rPr>
          <w:sz w:val="24"/>
          <w:szCs w:val="24"/>
        </w:rPr>
        <w:t xml:space="preserve">het oude gebouw tot de eerste levering </w:t>
      </w:r>
      <w:r w:rsidR="003B02E1" w:rsidRPr="00484DAF">
        <w:rPr>
          <w:sz w:val="24"/>
          <w:szCs w:val="24"/>
        </w:rPr>
        <w:t xml:space="preserve">op of </w:t>
      </w:r>
      <w:r w:rsidR="00C40A28" w:rsidRPr="00484DAF">
        <w:rPr>
          <w:sz w:val="24"/>
          <w:szCs w:val="24"/>
        </w:rPr>
        <w:t xml:space="preserve">na eerste </w:t>
      </w:r>
      <w:r w:rsidR="003B02E1" w:rsidRPr="00484DAF">
        <w:rPr>
          <w:sz w:val="24"/>
          <w:szCs w:val="24"/>
        </w:rPr>
        <w:t xml:space="preserve">ingebruikneming is belast met BTW. Daarnaast dient </w:t>
      </w:r>
      <w:r w:rsidR="00C40A28" w:rsidRPr="00484DAF">
        <w:rPr>
          <w:sz w:val="24"/>
          <w:szCs w:val="24"/>
        </w:rPr>
        <w:t xml:space="preserve">artikel 4, lid 3, </w:t>
      </w:r>
      <w:r w:rsidR="003B02E1" w:rsidRPr="00484DAF">
        <w:rPr>
          <w:sz w:val="24"/>
          <w:szCs w:val="24"/>
        </w:rPr>
        <w:t>onderdeel b Zesde Richtlijn (thans artikel 12, lid 1, onderdeel b BTW-richtlijn)</w:t>
      </w:r>
      <w:r w:rsidR="00C40A28" w:rsidRPr="00484DAF">
        <w:rPr>
          <w:sz w:val="24"/>
          <w:szCs w:val="24"/>
        </w:rPr>
        <w:t xml:space="preserve"> </w:t>
      </w:r>
      <w:r w:rsidR="007F07AB" w:rsidRPr="00484DAF">
        <w:rPr>
          <w:sz w:val="24"/>
          <w:szCs w:val="24"/>
        </w:rPr>
        <w:t xml:space="preserve">zo </w:t>
      </w:r>
      <w:r w:rsidR="003B02E1" w:rsidRPr="00484DAF">
        <w:rPr>
          <w:sz w:val="24"/>
          <w:szCs w:val="24"/>
        </w:rPr>
        <w:t xml:space="preserve">te worden uitgelegd dat in de periode eindigend op het moment van eerste levering, maar met inbegrip van de gehele daaraan voorafgaande bouwfase mede wordt begrepen de </w:t>
      </w:r>
      <w:r w:rsidR="00C40A28" w:rsidRPr="00484DAF">
        <w:rPr>
          <w:sz w:val="24"/>
          <w:szCs w:val="24"/>
        </w:rPr>
        <w:t xml:space="preserve">door deze sloop vrijkomende </w:t>
      </w:r>
      <w:r w:rsidR="00C40A28" w:rsidRPr="00484DAF">
        <w:rPr>
          <w:sz w:val="24"/>
          <w:szCs w:val="24"/>
        </w:rPr>
        <w:lastRenderedPageBreak/>
        <w:t>onbebouwde grond.</w:t>
      </w:r>
      <w:r w:rsidR="003B02E1" w:rsidRPr="00484DAF">
        <w:rPr>
          <w:rStyle w:val="Voetnootmarkering"/>
          <w:sz w:val="24"/>
          <w:szCs w:val="24"/>
        </w:rPr>
        <w:footnoteReference w:id="267"/>
      </w:r>
      <w:r w:rsidR="003B02E1" w:rsidRPr="00484DAF">
        <w:rPr>
          <w:sz w:val="24"/>
          <w:szCs w:val="24"/>
        </w:rPr>
        <w:t xml:space="preserve"> De Hoge Raad relativeert dit standpunt door ook op te merken dat feitelijk gezien </w:t>
      </w:r>
      <w:r w:rsidR="00C40A28" w:rsidRPr="00484DAF">
        <w:rPr>
          <w:sz w:val="24"/>
          <w:szCs w:val="24"/>
        </w:rPr>
        <w:t xml:space="preserve">een gedeeltelijk gesloopt gebouw </w:t>
      </w:r>
      <w:r w:rsidR="00872BF6" w:rsidRPr="00484DAF">
        <w:rPr>
          <w:sz w:val="24"/>
          <w:szCs w:val="24"/>
        </w:rPr>
        <w:t xml:space="preserve">(zeker bij geringe sloop zoals in onderhavige casus) </w:t>
      </w:r>
      <w:r w:rsidR="00C40A28" w:rsidRPr="00484DAF">
        <w:rPr>
          <w:sz w:val="24"/>
          <w:szCs w:val="24"/>
        </w:rPr>
        <w:t xml:space="preserve">nog steeds </w:t>
      </w:r>
      <w:r w:rsidR="00872BF6" w:rsidRPr="00484DAF">
        <w:rPr>
          <w:sz w:val="24"/>
          <w:szCs w:val="24"/>
        </w:rPr>
        <w:t xml:space="preserve">te zien is als </w:t>
      </w:r>
      <w:r w:rsidR="00C40A28" w:rsidRPr="00484DAF">
        <w:rPr>
          <w:sz w:val="24"/>
          <w:szCs w:val="24"/>
        </w:rPr>
        <w:t xml:space="preserve">het </w:t>
      </w:r>
      <w:r w:rsidR="00872BF6" w:rsidRPr="00484DAF">
        <w:rPr>
          <w:sz w:val="24"/>
          <w:szCs w:val="24"/>
        </w:rPr>
        <w:t xml:space="preserve">oorspronkelijke gebouw, waardoor aanmerking van het deels gesloopte gebouw als ‘oud onroerend goed’ (ervan uitgaande dat levering plaatsvindt na de gestelde termijn na eerste ingebruikname) ertoe leidt dat </w:t>
      </w:r>
      <w:r w:rsidR="00C40A28" w:rsidRPr="00484DAF">
        <w:rPr>
          <w:sz w:val="24"/>
          <w:szCs w:val="24"/>
        </w:rPr>
        <w:t xml:space="preserve">de levering daarvan </w:t>
      </w:r>
      <w:r w:rsidR="00872BF6" w:rsidRPr="00484DAF">
        <w:rPr>
          <w:sz w:val="24"/>
          <w:szCs w:val="24"/>
        </w:rPr>
        <w:t xml:space="preserve">onder de </w:t>
      </w:r>
      <w:r w:rsidR="007F07AB" w:rsidRPr="00484DAF">
        <w:rPr>
          <w:sz w:val="24"/>
          <w:szCs w:val="24"/>
        </w:rPr>
        <w:t>BTW-</w:t>
      </w:r>
      <w:r w:rsidR="00872BF6" w:rsidRPr="00484DAF">
        <w:rPr>
          <w:sz w:val="24"/>
          <w:szCs w:val="24"/>
        </w:rPr>
        <w:t xml:space="preserve">vrijstelling </w:t>
      </w:r>
      <w:r w:rsidR="007F07AB" w:rsidRPr="00484DAF">
        <w:rPr>
          <w:sz w:val="24"/>
          <w:szCs w:val="24"/>
        </w:rPr>
        <w:t xml:space="preserve">van rechtswege </w:t>
      </w:r>
      <w:r w:rsidR="00331E9C" w:rsidRPr="00484DAF">
        <w:rPr>
          <w:sz w:val="24"/>
          <w:szCs w:val="24"/>
        </w:rPr>
        <w:t>valt.</w:t>
      </w:r>
    </w:p>
    <w:p w:rsidR="00331E9C" w:rsidRPr="00484DAF" w:rsidRDefault="00331E9C" w:rsidP="00CC552D">
      <w:pPr>
        <w:pStyle w:val="Geenafstand"/>
        <w:spacing w:line="360" w:lineRule="auto"/>
        <w:rPr>
          <w:sz w:val="24"/>
          <w:szCs w:val="24"/>
        </w:rPr>
      </w:pPr>
    </w:p>
    <w:p w:rsidR="009939FA" w:rsidRPr="00484DAF" w:rsidRDefault="00872BF6" w:rsidP="00CC552D">
      <w:pPr>
        <w:spacing w:after="0" w:line="360" w:lineRule="auto"/>
        <w:rPr>
          <w:i/>
          <w:sz w:val="24"/>
          <w:szCs w:val="24"/>
        </w:rPr>
      </w:pPr>
      <w:r w:rsidRPr="00484DAF">
        <w:rPr>
          <w:sz w:val="24"/>
          <w:szCs w:val="24"/>
        </w:rPr>
        <w:t xml:space="preserve">Tot slot merkt de Hoge Raad op dat neutraliteit minder een rol speelt wanneer </w:t>
      </w:r>
      <w:r w:rsidR="00C40A28" w:rsidRPr="00484DAF">
        <w:rPr>
          <w:sz w:val="24"/>
          <w:szCs w:val="24"/>
        </w:rPr>
        <w:t xml:space="preserve">niet de </w:t>
      </w:r>
      <w:r w:rsidRPr="00484DAF">
        <w:rPr>
          <w:sz w:val="24"/>
          <w:szCs w:val="24"/>
        </w:rPr>
        <w:t xml:space="preserve">presterende belastingplichtige, maar koper </w:t>
      </w:r>
      <w:r w:rsidR="00C40A28" w:rsidRPr="00484DAF">
        <w:rPr>
          <w:sz w:val="24"/>
          <w:szCs w:val="24"/>
        </w:rPr>
        <w:t xml:space="preserve">opdracht geeft tot de sloop en de kosten </w:t>
      </w:r>
      <w:r w:rsidRPr="00484DAF">
        <w:rPr>
          <w:sz w:val="24"/>
          <w:szCs w:val="24"/>
        </w:rPr>
        <w:t xml:space="preserve">daarvan </w:t>
      </w:r>
      <w:r w:rsidR="007F07AB" w:rsidRPr="00484DAF">
        <w:rPr>
          <w:sz w:val="24"/>
          <w:szCs w:val="24"/>
        </w:rPr>
        <w:t>op zich neemt</w:t>
      </w:r>
      <w:r w:rsidRPr="00484DAF">
        <w:rPr>
          <w:sz w:val="24"/>
          <w:szCs w:val="24"/>
        </w:rPr>
        <w:t xml:space="preserve">. In dat geval levert verkoper immers </w:t>
      </w:r>
      <w:r w:rsidR="0043138E" w:rsidRPr="00484DAF">
        <w:rPr>
          <w:sz w:val="24"/>
          <w:szCs w:val="24"/>
        </w:rPr>
        <w:t xml:space="preserve">een oud gebouw en is het aan koper om met de nieuwbouwplannen aanvang te maken </w:t>
      </w:r>
      <w:r w:rsidR="009A1B54" w:rsidRPr="00484DAF">
        <w:rPr>
          <w:sz w:val="24"/>
          <w:szCs w:val="24"/>
        </w:rPr>
        <w:t xml:space="preserve">door </w:t>
      </w:r>
      <w:r w:rsidR="0043138E" w:rsidRPr="00484DAF">
        <w:rPr>
          <w:sz w:val="24"/>
          <w:szCs w:val="24"/>
        </w:rPr>
        <w:t xml:space="preserve">sloop </w:t>
      </w:r>
      <w:r w:rsidR="009A1B54" w:rsidRPr="00484DAF">
        <w:rPr>
          <w:sz w:val="24"/>
          <w:szCs w:val="24"/>
        </w:rPr>
        <w:t>gevolgd door bouw</w:t>
      </w:r>
      <w:r w:rsidR="0043138E" w:rsidRPr="00484DAF">
        <w:rPr>
          <w:sz w:val="24"/>
          <w:szCs w:val="24"/>
        </w:rPr>
        <w:t xml:space="preserve">. De Zesde Richtlijn (en thans de BTW-richtlijn) lijken zich echter niet te lenen om voor de invulling van </w:t>
      </w:r>
      <w:r w:rsidR="00C40A28" w:rsidRPr="00484DAF">
        <w:rPr>
          <w:sz w:val="24"/>
          <w:szCs w:val="24"/>
        </w:rPr>
        <w:t xml:space="preserve">artikel 4, lid 3 Zesde richtlijn </w:t>
      </w:r>
      <w:r w:rsidR="0043138E" w:rsidRPr="00484DAF">
        <w:rPr>
          <w:i/>
          <w:sz w:val="24"/>
          <w:szCs w:val="24"/>
        </w:rPr>
        <w:t>‘</w:t>
      </w:r>
      <w:r w:rsidR="00C40A28" w:rsidRPr="00484DAF">
        <w:rPr>
          <w:i/>
          <w:sz w:val="24"/>
          <w:szCs w:val="24"/>
        </w:rPr>
        <w:t xml:space="preserve">van iets anders </w:t>
      </w:r>
      <w:r w:rsidR="00FA04D7" w:rsidRPr="00484DAF">
        <w:rPr>
          <w:sz w:val="24"/>
          <w:szCs w:val="24"/>
        </w:rPr>
        <w:t xml:space="preserve">(uit te gaan, MGVV) </w:t>
      </w:r>
      <w:r w:rsidR="00C40A28" w:rsidRPr="00484DAF">
        <w:rPr>
          <w:i/>
          <w:sz w:val="24"/>
          <w:szCs w:val="24"/>
        </w:rPr>
        <w:t>dan uitsluitend de objectieve kenmerken (verschijningsvorm) van het gebouw: er moet objectief gezien sprake zijn van nieuwbouw.</w:t>
      </w:r>
      <w:r w:rsidR="0043138E" w:rsidRPr="00484DAF">
        <w:rPr>
          <w:i/>
          <w:sz w:val="24"/>
          <w:szCs w:val="24"/>
        </w:rPr>
        <w:t>’</w:t>
      </w:r>
      <w:r w:rsidR="0043138E" w:rsidRPr="00484DAF">
        <w:rPr>
          <w:rStyle w:val="Voetnootmarkering"/>
          <w:sz w:val="24"/>
          <w:szCs w:val="24"/>
        </w:rPr>
        <w:footnoteReference w:id="268"/>
      </w:r>
    </w:p>
    <w:p w:rsidR="00331E9C" w:rsidRPr="00484DAF" w:rsidRDefault="00331E9C" w:rsidP="00CC552D">
      <w:pPr>
        <w:pStyle w:val="Geenafstand"/>
        <w:spacing w:line="360" w:lineRule="auto"/>
        <w:rPr>
          <w:sz w:val="24"/>
          <w:szCs w:val="24"/>
        </w:rPr>
      </w:pPr>
    </w:p>
    <w:p w:rsidR="009939FA" w:rsidRPr="00484DAF" w:rsidRDefault="009939FA" w:rsidP="00CC552D">
      <w:pPr>
        <w:pStyle w:val="Kop2"/>
        <w:spacing w:before="0" w:line="360" w:lineRule="auto"/>
        <w:rPr>
          <w:rFonts w:ascii="Times New Roman" w:hAnsi="Times New Roman"/>
          <w:color w:val="auto"/>
          <w:sz w:val="24"/>
          <w:szCs w:val="24"/>
        </w:rPr>
      </w:pPr>
      <w:bookmarkStart w:id="119" w:name="_Toc254043970"/>
      <w:r w:rsidRPr="00484DAF">
        <w:rPr>
          <w:rFonts w:ascii="Times New Roman" w:hAnsi="Times New Roman"/>
          <w:color w:val="auto"/>
          <w:sz w:val="24"/>
          <w:szCs w:val="24"/>
        </w:rPr>
        <w:t>5.5.</w:t>
      </w:r>
      <w:r w:rsidR="00FA04D7" w:rsidRPr="00484DAF">
        <w:rPr>
          <w:rFonts w:ascii="Times New Roman" w:hAnsi="Times New Roman"/>
          <w:color w:val="auto"/>
          <w:sz w:val="24"/>
          <w:szCs w:val="24"/>
        </w:rPr>
        <w:t>4</w:t>
      </w:r>
      <w:r w:rsidRPr="00484DAF">
        <w:rPr>
          <w:rFonts w:ascii="Times New Roman" w:hAnsi="Times New Roman"/>
          <w:color w:val="auto"/>
          <w:sz w:val="24"/>
          <w:szCs w:val="24"/>
        </w:rPr>
        <w:t xml:space="preserve"> </w:t>
      </w:r>
      <w:r w:rsidR="00756D5A" w:rsidRPr="00484DAF">
        <w:rPr>
          <w:rFonts w:ascii="Times New Roman" w:hAnsi="Times New Roman"/>
          <w:color w:val="auto"/>
          <w:sz w:val="24"/>
          <w:szCs w:val="24"/>
        </w:rPr>
        <w:t>Diverse meningen</w:t>
      </w:r>
      <w:bookmarkEnd w:id="119"/>
    </w:p>
    <w:p w:rsidR="00D11C47" w:rsidRPr="00484DAF" w:rsidRDefault="00264B29" w:rsidP="00CC552D">
      <w:pPr>
        <w:pStyle w:val="Geenafstand"/>
        <w:spacing w:line="360" w:lineRule="auto"/>
        <w:rPr>
          <w:sz w:val="24"/>
          <w:szCs w:val="24"/>
        </w:rPr>
      </w:pPr>
      <w:r w:rsidRPr="00484DAF">
        <w:rPr>
          <w:sz w:val="24"/>
          <w:szCs w:val="24"/>
        </w:rPr>
        <w:t xml:space="preserve">De stelling dat de Hoge Raad door deze prejudiciële vragen </w:t>
      </w:r>
      <w:r w:rsidR="00756D5A" w:rsidRPr="00484DAF">
        <w:rPr>
          <w:sz w:val="24"/>
          <w:szCs w:val="24"/>
        </w:rPr>
        <w:t xml:space="preserve">mogelijk </w:t>
      </w:r>
      <w:r w:rsidRPr="00484DAF">
        <w:rPr>
          <w:sz w:val="24"/>
          <w:szCs w:val="24"/>
        </w:rPr>
        <w:t>‘om’ gaat, is wat voorbarig in dezen en wordt dan ook niet in de literatuur geroepen. Feit is wel dat de prejudiciële vragen terecht</w:t>
      </w:r>
      <w:r w:rsidR="00A17A0E" w:rsidRPr="00484DAF">
        <w:rPr>
          <w:rStyle w:val="Voetnootmarkering"/>
          <w:sz w:val="24"/>
          <w:szCs w:val="24"/>
        </w:rPr>
        <w:footnoteReference w:id="269"/>
      </w:r>
      <w:r w:rsidRPr="00484DAF">
        <w:rPr>
          <w:sz w:val="24"/>
          <w:szCs w:val="24"/>
        </w:rPr>
        <w:t xml:space="preserve"> zijn gesteld, omdat bijna een kwart eeuw na </w:t>
      </w:r>
      <w:r w:rsidRPr="00484DAF">
        <w:rPr>
          <w:i/>
          <w:sz w:val="24"/>
          <w:szCs w:val="24"/>
        </w:rPr>
        <w:t>Van Dijk’s Boekhuis</w:t>
      </w:r>
      <w:r w:rsidRPr="00484DAF">
        <w:rPr>
          <w:sz w:val="24"/>
          <w:szCs w:val="24"/>
        </w:rPr>
        <w:t xml:space="preserve"> de huidige inzichten van het HvJ EG inzake vervaardiging getoetst </w:t>
      </w:r>
      <w:r w:rsidR="009A1B54" w:rsidRPr="00484DAF">
        <w:rPr>
          <w:sz w:val="24"/>
          <w:szCs w:val="24"/>
        </w:rPr>
        <w:t xml:space="preserve">kunnen </w:t>
      </w:r>
      <w:r w:rsidR="00374A69" w:rsidRPr="00484DAF">
        <w:rPr>
          <w:sz w:val="24"/>
          <w:szCs w:val="24"/>
        </w:rPr>
        <w:t>worden.</w:t>
      </w:r>
    </w:p>
    <w:p w:rsidR="00331E9C" w:rsidRPr="00484DAF" w:rsidRDefault="00331E9C" w:rsidP="00CC552D">
      <w:pPr>
        <w:pStyle w:val="Geenafstand"/>
        <w:spacing w:line="360" w:lineRule="auto"/>
        <w:rPr>
          <w:sz w:val="24"/>
          <w:szCs w:val="24"/>
        </w:rPr>
      </w:pPr>
    </w:p>
    <w:p w:rsidR="00D11C47" w:rsidRPr="00484DAF" w:rsidRDefault="00D11C47" w:rsidP="00CC552D">
      <w:pPr>
        <w:pStyle w:val="Kop3"/>
        <w:spacing w:before="0" w:line="360" w:lineRule="auto"/>
        <w:rPr>
          <w:rFonts w:ascii="Times New Roman" w:hAnsi="Times New Roman"/>
          <w:color w:val="auto"/>
          <w:sz w:val="24"/>
          <w:szCs w:val="24"/>
        </w:rPr>
      </w:pPr>
      <w:bookmarkStart w:id="120" w:name="_Toc254043971"/>
      <w:r w:rsidRPr="00484DAF">
        <w:rPr>
          <w:rFonts w:ascii="Times New Roman" w:hAnsi="Times New Roman"/>
          <w:color w:val="auto"/>
          <w:sz w:val="24"/>
          <w:szCs w:val="24"/>
        </w:rPr>
        <w:t>5.5.4.1 ‘</w:t>
      </w:r>
      <w:r w:rsidR="00243E97" w:rsidRPr="00484DAF">
        <w:rPr>
          <w:rFonts w:ascii="Times New Roman" w:hAnsi="Times New Roman"/>
          <w:color w:val="auto"/>
          <w:sz w:val="24"/>
          <w:szCs w:val="24"/>
        </w:rPr>
        <w:t>V</w:t>
      </w:r>
      <w:r w:rsidRPr="00484DAF">
        <w:rPr>
          <w:rFonts w:ascii="Times New Roman" w:hAnsi="Times New Roman"/>
          <w:color w:val="auto"/>
          <w:sz w:val="24"/>
          <w:szCs w:val="24"/>
        </w:rPr>
        <w:t>óór (…) eerste ingebruikneming’ of</w:t>
      </w:r>
      <w:r w:rsidR="00D417EA" w:rsidRPr="00484DAF">
        <w:rPr>
          <w:rFonts w:ascii="Times New Roman" w:hAnsi="Times New Roman"/>
          <w:color w:val="auto"/>
          <w:sz w:val="24"/>
          <w:szCs w:val="24"/>
        </w:rPr>
        <w:t xml:space="preserve"> </w:t>
      </w:r>
      <w:r w:rsidRPr="00484DAF">
        <w:rPr>
          <w:rFonts w:ascii="Times New Roman" w:hAnsi="Times New Roman"/>
          <w:color w:val="auto"/>
          <w:sz w:val="24"/>
          <w:szCs w:val="24"/>
        </w:rPr>
        <w:t>‘voor (…) eerste ingebruikneming’</w:t>
      </w:r>
      <w:r w:rsidR="00CF59A8" w:rsidRPr="00484DAF">
        <w:rPr>
          <w:rFonts w:ascii="Times New Roman" w:hAnsi="Times New Roman"/>
          <w:color w:val="auto"/>
          <w:sz w:val="24"/>
          <w:szCs w:val="24"/>
        </w:rPr>
        <w:t>?</w:t>
      </w:r>
      <w:bookmarkEnd w:id="120"/>
    </w:p>
    <w:p w:rsidR="00243E97" w:rsidRPr="00484DAF" w:rsidRDefault="00756D5A" w:rsidP="00CC552D">
      <w:pPr>
        <w:pStyle w:val="Geenafstand"/>
        <w:spacing w:line="360" w:lineRule="auto"/>
        <w:rPr>
          <w:sz w:val="24"/>
          <w:szCs w:val="24"/>
        </w:rPr>
      </w:pPr>
      <w:r w:rsidRPr="00484DAF">
        <w:rPr>
          <w:sz w:val="24"/>
          <w:szCs w:val="24"/>
        </w:rPr>
        <w:t>Met betrekking tot dit arrest verdient het allereerst opmerking dat het oordeel van Hof Amsterdam dat geen sprake was van vervaardiging (zoals ingevuld in Ned</w:t>
      </w:r>
      <w:r w:rsidR="007F07AB" w:rsidRPr="00484DAF">
        <w:rPr>
          <w:sz w:val="24"/>
          <w:szCs w:val="24"/>
        </w:rPr>
        <w:t>erlandse jurisprudentie) geheel</w:t>
      </w:r>
      <w:r w:rsidRPr="00484DAF">
        <w:rPr>
          <w:sz w:val="24"/>
          <w:szCs w:val="24"/>
        </w:rPr>
        <w:t xml:space="preserve"> juist is aangezien enkel (geringe) sloopwerkzaamheden zijn uitgevoerd</w:t>
      </w:r>
      <w:r w:rsidR="00C439F3" w:rsidRPr="00484DAF">
        <w:rPr>
          <w:sz w:val="24"/>
          <w:szCs w:val="24"/>
        </w:rPr>
        <w:t xml:space="preserve">. Echter, achteraf gezien zijn op de plek waar oorspronkelijk de school en het internaat stonden wel degelijke nieuwe kantoorpanden gerealiseerd. Derhalve constateert </w:t>
      </w:r>
      <w:r w:rsidR="00C439F3" w:rsidRPr="00484DAF">
        <w:rPr>
          <w:i/>
          <w:sz w:val="24"/>
          <w:szCs w:val="24"/>
        </w:rPr>
        <w:t xml:space="preserve">Van Zadelhoff </w:t>
      </w:r>
      <w:r w:rsidR="00C439F3" w:rsidRPr="00484DAF">
        <w:rPr>
          <w:rStyle w:val="Voetnootmarkering"/>
          <w:sz w:val="24"/>
          <w:szCs w:val="24"/>
        </w:rPr>
        <w:footnoteReference w:id="270"/>
      </w:r>
      <w:r w:rsidR="00C439F3" w:rsidRPr="00484DAF">
        <w:rPr>
          <w:sz w:val="24"/>
          <w:szCs w:val="24"/>
        </w:rPr>
        <w:t xml:space="preserve"> terecht dat de levering plaat</w:t>
      </w:r>
      <w:r w:rsidR="00CF0AC6" w:rsidRPr="00484DAF">
        <w:rPr>
          <w:sz w:val="24"/>
          <w:szCs w:val="24"/>
        </w:rPr>
        <w:t>s</w:t>
      </w:r>
      <w:r w:rsidR="00C439F3" w:rsidRPr="00484DAF">
        <w:rPr>
          <w:sz w:val="24"/>
          <w:szCs w:val="24"/>
        </w:rPr>
        <w:t xml:space="preserve">vond </w:t>
      </w:r>
      <w:r w:rsidRPr="00484DAF">
        <w:rPr>
          <w:sz w:val="24"/>
          <w:szCs w:val="24"/>
        </w:rPr>
        <w:t>voorafgaand aan de ing</w:t>
      </w:r>
      <w:r w:rsidR="00C439F3" w:rsidRPr="00484DAF">
        <w:rPr>
          <w:sz w:val="24"/>
          <w:szCs w:val="24"/>
        </w:rPr>
        <w:t>ebruikname</w:t>
      </w:r>
      <w:r w:rsidRPr="00484DAF">
        <w:rPr>
          <w:sz w:val="24"/>
          <w:szCs w:val="24"/>
        </w:rPr>
        <w:t xml:space="preserve"> van nieuwe</w:t>
      </w:r>
      <w:r w:rsidR="00C439F3" w:rsidRPr="00484DAF">
        <w:rPr>
          <w:sz w:val="24"/>
          <w:szCs w:val="24"/>
        </w:rPr>
        <w:t xml:space="preserve"> onroerend goed</w:t>
      </w:r>
      <w:r w:rsidRPr="00484DAF">
        <w:rPr>
          <w:sz w:val="24"/>
          <w:szCs w:val="24"/>
        </w:rPr>
        <w:t>.</w:t>
      </w:r>
      <w:r w:rsidR="00C439F3" w:rsidRPr="00484DAF">
        <w:rPr>
          <w:sz w:val="24"/>
          <w:szCs w:val="24"/>
        </w:rPr>
        <w:t xml:space="preserve"> Hij vraagt zich dan ook af </w:t>
      </w:r>
      <w:r w:rsidR="00C439F3" w:rsidRPr="00484DAF">
        <w:rPr>
          <w:i/>
          <w:sz w:val="24"/>
          <w:szCs w:val="24"/>
        </w:rPr>
        <w:t>‘</w:t>
      </w:r>
      <w:r w:rsidRPr="00484DAF">
        <w:rPr>
          <w:i/>
          <w:sz w:val="24"/>
          <w:szCs w:val="24"/>
        </w:rPr>
        <w:t xml:space="preserve">in welk stadium van een proces van sloop en </w:t>
      </w:r>
      <w:r w:rsidRPr="00484DAF">
        <w:rPr>
          <w:i/>
          <w:sz w:val="24"/>
          <w:szCs w:val="24"/>
        </w:rPr>
        <w:lastRenderedPageBreak/>
        <w:t>daaropvolgende nieuwbouw, de levering van een gebouw en het erbij behorende terrein van rechtswege belast is met BTW.</w:t>
      </w:r>
      <w:r w:rsidR="00C439F3" w:rsidRPr="00484DAF">
        <w:rPr>
          <w:i/>
          <w:sz w:val="24"/>
          <w:szCs w:val="24"/>
        </w:rPr>
        <w:t>’</w:t>
      </w:r>
      <w:r w:rsidRPr="00484DAF">
        <w:rPr>
          <w:sz w:val="24"/>
          <w:szCs w:val="24"/>
        </w:rPr>
        <w:t xml:space="preserve"> </w:t>
      </w:r>
      <w:r w:rsidR="00C439F3" w:rsidRPr="00484DAF">
        <w:rPr>
          <w:sz w:val="24"/>
          <w:szCs w:val="24"/>
        </w:rPr>
        <w:t>Immers,</w:t>
      </w:r>
      <w:r w:rsidR="00534389" w:rsidRPr="00484DAF">
        <w:rPr>
          <w:sz w:val="24"/>
          <w:szCs w:val="24"/>
        </w:rPr>
        <w:t xml:space="preserve"> </w:t>
      </w:r>
      <w:r w:rsidR="004E1220" w:rsidRPr="00484DAF">
        <w:rPr>
          <w:sz w:val="24"/>
          <w:szCs w:val="24"/>
        </w:rPr>
        <w:t xml:space="preserve">uit de overweging van de Hoge Raad </w:t>
      </w:r>
      <w:r w:rsidR="00534389" w:rsidRPr="00484DAF">
        <w:rPr>
          <w:sz w:val="24"/>
          <w:szCs w:val="24"/>
        </w:rPr>
        <w:t xml:space="preserve">kan ook worden gelezen dat het begrip ‘vóór’ in ‘vóór, op of uiterlijk twee jaren na het tijdstip van eerst ingebruikneming’ mede duidt op de sloopfase voorafgaand aan de nieuwbouw. </w:t>
      </w:r>
      <w:r w:rsidR="00243E97" w:rsidRPr="00484DAF">
        <w:rPr>
          <w:sz w:val="24"/>
          <w:szCs w:val="24"/>
        </w:rPr>
        <w:t xml:space="preserve">Mogelijk is er een verschil tussen ‘vóór’ en ‘voor’, waarbij de laatste een minder ver teruggaande termijn duidt. </w:t>
      </w:r>
      <w:r w:rsidR="00534389" w:rsidRPr="00484DAF">
        <w:rPr>
          <w:sz w:val="24"/>
          <w:szCs w:val="24"/>
        </w:rPr>
        <w:t>Een extra hindernis wordt echter opgeworpen doordat</w:t>
      </w:r>
      <w:r w:rsidR="00C439F3" w:rsidRPr="00484DAF">
        <w:rPr>
          <w:sz w:val="24"/>
          <w:szCs w:val="24"/>
        </w:rPr>
        <w:t xml:space="preserve"> gedurende dat proces ook onbebouwde grond </w:t>
      </w:r>
      <w:r w:rsidR="00534389" w:rsidRPr="00484DAF">
        <w:rPr>
          <w:sz w:val="24"/>
          <w:szCs w:val="24"/>
        </w:rPr>
        <w:t xml:space="preserve">kan </w:t>
      </w:r>
      <w:r w:rsidR="00C439F3" w:rsidRPr="00484DAF">
        <w:rPr>
          <w:sz w:val="24"/>
          <w:szCs w:val="24"/>
        </w:rPr>
        <w:t>ontstaan, welke levering bij voldoening aan gestelde criteria van rechtswege wordt belast met BTW.</w:t>
      </w:r>
      <w:r w:rsidR="00C439F3" w:rsidRPr="00484DAF">
        <w:rPr>
          <w:rStyle w:val="Voetnootmarkering"/>
          <w:sz w:val="24"/>
          <w:szCs w:val="24"/>
        </w:rPr>
        <w:footnoteReference w:id="271"/>
      </w:r>
      <w:r w:rsidR="00534389" w:rsidRPr="00484DAF">
        <w:rPr>
          <w:sz w:val="24"/>
          <w:szCs w:val="24"/>
        </w:rPr>
        <w:t xml:space="preserve"> Derhalve zou een samenloop van regimes kunnen pl</w:t>
      </w:r>
      <w:r w:rsidR="00331E9C" w:rsidRPr="00484DAF">
        <w:rPr>
          <w:sz w:val="24"/>
          <w:szCs w:val="24"/>
        </w:rPr>
        <w:t>aatsvinden.</w:t>
      </w:r>
    </w:p>
    <w:p w:rsidR="00331E9C" w:rsidRPr="00484DAF" w:rsidRDefault="00331E9C" w:rsidP="00CC552D">
      <w:pPr>
        <w:pStyle w:val="Geenafstand"/>
        <w:spacing w:line="360" w:lineRule="auto"/>
        <w:rPr>
          <w:sz w:val="24"/>
          <w:szCs w:val="24"/>
        </w:rPr>
      </w:pPr>
    </w:p>
    <w:p w:rsidR="00243E97" w:rsidRPr="00484DAF" w:rsidRDefault="00243E97" w:rsidP="00CC552D">
      <w:pPr>
        <w:pStyle w:val="Kop3"/>
        <w:spacing w:before="0" w:line="360" w:lineRule="auto"/>
        <w:rPr>
          <w:rFonts w:ascii="Times New Roman" w:hAnsi="Times New Roman"/>
          <w:color w:val="auto"/>
          <w:sz w:val="24"/>
          <w:szCs w:val="24"/>
        </w:rPr>
      </w:pPr>
      <w:bookmarkStart w:id="121" w:name="_Toc254043972"/>
      <w:r w:rsidRPr="00484DAF">
        <w:rPr>
          <w:rFonts w:ascii="Times New Roman" w:hAnsi="Times New Roman"/>
          <w:color w:val="auto"/>
          <w:sz w:val="24"/>
          <w:szCs w:val="24"/>
        </w:rPr>
        <w:t>5.5.4.2 Prejudiciële vragen (on)nodig</w:t>
      </w:r>
      <w:r w:rsidR="00CF0AC6" w:rsidRPr="00484DAF">
        <w:rPr>
          <w:rFonts w:ascii="Times New Roman" w:hAnsi="Times New Roman"/>
          <w:color w:val="auto"/>
          <w:sz w:val="24"/>
          <w:szCs w:val="24"/>
        </w:rPr>
        <w:t>?</w:t>
      </w:r>
      <w:bookmarkEnd w:id="121"/>
    </w:p>
    <w:p w:rsidR="00CC63CC" w:rsidRPr="00484DAF" w:rsidRDefault="00534389" w:rsidP="00CC552D">
      <w:pPr>
        <w:pStyle w:val="Geenafstand"/>
        <w:spacing w:line="360" w:lineRule="auto"/>
        <w:rPr>
          <w:sz w:val="24"/>
          <w:szCs w:val="24"/>
        </w:rPr>
      </w:pPr>
      <w:r w:rsidRPr="00484DAF">
        <w:rPr>
          <w:sz w:val="24"/>
          <w:szCs w:val="24"/>
        </w:rPr>
        <w:t>Het bevreemdt op het eerste oog dat de Hoge Raad prejudiciële vragen stelt.</w:t>
      </w:r>
      <w:r w:rsidR="00243E97" w:rsidRPr="00484DAF">
        <w:rPr>
          <w:sz w:val="24"/>
          <w:szCs w:val="24"/>
        </w:rPr>
        <w:t xml:space="preserve"> </w:t>
      </w:r>
      <w:r w:rsidR="00B11699" w:rsidRPr="00484DAF">
        <w:rPr>
          <w:sz w:val="24"/>
          <w:szCs w:val="24"/>
        </w:rPr>
        <w:t xml:space="preserve">Allereerst wanneer we terugkijken op binnenlandse jurisprudentie. </w:t>
      </w:r>
      <w:r w:rsidRPr="00484DAF">
        <w:rPr>
          <w:sz w:val="24"/>
          <w:szCs w:val="24"/>
        </w:rPr>
        <w:t xml:space="preserve">De casus lijkt </w:t>
      </w:r>
      <w:r w:rsidR="00752DB0" w:rsidRPr="00484DAF">
        <w:rPr>
          <w:sz w:val="24"/>
          <w:szCs w:val="24"/>
        </w:rPr>
        <w:t xml:space="preserve">aanvankelijk </w:t>
      </w:r>
      <w:r w:rsidRPr="00484DAF">
        <w:rPr>
          <w:sz w:val="24"/>
          <w:szCs w:val="24"/>
        </w:rPr>
        <w:t>vergelijkbaar met het Garagearrest waarin</w:t>
      </w:r>
      <w:r w:rsidR="0068534A" w:rsidRPr="00484DAF">
        <w:rPr>
          <w:sz w:val="24"/>
          <w:szCs w:val="24"/>
        </w:rPr>
        <w:t xml:space="preserve"> de Hoge Raad duidelijkheid</w:t>
      </w:r>
      <w:r w:rsidR="00B00E2C" w:rsidRPr="00484DAF">
        <w:rPr>
          <w:sz w:val="24"/>
          <w:szCs w:val="24"/>
        </w:rPr>
        <w:t xml:space="preserve"> </w:t>
      </w:r>
      <w:r w:rsidR="0068534A" w:rsidRPr="00484DAF">
        <w:rPr>
          <w:sz w:val="24"/>
          <w:szCs w:val="24"/>
        </w:rPr>
        <w:t xml:space="preserve">schept </w:t>
      </w:r>
      <w:r w:rsidR="00CC63CC" w:rsidRPr="00484DAF">
        <w:rPr>
          <w:sz w:val="24"/>
          <w:szCs w:val="24"/>
        </w:rPr>
        <w:t xml:space="preserve">over zijn </w:t>
      </w:r>
      <w:r w:rsidR="004E1220" w:rsidRPr="00484DAF">
        <w:rPr>
          <w:sz w:val="24"/>
          <w:szCs w:val="24"/>
        </w:rPr>
        <w:t>be</w:t>
      </w:r>
      <w:r w:rsidR="00CC63CC" w:rsidRPr="00484DAF">
        <w:rPr>
          <w:sz w:val="24"/>
          <w:szCs w:val="24"/>
        </w:rPr>
        <w:t xml:space="preserve">vinding dat sloopwerkzaamheden niet tot gevolg kunnen hebben dat een gebouw tijdens of na de sloop voor het eerst in gebruik wordt genomen ‘(…) </w:t>
      </w:r>
      <w:r w:rsidRPr="00484DAF">
        <w:rPr>
          <w:i/>
          <w:sz w:val="24"/>
          <w:szCs w:val="24"/>
        </w:rPr>
        <w:t>ongeacht of de werkzaamheden meer of minder ingrijpend zijn en ongeacht of deze gericht zijn op volledige afbraak dan wel de aanzet zijn tot een verbouwing (…).’</w:t>
      </w:r>
      <w:r w:rsidRPr="00484DAF">
        <w:rPr>
          <w:rStyle w:val="Voetnootmarkering"/>
          <w:sz w:val="24"/>
          <w:szCs w:val="24"/>
        </w:rPr>
        <w:footnoteReference w:id="272"/>
      </w:r>
      <w:r w:rsidR="00706390" w:rsidRPr="00484DAF">
        <w:rPr>
          <w:sz w:val="24"/>
          <w:szCs w:val="24"/>
        </w:rPr>
        <w:t xml:space="preserve"> Lezen we verder</w:t>
      </w:r>
      <w:r w:rsidR="0068534A" w:rsidRPr="00484DAF">
        <w:rPr>
          <w:sz w:val="24"/>
          <w:szCs w:val="24"/>
        </w:rPr>
        <w:t>,</w:t>
      </w:r>
      <w:r w:rsidR="00706390" w:rsidRPr="00484DAF">
        <w:rPr>
          <w:sz w:val="24"/>
          <w:szCs w:val="24"/>
        </w:rPr>
        <w:t xml:space="preserve"> dan zien we dat gezien de vele haken en ogen beantwoording van de vragen zeker nodig is. </w:t>
      </w:r>
      <w:r w:rsidR="00CC63CC" w:rsidRPr="00484DAF">
        <w:rPr>
          <w:i/>
          <w:sz w:val="24"/>
          <w:szCs w:val="24"/>
        </w:rPr>
        <w:t xml:space="preserve">Van Zadelhoff </w:t>
      </w:r>
      <w:r w:rsidR="00CC63CC" w:rsidRPr="00484DAF">
        <w:rPr>
          <w:sz w:val="24"/>
          <w:szCs w:val="24"/>
        </w:rPr>
        <w:t xml:space="preserve">merkt in zijn noot eveneens op dat hij </w:t>
      </w:r>
      <w:r w:rsidR="00C73CBE" w:rsidRPr="00484DAF">
        <w:rPr>
          <w:sz w:val="24"/>
          <w:szCs w:val="24"/>
        </w:rPr>
        <w:t xml:space="preserve">dit </w:t>
      </w:r>
      <w:r w:rsidR="00CC63CC" w:rsidRPr="00484DAF">
        <w:rPr>
          <w:sz w:val="24"/>
          <w:szCs w:val="24"/>
        </w:rPr>
        <w:t>terecht vindt</w:t>
      </w:r>
      <w:r w:rsidR="004E1220" w:rsidRPr="00484DAF">
        <w:rPr>
          <w:sz w:val="24"/>
          <w:szCs w:val="24"/>
        </w:rPr>
        <w:t xml:space="preserve">. Daarbij acht </w:t>
      </w:r>
      <w:r w:rsidR="00752DB0" w:rsidRPr="00484DAF">
        <w:rPr>
          <w:sz w:val="24"/>
          <w:szCs w:val="24"/>
        </w:rPr>
        <w:t xml:space="preserve">de auteur </w:t>
      </w:r>
      <w:r w:rsidR="004E1220" w:rsidRPr="00484DAF">
        <w:rPr>
          <w:sz w:val="24"/>
          <w:szCs w:val="24"/>
        </w:rPr>
        <w:t xml:space="preserve">juist </w:t>
      </w:r>
      <w:r w:rsidR="00CC63CC" w:rsidRPr="00484DAF">
        <w:rPr>
          <w:sz w:val="24"/>
          <w:szCs w:val="24"/>
        </w:rPr>
        <w:t xml:space="preserve">dat de Hoge Raad zijn vragen koppelt aan het moment van de levering en niet aan het begrip bouwterrein. Mijns inziens zouden beide aspecten </w:t>
      </w:r>
      <w:r w:rsidR="004E1220" w:rsidRPr="00484DAF">
        <w:rPr>
          <w:sz w:val="24"/>
          <w:szCs w:val="24"/>
        </w:rPr>
        <w:t xml:space="preserve">tezamen </w:t>
      </w:r>
      <w:r w:rsidR="00CC63CC" w:rsidRPr="00484DAF">
        <w:rPr>
          <w:sz w:val="24"/>
          <w:szCs w:val="24"/>
        </w:rPr>
        <w:t xml:space="preserve">in de overwegingen moeten worden meegenomen. Ten eerste vanwege de eerder genoemde mogelijkheid dat gedurende het sloopproces als bouwterrein dienstdoende onbebouwde grond ontstaat. Ten tweede omdat </w:t>
      </w:r>
      <w:r w:rsidR="00755796" w:rsidRPr="00484DAF">
        <w:rPr>
          <w:sz w:val="24"/>
          <w:szCs w:val="24"/>
        </w:rPr>
        <w:t xml:space="preserve">wellicht een ruimere invulling </w:t>
      </w:r>
      <w:r w:rsidR="004E1220" w:rsidRPr="00484DAF">
        <w:rPr>
          <w:sz w:val="24"/>
          <w:szCs w:val="24"/>
        </w:rPr>
        <w:t xml:space="preserve">van het begrip bouwterrein </w:t>
      </w:r>
      <w:r w:rsidR="00755796" w:rsidRPr="00484DAF">
        <w:rPr>
          <w:sz w:val="24"/>
          <w:szCs w:val="24"/>
        </w:rPr>
        <w:t>door de Nederlandse wetgever mogelijk is dan nu wordt aangenomen</w:t>
      </w:r>
      <w:r w:rsidR="00755796" w:rsidRPr="00484DAF">
        <w:rPr>
          <w:rStyle w:val="Voetnootmarkering"/>
          <w:sz w:val="24"/>
          <w:szCs w:val="24"/>
        </w:rPr>
        <w:footnoteReference w:id="273"/>
      </w:r>
      <w:r w:rsidR="00755796" w:rsidRPr="00484DAF">
        <w:rPr>
          <w:sz w:val="24"/>
          <w:szCs w:val="24"/>
        </w:rPr>
        <w:t xml:space="preserve">. De Hoge Raad kwalificeert </w:t>
      </w:r>
      <w:r w:rsidR="00243E97" w:rsidRPr="00484DAF">
        <w:rPr>
          <w:sz w:val="24"/>
          <w:szCs w:val="24"/>
        </w:rPr>
        <w:t xml:space="preserve">tenslotte </w:t>
      </w:r>
      <w:r w:rsidR="00755796" w:rsidRPr="00484DAF">
        <w:rPr>
          <w:sz w:val="24"/>
          <w:szCs w:val="24"/>
        </w:rPr>
        <w:t xml:space="preserve">als opvallend dat </w:t>
      </w:r>
      <w:r w:rsidR="00755796" w:rsidRPr="00484DAF">
        <w:rPr>
          <w:i/>
          <w:sz w:val="24"/>
          <w:szCs w:val="24"/>
        </w:rPr>
        <w:t>‘in het voorstel tot bouwterreinen gerekend worden terreinen met gebouwen in aanbouw of met gebouwen die voor sloop bestemd zijn.’</w:t>
      </w:r>
      <w:r w:rsidR="00755796" w:rsidRPr="00484DAF">
        <w:rPr>
          <w:rStyle w:val="Voetnootmarkering"/>
          <w:sz w:val="24"/>
          <w:szCs w:val="24"/>
        </w:rPr>
        <w:footnoteReference w:id="274"/>
      </w:r>
      <w:r w:rsidR="00D87A66" w:rsidRPr="00484DAF">
        <w:rPr>
          <w:sz w:val="24"/>
          <w:szCs w:val="24"/>
        </w:rPr>
        <w:t xml:space="preserve"> Door het verleggen van de focus van ‘vervaardiging’ (ofwel het Garagearrest) naar de vraag of een bouwterrein wordt geleverd, vertoont de voorliggende zaak eerder gelijkenissen met het Jeugdhonkarrest. Daar was immers ook in geding of sprake was </w:t>
      </w:r>
      <w:r w:rsidR="00D87A66" w:rsidRPr="00484DAF">
        <w:rPr>
          <w:sz w:val="24"/>
          <w:szCs w:val="24"/>
        </w:rPr>
        <w:lastRenderedPageBreak/>
        <w:t>van een bouwterrein en nam de Hoge Raad duidelijke stelling in.</w:t>
      </w:r>
      <w:r w:rsidR="00B11699" w:rsidRPr="00484DAF">
        <w:rPr>
          <w:sz w:val="24"/>
          <w:szCs w:val="24"/>
        </w:rPr>
        <w:t xml:space="preserve"> Echter, vragen omtrent de reikwijdte van het begrip bouwterrein lijken op voorhand doelloos, omdat jurisprudentie van het HvJ EG </w:t>
      </w:r>
      <w:r w:rsidR="00752DB0" w:rsidRPr="00484DAF">
        <w:rPr>
          <w:sz w:val="24"/>
          <w:szCs w:val="24"/>
        </w:rPr>
        <w:t xml:space="preserve">uitwijst </w:t>
      </w:r>
      <w:r w:rsidR="00B11699" w:rsidRPr="00484DAF">
        <w:rPr>
          <w:sz w:val="24"/>
          <w:szCs w:val="24"/>
        </w:rPr>
        <w:t>dat het begrip ‘bouwterrein’ een communautair begrip is welke volledig door de EU-lidstaten wordt ingevuld.</w:t>
      </w:r>
    </w:p>
    <w:p w:rsidR="00C73CBE" w:rsidRPr="00484DAF" w:rsidRDefault="00C73CBE" w:rsidP="00CC552D">
      <w:pPr>
        <w:pStyle w:val="Geenafstand"/>
        <w:spacing w:line="360" w:lineRule="auto"/>
        <w:rPr>
          <w:sz w:val="24"/>
          <w:szCs w:val="24"/>
        </w:rPr>
      </w:pPr>
    </w:p>
    <w:p w:rsidR="00CC63CC" w:rsidRPr="00484DAF" w:rsidRDefault="00243E97" w:rsidP="00CC552D">
      <w:pPr>
        <w:pStyle w:val="Kop3"/>
        <w:spacing w:before="0" w:line="360" w:lineRule="auto"/>
        <w:rPr>
          <w:rFonts w:ascii="Times New Roman" w:hAnsi="Times New Roman"/>
          <w:color w:val="auto"/>
          <w:sz w:val="24"/>
          <w:szCs w:val="24"/>
        </w:rPr>
      </w:pPr>
      <w:bookmarkStart w:id="122" w:name="_Toc254043973"/>
      <w:r w:rsidRPr="00484DAF">
        <w:rPr>
          <w:rFonts w:ascii="Times New Roman" w:hAnsi="Times New Roman"/>
          <w:color w:val="auto"/>
          <w:sz w:val="24"/>
          <w:szCs w:val="24"/>
        </w:rPr>
        <w:t>5.5.4.3 Sloop als bepalend criterium</w:t>
      </w:r>
      <w:bookmarkEnd w:id="122"/>
    </w:p>
    <w:p w:rsidR="00243E97" w:rsidRPr="00484DAF" w:rsidRDefault="00B4778D" w:rsidP="00CC552D">
      <w:pPr>
        <w:spacing w:after="0" w:line="360" w:lineRule="auto"/>
        <w:rPr>
          <w:sz w:val="24"/>
          <w:szCs w:val="24"/>
        </w:rPr>
      </w:pPr>
      <w:r w:rsidRPr="00484DAF">
        <w:rPr>
          <w:sz w:val="24"/>
          <w:szCs w:val="24"/>
        </w:rPr>
        <w:t xml:space="preserve">De Hoge Raad lijkt erop aan te sturen dat de vordering van de sloop of het karakter ervan een bepalend criterium wordt in de vraag of een nieuw gebouw wordt vervaardigd. </w:t>
      </w:r>
      <w:r w:rsidRPr="00484DAF">
        <w:rPr>
          <w:i/>
          <w:sz w:val="24"/>
          <w:szCs w:val="24"/>
        </w:rPr>
        <w:t>Eryilmaz</w:t>
      </w:r>
      <w:r w:rsidRPr="00484DAF">
        <w:rPr>
          <w:rStyle w:val="Voetnootmarkering"/>
          <w:i/>
          <w:sz w:val="24"/>
          <w:szCs w:val="24"/>
        </w:rPr>
        <w:footnoteReference w:id="275"/>
      </w:r>
      <w:r w:rsidRPr="00484DAF">
        <w:rPr>
          <w:sz w:val="24"/>
          <w:szCs w:val="24"/>
        </w:rPr>
        <w:t xml:space="preserve"> voorziet wat dat betreft onwenselijke gevolgen voor de (sloop)praktijk. Bij de huidige stand van wetgeving kan BTW op sloopkosten in het kader van levering van “oude” gebouwen niet in aftrek worden gebracht</w:t>
      </w:r>
      <w:r w:rsidR="00EB7D6A" w:rsidRPr="00484DAF">
        <w:rPr>
          <w:sz w:val="24"/>
          <w:szCs w:val="24"/>
        </w:rPr>
        <w:t xml:space="preserve"> door de verkopende partij</w:t>
      </w:r>
      <w:r w:rsidRPr="00484DAF">
        <w:rPr>
          <w:sz w:val="24"/>
          <w:szCs w:val="24"/>
        </w:rPr>
        <w:t xml:space="preserve">, omdat ze betrekking hebben op een vrijgestelde levering. </w:t>
      </w:r>
      <w:r w:rsidR="00EB7D6A" w:rsidRPr="00484DAF">
        <w:rPr>
          <w:sz w:val="24"/>
          <w:szCs w:val="24"/>
        </w:rPr>
        <w:t>Anders is h</w:t>
      </w:r>
      <w:r w:rsidR="00C73CBE" w:rsidRPr="00484DAF">
        <w:rPr>
          <w:sz w:val="24"/>
          <w:szCs w:val="24"/>
        </w:rPr>
        <w:t>et wanneer sloopwerkzaamheden voor</w:t>
      </w:r>
      <w:r w:rsidR="00EB7D6A" w:rsidRPr="00484DAF">
        <w:rPr>
          <w:sz w:val="24"/>
          <w:szCs w:val="24"/>
        </w:rPr>
        <w:t xml:space="preserve"> rekening en risico van de kopende partij plaatsvinden. Beide situaties zijn gelijk te stellen door de intentie achter het slopen doorslaggevende betekenis toe te kennen. </w:t>
      </w:r>
      <w:r w:rsidRPr="00484DAF">
        <w:rPr>
          <w:sz w:val="24"/>
          <w:szCs w:val="24"/>
        </w:rPr>
        <w:t xml:space="preserve">Indien </w:t>
      </w:r>
      <w:r w:rsidR="00587E44" w:rsidRPr="00484DAF">
        <w:rPr>
          <w:sz w:val="24"/>
          <w:szCs w:val="24"/>
        </w:rPr>
        <w:t xml:space="preserve">het oogmerk van slopen bepalend </w:t>
      </w:r>
      <w:r w:rsidR="00EB7D6A" w:rsidRPr="00484DAF">
        <w:rPr>
          <w:sz w:val="24"/>
          <w:szCs w:val="24"/>
        </w:rPr>
        <w:t>is</w:t>
      </w:r>
      <w:r w:rsidR="00587E44" w:rsidRPr="00484DAF">
        <w:rPr>
          <w:sz w:val="24"/>
          <w:szCs w:val="24"/>
        </w:rPr>
        <w:t>, kan voor sloopwerkzaamheden met het oog op bebouwing wel de voldane BTW in vooraftrek worden gebracht</w:t>
      </w:r>
      <w:r w:rsidR="00C73CBE" w:rsidRPr="00484DAF">
        <w:rPr>
          <w:sz w:val="24"/>
          <w:szCs w:val="24"/>
        </w:rPr>
        <w:t xml:space="preserve"> door de verkopende partij</w:t>
      </w:r>
      <w:r w:rsidR="00587E44" w:rsidRPr="00484DAF">
        <w:rPr>
          <w:sz w:val="24"/>
          <w:szCs w:val="24"/>
        </w:rPr>
        <w:t>.</w:t>
      </w:r>
      <w:r w:rsidR="00FF59F5" w:rsidRPr="00484DAF">
        <w:rPr>
          <w:sz w:val="24"/>
          <w:szCs w:val="24"/>
        </w:rPr>
        <w:t xml:space="preserve"> </w:t>
      </w:r>
      <w:r w:rsidR="00EB7D6A" w:rsidRPr="00484DAF">
        <w:rPr>
          <w:sz w:val="24"/>
          <w:szCs w:val="24"/>
        </w:rPr>
        <w:t xml:space="preserve">Dit strookt tevens met het neutraliteitsbeginsel aangezien gelijke gevallen gelijk dienen te worden behandeld. </w:t>
      </w:r>
      <w:r w:rsidR="00FF59F5" w:rsidRPr="00484DAF">
        <w:rPr>
          <w:sz w:val="24"/>
          <w:szCs w:val="24"/>
        </w:rPr>
        <w:t xml:space="preserve">Het argument van </w:t>
      </w:r>
      <w:r w:rsidR="00FF59F5" w:rsidRPr="00484DAF">
        <w:rPr>
          <w:i/>
          <w:sz w:val="24"/>
          <w:szCs w:val="24"/>
        </w:rPr>
        <w:t>Eryilmaz</w:t>
      </w:r>
      <w:r w:rsidR="00FF59F5" w:rsidRPr="00484DAF">
        <w:rPr>
          <w:sz w:val="24"/>
          <w:szCs w:val="24"/>
        </w:rPr>
        <w:t xml:space="preserve"> is dat gedurende sloop bouwplannen kunnen veranderen en zowel de fiscale adviespraktijk als de belastingdienst aannemelijk zullen trachten te maken dat bouwplannen wel of niet concreet zijn. Mijns inziens is deze uitvoeringstechnische problematiek onder</w:t>
      </w:r>
      <w:r w:rsidR="00CF0AC6" w:rsidRPr="00484DAF">
        <w:rPr>
          <w:sz w:val="24"/>
          <w:szCs w:val="24"/>
        </w:rPr>
        <w:t>ge</w:t>
      </w:r>
      <w:r w:rsidR="00FF59F5" w:rsidRPr="00484DAF">
        <w:rPr>
          <w:sz w:val="24"/>
          <w:szCs w:val="24"/>
        </w:rPr>
        <w:t>schikt aan het overeenstemmen van de nationale omzetbelastingwet met de BTW-richtlijn.</w:t>
      </w:r>
      <w:r w:rsidR="00FF59F5" w:rsidRPr="00484DAF">
        <w:rPr>
          <w:rStyle w:val="Voetnootmarkering"/>
          <w:sz w:val="24"/>
          <w:szCs w:val="24"/>
        </w:rPr>
        <w:footnoteReference w:id="276"/>
      </w:r>
      <w:r w:rsidR="00FF59F5" w:rsidRPr="00484DAF">
        <w:rPr>
          <w:sz w:val="24"/>
          <w:szCs w:val="24"/>
        </w:rPr>
        <w:t xml:space="preserve"> Als een subjectief criterium daadwerkelijk kan bijdragen aan aansluiting bij de BTW-richtlijn</w:t>
      </w:r>
      <w:r w:rsidR="00B46EE7" w:rsidRPr="00484DAF">
        <w:rPr>
          <w:sz w:val="24"/>
          <w:szCs w:val="24"/>
        </w:rPr>
        <w:t xml:space="preserve"> (in casu doordat de bouwfase conform de ruime uitleg van de Richtlijngever aanvangt met sloop) zie ik niet de noodzaak enkel op objectieve criteria als de verschijningsvorm af te gaan.</w:t>
      </w:r>
      <w:r w:rsidR="003F6061" w:rsidRPr="00484DAF">
        <w:rPr>
          <w:rStyle w:val="Voetnootmarkering"/>
          <w:sz w:val="24"/>
          <w:szCs w:val="24"/>
        </w:rPr>
        <w:t xml:space="preserve"> </w:t>
      </w:r>
      <w:r w:rsidR="003F6061" w:rsidRPr="00484DAF">
        <w:rPr>
          <w:rStyle w:val="Voetnootmarkering"/>
          <w:sz w:val="24"/>
          <w:szCs w:val="24"/>
        </w:rPr>
        <w:footnoteReference w:id="277"/>
      </w:r>
    </w:p>
    <w:p w:rsidR="00B11699" w:rsidRPr="00484DAF" w:rsidRDefault="00765DCA" w:rsidP="00CC552D">
      <w:pPr>
        <w:pStyle w:val="Kop2"/>
        <w:spacing w:line="360" w:lineRule="auto"/>
        <w:rPr>
          <w:rFonts w:ascii="Times New Roman" w:hAnsi="Times New Roman"/>
          <w:color w:val="auto"/>
          <w:sz w:val="24"/>
          <w:szCs w:val="24"/>
        </w:rPr>
      </w:pPr>
      <w:bookmarkStart w:id="123" w:name="_Toc254043974"/>
      <w:r w:rsidRPr="00484DAF">
        <w:rPr>
          <w:rFonts w:ascii="Times New Roman" w:hAnsi="Times New Roman"/>
          <w:color w:val="auto"/>
          <w:sz w:val="24"/>
          <w:szCs w:val="24"/>
        </w:rPr>
        <w:lastRenderedPageBreak/>
        <w:t>5.5.5</w:t>
      </w:r>
      <w:r w:rsidR="006E44DB" w:rsidRPr="00484DAF">
        <w:rPr>
          <w:rFonts w:ascii="Times New Roman" w:hAnsi="Times New Roman"/>
          <w:color w:val="auto"/>
          <w:sz w:val="24"/>
          <w:szCs w:val="24"/>
        </w:rPr>
        <w:t xml:space="preserve"> </w:t>
      </w:r>
      <w:r w:rsidR="002F66BE" w:rsidRPr="00484DAF">
        <w:rPr>
          <w:rFonts w:ascii="Times New Roman" w:hAnsi="Times New Roman"/>
          <w:color w:val="auto"/>
          <w:sz w:val="24"/>
          <w:szCs w:val="24"/>
        </w:rPr>
        <w:t xml:space="preserve">Opmerkelijk arrest </w:t>
      </w:r>
      <w:r w:rsidR="006E44DB" w:rsidRPr="00484DAF">
        <w:rPr>
          <w:rFonts w:ascii="Times New Roman" w:hAnsi="Times New Roman"/>
          <w:color w:val="auto"/>
          <w:sz w:val="24"/>
          <w:szCs w:val="24"/>
        </w:rPr>
        <w:t>HvJ EG</w:t>
      </w:r>
      <w:bookmarkEnd w:id="123"/>
      <w:r w:rsidR="006E44DB" w:rsidRPr="00484DAF">
        <w:rPr>
          <w:rFonts w:ascii="Times New Roman" w:hAnsi="Times New Roman"/>
          <w:color w:val="auto"/>
          <w:sz w:val="24"/>
          <w:szCs w:val="24"/>
        </w:rPr>
        <w:t xml:space="preserve"> </w:t>
      </w:r>
    </w:p>
    <w:p w:rsidR="001C2F78" w:rsidRPr="00484DAF" w:rsidRDefault="001C2F78" w:rsidP="00CC552D">
      <w:pPr>
        <w:spacing w:line="360" w:lineRule="auto"/>
        <w:rPr>
          <w:sz w:val="24"/>
          <w:szCs w:val="24"/>
        </w:rPr>
      </w:pPr>
      <w:r w:rsidRPr="00484DAF">
        <w:rPr>
          <w:sz w:val="24"/>
          <w:szCs w:val="24"/>
        </w:rPr>
        <w:t>Zonder conclusie van een A-G te verlangen heeft het HvJ EG het arrest Don Bosco Onroerend Goed BV</w:t>
      </w:r>
      <w:r w:rsidRPr="00484DAF">
        <w:rPr>
          <w:rStyle w:val="Voetnootmarkering"/>
          <w:sz w:val="24"/>
          <w:szCs w:val="24"/>
        </w:rPr>
        <w:footnoteReference w:id="278"/>
      </w:r>
      <w:r w:rsidRPr="00484DAF">
        <w:rPr>
          <w:sz w:val="24"/>
          <w:szCs w:val="24"/>
        </w:rPr>
        <w:t xml:space="preserve"> (hierna ook: Don Bosco) gewezen. Daarbij worden de prejudiciële vragen van de Hoge Raad geherformuleerd in: </w:t>
      </w:r>
      <w:r w:rsidRPr="00484DAF">
        <w:rPr>
          <w:i/>
          <w:sz w:val="24"/>
          <w:szCs w:val="24"/>
        </w:rPr>
        <w:t>‘Met zijn vragen, die samen dienen te worden onderzocht, wenst de verwijzende rechter in wezen te vernemen of artikel 13, B, sub g, van de Zesde richtlijn juncto artikel 4, lid 3, sub a, ervan, aldus moet worden uitgelegd dat de levering van een terrein waarop een gebouw staat dat moet worden gesloopt teneinde op die plaats een nieuw bouwwerk op te richten, en waarvan de sloop reeds een aanvang heeft genomen vóór deze levering, is vrijgesteld van btw.’</w:t>
      </w:r>
      <w:r w:rsidRPr="00484DAF">
        <w:rPr>
          <w:rStyle w:val="Voetnootmarkering"/>
          <w:sz w:val="24"/>
          <w:szCs w:val="24"/>
        </w:rPr>
        <w:footnoteReference w:id="279"/>
      </w:r>
      <w:r w:rsidRPr="00484DAF">
        <w:rPr>
          <w:sz w:val="24"/>
          <w:szCs w:val="24"/>
        </w:rPr>
        <w:t xml:space="preserve"> Wat opvalt, is dat de nadruk wordt gelegd op levering van een terrein waarop een te slopen gebouw staat en niet de levering van een gebouw dat gedeeltelijk is gesloopt. Het HvJ EG maakt het zich hier op het oog makkelijk af door enkel te kijken naar levering van een (bouw)terrein</w:t>
      </w:r>
      <w:r w:rsidR="00D12918">
        <w:rPr>
          <w:sz w:val="24"/>
          <w:szCs w:val="24"/>
        </w:rPr>
        <w:t xml:space="preserve"> en niet naar een vervaardiging</w:t>
      </w:r>
      <w:r w:rsidRPr="00484DAF">
        <w:rPr>
          <w:sz w:val="24"/>
          <w:szCs w:val="24"/>
        </w:rPr>
        <w:t xml:space="preserve">vraagstuk. Nu leent de voorliggende casus zich niet volledig voor vervaardiging. Immers, in </w:t>
      </w:r>
      <w:r w:rsidRPr="00484DAF">
        <w:rPr>
          <w:i/>
          <w:sz w:val="24"/>
          <w:szCs w:val="24"/>
        </w:rPr>
        <w:t>Van Dijk’s Boekhuis</w:t>
      </w:r>
      <w:r w:rsidRPr="00484DAF">
        <w:rPr>
          <w:sz w:val="24"/>
          <w:szCs w:val="24"/>
        </w:rPr>
        <w:t xml:space="preserve"> wordt de voorwaarde van het creëren van een nieuwe functie voorop gesteld. Door sloop wordt (nog) geen nieuwe functie gecreëerd. Door de herformulering van het HvJ EG wordt gestuurd op een arrest dat enkel ziet op een specifieke casus en niet, zoals we gewend zijn van het HvJ EG, een arrest dat uitleg geeft over richtlijnbepalingen en wat de gedachte erachter is.</w:t>
      </w:r>
    </w:p>
    <w:p w:rsidR="007F50D2" w:rsidRPr="00484DAF" w:rsidRDefault="00765DCA" w:rsidP="00CC552D">
      <w:pPr>
        <w:pStyle w:val="Kop3"/>
        <w:spacing w:line="360" w:lineRule="auto"/>
        <w:rPr>
          <w:rFonts w:ascii="Times New Roman" w:hAnsi="Times New Roman"/>
          <w:color w:val="auto"/>
          <w:sz w:val="24"/>
          <w:szCs w:val="24"/>
        </w:rPr>
      </w:pPr>
      <w:bookmarkStart w:id="124" w:name="_Toc254043975"/>
      <w:r w:rsidRPr="00484DAF">
        <w:rPr>
          <w:rFonts w:ascii="Times New Roman" w:hAnsi="Times New Roman"/>
          <w:color w:val="auto"/>
          <w:sz w:val="24"/>
          <w:szCs w:val="24"/>
        </w:rPr>
        <w:t>5.5</w:t>
      </w:r>
      <w:r w:rsidR="007F50D2" w:rsidRPr="00484DAF">
        <w:rPr>
          <w:rFonts w:ascii="Times New Roman" w:hAnsi="Times New Roman"/>
          <w:color w:val="auto"/>
          <w:sz w:val="24"/>
          <w:szCs w:val="24"/>
        </w:rPr>
        <w:t>.</w:t>
      </w:r>
      <w:r w:rsidRPr="00484DAF">
        <w:rPr>
          <w:rFonts w:ascii="Times New Roman" w:hAnsi="Times New Roman"/>
          <w:color w:val="auto"/>
          <w:sz w:val="24"/>
          <w:szCs w:val="24"/>
        </w:rPr>
        <w:t>5.</w:t>
      </w:r>
      <w:r w:rsidR="007F50D2" w:rsidRPr="00484DAF">
        <w:rPr>
          <w:rFonts w:ascii="Times New Roman" w:hAnsi="Times New Roman"/>
          <w:color w:val="auto"/>
          <w:sz w:val="24"/>
          <w:szCs w:val="24"/>
        </w:rPr>
        <w:t>1 Eén prestatie</w:t>
      </w:r>
      <w:bookmarkEnd w:id="124"/>
    </w:p>
    <w:p w:rsidR="00B01F67" w:rsidRPr="00484DAF" w:rsidRDefault="001C2F78" w:rsidP="00CC552D">
      <w:pPr>
        <w:spacing w:line="360" w:lineRule="auto"/>
        <w:rPr>
          <w:sz w:val="24"/>
          <w:szCs w:val="24"/>
        </w:rPr>
      </w:pPr>
      <w:r w:rsidRPr="00484DAF">
        <w:rPr>
          <w:sz w:val="24"/>
          <w:szCs w:val="24"/>
        </w:rPr>
        <w:t xml:space="preserve">Door de herformulering ziet het HvJ EG de levering van onroerend goed door de verkoper en de voor rekening en risico van de verkoper komende sloopwerkzaamheden als één prestatie voor BTW-doeleinden. De </w:t>
      </w:r>
      <w:r w:rsidRPr="00484DAF">
        <w:rPr>
          <w:i/>
          <w:sz w:val="24"/>
          <w:szCs w:val="24"/>
        </w:rPr>
        <w:t>Redactie Vakstudie-Nieuws</w:t>
      </w:r>
      <w:r w:rsidRPr="00484DAF">
        <w:rPr>
          <w:sz w:val="24"/>
          <w:szCs w:val="24"/>
        </w:rPr>
        <w:t xml:space="preserve"> merkt op dat het HvJ EG de lastig te beantwoorden prejudiciële vragen hiermee omzeilt en op gekunstelde wijze twee losse prestaties, namelijk sloopwerkzaamheden en levering van onroerend goed, samensmeedt tot één.</w:t>
      </w:r>
      <w:r w:rsidRPr="00484DAF">
        <w:rPr>
          <w:rStyle w:val="Voetnootmarkering"/>
          <w:sz w:val="24"/>
          <w:szCs w:val="24"/>
        </w:rPr>
        <w:footnoteReference w:id="280"/>
      </w:r>
      <w:r w:rsidRPr="00484DAF">
        <w:rPr>
          <w:sz w:val="24"/>
          <w:szCs w:val="24"/>
        </w:rPr>
        <w:t xml:space="preserve"> Wat nu als een gedeeltelijk gesloopt gebouw wordt geleverd waarbij koper zelf de sloopwerkzaamheden voor eigen rekening en risico neemt, geldt de uitspraak van het HvJ EG ook in dat geval? Uit het oogpunt van neutraliteit mag het mijns inziens niet uitmaken, maar vereenzelviging van de prestaties “sloopwerkzaamheden” enerzijds en “levering van onroerend goed” anderzijds is niet meer mogelijk. Het HvJ EG is deze mening niet toegedaan getuige zijn rechtsoverwegingen. Daarin worden sloopwerkzaamheden aangemerkt als door de verkoper verleende bijkomende diensten. Is het eindresultaat echter niet hetzelfde wanneer </w:t>
      </w:r>
      <w:r w:rsidRPr="00484DAF">
        <w:rPr>
          <w:sz w:val="24"/>
          <w:szCs w:val="24"/>
        </w:rPr>
        <w:lastRenderedPageBreak/>
        <w:t>de kopende partij de sloopwerkzaamheden voor rekening en risico neemt? Immers, zowel voor, als tijdens, als na de sloopwerkzaamheden is de intentie van koper om nieuw onroerend goed te bouwen op de plaats waar aanvankelijk de deels gesloopte opstallen stonden.</w:t>
      </w:r>
      <w:r w:rsidR="007F50D2" w:rsidRPr="00484DAF">
        <w:rPr>
          <w:sz w:val="24"/>
          <w:szCs w:val="24"/>
        </w:rPr>
        <w:t xml:space="preserve"> </w:t>
      </w:r>
    </w:p>
    <w:p w:rsidR="00DB228D" w:rsidRPr="00484DAF" w:rsidRDefault="00765DCA" w:rsidP="00CC552D">
      <w:pPr>
        <w:pStyle w:val="Kop3"/>
        <w:spacing w:line="360" w:lineRule="auto"/>
        <w:rPr>
          <w:rFonts w:ascii="Times New Roman" w:hAnsi="Times New Roman"/>
          <w:color w:val="auto"/>
          <w:sz w:val="24"/>
          <w:szCs w:val="24"/>
        </w:rPr>
      </w:pPr>
      <w:bookmarkStart w:id="125" w:name="_Toc254043976"/>
      <w:r w:rsidRPr="00484DAF">
        <w:rPr>
          <w:rFonts w:ascii="Times New Roman" w:hAnsi="Times New Roman"/>
          <w:color w:val="auto"/>
          <w:sz w:val="24"/>
          <w:szCs w:val="24"/>
        </w:rPr>
        <w:t>5.5</w:t>
      </w:r>
      <w:r w:rsidR="00DB228D" w:rsidRPr="00484DAF">
        <w:rPr>
          <w:rFonts w:ascii="Times New Roman" w:hAnsi="Times New Roman"/>
          <w:color w:val="auto"/>
          <w:sz w:val="24"/>
          <w:szCs w:val="24"/>
        </w:rPr>
        <w:t>.</w:t>
      </w:r>
      <w:r w:rsidRPr="00484DAF">
        <w:rPr>
          <w:rFonts w:ascii="Times New Roman" w:hAnsi="Times New Roman"/>
          <w:color w:val="auto"/>
          <w:sz w:val="24"/>
          <w:szCs w:val="24"/>
        </w:rPr>
        <w:t>5.</w:t>
      </w:r>
      <w:r w:rsidR="00DB228D" w:rsidRPr="00484DAF">
        <w:rPr>
          <w:rFonts w:ascii="Times New Roman" w:hAnsi="Times New Roman"/>
          <w:color w:val="auto"/>
          <w:sz w:val="24"/>
          <w:szCs w:val="24"/>
        </w:rPr>
        <w:t>2 Levering onbebouwd terrein</w:t>
      </w:r>
      <w:bookmarkEnd w:id="125"/>
    </w:p>
    <w:p w:rsidR="001C2F78" w:rsidRPr="00484DAF" w:rsidRDefault="001C2F78" w:rsidP="00CC552D">
      <w:pPr>
        <w:spacing w:line="360" w:lineRule="auto"/>
        <w:rPr>
          <w:sz w:val="24"/>
          <w:szCs w:val="24"/>
        </w:rPr>
      </w:pPr>
      <w:r w:rsidRPr="00484DAF">
        <w:rPr>
          <w:sz w:val="24"/>
          <w:szCs w:val="24"/>
        </w:rPr>
        <w:t xml:space="preserve">Door het in één adem noemen van de sloopwerkzaamheden en levering van gedeeltelijk gesloopt onroerend goed kan het HvJ EG stellen dat hier geen bestaand onroerend goed wordt geleverd, maar een onbebouwd terrein. De redenering daarachter is opzienbarend te noemen. </w:t>
      </w:r>
      <w:r w:rsidRPr="00484DAF">
        <w:rPr>
          <w:i/>
          <w:sz w:val="24"/>
          <w:szCs w:val="24"/>
        </w:rPr>
        <w:t xml:space="preserve">‘Deze handelingen </w:t>
      </w:r>
      <w:r w:rsidRPr="00484DAF">
        <w:rPr>
          <w:sz w:val="24"/>
          <w:szCs w:val="24"/>
        </w:rPr>
        <w:t xml:space="preserve">(sloopwerkzaamheden en de levering, MGVV) </w:t>
      </w:r>
      <w:r w:rsidRPr="00484DAF">
        <w:rPr>
          <w:i/>
          <w:sz w:val="24"/>
          <w:szCs w:val="24"/>
        </w:rPr>
        <w:t>hadden als economisch doel de levering van een terrein dat gereed was om te worden bebouwd. In dit verband zou het kunstmatig zijn om te oordelen dat Don Bosco van dezelfde persoon eerst de oude gebouwen en het erbij behorende terrein heeft verworven, dat, als zodanig, echter in het geheel niet bruikbaar was voor zijn eigen economische activiteit, en pas daarna de diensten met betrekking tot de sloop van de gebouwen, door welke diensten dat terrein pas bruikbaar voor hem kon worden gemaakt.’</w:t>
      </w:r>
      <w:r w:rsidRPr="00484DAF">
        <w:rPr>
          <w:rStyle w:val="Voetnootmarkering"/>
          <w:sz w:val="24"/>
          <w:szCs w:val="24"/>
        </w:rPr>
        <w:footnoteReference w:id="281"/>
      </w:r>
      <w:r w:rsidRPr="00484DAF">
        <w:rPr>
          <w:sz w:val="24"/>
          <w:szCs w:val="24"/>
        </w:rPr>
        <w:t xml:space="preserve"> Wat betreft het “economisch doel” heeft het HvJ EG gelijk, maar hun zienswijze van kunstmatigheid is op zichzelf al “kunstmatig” te noemen. Het economisch doel dat de verkrijgende partij voor ogen heeft met het onroerend goed is ontwikkeling van nieuw onroerend goed. Wie de sloopwerkzaamheden verricht mag daarbij niet uitmaken. Voorts is opvallend dat het HvJ EG tussen de regels door aan de lezer meegeeft dat, nu volgens hen sprake is van één handeling, het niet uitmaakt </w:t>
      </w:r>
      <w:r w:rsidRPr="00484DAF">
        <w:rPr>
          <w:i/>
          <w:sz w:val="24"/>
          <w:szCs w:val="24"/>
        </w:rPr>
        <w:t>“hoever de sloop van het oude gebouw op het moment van de daadwerkelijke levering van het terrein is gevorderd.”</w:t>
      </w:r>
      <w:r w:rsidRPr="00484DAF">
        <w:rPr>
          <w:rStyle w:val="Voetnootmarkering"/>
          <w:sz w:val="24"/>
          <w:szCs w:val="24"/>
        </w:rPr>
        <w:footnoteReference w:id="282"/>
      </w:r>
      <w:r w:rsidRPr="00484DAF">
        <w:rPr>
          <w:sz w:val="24"/>
          <w:szCs w:val="24"/>
        </w:rPr>
        <w:t xml:space="preserve"> De ruimte die het HvJ EG hiermee creëert, ligt tussen een afgebrokkelde baksteen tot volledige sloop inclusief fundering.</w:t>
      </w:r>
    </w:p>
    <w:p w:rsidR="00382518" w:rsidRPr="00484DAF" w:rsidRDefault="001C2F78" w:rsidP="00CC552D">
      <w:pPr>
        <w:spacing w:line="360" w:lineRule="auto"/>
        <w:rPr>
          <w:sz w:val="24"/>
          <w:szCs w:val="24"/>
        </w:rPr>
      </w:pPr>
      <w:r w:rsidRPr="00484DAF">
        <w:rPr>
          <w:sz w:val="24"/>
          <w:szCs w:val="24"/>
        </w:rPr>
        <w:t xml:space="preserve">Nu het HvJ EG een levering van onbebouwd terrein als prestatie onderkent, is de BTW-vrijstelling voor levering van onroerend goed niet meer van belang, maar de vrijstelling voor levering van een bouwterrein. In lijn met het arrest </w:t>
      </w:r>
      <w:r w:rsidRPr="00484DAF">
        <w:rPr>
          <w:i/>
          <w:sz w:val="24"/>
          <w:szCs w:val="24"/>
        </w:rPr>
        <w:t>Gemeente Emmen</w:t>
      </w:r>
      <w:r w:rsidRPr="00484DAF">
        <w:rPr>
          <w:rStyle w:val="Voetnootmarkering"/>
          <w:i/>
          <w:sz w:val="24"/>
          <w:szCs w:val="24"/>
        </w:rPr>
        <w:footnoteReference w:id="283"/>
      </w:r>
      <w:r w:rsidRPr="00484DAF">
        <w:rPr>
          <w:sz w:val="24"/>
          <w:szCs w:val="24"/>
        </w:rPr>
        <w:t xml:space="preserve"> oordeelt het HvJ EG, dat het aan de Hoge Raad is om te beoordelen of het hier geleverde “onbebouwde terrein” voldoet aan de voorwaarden van artikel 11, lid 4 Wet OB 1968. In de voorafgaande rechtbank- en hofuitspraak wordt geen melding gemaakt van een afgegeven bouwvergunning. Aangenomen dat die wel is afgegeven, kwalificeert het aan Don Bosco geleverde “onbebouwde terrein” als bouwterrein. Mocht de bouwvergunning niet zijn afgegeven, dan is </w:t>
      </w:r>
      <w:r w:rsidRPr="00484DAF">
        <w:rPr>
          <w:sz w:val="24"/>
          <w:szCs w:val="24"/>
        </w:rPr>
        <w:lastRenderedPageBreak/>
        <w:t xml:space="preserve">alsnog zeer waarschijnlijk dat de status “bouwterrein” wordt toegekend. Immers, in paragraaf 5.3.1 is reeds behandeld dat (grof)egalisatiewerkzaamheden als bewerking bedoeld in artikel 11, lid 4, onderdeel a Wet OB 1968 kwalificeren. Na sloopwerkzaamheden vinden doorgaans deze bewerkingen plaats waardoor in casu linksom of rechtsom sprake zal zijn van een ‘bouwterrein’. Opmerkelijk detail naar aanleiding van het arrest </w:t>
      </w:r>
      <w:r w:rsidRPr="00484DAF">
        <w:rPr>
          <w:i/>
          <w:sz w:val="24"/>
          <w:szCs w:val="24"/>
        </w:rPr>
        <w:t xml:space="preserve">Don Bosco </w:t>
      </w:r>
      <w:r w:rsidRPr="00484DAF">
        <w:rPr>
          <w:sz w:val="24"/>
          <w:szCs w:val="24"/>
        </w:rPr>
        <w:t xml:space="preserve">is overigens dat het ertoe leidt dat artikel 11, lid 4 Wet OB 1968 aan uitbreiding toe is. Artikel 11, lid 4, eerste volzin Wet OB 1968 stelt namelijk de voorwaarde </w:t>
      </w:r>
      <w:r w:rsidRPr="00484DAF">
        <w:rPr>
          <w:i/>
          <w:sz w:val="24"/>
          <w:szCs w:val="24"/>
        </w:rPr>
        <w:t>“wordt als bouwterrein beschouwd onbebouwde grond”</w:t>
      </w:r>
      <w:r w:rsidRPr="00484DAF">
        <w:rPr>
          <w:sz w:val="24"/>
          <w:szCs w:val="24"/>
        </w:rPr>
        <w:t>. Met dit arrest van het HvJ EG blijkt ook bebouwd terrein als bouwterrein te kwalificeren.</w:t>
      </w:r>
      <w:r w:rsidR="00382518" w:rsidRPr="00484DAF">
        <w:rPr>
          <w:sz w:val="24"/>
          <w:szCs w:val="24"/>
        </w:rPr>
        <w:t xml:space="preserve"> </w:t>
      </w:r>
    </w:p>
    <w:p w:rsidR="00A16814" w:rsidRPr="00484DAF" w:rsidRDefault="00A16814" w:rsidP="00CC552D">
      <w:pPr>
        <w:pStyle w:val="Kop3"/>
        <w:spacing w:line="360" w:lineRule="auto"/>
        <w:rPr>
          <w:rFonts w:ascii="Times New Roman" w:hAnsi="Times New Roman"/>
          <w:color w:val="auto"/>
          <w:sz w:val="24"/>
          <w:szCs w:val="24"/>
        </w:rPr>
      </w:pPr>
      <w:bookmarkStart w:id="126" w:name="_Toc254043977"/>
      <w:r w:rsidRPr="00484DAF">
        <w:rPr>
          <w:rFonts w:ascii="Times New Roman" w:hAnsi="Times New Roman"/>
          <w:color w:val="auto"/>
          <w:sz w:val="24"/>
          <w:szCs w:val="24"/>
        </w:rPr>
        <w:t>5.</w:t>
      </w:r>
      <w:r w:rsidR="00765DCA" w:rsidRPr="00484DAF">
        <w:rPr>
          <w:rFonts w:ascii="Times New Roman" w:hAnsi="Times New Roman"/>
          <w:color w:val="auto"/>
          <w:sz w:val="24"/>
          <w:szCs w:val="24"/>
        </w:rPr>
        <w:t>5.5</w:t>
      </w:r>
      <w:r w:rsidRPr="00484DAF">
        <w:rPr>
          <w:rFonts w:ascii="Times New Roman" w:hAnsi="Times New Roman"/>
          <w:color w:val="auto"/>
          <w:sz w:val="24"/>
          <w:szCs w:val="24"/>
        </w:rPr>
        <w:t xml:space="preserve">.3 </w:t>
      </w:r>
      <w:r w:rsidR="00847255" w:rsidRPr="00484DAF">
        <w:rPr>
          <w:rFonts w:ascii="Times New Roman" w:hAnsi="Times New Roman"/>
          <w:color w:val="auto"/>
          <w:sz w:val="24"/>
          <w:szCs w:val="24"/>
        </w:rPr>
        <w:t>Vraagtekens</w:t>
      </w:r>
      <w:bookmarkEnd w:id="126"/>
    </w:p>
    <w:p w:rsidR="001C2F78" w:rsidRPr="00484DAF" w:rsidRDefault="001C2F78" w:rsidP="00CC552D">
      <w:pPr>
        <w:spacing w:line="360" w:lineRule="auto"/>
        <w:rPr>
          <w:sz w:val="24"/>
          <w:szCs w:val="24"/>
        </w:rPr>
      </w:pPr>
      <w:r w:rsidRPr="00484DAF">
        <w:rPr>
          <w:sz w:val="24"/>
          <w:szCs w:val="24"/>
        </w:rPr>
        <w:t xml:space="preserve">Het hiervoor behandelde arrest heeft gevolgen voor Nederlandse jurisprudentie. Door sloopwerkzaamheden, welke zijn verricht door de verkopende partij, ten tijde van levering van onroerend goed aan te merken als bijkomende dienst blijkt het Jeugdhonkarrest toentertijd niet juist te zijn geïnterpreteerd. Kwam de sloop van de verbrande opstallen toen ook niet voor rekening en risico van de verkopende partij? Nu ben ik wel van mening dat niet alleen dient te worden gekeken naar de sloophandeling an sich, maar ook de reden tot sloop. Immers, de Nederlandse omzetbelastingwet stelt als aanvullende eis voor het ontstaan van een bouwterrein dat handelingen worden verricht met het oog op bebouwing. In geval van het Jeugdhonkarrest is niet uitgemaakt of de sloophandelingen meer uit het oogpunt van veiligheid dan wel uit het oogpunt van bebouwing is gerealiseerd. Feit is wel dat de gemeente de verbrande opstallen niet veilig achtte om op te bouwen en daarom de eis stelde dat eerst volledig werd gesloopt. Wellicht is ook de uitkomst van het Garagearrest door het voortschrijdend “inzicht” als gevolg van het arrest </w:t>
      </w:r>
      <w:r w:rsidRPr="00484DAF">
        <w:rPr>
          <w:i/>
          <w:sz w:val="24"/>
          <w:szCs w:val="24"/>
        </w:rPr>
        <w:t xml:space="preserve">Don Bosco </w:t>
      </w:r>
      <w:r w:rsidRPr="00484DAF">
        <w:rPr>
          <w:sz w:val="24"/>
          <w:szCs w:val="24"/>
        </w:rPr>
        <w:t xml:space="preserve">niet juist uitgewerkt. Was daar (weliswaar zonder bouwterrein als tussenstation) geen sprake van sloop met als doel vervaardiging? Mijns inziens kunnen ook in het Garagearrest de sloophandelingen en levering van onroerend goed als één levering worden beschouwd. De richting die het HvJ EG met het arrest </w:t>
      </w:r>
      <w:r w:rsidRPr="00484DAF">
        <w:rPr>
          <w:i/>
          <w:sz w:val="24"/>
          <w:szCs w:val="24"/>
        </w:rPr>
        <w:t>Don Bosco</w:t>
      </w:r>
      <w:r w:rsidRPr="00484DAF">
        <w:rPr>
          <w:sz w:val="24"/>
          <w:szCs w:val="24"/>
        </w:rPr>
        <w:t xml:space="preserve"> namelijk op gaat, is het naar voren halen van het moment dat de levering van oud onroerend goed in de BTW-heffing wordt betrokken. Wat mij betreft kan dat moment niet vroeg genoeg plaatsvinden. Verdedigbaar is zelfs het aanmerken van bestemmingswijziging van een stuk grond als moment waarop het </w:t>
      </w:r>
      <w:r w:rsidRPr="00484DAF">
        <w:rPr>
          <w:i/>
          <w:sz w:val="24"/>
          <w:szCs w:val="24"/>
        </w:rPr>
        <w:t>“voor (…) eerste ingebruikneming”</w:t>
      </w:r>
      <w:r w:rsidRPr="00484DAF">
        <w:rPr>
          <w:sz w:val="24"/>
          <w:szCs w:val="24"/>
        </w:rPr>
        <w:t xml:space="preserve"> uit artikel 11, lid 1, onderdeel a, ten eerste Wet OB 1968 in gaat. Neem een weiland waarvan de bestemming verandert van landbouwgrond in bouwgrond. Levering ervan kan direct met 19% BTW plaatsvinden wanneer sprake is van concrete bouwplannen. </w:t>
      </w:r>
      <w:r w:rsidRPr="00484DAF">
        <w:rPr>
          <w:sz w:val="24"/>
          <w:szCs w:val="24"/>
        </w:rPr>
        <w:lastRenderedPageBreak/>
        <w:t>Hiermee worden alle kosten die met het oog op bebouwing worden gemaakt in de kostprijs meegenomen zonder dat sprake is van cumulatie van BTW. Door dit vroege moment van BTW-heffing met betrekking tot onroerend goed kunnen veel (timing)discussies worden opgelost. Wanneer sprake is van concrete bouwplannen (al dan niet gepaard met sloopwer</w:t>
      </w:r>
      <w:r w:rsidR="00D12918">
        <w:rPr>
          <w:sz w:val="24"/>
          <w:szCs w:val="24"/>
        </w:rPr>
        <w:t xml:space="preserve">kzaamheden) is de levering van </w:t>
      </w:r>
      <w:r w:rsidRPr="00484DAF">
        <w:rPr>
          <w:sz w:val="24"/>
          <w:szCs w:val="24"/>
        </w:rPr>
        <w:t>oud onroerend goed belast. Zo ook in het Garagearrest.</w:t>
      </w:r>
    </w:p>
    <w:p w:rsidR="001C2F78" w:rsidRPr="00484DAF" w:rsidRDefault="001C2F78" w:rsidP="00CC552D">
      <w:pPr>
        <w:spacing w:line="360" w:lineRule="auto"/>
        <w:rPr>
          <w:sz w:val="24"/>
          <w:szCs w:val="24"/>
        </w:rPr>
      </w:pPr>
      <w:r w:rsidRPr="00484DAF">
        <w:rPr>
          <w:sz w:val="24"/>
          <w:szCs w:val="24"/>
        </w:rPr>
        <w:t xml:space="preserve">Zoals eerder opgemerkt, is op grond van het arrest </w:t>
      </w:r>
      <w:r w:rsidRPr="00484DAF">
        <w:rPr>
          <w:i/>
          <w:sz w:val="24"/>
          <w:szCs w:val="24"/>
        </w:rPr>
        <w:t>Don Bosco</w:t>
      </w:r>
      <w:r w:rsidRPr="00484DAF">
        <w:rPr>
          <w:sz w:val="24"/>
          <w:szCs w:val="24"/>
        </w:rPr>
        <w:t xml:space="preserve"> artikel 11, lid 4, eerste volzin Wet OB 1968 voor uitbreiding vatbaar. Een andere opmerkelijke constatering is dat, door aanmerking van sloopwerkzaamheden ten tijde van levering van onroerend goed als bijkomende dienst, beleid van de staatssecretaris en artikel 11, lid 4, onderdeel a Wet OB 1968 in strijd is met het HvJ EG arrest van 19 november 2009. Sloop blijkt immers wel degelijk tot vervaardiging dan wel een bouwterrein te leiden. Daarbij dient wel sprake te zijn van het oogmerk tot bebouwing. Al met al zijn de nodige vraagtekens bij dit arrest te zetten waar de Hoge Raad, de wetgever, staatssecretaris als medewetgever en de praktijk zich lang over zullen buigen. Zoals </w:t>
      </w:r>
      <w:r w:rsidRPr="00484DAF">
        <w:rPr>
          <w:i/>
          <w:sz w:val="24"/>
          <w:szCs w:val="24"/>
        </w:rPr>
        <w:t>Sanders</w:t>
      </w:r>
      <w:r w:rsidRPr="00484DAF">
        <w:rPr>
          <w:sz w:val="24"/>
          <w:szCs w:val="24"/>
        </w:rPr>
        <w:t xml:space="preserve"> in zijn (uiterst cynische) noot bij dit arrest constateert, schept het HvJ EG met dit arrest alleen maar meer verwarring in bestaande problematiek.</w:t>
      </w:r>
      <w:r w:rsidRPr="00484DAF">
        <w:rPr>
          <w:rStyle w:val="Voetnootmarkering"/>
          <w:sz w:val="24"/>
          <w:szCs w:val="24"/>
        </w:rPr>
        <w:footnoteReference w:id="284"/>
      </w:r>
      <w:r w:rsidRPr="00484DAF">
        <w:rPr>
          <w:sz w:val="24"/>
          <w:szCs w:val="24"/>
        </w:rPr>
        <w:t xml:space="preserve"> Vooral de constatering dat het HvJ EG grond met opstallen (feitelijke situatie!) juridisch weet te kwalificeren als “onbebouwd terrein” zal menigeen in staat van verwarring achterlaten.</w:t>
      </w:r>
    </w:p>
    <w:p w:rsidR="00765DCA" w:rsidRPr="00484DAF" w:rsidRDefault="00765DCA" w:rsidP="00CC552D">
      <w:pPr>
        <w:pStyle w:val="Kop1"/>
        <w:spacing w:line="360" w:lineRule="auto"/>
        <w:rPr>
          <w:rFonts w:ascii="Times New Roman" w:hAnsi="Times New Roman"/>
          <w:color w:val="auto"/>
          <w:sz w:val="24"/>
          <w:szCs w:val="24"/>
        </w:rPr>
      </w:pPr>
      <w:bookmarkStart w:id="127" w:name="_Toc254043978"/>
      <w:r w:rsidRPr="00484DAF">
        <w:rPr>
          <w:rFonts w:ascii="Times New Roman" w:hAnsi="Times New Roman"/>
          <w:color w:val="auto"/>
          <w:sz w:val="24"/>
          <w:szCs w:val="24"/>
        </w:rPr>
        <w:t>5.6 ‘</w:t>
      </w:r>
      <w:r w:rsidR="00CA7B0D" w:rsidRPr="00484DAF">
        <w:rPr>
          <w:rFonts w:ascii="Times New Roman" w:hAnsi="Times New Roman"/>
          <w:color w:val="auto"/>
          <w:sz w:val="24"/>
          <w:szCs w:val="24"/>
        </w:rPr>
        <w:t>Vervaardigingarrest</w:t>
      </w:r>
      <w:r w:rsidRPr="00484DAF">
        <w:rPr>
          <w:rFonts w:ascii="Times New Roman" w:hAnsi="Times New Roman"/>
          <w:color w:val="auto"/>
          <w:sz w:val="24"/>
          <w:szCs w:val="24"/>
        </w:rPr>
        <w:t>’ HvJ EG inzake Don Bosco Onroerend Goed BV</w:t>
      </w:r>
      <w:bookmarkEnd w:id="127"/>
      <w:r w:rsidRPr="00484DAF">
        <w:rPr>
          <w:rFonts w:ascii="Times New Roman" w:hAnsi="Times New Roman"/>
          <w:color w:val="auto"/>
          <w:sz w:val="24"/>
          <w:szCs w:val="24"/>
        </w:rPr>
        <w:t xml:space="preserve"> </w:t>
      </w:r>
    </w:p>
    <w:p w:rsidR="00810D51" w:rsidRPr="00484DAF" w:rsidRDefault="00810D51" w:rsidP="00CC552D">
      <w:pPr>
        <w:spacing w:after="0" w:line="360" w:lineRule="auto"/>
        <w:rPr>
          <w:sz w:val="24"/>
          <w:szCs w:val="24"/>
        </w:rPr>
      </w:pPr>
      <w:r w:rsidRPr="00484DAF">
        <w:rPr>
          <w:sz w:val="24"/>
          <w:szCs w:val="24"/>
        </w:rPr>
        <w:t>Naast de vraagtekens die te zetten zijn bij het gewezen arrest Don Bosco Onroerend Goed BV, zie ik in het arrest Don Bosco een gemiste kans van het HvJ EG om een puzzelstuk in het vervaardigingvraagstuk neer te leggen. In de plaats van het HvJ EG zou ik graag als volgt rechtspreken:</w:t>
      </w:r>
      <w:r w:rsidRPr="00484DAF">
        <w:rPr>
          <w:rStyle w:val="Voetnootmarkering"/>
          <w:sz w:val="24"/>
          <w:szCs w:val="24"/>
        </w:rPr>
        <w:t xml:space="preserve"> </w:t>
      </w:r>
      <w:r w:rsidRPr="00484DAF">
        <w:rPr>
          <w:rStyle w:val="Voetnootmarkering"/>
          <w:sz w:val="24"/>
          <w:szCs w:val="24"/>
          <w:lang w:val="pt-BR"/>
        </w:rPr>
        <w:footnoteReference w:id="285"/>
      </w:r>
    </w:p>
    <w:p w:rsidR="00810D51" w:rsidRPr="00484DAF" w:rsidRDefault="00810D51" w:rsidP="00CC552D">
      <w:pPr>
        <w:pStyle w:val="Geenafstand"/>
        <w:spacing w:line="360" w:lineRule="auto"/>
        <w:rPr>
          <w:sz w:val="24"/>
          <w:szCs w:val="24"/>
        </w:rPr>
      </w:pPr>
    </w:p>
    <w:p w:rsidR="00810D51" w:rsidRPr="00484DAF" w:rsidRDefault="00810D51" w:rsidP="00CC552D">
      <w:pPr>
        <w:spacing w:after="0" w:line="360" w:lineRule="auto"/>
        <w:rPr>
          <w:sz w:val="24"/>
          <w:szCs w:val="24"/>
        </w:rPr>
      </w:pPr>
      <w:r w:rsidRPr="00484DAF">
        <w:rPr>
          <w:sz w:val="24"/>
          <w:szCs w:val="24"/>
        </w:rPr>
        <w:t>(1…21) feiten, prejudiciële vragen etc.</w:t>
      </w:r>
    </w:p>
    <w:p w:rsidR="00810D51" w:rsidRPr="00484DAF" w:rsidRDefault="00810D51" w:rsidP="00CC552D">
      <w:pPr>
        <w:spacing w:after="0" w:line="360" w:lineRule="auto"/>
        <w:rPr>
          <w:i/>
          <w:sz w:val="24"/>
          <w:szCs w:val="24"/>
        </w:rPr>
      </w:pPr>
    </w:p>
    <w:p w:rsidR="00810D51" w:rsidRPr="00484DAF" w:rsidRDefault="00810D51" w:rsidP="00CC552D">
      <w:pPr>
        <w:spacing w:after="0" w:line="360" w:lineRule="auto"/>
        <w:rPr>
          <w:sz w:val="24"/>
          <w:szCs w:val="24"/>
        </w:rPr>
      </w:pPr>
      <w:r w:rsidRPr="00484DAF">
        <w:rPr>
          <w:i/>
          <w:sz w:val="24"/>
          <w:szCs w:val="24"/>
        </w:rPr>
        <w:t>De eerste vraag</w:t>
      </w:r>
    </w:p>
    <w:p w:rsidR="00810D51" w:rsidRPr="00484DAF" w:rsidRDefault="00810D51" w:rsidP="00CC552D">
      <w:pPr>
        <w:spacing w:after="0" w:line="360" w:lineRule="auto"/>
        <w:rPr>
          <w:sz w:val="24"/>
          <w:szCs w:val="24"/>
        </w:rPr>
      </w:pPr>
      <w:r w:rsidRPr="00484DAF">
        <w:rPr>
          <w:sz w:val="24"/>
          <w:szCs w:val="24"/>
        </w:rPr>
        <w:t xml:space="preserve">22. Vaste rechtspraak luidt, dat een nieuw goed is vervaardigd wanneer door het werk van de opdrachtnemer een goed ontstaat waarvan de functie volgens de in het maatschappelijk verkeer gangbare opvattingen verschilt van de functie die de verstrekte materialen hadden. </w:t>
      </w:r>
      <w:r w:rsidRPr="00484DAF">
        <w:rPr>
          <w:sz w:val="24"/>
          <w:szCs w:val="24"/>
        </w:rPr>
        <w:lastRenderedPageBreak/>
        <w:t xml:space="preserve">Het staat aan de nationale rechter om, gelet op het gebruik dat van het goed kan worden gemaakt, te beoordelen of er een nieuw goed is (HvJ EG 14 mei 1985, nr. 139/84 [Van Dijk’s Boekhuis]). </w:t>
      </w:r>
    </w:p>
    <w:p w:rsidR="00810D51" w:rsidRPr="00484DAF" w:rsidRDefault="00810D51" w:rsidP="00CC552D">
      <w:pPr>
        <w:spacing w:after="0" w:line="360" w:lineRule="auto"/>
        <w:rPr>
          <w:sz w:val="24"/>
          <w:szCs w:val="24"/>
        </w:rPr>
      </w:pPr>
      <w:r w:rsidRPr="00484DAF">
        <w:rPr>
          <w:sz w:val="24"/>
          <w:szCs w:val="24"/>
        </w:rPr>
        <w:t>23. Dit criterium blijft onveranderd van toepassing op roerende goederen.</w:t>
      </w:r>
    </w:p>
    <w:p w:rsidR="00810D51" w:rsidRPr="00484DAF" w:rsidRDefault="00810D51" w:rsidP="00CC552D">
      <w:pPr>
        <w:spacing w:after="0" w:line="360" w:lineRule="auto"/>
        <w:rPr>
          <w:sz w:val="24"/>
          <w:szCs w:val="24"/>
        </w:rPr>
      </w:pPr>
      <w:r w:rsidRPr="00484DAF">
        <w:rPr>
          <w:sz w:val="24"/>
          <w:szCs w:val="24"/>
        </w:rPr>
        <w:t>24. Met betrekking tot onroerende goederen dient een aanvullend criterium te worden opgenomen.</w:t>
      </w:r>
    </w:p>
    <w:p w:rsidR="00810D51" w:rsidRPr="00484DAF" w:rsidRDefault="00810D51" w:rsidP="00CC552D">
      <w:pPr>
        <w:spacing w:after="0" w:line="360" w:lineRule="auto"/>
        <w:rPr>
          <w:sz w:val="24"/>
          <w:szCs w:val="24"/>
          <w:lang w:val="en-US"/>
        </w:rPr>
      </w:pPr>
      <w:r w:rsidRPr="00484DAF">
        <w:rPr>
          <w:sz w:val="24"/>
          <w:szCs w:val="24"/>
        </w:rPr>
        <w:t xml:space="preserve">25. Allereerst zij eraan herinnerd dat vaste rechtspraak luidt dat de omzetbelasting een verbruiksbelasting is waarbij de maatstaf van heffing van de aan de fiscus af te dragen BTW niet hoger kan zijn dan de door de eindverbruiker daadwerkelijke betaalde tegenprestatie, waarover de uiteindelijk door hem verschuldigde BTW is berekend. </w:t>
      </w:r>
      <w:r w:rsidRPr="00484DAF">
        <w:rPr>
          <w:sz w:val="24"/>
          <w:szCs w:val="24"/>
          <w:lang w:val="en-US"/>
        </w:rPr>
        <w:t>(HvJ EG 24 oktober 1996, nr. C-317/94 [Elida Gibbs], Jur. 1996, blz. I-5339).</w:t>
      </w:r>
    </w:p>
    <w:p w:rsidR="00810D51" w:rsidRPr="00484DAF" w:rsidRDefault="00810D51" w:rsidP="00CC552D">
      <w:pPr>
        <w:spacing w:after="0" w:line="360" w:lineRule="auto"/>
        <w:rPr>
          <w:sz w:val="24"/>
          <w:szCs w:val="24"/>
        </w:rPr>
      </w:pPr>
      <w:r w:rsidRPr="00484DAF">
        <w:rPr>
          <w:sz w:val="24"/>
          <w:szCs w:val="24"/>
        </w:rPr>
        <w:t>26. Derhalve dient ook bij een belasting op levering van onroerende goederen bij het verbruik te worden aangesloten.</w:t>
      </w:r>
    </w:p>
    <w:p w:rsidR="00810D51" w:rsidRPr="00484DAF" w:rsidRDefault="00810D51" w:rsidP="00CC552D">
      <w:pPr>
        <w:spacing w:after="0" w:line="360" w:lineRule="auto"/>
        <w:rPr>
          <w:sz w:val="24"/>
          <w:szCs w:val="24"/>
        </w:rPr>
      </w:pPr>
      <w:r w:rsidRPr="00484DAF">
        <w:rPr>
          <w:sz w:val="24"/>
          <w:szCs w:val="24"/>
        </w:rPr>
        <w:t>27. Dit komt overeen met de bedoeling van de vrijstelling door de Richtlijngever</w:t>
      </w:r>
      <w:r w:rsidRPr="00484DAF">
        <w:rPr>
          <w:rStyle w:val="Voetnootmarkering"/>
          <w:sz w:val="24"/>
          <w:szCs w:val="24"/>
        </w:rPr>
        <w:footnoteReference w:id="286"/>
      </w:r>
      <w:r w:rsidRPr="00484DAF">
        <w:rPr>
          <w:sz w:val="24"/>
          <w:szCs w:val="24"/>
        </w:rPr>
        <w:t>, namelijk het belasten van zowel onroerend goed op het moment van eerste ingebruikneming als de levering van bouwterreinen opdat geen cumulatie van BTW in de verkoopprijs optreedt. Daarbij wordt tot bouwterreinen gerekend terreinen met in aanbouw zijnde gebouwen of met voor sloop bestemde gebouwen.</w:t>
      </w:r>
    </w:p>
    <w:p w:rsidR="00810D51" w:rsidRPr="00484DAF" w:rsidRDefault="00810D51" w:rsidP="00CC552D">
      <w:pPr>
        <w:spacing w:after="0" w:line="360" w:lineRule="auto"/>
        <w:rPr>
          <w:sz w:val="24"/>
          <w:szCs w:val="24"/>
        </w:rPr>
      </w:pPr>
      <w:r w:rsidRPr="00484DAF">
        <w:rPr>
          <w:sz w:val="24"/>
          <w:szCs w:val="24"/>
        </w:rPr>
        <w:t>28. Aan lidstaten is ingevolge artikel 4, lid 2 Zesde Richtlijn de vrijheid gelaten het moment van eerste ingebruikneming te bepalen.</w:t>
      </w:r>
    </w:p>
    <w:p w:rsidR="00810D51" w:rsidRPr="00484DAF" w:rsidRDefault="00810D51" w:rsidP="00CC552D">
      <w:pPr>
        <w:spacing w:after="0" w:line="360" w:lineRule="auto"/>
        <w:rPr>
          <w:sz w:val="24"/>
          <w:szCs w:val="24"/>
        </w:rPr>
      </w:pPr>
      <w:r w:rsidRPr="00484DAF">
        <w:rPr>
          <w:sz w:val="24"/>
          <w:szCs w:val="24"/>
        </w:rPr>
        <w:t>29. Niet uit de Richtlijn volgt hoe ver terug het tijdvak beginnend ‘vóór eerste ingebruikneming’ daadwerkelijk aanvangt.</w:t>
      </w:r>
    </w:p>
    <w:p w:rsidR="00810D51" w:rsidRPr="00484DAF" w:rsidRDefault="00810D51" w:rsidP="00CC552D">
      <w:pPr>
        <w:spacing w:after="0" w:line="360" w:lineRule="auto"/>
        <w:rPr>
          <w:sz w:val="24"/>
          <w:szCs w:val="24"/>
        </w:rPr>
      </w:pPr>
      <w:r w:rsidRPr="00484DAF">
        <w:rPr>
          <w:sz w:val="24"/>
          <w:szCs w:val="24"/>
        </w:rPr>
        <w:t>30. Het Hof ziet geen bezwaar deze termijn te laten aanvangen op het moment dat een gebouw (al dan niet) gedeeltelijk wordt gesloopt met het oog op vervanging van dat gebouw door een nieuw te stichten gebouw.</w:t>
      </w:r>
    </w:p>
    <w:p w:rsidR="00810D51" w:rsidRPr="00484DAF" w:rsidRDefault="00810D51" w:rsidP="00CC552D">
      <w:pPr>
        <w:spacing w:after="0" w:line="360" w:lineRule="auto"/>
        <w:rPr>
          <w:sz w:val="24"/>
          <w:szCs w:val="24"/>
        </w:rPr>
      </w:pPr>
      <w:r w:rsidRPr="00484DAF">
        <w:rPr>
          <w:sz w:val="24"/>
          <w:szCs w:val="24"/>
        </w:rPr>
        <w:t>31. Het begrip ‘vóór eerste ingebruikneming’ vangt zodoende aan indien nagenoeg zeker is, dat nieuw onroerend goed in de plaats komt van het te slopen onroerend goed. Het staat aan de nationale rechter om, gelet op het doel van de sloopwerkzaamheden, te beoordelen of een nieuw goed is vervaardigd.</w:t>
      </w:r>
    </w:p>
    <w:p w:rsidR="00810D51" w:rsidRPr="00484DAF" w:rsidRDefault="00810D51" w:rsidP="00CC552D">
      <w:pPr>
        <w:pStyle w:val="Geenafstand"/>
        <w:spacing w:line="360" w:lineRule="auto"/>
        <w:rPr>
          <w:sz w:val="24"/>
          <w:szCs w:val="24"/>
        </w:rPr>
      </w:pPr>
    </w:p>
    <w:p w:rsidR="00624DC1" w:rsidRPr="00484DAF" w:rsidRDefault="00624DC1" w:rsidP="00CC552D">
      <w:pPr>
        <w:pStyle w:val="Geenafstand"/>
        <w:spacing w:line="360" w:lineRule="auto"/>
        <w:rPr>
          <w:sz w:val="24"/>
          <w:szCs w:val="24"/>
        </w:rPr>
      </w:pPr>
    </w:p>
    <w:p w:rsidR="00624DC1" w:rsidRPr="00484DAF" w:rsidRDefault="00624DC1" w:rsidP="00CC552D">
      <w:pPr>
        <w:pStyle w:val="Geenafstand"/>
        <w:spacing w:line="360" w:lineRule="auto"/>
        <w:rPr>
          <w:sz w:val="24"/>
          <w:szCs w:val="24"/>
        </w:rPr>
      </w:pPr>
    </w:p>
    <w:p w:rsidR="00810D51" w:rsidRPr="00484DAF" w:rsidRDefault="00810D51" w:rsidP="00CC552D">
      <w:pPr>
        <w:spacing w:after="0" w:line="360" w:lineRule="auto"/>
        <w:rPr>
          <w:i/>
          <w:sz w:val="24"/>
          <w:szCs w:val="24"/>
        </w:rPr>
      </w:pPr>
      <w:r w:rsidRPr="00484DAF">
        <w:rPr>
          <w:i/>
          <w:sz w:val="24"/>
          <w:szCs w:val="24"/>
        </w:rPr>
        <w:lastRenderedPageBreak/>
        <w:t>De tweede en derde vraag</w:t>
      </w:r>
    </w:p>
    <w:p w:rsidR="00810D51" w:rsidRPr="00484DAF" w:rsidRDefault="00810D51" w:rsidP="00CC552D">
      <w:pPr>
        <w:spacing w:after="0" w:line="360" w:lineRule="auto"/>
        <w:rPr>
          <w:sz w:val="24"/>
          <w:szCs w:val="24"/>
        </w:rPr>
      </w:pPr>
      <w:r w:rsidRPr="00484DAF">
        <w:rPr>
          <w:sz w:val="24"/>
          <w:szCs w:val="24"/>
        </w:rPr>
        <w:t>32. Vaste rechtspraak luidt voorts dat alle gelijke economische activiteiten gelijk moeten worden behandeld (HvJ EG 20 juni 1996, nr. C-155/94 [Wellcome Trust Ltd] en HvJ EG 11 juni 1998, zaak C-283/95 [Karl Heinz Fisher], Jur. 1998, blz. I-3369).</w:t>
      </w:r>
    </w:p>
    <w:p w:rsidR="00810D51" w:rsidRPr="00484DAF" w:rsidRDefault="00810D51" w:rsidP="00CC552D">
      <w:pPr>
        <w:pStyle w:val="Geenafstand"/>
        <w:spacing w:line="360" w:lineRule="auto"/>
        <w:rPr>
          <w:sz w:val="24"/>
          <w:szCs w:val="24"/>
        </w:rPr>
      </w:pPr>
      <w:r w:rsidRPr="00484DAF">
        <w:rPr>
          <w:sz w:val="24"/>
          <w:szCs w:val="24"/>
        </w:rPr>
        <w:t xml:space="preserve">33. Derhalve maakt het uit neutraliteitsoverwegingen geen verschil of sloopwerkzaamheden voor rekening en risico van de koper of verkoper komen. </w:t>
      </w:r>
    </w:p>
    <w:p w:rsidR="00810D51" w:rsidRPr="00484DAF" w:rsidRDefault="00810D51" w:rsidP="00CC552D">
      <w:pPr>
        <w:pStyle w:val="Geenafstand"/>
        <w:spacing w:line="360" w:lineRule="auto"/>
        <w:rPr>
          <w:sz w:val="24"/>
          <w:szCs w:val="24"/>
        </w:rPr>
      </w:pPr>
      <w:r w:rsidRPr="00484DAF">
        <w:rPr>
          <w:sz w:val="24"/>
          <w:szCs w:val="24"/>
        </w:rPr>
        <w:t>34. Eveneens maakt het voor toepassing van het neutraliteitsbeginsel niet uit of koper dan wel verkoper nieuwbouwplannen heeft ontwikkeld welke na sloop zullen aanvangen.</w:t>
      </w:r>
    </w:p>
    <w:p w:rsidR="00810D51" w:rsidRPr="00484DAF" w:rsidRDefault="00810D51" w:rsidP="00CC552D">
      <w:pPr>
        <w:pStyle w:val="Geenafstand"/>
        <w:spacing w:line="360" w:lineRule="auto"/>
        <w:rPr>
          <w:sz w:val="24"/>
          <w:szCs w:val="24"/>
        </w:rPr>
      </w:pPr>
      <w:r w:rsidRPr="00484DAF">
        <w:rPr>
          <w:sz w:val="24"/>
          <w:szCs w:val="24"/>
        </w:rPr>
        <w:t>35. Bij twijfel is het aan de nationale rechter om aan de hand van feiten en omstandigheden te beslissen of het neutraliteitsbeginsel in beide onderhavige gevallen hinder ondervindt.</w:t>
      </w:r>
    </w:p>
    <w:p w:rsidR="00810D51" w:rsidRPr="00484DAF" w:rsidRDefault="00810D51" w:rsidP="00CC552D">
      <w:pPr>
        <w:pStyle w:val="Geenafstand"/>
        <w:spacing w:line="360" w:lineRule="auto"/>
        <w:rPr>
          <w:sz w:val="24"/>
          <w:szCs w:val="24"/>
        </w:rPr>
      </w:pPr>
    </w:p>
    <w:p w:rsidR="00810D51" w:rsidRPr="00484DAF" w:rsidRDefault="00810D51" w:rsidP="00CC552D">
      <w:pPr>
        <w:pStyle w:val="Geenafstand"/>
        <w:spacing w:line="360" w:lineRule="auto"/>
        <w:rPr>
          <w:i/>
          <w:sz w:val="24"/>
          <w:szCs w:val="24"/>
        </w:rPr>
      </w:pPr>
      <w:r w:rsidRPr="00484DAF">
        <w:rPr>
          <w:i/>
          <w:sz w:val="24"/>
          <w:szCs w:val="24"/>
        </w:rPr>
        <w:t>De vierde vraag</w:t>
      </w:r>
    </w:p>
    <w:p w:rsidR="00810D51" w:rsidRPr="00484DAF" w:rsidRDefault="00810D51" w:rsidP="00CC552D">
      <w:pPr>
        <w:spacing w:after="0" w:line="360" w:lineRule="auto"/>
        <w:rPr>
          <w:sz w:val="24"/>
          <w:szCs w:val="24"/>
        </w:rPr>
      </w:pPr>
      <w:r w:rsidRPr="00484DAF">
        <w:rPr>
          <w:sz w:val="24"/>
          <w:szCs w:val="24"/>
        </w:rPr>
        <w:t>36. De vraag of belast is elke levering die plaatsvindt na het tijdstip waarop de sloopwerkzaamheden feitelijk een aanvang nemen dan wel na enig later tijdstip, in het bijzonder het tijdstip waarop de sloop substantieel is gevorderd, is te algemeen geformuleerd.</w:t>
      </w:r>
    </w:p>
    <w:p w:rsidR="00810D51" w:rsidRPr="00484DAF" w:rsidRDefault="00810D51" w:rsidP="00CC552D">
      <w:pPr>
        <w:pStyle w:val="Geenafstand"/>
        <w:spacing w:line="360" w:lineRule="auto"/>
        <w:rPr>
          <w:sz w:val="24"/>
          <w:szCs w:val="24"/>
        </w:rPr>
      </w:pPr>
      <w:r w:rsidRPr="00484DAF">
        <w:rPr>
          <w:sz w:val="24"/>
          <w:szCs w:val="24"/>
        </w:rPr>
        <w:t>37. Het Hof overweegt hiertoe dat twee soorten uitleg zijn benodigd. Namelijk de uitleg waarbij sprake is van een oud pand dat geheel wordt gesloopt en het geval waarbij geen sloop plaatsvindt, maar verbouwing met vervaardiging tot gevolg.</w:t>
      </w:r>
    </w:p>
    <w:p w:rsidR="00810D51" w:rsidRPr="00484DAF" w:rsidRDefault="00810D51" w:rsidP="00CC552D">
      <w:pPr>
        <w:pStyle w:val="Geenafstand"/>
        <w:spacing w:line="360" w:lineRule="auto"/>
        <w:rPr>
          <w:sz w:val="24"/>
          <w:szCs w:val="24"/>
        </w:rPr>
      </w:pPr>
    </w:p>
    <w:p w:rsidR="00810D51" w:rsidRPr="00484DAF" w:rsidRDefault="00810D51" w:rsidP="00CC552D">
      <w:pPr>
        <w:pStyle w:val="Geenafstand"/>
        <w:spacing w:line="360" w:lineRule="auto"/>
        <w:rPr>
          <w:i/>
          <w:sz w:val="24"/>
          <w:szCs w:val="24"/>
        </w:rPr>
      </w:pPr>
      <w:r w:rsidRPr="00484DAF">
        <w:rPr>
          <w:i/>
          <w:sz w:val="24"/>
          <w:szCs w:val="24"/>
        </w:rPr>
        <w:t>Beslissing</w:t>
      </w:r>
    </w:p>
    <w:p w:rsidR="00810D51" w:rsidRPr="00484DAF" w:rsidRDefault="00810D51" w:rsidP="00CC552D">
      <w:pPr>
        <w:pStyle w:val="Geenafstand"/>
        <w:spacing w:line="360" w:lineRule="auto"/>
        <w:rPr>
          <w:i/>
          <w:sz w:val="24"/>
          <w:szCs w:val="24"/>
        </w:rPr>
      </w:pPr>
      <w:r w:rsidRPr="00484DAF">
        <w:rPr>
          <w:i/>
          <w:sz w:val="24"/>
          <w:szCs w:val="24"/>
        </w:rPr>
        <w:t>Het HvJ verklaart voor recht dat:</w:t>
      </w:r>
    </w:p>
    <w:p w:rsidR="00810D51" w:rsidRPr="00484DAF" w:rsidRDefault="00810D51" w:rsidP="00CC552D">
      <w:pPr>
        <w:pStyle w:val="Geenafstand"/>
        <w:numPr>
          <w:ilvl w:val="0"/>
          <w:numId w:val="6"/>
        </w:numPr>
        <w:spacing w:line="360" w:lineRule="auto"/>
        <w:rPr>
          <w:i/>
          <w:sz w:val="24"/>
          <w:szCs w:val="24"/>
        </w:rPr>
      </w:pPr>
      <w:r w:rsidRPr="00484DAF">
        <w:rPr>
          <w:i/>
          <w:sz w:val="24"/>
          <w:szCs w:val="24"/>
        </w:rPr>
        <w:t>Op de eerste vraag moet worden geantwoord dat naast de levering van een gebouw of een gedeelte daarvan met bijbehorend terrein tevens belast is de levering van een gebouw dat gedeeltelijk is gesloopt met het oog op vervanging van dat gebouw door een nieuw op te richten gebouw;</w:t>
      </w:r>
    </w:p>
    <w:p w:rsidR="00810D51" w:rsidRPr="00484DAF" w:rsidRDefault="00810D51" w:rsidP="00CC552D">
      <w:pPr>
        <w:pStyle w:val="Geenafstand"/>
        <w:numPr>
          <w:ilvl w:val="0"/>
          <w:numId w:val="6"/>
        </w:numPr>
        <w:spacing w:line="360" w:lineRule="auto"/>
        <w:rPr>
          <w:i/>
          <w:sz w:val="24"/>
          <w:szCs w:val="24"/>
        </w:rPr>
      </w:pPr>
      <w:r w:rsidRPr="00484DAF">
        <w:rPr>
          <w:i/>
          <w:sz w:val="24"/>
          <w:szCs w:val="24"/>
        </w:rPr>
        <w:t xml:space="preserve">Op de tweede vraag dient te worden geantwoord dat uit neutraliteitsoverwegingen het voor het antwoord op de eerste vraag niet uitmaakt of de opdracht betreffende sloopwerkzaamheden voor rekening en risico van de koper of verkoper wordt uitgevoerd. </w:t>
      </w:r>
    </w:p>
    <w:p w:rsidR="00810D51" w:rsidRPr="00484DAF" w:rsidRDefault="00810D51" w:rsidP="00CC552D">
      <w:pPr>
        <w:pStyle w:val="Geenafstand"/>
        <w:numPr>
          <w:ilvl w:val="0"/>
          <w:numId w:val="6"/>
        </w:numPr>
        <w:spacing w:line="360" w:lineRule="auto"/>
        <w:rPr>
          <w:i/>
          <w:sz w:val="24"/>
          <w:szCs w:val="24"/>
        </w:rPr>
      </w:pPr>
      <w:r w:rsidRPr="00484DAF">
        <w:rPr>
          <w:i/>
          <w:sz w:val="24"/>
          <w:szCs w:val="24"/>
        </w:rPr>
        <w:t>Op de derde vraag dient te worden geantwoord dat uit neutraliteitsoverwegingen het voor het antwoord op de eerste vraag niet uitmaakt of koper dan verkoper nieuwbouwplannen heeft ontwikkeld; en</w:t>
      </w:r>
    </w:p>
    <w:p w:rsidR="00810D51" w:rsidRPr="00484DAF" w:rsidRDefault="00810D51" w:rsidP="00CC552D">
      <w:pPr>
        <w:pStyle w:val="Geenafstand"/>
        <w:numPr>
          <w:ilvl w:val="0"/>
          <w:numId w:val="6"/>
        </w:numPr>
        <w:spacing w:line="360" w:lineRule="auto"/>
        <w:rPr>
          <w:i/>
          <w:sz w:val="24"/>
          <w:szCs w:val="24"/>
        </w:rPr>
      </w:pPr>
      <w:r w:rsidRPr="00484DAF">
        <w:rPr>
          <w:i/>
          <w:sz w:val="24"/>
          <w:szCs w:val="24"/>
        </w:rPr>
        <w:lastRenderedPageBreak/>
        <w:t>Daar de eerste vraag bevestigend is beantwoord, komt de vierde vraag aan de orde. Deze wordt echter niet beantwoord, omdat nader onderscheid dient te worden gemaakt met betrekking tot de vraag of sprake is van volledige sloop of verbouwing.</w:t>
      </w:r>
    </w:p>
    <w:p w:rsidR="00810D51" w:rsidRPr="00484DAF" w:rsidRDefault="00810D51" w:rsidP="00CC552D">
      <w:pPr>
        <w:pStyle w:val="Geenafstand"/>
        <w:spacing w:line="360" w:lineRule="auto"/>
        <w:rPr>
          <w:sz w:val="24"/>
          <w:szCs w:val="24"/>
        </w:rPr>
      </w:pPr>
    </w:p>
    <w:p w:rsidR="00810D51" w:rsidRPr="00484DAF" w:rsidRDefault="00810D51" w:rsidP="00CC552D">
      <w:pPr>
        <w:pStyle w:val="Geenafstand"/>
        <w:spacing w:line="360" w:lineRule="auto"/>
        <w:rPr>
          <w:sz w:val="24"/>
          <w:szCs w:val="24"/>
        </w:rPr>
      </w:pPr>
      <w:r w:rsidRPr="00484DAF">
        <w:rPr>
          <w:sz w:val="24"/>
          <w:szCs w:val="24"/>
        </w:rPr>
        <w:t>Merk overigens op, dat ik realiseer dat ook dit “arrest” niet zaligmakend is. Immers, bij vervaardiging dient (ingevolge Europese jurisprudentie in combinatie met Nederlandse jurisprudentie) een nieuwe functie te worden gecreëerd. Enkel de sloop leidt daar nog niet toe. Wel zie ik ruimte dat wanneer het HvJ EG de prejudiciële vragen niet geheel op eigen wijze had geformuleerd zeker wel de mogelijkhe</w:t>
      </w:r>
      <w:r w:rsidR="00D12918">
        <w:rPr>
          <w:sz w:val="24"/>
          <w:szCs w:val="24"/>
        </w:rPr>
        <w:t>id bestond om een vervaardiging</w:t>
      </w:r>
      <w:r w:rsidRPr="00484DAF">
        <w:rPr>
          <w:sz w:val="24"/>
          <w:szCs w:val="24"/>
        </w:rPr>
        <w:t>draai aan dit vraagstuk te geven.</w:t>
      </w:r>
    </w:p>
    <w:p w:rsidR="005441D8" w:rsidRPr="00484DAF" w:rsidRDefault="00B11699" w:rsidP="00CC552D">
      <w:pPr>
        <w:pStyle w:val="Kop1"/>
        <w:spacing w:line="360" w:lineRule="auto"/>
        <w:rPr>
          <w:rFonts w:ascii="Times New Roman" w:hAnsi="Times New Roman"/>
          <w:color w:val="auto"/>
          <w:sz w:val="24"/>
          <w:szCs w:val="24"/>
        </w:rPr>
      </w:pPr>
      <w:bookmarkStart w:id="128" w:name="_Toc254043979"/>
      <w:r w:rsidRPr="00484DAF">
        <w:rPr>
          <w:rFonts w:ascii="Times New Roman" w:hAnsi="Times New Roman"/>
          <w:color w:val="auto"/>
          <w:sz w:val="24"/>
          <w:szCs w:val="24"/>
        </w:rPr>
        <w:t>5.7</w:t>
      </w:r>
      <w:r w:rsidR="005441D8" w:rsidRPr="00484DAF">
        <w:rPr>
          <w:rFonts w:ascii="Times New Roman" w:hAnsi="Times New Roman"/>
          <w:color w:val="auto"/>
          <w:sz w:val="24"/>
          <w:szCs w:val="24"/>
        </w:rPr>
        <w:t xml:space="preserve"> Tussencon</w:t>
      </w:r>
      <w:r w:rsidR="00852B26" w:rsidRPr="00484DAF">
        <w:rPr>
          <w:rFonts w:ascii="Times New Roman" w:hAnsi="Times New Roman"/>
          <w:color w:val="auto"/>
          <w:sz w:val="24"/>
          <w:szCs w:val="24"/>
        </w:rPr>
        <w:t>c</w:t>
      </w:r>
      <w:r w:rsidR="005441D8" w:rsidRPr="00484DAF">
        <w:rPr>
          <w:rFonts w:ascii="Times New Roman" w:hAnsi="Times New Roman"/>
          <w:color w:val="auto"/>
          <w:sz w:val="24"/>
          <w:szCs w:val="24"/>
        </w:rPr>
        <w:t>lusie</w:t>
      </w:r>
      <w:bookmarkEnd w:id="128"/>
      <w:r w:rsidR="005441D8" w:rsidRPr="00484DAF">
        <w:rPr>
          <w:rFonts w:ascii="Times New Roman" w:hAnsi="Times New Roman"/>
          <w:color w:val="auto"/>
          <w:sz w:val="24"/>
          <w:szCs w:val="24"/>
        </w:rPr>
        <w:t xml:space="preserve"> </w:t>
      </w:r>
      <w:r w:rsidR="00484DAF">
        <w:rPr>
          <w:rFonts w:ascii="Times New Roman" w:hAnsi="Times New Roman"/>
          <w:color w:val="auto"/>
          <w:sz w:val="24"/>
          <w:szCs w:val="24"/>
        </w:rPr>
        <w:t>V</w:t>
      </w:r>
    </w:p>
    <w:p w:rsidR="00624DC1" w:rsidRPr="00484DAF" w:rsidRDefault="00624DC1" w:rsidP="00CC552D">
      <w:pPr>
        <w:spacing w:after="0" w:line="360" w:lineRule="auto"/>
        <w:rPr>
          <w:sz w:val="24"/>
          <w:szCs w:val="24"/>
        </w:rPr>
      </w:pPr>
      <w:r w:rsidRPr="00484DAF">
        <w:rPr>
          <w:sz w:val="24"/>
          <w:szCs w:val="24"/>
        </w:rPr>
        <w:t>Sloopwerkzaamheden brengen een geheel aparte problematiek met zich mee wanneer het gaat om vervaardiging. Allereerst dienen twee regimes te worden onderscheiden, namelijk (1) de overgang van oud onroerend goed dat door volledige sloop verandert in een bouwterrein waarna nieuwbouw wordt gerealiseerd en (2) de overgang van oud onroerend goed naar nieuw onroerend goed door verbouwing (al dan niet in combinatie met gedeeltelijke sloop). In het kader van het eerste regime is het Jeugdhonkarrest relevant. Hierin is beslist dat sloop- en egalisatiewerkzaamheden niet leiden tot vervaardiging van een bouwterrein indien het oogmerk ‘met het oog op bebouwing’ ontbreekt. Dit standpunt is genuanceerd met twee arresten van 14 november 2008. Daarin is enerzijds beslist dat een geringe bewerking van de grond al voldoende is om te kwalificeren als bouwterrein. Anderzijds is duidelijk geworden dat voor de motivering van egalisatiewerkzaamheden (doorgaans een nasloopse aangelegenheid) aangesloten mag worden bij het oogmerk van de sloop. Pleitbaar is dat, waren deze nuances bekend ten tijde van het Jeugdhonkarrest, het betreffende arrest naar alle waarschijnlijkheid anders was beslist.</w:t>
      </w:r>
    </w:p>
    <w:p w:rsidR="00624DC1" w:rsidRPr="00484DAF" w:rsidRDefault="00624DC1" w:rsidP="00CC552D">
      <w:pPr>
        <w:pStyle w:val="Geenafstand"/>
        <w:spacing w:line="360" w:lineRule="auto"/>
        <w:rPr>
          <w:sz w:val="24"/>
          <w:szCs w:val="24"/>
        </w:rPr>
      </w:pPr>
    </w:p>
    <w:p w:rsidR="00624DC1" w:rsidRPr="00484DAF" w:rsidRDefault="00624DC1" w:rsidP="00CC552D">
      <w:pPr>
        <w:spacing w:after="0" w:line="360" w:lineRule="auto"/>
        <w:rPr>
          <w:sz w:val="24"/>
          <w:szCs w:val="24"/>
        </w:rPr>
      </w:pPr>
      <w:r w:rsidRPr="00484DAF">
        <w:rPr>
          <w:sz w:val="24"/>
          <w:szCs w:val="24"/>
        </w:rPr>
        <w:t xml:space="preserve">De overgang van oud onroerend goed naar nieuw onroerend goed door verbouwing (al dan niet in combinatie met gedeeltelijke sloop) is in dit hoofdstuk geïllustreerd aan de hand van het Garagearrest. Hoewel belanghebbende zich beriep op het arrest </w:t>
      </w:r>
      <w:r w:rsidRPr="00484DAF">
        <w:rPr>
          <w:i/>
          <w:sz w:val="24"/>
          <w:szCs w:val="24"/>
        </w:rPr>
        <w:t>Van Dijk’s boekhuis</w:t>
      </w:r>
      <w:r w:rsidRPr="00484DAF">
        <w:rPr>
          <w:sz w:val="24"/>
          <w:szCs w:val="24"/>
        </w:rPr>
        <w:t xml:space="preserve"> trekt de Hoge Raad een andere conclusie. Gesteld wordt dat het uitvoeren van sloopwerkzaamheden niet kan worden aangemerkt als het verrichten van een verbouwing. Ook indien het oogmerk tot vervaardiging bestaat, is geen sprake van vervaardiging. Een recent arrest waarin de Hoge Raad prejudiciële vragen op 3 oktober 2008 stelde, kon een </w:t>
      </w:r>
      <w:r w:rsidRPr="00484DAF">
        <w:rPr>
          <w:sz w:val="24"/>
          <w:szCs w:val="24"/>
        </w:rPr>
        <w:lastRenderedPageBreak/>
        <w:t xml:space="preserve">omslag inluiden. De Hoge Raad overwoog serieus de optie om slopen als vervaardiginghandeling aan te merken. Het HvJ EG heeft echter anders beslist in het arrest </w:t>
      </w:r>
      <w:r w:rsidRPr="00484DAF">
        <w:rPr>
          <w:i/>
          <w:sz w:val="24"/>
          <w:szCs w:val="24"/>
        </w:rPr>
        <w:t>Don Bosco Onroerend Goed BV</w:t>
      </w:r>
      <w:r w:rsidRPr="00484DAF">
        <w:rPr>
          <w:sz w:val="24"/>
          <w:szCs w:val="24"/>
        </w:rPr>
        <w:t xml:space="preserve">. Door de opmerkelijke gedachtesprong, dat sloopwerkzaamheden die voor rekening en risico van de verkopende partij komen te bestempelen als bijkomende diensten bij het leveren van onroerend goed, laat het HvJ EG het vervaardigingvraagstuk links liggen. Door de prestaties “sloopwerkzaamheden” en “levering van onroerend goed” als één te beschouwen, komt het HvJ EG zelfs tot de conclusie dat in een geval waarin grond met opstallen wordt geleverd juridisch “onbebouwde grond” wordt geleverd. Het is vervolgens aan de verwijzende rechter om te oordelen of een bouwterrein in de zin van artikel 11, lid 4 Wet OB 1968 is geleverd. Al met al creëert dit arrest alleen maar verwarring. Onder meer ook doordat het HvJ EG opmerkt dat niet van belang is hoe ver de sloop is gevorderd. </w:t>
      </w:r>
    </w:p>
    <w:p w:rsidR="00624DC1" w:rsidRPr="00484DAF" w:rsidRDefault="00624DC1" w:rsidP="00CC552D">
      <w:pPr>
        <w:pStyle w:val="Geenafstand"/>
        <w:spacing w:line="360" w:lineRule="auto"/>
        <w:rPr>
          <w:sz w:val="24"/>
          <w:szCs w:val="24"/>
        </w:rPr>
      </w:pPr>
    </w:p>
    <w:p w:rsidR="00624DC1" w:rsidRPr="00484DAF" w:rsidRDefault="00624DC1" w:rsidP="00CC552D">
      <w:pPr>
        <w:spacing w:after="0" w:line="360" w:lineRule="auto"/>
        <w:rPr>
          <w:sz w:val="24"/>
          <w:szCs w:val="24"/>
        </w:rPr>
      </w:pPr>
      <w:r w:rsidRPr="00484DAF">
        <w:rPr>
          <w:sz w:val="24"/>
          <w:szCs w:val="24"/>
        </w:rPr>
        <w:t>Gezien de mogelijke kanttekeningen bij het arrest Don Bosco heb ik in het kader van het vervaardigingvraagstuk een mogelijk arrest uitgewerkt. Daarbij acht ik verdedigbaar dat geen bezwaar bestaat om de termijn ‘vóór eerste ingebruikneming’ te laten aanvangen op het moment dat een gebouw (al dan niet) gedeeltelijk wordt gesloopt met het oog op vervanging van dat gebouw door een nieuw op te richten gebouw. Ik stel zelfs dat enkel concrete bouwplannen (eventueel voorafgegaan door bestemmingswijziging van grond) al voldoende zijn om levering van een weiland met als eindstation nieuwbouw in de BTW-heffing te betrekken. De nationale rechter zal moeten bepalen of een nieuw goed is vervaardigd, bijvoorbeeld door te onderzoeken of nagenoeg zeker is dat nieuw onroerend goed in de plaats komt van het te slopen onroerend goed. Let wel, door de intentie achter de sloop doorslaggevende betekenis toe te kennen, vervalt feitelijk het verschil tussen de twee aanvankelijk te onderscheiden regimes, zoals hierboven beschreven. Immers, de tussenstap bouwterrein hoeft in dat geval bij vervaardiging niet te worden gepasseerd waardoor sloop wordt gezien als onderdeel van verbouwing welke leidt tot vervaardiging.</w:t>
      </w:r>
    </w:p>
    <w:p w:rsidR="00852B26" w:rsidRPr="00484DAF" w:rsidRDefault="00852B26" w:rsidP="00CC552D">
      <w:pPr>
        <w:spacing w:after="0" w:line="360" w:lineRule="auto"/>
        <w:rPr>
          <w:sz w:val="24"/>
          <w:szCs w:val="24"/>
        </w:rPr>
      </w:pPr>
    </w:p>
    <w:p w:rsidR="00FC6225" w:rsidRPr="00484DAF" w:rsidRDefault="00FC6225" w:rsidP="00CC552D">
      <w:pPr>
        <w:pStyle w:val="Geenafstand"/>
        <w:spacing w:line="360" w:lineRule="auto"/>
        <w:rPr>
          <w:sz w:val="24"/>
          <w:szCs w:val="24"/>
        </w:rPr>
      </w:pPr>
    </w:p>
    <w:p w:rsidR="00F92769" w:rsidRPr="00484DAF" w:rsidRDefault="00F92769" w:rsidP="00CC552D">
      <w:pPr>
        <w:spacing w:after="0" w:line="360" w:lineRule="auto"/>
        <w:rPr>
          <w:sz w:val="24"/>
          <w:szCs w:val="24"/>
        </w:rPr>
      </w:pPr>
      <w:r w:rsidRPr="00484DAF">
        <w:rPr>
          <w:sz w:val="24"/>
          <w:szCs w:val="24"/>
        </w:rPr>
        <w:br w:type="page"/>
      </w:r>
    </w:p>
    <w:p w:rsidR="00D05673" w:rsidRPr="00484DAF" w:rsidRDefault="00ED07BC" w:rsidP="00CC552D">
      <w:pPr>
        <w:pStyle w:val="Kop1"/>
        <w:spacing w:before="0" w:line="360" w:lineRule="auto"/>
        <w:rPr>
          <w:rFonts w:ascii="Times New Roman" w:hAnsi="Times New Roman"/>
          <w:color w:val="auto"/>
          <w:sz w:val="24"/>
          <w:szCs w:val="24"/>
        </w:rPr>
      </w:pPr>
      <w:bookmarkStart w:id="129" w:name="_Toc254043980"/>
      <w:r w:rsidRPr="00484DAF">
        <w:rPr>
          <w:rFonts w:ascii="Times New Roman" w:hAnsi="Times New Roman"/>
          <w:color w:val="auto"/>
          <w:sz w:val="24"/>
          <w:szCs w:val="24"/>
        </w:rPr>
        <w:lastRenderedPageBreak/>
        <w:t>Hoofdstuk 6</w:t>
      </w:r>
      <w:r w:rsidR="00D05673" w:rsidRPr="00484DAF">
        <w:rPr>
          <w:rFonts w:ascii="Times New Roman" w:hAnsi="Times New Roman"/>
          <w:color w:val="auto"/>
          <w:sz w:val="24"/>
          <w:szCs w:val="24"/>
        </w:rPr>
        <w:t xml:space="preserve">: Behandeling onroerend goed in </w:t>
      </w:r>
      <w:r w:rsidR="000D2A12" w:rsidRPr="00484DAF">
        <w:rPr>
          <w:rFonts w:ascii="Times New Roman" w:hAnsi="Times New Roman"/>
          <w:color w:val="auto"/>
          <w:sz w:val="24"/>
          <w:szCs w:val="24"/>
        </w:rPr>
        <w:t>andere lidstaten</w:t>
      </w:r>
      <w:bookmarkEnd w:id="129"/>
    </w:p>
    <w:p w:rsidR="00D05673" w:rsidRPr="00484DAF" w:rsidRDefault="00692134" w:rsidP="00CC552D">
      <w:pPr>
        <w:pStyle w:val="Geenafstand"/>
        <w:spacing w:line="360" w:lineRule="auto"/>
        <w:rPr>
          <w:sz w:val="24"/>
          <w:szCs w:val="24"/>
        </w:rPr>
      </w:pPr>
      <w:r w:rsidRPr="00484DAF">
        <w:rPr>
          <w:sz w:val="24"/>
          <w:szCs w:val="24"/>
        </w:rPr>
        <w:t xml:space="preserve">In </w:t>
      </w:r>
      <w:r w:rsidR="00ED07BC" w:rsidRPr="00484DAF">
        <w:rPr>
          <w:sz w:val="24"/>
          <w:szCs w:val="24"/>
        </w:rPr>
        <w:t xml:space="preserve">de </w:t>
      </w:r>
      <w:r w:rsidRPr="00484DAF">
        <w:rPr>
          <w:sz w:val="24"/>
          <w:szCs w:val="24"/>
        </w:rPr>
        <w:t xml:space="preserve">voorgaande </w:t>
      </w:r>
      <w:r w:rsidR="00ED07BC" w:rsidRPr="00484DAF">
        <w:rPr>
          <w:sz w:val="24"/>
          <w:szCs w:val="24"/>
        </w:rPr>
        <w:t xml:space="preserve">twee </w:t>
      </w:r>
      <w:r w:rsidRPr="00484DAF">
        <w:rPr>
          <w:sz w:val="24"/>
          <w:szCs w:val="24"/>
        </w:rPr>
        <w:t>hoofdstuk</w:t>
      </w:r>
      <w:r w:rsidR="00ED07BC" w:rsidRPr="00484DAF">
        <w:rPr>
          <w:sz w:val="24"/>
          <w:szCs w:val="24"/>
        </w:rPr>
        <w:t>ken</w:t>
      </w:r>
      <w:r w:rsidRPr="00484DAF">
        <w:rPr>
          <w:sz w:val="24"/>
          <w:szCs w:val="24"/>
        </w:rPr>
        <w:t xml:space="preserve"> is de Nederlandse behandeling van het communautaire begrip ‘bouwterrein’ aan bod gekomen. </w:t>
      </w:r>
      <w:r w:rsidRPr="00484DAF">
        <w:rPr>
          <w:i/>
          <w:sz w:val="24"/>
          <w:szCs w:val="24"/>
          <w:lang w:val="en-US"/>
        </w:rPr>
        <w:t>Terra</w:t>
      </w:r>
      <w:r w:rsidR="00DA5DA4" w:rsidRPr="00BD660B">
        <w:rPr>
          <w:i/>
          <w:sz w:val="24"/>
          <w:szCs w:val="24"/>
          <w:lang w:val="en-US"/>
        </w:rPr>
        <w:t xml:space="preserve"> </w:t>
      </w:r>
      <w:r w:rsidRPr="00BD660B">
        <w:rPr>
          <w:sz w:val="24"/>
          <w:szCs w:val="24"/>
          <w:lang w:val="en-US"/>
        </w:rPr>
        <w:t>constateerde</w:t>
      </w:r>
      <w:r w:rsidRPr="00484DAF">
        <w:rPr>
          <w:sz w:val="24"/>
          <w:szCs w:val="24"/>
          <w:lang w:val="en-US"/>
        </w:rPr>
        <w:t xml:space="preserve"> reeds </w:t>
      </w:r>
      <w:r w:rsidRPr="00484DAF">
        <w:rPr>
          <w:i/>
          <w:sz w:val="24"/>
          <w:szCs w:val="24"/>
          <w:lang w:val="en-US"/>
        </w:rPr>
        <w:t xml:space="preserve">‘The result of this </w:t>
      </w:r>
      <w:r w:rsidRPr="00BD660B">
        <w:rPr>
          <w:sz w:val="24"/>
          <w:szCs w:val="24"/>
          <w:lang w:val="en-US"/>
        </w:rPr>
        <w:t>[bevoegdheid</w:t>
      </w:r>
      <w:r w:rsidRPr="00484DAF">
        <w:rPr>
          <w:sz w:val="24"/>
          <w:szCs w:val="24"/>
          <w:lang w:val="en-US"/>
        </w:rPr>
        <w:t xml:space="preserve"> </w:t>
      </w:r>
      <w:r w:rsidRPr="00BD660B">
        <w:rPr>
          <w:sz w:val="24"/>
          <w:szCs w:val="24"/>
          <w:lang w:val="en-US"/>
        </w:rPr>
        <w:t>om zelf bouwterrein in te vullen</w:t>
      </w:r>
      <w:r w:rsidRPr="00484DAF">
        <w:rPr>
          <w:sz w:val="24"/>
          <w:szCs w:val="24"/>
          <w:lang w:val="en-US"/>
        </w:rPr>
        <w:t>, MGVV]</w:t>
      </w:r>
      <w:r w:rsidRPr="00484DAF">
        <w:rPr>
          <w:i/>
          <w:sz w:val="24"/>
          <w:szCs w:val="24"/>
          <w:lang w:val="en-US"/>
        </w:rPr>
        <w:t xml:space="preserve"> is a patchwork of national rules rather than uniform treatment in all Member States.’</w:t>
      </w:r>
      <w:r w:rsidR="008A6B9C" w:rsidRPr="00484DAF">
        <w:rPr>
          <w:rStyle w:val="Voetnootmarkering"/>
          <w:i/>
          <w:sz w:val="24"/>
          <w:szCs w:val="24"/>
          <w:lang w:val="en-US"/>
        </w:rPr>
        <w:footnoteReference w:id="287"/>
      </w:r>
      <w:r w:rsidRPr="00484DAF">
        <w:rPr>
          <w:sz w:val="24"/>
          <w:szCs w:val="24"/>
          <w:lang w:val="en-US"/>
        </w:rPr>
        <w:t xml:space="preserve"> </w:t>
      </w:r>
      <w:r w:rsidR="008A6B9C" w:rsidRPr="00484DAF">
        <w:rPr>
          <w:sz w:val="24"/>
          <w:szCs w:val="24"/>
        </w:rPr>
        <w:t xml:space="preserve">Met het oog op de probleemstelling van deze scriptie wordt </w:t>
      </w:r>
      <w:r w:rsidR="009C05A0" w:rsidRPr="00484DAF">
        <w:rPr>
          <w:sz w:val="24"/>
          <w:szCs w:val="24"/>
        </w:rPr>
        <w:t xml:space="preserve">in dit hoofdstuk </w:t>
      </w:r>
      <w:r w:rsidR="008A6B9C" w:rsidRPr="00484DAF">
        <w:rPr>
          <w:sz w:val="24"/>
          <w:szCs w:val="24"/>
        </w:rPr>
        <w:t xml:space="preserve">gekeken naar </w:t>
      </w:r>
      <w:r w:rsidR="009C05A0" w:rsidRPr="00484DAF">
        <w:rPr>
          <w:sz w:val="24"/>
          <w:szCs w:val="24"/>
        </w:rPr>
        <w:t xml:space="preserve">de </w:t>
      </w:r>
      <w:r w:rsidR="008A6B9C" w:rsidRPr="00484DAF">
        <w:rPr>
          <w:sz w:val="24"/>
          <w:szCs w:val="24"/>
        </w:rPr>
        <w:t xml:space="preserve">invulling </w:t>
      </w:r>
      <w:r w:rsidR="009C05A0" w:rsidRPr="00484DAF">
        <w:rPr>
          <w:sz w:val="24"/>
          <w:szCs w:val="24"/>
        </w:rPr>
        <w:t xml:space="preserve">door andere lidstaten </w:t>
      </w:r>
      <w:r w:rsidR="00301C93" w:rsidRPr="00484DAF">
        <w:rPr>
          <w:sz w:val="24"/>
          <w:szCs w:val="24"/>
        </w:rPr>
        <w:t>van</w:t>
      </w:r>
      <w:r w:rsidR="009C05A0" w:rsidRPr="00484DAF">
        <w:rPr>
          <w:sz w:val="24"/>
          <w:szCs w:val="24"/>
        </w:rPr>
        <w:t xml:space="preserve"> het betreffende BTW-heffingsregime</w:t>
      </w:r>
      <w:r w:rsidR="00301C93" w:rsidRPr="00484DAF">
        <w:rPr>
          <w:sz w:val="24"/>
          <w:szCs w:val="24"/>
        </w:rPr>
        <w:t xml:space="preserve"> </w:t>
      </w:r>
      <w:r w:rsidR="009C05A0" w:rsidRPr="00484DAF">
        <w:rPr>
          <w:sz w:val="24"/>
          <w:szCs w:val="24"/>
        </w:rPr>
        <w:t xml:space="preserve">inzake </w:t>
      </w:r>
      <w:r w:rsidR="00301C93" w:rsidRPr="00484DAF">
        <w:rPr>
          <w:sz w:val="24"/>
          <w:szCs w:val="24"/>
        </w:rPr>
        <w:t xml:space="preserve">onroerend goed en in het bijzonder de invulling van de begrippen </w:t>
      </w:r>
      <w:r w:rsidR="008A6B9C" w:rsidRPr="00484DAF">
        <w:rPr>
          <w:sz w:val="24"/>
          <w:szCs w:val="24"/>
        </w:rPr>
        <w:t>‘gebouw’</w:t>
      </w:r>
      <w:r w:rsidR="00DA5DA4" w:rsidRPr="00484DAF">
        <w:rPr>
          <w:sz w:val="24"/>
          <w:szCs w:val="24"/>
        </w:rPr>
        <w:t xml:space="preserve"> </w:t>
      </w:r>
      <w:r w:rsidR="008A6B9C" w:rsidRPr="00484DAF">
        <w:rPr>
          <w:sz w:val="24"/>
          <w:szCs w:val="24"/>
        </w:rPr>
        <w:t>en ‘bouwterrein’</w:t>
      </w:r>
      <w:r w:rsidR="00301C93" w:rsidRPr="00484DAF">
        <w:rPr>
          <w:sz w:val="24"/>
          <w:szCs w:val="24"/>
        </w:rPr>
        <w:t>.</w:t>
      </w:r>
      <w:r w:rsidR="00C442BE" w:rsidRPr="00484DAF">
        <w:rPr>
          <w:rStyle w:val="Voetnootmarkering"/>
          <w:sz w:val="24"/>
          <w:szCs w:val="24"/>
        </w:rPr>
        <w:footnoteReference w:id="288"/>
      </w:r>
      <w:r w:rsidR="00301C93" w:rsidRPr="00484DAF">
        <w:rPr>
          <w:sz w:val="24"/>
          <w:szCs w:val="24"/>
        </w:rPr>
        <w:t xml:space="preserve"> Mogelijk kan de Nederlandse wetgever lering hieruit trekken en de Nederlandse invulling aanpassen.</w:t>
      </w:r>
    </w:p>
    <w:p w:rsidR="00672D75" w:rsidRPr="00484DAF" w:rsidRDefault="00672D75" w:rsidP="00CC552D">
      <w:pPr>
        <w:pStyle w:val="Kop1"/>
        <w:spacing w:before="0" w:line="360" w:lineRule="auto"/>
        <w:rPr>
          <w:rFonts w:ascii="Times New Roman" w:hAnsi="Times New Roman"/>
          <w:color w:val="auto"/>
          <w:sz w:val="24"/>
          <w:szCs w:val="24"/>
        </w:rPr>
      </w:pPr>
    </w:p>
    <w:p w:rsidR="00F74411" w:rsidRPr="00484DAF" w:rsidRDefault="00ED07BC" w:rsidP="00CC552D">
      <w:pPr>
        <w:pStyle w:val="Kop1"/>
        <w:spacing w:before="0" w:line="360" w:lineRule="auto"/>
        <w:rPr>
          <w:rFonts w:ascii="Times New Roman" w:hAnsi="Times New Roman"/>
          <w:color w:val="auto"/>
          <w:sz w:val="24"/>
          <w:szCs w:val="24"/>
        </w:rPr>
      </w:pPr>
      <w:bookmarkStart w:id="130" w:name="_Toc254043981"/>
      <w:r w:rsidRPr="00484DAF">
        <w:rPr>
          <w:rFonts w:ascii="Times New Roman" w:hAnsi="Times New Roman"/>
          <w:color w:val="auto"/>
          <w:sz w:val="24"/>
          <w:szCs w:val="24"/>
        </w:rPr>
        <w:t>6</w:t>
      </w:r>
      <w:r w:rsidR="00F74411" w:rsidRPr="00484DAF">
        <w:rPr>
          <w:rFonts w:ascii="Times New Roman" w:hAnsi="Times New Roman"/>
          <w:color w:val="auto"/>
          <w:sz w:val="24"/>
          <w:szCs w:val="24"/>
        </w:rPr>
        <w:t xml:space="preserve">.1 </w:t>
      </w:r>
      <w:r w:rsidRPr="00484DAF">
        <w:rPr>
          <w:rFonts w:ascii="Times New Roman" w:hAnsi="Times New Roman"/>
          <w:color w:val="auto"/>
          <w:sz w:val="24"/>
          <w:szCs w:val="24"/>
        </w:rPr>
        <w:t>België</w:t>
      </w:r>
      <w:bookmarkEnd w:id="130"/>
    </w:p>
    <w:p w:rsidR="00781F85" w:rsidRPr="00484DAF" w:rsidRDefault="00603287" w:rsidP="00CC552D">
      <w:pPr>
        <w:spacing w:after="0" w:line="360" w:lineRule="auto"/>
        <w:rPr>
          <w:sz w:val="24"/>
          <w:szCs w:val="24"/>
        </w:rPr>
      </w:pPr>
      <w:r w:rsidRPr="00484DAF">
        <w:rPr>
          <w:sz w:val="24"/>
          <w:szCs w:val="24"/>
        </w:rPr>
        <w:t xml:space="preserve">Verkoop van in België gelegen onroerend goed is in beginsel vrijgesteld van omzetbelasting. Dergelijke verkoop is echter wel onderworpen aan registratierechten (Belgische variant van de Nederlandse overdrachtsbelasting). </w:t>
      </w:r>
      <w:r w:rsidR="00214465" w:rsidRPr="00484DAF">
        <w:rPr>
          <w:sz w:val="24"/>
          <w:szCs w:val="24"/>
        </w:rPr>
        <w:t xml:space="preserve">Indien genoemde levering onder bezwarende titel een nieuw gebouw betreft, is BTW-voldoening afhankelijk van de persoon die het levert. Dit kan een belastingplichtige zijn die gespecialiseerd is in aan- en verkoop van onroerende goederen of een natuurlijk persoon niet-ondernemer </w:t>
      </w:r>
      <w:r w:rsidR="009C05A0" w:rsidRPr="00484DAF">
        <w:rPr>
          <w:sz w:val="24"/>
          <w:szCs w:val="24"/>
        </w:rPr>
        <w:t xml:space="preserve">die </w:t>
      </w:r>
      <w:r w:rsidR="00214465" w:rsidRPr="00484DAF">
        <w:rPr>
          <w:sz w:val="24"/>
          <w:szCs w:val="24"/>
        </w:rPr>
        <w:t>opteert voor belastingplicht</w:t>
      </w:r>
      <w:r w:rsidR="00251041" w:rsidRPr="00484DAF">
        <w:rPr>
          <w:sz w:val="24"/>
          <w:szCs w:val="24"/>
        </w:rPr>
        <w:t>.</w:t>
      </w:r>
      <w:r w:rsidR="00214465" w:rsidRPr="00484DAF">
        <w:rPr>
          <w:rStyle w:val="Voetnootmarkering"/>
          <w:sz w:val="24"/>
          <w:szCs w:val="24"/>
        </w:rPr>
        <w:footnoteReference w:id="289"/>
      </w:r>
      <w:r w:rsidR="00251041" w:rsidRPr="00484DAF">
        <w:rPr>
          <w:sz w:val="24"/>
          <w:szCs w:val="24"/>
        </w:rPr>
        <w:t xml:space="preserve"> </w:t>
      </w:r>
      <w:r w:rsidR="00214465" w:rsidRPr="00484DAF">
        <w:rPr>
          <w:sz w:val="24"/>
          <w:szCs w:val="24"/>
        </w:rPr>
        <w:t>Onder gebouw wordt in</w:t>
      </w:r>
      <w:r w:rsidR="00C442BE" w:rsidRPr="00484DAF">
        <w:rPr>
          <w:sz w:val="24"/>
          <w:szCs w:val="24"/>
        </w:rPr>
        <w:t xml:space="preserve"> d</w:t>
      </w:r>
      <w:r w:rsidR="00214465" w:rsidRPr="00484DAF">
        <w:rPr>
          <w:sz w:val="24"/>
          <w:szCs w:val="24"/>
        </w:rPr>
        <w:t xml:space="preserve">e Belgische omzetbelastingwet verstaan </w:t>
      </w:r>
      <w:r w:rsidR="00413047" w:rsidRPr="00484DAF">
        <w:rPr>
          <w:sz w:val="24"/>
          <w:szCs w:val="24"/>
        </w:rPr>
        <w:t>ieder bouwwerk</w:t>
      </w:r>
      <w:r w:rsidR="00214465" w:rsidRPr="00484DAF">
        <w:rPr>
          <w:sz w:val="24"/>
          <w:szCs w:val="24"/>
        </w:rPr>
        <w:t xml:space="preserve"> welke vast met de grond </w:t>
      </w:r>
      <w:r w:rsidR="00413047" w:rsidRPr="00484DAF">
        <w:rPr>
          <w:sz w:val="24"/>
          <w:szCs w:val="24"/>
        </w:rPr>
        <w:t xml:space="preserve">is </w:t>
      </w:r>
      <w:r w:rsidR="00214465" w:rsidRPr="00484DAF">
        <w:rPr>
          <w:sz w:val="24"/>
          <w:szCs w:val="24"/>
        </w:rPr>
        <w:t>verbonden. Een gebouw wordt als nieuw gebouw bestempeld tot 31 december van het tweede jaar volgend op het moment van eerste ingebruikneming</w:t>
      </w:r>
      <w:r w:rsidR="00413047" w:rsidRPr="00484DAF">
        <w:rPr>
          <w:sz w:val="24"/>
          <w:szCs w:val="24"/>
        </w:rPr>
        <w:t xml:space="preserve"> of inbezitneming</w:t>
      </w:r>
      <w:r w:rsidR="00214465" w:rsidRPr="00484DAF">
        <w:rPr>
          <w:sz w:val="24"/>
          <w:szCs w:val="24"/>
        </w:rPr>
        <w:t>.</w:t>
      </w:r>
      <w:r w:rsidR="00214465" w:rsidRPr="00484DAF">
        <w:rPr>
          <w:rStyle w:val="Voetnootmarkering"/>
          <w:sz w:val="24"/>
          <w:szCs w:val="24"/>
        </w:rPr>
        <w:footnoteReference w:id="290"/>
      </w:r>
      <w:r w:rsidR="00214465" w:rsidRPr="00484DAF">
        <w:rPr>
          <w:sz w:val="24"/>
          <w:szCs w:val="24"/>
        </w:rPr>
        <w:t xml:space="preserve"> Indien binnen deze periode het huis wordt doorverkocht aan een ander (ondernemer of niet), is de levering wederom belast met BTW. </w:t>
      </w:r>
      <w:r w:rsidR="00781F85" w:rsidRPr="00484DAF">
        <w:rPr>
          <w:sz w:val="24"/>
          <w:szCs w:val="24"/>
        </w:rPr>
        <w:t>A</w:t>
      </w:r>
      <w:r w:rsidR="00427BD2" w:rsidRPr="00484DAF">
        <w:rPr>
          <w:sz w:val="24"/>
          <w:szCs w:val="24"/>
        </w:rPr>
        <w:t xml:space="preserve">an BTW-heffing onderhevig </w:t>
      </w:r>
      <w:r w:rsidR="00214465" w:rsidRPr="00484DAF">
        <w:rPr>
          <w:sz w:val="24"/>
          <w:szCs w:val="24"/>
        </w:rPr>
        <w:t xml:space="preserve">zijn </w:t>
      </w:r>
      <w:r w:rsidR="00781F85" w:rsidRPr="00484DAF">
        <w:rPr>
          <w:sz w:val="24"/>
          <w:szCs w:val="24"/>
        </w:rPr>
        <w:t xml:space="preserve">verder </w:t>
      </w:r>
      <w:r w:rsidR="00427BD2" w:rsidRPr="00484DAF">
        <w:rPr>
          <w:sz w:val="24"/>
          <w:szCs w:val="24"/>
        </w:rPr>
        <w:t>de levering van vruchtgebruik, opstal, erfpacht, erfdienstbaarheden, recht van bewoning en het recht van gebruik.</w:t>
      </w:r>
      <w:r w:rsidR="003656DE" w:rsidRPr="00484DAF">
        <w:rPr>
          <w:rStyle w:val="Voetnootmarkering"/>
          <w:sz w:val="24"/>
          <w:szCs w:val="24"/>
        </w:rPr>
        <w:footnoteReference w:id="291"/>
      </w:r>
      <w:r w:rsidR="00413047" w:rsidRPr="00484DAF">
        <w:rPr>
          <w:sz w:val="24"/>
          <w:szCs w:val="24"/>
        </w:rPr>
        <w:t xml:space="preserve"> </w:t>
      </w:r>
    </w:p>
    <w:p w:rsidR="00672D75" w:rsidRPr="00484DAF" w:rsidRDefault="00672D75" w:rsidP="00CC552D">
      <w:pPr>
        <w:spacing w:after="0" w:line="360" w:lineRule="auto"/>
        <w:rPr>
          <w:sz w:val="24"/>
          <w:szCs w:val="24"/>
        </w:rPr>
      </w:pPr>
    </w:p>
    <w:p w:rsidR="00F74411" w:rsidRPr="00484DAF" w:rsidRDefault="00413047" w:rsidP="00CC552D">
      <w:pPr>
        <w:spacing w:after="0" w:line="360" w:lineRule="auto"/>
        <w:rPr>
          <w:sz w:val="24"/>
          <w:szCs w:val="24"/>
        </w:rPr>
      </w:pPr>
      <w:r w:rsidRPr="00484DAF">
        <w:rPr>
          <w:sz w:val="24"/>
          <w:szCs w:val="24"/>
        </w:rPr>
        <w:lastRenderedPageBreak/>
        <w:t xml:space="preserve">De Belgische wetgeving kent ook een samenloopvrijstelling met betrekking tot ‘overdrachtsbelasting’. Deze kent </w:t>
      </w:r>
      <w:r w:rsidR="00F2041F" w:rsidRPr="00484DAF">
        <w:rPr>
          <w:sz w:val="24"/>
          <w:szCs w:val="24"/>
        </w:rPr>
        <w:t xml:space="preserve">beduidend minder beperkende </w:t>
      </w:r>
      <w:r w:rsidRPr="00484DAF">
        <w:rPr>
          <w:sz w:val="24"/>
          <w:szCs w:val="24"/>
        </w:rPr>
        <w:t>voorwaarden dan de Nederlandse variant. Namelijk, indien BTW dient te worden voldaan, zijn geen registratierechten verschuldigd en andersom. Opvallend is dat België in het geheel grond niet in de heffing van omzetbelasting betrekt. Voor overdracht van grond zal steeds een BTW-vrijstelling</w:t>
      </w:r>
      <w:r w:rsidR="00301C93" w:rsidRPr="00484DAF">
        <w:rPr>
          <w:sz w:val="24"/>
          <w:szCs w:val="24"/>
        </w:rPr>
        <w:t xml:space="preserve"> gelden en zijn slechts registratierechten verschuldigd.</w:t>
      </w:r>
      <w:r w:rsidR="00301C93" w:rsidRPr="00484DAF">
        <w:rPr>
          <w:rStyle w:val="Voetnootmarkering"/>
          <w:sz w:val="24"/>
          <w:szCs w:val="24"/>
        </w:rPr>
        <w:footnoteReference w:id="292"/>
      </w:r>
      <w:r w:rsidRPr="00484DAF">
        <w:rPr>
          <w:sz w:val="24"/>
          <w:szCs w:val="24"/>
        </w:rPr>
        <w:t xml:space="preserve"> </w:t>
      </w:r>
      <w:r w:rsidR="00301C93" w:rsidRPr="00484DAF">
        <w:rPr>
          <w:sz w:val="24"/>
          <w:szCs w:val="24"/>
        </w:rPr>
        <w:t xml:space="preserve">Kennelijk heeft de Belgische wetgever in het kader van de communautaire invulling van het begrip bouwterrein </w:t>
      </w:r>
      <w:r w:rsidR="00CF0AC6" w:rsidRPr="00484DAF">
        <w:rPr>
          <w:sz w:val="24"/>
          <w:szCs w:val="24"/>
        </w:rPr>
        <w:t>gekozen</w:t>
      </w:r>
      <w:r w:rsidR="00301C93" w:rsidRPr="00484DAF">
        <w:rPr>
          <w:sz w:val="24"/>
          <w:szCs w:val="24"/>
        </w:rPr>
        <w:t xml:space="preserve"> voor “geen invulling”.</w:t>
      </w:r>
      <w:r w:rsidR="00FC198B" w:rsidRPr="00484DAF">
        <w:rPr>
          <w:rStyle w:val="Voetnootmarkering"/>
          <w:sz w:val="24"/>
          <w:szCs w:val="24"/>
        </w:rPr>
        <w:footnoteReference w:id="293"/>
      </w:r>
    </w:p>
    <w:p w:rsidR="00672D75" w:rsidRPr="00484DAF" w:rsidRDefault="00672D75" w:rsidP="00CC552D">
      <w:pPr>
        <w:pStyle w:val="Kop1"/>
        <w:spacing w:before="0" w:line="360" w:lineRule="auto"/>
        <w:rPr>
          <w:rFonts w:ascii="Times New Roman" w:hAnsi="Times New Roman"/>
          <w:color w:val="auto"/>
          <w:sz w:val="24"/>
          <w:szCs w:val="24"/>
        </w:rPr>
      </w:pPr>
    </w:p>
    <w:p w:rsidR="00F74411" w:rsidRPr="00484DAF" w:rsidRDefault="00ED07BC" w:rsidP="00CC552D">
      <w:pPr>
        <w:pStyle w:val="Kop1"/>
        <w:spacing w:before="0" w:line="360" w:lineRule="auto"/>
        <w:rPr>
          <w:rFonts w:ascii="Times New Roman" w:hAnsi="Times New Roman"/>
          <w:color w:val="auto"/>
          <w:sz w:val="24"/>
          <w:szCs w:val="24"/>
        </w:rPr>
      </w:pPr>
      <w:bookmarkStart w:id="131" w:name="_Toc254043982"/>
      <w:r w:rsidRPr="00484DAF">
        <w:rPr>
          <w:rFonts w:ascii="Times New Roman" w:hAnsi="Times New Roman"/>
          <w:color w:val="auto"/>
          <w:sz w:val="24"/>
          <w:szCs w:val="24"/>
        </w:rPr>
        <w:t>6</w:t>
      </w:r>
      <w:r w:rsidR="00F74411" w:rsidRPr="00484DAF">
        <w:rPr>
          <w:rFonts w:ascii="Times New Roman" w:hAnsi="Times New Roman"/>
          <w:color w:val="auto"/>
          <w:sz w:val="24"/>
          <w:szCs w:val="24"/>
        </w:rPr>
        <w:t>.2 Luxemburg</w:t>
      </w:r>
      <w:bookmarkEnd w:id="131"/>
    </w:p>
    <w:p w:rsidR="00F74411" w:rsidRPr="00484DAF" w:rsidRDefault="00DB728E" w:rsidP="00CC552D">
      <w:pPr>
        <w:spacing w:after="0" w:line="360" w:lineRule="auto"/>
        <w:rPr>
          <w:sz w:val="24"/>
          <w:szCs w:val="24"/>
        </w:rPr>
      </w:pPr>
      <w:r w:rsidRPr="00484DAF">
        <w:rPr>
          <w:sz w:val="24"/>
          <w:szCs w:val="24"/>
        </w:rPr>
        <w:t xml:space="preserve">In Luxemburg is de overdracht van onroerend goed </w:t>
      </w:r>
      <w:r w:rsidR="004109D2" w:rsidRPr="00484DAF">
        <w:rPr>
          <w:sz w:val="24"/>
          <w:szCs w:val="24"/>
        </w:rPr>
        <w:t xml:space="preserve">in beginsel </w:t>
      </w:r>
      <w:r w:rsidRPr="00484DAF">
        <w:rPr>
          <w:sz w:val="24"/>
          <w:szCs w:val="24"/>
        </w:rPr>
        <w:t xml:space="preserve">onderworpen aan overdrachtsbelasting. Op basis van een optieregime kan worden geopteerd voor een BTW-belaste levering. Levering van onroerend goed is alleen belast als sprake is van overdracht van een bestaand gebouw. Zodoende zijn aannemingsovereenkomsten en overdrachten </w:t>
      </w:r>
      <w:r w:rsidR="0015745C" w:rsidRPr="00484DAF">
        <w:rPr>
          <w:sz w:val="24"/>
          <w:szCs w:val="24"/>
        </w:rPr>
        <w:t xml:space="preserve">van gebouwen in aanbouw niet in de BTW (al dan niet door optie) te betrekken. In tegenstelling tot andere lidstaten heeft de Luxemburgse wetgever ervoor gekozen om de oplevering van werken in onroerende staat te beschouwen als levering van een (roerend) goed. </w:t>
      </w:r>
      <w:r w:rsidR="0015745C" w:rsidRPr="00484DAF">
        <w:rPr>
          <w:rStyle w:val="Voetnootmarkering"/>
          <w:sz w:val="24"/>
          <w:szCs w:val="24"/>
        </w:rPr>
        <w:footnoteReference w:id="294"/>
      </w:r>
      <w:r w:rsidR="0015745C" w:rsidRPr="00484DAF">
        <w:rPr>
          <w:sz w:val="24"/>
          <w:szCs w:val="24"/>
        </w:rPr>
        <w:t xml:space="preserve"> Zakelijke rechten kunnen eveneens onder het optieregime in de omzetbelastingheffing worden betrokken.</w:t>
      </w:r>
      <w:r w:rsidR="00561B7B" w:rsidRPr="00484DAF">
        <w:rPr>
          <w:sz w:val="24"/>
          <w:szCs w:val="24"/>
        </w:rPr>
        <w:t xml:space="preserve"> De Luxemburgse omzetbelasting kent geen definitie van ‘onroerend goed’. Derhalve wordt gekeken naar het </w:t>
      </w:r>
      <w:r w:rsidR="00F62EB6" w:rsidRPr="00484DAF">
        <w:rPr>
          <w:sz w:val="24"/>
          <w:szCs w:val="24"/>
        </w:rPr>
        <w:t xml:space="preserve">Luxemburgse </w:t>
      </w:r>
      <w:r w:rsidR="00561B7B" w:rsidRPr="00484DAF">
        <w:rPr>
          <w:sz w:val="24"/>
          <w:szCs w:val="24"/>
        </w:rPr>
        <w:t>civiele recht waar in zijn algemeenheid onder onroerend goed wordt verstaan grond en elk zich daarop bevindend bouwwerk en goederen die vast met het onroerend goed zijn verbonden (zoals gebouwen en wegen).</w:t>
      </w:r>
      <w:r w:rsidR="00561B7B" w:rsidRPr="00484DAF">
        <w:rPr>
          <w:rStyle w:val="Voetnootmarkering"/>
          <w:sz w:val="24"/>
          <w:szCs w:val="24"/>
        </w:rPr>
        <w:footnoteReference w:id="295"/>
      </w:r>
      <w:r w:rsidR="00561B7B" w:rsidRPr="00484DAF">
        <w:rPr>
          <w:sz w:val="24"/>
          <w:szCs w:val="24"/>
        </w:rPr>
        <w:t xml:space="preserve"> </w:t>
      </w:r>
      <w:r w:rsidR="0015745C" w:rsidRPr="00484DAF">
        <w:rPr>
          <w:sz w:val="24"/>
          <w:szCs w:val="24"/>
        </w:rPr>
        <w:t xml:space="preserve">Inzake de levering van grond wordt een onderscheid gemaakt tussen grond die </w:t>
      </w:r>
      <w:r w:rsidR="00B0646F" w:rsidRPr="00484DAF">
        <w:rPr>
          <w:sz w:val="24"/>
          <w:szCs w:val="24"/>
        </w:rPr>
        <w:t xml:space="preserve">is </w:t>
      </w:r>
      <w:r w:rsidR="0015745C" w:rsidRPr="00484DAF">
        <w:rPr>
          <w:sz w:val="24"/>
          <w:szCs w:val="24"/>
        </w:rPr>
        <w:t>ingericht voor de bouw van een gebouw en grond die dat niet is. Wanneer dit wel het geval is</w:t>
      </w:r>
      <w:r w:rsidR="00CF1AE2" w:rsidRPr="00484DAF">
        <w:rPr>
          <w:sz w:val="24"/>
          <w:szCs w:val="24"/>
        </w:rPr>
        <w:t xml:space="preserve">, is de overdracht vrijgesteld en is analoog daaraan overdrachtsbelasting (in casu: registratierechten) verschuldigd. </w:t>
      </w:r>
      <w:r w:rsidR="00754F17" w:rsidRPr="00484DAF">
        <w:rPr>
          <w:sz w:val="24"/>
          <w:szCs w:val="24"/>
        </w:rPr>
        <w:t xml:space="preserve">Voorts kent de Luxemburgse BTW een vrijstelling voor de levering van </w:t>
      </w:r>
      <w:r w:rsidR="00F62EB6" w:rsidRPr="00484DAF">
        <w:rPr>
          <w:sz w:val="24"/>
          <w:szCs w:val="24"/>
        </w:rPr>
        <w:t xml:space="preserve">bouwwerk welke ten tijde van het tekenen van de verkoopovereenkomst nog geen bouwwerk </w:t>
      </w:r>
      <w:r w:rsidR="00F62EB6" w:rsidRPr="00484DAF">
        <w:rPr>
          <w:sz w:val="24"/>
          <w:szCs w:val="24"/>
        </w:rPr>
        <w:lastRenderedPageBreak/>
        <w:t xml:space="preserve">was. </w:t>
      </w:r>
      <w:r w:rsidR="00F62EB6" w:rsidRPr="00484DAF">
        <w:rPr>
          <w:i/>
          <w:sz w:val="24"/>
          <w:szCs w:val="24"/>
        </w:rPr>
        <w:t>Guilluy, Lambion en Wersand</w:t>
      </w:r>
      <w:r w:rsidR="00F62EB6" w:rsidRPr="00484DAF">
        <w:rPr>
          <w:sz w:val="24"/>
          <w:szCs w:val="24"/>
        </w:rPr>
        <w:t xml:space="preserve"> geven overigens wel aan dat deze vrijstelling het in de praktijk lastig is beroep te doen op deze vrijstelling. </w:t>
      </w:r>
      <w:r w:rsidR="00CF1AE2" w:rsidRPr="00484DAF">
        <w:rPr>
          <w:sz w:val="24"/>
          <w:szCs w:val="24"/>
        </w:rPr>
        <w:t xml:space="preserve">Sowieso geldt in Luxemburg net als in België een ‘automatische’ vrijstelling dat indien BTW dient te worden voldaan geen overdrachtsbelasting is verschuldigd en vice versa. </w:t>
      </w:r>
      <w:r w:rsidR="00BF0033" w:rsidRPr="00484DAF">
        <w:rPr>
          <w:sz w:val="24"/>
          <w:szCs w:val="24"/>
        </w:rPr>
        <w:t xml:space="preserve">Opvallend aan de Luxemburgse wetgeving is dat wordt geredeneerd vanuit grond (al dan niet een bouwterrein) waarbij de gebouwen als het ware </w:t>
      </w:r>
      <w:r w:rsidR="00AF16A6" w:rsidRPr="00484DAF">
        <w:rPr>
          <w:sz w:val="24"/>
          <w:szCs w:val="24"/>
        </w:rPr>
        <w:t xml:space="preserve">aanhorig </w:t>
      </w:r>
      <w:r w:rsidR="00BF0033" w:rsidRPr="00484DAF">
        <w:rPr>
          <w:sz w:val="24"/>
          <w:szCs w:val="24"/>
        </w:rPr>
        <w:t xml:space="preserve">zijn </w:t>
      </w:r>
      <w:r w:rsidR="00AF16A6" w:rsidRPr="00484DAF">
        <w:rPr>
          <w:sz w:val="24"/>
          <w:szCs w:val="24"/>
        </w:rPr>
        <w:t xml:space="preserve">ten </w:t>
      </w:r>
      <w:r w:rsidR="00BF0033" w:rsidRPr="00484DAF">
        <w:rPr>
          <w:sz w:val="24"/>
          <w:szCs w:val="24"/>
        </w:rPr>
        <w:t>aan</w:t>
      </w:r>
      <w:r w:rsidR="00AF16A6" w:rsidRPr="00484DAF">
        <w:rPr>
          <w:sz w:val="24"/>
          <w:szCs w:val="24"/>
        </w:rPr>
        <w:t>zien van</w:t>
      </w:r>
      <w:r w:rsidR="00BF0033" w:rsidRPr="00484DAF">
        <w:rPr>
          <w:sz w:val="24"/>
          <w:szCs w:val="24"/>
        </w:rPr>
        <w:t xml:space="preserve"> de grond.</w:t>
      </w:r>
    </w:p>
    <w:p w:rsidR="00672D75" w:rsidRPr="00484DAF" w:rsidRDefault="00672D75" w:rsidP="00CC552D">
      <w:pPr>
        <w:pStyle w:val="Kop1"/>
        <w:spacing w:before="0" w:line="360" w:lineRule="auto"/>
        <w:rPr>
          <w:rFonts w:ascii="Times New Roman" w:hAnsi="Times New Roman"/>
          <w:color w:val="auto"/>
          <w:sz w:val="24"/>
          <w:szCs w:val="24"/>
        </w:rPr>
      </w:pPr>
    </w:p>
    <w:p w:rsidR="00F74411" w:rsidRPr="00484DAF" w:rsidRDefault="00ED07BC" w:rsidP="00CC552D">
      <w:pPr>
        <w:pStyle w:val="Kop1"/>
        <w:spacing w:before="0" w:line="360" w:lineRule="auto"/>
        <w:rPr>
          <w:rFonts w:ascii="Times New Roman" w:hAnsi="Times New Roman"/>
          <w:color w:val="auto"/>
          <w:sz w:val="24"/>
          <w:szCs w:val="24"/>
        </w:rPr>
      </w:pPr>
      <w:bookmarkStart w:id="132" w:name="_Toc254043983"/>
      <w:r w:rsidRPr="00484DAF">
        <w:rPr>
          <w:rFonts w:ascii="Times New Roman" w:hAnsi="Times New Roman"/>
          <w:color w:val="auto"/>
          <w:sz w:val="24"/>
          <w:szCs w:val="24"/>
        </w:rPr>
        <w:t>6</w:t>
      </w:r>
      <w:r w:rsidR="00F74411" w:rsidRPr="00484DAF">
        <w:rPr>
          <w:rFonts w:ascii="Times New Roman" w:hAnsi="Times New Roman"/>
          <w:color w:val="auto"/>
          <w:sz w:val="24"/>
          <w:szCs w:val="24"/>
        </w:rPr>
        <w:t>.3 Duitsland</w:t>
      </w:r>
      <w:r w:rsidR="008D6AE7" w:rsidRPr="00484DAF">
        <w:rPr>
          <w:rStyle w:val="Voetnootmarkering"/>
          <w:rFonts w:ascii="Times New Roman" w:hAnsi="Times New Roman"/>
          <w:color w:val="auto"/>
          <w:sz w:val="24"/>
          <w:szCs w:val="24"/>
        </w:rPr>
        <w:footnoteReference w:id="296"/>
      </w:r>
      <w:bookmarkEnd w:id="132"/>
    </w:p>
    <w:p w:rsidR="00F74411" w:rsidRPr="00484DAF" w:rsidRDefault="008D6AE7" w:rsidP="00CC552D">
      <w:pPr>
        <w:spacing w:after="0" w:line="360" w:lineRule="auto"/>
        <w:rPr>
          <w:sz w:val="24"/>
          <w:szCs w:val="24"/>
        </w:rPr>
      </w:pPr>
      <w:r w:rsidRPr="00484DAF">
        <w:rPr>
          <w:sz w:val="24"/>
          <w:szCs w:val="24"/>
        </w:rPr>
        <w:t xml:space="preserve">De Duitse omzetbelastingwet verwijst inzake de betekenis van “onroerend goed” naar het Duitse civiele recht. Dit zakenrecht merkt onroerend goed aan </w:t>
      </w:r>
      <w:r w:rsidR="00B0646F" w:rsidRPr="00484DAF">
        <w:rPr>
          <w:sz w:val="24"/>
          <w:szCs w:val="24"/>
        </w:rPr>
        <w:t xml:space="preserve">als </w:t>
      </w:r>
      <w:r w:rsidRPr="00484DAF">
        <w:rPr>
          <w:sz w:val="24"/>
          <w:szCs w:val="24"/>
        </w:rPr>
        <w:t xml:space="preserve">een ruimtelijk begrensd aardoppervlak welke staat ingeschreven in de onroerend goedregisters als afgescheiden </w:t>
      </w:r>
      <w:r w:rsidR="00BF0033" w:rsidRPr="00484DAF">
        <w:rPr>
          <w:sz w:val="24"/>
          <w:szCs w:val="24"/>
        </w:rPr>
        <w:t>landgoed (onbebouwd terrein dan wel een bouwterrein)</w:t>
      </w:r>
      <w:r w:rsidRPr="00484DAF">
        <w:rPr>
          <w:sz w:val="24"/>
          <w:szCs w:val="24"/>
        </w:rPr>
        <w:t xml:space="preserve">. </w:t>
      </w:r>
      <w:r w:rsidR="00BF0033" w:rsidRPr="00484DAF">
        <w:rPr>
          <w:sz w:val="24"/>
          <w:szCs w:val="24"/>
        </w:rPr>
        <w:t>Gebouwen en alles wat vast verbonden is aan gebouwen kan onderdeel vorm</w:t>
      </w:r>
      <w:r w:rsidR="00CB4906" w:rsidRPr="00484DAF">
        <w:rPr>
          <w:sz w:val="24"/>
          <w:szCs w:val="24"/>
        </w:rPr>
        <w:t>en</w:t>
      </w:r>
      <w:r w:rsidR="00BF0033" w:rsidRPr="00484DAF">
        <w:rPr>
          <w:sz w:val="24"/>
          <w:szCs w:val="24"/>
        </w:rPr>
        <w:t xml:space="preserve"> van die (on)bebouwde grond. Voor BTW-doeleinden dient onderscheid te worden gemaakt</w:t>
      </w:r>
      <w:r w:rsidR="00643852" w:rsidRPr="00484DAF">
        <w:rPr>
          <w:sz w:val="24"/>
          <w:szCs w:val="24"/>
        </w:rPr>
        <w:t xml:space="preserve"> tussen</w:t>
      </w:r>
      <w:r w:rsidR="00BF0033" w:rsidRPr="00484DAF">
        <w:rPr>
          <w:sz w:val="24"/>
          <w:szCs w:val="24"/>
        </w:rPr>
        <w:t xml:space="preserve"> </w:t>
      </w:r>
      <w:r w:rsidR="002851DF" w:rsidRPr="00484DAF">
        <w:rPr>
          <w:sz w:val="24"/>
          <w:szCs w:val="24"/>
        </w:rPr>
        <w:t xml:space="preserve">grond, gebouwen en bedrijfsinstallaties. Binnen het bereik van de BTW vallen enkel leveringen </w:t>
      </w:r>
      <w:r w:rsidR="00643852" w:rsidRPr="00484DAF">
        <w:rPr>
          <w:sz w:val="24"/>
          <w:szCs w:val="24"/>
        </w:rPr>
        <w:t xml:space="preserve">van onroerend goed </w:t>
      </w:r>
      <w:r w:rsidR="002851DF" w:rsidRPr="00484DAF">
        <w:rPr>
          <w:sz w:val="24"/>
          <w:szCs w:val="24"/>
        </w:rPr>
        <w:t>die door belastingplichtige personen worden gedaan en het onroerend goed dienst doet als bedrijfsmiddel in het kader van de onderneming</w:t>
      </w:r>
      <w:r w:rsidR="002851DF" w:rsidRPr="00484DAF">
        <w:rPr>
          <w:rStyle w:val="Voetnootmarkering"/>
          <w:sz w:val="24"/>
          <w:szCs w:val="24"/>
        </w:rPr>
        <w:footnoteReference w:id="297"/>
      </w:r>
      <w:r w:rsidR="002851DF" w:rsidRPr="00484DAF">
        <w:rPr>
          <w:sz w:val="24"/>
          <w:szCs w:val="24"/>
        </w:rPr>
        <w:t xml:space="preserve"> van belastingplichtige.</w:t>
      </w:r>
      <w:r w:rsidR="00AE196E" w:rsidRPr="00484DAF">
        <w:rPr>
          <w:sz w:val="24"/>
          <w:szCs w:val="24"/>
        </w:rPr>
        <w:t xml:space="preserve"> De Duitse omzetbelasting voorziet in een BTW-vrijstelling indien de levering van onroerend goed reeds is onderworpen aan ‘grunderwerbsteuergesetz’ (Duitse variant van de Nederlandse overdrachtsbelasting). De meest voorkomende levering in dezen is de levering door verkoop van onroerend goed. Voornoemde vrijstelling is echter niet van toepassing op de levering van bedrijfsinstallatie (die kwalificeren als bouwwerken) en de levering van onroerend goed waarbij is geopteerd voor belastingplicht</w:t>
      </w:r>
      <w:r w:rsidR="006F07BD" w:rsidRPr="00484DAF">
        <w:rPr>
          <w:rStyle w:val="Voetnootmarkering"/>
          <w:sz w:val="24"/>
          <w:szCs w:val="24"/>
        </w:rPr>
        <w:footnoteReference w:id="298"/>
      </w:r>
      <w:r w:rsidR="006F07BD" w:rsidRPr="00484DAF">
        <w:rPr>
          <w:sz w:val="24"/>
          <w:szCs w:val="24"/>
        </w:rPr>
        <w:t xml:space="preserve"> waardoor cumulatie van belastingen niet wordt voorkomen.</w:t>
      </w:r>
      <w:r w:rsidR="006F07BD" w:rsidRPr="00484DAF">
        <w:rPr>
          <w:rStyle w:val="Voetnootmarkering"/>
          <w:sz w:val="24"/>
          <w:szCs w:val="24"/>
        </w:rPr>
        <w:footnoteReference w:id="299"/>
      </w:r>
      <w:r w:rsidR="00AE196E" w:rsidRPr="00484DAF">
        <w:rPr>
          <w:rStyle w:val="Voetnootmarkering"/>
          <w:sz w:val="24"/>
          <w:szCs w:val="24"/>
        </w:rPr>
        <w:t xml:space="preserve"> </w:t>
      </w:r>
    </w:p>
    <w:p w:rsidR="00672D75" w:rsidRPr="00484DAF" w:rsidRDefault="00672D75" w:rsidP="00CC552D">
      <w:pPr>
        <w:pStyle w:val="Kop1"/>
        <w:spacing w:before="0" w:line="360" w:lineRule="auto"/>
        <w:rPr>
          <w:rFonts w:ascii="Times New Roman" w:hAnsi="Times New Roman"/>
          <w:color w:val="auto"/>
          <w:sz w:val="24"/>
          <w:szCs w:val="24"/>
        </w:rPr>
      </w:pPr>
    </w:p>
    <w:p w:rsidR="00F74411" w:rsidRPr="00484DAF" w:rsidRDefault="00ED07BC" w:rsidP="00CC552D">
      <w:pPr>
        <w:pStyle w:val="Kop1"/>
        <w:spacing w:before="0" w:line="360" w:lineRule="auto"/>
        <w:rPr>
          <w:rFonts w:ascii="Times New Roman" w:hAnsi="Times New Roman"/>
          <w:color w:val="auto"/>
          <w:sz w:val="24"/>
          <w:szCs w:val="24"/>
        </w:rPr>
      </w:pPr>
      <w:bookmarkStart w:id="133" w:name="_Toc254043984"/>
      <w:r w:rsidRPr="00484DAF">
        <w:rPr>
          <w:rFonts w:ascii="Times New Roman" w:hAnsi="Times New Roman"/>
          <w:color w:val="auto"/>
          <w:sz w:val="24"/>
          <w:szCs w:val="24"/>
        </w:rPr>
        <w:t>6</w:t>
      </w:r>
      <w:r w:rsidR="00F74411" w:rsidRPr="00484DAF">
        <w:rPr>
          <w:rFonts w:ascii="Times New Roman" w:hAnsi="Times New Roman"/>
          <w:color w:val="auto"/>
          <w:sz w:val="24"/>
          <w:szCs w:val="24"/>
        </w:rPr>
        <w:t>.4 Frankrijk</w:t>
      </w:r>
      <w:r w:rsidR="006B12FD" w:rsidRPr="00484DAF">
        <w:rPr>
          <w:rStyle w:val="Voetnootmarkering"/>
          <w:rFonts w:ascii="Times New Roman" w:hAnsi="Times New Roman"/>
          <w:color w:val="auto"/>
          <w:sz w:val="24"/>
          <w:szCs w:val="24"/>
        </w:rPr>
        <w:footnoteReference w:id="300"/>
      </w:r>
      <w:bookmarkEnd w:id="133"/>
    </w:p>
    <w:p w:rsidR="006B12FD" w:rsidRPr="00484DAF" w:rsidRDefault="00EB6E59" w:rsidP="00CC552D">
      <w:pPr>
        <w:spacing w:after="0" w:line="360" w:lineRule="auto"/>
        <w:rPr>
          <w:sz w:val="24"/>
          <w:szCs w:val="24"/>
        </w:rPr>
      </w:pPr>
      <w:r w:rsidRPr="00484DAF">
        <w:rPr>
          <w:sz w:val="24"/>
          <w:szCs w:val="24"/>
        </w:rPr>
        <w:t>In beginsel is levering van in Frankrijk gelegen onroerend goed vrijgesteld van BTW en onderworpen aan een registratiebelasting (lees: de Franse variant van de Nederland</w:t>
      </w:r>
      <w:r w:rsidR="00AF16A6" w:rsidRPr="00484DAF">
        <w:rPr>
          <w:sz w:val="24"/>
          <w:szCs w:val="24"/>
        </w:rPr>
        <w:t xml:space="preserve">se overdrachtsbelasting). De Franse omzetbelasting zelf kent geen definitie van onroerend goed, waardoor het burgerlijk wetboek dient te worden aangehaald. Onroerend goed bestaat naar </w:t>
      </w:r>
      <w:r w:rsidR="00E756AA" w:rsidRPr="00484DAF">
        <w:rPr>
          <w:sz w:val="24"/>
          <w:szCs w:val="24"/>
        </w:rPr>
        <w:t>Frans</w:t>
      </w:r>
      <w:r w:rsidR="00AF16A6" w:rsidRPr="00484DAF">
        <w:rPr>
          <w:sz w:val="24"/>
          <w:szCs w:val="24"/>
        </w:rPr>
        <w:t xml:space="preserve"> zakenrecht uit grond en/of gebouwen, goederen die dienstbaar zijn aan het onroerend goed en goederen welke vast verbonden zijn met onroerend goed als gebouwen, wegen, parkeerplaatsen</w:t>
      </w:r>
      <w:r w:rsidR="005F76EE" w:rsidRPr="00484DAF">
        <w:rPr>
          <w:sz w:val="24"/>
          <w:szCs w:val="24"/>
        </w:rPr>
        <w:t xml:space="preserve">, tunnels en dammen. De hoofdregel luidt dat levering van grond of een gebouw belast wordt met ‘overdrachtsbelasting’, maar vrijgesteld van deze belasting (en tegelijkertijd onderworpen aan BTW-heffing) zijn de levering van onroerend goed in </w:t>
      </w:r>
      <w:r w:rsidR="00E5388A" w:rsidRPr="00484DAF">
        <w:rPr>
          <w:sz w:val="24"/>
          <w:szCs w:val="24"/>
        </w:rPr>
        <w:t>de bouwfase</w:t>
      </w:r>
      <w:r w:rsidR="005F76EE" w:rsidRPr="00484DAF">
        <w:rPr>
          <w:sz w:val="24"/>
          <w:szCs w:val="24"/>
        </w:rPr>
        <w:t xml:space="preserve">, leveringen door vastgoedhandelaren, leveringen door diegene </w:t>
      </w:r>
      <w:r w:rsidR="00CF0AC6" w:rsidRPr="00484DAF">
        <w:rPr>
          <w:sz w:val="24"/>
          <w:szCs w:val="24"/>
        </w:rPr>
        <w:t>die zijn land in kavels verdeelt</w:t>
      </w:r>
      <w:r w:rsidR="005F76EE" w:rsidRPr="00484DAF">
        <w:rPr>
          <w:sz w:val="24"/>
          <w:szCs w:val="24"/>
        </w:rPr>
        <w:t xml:space="preserve"> en doorverkoopt en onroerend goedtransacties welke door bemiddeling tot stand komen.</w:t>
      </w:r>
      <w:r w:rsidR="00811D9B" w:rsidRPr="00484DAF">
        <w:rPr>
          <w:sz w:val="24"/>
          <w:szCs w:val="24"/>
        </w:rPr>
        <w:t xml:space="preserve"> Onder </w:t>
      </w:r>
      <w:r w:rsidR="00E5388A" w:rsidRPr="00484DAF">
        <w:rPr>
          <w:sz w:val="24"/>
          <w:szCs w:val="24"/>
        </w:rPr>
        <w:t xml:space="preserve">de bouwfase </w:t>
      </w:r>
      <w:r w:rsidR="00811D9B" w:rsidRPr="00484DAF">
        <w:rPr>
          <w:sz w:val="24"/>
          <w:szCs w:val="24"/>
        </w:rPr>
        <w:t xml:space="preserve">wordt daarbij verstaan </w:t>
      </w:r>
      <w:r w:rsidR="00F5535F" w:rsidRPr="00484DAF">
        <w:rPr>
          <w:sz w:val="24"/>
          <w:szCs w:val="24"/>
        </w:rPr>
        <w:t>de aankoop van een bouwterrein of onroerend goed bestemd om een bouwterrein te worden, de bouw van nieuw onroerend goed en opeenvolgende verkopen van nieuw onroerend goed (gebouwen en andere bouwwerken).</w:t>
      </w:r>
      <w:r w:rsidR="00DA5DA4" w:rsidRPr="00484DAF">
        <w:rPr>
          <w:rStyle w:val="Voetnootmarkering"/>
          <w:sz w:val="24"/>
          <w:szCs w:val="24"/>
        </w:rPr>
        <w:footnoteReference w:id="301"/>
      </w:r>
      <w:r w:rsidR="00DA5DA4" w:rsidRPr="00484DAF">
        <w:rPr>
          <w:sz w:val="24"/>
          <w:szCs w:val="24"/>
        </w:rPr>
        <w:t xml:space="preserve"> </w:t>
      </w:r>
      <w:r w:rsidR="00756180" w:rsidRPr="00484DAF">
        <w:rPr>
          <w:sz w:val="24"/>
          <w:szCs w:val="24"/>
        </w:rPr>
        <w:t xml:space="preserve">Onder </w:t>
      </w:r>
      <w:r w:rsidR="00E5388A" w:rsidRPr="00484DAF">
        <w:rPr>
          <w:sz w:val="24"/>
          <w:szCs w:val="24"/>
        </w:rPr>
        <w:t xml:space="preserve">de bouwfase wordt niet </w:t>
      </w:r>
      <w:r w:rsidR="00756180" w:rsidRPr="00484DAF">
        <w:rPr>
          <w:sz w:val="24"/>
          <w:szCs w:val="24"/>
        </w:rPr>
        <w:t xml:space="preserve">verstaan verbouwing en renovatiewerkzaamheden. </w:t>
      </w:r>
    </w:p>
    <w:p w:rsidR="00672D75" w:rsidRPr="00484DAF" w:rsidRDefault="00672D75" w:rsidP="00CC552D">
      <w:pPr>
        <w:spacing w:after="0" w:line="360" w:lineRule="auto"/>
        <w:rPr>
          <w:sz w:val="24"/>
          <w:szCs w:val="24"/>
        </w:rPr>
      </w:pPr>
    </w:p>
    <w:p w:rsidR="006B12FD" w:rsidRPr="00484DAF" w:rsidRDefault="00756180" w:rsidP="00CC552D">
      <w:pPr>
        <w:spacing w:after="0" w:line="360" w:lineRule="auto"/>
        <w:rPr>
          <w:sz w:val="24"/>
          <w:szCs w:val="24"/>
        </w:rPr>
      </w:pPr>
      <w:r w:rsidRPr="00484DAF">
        <w:rPr>
          <w:sz w:val="24"/>
          <w:szCs w:val="24"/>
        </w:rPr>
        <w:t xml:space="preserve">Bouwterrein wordt breed gedefinieerd, namelijk als alle onroerend goed bestemd voor bouwwerkzaamheden. Zodoende is niet alleen maagdelijke grond, maar ook voor sloop bestemde, reeds bestaande, incomplete gebouwen. </w:t>
      </w:r>
      <w:r w:rsidR="00F74411" w:rsidRPr="00484DAF">
        <w:rPr>
          <w:sz w:val="24"/>
          <w:szCs w:val="24"/>
        </w:rPr>
        <w:t xml:space="preserve">De BTW-wetgeving in Frankrijk </w:t>
      </w:r>
      <w:r w:rsidR="00ED07BC" w:rsidRPr="00484DAF">
        <w:rPr>
          <w:sz w:val="24"/>
          <w:szCs w:val="24"/>
        </w:rPr>
        <w:t>is een goed voorbeeld waarin overeenkomstig de bedoeling van de richtlijngever om levering in de bouw- en handelsfase te belasten</w:t>
      </w:r>
      <w:r w:rsidR="00E5388A" w:rsidRPr="00484DAF">
        <w:rPr>
          <w:sz w:val="24"/>
          <w:szCs w:val="24"/>
        </w:rPr>
        <w:t xml:space="preserve"> wordt uitgevoerd</w:t>
      </w:r>
      <w:r w:rsidR="00ED07BC" w:rsidRPr="00484DAF">
        <w:rPr>
          <w:sz w:val="24"/>
          <w:szCs w:val="24"/>
        </w:rPr>
        <w:t xml:space="preserve">. </w:t>
      </w:r>
      <w:r w:rsidR="005C1082" w:rsidRPr="00484DAF">
        <w:rPr>
          <w:sz w:val="24"/>
          <w:szCs w:val="24"/>
        </w:rPr>
        <w:t xml:space="preserve">Van belang is namelijk de bestemming op het moment van levering en niet de feitelijke situatie. </w:t>
      </w:r>
      <w:r w:rsidR="00ED07BC" w:rsidRPr="00484DAF">
        <w:rPr>
          <w:sz w:val="24"/>
          <w:szCs w:val="24"/>
        </w:rPr>
        <w:t xml:space="preserve">Niet van belang is de feitelijke staat waarin de grond zich bevindt ten tijde van de levering. </w:t>
      </w:r>
      <w:r w:rsidR="00B72D52" w:rsidRPr="00484DAF">
        <w:rPr>
          <w:sz w:val="24"/>
          <w:szCs w:val="24"/>
        </w:rPr>
        <w:t>Kortom, i</w:t>
      </w:r>
      <w:r w:rsidR="00ED07BC" w:rsidRPr="00484DAF">
        <w:rPr>
          <w:sz w:val="24"/>
          <w:szCs w:val="24"/>
        </w:rPr>
        <w:t>ndien Franse grond met opstallen wordt geleverd en deze opstallen als bestemming sloop met het oog op bebouwing</w:t>
      </w:r>
      <w:r w:rsidR="00E5388A" w:rsidRPr="00484DAF">
        <w:rPr>
          <w:sz w:val="24"/>
          <w:szCs w:val="24"/>
        </w:rPr>
        <w:t xml:space="preserve"> </w:t>
      </w:r>
      <w:r w:rsidR="00A30190" w:rsidRPr="00484DAF">
        <w:rPr>
          <w:sz w:val="24"/>
          <w:szCs w:val="24"/>
        </w:rPr>
        <w:t>hebben</w:t>
      </w:r>
      <w:r w:rsidR="00ED07BC" w:rsidRPr="00484DAF">
        <w:rPr>
          <w:sz w:val="24"/>
          <w:szCs w:val="24"/>
        </w:rPr>
        <w:t>, is de levering belast met omzetbelasting</w:t>
      </w:r>
      <w:r w:rsidR="005C1082" w:rsidRPr="00484DAF">
        <w:rPr>
          <w:sz w:val="24"/>
          <w:szCs w:val="24"/>
        </w:rPr>
        <w:t>.</w:t>
      </w:r>
      <w:r w:rsidR="00B72D52" w:rsidRPr="00484DAF">
        <w:rPr>
          <w:rStyle w:val="Voetnootmarkering"/>
          <w:sz w:val="24"/>
          <w:szCs w:val="24"/>
        </w:rPr>
        <w:footnoteReference w:id="302"/>
      </w:r>
      <w:r w:rsidR="00B72D52" w:rsidRPr="00484DAF">
        <w:rPr>
          <w:sz w:val="24"/>
          <w:szCs w:val="24"/>
        </w:rPr>
        <w:t xml:space="preserve"> Hieruit volgt dat de status ‘onbebouwd’ geen rol speelt in de kwalificatie van bouwterrein.</w:t>
      </w:r>
      <w:r w:rsidRPr="00484DAF">
        <w:rPr>
          <w:sz w:val="24"/>
          <w:szCs w:val="24"/>
        </w:rPr>
        <w:t xml:space="preserve"> </w:t>
      </w:r>
    </w:p>
    <w:p w:rsidR="00F74411" w:rsidRPr="00484DAF" w:rsidRDefault="00A30190" w:rsidP="00CC552D">
      <w:pPr>
        <w:spacing w:after="0" w:line="360" w:lineRule="auto"/>
        <w:rPr>
          <w:sz w:val="24"/>
          <w:szCs w:val="24"/>
        </w:rPr>
      </w:pPr>
      <w:r w:rsidRPr="00484DAF">
        <w:rPr>
          <w:sz w:val="24"/>
          <w:szCs w:val="24"/>
        </w:rPr>
        <w:lastRenderedPageBreak/>
        <w:t>Dat de bouwfase sowieso bepal</w:t>
      </w:r>
      <w:r w:rsidR="006B12FD" w:rsidRPr="00484DAF">
        <w:rPr>
          <w:sz w:val="24"/>
          <w:szCs w:val="24"/>
        </w:rPr>
        <w:t>en</w:t>
      </w:r>
      <w:r w:rsidRPr="00484DAF">
        <w:rPr>
          <w:sz w:val="24"/>
          <w:szCs w:val="24"/>
        </w:rPr>
        <w:t>d is in de omzetbelastingheffing blijkt uit het feit dat de levering (in welke vorm dan ook) van onroerend goed alleen belast is als aa</w:t>
      </w:r>
      <w:r w:rsidR="006B12FD" w:rsidRPr="00484DAF">
        <w:rPr>
          <w:sz w:val="24"/>
          <w:szCs w:val="24"/>
        </w:rPr>
        <w:t xml:space="preserve">n één van de volgende voorwaarden is voldaan: (1) het onroerend goed niet volledig is afgebouwd of (2) indien het onroerend wel volledig is afgebouwd, de bouwfase niet langer heeft geduurd dan vijf jaar, het gaat om de eerste levering na voltooiing van het werk en het onroerend goed niet wordt verkocht aan een vastgoedhandelaar. </w:t>
      </w:r>
      <w:r w:rsidR="00756180" w:rsidRPr="00484DAF">
        <w:rPr>
          <w:sz w:val="24"/>
          <w:szCs w:val="24"/>
        </w:rPr>
        <w:t xml:space="preserve">Opvallend is verder de manier waarop de koper van een bouwterrein aan BTW wordt onderworpen. In de aankoopovereenkomst verplicht koper zichzelf </w:t>
      </w:r>
      <w:r w:rsidR="00DF4ED5" w:rsidRPr="00484DAF">
        <w:rPr>
          <w:sz w:val="24"/>
          <w:szCs w:val="24"/>
        </w:rPr>
        <w:t xml:space="preserve">tot </w:t>
      </w:r>
      <w:r w:rsidR="00756180" w:rsidRPr="00484DAF">
        <w:rPr>
          <w:sz w:val="24"/>
          <w:szCs w:val="24"/>
        </w:rPr>
        <w:t xml:space="preserve">het </w:t>
      </w:r>
      <w:r w:rsidR="00DD68D0" w:rsidRPr="00484DAF">
        <w:rPr>
          <w:sz w:val="24"/>
          <w:szCs w:val="24"/>
        </w:rPr>
        <w:t>bouwen van voorgenomen gebouwen of andere bouwwerken binnen vier jaar. Bij aanvang van de bouwwerkzaamheden binnen die vier jaar wordt aut</w:t>
      </w:r>
      <w:r w:rsidR="00CF0AC6" w:rsidRPr="00484DAF">
        <w:rPr>
          <w:sz w:val="24"/>
          <w:szCs w:val="24"/>
        </w:rPr>
        <w:t>omatisch de bouwperiode verlengd</w:t>
      </w:r>
      <w:r w:rsidR="00DD68D0" w:rsidRPr="00484DAF">
        <w:rPr>
          <w:sz w:val="24"/>
          <w:szCs w:val="24"/>
        </w:rPr>
        <w:t xml:space="preserve"> met één jaar. In geval van overmacht kan de periode </w:t>
      </w:r>
      <w:r w:rsidR="00CF0AC6" w:rsidRPr="00484DAF">
        <w:rPr>
          <w:sz w:val="24"/>
          <w:szCs w:val="24"/>
        </w:rPr>
        <w:t>met nog één jaar worden verlengd</w:t>
      </w:r>
      <w:r w:rsidR="00DD68D0" w:rsidRPr="00484DAF">
        <w:rPr>
          <w:sz w:val="24"/>
          <w:szCs w:val="24"/>
        </w:rPr>
        <w:t>.</w:t>
      </w:r>
    </w:p>
    <w:p w:rsidR="00672D75" w:rsidRPr="00484DAF" w:rsidRDefault="00672D75" w:rsidP="00CC552D">
      <w:pPr>
        <w:pStyle w:val="Kop1"/>
        <w:spacing w:before="0" w:line="360" w:lineRule="auto"/>
        <w:rPr>
          <w:rFonts w:ascii="Times New Roman" w:hAnsi="Times New Roman"/>
          <w:color w:val="auto"/>
          <w:sz w:val="24"/>
          <w:szCs w:val="24"/>
        </w:rPr>
      </w:pPr>
    </w:p>
    <w:p w:rsidR="00F74411" w:rsidRPr="00484DAF" w:rsidRDefault="00ED07BC" w:rsidP="00CC552D">
      <w:pPr>
        <w:pStyle w:val="Kop1"/>
        <w:spacing w:before="0" w:line="360" w:lineRule="auto"/>
        <w:rPr>
          <w:rFonts w:ascii="Times New Roman" w:hAnsi="Times New Roman"/>
          <w:color w:val="auto"/>
          <w:sz w:val="24"/>
          <w:szCs w:val="24"/>
        </w:rPr>
      </w:pPr>
      <w:bookmarkStart w:id="134" w:name="_Toc254043985"/>
      <w:r w:rsidRPr="00484DAF">
        <w:rPr>
          <w:rFonts w:ascii="Times New Roman" w:hAnsi="Times New Roman"/>
          <w:color w:val="auto"/>
          <w:sz w:val="24"/>
          <w:szCs w:val="24"/>
        </w:rPr>
        <w:t>6.5</w:t>
      </w:r>
      <w:r w:rsidR="00E347FA" w:rsidRPr="00484DAF">
        <w:rPr>
          <w:rFonts w:ascii="Times New Roman" w:hAnsi="Times New Roman"/>
          <w:color w:val="auto"/>
          <w:sz w:val="24"/>
          <w:szCs w:val="24"/>
        </w:rPr>
        <w:t xml:space="preserve"> Verenigd</w:t>
      </w:r>
      <w:r w:rsidR="00F74411" w:rsidRPr="00484DAF">
        <w:rPr>
          <w:rFonts w:ascii="Times New Roman" w:hAnsi="Times New Roman"/>
          <w:color w:val="auto"/>
          <w:sz w:val="24"/>
          <w:szCs w:val="24"/>
        </w:rPr>
        <w:t xml:space="preserve"> Koninkrijk</w:t>
      </w:r>
      <w:r w:rsidR="008E452E" w:rsidRPr="00484DAF">
        <w:rPr>
          <w:rStyle w:val="Voetnootmarkering"/>
          <w:rFonts w:ascii="Times New Roman" w:hAnsi="Times New Roman"/>
          <w:color w:val="auto"/>
          <w:sz w:val="24"/>
          <w:szCs w:val="24"/>
        </w:rPr>
        <w:footnoteReference w:id="303"/>
      </w:r>
      <w:bookmarkEnd w:id="134"/>
    </w:p>
    <w:p w:rsidR="00F74411" w:rsidRPr="00484DAF" w:rsidRDefault="00F73C35" w:rsidP="00CC552D">
      <w:pPr>
        <w:spacing w:after="0" w:line="360" w:lineRule="auto"/>
        <w:rPr>
          <w:sz w:val="24"/>
          <w:szCs w:val="24"/>
        </w:rPr>
      </w:pPr>
      <w:r w:rsidRPr="00484DAF">
        <w:rPr>
          <w:sz w:val="24"/>
          <w:szCs w:val="24"/>
        </w:rPr>
        <w:t xml:space="preserve">De Britse BTW-wetgeving kent geen </w:t>
      </w:r>
      <w:r w:rsidR="00C50F8A" w:rsidRPr="00484DAF">
        <w:rPr>
          <w:sz w:val="24"/>
          <w:szCs w:val="24"/>
        </w:rPr>
        <w:t>definitie van onroerend goed. Aangenomen</w:t>
      </w:r>
      <w:r w:rsidR="00C50F8A" w:rsidRPr="00484DAF">
        <w:rPr>
          <w:rStyle w:val="Voetnootmarkering"/>
          <w:sz w:val="24"/>
          <w:szCs w:val="24"/>
        </w:rPr>
        <w:footnoteReference w:id="304"/>
      </w:r>
      <w:r w:rsidR="00C50F8A" w:rsidRPr="00484DAF">
        <w:rPr>
          <w:sz w:val="24"/>
          <w:szCs w:val="24"/>
        </w:rPr>
        <w:t xml:space="preserve"> wordt dat daaronder vallen landbouwgrond en bouwterreinen tezamen met daarop gelegen gebouwen welke zo wel een huisvesting-, commerciële als agrarische functie kunnen hebben. </w:t>
      </w:r>
      <w:r w:rsidR="002722DD" w:rsidRPr="00484DAF">
        <w:rPr>
          <w:sz w:val="24"/>
          <w:szCs w:val="24"/>
        </w:rPr>
        <w:t>Belast met BTW is de verkoop van nieuw onroerend goed (gebouwen en bedrijfsinstallaties), zijnde onroerend goed dat ten tijde van de levering niet ouder is dan drie jaar. Binnen deze drie jaar dient overigens over alle leveringen BTW te worden voldaan. Oud onroerend goed</w:t>
      </w:r>
      <w:r w:rsidR="002722DD" w:rsidRPr="00484DAF">
        <w:rPr>
          <w:rStyle w:val="Voetnootmarkering"/>
          <w:sz w:val="24"/>
          <w:szCs w:val="24"/>
        </w:rPr>
        <w:footnoteReference w:id="305"/>
      </w:r>
      <w:r w:rsidR="002722DD" w:rsidRPr="00484DAF">
        <w:rPr>
          <w:sz w:val="24"/>
          <w:szCs w:val="24"/>
        </w:rPr>
        <w:t xml:space="preserve"> is vrijgesteld van BTW. In beginsel is de levering van grond vrijgesteld van BTW-heffing, tenzij wordt geopteerd voor BTW-plicht</w:t>
      </w:r>
      <w:r w:rsidR="00FC198B" w:rsidRPr="00484DAF">
        <w:rPr>
          <w:sz w:val="24"/>
          <w:szCs w:val="24"/>
        </w:rPr>
        <w:t>.</w:t>
      </w:r>
      <w:r w:rsidR="00FC198B" w:rsidRPr="00484DAF">
        <w:rPr>
          <w:rStyle w:val="Voetnootmarkering"/>
          <w:sz w:val="24"/>
          <w:szCs w:val="24"/>
        </w:rPr>
        <w:footnoteReference w:id="306"/>
      </w:r>
      <w:r w:rsidR="002722DD" w:rsidRPr="00484DAF">
        <w:rPr>
          <w:sz w:val="24"/>
          <w:szCs w:val="24"/>
        </w:rPr>
        <w:t xml:space="preserve"> </w:t>
      </w:r>
      <w:r w:rsidR="00B72D52" w:rsidRPr="00484DAF">
        <w:rPr>
          <w:sz w:val="24"/>
          <w:szCs w:val="24"/>
        </w:rPr>
        <w:t xml:space="preserve">Evenals in Frankrijk is in het Verenigd Koninkrijk de bedoeling van de koper van doorslaggevende betekenis voor de vraag of sprake is van een bouwterrein. Deze intentie leidt ertoe dat de levering in de bouw- en handelsfase van als bouwterrein kwalificerende grond in de BTW-heffing wordt betrokken. </w:t>
      </w:r>
      <w:r w:rsidR="006F2ED0" w:rsidRPr="00484DAF">
        <w:rPr>
          <w:sz w:val="24"/>
          <w:szCs w:val="24"/>
        </w:rPr>
        <w:t>Daarbij mag de grond (al dan niet gedeeltelijk) bebouwd zijn zolang de kosten van bewerkingen en</w:t>
      </w:r>
      <w:r w:rsidR="00672D75" w:rsidRPr="00484DAF">
        <w:rPr>
          <w:sz w:val="24"/>
          <w:szCs w:val="24"/>
        </w:rPr>
        <w:t xml:space="preserve"> </w:t>
      </w:r>
      <w:r w:rsidR="006F2ED0" w:rsidRPr="00484DAF">
        <w:rPr>
          <w:sz w:val="24"/>
          <w:szCs w:val="24"/>
        </w:rPr>
        <w:lastRenderedPageBreak/>
        <w:t>bouwwerkzaamheden niet bijkomstig</w:t>
      </w:r>
      <w:r w:rsidR="005B2D27" w:rsidRPr="00484DAF">
        <w:rPr>
          <w:rStyle w:val="Voetnootmarkering"/>
          <w:sz w:val="24"/>
          <w:szCs w:val="24"/>
        </w:rPr>
        <w:footnoteReference w:id="307"/>
      </w:r>
      <w:r w:rsidR="006F2ED0" w:rsidRPr="00484DAF">
        <w:rPr>
          <w:sz w:val="24"/>
          <w:szCs w:val="24"/>
        </w:rPr>
        <w:t xml:space="preserve"> zijn in vergelijking met het perceel dan wel het (bestaande) gebouw.</w:t>
      </w:r>
      <w:r w:rsidR="006F2ED0" w:rsidRPr="00484DAF">
        <w:rPr>
          <w:rStyle w:val="Voetnootmarkering"/>
          <w:sz w:val="24"/>
          <w:szCs w:val="24"/>
        </w:rPr>
        <w:footnoteReference w:id="308"/>
      </w:r>
    </w:p>
    <w:p w:rsidR="00672D75" w:rsidRPr="00484DAF" w:rsidRDefault="00672D75" w:rsidP="00CC552D">
      <w:pPr>
        <w:pStyle w:val="Kop1"/>
        <w:spacing w:before="0" w:line="360" w:lineRule="auto"/>
        <w:rPr>
          <w:rFonts w:ascii="Times New Roman" w:hAnsi="Times New Roman"/>
          <w:color w:val="auto"/>
          <w:sz w:val="24"/>
          <w:szCs w:val="24"/>
        </w:rPr>
      </w:pPr>
    </w:p>
    <w:p w:rsidR="00F74411" w:rsidRPr="00484DAF" w:rsidRDefault="00ED07BC" w:rsidP="00CC552D">
      <w:pPr>
        <w:pStyle w:val="Kop1"/>
        <w:spacing w:before="0" w:line="360" w:lineRule="auto"/>
        <w:rPr>
          <w:rFonts w:ascii="Times New Roman" w:hAnsi="Times New Roman"/>
          <w:color w:val="auto"/>
          <w:sz w:val="24"/>
          <w:szCs w:val="24"/>
        </w:rPr>
      </w:pPr>
      <w:bookmarkStart w:id="135" w:name="_Toc254043986"/>
      <w:r w:rsidRPr="00484DAF">
        <w:rPr>
          <w:rFonts w:ascii="Times New Roman" w:hAnsi="Times New Roman"/>
          <w:color w:val="auto"/>
          <w:sz w:val="24"/>
          <w:szCs w:val="24"/>
        </w:rPr>
        <w:t>6</w:t>
      </w:r>
      <w:r w:rsidR="00F74411" w:rsidRPr="00484DAF">
        <w:rPr>
          <w:rFonts w:ascii="Times New Roman" w:hAnsi="Times New Roman"/>
          <w:color w:val="auto"/>
          <w:sz w:val="24"/>
          <w:szCs w:val="24"/>
        </w:rPr>
        <w:t>.6 Spanje</w:t>
      </w:r>
      <w:r w:rsidR="00DD1C48" w:rsidRPr="00484DAF">
        <w:rPr>
          <w:rStyle w:val="Voetnootmarkering"/>
          <w:rFonts w:ascii="Times New Roman" w:hAnsi="Times New Roman"/>
          <w:color w:val="auto"/>
          <w:sz w:val="24"/>
          <w:szCs w:val="24"/>
        </w:rPr>
        <w:footnoteReference w:id="309"/>
      </w:r>
      <w:bookmarkEnd w:id="135"/>
    </w:p>
    <w:p w:rsidR="004A3C49" w:rsidRPr="00484DAF" w:rsidRDefault="00DD1C48" w:rsidP="00CC552D">
      <w:pPr>
        <w:spacing w:after="0" w:line="360" w:lineRule="auto"/>
        <w:rPr>
          <w:sz w:val="24"/>
          <w:szCs w:val="24"/>
        </w:rPr>
      </w:pPr>
      <w:r w:rsidRPr="00484DAF">
        <w:rPr>
          <w:sz w:val="24"/>
          <w:szCs w:val="24"/>
        </w:rPr>
        <w:t xml:space="preserve">Onroerend goed behelst in Spanje voor BTW-doeleinden grond met bouwbestemming en gebouwen. De Spaanse omzetbelastingwet benoemt als gebouw: woningen, kantoorgebouw, dijken, reservoirs, bedrijfsinstallaties, </w:t>
      </w:r>
      <w:r w:rsidR="00B675C5" w:rsidRPr="00484DAF">
        <w:rPr>
          <w:sz w:val="24"/>
          <w:szCs w:val="24"/>
        </w:rPr>
        <w:t>havens, vliegvelden, marktplaatsen, sport- en vermaakinstallaties (welke niet aanhorig zijn aan een ander bouwwerk), straten, waterwegen, spoorwegen, (snel)wegen en andere verbindingswegen, bruggen, viaducten, tunnels en kabelbanen (mits sprake is van een vast met de grond verbonden installatie). Niet onder de noe</w:t>
      </w:r>
      <w:r w:rsidR="00AE3364" w:rsidRPr="00484DAF">
        <w:rPr>
          <w:sz w:val="24"/>
          <w:szCs w:val="24"/>
        </w:rPr>
        <w:t>mer gebouw (althans voor de BTW)</w:t>
      </w:r>
      <w:r w:rsidR="00B675C5" w:rsidRPr="00484DAF">
        <w:rPr>
          <w:sz w:val="24"/>
          <w:szCs w:val="24"/>
        </w:rPr>
        <w:t xml:space="preserve"> vallen: stedelijke werken benodigd voor</w:t>
      </w:r>
      <w:r w:rsidR="00CF0AC6" w:rsidRPr="00484DAF">
        <w:rPr>
          <w:sz w:val="24"/>
          <w:szCs w:val="24"/>
        </w:rPr>
        <w:t xml:space="preserve"> </w:t>
      </w:r>
      <w:r w:rsidR="00B675C5" w:rsidRPr="00484DAF">
        <w:rPr>
          <w:sz w:val="24"/>
          <w:szCs w:val="24"/>
        </w:rPr>
        <w:t>levering van gas en water</w:t>
      </w:r>
      <w:r w:rsidR="00C9041E" w:rsidRPr="00484DAF">
        <w:rPr>
          <w:sz w:val="24"/>
          <w:szCs w:val="24"/>
        </w:rPr>
        <w:t xml:space="preserve">, waterleidingen, elektriciteit- en telefoonkabels, trottoirs, gebouwen welke toebehoren aan boerenbedrijven, </w:t>
      </w:r>
      <w:r w:rsidR="00A26A0E" w:rsidRPr="00484DAF">
        <w:rPr>
          <w:sz w:val="24"/>
          <w:szCs w:val="24"/>
        </w:rPr>
        <w:t>machines</w:t>
      </w:r>
      <w:r w:rsidR="00C9041E" w:rsidRPr="00484DAF">
        <w:rPr>
          <w:sz w:val="24"/>
          <w:szCs w:val="24"/>
        </w:rPr>
        <w:t>, standbeelden, sculpturen en dergelijke, mijnen, olie- en gasbronnen.</w:t>
      </w:r>
      <w:r w:rsidR="00C9041E" w:rsidRPr="00484DAF">
        <w:rPr>
          <w:rStyle w:val="Voetnootmarkering"/>
          <w:sz w:val="24"/>
          <w:szCs w:val="24"/>
        </w:rPr>
        <w:footnoteReference w:id="310"/>
      </w:r>
      <w:r w:rsidR="00C9041E" w:rsidRPr="00484DAF">
        <w:rPr>
          <w:sz w:val="24"/>
          <w:szCs w:val="24"/>
        </w:rPr>
        <w:t xml:space="preserve"> </w:t>
      </w:r>
    </w:p>
    <w:p w:rsidR="00672D75" w:rsidRPr="00484DAF" w:rsidRDefault="00672D75" w:rsidP="00CC552D">
      <w:pPr>
        <w:pStyle w:val="Geenafstand"/>
        <w:spacing w:line="360" w:lineRule="auto"/>
        <w:rPr>
          <w:sz w:val="24"/>
          <w:szCs w:val="24"/>
        </w:rPr>
      </w:pPr>
    </w:p>
    <w:p w:rsidR="004A3C49" w:rsidRPr="00484DAF" w:rsidRDefault="00551F8B" w:rsidP="00CC552D">
      <w:pPr>
        <w:spacing w:after="0" w:line="360" w:lineRule="auto"/>
        <w:rPr>
          <w:sz w:val="24"/>
          <w:szCs w:val="24"/>
        </w:rPr>
      </w:pPr>
      <w:r w:rsidRPr="00484DAF">
        <w:rPr>
          <w:sz w:val="24"/>
          <w:szCs w:val="24"/>
        </w:rPr>
        <w:t>BTW dient te worden voldaan over de levering van ontwikkelde (lees: bouwrijp) grond of grond dat wordt bewerkt om bouwrijp te worden.</w:t>
      </w:r>
      <w:r w:rsidR="00960DE9" w:rsidRPr="00484DAF">
        <w:rPr>
          <w:sz w:val="24"/>
          <w:szCs w:val="24"/>
        </w:rPr>
        <w:t xml:space="preserve"> </w:t>
      </w:r>
      <w:r w:rsidRPr="00484DAF">
        <w:rPr>
          <w:sz w:val="24"/>
          <w:szCs w:val="24"/>
        </w:rPr>
        <w:t>Voorts wordt in de BTW-heffing betrokken levering</w:t>
      </w:r>
      <w:r w:rsidR="004B2DC6" w:rsidRPr="00484DAF">
        <w:rPr>
          <w:sz w:val="24"/>
          <w:szCs w:val="24"/>
        </w:rPr>
        <w:t>en</w:t>
      </w:r>
      <w:r w:rsidRPr="00484DAF">
        <w:rPr>
          <w:sz w:val="24"/>
          <w:szCs w:val="24"/>
        </w:rPr>
        <w:t xml:space="preserve"> </w:t>
      </w:r>
      <w:r w:rsidR="004B2DC6" w:rsidRPr="00484DAF">
        <w:rPr>
          <w:sz w:val="24"/>
          <w:szCs w:val="24"/>
        </w:rPr>
        <w:t>binnen twee jaar na de eerste levering</w:t>
      </w:r>
      <w:r w:rsidR="000243D8" w:rsidRPr="00484DAF">
        <w:rPr>
          <w:sz w:val="24"/>
          <w:szCs w:val="24"/>
        </w:rPr>
        <w:t xml:space="preserve"> of verbouwing</w:t>
      </w:r>
      <w:r w:rsidR="004B2DC6" w:rsidRPr="00484DAF">
        <w:rPr>
          <w:sz w:val="24"/>
          <w:szCs w:val="24"/>
        </w:rPr>
        <w:t xml:space="preserve"> </w:t>
      </w:r>
      <w:r w:rsidRPr="00484DAF">
        <w:rPr>
          <w:sz w:val="24"/>
          <w:szCs w:val="24"/>
        </w:rPr>
        <w:t xml:space="preserve">van </w:t>
      </w:r>
      <w:r w:rsidR="00D055B8" w:rsidRPr="00484DAF">
        <w:rPr>
          <w:sz w:val="24"/>
          <w:szCs w:val="24"/>
        </w:rPr>
        <w:t xml:space="preserve">een </w:t>
      </w:r>
      <w:r w:rsidRPr="00484DAF">
        <w:rPr>
          <w:sz w:val="24"/>
          <w:szCs w:val="24"/>
        </w:rPr>
        <w:t>gebouw</w:t>
      </w:r>
      <w:r w:rsidR="004B2DC6" w:rsidRPr="00484DAF">
        <w:rPr>
          <w:sz w:val="24"/>
          <w:szCs w:val="24"/>
        </w:rPr>
        <w:t xml:space="preserve"> (al dan niet een gedeelte daarvan). Daar aan doet het feit dat een projectontwikkelaar eerst zelf (meer dan) twee jaar van het gebouw gebruikmaakt of vo</w:t>
      </w:r>
      <w:r w:rsidR="00CF0AC6" w:rsidRPr="00484DAF">
        <w:rPr>
          <w:sz w:val="24"/>
          <w:szCs w:val="24"/>
        </w:rPr>
        <w:t>or dezelfde periode verhuurt</w:t>
      </w:r>
      <w:r w:rsidR="004B2DC6" w:rsidRPr="00484DAF">
        <w:rPr>
          <w:sz w:val="24"/>
          <w:szCs w:val="24"/>
        </w:rPr>
        <w:t xml:space="preserve"> niet af. Alsdan wordt als eerste levering aangemerkt de eerste levering na toepassing van voornoemde ‘constructie’ en is deze belast met BTW. Voorts wordt in dat geval ook Spaanse ‘overdrachtsbelasting’</w:t>
      </w:r>
      <w:r w:rsidR="004F452D" w:rsidRPr="00484DAF">
        <w:rPr>
          <w:sz w:val="24"/>
          <w:szCs w:val="24"/>
        </w:rPr>
        <w:t xml:space="preserve"> geheven, welke anders van rechtswege zou zijn vrijgesteld. Dit in het kader dat wordt getracht samenloop tussen Spaanse omzetbelasting en genoemde ‘transfer tax’ te beperken. In geval wordt geopteerd voor een belaste levering is de levering conform de hoofdregel vrijges</w:t>
      </w:r>
      <w:r w:rsidR="00672D75" w:rsidRPr="00484DAF">
        <w:rPr>
          <w:sz w:val="24"/>
          <w:szCs w:val="24"/>
        </w:rPr>
        <w:t>teld van overdrachtsbelasting.’</w:t>
      </w:r>
    </w:p>
    <w:p w:rsidR="00672D75" w:rsidRPr="00484DAF" w:rsidRDefault="00672D75" w:rsidP="00CC552D">
      <w:pPr>
        <w:pStyle w:val="Geenafstand"/>
        <w:spacing w:line="360" w:lineRule="auto"/>
        <w:rPr>
          <w:sz w:val="24"/>
          <w:szCs w:val="24"/>
        </w:rPr>
      </w:pPr>
    </w:p>
    <w:p w:rsidR="00F74411" w:rsidRPr="00484DAF" w:rsidRDefault="004F452D" w:rsidP="00CC552D">
      <w:pPr>
        <w:spacing w:after="0" w:line="360" w:lineRule="auto"/>
        <w:rPr>
          <w:sz w:val="24"/>
          <w:szCs w:val="24"/>
        </w:rPr>
      </w:pPr>
      <w:r w:rsidRPr="00484DAF">
        <w:rPr>
          <w:sz w:val="24"/>
          <w:szCs w:val="24"/>
        </w:rPr>
        <w:lastRenderedPageBreak/>
        <w:t xml:space="preserve">De levering van landelijke of </w:t>
      </w:r>
      <w:r w:rsidR="00EE5089" w:rsidRPr="00484DAF">
        <w:rPr>
          <w:sz w:val="24"/>
          <w:szCs w:val="24"/>
        </w:rPr>
        <w:t xml:space="preserve">niet ontwikkelde grond (in de zin dat het terrein niet gereed is voor verbouwing) is vrijgesteld van BTW. Voorts is de tweede (en alle volgende) levering(en) na voltooiing </w:t>
      </w:r>
      <w:r w:rsidR="000243D8" w:rsidRPr="00484DAF">
        <w:rPr>
          <w:sz w:val="24"/>
          <w:szCs w:val="24"/>
        </w:rPr>
        <w:t xml:space="preserve">of verbouwing </w:t>
      </w:r>
      <w:r w:rsidR="00EE5089" w:rsidRPr="00484DAF">
        <w:rPr>
          <w:sz w:val="24"/>
          <w:szCs w:val="24"/>
        </w:rPr>
        <w:t xml:space="preserve">van het gebouw niet belast met omzetbelasting. Interessant met betrekking tot de Spaanse omzetbelasting is de behandeling van </w:t>
      </w:r>
      <w:r w:rsidR="000243D8" w:rsidRPr="00484DAF">
        <w:rPr>
          <w:sz w:val="24"/>
          <w:szCs w:val="24"/>
        </w:rPr>
        <w:t>verbouwing</w:t>
      </w:r>
      <w:r w:rsidR="00EE5089" w:rsidRPr="00484DAF">
        <w:rPr>
          <w:sz w:val="24"/>
          <w:szCs w:val="24"/>
        </w:rPr>
        <w:t xml:space="preserve">. </w:t>
      </w:r>
      <w:r w:rsidR="00C309D2" w:rsidRPr="00484DAF">
        <w:rPr>
          <w:sz w:val="24"/>
          <w:szCs w:val="24"/>
        </w:rPr>
        <w:t xml:space="preserve">Daaronder wordt </w:t>
      </w:r>
      <w:r w:rsidR="000243D8" w:rsidRPr="00484DAF">
        <w:rPr>
          <w:sz w:val="24"/>
          <w:szCs w:val="24"/>
        </w:rPr>
        <w:t xml:space="preserve">mede </w:t>
      </w:r>
      <w:r w:rsidR="00C309D2" w:rsidRPr="00484DAF">
        <w:rPr>
          <w:sz w:val="24"/>
          <w:szCs w:val="24"/>
        </w:rPr>
        <w:t>verstaan het herbouwen van gebouwen door bijvoorbeeld de structuur, de voorgevel of andere vergelijkbare onderdelen van een gebouw aan te pakken. Indien de algemene kosten van verbouwing</w:t>
      </w:r>
      <w:r w:rsidR="000243D8" w:rsidRPr="00484DAF">
        <w:rPr>
          <w:sz w:val="24"/>
          <w:szCs w:val="24"/>
        </w:rPr>
        <w:t>en</w:t>
      </w:r>
      <w:r w:rsidR="00C309D2" w:rsidRPr="00484DAF">
        <w:rPr>
          <w:sz w:val="24"/>
          <w:szCs w:val="24"/>
        </w:rPr>
        <w:t xml:space="preserve"> meer dan 25% van de oorspro</w:t>
      </w:r>
      <w:r w:rsidR="000243D8" w:rsidRPr="00484DAF">
        <w:rPr>
          <w:sz w:val="24"/>
          <w:szCs w:val="24"/>
        </w:rPr>
        <w:t>nkelijke aankoopprijs bedragen en deze aankoop meer dan twee jaar geleden heeft plaatsgevonden, is sprake van verbouwing</w:t>
      </w:r>
      <w:r w:rsidR="000243D8" w:rsidRPr="00484DAF">
        <w:rPr>
          <w:rStyle w:val="Voetnootmarkering"/>
          <w:sz w:val="24"/>
          <w:szCs w:val="24"/>
        </w:rPr>
        <w:footnoteReference w:id="311"/>
      </w:r>
      <w:r w:rsidR="000243D8" w:rsidRPr="00484DAF">
        <w:rPr>
          <w:sz w:val="24"/>
          <w:szCs w:val="24"/>
        </w:rPr>
        <w:t>.</w:t>
      </w:r>
    </w:p>
    <w:p w:rsidR="00672D75" w:rsidRPr="00484DAF" w:rsidRDefault="00672D75" w:rsidP="00CC552D">
      <w:pPr>
        <w:pStyle w:val="Geenafstand"/>
        <w:spacing w:line="360" w:lineRule="auto"/>
        <w:rPr>
          <w:sz w:val="24"/>
          <w:szCs w:val="24"/>
        </w:rPr>
      </w:pPr>
    </w:p>
    <w:p w:rsidR="00F74411" w:rsidRPr="00484DAF" w:rsidRDefault="00ED07BC" w:rsidP="00CC552D">
      <w:pPr>
        <w:pStyle w:val="Kop1"/>
        <w:spacing w:before="0" w:line="360" w:lineRule="auto"/>
        <w:rPr>
          <w:rFonts w:ascii="Times New Roman" w:hAnsi="Times New Roman"/>
          <w:color w:val="auto"/>
          <w:sz w:val="24"/>
          <w:szCs w:val="24"/>
        </w:rPr>
      </w:pPr>
      <w:bookmarkStart w:id="136" w:name="_Toc254043987"/>
      <w:r w:rsidRPr="00484DAF">
        <w:rPr>
          <w:rFonts w:ascii="Times New Roman" w:hAnsi="Times New Roman"/>
          <w:color w:val="auto"/>
          <w:sz w:val="24"/>
          <w:szCs w:val="24"/>
        </w:rPr>
        <w:t>6</w:t>
      </w:r>
      <w:r w:rsidR="00F74411" w:rsidRPr="00484DAF">
        <w:rPr>
          <w:rFonts w:ascii="Times New Roman" w:hAnsi="Times New Roman"/>
          <w:color w:val="auto"/>
          <w:sz w:val="24"/>
          <w:szCs w:val="24"/>
        </w:rPr>
        <w:t>.7 Italië</w:t>
      </w:r>
      <w:r w:rsidR="004A3C49" w:rsidRPr="00484DAF">
        <w:rPr>
          <w:rStyle w:val="Voetnootmarkering"/>
          <w:rFonts w:ascii="Times New Roman" w:hAnsi="Times New Roman"/>
          <w:color w:val="auto"/>
          <w:sz w:val="24"/>
          <w:szCs w:val="24"/>
        </w:rPr>
        <w:footnoteReference w:id="312"/>
      </w:r>
      <w:bookmarkEnd w:id="136"/>
    </w:p>
    <w:p w:rsidR="00F74411" w:rsidRPr="00484DAF" w:rsidRDefault="002B4EC0" w:rsidP="00CC552D">
      <w:pPr>
        <w:spacing w:after="0" w:line="360" w:lineRule="auto"/>
        <w:rPr>
          <w:sz w:val="24"/>
          <w:szCs w:val="24"/>
        </w:rPr>
      </w:pPr>
      <w:r w:rsidRPr="00484DAF">
        <w:rPr>
          <w:sz w:val="24"/>
          <w:szCs w:val="24"/>
        </w:rPr>
        <w:t>De Italiaanse omzetbelasting leert dat onder onroerende goederen wordt verstaan grond, zowel agrarisch terrein als bouwterrein en gebouwen met huisvestings- commercieel en agrarische</w:t>
      </w:r>
      <w:r w:rsidR="00C442BE" w:rsidRPr="00484DAF">
        <w:rPr>
          <w:sz w:val="24"/>
          <w:szCs w:val="24"/>
        </w:rPr>
        <w:t xml:space="preserve"> bestemming.</w:t>
      </w:r>
      <w:r w:rsidRPr="00484DAF">
        <w:rPr>
          <w:rStyle w:val="Voetnootmarkering"/>
          <w:sz w:val="24"/>
          <w:szCs w:val="24"/>
        </w:rPr>
        <w:footnoteReference w:id="313"/>
      </w:r>
      <w:r w:rsidRPr="00484DAF">
        <w:rPr>
          <w:sz w:val="24"/>
          <w:szCs w:val="24"/>
        </w:rPr>
        <w:t xml:space="preserve"> </w:t>
      </w:r>
      <w:r w:rsidR="00323C60" w:rsidRPr="00484DAF">
        <w:rPr>
          <w:sz w:val="24"/>
          <w:szCs w:val="24"/>
        </w:rPr>
        <w:t>Hoofdregel is dat de levering van onroerend goed is vrijgesteld.</w:t>
      </w:r>
      <w:r w:rsidR="00323C60" w:rsidRPr="00484DAF">
        <w:rPr>
          <w:rStyle w:val="Voetnootmarkering"/>
          <w:sz w:val="24"/>
          <w:szCs w:val="24"/>
        </w:rPr>
        <w:footnoteReference w:id="314"/>
      </w:r>
      <w:r w:rsidR="00323C60" w:rsidRPr="00484DAF">
        <w:rPr>
          <w:sz w:val="24"/>
          <w:szCs w:val="24"/>
        </w:rPr>
        <w:t xml:space="preserve"> </w:t>
      </w:r>
      <w:r w:rsidR="005B2D27" w:rsidRPr="00484DAF">
        <w:rPr>
          <w:sz w:val="24"/>
          <w:szCs w:val="24"/>
        </w:rPr>
        <w:t xml:space="preserve">In Italië is </w:t>
      </w:r>
      <w:r w:rsidR="00A36346" w:rsidRPr="00484DAF">
        <w:rPr>
          <w:sz w:val="24"/>
          <w:szCs w:val="24"/>
        </w:rPr>
        <w:t xml:space="preserve">bijvoorbeeld </w:t>
      </w:r>
      <w:r w:rsidR="005B2D27" w:rsidRPr="00484DAF">
        <w:rPr>
          <w:sz w:val="24"/>
          <w:szCs w:val="24"/>
        </w:rPr>
        <w:t>enkel de intentie van de koper al voldoende om te spreken van een bouwterrein</w:t>
      </w:r>
      <w:r w:rsidR="0092565F" w:rsidRPr="00484DAF">
        <w:rPr>
          <w:sz w:val="24"/>
          <w:szCs w:val="24"/>
        </w:rPr>
        <w:t xml:space="preserve"> en in de belaste sfeer te komen</w:t>
      </w:r>
      <w:r w:rsidR="005B2D27" w:rsidRPr="00484DAF">
        <w:rPr>
          <w:sz w:val="24"/>
          <w:szCs w:val="24"/>
        </w:rPr>
        <w:t>. Een eis als de Nederlandse ‘onbebouwde grond’</w:t>
      </w:r>
      <w:r w:rsidR="00DA5DA4" w:rsidRPr="00484DAF">
        <w:rPr>
          <w:sz w:val="24"/>
          <w:szCs w:val="24"/>
        </w:rPr>
        <w:t xml:space="preserve"> </w:t>
      </w:r>
      <w:r w:rsidR="005B2D27" w:rsidRPr="00484DAF">
        <w:rPr>
          <w:sz w:val="24"/>
          <w:szCs w:val="24"/>
        </w:rPr>
        <w:t xml:space="preserve">kent de Italiaanse wetgeving niet. </w:t>
      </w:r>
      <w:r w:rsidR="0092565F" w:rsidRPr="00484DAF">
        <w:rPr>
          <w:sz w:val="24"/>
          <w:szCs w:val="24"/>
        </w:rPr>
        <w:t xml:space="preserve">Zelfs al wordt een perceel geleverd met een half gesloopte opstal, kan nog steeds sprake zijn van bouwterrein indien vaststaat dat op datzelfde terrein opnieuw </w:t>
      </w:r>
      <w:r w:rsidR="00A36346" w:rsidRPr="00484DAF">
        <w:rPr>
          <w:sz w:val="24"/>
          <w:szCs w:val="24"/>
        </w:rPr>
        <w:t xml:space="preserve">door de koper </w:t>
      </w:r>
      <w:r w:rsidR="0092565F" w:rsidRPr="00484DAF">
        <w:rPr>
          <w:sz w:val="24"/>
          <w:szCs w:val="24"/>
        </w:rPr>
        <w:t>gaat worden gebouwd.</w:t>
      </w:r>
      <w:r w:rsidR="0092565F" w:rsidRPr="00484DAF">
        <w:rPr>
          <w:rStyle w:val="Voetnootmarkering"/>
          <w:sz w:val="24"/>
          <w:szCs w:val="24"/>
        </w:rPr>
        <w:footnoteReference w:id="315"/>
      </w:r>
      <w:r w:rsidR="00A36346" w:rsidRPr="00484DAF">
        <w:rPr>
          <w:sz w:val="24"/>
          <w:szCs w:val="24"/>
        </w:rPr>
        <w:t xml:space="preserve"> Opvallend is verder dat verbouwing en ontwikkeling van onr</w:t>
      </w:r>
      <w:r w:rsidR="00CF0AC6" w:rsidRPr="00484DAF">
        <w:rPr>
          <w:sz w:val="24"/>
          <w:szCs w:val="24"/>
        </w:rPr>
        <w:t>oerend goed als een dienst worden</w:t>
      </w:r>
      <w:r w:rsidR="00A36346" w:rsidRPr="00484DAF">
        <w:rPr>
          <w:sz w:val="24"/>
          <w:szCs w:val="24"/>
        </w:rPr>
        <w:t xml:space="preserve"> aangemerkt en zodoende </w:t>
      </w:r>
      <w:r w:rsidR="00CF0AC6" w:rsidRPr="00484DAF">
        <w:rPr>
          <w:sz w:val="24"/>
          <w:szCs w:val="24"/>
        </w:rPr>
        <w:t>niet leiden</w:t>
      </w:r>
      <w:r w:rsidR="00C34552" w:rsidRPr="00484DAF">
        <w:rPr>
          <w:sz w:val="24"/>
          <w:szCs w:val="24"/>
        </w:rPr>
        <w:t xml:space="preserve"> tot levering (door vervaardiging) van onroerend goed.</w:t>
      </w:r>
    </w:p>
    <w:p w:rsidR="00672D75" w:rsidRPr="00484DAF" w:rsidRDefault="00672D75" w:rsidP="00CC552D">
      <w:pPr>
        <w:pStyle w:val="Geenafstand"/>
        <w:spacing w:line="360" w:lineRule="auto"/>
        <w:rPr>
          <w:sz w:val="24"/>
          <w:szCs w:val="24"/>
        </w:rPr>
      </w:pPr>
    </w:p>
    <w:p w:rsidR="00F74411" w:rsidRPr="00484DAF" w:rsidRDefault="00D055B8" w:rsidP="00CC552D">
      <w:pPr>
        <w:pStyle w:val="Kop1"/>
        <w:spacing w:before="0" w:line="360" w:lineRule="auto"/>
        <w:rPr>
          <w:rFonts w:ascii="Times New Roman" w:hAnsi="Times New Roman"/>
          <w:color w:val="auto"/>
          <w:sz w:val="24"/>
          <w:szCs w:val="24"/>
        </w:rPr>
      </w:pPr>
      <w:bookmarkStart w:id="137" w:name="_Toc254043988"/>
      <w:r w:rsidRPr="00484DAF">
        <w:rPr>
          <w:rFonts w:ascii="Times New Roman" w:hAnsi="Times New Roman"/>
          <w:color w:val="auto"/>
          <w:sz w:val="24"/>
          <w:szCs w:val="24"/>
        </w:rPr>
        <w:t>6.8 Tussenconclusie VI</w:t>
      </w:r>
      <w:r w:rsidRPr="00484DAF">
        <w:rPr>
          <w:rStyle w:val="Voetnootmarkering"/>
          <w:rFonts w:ascii="Times New Roman" w:hAnsi="Times New Roman"/>
          <w:color w:val="auto"/>
          <w:sz w:val="24"/>
          <w:szCs w:val="24"/>
        </w:rPr>
        <w:footnoteReference w:id="316"/>
      </w:r>
      <w:bookmarkEnd w:id="137"/>
    </w:p>
    <w:p w:rsidR="00D05673" w:rsidRPr="00484DAF" w:rsidRDefault="00D055B8" w:rsidP="00CC552D">
      <w:pPr>
        <w:spacing w:after="0" w:line="360" w:lineRule="auto"/>
        <w:rPr>
          <w:sz w:val="24"/>
          <w:szCs w:val="24"/>
        </w:rPr>
      </w:pPr>
      <w:r w:rsidRPr="00484DAF">
        <w:rPr>
          <w:sz w:val="24"/>
          <w:szCs w:val="24"/>
        </w:rPr>
        <w:t>De BTW-heffing met betrekking tot (de levering van) onroerend goed van zeven lidstaten is in dit hoofdstuk met elkaar vergeleken.</w:t>
      </w:r>
      <w:r w:rsidR="00C70218" w:rsidRPr="00484DAF">
        <w:rPr>
          <w:sz w:val="24"/>
          <w:szCs w:val="24"/>
        </w:rPr>
        <w:t xml:space="preserve"> Daarbij vielen de volgende bepalingen op. </w:t>
      </w:r>
      <w:r w:rsidR="00CB4906" w:rsidRPr="00484DAF">
        <w:rPr>
          <w:sz w:val="24"/>
          <w:szCs w:val="24"/>
        </w:rPr>
        <w:t xml:space="preserve">De Belgische </w:t>
      </w:r>
      <w:r w:rsidR="00722907" w:rsidRPr="00484DAF">
        <w:rPr>
          <w:sz w:val="24"/>
          <w:szCs w:val="24"/>
        </w:rPr>
        <w:t>en Luxemburgse wetgeving kennen</w:t>
      </w:r>
      <w:r w:rsidR="00CB4906" w:rsidRPr="00484DAF">
        <w:rPr>
          <w:sz w:val="24"/>
          <w:szCs w:val="24"/>
        </w:rPr>
        <w:t xml:space="preserve"> </w:t>
      </w:r>
      <w:r w:rsidRPr="00484DAF">
        <w:rPr>
          <w:sz w:val="24"/>
          <w:szCs w:val="24"/>
        </w:rPr>
        <w:t xml:space="preserve">een samenloopvrijstelling </w:t>
      </w:r>
      <w:r w:rsidR="00722907" w:rsidRPr="00484DAF">
        <w:rPr>
          <w:sz w:val="24"/>
          <w:szCs w:val="24"/>
        </w:rPr>
        <w:t xml:space="preserve">waarbij </w:t>
      </w:r>
      <w:r w:rsidRPr="00484DAF">
        <w:rPr>
          <w:sz w:val="24"/>
          <w:szCs w:val="24"/>
        </w:rPr>
        <w:t xml:space="preserve">indien BTW dient te worden voldaan, geen </w:t>
      </w:r>
      <w:r w:rsidR="00BB14EE" w:rsidRPr="00484DAF">
        <w:rPr>
          <w:sz w:val="24"/>
          <w:szCs w:val="24"/>
        </w:rPr>
        <w:t xml:space="preserve">‘overdrachtsbelasting’ is </w:t>
      </w:r>
      <w:r w:rsidRPr="00484DAF">
        <w:rPr>
          <w:sz w:val="24"/>
          <w:szCs w:val="24"/>
        </w:rPr>
        <w:t xml:space="preserve">verschuldigd en andersom. Opvallend </w:t>
      </w:r>
      <w:r w:rsidRPr="00484DAF">
        <w:rPr>
          <w:sz w:val="24"/>
          <w:szCs w:val="24"/>
        </w:rPr>
        <w:lastRenderedPageBreak/>
        <w:t xml:space="preserve">is </w:t>
      </w:r>
      <w:r w:rsidR="00CB4906" w:rsidRPr="00484DAF">
        <w:rPr>
          <w:sz w:val="24"/>
          <w:szCs w:val="24"/>
        </w:rPr>
        <w:t xml:space="preserve">verder </w:t>
      </w:r>
      <w:r w:rsidRPr="00484DAF">
        <w:rPr>
          <w:sz w:val="24"/>
          <w:szCs w:val="24"/>
        </w:rPr>
        <w:t>dat België in het geheel grond niet in de heffing van omzetbelasting betrekt.</w:t>
      </w:r>
      <w:r w:rsidR="00C70218" w:rsidRPr="00484DAF">
        <w:rPr>
          <w:sz w:val="24"/>
          <w:szCs w:val="24"/>
        </w:rPr>
        <w:t xml:space="preserve"> </w:t>
      </w:r>
      <w:r w:rsidRPr="00484DAF">
        <w:rPr>
          <w:sz w:val="24"/>
          <w:szCs w:val="24"/>
        </w:rPr>
        <w:t xml:space="preserve">In tegenstelling tot andere lidstaten </w:t>
      </w:r>
      <w:r w:rsidR="0036621B" w:rsidRPr="00484DAF">
        <w:rPr>
          <w:sz w:val="24"/>
          <w:szCs w:val="24"/>
        </w:rPr>
        <w:t xml:space="preserve">hebben </w:t>
      </w:r>
      <w:r w:rsidRPr="00484DAF">
        <w:rPr>
          <w:sz w:val="24"/>
          <w:szCs w:val="24"/>
        </w:rPr>
        <w:t xml:space="preserve">de Luxemburgse </w:t>
      </w:r>
      <w:r w:rsidR="00DB4CF2" w:rsidRPr="00484DAF">
        <w:rPr>
          <w:sz w:val="24"/>
          <w:szCs w:val="24"/>
        </w:rPr>
        <w:t xml:space="preserve">en Duitse </w:t>
      </w:r>
      <w:r w:rsidRPr="00484DAF">
        <w:rPr>
          <w:sz w:val="24"/>
          <w:szCs w:val="24"/>
        </w:rPr>
        <w:t xml:space="preserve">wetgever ervoor gekozen om de oplevering van werken in onroerende staat te beschouwen als levering van een (roerend) goed. </w:t>
      </w:r>
      <w:r w:rsidR="00DB4CF2" w:rsidRPr="00484DAF">
        <w:rPr>
          <w:sz w:val="24"/>
          <w:szCs w:val="24"/>
        </w:rPr>
        <w:t>Luxemburg en Spanje maken i</w:t>
      </w:r>
      <w:r w:rsidRPr="00484DAF">
        <w:rPr>
          <w:sz w:val="24"/>
          <w:szCs w:val="24"/>
        </w:rPr>
        <w:t>nzake de levering van grond een onderscheid tussen grond die is ingericht voor de bouw van een gebouw en grond die dat niet is.</w:t>
      </w:r>
      <w:r w:rsidR="00C70218" w:rsidRPr="00484DAF">
        <w:rPr>
          <w:sz w:val="24"/>
          <w:szCs w:val="24"/>
        </w:rPr>
        <w:t xml:space="preserve"> </w:t>
      </w:r>
      <w:r w:rsidRPr="00484DAF">
        <w:rPr>
          <w:sz w:val="24"/>
          <w:szCs w:val="24"/>
        </w:rPr>
        <w:t xml:space="preserve">Opvallend aan de Luxemburgse wetgeving is dat </w:t>
      </w:r>
      <w:r w:rsidR="0036621B" w:rsidRPr="00484DAF">
        <w:rPr>
          <w:sz w:val="24"/>
          <w:szCs w:val="24"/>
        </w:rPr>
        <w:t xml:space="preserve">sowieso </w:t>
      </w:r>
      <w:r w:rsidRPr="00484DAF">
        <w:rPr>
          <w:sz w:val="24"/>
          <w:szCs w:val="24"/>
        </w:rPr>
        <w:t>wordt geredeneerd vanuit grond (al dan niet een bouwterrein) waarbij de gebouwen als het ware aanhorig zijn ten aanzien van de grond.</w:t>
      </w:r>
      <w:r w:rsidR="00CB4906" w:rsidRPr="00484DAF">
        <w:rPr>
          <w:sz w:val="24"/>
          <w:szCs w:val="24"/>
        </w:rPr>
        <w:t xml:space="preserve"> </w:t>
      </w:r>
      <w:r w:rsidRPr="00484DAF">
        <w:rPr>
          <w:sz w:val="24"/>
          <w:szCs w:val="24"/>
        </w:rPr>
        <w:t xml:space="preserve">Binnen het bereik van de </w:t>
      </w:r>
      <w:r w:rsidR="00DB4CF2" w:rsidRPr="00484DAF">
        <w:rPr>
          <w:sz w:val="24"/>
          <w:szCs w:val="24"/>
        </w:rPr>
        <w:t xml:space="preserve">Duitse </w:t>
      </w:r>
      <w:r w:rsidRPr="00484DAF">
        <w:rPr>
          <w:sz w:val="24"/>
          <w:szCs w:val="24"/>
        </w:rPr>
        <w:t>BTW vallen enkel leveringen die door belastingplichtige personen worden gedaan en het onroerend goed dienst doet als bedrijfsmiddel in het kader van de onderneming</w:t>
      </w:r>
      <w:r w:rsidR="00B85BBC" w:rsidRPr="00484DAF">
        <w:rPr>
          <w:sz w:val="24"/>
          <w:szCs w:val="24"/>
        </w:rPr>
        <w:t xml:space="preserve"> </w:t>
      </w:r>
      <w:r w:rsidRPr="00484DAF">
        <w:rPr>
          <w:sz w:val="24"/>
          <w:szCs w:val="24"/>
        </w:rPr>
        <w:t xml:space="preserve">van belastingplichtige. </w:t>
      </w:r>
      <w:r w:rsidR="00B85BBC" w:rsidRPr="00484DAF">
        <w:rPr>
          <w:sz w:val="24"/>
          <w:szCs w:val="24"/>
        </w:rPr>
        <w:t xml:space="preserve">In Frankrijk </w:t>
      </w:r>
      <w:r w:rsidRPr="00484DAF">
        <w:rPr>
          <w:sz w:val="24"/>
          <w:szCs w:val="24"/>
        </w:rPr>
        <w:t xml:space="preserve">luidt </w:t>
      </w:r>
      <w:r w:rsidR="00B85BBC" w:rsidRPr="00484DAF">
        <w:rPr>
          <w:sz w:val="24"/>
          <w:szCs w:val="24"/>
        </w:rPr>
        <w:t xml:space="preserve">de hoofdregel </w:t>
      </w:r>
      <w:r w:rsidRPr="00484DAF">
        <w:rPr>
          <w:sz w:val="24"/>
          <w:szCs w:val="24"/>
        </w:rPr>
        <w:t xml:space="preserve">dat levering van grond of een gebouw belast wordt met ‘overdrachtsbelasting’, maar vrijgesteld van deze belasting </w:t>
      </w:r>
      <w:r w:rsidR="0036621B" w:rsidRPr="00484DAF">
        <w:rPr>
          <w:sz w:val="24"/>
          <w:szCs w:val="24"/>
        </w:rPr>
        <w:t xml:space="preserve">is onder andere </w:t>
      </w:r>
      <w:r w:rsidRPr="00484DAF">
        <w:rPr>
          <w:sz w:val="24"/>
          <w:szCs w:val="24"/>
        </w:rPr>
        <w:t>de levering van onroerend goed in de bouwfase</w:t>
      </w:r>
      <w:r w:rsidR="0036621B" w:rsidRPr="00484DAF">
        <w:rPr>
          <w:sz w:val="24"/>
          <w:szCs w:val="24"/>
        </w:rPr>
        <w:t xml:space="preserve">. </w:t>
      </w:r>
      <w:r w:rsidRPr="00484DAF">
        <w:rPr>
          <w:sz w:val="24"/>
          <w:szCs w:val="24"/>
        </w:rPr>
        <w:t>Onder de bouwfase wordt daarbij</w:t>
      </w:r>
      <w:r w:rsidR="00BB14EE" w:rsidRPr="00484DAF">
        <w:rPr>
          <w:sz w:val="24"/>
          <w:szCs w:val="24"/>
        </w:rPr>
        <w:t xml:space="preserve"> onder andere</w:t>
      </w:r>
      <w:r w:rsidRPr="00484DAF">
        <w:rPr>
          <w:sz w:val="24"/>
          <w:szCs w:val="24"/>
        </w:rPr>
        <w:t xml:space="preserve"> verstaan de aankoop van een bouwterrein of onroerend goed bestemd om een bouwterrein te worden, de bouw van nieuw onroerend goed.</w:t>
      </w:r>
      <w:r w:rsidR="00DF4ED5" w:rsidRPr="00484DAF">
        <w:rPr>
          <w:sz w:val="24"/>
          <w:szCs w:val="24"/>
        </w:rPr>
        <w:t xml:space="preserve"> </w:t>
      </w:r>
      <w:r w:rsidRPr="00484DAF">
        <w:rPr>
          <w:sz w:val="24"/>
          <w:szCs w:val="24"/>
        </w:rPr>
        <w:t>Onder de bouwfase wordt niet verstaan verbou</w:t>
      </w:r>
      <w:r w:rsidR="00B85BBC" w:rsidRPr="00484DAF">
        <w:rPr>
          <w:sz w:val="24"/>
          <w:szCs w:val="24"/>
        </w:rPr>
        <w:t xml:space="preserve">wing en renovatiewerkzaamheden. </w:t>
      </w:r>
      <w:r w:rsidR="0036621B" w:rsidRPr="00484DAF">
        <w:rPr>
          <w:sz w:val="24"/>
          <w:szCs w:val="24"/>
        </w:rPr>
        <w:t>Het Franse b</w:t>
      </w:r>
      <w:r w:rsidRPr="00484DAF">
        <w:rPr>
          <w:sz w:val="24"/>
          <w:szCs w:val="24"/>
        </w:rPr>
        <w:t xml:space="preserve">ouwterrein wordt </w:t>
      </w:r>
      <w:r w:rsidR="00DF4ED5" w:rsidRPr="00484DAF">
        <w:rPr>
          <w:sz w:val="24"/>
          <w:szCs w:val="24"/>
        </w:rPr>
        <w:t xml:space="preserve">daarbij </w:t>
      </w:r>
      <w:r w:rsidRPr="00484DAF">
        <w:rPr>
          <w:sz w:val="24"/>
          <w:szCs w:val="24"/>
        </w:rPr>
        <w:t xml:space="preserve">breed gedefinieerd, namelijk als alle onroerend goed bestemd voor bouwwerkzaamheden. Zodoende is niet alleen maagdelijke grond, maar ook voor sloop bestemde, reeds bestaande, incomplete gebouwen. Dat de bouwfase sowieso bepalend is in de </w:t>
      </w:r>
      <w:r w:rsidR="00B85BBC" w:rsidRPr="00484DAF">
        <w:rPr>
          <w:sz w:val="24"/>
          <w:szCs w:val="24"/>
        </w:rPr>
        <w:t xml:space="preserve">Franse </w:t>
      </w:r>
      <w:r w:rsidRPr="00484DAF">
        <w:rPr>
          <w:sz w:val="24"/>
          <w:szCs w:val="24"/>
        </w:rPr>
        <w:t xml:space="preserve">omzetbelastingheffing blijkt uit het feit dat de levering (in welke vorm dan ook) van onroerend goed alleen belast is als </w:t>
      </w:r>
      <w:r w:rsidR="00DF4ED5" w:rsidRPr="00484DAF">
        <w:rPr>
          <w:sz w:val="24"/>
          <w:szCs w:val="24"/>
        </w:rPr>
        <w:t xml:space="preserve">hetzij </w:t>
      </w:r>
      <w:r w:rsidRPr="00484DAF">
        <w:rPr>
          <w:sz w:val="24"/>
          <w:szCs w:val="24"/>
        </w:rPr>
        <w:t xml:space="preserve">het onroerend goed niet volledig is afgebouwd </w:t>
      </w:r>
      <w:r w:rsidR="00DF4ED5" w:rsidRPr="00484DAF">
        <w:rPr>
          <w:sz w:val="24"/>
          <w:szCs w:val="24"/>
        </w:rPr>
        <w:t xml:space="preserve">hetzij </w:t>
      </w:r>
      <w:r w:rsidRPr="00484DAF">
        <w:rPr>
          <w:sz w:val="24"/>
          <w:szCs w:val="24"/>
        </w:rPr>
        <w:t xml:space="preserve">het onroerend wel volledig is afgebouwd, </w:t>
      </w:r>
      <w:r w:rsidR="00DF4ED5" w:rsidRPr="00484DAF">
        <w:rPr>
          <w:sz w:val="24"/>
          <w:szCs w:val="24"/>
        </w:rPr>
        <w:t xml:space="preserve">maar </w:t>
      </w:r>
      <w:r w:rsidRPr="00484DAF">
        <w:rPr>
          <w:sz w:val="24"/>
          <w:szCs w:val="24"/>
        </w:rPr>
        <w:t>de bouwfase niet langer heeft geduurd dan vijf jaar</w:t>
      </w:r>
      <w:r w:rsidR="00DF4ED5" w:rsidRPr="00484DAF">
        <w:rPr>
          <w:sz w:val="24"/>
          <w:szCs w:val="24"/>
        </w:rPr>
        <w:t xml:space="preserve"> en </w:t>
      </w:r>
      <w:r w:rsidRPr="00484DAF">
        <w:rPr>
          <w:sz w:val="24"/>
          <w:szCs w:val="24"/>
        </w:rPr>
        <w:t>het gaat om de eerste levering na voltooiing van het werk</w:t>
      </w:r>
      <w:r w:rsidR="00B85BBC" w:rsidRPr="00484DAF">
        <w:rPr>
          <w:sz w:val="24"/>
          <w:szCs w:val="24"/>
        </w:rPr>
        <w:t xml:space="preserve">. </w:t>
      </w:r>
      <w:r w:rsidRPr="00484DAF">
        <w:rPr>
          <w:sz w:val="24"/>
          <w:szCs w:val="24"/>
        </w:rPr>
        <w:t xml:space="preserve">Opvallend is verder de manier waarop de koper van een bouwterrein aan BTW wordt onderworpen. In de aankoopovereenkomst verplicht koper zichzelf </w:t>
      </w:r>
      <w:r w:rsidR="00DF4ED5" w:rsidRPr="00484DAF">
        <w:rPr>
          <w:sz w:val="24"/>
          <w:szCs w:val="24"/>
        </w:rPr>
        <w:t xml:space="preserve">tot </w:t>
      </w:r>
      <w:r w:rsidRPr="00484DAF">
        <w:rPr>
          <w:sz w:val="24"/>
          <w:szCs w:val="24"/>
        </w:rPr>
        <w:t xml:space="preserve">het bouwen van voorgenomen gebouwen of andere bouwwerken binnen vier jaar. </w:t>
      </w:r>
      <w:r w:rsidR="00DB4CF2" w:rsidRPr="00484DAF">
        <w:rPr>
          <w:sz w:val="24"/>
          <w:szCs w:val="24"/>
        </w:rPr>
        <w:t xml:space="preserve">In Groot-Brittannië </w:t>
      </w:r>
      <w:r w:rsidRPr="00484DAF">
        <w:rPr>
          <w:sz w:val="24"/>
          <w:szCs w:val="24"/>
        </w:rPr>
        <w:t xml:space="preserve">mag </w:t>
      </w:r>
      <w:r w:rsidR="00DB4CF2" w:rsidRPr="00484DAF">
        <w:rPr>
          <w:sz w:val="24"/>
          <w:szCs w:val="24"/>
        </w:rPr>
        <w:t xml:space="preserve">voor de btw belaste levering </w:t>
      </w:r>
      <w:r w:rsidRPr="00484DAF">
        <w:rPr>
          <w:sz w:val="24"/>
          <w:szCs w:val="24"/>
        </w:rPr>
        <w:t>de grond (al dan niet gedeeltelijk) bebouwd zijn zolang de kosten van bewerkingen en bouwwerkzaamheden niet bijkomstig zijn in vergelijking met het perceel dan wel het (bestaande) gebouw.</w:t>
      </w:r>
      <w:r w:rsidR="00B85BBC" w:rsidRPr="00484DAF">
        <w:rPr>
          <w:sz w:val="24"/>
          <w:szCs w:val="24"/>
        </w:rPr>
        <w:t xml:space="preserve"> </w:t>
      </w:r>
      <w:r w:rsidRPr="00484DAF">
        <w:rPr>
          <w:sz w:val="24"/>
          <w:szCs w:val="24"/>
        </w:rPr>
        <w:t>Interessant met betrekking tot de Spaanse omzetbelasting is de behandeling van verbouwing. Daaronder wordt mede verstaan het herbouwen van gebouwen door bijvoorbeeld de structuur, de voorgevel of andere vergelijkbare onderdelen van een gebouw aan te pakken. Indien de algemene kosten van verbouwingen meer dan 25% van de oorspronkelijke aankoopprijs bedragen en deze aankoop meer dan twee jaar geleden heeft plaatsgevonden, is sprake van verbouwing.</w:t>
      </w:r>
      <w:r w:rsidR="00CC0546" w:rsidRPr="00484DAF">
        <w:rPr>
          <w:sz w:val="24"/>
          <w:szCs w:val="24"/>
        </w:rPr>
        <w:t xml:space="preserve"> </w:t>
      </w:r>
      <w:r w:rsidRPr="00484DAF">
        <w:rPr>
          <w:sz w:val="24"/>
          <w:szCs w:val="24"/>
        </w:rPr>
        <w:t xml:space="preserve">In Italië is enkel de intentie van de koper al voldoende om te spreken van een bouwterrein en in de belaste </w:t>
      </w:r>
      <w:r w:rsidRPr="00484DAF">
        <w:rPr>
          <w:sz w:val="24"/>
          <w:szCs w:val="24"/>
        </w:rPr>
        <w:lastRenderedPageBreak/>
        <w:t>sfeer te komen. Opvallend is verder dat verbouwing en ontwikkeling van onroerend goed als een dienst wordt aangemerkt en zodoende niet leidt tot levering (door ver</w:t>
      </w:r>
      <w:r w:rsidR="00672D75" w:rsidRPr="00484DAF">
        <w:rPr>
          <w:sz w:val="24"/>
          <w:szCs w:val="24"/>
        </w:rPr>
        <w:t>vaardiging) van onroerend goed.</w:t>
      </w:r>
      <w:r w:rsidR="00D05673" w:rsidRPr="00484DAF">
        <w:rPr>
          <w:sz w:val="24"/>
          <w:szCs w:val="24"/>
        </w:rPr>
        <w:br w:type="page"/>
      </w:r>
    </w:p>
    <w:p w:rsidR="00D05673" w:rsidRPr="00484DAF" w:rsidRDefault="00D05673" w:rsidP="00CC552D">
      <w:pPr>
        <w:pStyle w:val="Kop1"/>
        <w:spacing w:before="0" w:line="360" w:lineRule="auto"/>
        <w:rPr>
          <w:rFonts w:ascii="Times New Roman" w:hAnsi="Times New Roman"/>
          <w:color w:val="auto"/>
          <w:sz w:val="24"/>
          <w:szCs w:val="24"/>
        </w:rPr>
      </w:pPr>
      <w:bookmarkStart w:id="138" w:name="_Toc254043989"/>
      <w:r w:rsidRPr="00484DAF">
        <w:rPr>
          <w:rFonts w:ascii="Times New Roman" w:hAnsi="Times New Roman"/>
          <w:color w:val="auto"/>
          <w:sz w:val="24"/>
          <w:szCs w:val="24"/>
        </w:rPr>
        <w:lastRenderedPageBreak/>
        <w:t xml:space="preserve">Hoofdstuk 7: </w:t>
      </w:r>
      <w:r w:rsidR="00AE3364" w:rsidRPr="00484DAF">
        <w:rPr>
          <w:rFonts w:ascii="Times New Roman" w:hAnsi="Times New Roman"/>
          <w:color w:val="auto"/>
          <w:sz w:val="24"/>
          <w:szCs w:val="24"/>
        </w:rPr>
        <w:t>Aanpassingen begrippen ‘gebouw’ en ‘bouwterrein’</w:t>
      </w:r>
      <w:bookmarkEnd w:id="138"/>
    </w:p>
    <w:p w:rsidR="00E161E0" w:rsidRPr="00484DAF" w:rsidRDefault="00E161E0" w:rsidP="00CC552D">
      <w:pPr>
        <w:spacing w:after="0" w:line="360" w:lineRule="auto"/>
        <w:rPr>
          <w:sz w:val="24"/>
          <w:szCs w:val="24"/>
        </w:rPr>
      </w:pPr>
      <w:r w:rsidRPr="00484DAF">
        <w:rPr>
          <w:sz w:val="24"/>
          <w:szCs w:val="24"/>
        </w:rPr>
        <w:t>Beoordeling van de manier waarop de begrippen ‘gebouw’ en ‘bouwterrein’ in de Nederlandse wet en jurisprudentie zijn ingevuld conform Europees recht kan in deze scriptie niet achterblijven. In dit hoofdstuk wordt eerst gekeken of het begrip ‘gebouw’ in de Nederlandse praktijk goed uit de verf komt, waarna ook het begrip ‘bouwterrein’ aan een kort onderzoek wordt onderworpen. Voorts kom ik met een aantal aanbevelingen om de tekst passender te maken. Tot slot wordt gekeken of deze aangepaste Nederlandse invullingen gevolgen hebben voor de samenloopvrijstelling.</w:t>
      </w:r>
    </w:p>
    <w:p w:rsidR="00672D75" w:rsidRPr="00484DAF" w:rsidRDefault="00672D75" w:rsidP="00CC552D">
      <w:pPr>
        <w:pStyle w:val="Geenafstand"/>
        <w:spacing w:line="360" w:lineRule="auto"/>
        <w:rPr>
          <w:sz w:val="24"/>
          <w:szCs w:val="24"/>
        </w:rPr>
      </w:pPr>
    </w:p>
    <w:p w:rsidR="00AF6CDF" w:rsidRPr="00484DAF" w:rsidRDefault="00AF6CDF" w:rsidP="00CC552D">
      <w:pPr>
        <w:pStyle w:val="Kop1"/>
        <w:spacing w:before="0" w:line="360" w:lineRule="auto"/>
        <w:rPr>
          <w:rFonts w:ascii="Times New Roman" w:hAnsi="Times New Roman"/>
          <w:color w:val="auto"/>
          <w:sz w:val="24"/>
          <w:szCs w:val="24"/>
        </w:rPr>
      </w:pPr>
      <w:bookmarkStart w:id="139" w:name="_Toc254043990"/>
      <w:r w:rsidRPr="00484DAF">
        <w:rPr>
          <w:rFonts w:ascii="Times New Roman" w:hAnsi="Times New Roman"/>
          <w:color w:val="auto"/>
          <w:sz w:val="24"/>
          <w:szCs w:val="24"/>
        </w:rPr>
        <w:t>7.1 Nederlands gebouw staat als een huis</w:t>
      </w:r>
      <w:bookmarkEnd w:id="139"/>
    </w:p>
    <w:p w:rsidR="00F8576F" w:rsidRPr="00484DAF" w:rsidRDefault="00E161E0" w:rsidP="00CC552D">
      <w:pPr>
        <w:pStyle w:val="Geenafstand"/>
        <w:spacing w:line="360" w:lineRule="auto"/>
        <w:rPr>
          <w:sz w:val="24"/>
          <w:szCs w:val="24"/>
        </w:rPr>
      </w:pPr>
      <w:r w:rsidRPr="00484DAF">
        <w:rPr>
          <w:sz w:val="24"/>
          <w:szCs w:val="24"/>
        </w:rPr>
        <w:t>Daar gebouw een deels communautair karakter kent, kan weinig misgaan met de Nederlandse invulling.</w:t>
      </w:r>
      <w:r w:rsidRPr="00484DAF">
        <w:rPr>
          <w:sz w:val="24"/>
          <w:szCs w:val="24"/>
          <w:vertAlign w:val="superscript"/>
        </w:rPr>
        <w:footnoteReference w:id="317"/>
      </w:r>
      <w:r w:rsidRPr="00484DAF">
        <w:rPr>
          <w:sz w:val="24"/>
          <w:szCs w:val="24"/>
        </w:rPr>
        <w:t xml:space="preserve"> Zeker is dat de Wet OB 1968 en de BTW-richtlijn voor wat als gebouw wordt beschouwd eensluidend zijn. Het feit dat ieder bouwwerk dat vast met de grond is verbonden als gebouw wordt beschouwd, blijkt ingevolge deze scriptie enkel moeilijkheden op te leveren voor wat betreft natuurlijke constructies, zoals een dijk. In paragraaf 3.2.1 is reeds betoogd dat mijns inziens dergelijke natuurlijke constructies moeten worden uitgesloten van het begrip ‘gebouw’. Feitelijk is namelijk sprake van een stapel grondsoorten op een ondergrond. In dit kader zou artikel 11, lid 3, onderdeel a Wet OB 1968 veranderen in </w:t>
      </w:r>
      <w:r w:rsidRPr="00484DAF">
        <w:rPr>
          <w:i/>
          <w:sz w:val="24"/>
          <w:szCs w:val="24"/>
        </w:rPr>
        <w:t>‘wordt als gebouw beschouwd ieder bouwwerk dat vast met de grond is verbonden, niet zijnde een natuurlijke constructie.’</w:t>
      </w:r>
      <w:r w:rsidRPr="00484DAF">
        <w:rPr>
          <w:sz w:val="24"/>
          <w:szCs w:val="24"/>
        </w:rPr>
        <w:t xml:space="preserve"> Als een dijk (in casu een natuurlijke constructie) kwalificeert als gebouw, zou de levering van een perceel zandduinen (ook een dijkfunctie) eveneens belast zijn. Immers, door de duinheide, wier wortels tot ver in de grond steken en zo de duinen bij elkaar houden, wordt aan het criterium van vast verbonden met de grond voldaan.</w:t>
      </w:r>
    </w:p>
    <w:p w:rsidR="00672D75" w:rsidRPr="00484DAF" w:rsidRDefault="00672D75" w:rsidP="00CC552D">
      <w:pPr>
        <w:pStyle w:val="Geenafstand"/>
        <w:spacing w:line="360" w:lineRule="auto"/>
        <w:rPr>
          <w:sz w:val="24"/>
          <w:szCs w:val="24"/>
        </w:rPr>
      </w:pPr>
    </w:p>
    <w:p w:rsidR="00DD7E7F" w:rsidRPr="00484DAF" w:rsidRDefault="00AF6CDF" w:rsidP="00CC552D">
      <w:pPr>
        <w:pStyle w:val="Kop1"/>
        <w:spacing w:before="0" w:line="360" w:lineRule="auto"/>
        <w:rPr>
          <w:rFonts w:ascii="Times New Roman" w:hAnsi="Times New Roman"/>
          <w:color w:val="auto"/>
          <w:sz w:val="24"/>
          <w:szCs w:val="24"/>
        </w:rPr>
      </w:pPr>
      <w:bookmarkStart w:id="140" w:name="_Toc254043991"/>
      <w:r w:rsidRPr="00484DAF">
        <w:rPr>
          <w:rFonts w:ascii="Times New Roman" w:hAnsi="Times New Roman"/>
          <w:color w:val="auto"/>
          <w:sz w:val="24"/>
          <w:szCs w:val="24"/>
        </w:rPr>
        <w:t>7.2</w:t>
      </w:r>
      <w:r w:rsidR="00DD7E7F" w:rsidRPr="00484DAF">
        <w:rPr>
          <w:rFonts w:ascii="Times New Roman" w:hAnsi="Times New Roman"/>
          <w:color w:val="auto"/>
          <w:sz w:val="24"/>
          <w:szCs w:val="24"/>
        </w:rPr>
        <w:t xml:space="preserve"> </w:t>
      </w:r>
      <w:r w:rsidR="00B96A76" w:rsidRPr="00484DAF">
        <w:rPr>
          <w:rFonts w:ascii="Times New Roman" w:hAnsi="Times New Roman"/>
          <w:color w:val="auto"/>
          <w:sz w:val="24"/>
          <w:szCs w:val="24"/>
        </w:rPr>
        <w:t xml:space="preserve">Nederlands bouwterrein </w:t>
      </w:r>
      <w:r w:rsidR="00FE2E61" w:rsidRPr="00484DAF">
        <w:rPr>
          <w:rFonts w:ascii="Times New Roman" w:hAnsi="Times New Roman"/>
          <w:color w:val="auto"/>
          <w:sz w:val="24"/>
          <w:szCs w:val="24"/>
        </w:rPr>
        <w:t xml:space="preserve">‘begrensd’ ten opzichte van </w:t>
      </w:r>
      <w:r w:rsidR="00B96A76" w:rsidRPr="00484DAF">
        <w:rPr>
          <w:rFonts w:ascii="Times New Roman" w:hAnsi="Times New Roman"/>
          <w:color w:val="auto"/>
          <w:sz w:val="24"/>
          <w:szCs w:val="24"/>
        </w:rPr>
        <w:t>Europees bouwterrein</w:t>
      </w:r>
      <w:bookmarkEnd w:id="140"/>
    </w:p>
    <w:p w:rsidR="00E161E0" w:rsidRPr="00484DAF" w:rsidRDefault="00E161E0" w:rsidP="00CC552D">
      <w:pPr>
        <w:spacing w:after="0" w:line="360" w:lineRule="auto"/>
        <w:rPr>
          <w:sz w:val="24"/>
          <w:szCs w:val="24"/>
        </w:rPr>
      </w:pPr>
      <w:r w:rsidRPr="00484DAF">
        <w:rPr>
          <w:sz w:val="24"/>
          <w:szCs w:val="24"/>
        </w:rPr>
        <w:t>In hoofdstuk 4 en 5 van deze scriptie kwam reeds naar voren dat de Richtlijngever alle leveringen in de bouw- en handelsfase wil belasten. Het voorkomen van cumulatie van BTW is hier de beweegreden van de Richtlijngever. Anders wordt mogelijk BTW welke niet in vooraftrek kan worden gebracht bij een vrijgestelde levering afgewenteld op de verkrijger. De bouw- en handelsfase vangt, onder voorbehoud dat het resultaat volledige sloop is, aan met bestemming tot sloop van een opstal dan wel de feitelijke aanvang van de sloopwerkzaamheden.</w:t>
      </w:r>
      <w:r w:rsidRPr="00484DAF">
        <w:rPr>
          <w:sz w:val="24"/>
          <w:szCs w:val="24"/>
          <w:vertAlign w:val="superscript"/>
        </w:rPr>
        <w:footnoteReference w:id="318"/>
      </w:r>
      <w:r w:rsidRPr="00484DAF">
        <w:rPr>
          <w:sz w:val="24"/>
          <w:szCs w:val="24"/>
        </w:rPr>
        <w:t xml:space="preserve"> Deze fase eindigt op het moment van eerste ingebruikneming van </w:t>
      </w:r>
      <w:r w:rsidRPr="00484DAF">
        <w:rPr>
          <w:sz w:val="24"/>
          <w:szCs w:val="24"/>
        </w:rPr>
        <w:lastRenderedPageBreak/>
        <w:t xml:space="preserve">het op dat bouwterrein gebouwde onroerend goed. Na de bouw- en handelsfase vangt de consumptiefase aan. Nederland heeft ervoor gekozen deze laatste fase te laten aanvangen twee jaar na de eerste ingebruikneming. Voorts valt Europees gezien op dat de Europese definitie van bouwterrein ook grond met opstallen kan omvatten. Met andere woorden, er geldt geen vereiste van onbebouwdheid. Dit is bevestigd in het arrest </w:t>
      </w:r>
      <w:r w:rsidRPr="00484DAF">
        <w:rPr>
          <w:i/>
          <w:sz w:val="24"/>
          <w:szCs w:val="24"/>
        </w:rPr>
        <w:t>Don Bosco</w:t>
      </w:r>
      <w:r w:rsidRPr="00484DAF">
        <w:rPr>
          <w:sz w:val="24"/>
          <w:szCs w:val="24"/>
        </w:rPr>
        <w:t xml:space="preserve"> waarin een fysiek terrein met daarop oud onroerend juridisch wordt gekwalificeerd als een bouwterrein. </w:t>
      </w:r>
    </w:p>
    <w:p w:rsidR="00674602" w:rsidRPr="00484DAF" w:rsidRDefault="00674602" w:rsidP="00CC552D">
      <w:pPr>
        <w:pStyle w:val="Geenafstand"/>
        <w:spacing w:line="360" w:lineRule="auto"/>
        <w:rPr>
          <w:sz w:val="24"/>
          <w:szCs w:val="24"/>
        </w:rPr>
      </w:pPr>
    </w:p>
    <w:p w:rsidR="00AF7B69" w:rsidRPr="00484DAF" w:rsidRDefault="00AF7B69" w:rsidP="00CC552D">
      <w:pPr>
        <w:pStyle w:val="Kop2"/>
        <w:spacing w:before="0" w:line="360" w:lineRule="auto"/>
        <w:rPr>
          <w:rFonts w:ascii="Times New Roman" w:hAnsi="Times New Roman"/>
          <w:color w:val="auto"/>
          <w:sz w:val="24"/>
          <w:szCs w:val="24"/>
        </w:rPr>
      </w:pPr>
      <w:bookmarkStart w:id="141" w:name="_Toc254043992"/>
      <w:r w:rsidRPr="00484DAF">
        <w:rPr>
          <w:rFonts w:ascii="Times New Roman" w:hAnsi="Times New Roman"/>
          <w:color w:val="auto"/>
          <w:sz w:val="24"/>
          <w:szCs w:val="24"/>
        </w:rPr>
        <w:t>7.</w:t>
      </w:r>
      <w:r w:rsidR="00AF6CDF" w:rsidRPr="00484DAF">
        <w:rPr>
          <w:rFonts w:ascii="Times New Roman" w:hAnsi="Times New Roman"/>
          <w:color w:val="auto"/>
          <w:sz w:val="24"/>
          <w:szCs w:val="24"/>
        </w:rPr>
        <w:t>2</w:t>
      </w:r>
      <w:r w:rsidRPr="00484DAF">
        <w:rPr>
          <w:rFonts w:ascii="Times New Roman" w:hAnsi="Times New Roman"/>
          <w:color w:val="auto"/>
          <w:sz w:val="24"/>
          <w:szCs w:val="24"/>
        </w:rPr>
        <w:t>.1 Nederlands begrip</w:t>
      </w:r>
      <w:bookmarkEnd w:id="141"/>
    </w:p>
    <w:p w:rsidR="00E161E0" w:rsidRPr="00484DAF" w:rsidRDefault="00E161E0" w:rsidP="00CC552D">
      <w:pPr>
        <w:spacing w:after="0" w:line="360" w:lineRule="auto"/>
        <w:rPr>
          <w:sz w:val="24"/>
          <w:szCs w:val="24"/>
        </w:rPr>
      </w:pPr>
      <w:r w:rsidRPr="00484DAF">
        <w:rPr>
          <w:sz w:val="24"/>
          <w:szCs w:val="24"/>
        </w:rPr>
        <w:t>In hoofdstuk 4 en 5 zagen we dat aanvankelijk uit Nederlandse wetgeving en jurisprudentie volgde dat na werkzaamheden welke volledige sloop tot gevolg hebben de daarop volgende levering in de BTW-vrijgestelde sfeer plaatsvond. Dit indien niet voldaan was aan de criteria van artikel 11, lid 4 Wet OB 1968. Deze gang van zaken is bevestigd in het Jeugdhonkarrest, waar geen vervaardiging van een bouwterrein werd aangenomen, omdat de sloop van opstallen niet was gericht op bebouwing. Hoewel het nog te vroeg is om te juichen, lijkt de Hoge Raad hier soepeler mee om te willen gaan. De arresten van 14 november 2008 wijzen namelijk uit dat een geringe bewerking al leidt tot voldoening aan artikel 11, lid 4, onderdeel a Wet OB 1968 en daarnaast dat het oogmerk van die bewerking mag worden afgeleid van het motief waarmee de sloop is aangevangen. Het afwachten is voorts op de verwijzingsuitspraak van de Hoge Raad naar aanleiding van het arrest</w:t>
      </w:r>
      <w:r w:rsidRPr="00484DAF">
        <w:rPr>
          <w:i/>
          <w:sz w:val="24"/>
          <w:szCs w:val="24"/>
        </w:rPr>
        <w:t xml:space="preserve"> Don Bosco</w:t>
      </w:r>
      <w:r w:rsidRPr="00484DAF">
        <w:rPr>
          <w:sz w:val="24"/>
          <w:szCs w:val="24"/>
        </w:rPr>
        <w:t>. Wellicht dat nog verdere nuance in onze rechtspraak wordt aangebracht.</w:t>
      </w:r>
    </w:p>
    <w:p w:rsidR="00674602" w:rsidRPr="00484DAF" w:rsidRDefault="00674602" w:rsidP="00CC552D">
      <w:pPr>
        <w:pStyle w:val="Geenafstand"/>
        <w:spacing w:line="360" w:lineRule="auto"/>
        <w:rPr>
          <w:sz w:val="24"/>
          <w:szCs w:val="24"/>
        </w:rPr>
      </w:pPr>
    </w:p>
    <w:p w:rsidR="00110FD3" w:rsidRPr="00484DAF" w:rsidRDefault="00AF6CDF" w:rsidP="00CC552D">
      <w:pPr>
        <w:pStyle w:val="Kop2"/>
        <w:spacing w:before="0" w:line="360" w:lineRule="auto"/>
        <w:rPr>
          <w:rFonts w:ascii="Times New Roman" w:hAnsi="Times New Roman"/>
          <w:color w:val="auto"/>
          <w:sz w:val="24"/>
          <w:szCs w:val="24"/>
        </w:rPr>
      </w:pPr>
      <w:bookmarkStart w:id="142" w:name="_Toc254043993"/>
      <w:r w:rsidRPr="00484DAF">
        <w:rPr>
          <w:rFonts w:ascii="Times New Roman" w:hAnsi="Times New Roman"/>
          <w:color w:val="auto"/>
          <w:sz w:val="24"/>
          <w:szCs w:val="24"/>
        </w:rPr>
        <w:t>7.2</w:t>
      </w:r>
      <w:r w:rsidR="00110FD3" w:rsidRPr="00484DAF">
        <w:rPr>
          <w:rFonts w:ascii="Times New Roman" w:hAnsi="Times New Roman"/>
          <w:color w:val="auto"/>
          <w:sz w:val="24"/>
          <w:szCs w:val="24"/>
        </w:rPr>
        <w:t>.2 Aanbevelingen met betrekking tot bouwterrein</w:t>
      </w:r>
      <w:bookmarkEnd w:id="142"/>
    </w:p>
    <w:p w:rsidR="00E161E0" w:rsidRPr="00484DAF" w:rsidRDefault="00E161E0" w:rsidP="00CC552D">
      <w:pPr>
        <w:spacing w:after="0" w:line="360" w:lineRule="auto"/>
        <w:rPr>
          <w:i/>
          <w:sz w:val="24"/>
          <w:szCs w:val="24"/>
        </w:rPr>
      </w:pPr>
      <w:r w:rsidRPr="00484DAF">
        <w:rPr>
          <w:sz w:val="24"/>
          <w:szCs w:val="24"/>
        </w:rPr>
        <w:t>Zoals in voorgaande paragraaf beschreven lijkt de Nederlandse invulling van bouwterrein al meer de ruimte te nemen welke wordt geboden doordat invulling van het begrip ‘bouwterrein’ door de Richtlijngever aan lidstaten wordt overgelaten. In hoofdstuk 6 zagen we reeds dat in andere lidstaten iedere lidstaat een andere invulling geeft aan het begrip bouwterrein of zelfs de levering van een bouwterrein niet in de BTW betrekken. Voor de Nederlandse invulling bestaat zodoende (mede gelet op het niet communautaire karakter van het begrip bouwterrein) nog ruimte om aanpassingen te doen.</w:t>
      </w:r>
      <w:r w:rsidRPr="00484DAF">
        <w:rPr>
          <w:sz w:val="24"/>
          <w:szCs w:val="24"/>
          <w:vertAlign w:val="superscript"/>
        </w:rPr>
        <w:footnoteReference w:id="319"/>
      </w:r>
      <w:r w:rsidRPr="00484DAF">
        <w:rPr>
          <w:sz w:val="24"/>
          <w:szCs w:val="24"/>
        </w:rPr>
        <w:t xml:space="preserve"> Gaandeweg de scriptie zijn aanbevelingen met betrekking tot bouwterrein gedaan. Zo stelde ik in paragraaf 4.2.2.2 voor om een houdbaarheid aan de status van bouwterrein toe te kennen. Aansluiting kan in dezen bij het </w:t>
      </w:r>
      <w:r w:rsidRPr="00484DAF">
        <w:rPr>
          <w:sz w:val="24"/>
          <w:szCs w:val="24"/>
        </w:rPr>
        <w:lastRenderedPageBreak/>
        <w:t xml:space="preserve">Franse systeem worden gezocht waarbij de koper van het bouwterrein zich in de aankoopovereenkomst verplicht tot het bouwen van voorgenomen gebouwen of andere bouwwerken binnen vier jaar. De wettekst van artikel 11, lid 1, onderdeel a, ten eerste Wet OB 1968 zou in dat geval komen te luiden: </w:t>
      </w:r>
      <w:r w:rsidRPr="00484DAF">
        <w:rPr>
          <w:i/>
          <w:sz w:val="24"/>
          <w:szCs w:val="24"/>
        </w:rPr>
        <w:t>‘(…) alsmede de levering van een bouwterrein welke binnen vier jaar wordt bebouwd.’</w:t>
      </w:r>
      <w:r w:rsidRPr="00484DAF">
        <w:rPr>
          <w:sz w:val="24"/>
          <w:szCs w:val="24"/>
        </w:rPr>
        <w:t xml:space="preserve"> Voorts kwam in paragraaf 3.4 naar voren dat de in het arrest </w:t>
      </w:r>
      <w:r w:rsidRPr="00484DAF">
        <w:rPr>
          <w:i/>
          <w:sz w:val="24"/>
          <w:szCs w:val="24"/>
        </w:rPr>
        <w:t xml:space="preserve">Brigitte Breitsohl </w:t>
      </w:r>
      <w:r w:rsidRPr="00484DAF">
        <w:rPr>
          <w:sz w:val="24"/>
          <w:szCs w:val="24"/>
        </w:rPr>
        <w:t xml:space="preserve">voorgestane rangorderegeling door het HvJ EG niet terug komt in Nederlandse wet. Het HvJ stelt namelijk dat wanneer een terrein het predicaat ‘bij een gebouw behorend’ heeft gekregen, dat terrein geen ‘bouwterrein’ meer kan worden. In het arrest </w:t>
      </w:r>
      <w:r w:rsidRPr="00484DAF">
        <w:rPr>
          <w:i/>
          <w:sz w:val="24"/>
          <w:szCs w:val="24"/>
        </w:rPr>
        <w:t>Don Bosco</w:t>
      </w:r>
      <w:r w:rsidRPr="00484DAF">
        <w:rPr>
          <w:sz w:val="24"/>
          <w:szCs w:val="24"/>
        </w:rPr>
        <w:t xml:space="preserve"> is duidelijk geworden dat ook bebouwde grond als bouwterrein kan kwalificeren. Waar in het Italiaanse systeem de intentie van koper al voldoende is te kwalificeren als bouwterrein en in de belaste sfeer terecht te komen, zou ik zoals gesteld in paragraaf 5.5.5.3 willen aansluiten bij concrete bouwplannen (eventueel voorafgegaan door een bestemmingswijziging). Om gelijke strekking tussen BTW-richtlijn, Wet OB 1968 en rechtspraak van het HvJ te realiseren, kan artikel 11, lid 4, eerste volzin Wet OB 1968 komen te luiden </w:t>
      </w:r>
      <w:r w:rsidRPr="00484DAF">
        <w:rPr>
          <w:i/>
          <w:sz w:val="24"/>
          <w:szCs w:val="24"/>
        </w:rPr>
        <w:t>‘Voor de toepassing van het eerste lid, onderdeel a, onder 1</w:t>
      </w:r>
      <w:r w:rsidRPr="00484DAF">
        <w:rPr>
          <w:i/>
          <w:sz w:val="24"/>
          <w:szCs w:val="24"/>
          <w:vertAlign w:val="superscript"/>
        </w:rPr>
        <w:t>o</w:t>
      </w:r>
      <w:r w:rsidRPr="00484DAF">
        <w:rPr>
          <w:i/>
          <w:sz w:val="24"/>
          <w:szCs w:val="24"/>
        </w:rPr>
        <w:t>, wordt als bouwterrein beschouwd zowel bebouwde als onbebouwde grond, anders dan erbij behorend terrein als bedoeld in derde lid, onderdeel c;(…) met het oog op de bebouwing van de grond.’</w:t>
      </w:r>
    </w:p>
    <w:p w:rsidR="00674602" w:rsidRPr="00484DAF" w:rsidRDefault="00674602" w:rsidP="00CC552D">
      <w:pPr>
        <w:pStyle w:val="Geenafstand"/>
        <w:spacing w:line="360" w:lineRule="auto"/>
        <w:rPr>
          <w:sz w:val="24"/>
          <w:szCs w:val="24"/>
        </w:rPr>
      </w:pPr>
    </w:p>
    <w:p w:rsidR="00333194" w:rsidRPr="00484DAF" w:rsidRDefault="00333194" w:rsidP="00CC552D">
      <w:pPr>
        <w:pStyle w:val="Kop1"/>
        <w:spacing w:before="0" w:line="360" w:lineRule="auto"/>
        <w:rPr>
          <w:rFonts w:ascii="Times New Roman" w:hAnsi="Times New Roman"/>
          <w:color w:val="auto"/>
          <w:sz w:val="24"/>
          <w:szCs w:val="24"/>
        </w:rPr>
      </w:pPr>
      <w:bookmarkStart w:id="143" w:name="_Toc254043994"/>
      <w:r w:rsidRPr="00484DAF">
        <w:rPr>
          <w:rFonts w:ascii="Times New Roman" w:hAnsi="Times New Roman"/>
          <w:color w:val="auto"/>
          <w:sz w:val="24"/>
          <w:szCs w:val="24"/>
        </w:rPr>
        <w:t xml:space="preserve">7.3 </w:t>
      </w:r>
      <w:r w:rsidR="00893924" w:rsidRPr="00484DAF">
        <w:rPr>
          <w:rFonts w:ascii="Times New Roman" w:hAnsi="Times New Roman"/>
          <w:color w:val="auto"/>
          <w:sz w:val="24"/>
          <w:szCs w:val="24"/>
        </w:rPr>
        <w:t xml:space="preserve">Vervaardigen </w:t>
      </w:r>
      <w:r w:rsidR="005C662F" w:rsidRPr="00484DAF">
        <w:rPr>
          <w:rFonts w:ascii="Times New Roman" w:hAnsi="Times New Roman"/>
          <w:color w:val="auto"/>
          <w:sz w:val="24"/>
          <w:szCs w:val="24"/>
        </w:rPr>
        <w:t xml:space="preserve">van een gebouw </w:t>
      </w:r>
      <w:r w:rsidR="00893924" w:rsidRPr="00484DAF">
        <w:rPr>
          <w:rFonts w:ascii="Times New Roman" w:hAnsi="Times New Roman"/>
          <w:color w:val="auto"/>
          <w:sz w:val="24"/>
          <w:szCs w:val="24"/>
        </w:rPr>
        <w:t>(al dan niet door sloop)</w:t>
      </w:r>
      <w:bookmarkEnd w:id="143"/>
    </w:p>
    <w:p w:rsidR="00E161E0" w:rsidRPr="00484DAF" w:rsidRDefault="00E161E0" w:rsidP="00CC552D">
      <w:pPr>
        <w:spacing w:after="0" w:line="360" w:lineRule="auto"/>
        <w:rPr>
          <w:sz w:val="24"/>
          <w:szCs w:val="24"/>
        </w:rPr>
      </w:pPr>
      <w:r w:rsidRPr="00484DAF">
        <w:rPr>
          <w:sz w:val="24"/>
          <w:szCs w:val="24"/>
        </w:rPr>
        <w:t xml:space="preserve">Eerder deze scriptie zagen we dat inzake vervaardiging het HvJ EG zich enkel heeft uitgesproken in het arrest </w:t>
      </w:r>
      <w:r w:rsidRPr="00484DAF">
        <w:rPr>
          <w:i/>
          <w:sz w:val="24"/>
          <w:szCs w:val="24"/>
        </w:rPr>
        <w:t>Van Dijk’s Boekhuis</w:t>
      </w:r>
      <w:r w:rsidRPr="00484DAF">
        <w:rPr>
          <w:sz w:val="24"/>
          <w:szCs w:val="24"/>
        </w:rPr>
        <w:t xml:space="preserve">. Hoewel de Nederlandse jurisprudentie deze uitleg moet volgen, heeft het wel de ruimte genomen om deels een eigen invulling aan het begrip te geven. Daardoor wordt Europese vervaardiging niet altijd even nauw genomen en lijkt het Nederlandse begrip over te worden gelaten aan (deels) subjectieve elementen. Daarbij is in het kader van het Garagearrest duidelijk gemaakt dat slopen (ongeacht het oogmerk) niet leidt tot slopen. Eerder is reeds betoogd dat mijns inziens bij een (al dan niet toekomstige) functiewijziging sloopwerkzaamheden tot vervaardiging kunnen leiden mits bij voornoemde sloop wel de intentie tot vervanging van het onroerend goed bestaat. Helaas heeft het HvJ EG zich in het arrest </w:t>
      </w:r>
      <w:r w:rsidRPr="00484DAF">
        <w:rPr>
          <w:i/>
          <w:sz w:val="24"/>
          <w:szCs w:val="24"/>
        </w:rPr>
        <w:t>Don Bosco Onroerend Goed BV</w:t>
      </w:r>
      <w:r w:rsidRPr="00484DAF">
        <w:rPr>
          <w:sz w:val="24"/>
          <w:szCs w:val="24"/>
        </w:rPr>
        <w:t xml:space="preserve"> niet uitgelaten over het vervaardigingvraagstuk noch over het arrest </w:t>
      </w:r>
      <w:r w:rsidRPr="00484DAF">
        <w:rPr>
          <w:i/>
          <w:sz w:val="24"/>
          <w:szCs w:val="24"/>
        </w:rPr>
        <w:t>Van Dijk’s Boekhuis</w:t>
      </w:r>
      <w:r w:rsidRPr="00484DAF">
        <w:rPr>
          <w:sz w:val="24"/>
          <w:szCs w:val="24"/>
        </w:rPr>
        <w:t>. Wellicht ten overvloede past hier de kanttekening dat voor vervaardiging altijd sprake dient te zijn van het creëren van een nieuwe functie terwijl dit bij het enkel slopen niet het geval is.</w:t>
      </w:r>
    </w:p>
    <w:p w:rsidR="00674602" w:rsidRPr="00484DAF" w:rsidRDefault="00674602" w:rsidP="00CC552D">
      <w:pPr>
        <w:pStyle w:val="Geenafstand"/>
        <w:spacing w:line="360" w:lineRule="auto"/>
        <w:rPr>
          <w:sz w:val="24"/>
          <w:szCs w:val="24"/>
        </w:rPr>
      </w:pPr>
    </w:p>
    <w:p w:rsidR="005C662F" w:rsidRPr="00484DAF" w:rsidRDefault="005C662F" w:rsidP="00CC552D">
      <w:pPr>
        <w:pStyle w:val="Kop1"/>
        <w:spacing w:before="0" w:line="360" w:lineRule="auto"/>
        <w:rPr>
          <w:rFonts w:ascii="Times New Roman" w:hAnsi="Times New Roman"/>
          <w:color w:val="auto"/>
          <w:sz w:val="24"/>
          <w:szCs w:val="24"/>
        </w:rPr>
      </w:pPr>
      <w:bookmarkStart w:id="144" w:name="_Toc254043995"/>
      <w:r w:rsidRPr="00484DAF">
        <w:rPr>
          <w:rFonts w:ascii="Times New Roman" w:hAnsi="Times New Roman"/>
          <w:color w:val="auto"/>
          <w:sz w:val="24"/>
          <w:szCs w:val="24"/>
        </w:rPr>
        <w:lastRenderedPageBreak/>
        <w:t>7.4 Vervaardigen van een bouwterrein (al dan niet door sloop)</w:t>
      </w:r>
      <w:bookmarkEnd w:id="144"/>
    </w:p>
    <w:p w:rsidR="00E161E0" w:rsidRPr="00484DAF" w:rsidRDefault="00E161E0" w:rsidP="00CC552D">
      <w:pPr>
        <w:spacing w:after="0" w:line="360" w:lineRule="auto"/>
        <w:rPr>
          <w:sz w:val="24"/>
          <w:szCs w:val="24"/>
        </w:rPr>
      </w:pPr>
      <w:r w:rsidRPr="00484DAF">
        <w:rPr>
          <w:sz w:val="24"/>
          <w:szCs w:val="24"/>
        </w:rPr>
        <w:t>Meer kan worden gezegd over vervaardiging van een bouwterrein door sloop. Gaandeweg deze scriptie is namelijk gebleken dat de BTW-richtlijn ruimte laat om ook sloopwerkzaamheden aan te merken als vervaardiging. Recente arresten van de Hoge Raad bieden daarin perspectief dat de Hoge Raad ook soepeler omgaat met het oogmerk tot sloop. Het HvJ EG gaat daarin verder (hoe onbegrijpelijk ook) door sloopwerkzaamheden als bijkomende dienst van de levering van onroerend goed aan te merken. Hierdoor wordt niet grond met opstallen (bestemd voor sloop) geleverd, maar onbebouwd terrein.</w:t>
      </w:r>
    </w:p>
    <w:p w:rsidR="00E161E0" w:rsidRPr="00484DAF" w:rsidRDefault="00E161E0" w:rsidP="00CC552D">
      <w:pPr>
        <w:spacing w:after="0" w:line="360" w:lineRule="auto"/>
        <w:rPr>
          <w:sz w:val="24"/>
          <w:szCs w:val="24"/>
        </w:rPr>
      </w:pPr>
    </w:p>
    <w:p w:rsidR="00E161E0" w:rsidRPr="00484DAF" w:rsidRDefault="00E161E0" w:rsidP="00CC552D">
      <w:pPr>
        <w:spacing w:after="0" w:line="360" w:lineRule="auto"/>
        <w:rPr>
          <w:sz w:val="24"/>
          <w:szCs w:val="24"/>
        </w:rPr>
      </w:pPr>
      <w:r w:rsidRPr="00484DAF">
        <w:rPr>
          <w:sz w:val="24"/>
          <w:szCs w:val="24"/>
        </w:rPr>
        <w:t xml:space="preserve">Enigszins tegen voornoemde Europese jurisprudentie in, zou ik in het kader van vervaardiging van een bouwterrein enige aanbevelingen willen doen. Zo zou evenals in Italië de intentie voorafgaand aan de sloopwerkzaamheden/vervaardiging doorslaggevend kunnen zijn. Daar dergelijke intenties veelal voor de rechter ter beoordeling zullen worden gelegd, dient de rechter daarvoor een instrument om handen te hebben. Om die reden stel ik voor een nieuwe vijfde lid aan artikel 11 Wet OB 1968 toe te voegen, welke komt te luiden: </w:t>
      </w:r>
      <w:r w:rsidRPr="00484DAF">
        <w:rPr>
          <w:i/>
          <w:sz w:val="24"/>
          <w:szCs w:val="24"/>
        </w:rPr>
        <w:t>‘Voor de toepassing van het eerste lid, onderdeel a, onder 1</w:t>
      </w:r>
      <w:r w:rsidRPr="00484DAF">
        <w:rPr>
          <w:i/>
          <w:sz w:val="24"/>
          <w:szCs w:val="24"/>
          <w:vertAlign w:val="superscript"/>
        </w:rPr>
        <w:t>o</w:t>
      </w:r>
      <w:r w:rsidRPr="00484DAF">
        <w:rPr>
          <w:i/>
          <w:sz w:val="24"/>
          <w:szCs w:val="24"/>
        </w:rPr>
        <w:t>, wordt als bouwterrein mede beschouwd (al dan niet gedeeltelijk) bebouwde grond, indien met betrekking tot de aanwezige opstallen de intentie bestaat door verbouwing een vervaardigd goed voort te brengen.’</w:t>
      </w:r>
      <w:r w:rsidRPr="00484DAF">
        <w:rPr>
          <w:sz w:val="24"/>
          <w:szCs w:val="24"/>
        </w:rPr>
        <w:t xml:space="preserve"> </w:t>
      </w:r>
    </w:p>
    <w:p w:rsidR="00E161E0" w:rsidRPr="00484DAF" w:rsidRDefault="00E161E0" w:rsidP="00CC552D">
      <w:pPr>
        <w:spacing w:after="0" w:line="360" w:lineRule="auto"/>
        <w:rPr>
          <w:sz w:val="24"/>
          <w:szCs w:val="24"/>
        </w:rPr>
      </w:pPr>
    </w:p>
    <w:p w:rsidR="00E161E0" w:rsidRPr="00484DAF" w:rsidRDefault="00E161E0" w:rsidP="00CC552D">
      <w:pPr>
        <w:spacing w:after="0" w:line="360" w:lineRule="auto"/>
        <w:rPr>
          <w:sz w:val="24"/>
          <w:szCs w:val="24"/>
        </w:rPr>
      </w:pPr>
      <w:r w:rsidRPr="00484DAF">
        <w:rPr>
          <w:sz w:val="24"/>
          <w:szCs w:val="24"/>
        </w:rPr>
        <w:t xml:space="preserve">Daarbij wordt het al dan niet zijn vervaardigd, getoetst aan het arrest </w:t>
      </w:r>
      <w:r w:rsidRPr="00484DAF">
        <w:rPr>
          <w:i/>
          <w:sz w:val="24"/>
          <w:szCs w:val="24"/>
        </w:rPr>
        <w:t>Van Dijk’s Boekhuis</w:t>
      </w:r>
      <w:r w:rsidRPr="00484DAF">
        <w:rPr>
          <w:sz w:val="24"/>
          <w:szCs w:val="24"/>
        </w:rPr>
        <w:t>. Nu blijkt dat onder de BTW-richtlijn ook bouwterreinen met reeds aanwezige opstallen kunnen kwalificeren als onbebouwd terrein kan mijns inziens artikel 11, lid 4 Wet OB 1968 als volgt (objectiever) komen te luiden:</w:t>
      </w:r>
      <w:r w:rsidRPr="00484DAF">
        <w:rPr>
          <w:i/>
          <w:sz w:val="24"/>
          <w:szCs w:val="24"/>
          <w:vertAlign w:val="superscript"/>
        </w:rPr>
        <w:t xml:space="preserve"> </w:t>
      </w:r>
      <w:r w:rsidRPr="00484DAF">
        <w:rPr>
          <w:sz w:val="24"/>
          <w:szCs w:val="24"/>
          <w:vertAlign w:val="superscript"/>
        </w:rPr>
        <w:footnoteReference w:id="320"/>
      </w:r>
    </w:p>
    <w:p w:rsidR="00E161E0" w:rsidRPr="00484DAF" w:rsidRDefault="00E161E0" w:rsidP="00CC552D">
      <w:pPr>
        <w:spacing w:after="0" w:line="360" w:lineRule="auto"/>
        <w:rPr>
          <w:i/>
          <w:sz w:val="24"/>
          <w:szCs w:val="24"/>
        </w:rPr>
      </w:pPr>
      <w:r w:rsidRPr="00484DAF">
        <w:rPr>
          <w:i/>
          <w:sz w:val="24"/>
          <w:szCs w:val="24"/>
        </w:rPr>
        <w:t>‘Voor de toepassing van het eerste lid, onderdeel a, onder 1</w:t>
      </w:r>
      <w:r w:rsidRPr="00484DAF">
        <w:rPr>
          <w:i/>
          <w:sz w:val="24"/>
          <w:szCs w:val="24"/>
          <w:vertAlign w:val="superscript"/>
        </w:rPr>
        <w:t>o</w:t>
      </w:r>
      <w:r w:rsidRPr="00484DAF">
        <w:rPr>
          <w:i/>
          <w:sz w:val="24"/>
          <w:szCs w:val="24"/>
        </w:rPr>
        <w:t>, wordt als bouwterrein beschouwd zowel bebouwde als onbebouwde grond, anders dan erbij behorend terrein als bedoeld in derde lid, onderdeel c;:</w:t>
      </w:r>
      <w:r w:rsidRPr="00484DAF">
        <w:rPr>
          <w:i/>
          <w:sz w:val="24"/>
          <w:szCs w:val="24"/>
          <w:vertAlign w:val="superscript"/>
        </w:rPr>
        <w:t xml:space="preserve"> </w:t>
      </w:r>
    </w:p>
    <w:p w:rsidR="00E161E0" w:rsidRPr="00484DAF" w:rsidRDefault="00E161E0" w:rsidP="00CC552D">
      <w:pPr>
        <w:spacing w:after="0" w:line="360" w:lineRule="auto"/>
        <w:rPr>
          <w:i/>
          <w:sz w:val="24"/>
          <w:szCs w:val="24"/>
        </w:rPr>
      </w:pPr>
      <w:r w:rsidRPr="00484DAF">
        <w:rPr>
          <w:i/>
          <w:sz w:val="24"/>
          <w:szCs w:val="24"/>
        </w:rPr>
        <w:t>a. waaraan bewerkingen hebben plaatsgevonden;</w:t>
      </w:r>
    </w:p>
    <w:p w:rsidR="00E161E0" w:rsidRPr="00484DAF" w:rsidRDefault="00E161E0" w:rsidP="00CC552D">
      <w:pPr>
        <w:spacing w:after="0" w:line="360" w:lineRule="auto"/>
        <w:rPr>
          <w:i/>
          <w:sz w:val="24"/>
          <w:szCs w:val="24"/>
        </w:rPr>
      </w:pPr>
      <w:r w:rsidRPr="00484DAF">
        <w:rPr>
          <w:i/>
          <w:sz w:val="24"/>
          <w:szCs w:val="24"/>
        </w:rPr>
        <w:t>b. ten aanzien waarvan voorzieningen zijn getroffen die uitsluitend dienstbaar zijn aan de grond;</w:t>
      </w:r>
    </w:p>
    <w:p w:rsidR="00E161E0" w:rsidRPr="00484DAF" w:rsidRDefault="00E161E0" w:rsidP="00CC552D">
      <w:pPr>
        <w:spacing w:after="0" w:line="360" w:lineRule="auto"/>
        <w:rPr>
          <w:i/>
          <w:sz w:val="24"/>
          <w:szCs w:val="24"/>
        </w:rPr>
      </w:pPr>
      <w:r w:rsidRPr="00484DAF">
        <w:rPr>
          <w:i/>
          <w:sz w:val="24"/>
          <w:szCs w:val="24"/>
        </w:rPr>
        <w:t>c. in de omgeving waarvan voorzieningen zijn getroffen; of</w:t>
      </w:r>
    </w:p>
    <w:p w:rsidR="00E161E0" w:rsidRPr="00484DAF" w:rsidRDefault="00E161E0" w:rsidP="00CC552D">
      <w:pPr>
        <w:spacing w:after="0" w:line="360" w:lineRule="auto"/>
        <w:rPr>
          <w:i/>
          <w:sz w:val="24"/>
          <w:szCs w:val="24"/>
        </w:rPr>
      </w:pPr>
      <w:r w:rsidRPr="00484DAF">
        <w:rPr>
          <w:i/>
          <w:sz w:val="24"/>
          <w:szCs w:val="24"/>
        </w:rPr>
        <w:t>d. ter zake waarvan een bouwvergunning is verleend;</w:t>
      </w:r>
    </w:p>
    <w:p w:rsidR="00E161E0" w:rsidRPr="00484DAF" w:rsidRDefault="00E161E0" w:rsidP="00CC552D">
      <w:pPr>
        <w:spacing w:after="0" w:line="360" w:lineRule="auto"/>
        <w:rPr>
          <w:i/>
          <w:sz w:val="24"/>
          <w:szCs w:val="24"/>
        </w:rPr>
      </w:pPr>
      <w:r w:rsidRPr="00484DAF">
        <w:rPr>
          <w:i/>
          <w:sz w:val="24"/>
          <w:szCs w:val="24"/>
        </w:rPr>
        <w:t>bestemd voor bebouwing.’</w:t>
      </w:r>
    </w:p>
    <w:p w:rsidR="00E161E0" w:rsidRPr="00484DAF" w:rsidRDefault="00E161E0" w:rsidP="00CC552D">
      <w:pPr>
        <w:spacing w:after="0" w:line="360" w:lineRule="auto"/>
        <w:rPr>
          <w:sz w:val="24"/>
          <w:szCs w:val="24"/>
        </w:rPr>
      </w:pPr>
    </w:p>
    <w:p w:rsidR="00D540B9" w:rsidRPr="00484DAF" w:rsidRDefault="00E161E0" w:rsidP="00CC552D">
      <w:pPr>
        <w:pStyle w:val="Geenafstand"/>
        <w:spacing w:line="360" w:lineRule="auto"/>
        <w:rPr>
          <w:sz w:val="24"/>
          <w:szCs w:val="24"/>
        </w:rPr>
      </w:pPr>
      <w:r w:rsidRPr="00484DAF">
        <w:rPr>
          <w:sz w:val="24"/>
          <w:szCs w:val="24"/>
        </w:rPr>
        <w:t>Met name de harde eis van onbebouwde grond is vervallen</w:t>
      </w:r>
      <w:r w:rsidRPr="00484DAF">
        <w:rPr>
          <w:sz w:val="24"/>
          <w:szCs w:val="24"/>
          <w:vertAlign w:val="superscript"/>
        </w:rPr>
        <w:footnoteReference w:id="321"/>
      </w:r>
      <w:r w:rsidRPr="00484DAF">
        <w:rPr>
          <w:sz w:val="24"/>
          <w:szCs w:val="24"/>
        </w:rPr>
        <w:t xml:space="preserve"> en alle bewerkingen vinden in de voltooid verleden tijd plaats</w:t>
      </w:r>
      <w:r w:rsidRPr="00484DAF">
        <w:rPr>
          <w:sz w:val="24"/>
          <w:szCs w:val="24"/>
          <w:vertAlign w:val="superscript"/>
        </w:rPr>
        <w:footnoteReference w:id="322"/>
      </w:r>
      <w:r w:rsidRPr="00484DAF">
        <w:rPr>
          <w:sz w:val="24"/>
          <w:szCs w:val="24"/>
        </w:rPr>
        <w:t xml:space="preserve"> om geen eindeloze discussies te voeren over de vraag of op een zeker moment één van de bewerkingen gaande is. Tot slot is ook ‘met het oog op bebouwing’ veranderd in ‘bestemd voor bebouwing’.</w:t>
      </w:r>
      <w:r w:rsidRPr="00484DAF">
        <w:rPr>
          <w:sz w:val="24"/>
          <w:szCs w:val="24"/>
          <w:vertAlign w:val="superscript"/>
        </w:rPr>
        <w:footnoteReference w:id="323"/>
      </w:r>
      <w:r w:rsidRPr="00484DAF">
        <w:rPr>
          <w:sz w:val="24"/>
          <w:szCs w:val="24"/>
        </w:rPr>
        <w:t xml:space="preserve"> Het voordeel van ‘bouwbestemming’ als leidend criterium ten opzichte van ‘oogmerk tot bebouwing’ is dat aangesloten kan worden bij het objectief vastgestelde bestemmingsplan of concrete bouwplannen. Met voorgaande wijzigingen wordt het artikel geobjectiveerd, omdat pas na de bewerkingen en voorzieningen wordt bepaald of ze er daadwerkelijk zijn. Een nadeel dat hierbij niet ongenoemd mag blijven, is het reeds eerder aangehaalde vermoeden dat sloopwerkzaamheden een timingkwestie wordt. Als dat echter meer (rechts)zekerheid biedt waarbij BTW van rechtswege dient te worden voldaan en tegelijkertijd recht ontstaat op de samenloopvrijstelling, lijkt me dit een overkomelijk “probleem”.</w:t>
      </w:r>
    </w:p>
    <w:p w:rsidR="00674602" w:rsidRPr="00484DAF" w:rsidRDefault="00674602" w:rsidP="00CC552D">
      <w:pPr>
        <w:pStyle w:val="Geenafstand"/>
        <w:spacing w:line="360" w:lineRule="auto"/>
        <w:rPr>
          <w:sz w:val="24"/>
          <w:szCs w:val="24"/>
        </w:rPr>
      </w:pPr>
    </w:p>
    <w:p w:rsidR="005C662F" w:rsidRPr="00484DAF" w:rsidRDefault="005C662F" w:rsidP="00CC552D">
      <w:pPr>
        <w:pStyle w:val="Kop1"/>
        <w:spacing w:before="0" w:line="360" w:lineRule="auto"/>
        <w:rPr>
          <w:rFonts w:ascii="Times New Roman" w:hAnsi="Times New Roman"/>
          <w:color w:val="auto"/>
          <w:sz w:val="24"/>
          <w:szCs w:val="24"/>
        </w:rPr>
      </w:pPr>
      <w:bookmarkStart w:id="145" w:name="_Toc254043996"/>
      <w:r w:rsidRPr="00484DAF">
        <w:rPr>
          <w:rFonts w:ascii="Times New Roman" w:hAnsi="Times New Roman"/>
          <w:color w:val="auto"/>
          <w:sz w:val="24"/>
          <w:szCs w:val="24"/>
        </w:rPr>
        <w:t>7.5 Probleem bij toepassing samenloopvrijstelling?</w:t>
      </w:r>
      <w:bookmarkEnd w:id="145"/>
    </w:p>
    <w:p w:rsidR="00E161E0" w:rsidRPr="00484DAF" w:rsidRDefault="00E161E0" w:rsidP="00CC552D">
      <w:pPr>
        <w:spacing w:after="0" w:line="360" w:lineRule="auto"/>
        <w:rPr>
          <w:sz w:val="24"/>
          <w:szCs w:val="24"/>
        </w:rPr>
      </w:pPr>
      <w:r w:rsidRPr="00484DAF">
        <w:rPr>
          <w:sz w:val="24"/>
          <w:szCs w:val="24"/>
        </w:rPr>
        <w:t>Als antwoord op mijn probleemstelling ben ik, deze scriptie overziend, van mening dat de huidige invulling van de begrippen ‘gebouw’, ‘bouwterrein’ en de vervaardiging van beiden niet tot veel problemen leidt. Hoogstens kunnen de in dit hoofdstuk voorgestelde ter nuancering en in lijn met Europese jurisprudentie aanpassingen worden doorgevoerd. Tussen alle behandelde jurisprudentie was slechts één arrest waarbij de samenloopvrijstelling op het spel stond.</w:t>
      </w:r>
      <w:r w:rsidRPr="00484DAF">
        <w:rPr>
          <w:sz w:val="24"/>
          <w:szCs w:val="24"/>
          <w:vertAlign w:val="superscript"/>
        </w:rPr>
        <w:footnoteReference w:id="324"/>
      </w:r>
      <w:r w:rsidRPr="00484DAF">
        <w:rPr>
          <w:sz w:val="24"/>
          <w:szCs w:val="24"/>
        </w:rPr>
        <w:t xml:space="preserve"> Deze zal hierna kort worden behandeld en daarbij bezien of de uitwerking verandert. Het gaat hierbij om het Garagearrest. Deze casus betrof de vraag of de gedeeltelijke sloop van een complex waarbij de functie verloren ging leidde tot een nieuw vervaardigd goed. De Hoge Raad was vrij hard in zijn oordeel dat sloopwerkzaamheden niet tot gevolg hebben dat is verbouwd in de zin van artikel 11, lid 3, onderdeel b Wet OB 1968. Echter, door het voorgestelde artikel 11, lid 5 (nieuw) Wet OB 1968 zou de uitkomst van het Garagearrest er anders uit komen te zien. Met betrekking tot de aanwezige opstallen bestond immers de </w:t>
      </w:r>
      <w:r w:rsidRPr="00484DAF">
        <w:rPr>
          <w:sz w:val="24"/>
          <w:szCs w:val="24"/>
        </w:rPr>
        <w:lastRenderedPageBreak/>
        <w:t>intentie om door verbouwing een vervaardigd goed voort te brengen, waardoor van een bouwterrein kan worden gesproken. Zodoende is de vervaardiging van rechtswege belast.</w:t>
      </w:r>
    </w:p>
    <w:p w:rsidR="00E161E0" w:rsidRPr="00484DAF" w:rsidRDefault="00E161E0" w:rsidP="00CC552D">
      <w:pPr>
        <w:spacing w:after="0" w:line="360" w:lineRule="auto"/>
        <w:rPr>
          <w:sz w:val="24"/>
          <w:szCs w:val="24"/>
        </w:rPr>
      </w:pPr>
    </w:p>
    <w:p w:rsidR="00487886" w:rsidRPr="00484DAF" w:rsidRDefault="00E161E0" w:rsidP="00CC552D">
      <w:pPr>
        <w:pStyle w:val="Geenafstand"/>
        <w:spacing w:line="360" w:lineRule="auto"/>
        <w:rPr>
          <w:sz w:val="24"/>
          <w:szCs w:val="24"/>
        </w:rPr>
      </w:pPr>
      <w:r w:rsidRPr="00484DAF">
        <w:rPr>
          <w:sz w:val="24"/>
          <w:szCs w:val="24"/>
        </w:rPr>
        <w:t>Niet aan bod gekomen in het kader van de samenloopvrijstelling</w:t>
      </w:r>
      <w:r w:rsidRPr="00484DAF">
        <w:rPr>
          <w:sz w:val="24"/>
          <w:szCs w:val="24"/>
          <w:vertAlign w:val="superscript"/>
        </w:rPr>
        <w:footnoteReference w:id="325"/>
      </w:r>
      <w:r w:rsidRPr="00484DAF">
        <w:rPr>
          <w:sz w:val="24"/>
          <w:szCs w:val="24"/>
        </w:rPr>
        <w:t xml:space="preserve"> in deze scriptie, maar wel interessant in het kader van de nieuwe voorgestelde wettekst is een arrest van de Hoge Raad die eind jaren tachtig is beslist.</w:t>
      </w:r>
      <w:r w:rsidRPr="00484DAF">
        <w:rPr>
          <w:sz w:val="24"/>
          <w:szCs w:val="24"/>
          <w:vertAlign w:val="superscript"/>
        </w:rPr>
        <w:footnoteReference w:id="326"/>
      </w:r>
      <w:r w:rsidRPr="00484DAF">
        <w:rPr>
          <w:sz w:val="24"/>
          <w:szCs w:val="24"/>
        </w:rPr>
        <w:t xml:space="preserve"> In casu werden opstallen die voorheen een woonfunctie hadden, maar nu op nominatie stonden voor sloop, geleverd. De panden waren vóór levering onbruikbaar gemaakt, om kraken tegen te gaan, door verwijdering van sanitair en inwendige riolering, dichtgemetselde toegangen, verwijderde binnenmuren, vloeren, plafonds trappen etc. Verkoper stelde zich op het standpunt dat een nieuw goed was vervaardigd en aangezien de huizen niet als bedrijfsmiddel werden gebruikt tevens recht bestond op de samenloopvrijstelling van de overdrachtsbelasting. De Hoge Raad kwalificeerde genoemde werkzaamheden enkel als beveiligingswerkzaamheden, waarbij hij opmerkte </w:t>
      </w:r>
      <w:r w:rsidRPr="00484DAF">
        <w:rPr>
          <w:i/>
          <w:sz w:val="24"/>
          <w:szCs w:val="24"/>
        </w:rPr>
        <w:t>‘het doel waarmee handelingen worden verricht is echter niet van betekenis waar het gaat om de vraag of enig goed is vervaardigd.’</w:t>
      </w:r>
      <w:r w:rsidRPr="00484DAF">
        <w:rPr>
          <w:i/>
          <w:sz w:val="24"/>
          <w:szCs w:val="24"/>
          <w:vertAlign w:val="superscript"/>
        </w:rPr>
        <w:footnoteReference w:id="327"/>
      </w:r>
      <w:r w:rsidRPr="00484DAF">
        <w:rPr>
          <w:sz w:val="24"/>
          <w:szCs w:val="24"/>
        </w:rPr>
        <w:t xml:space="preserve"> Terecht oordeelde het Hof dat het onbruikbaar maken van de panden geen vervaardiging opleverde. Echter deze werkzaamheden maakten onderdeel uit van sloopwerkzaamheden om te voldaan aan de eis van koper om bouwrijpe grond te verkrijgen. Wederom geldt dat artikel 11, lid 5 (nieuw) Wet OB 1968 uitkomst zou bieden om van rechtswege belast te zijn met BTW, waardoor eventueel ook beroep kon worden gedaan op de samenloopvrijstelling.</w:t>
      </w:r>
    </w:p>
    <w:p w:rsidR="00AB17E9" w:rsidRPr="00484DAF" w:rsidRDefault="00AB17E9" w:rsidP="00CC552D">
      <w:pPr>
        <w:pStyle w:val="Kop1"/>
        <w:spacing w:line="360" w:lineRule="auto"/>
        <w:rPr>
          <w:rFonts w:ascii="Times New Roman" w:hAnsi="Times New Roman"/>
          <w:color w:val="auto"/>
          <w:sz w:val="24"/>
          <w:szCs w:val="24"/>
        </w:rPr>
      </w:pPr>
      <w:bookmarkStart w:id="146" w:name="_Toc254043997"/>
      <w:r w:rsidRPr="00484DAF">
        <w:rPr>
          <w:rFonts w:ascii="Times New Roman" w:hAnsi="Times New Roman"/>
          <w:color w:val="auto"/>
          <w:sz w:val="24"/>
          <w:szCs w:val="24"/>
        </w:rPr>
        <w:t>7.6 Rekenvoorbeeld</w:t>
      </w:r>
      <w:bookmarkEnd w:id="146"/>
    </w:p>
    <w:p w:rsidR="00E161E0" w:rsidRPr="00484DAF" w:rsidRDefault="00E161E0" w:rsidP="00CC552D">
      <w:pPr>
        <w:spacing w:line="360" w:lineRule="auto"/>
        <w:rPr>
          <w:sz w:val="24"/>
          <w:szCs w:val="24"/>
        </w:rPr>
      </w:pPr>
      <w:r w:rsidRPr="00484DAF">
        <w:rPr>
          <w:sz w:val="24"/>
          <w:szCs w:val="24"/>
        </w:rPr>
        <w:t>In hoofdstuk 2 is door middel van een rekenvoorbeeld aangetoond hoe projectontwikkelaars inspelen op te behalen voordelen bij verkopen vanaf de tekening en rekening houdend met de hoedanigheid van de afnemer. Wanneer de afnemer particulier (niet-ondernemer) is, zit het voordeel in het opstellen van een koop- aanneemovereenkomst waarbij de grond met overdrachtsbelasting wordt geleverd en het geheel “vrij op naam” wordt verkocht. De volgende rekensom hoort hierbij:</w:t>
      </w:r>
    </w:p>
    <w:p w:rsidR="00E161E0" w:rsidRPr="00484DAF" w:rsidRDefault="00E161E0" w:rsidP="00CC552D">
      <w:pPr>
        <w:spacing w:after="0" w:line="360" w:lineRule="auto"/>
        <w:rPr>
          <w:sz w:val="24"/>
          <w:szCs w:val="24"/>
        </w:rPr>
      </w:pPr>
    </w:p>
    <w:p w:rsidR="00E161E0" w:rsidRPr="00484DAF" w:rsidRDefault="00E161E0" w:rsidP="00CC552D">
      <w:pPr>
        <w:spacing w:after="0" w:line="360" w:lineRule="auto"/>
        <w:rPr>
          <w:sz w:val="24"/>
          <w:szCs w:val="24"/>
        </w:rPr>
      </w:pPr>
    </w:p>
    <w:p w:rsidR="00E161E0" w:rsidRPr="00484DAF" w:rsidRDefault="00E161E0" w:rsidP="00CC552D">
      <w:pPr>
        <w:spacing w:after="0" w:line="360" w:lineRule="auto"/>
        <w:rPr>
          <w:sz w:val="24"/>
          <w:szCs w:val="24"/>
        </w:rPr>
      </w:pPr>
    </w:p>
    <w:p w:rsidR="00E161E0" w:rsidRPr="00484DAF" w:rsidRDefault="00E161E0" w:rsidP="00CC552D">
      <w:pPr>
        <w:spacing w:after="0" w:line="360" w:lineRule="auto"/>
        <w:rPr>
          <w:sz w:val="24"/>
          <w:szCs w:val="24"/>
        </w:rPr>
      </w:pPr>
    </w:p>
    <w:p w:rsidR="00E161E0" w:rsidRPr="00484DAF" w:rsidRDefault="00E161E0" w:rsidP="00CC552D">
      <w:pPr>
        <w:spacing w:after="0" w:line="360" w:lineRule="auto"/>
        <w:rPr>
          <w:sz w:val="24"/>
          <w:szCs w:val="24"/>
        </w:rPr>
      </w:pPr>
    </w:p>
    <w:tbl>
      <w:tblPr>
        <w:tblW w:w="9046" w:type="dxa"/>
        <w:jc w:val="center"/>
        <w:tblLook w:val="04A0"/>
      </w:tblPr>
      <w:tblGrid>
        <w:gridCol w:w="1982"/>
        <w:gridCol w:w="1708"/>
        <w:gridCol w:w="236"/>
        <w:gridCol w:w="1728"/>
        <w:gridCol w:w="1529"/>
        <w:gridCol w:w="1863"/>
      </w:tblGrid>
      <w:tr w:rsidR="00E161E0" w:rsidRPr="00484DAF" w:rsidTr="00CC552D">
        <w:trPr>
          <w:jc w:val="center"/>
        </w:trPr>
        <w:tc>
          <w:tcPr>
            <w:tcW w:w="1982" w:type="dxa"/>
          </w:tcPr>
          <w:p w:rsidR="00E161E0" w:rsidRPr="00484DAF" w:rsidRDefault="00E161E0" w:rsidP="00CC552D">
            <w:pPr>
              <w:spacing w:after="0" w:line="360" w:lineRule="auto"/>
              <w:rPr>
                <w:i/>
                <w:sz w:val="24"/>
                <w:szCs w:val="24"/>
                <w:lang w:eastAsia="nl-NL"/>
              </w:rPr>
            </w:pPr>
            <w:r w:rsidRPr="00484DAF">
              <w:rPr>
                <w:i/>
                <w:sz w:val="24"/>
                <w:szCs w:val="24"/>
                <w:lang w:eastAsia="nl-NL"/>
              </w:rPr>
              <w:t xml:space="preserve">Soort </w:t>
            </w:r>
          </w:p>
          <w:p w:rsidR="00E161E0" w:rsidRPr="00484DAF" w:rsidRDefault="00E161E0" w:rsidP="00CC552D">
            <w:pPr>
              <w:spacing w:after="0" w:line="360" w:lineRule="auto"/>
              <w:rPr>
                <w:i/>
                <w:sz w:val="24"/>
                <w:szCs w:val="24"/>
                <w:lang w:eastAsia="nl-NL"/>
              </w:rPr>
            </w:pPr>
            <w:r w:rsidRPr="00484DAF">
              <w:rPr>
                <w:i/>
                <w:sz w:val="24"/>
                <w:szCs w:val="24"/>
                <w:lang w:eastAsia="nl-NL"/>
              </w:rPr>
              <w:t>onroerend goed</w:t>
            </w:r>
          </w:p>
        </w:tc>
        <w:tc>
          <w:tcPr>
            <w:tcW w:w="1708" w:type="dxa"/>
          </w:tcPr>
          <w:p w:rsidR="00E161E0" w:rsidRPr="00484DAF" w:rsidRDefault="00E161E0" w:rsidP="00CC552D">
            <w:pPr>
              <w:spacing w:after="0" w:line="360" w:lineRule="auto"/>
              <w:rPr>
                <w:i/>
                <w:sz w:val="24"/>
                <w:szCs w:val="24"/>
                <w:lang w:eastAsia="nl-NL"/>
              </w:rPr>
            </w:pPr>
            <w:r w:rsidRPr="00484DAF">
              <w:rPr>
                <w:i/>
                <w:sz w:val="24"/>
                <w:szCs w:val="24"/>
                <w:lang w:eastAsia="nl-NL"/>
              </w:rPr>
              <w:t>Prijs exclusief</w:t>
            </w:r>
          </w:p>
          <w:p w:rsidR="00E161E0" w:rsidRPr="00484DAF" w:rsidRDefault="00E161E0" w:rsidP="00CC552D">
            <w:pPr>
              <w:spacing w:after="0" w:line="360" w:lineRule="auto"/>
              <w:rPr>
                <w:i/>
                <w:sz w:val="24"/>
                <w:szCs w:val="24"/>
                <w:lang w:eastAsia="nl-NL"/>
              </w:rPr>
            </w:pPr>
            <w:r w:rsidRPr="00484DAF">
              <w:rPr>
                <w:i/>
                <w:sz w:val="24"/>
                <w:szCs w:val="24"/>
                <w:lang w:eastAsia="nl-NL"/>
              </w:rPr>
              <w:t>belastingen</w:t>
            </w:r>
          </w:p>
        </w:tc>
        <w:tc>
          <w:tcPr>
            <w:tcW w:w="236" w:type="dxa"/>
          </w:tcPr>
          <w:p w:rsidR="00E161E0" w:rsidRPr="00484DAF" w:rsidRDefault="00E161E0" w:rsidP="00CC552D">
            <w:pPr>
              <w:spacing w:after="0" w:line="360" w:lineRule="auto"/>
              <w:rPr>
                <w:i/>
                <w:sz w:val="24"/>
                <w:szCs w:val="24"/>
                <w:lang w:eastAsia="nl-NL"/>
              </w:rPr>
            </w:pPr>
          </w:p>
        </w:tc>
        <w:tc>
          <w:tcPr>
            <w:tcW w:w="1728" w:type="dxa"/>
          </w:tcPr>
          <w:p w:rsidR="00E161E0" w:rsidRPr="00484DAF" w:rsidRDefault="00E161E0" w:rsidP="00CC552D">
            <w:pPr>
              <w:spacing w:after="0" w:line="360" w:lineRule="auto"/>
              <w:rPr>
                <w:i/>
                <w:sz w:val="24"/>
                <w:szCs w:val="24"/>
                <w:lang w:eastAsia="nl-NL"/>
              </w:rPr>
            </w:pPr>
            <w:r w:rsidRPr="00484DAF">
              <w:rPr>
                <w:i/>
                <w:sz w:val="24"/>
                <w:szCs w:val="24"/>
                <w:lang w:eastAsia="nl-NL"/>
              </w:rPr>
              <w:t>Verschuldigde</w:t>
            </w:r>
          </w:p>
          <w:p w:rsidR="00E161E0" w:rsidRPr="00484DAF" w:rsidRDefault="00E161E0" w:rsidP="00CC552D">
            <w:pPr>
              <w:spacing w:after="0" w:line="360" w:lineRule="auto"/>
              <w:rPr>
                <w:i/>
                <w:sz w:val="24"/>
                <w:szCs w:val="24"/>
                <w:lang w:eastAsia="nl-NL"/>
              </w:rPr>
            </w:pPr>
            <w:r w:rsidRPr="00484DAF">
              <w:rPr>
                <w:i/>
                <w:sz w:val="24"/>
                <w:szCs w:val="24"/>
                <w:lang w:eastAsia="nl-NL"/>
              </w:rPr>
              <w:t>belasting</w:t>
            </w:r>
          </w:p>
        </w:tc>
        <w:tc>
          <w:tcPr>
            <w:tcW w:w="1529" w:type="dxa"/>
          </w:tcPr>
          <w:p w:rsidR="00E161E0" w:rsidRPr="00484DAF" w:rsidRDefault="00E161E0" w:rsidP="00CC552D">
            <w:pPr>
              <w:spacing w:after="0" w:line="360" w:lineRule="auto"/>
              <w:rPr>
                <w:i/>
                <w:sz w:val="24"/>
                <w:szCs w:val="24"/>
                <w:lang w:eastAsia="nl-NL"/>
              </w:rPr>
            </w:pPr>
          </w:p>
        </w:tc>
        <w:tc>
          <w:tcPr>
            <w:tcW w:w="1863" w:type="dxa"/>
          </w:tcPr>
          <w:p w:rsidR="00E161E0" w:rsidRPr="00484DAF" w:rsidRDefault="00E161E0" w:rsidP="00CC552D">
            <w:pPr>
              <w:spacing w:after="0" w:line="360" w:lineRule="auto"/>
              <w:rPr>
                <w:i/>
                <w:sz w:val="24"/>
                <w:szCs w:val="24"/>
                <w:lang w:eastAsia="nl-NL"/>
              </w:rPr>
            </w:pPr>
            <w:r w:rsidRPr="00484DAF">
              <w:rPr>
                <w:i/>
                <w:sz w:val="24"/>
                <w:szCs w:val="24"/>
                <w:lang w:eastAsia="nl-NL"/>
              </w:rPr>
              <w:t>Totale kostprijs</w:t>
            </w:r>
          </w:p>
          <w:p w:rsidR="00E161E0" w:rsidRPr="00484DAF" w:rsidRDefault="00E161E0" w:rsidP="00CC552D">
            <w:pPr>
              <w:spacing w:after="0" w:line="360" w:lineRule="auto"/>
              <w:rPr>
                <w:i/>
                <w:sz w:val="24"/>
                <w:szCs w:val="24"/>
                <w:lang w:eastAsia="nl-NL"/>
              </w:rPr>
            </w:pPr>
          </w:p>
        </w:tc>
      </w:tr>
      <w:tr w:rsidR="00E161E0" w:rsidRPr="00484DAF" w:rsidTr="00CC552D">
        <w:trPr>
          <w:jc w:val="center"/>
        </w:trPr>
        <w:tc>
          <w:tcPr>
            <w:tcW w:w="1982" w:type="dxa"/>
          </w:tcPr>
          <w:p w:rsidR="00E161E0" w:rsidRPr="00484DAF" w:rsidRDefault="00E161E0" w:rsidP="00CC552D">
            <w:pPr>
              <w:spacing w:after="0" w:line="360" w:lineRule="auto"/>
              <w:rPr>
                <w:sz w:val="24"/>
                <w:szCs w:val="24"/>
                <w:lang w:eastAsia="nl-NL"/>
              </w:rPr>
            </w:pPr>
            <w:r w:rsidRPr="00484DAF">
              <w:rPr>
                <w:sz w:val="24"/>
                <w:szCs w:val="24"/>
                <w:lang w:eastAsia="nl-NL"/>
              </w:rPr>
              <w:t>Grond</w:t>
            </w:r>
          </w:p>
        </w:tc>
        <w:tc>
          <w:tcPr>
            <w:tcW w:w="1708" w:type="dxa"/>
          </w:tcPr>
          <w:p w:rsidR="00E161E0" w:rsidRPr="00484DAF" w:rsidRDefault="00E161E0" w:rsidP="00CC552D">
            <w:pPr>
              <w:spacing w:after="0" w:line="360" w:lineRule="auto"/>
              <w:rPr>
                <w:sz w:val="24"/>
                <w:szCs w:val="24"/>
                <w:lang w:eastAsia="nl-NL"/>
              </w:rPr>
            </w:pPr>
            <w:r w:rsidRPr="00484DAF">
              <w:rPr>
                <w:sz w:val="24"/>
                <w:szCs w:val="24"/>
                <w:lang w:eastAsia="nl-NL"/>
              </w:rPr>
              <w:t>€ 200.000</w:t>
            </w:r>
          </w:p>
        </w:tc>
        <w:tc>
          <w:tcPr>
            <w:tcW w:w="236" w:type="dxa"/>
          </w:tcPr>
          <w:p w:rsidR="00E161E0" w:rsidRPr="00484DAF" w:rsidRDefault="00E161E0" w:rsidP="00CC552D">
            <w:pPr>
              <w:spacing w:after="0" w:line="360" w:lineRule="auto"/>
              <w:rPr>
                <w:sz w:val="24"/>
                <w:szCs w:val="24"/>
                <w:lang w:eastAsia="nl-NL"/>
              </w:rPr>
            </w:pPr>
          </w:p>
        </w:tc>
        <w:tc>
          <w:tcPr>
            <w:tcW w:w="1728" w:type="dxa"/>
          </w:tcPr>
          <w:p w:rsidR="00E161E0" w:rsidRPr="00484DAF" w:rsidRDefault="00E161E0" w:rsidP="00CC552D">
            <w:pPr>
              <w:spacing w:after="0" w:line="360" w:lineRule="auto"/>
              <w:rPr>
                <w:sz w:val="24"/>
                <w:szCs w:val="24"/>
                <w:lang w:eastAsia="nl-NL"/>
              </w:rPr>
            </w:pPr>
            <w:r w:rsidRPr="00484DAF">
              <w:rPr>
                <w:sz w:val="24"/>
                <w:szCs w:val="24"/>
                <w:lang w:eastAsia="nl-NL"/>
              </w:rPr>
              <w:t>€ 12.000</w:t>
            </w:r>
          </w:p>
        </w:tc>
        <w:tc>
          <w:tcPr>
            <w:tcW w:w="1529" w:type="dxa"/>
          </w:tcPr>
          <w:p w:rsidR="00E161E0" w:rsidRPr="00484DAF" w:rsidRDefault="00E161E0" w:rsidP="00CC552D">
            <w:pPr>
              <w:spacing w:after="0" w:line="360" w:lineRule="auto"/>
              <w:rPr>
                <w:sz w:val="24"/>
                <w:szCs w:val="24"/>
                <w:lang w:eastAsia="nl-NL"/>
              </w:rPr>
            </w:pPr>
            <w:r w:rsidRPr="00484DAF">
              <w:rPr>
                <w:sz w:val="24"/>
                <w:szCs w:val="24"/>
                <w:lang w:eastAsia="nl-NL"/>
              </w:rPr>
              <w:t>(6% OVB)</w:t>
            </w:r>
          </w:p>
        </w:tc>
        <w:tc>
          <w:tcPr>
            <w:tcW w:w="1863" w:type="dxa"/>
          </w:tcPr>
          <w:p w:rsidR="00E161E0" w:rsidRPr="00484DAF" w:rsidRDefault="00E161E0" w:rsidP="00CC552D">
            <w:pPr>
              <w:spacing w:after="0" w:line="360" w:lineRule="auto"/>
              <w:rPr>
                <w:sz w:val="24"/>
                <w:szCs w:val="24"/>
                <w:lang w:eastAsia="nl-NL"/>
              </w:rPr>
            </w:pPr>
            <w:r w:rsidRPr="00484DAF">
              <w:rPr>
                <w:sz w:val="24"/>
                <w:szCs w:val="24"/>
                <w:lang w:eastAsia="nl-NL"/>
              </w:rPr>
              <w:t>€ 212.000</w:t>
            </w:r>
          </w:p>
        </w:tc>
      </w:tr>
      <w:tr w:rsidR="00E161E0" w:rsidRPr="00484DAF" w:rsidTr="00CC552D">
        <w:trPr>
          <w:jc w:val="center"/>
        </w:trPr>
        <w:tc>
          <w:tcPr>
            <w:tcW w:w="1982" w:type="dxa"/>
          </w:tcPr>
          <w:p w:rsidR="00E161E0" w:rsidRPr="00484DAF" w:rsidRDefault="00E161E0" w:rsidP="00CC552D">
            <w:pPr>
              <w:spacing w:after="0" w:line="360" w:lineRule="auto"/>
              <w:rPr>
                <w:sz w:val="24"/>
                <w:szCs w:val="24"/>
                <w:lang w:eastAsia="nl-NL"/>
              </w:rPr>
            </w:pPr>
            <w:r w:rsidRPr="00484DAF">
              <w:rPr>
                <w:sz w:val="24"/>
                <w:szCs w:val="24"/>
                <w:lang w:eastAsia="nl-NL"/>
              </w:rPr>
              <w:t>Opstal</w:t>
            </w:r>
          </w:p>
        </w:tc>
        <w:tc>
          <w:tcPr>
            <w:tcW w:w="1708" w:type="dxa"/>
            <w:tcBorders>
              <w:bottom w:val="single" w:sz="4" w:space="0" w:color="auto"/>
            </w:tcBorders>
          </w:tcPr>
          <w:p w:rsidR="00E161E0" w:rsidRPr="00484DAF" w:rsidRDefault="00E161E0" w:rsidP="00CC552D">
            <w:pPr>
              <w:spacing w:after="0" w:line="360" w:lineRule="auto"/>
              <w:rPr>
                <w:sz w:val="24"/>
                <w:szCs w:val="24"/>
                <w:lang w:eastAsia="nl-NL"/>
              </w:rPr>
            </w:pPr>
            <w:r w:rsidRPr="00484DAF">
              <w:rPr>
                <w:sz w:val="24"/>
                <w:szCs w:val="24"/>
                <w:lang w:eastAsia="nl-NL"/>
              </w:rPr>
              <w:t>€ 150.000</w:t>
            </w:r>
          </w:p>
        </w:tc>
        <w:tc>
          <w:tcPr>
            <w:tcW w:w="236" w:type="dxa"/>
          </w:tcPr>
          <w:p w:rsidR="00E161E0" w:rsidRPr="00484DAF" w:rsidRDefault="00E161E0" w:rsidP="00CC552D">
            <w:pPr>
              <w:spacing w:after="0" w:line="360" w:lineRule="auto"/>
              <w:rPr>
                <w:sz w:val="24"/>
                <w:szCs w:val="24"/>
                <w:lang w:eastAsia="nl-NL"/>
              </w:rPr>
            </w:pPr>
          </w:p>
        </w:tc>
        <w:tc>
          <w:tcPr>
            <w:tcW w:w="1728" w:type="dxa"/>
            <w:tcBorders>
              <w:bottom w:val="single" w:sz="4" w:space="0" w:color="auto"/>
            </w:tcBorders>
          </w:tcPr>
          <w:p w:rsidR="00E161E0" w:rsidRPr="00484DAF" w:rsidRDefault="00E161E0" w:rsidP="00CC552D">
            <w:pPr>
              <w:spacing w:after="0" w:line="360" w:lineRule="auto"/>
              <w:rPr>
                <w:sz w:val="24"/>
                <w:szCs w:val="24"/>
                <w:lang w:eastAsia="nl-NL"/>
              </w:rPr>
            </w:pPr>
            <w:r w:rsidRPr="00484DAF">
              <w:rPr>
                <w:sz w:val="24"/>
                <w:szCs w:val="24"/>
                <w:lang w:eastAsia="nl-NL"/>
              </w:rPr>
              <w:t xml:space="preserve">€ 28.500 </w:t>
            </w:r>
          </w:p>
        </w:tc>
        <w:tc>
          <w:tcPr>
            <w:tcW w:w="1529" w:type="dxa"/>
          </w:tcPr>
          <w:p w:rsidR="00E161E0" w:rsidRPr="00484DAF" w:rsidRDefault="00E161E0" w:rsidP="00CC552D">
            <w:pPr>
              <w:spacing w:after="0" w:line="360" w:lineRule="auto"/>
              <w:rPr>
                <w:sz w:val="24"/>
                <w:szCs w:val="24"/>
                <w:lang w:eastAsia="nl-NL"/>
              </w:rPr>
            </w:pPr>
            <w:r w:rsidRPr="00484DAF">
              <w:rPr>
                <w:sz w:val="24"/>
                <w:szCs w:val="24"/>
                <w:lang w:eastAsia="nl-NL"/>
              </w:rPr>
              <w:t>(19% BTW)</w:t>
            </w:r>
          </w:p>
        </w:tc>
        <w:tc>
          <w:tcPr>
            <w:tcW w:w="1863" w:type="dxa"/>
            <w:tcBorders>
              <w:bottom w:val="double" w:sz="4" w:space="0" w:color="auto"/>
            </w:tcBorders>
          </w:tcPr>
          <w:p w:rsidR="00E161E0" w:rsidRPr="00484DAF" w:rsidRDefault="00E161E0" w:rsidP="00CC552D">
            <w:pPr>
              <w:spacing w:after="0" w:line="360" w:lineRule="auto"/>
              <w:rPr>
                <w:sz w:val="24"/>
                <w:szCs w:val="24"/>
                <w:lang w:eastAsia="nl-NL"/>
              </w:rPr>
            </w:pPr>
            <w:r w:rsidRPr="00484DAF">
              <w:rPr>
                <w:sz w:val="24"/>
                <w:szCs w:val="24"/>
                <w:lang w:eastAsia="nl-NL"/>
              </w:rPr>
              <w:t>€ 178.500</w:t>
            </w:r>
          </w:p>
        </w:tc>
      </w:tr>
      <w:tr w:rsidR="00E161E0" w:rsidRPr="00484DAF" w:rsidTr="00CC552D">
        <w:trPr>
          <w:jc w:val="center"/>
        </w:trPr>
        <w:tc>
          <w:tcPr>
            <w:tcW w:w="1982" w:type="dxa"/>
          </w:tcPr>
          <w:p w:rsidR="00E161E0" w:rsidRPr="00484DAF" w:rsidRDefault="00E161E0" w:rsidP="00CC552D">
            <w:pPr>
              <w:spacing w:after="0" w:line="360" w:lineRule="auto"/>
              <w:rPr>
                <w:sz w:val="24"/>
                <w:szCs w:val="24"/>
                <w:lang w:eastAsia="nl-NL"/>
              </w:rPr>
            </w:pPr>
            <w:r w:rsidRPr="00484DAF">
              <w:rPr>
                <w:b/>
                <w:sz w:val="24"/>
                <w:szCs w:val="24"/>
                <w:lang w:eastAsia="nl-NL"/>
              </w:rPr>
              <w:t>Totaal</w:t>
            </w:r>
          </w:p>
        </w:tc>
        <w:tc>
          <w:tcPr>
            <w:tcW w:w="1708" w:type="dxa"/>
            <w:tcBorders>
              <w:top w:val="single" w:sz="4" w:space="0" w:color="auto"/>
            </w:tcBorders>
          </w:tcPr>
          <w:p w:rsidR="00E161E0" w:rsidRPr="00484DAF" w:rsidRDefault="00E161E0" w:rsidP="00CC552D">
            <w:pPr>
              <w:spacing w:after="0" w:line="360" w:lineRule="auto"/>
              <w:rPr>
                <w:sz w:val="24"/>
                <w:szCs w:val="24"/>
                <w:lang w:eastAsia="nl-NL"/>
              </w:rPr>
            </w:pPr>
            <w:r w:rsidRPr="00484DAF">
              <w:rPr>
                <w:sz w:val="24"/>
                <w:szCs w:val="24"/>
                <w:lang w:eastAsia="nl-NL"/>
              </w:rPr>
              <w:t>€ 350.000</w:t>
            </w:r>
          </w:p>
        </w:tc>
        <w:tc>
          <w:tcPr>
            <w:tcW w:w="236" w:type="dxa"/>
          </w:tcPr>
          <w:p w:rsidR="00E161E0" w:rsidRPr="00484DAF" w:rsidRDefault="00E161E0" w:rsidP="00CC552D">
            <w:pPr>
              <w:spacing w:after="0" w:line="360" w:lineRule="auto"/>
              <w:rPr>
                <w:sz w:val="24"/>
                <w:szCs w:val="24"/>
                <w:lang w:eastAsia="nl-NL"/>
              </w:rPr>
            </w:pPr>
          </w:p>
        </w:tc>
        <w:tc>
          <w:tcPr>
            <w:tcW w:w="1728" w:type="dxa"/>
            <w:tcBorders>
              <w:top w:val="single" w:sz="4" w:space="0" w:color="auto"/>
            </w:tcBorders>
          </w:tcPr>
          <w:p w:rsidR="00E161E0" w:rsidRPr="00484DAF" w:rsidRDefault="00E161E0" w:rsidP="00CC552D">
            <w:pPr>
              <w:spacing w:after="0" w:line="360" w:lineRule="auto"/>
              <w:rPr>
                <w:sz w:val="24"/>
                <w:szCs w:val="24"/>
                <w:lang w:eastAsia="nl-NL"/>
              </w:rPr>
            </w:pPr>
            <w:r w:rsidRPr="00484DAF">
              <w:rPr>
                <w:sz w:val="24"/>
                <w:szCs w:val="24"/>
                <w:lang w:eastAsia="nl-NL"/>
              </w:rPr>
              <w:t>€ 40.500</w:t>
            </w:r>
          </w:p>
        </w:tc>
        <w:tc>
          <w:tcPr>
            <w:tcW w:w="1529" w:type="dxa"/>
          </w:tcPr>
          <w:p w:rsidR="00E161E0" w:rsidRPr="00484DAF" w:rsidRDefault="00E161E0" w:rsidP="00CC552D">
            <w:pPr>
              <w:spacing w:after="0" w:line="360" w:lineRule="auto"/>
              <w:rPr>
                <w:b/>
                <w:sz w:val="24"/>
                <w:szCs w:val="24"/>
                <w:lang w:eastAsia="nl-NL"/>
              </w:rPr>
            </w:pPr>
          </w:p>
        </w:tc>
        <w:tc>
          <w:tcPr>
            <w:tcW w:w="1863" w:type="dxa"/>
            <w:tcBorders>
              <w:top w:val="double" w:sz="4" w:space="0" w:color="auto"/>
            </w:tcBorders>
          </w:tcPr>
          <w:p w:rsidR="00E161E0" w:rsidRPr="00484DAF" w:rsidRDefault="00E161E0" w:rsidP="00CC552D">
            <w:pPr>
              <w:spacing w:after="0" w:line="360" w:lineRule="auto"/>
              <w:rPr>
                <w:b/>
                <w:sz w:val="24"/>
                <w:szCs w:val="24"/>
                <w:lang w:eastAsia="nl-NL"/>
              </w:rPr>
            </w:pPr>
            <w:r w:rsidRPr="00484DAF">
              <w:rPr>
                <w:b/>
                <w:sz w:val="24"/>
                <w:szCs w:val="24"/>
                <w:lang w:eastAsia="nl-NL"/>
              </w:rPr>
              <w:t>€ 390.500</w:t>
            </w:r>
          </w:p>
        </w:tc>
      </w:tr>
    </w:tbl>
    <w:p w:rsidR="00E161E0" w:rsidRPr="00484DAF" w:rsidRDefault="00E161E0" w:rsidP="00CC552D">
      <w:pPr>
        <w:spacing w:after="0" w:line="360" w:lineRule="auto"/>
        <w:rPr>
          <w:sz w:val="24"/>
          <w:szCs w:val="24"/>
        </w:rPr>
      </w:pPr>
    </w:p>
    <w:p w:rsidR="00E161E0" w:rsidRPr="00484DAF" w:rsidRDefault="00E161E0" w:rsidP="00CC552D">
      <w:pPr>
        <w:spacing w:after="0" w:line="360" w:lineRule="auto"/>
        <w:rPr>
          <w:sz w:val="24"/>
          <w:szCs w:val="24"/>
        </w:rPr>
      </w:pPr>
      <w:r w:rsidRPr="00484DAF">
        <w:rPr>
          <w:sz w:val="24"/>
          <w:szCs w:val="24"/>
        </w:rPr>
        <w:t>Een projectontwikkelaar die naar winst streeft, besluit de nieuwbouw voor € 416.500 vrij op naam op te leveren. De bespaarde € 26.000 door levering van de grond met overdrachtsbelasting houdt hij in eigen kas (13% van 200.000). Indien de lijn van deze scriptie wordt gevolgd zijn dergelijke constructies niet meer mogelijk. De grond die (voorheen) met overdrachtsbelasting wordt geleverd, heeft als bestemming bebouwing en daarnaast zijn er concrete bouwplannen. Hiervan getuigen de tekening op basis waarvan een project wordt verkocht. De “factuur” voor levering van onroerend goed ziet er als volgt uit.</w:t>
      </w:r>
    </w:p>
    <w:p w:rsidR="00E161E0" w:rsidRPr="00484DAF" w:rsidRDefault="00E161E0" w:rsidP="00CC552D">
      <w:pPr>
        <w:spacing w:after="0" w:line="360" w:lineRule="auto"/>
        <w:rPr>
          <w:sz w:val="24"/>
          <w:szCs w:val="24"/>
        </w:rPr>
      </w:pPr>
    </w:p>
    <w:tbl>
      <w:tblPr>
        <w:tblW w:w="8985" w:type="dxa"/>
        <w:jc w:val="center"/>
        <w:tblLook w:val="04A0"/>
      </w:tblPr>
      <w:tblGrid>
        <w:gridCol w:w="1863"/>
        <w:gridCol w:w="1708"/>
        <w:gridCol w:w="294"/>
        <w:gridCol w:w="1728"/>
        <w:gridCol w:w="1529"/>
        <w:gridCol w:w="1863"/>
      </w:tblGrid>
      <w:tr w:rsidR="00E161E0" w:rsidRPr="00484DAF" w:rsidTr="00CC552D">
        <w:trPr>
          <w:jc w:val="center"/>
        </w:trPr>
        <w:tc>
          <w:tcPr>
            <w:tcW w:w="1863" w:type="dxa"/>
          </w:tcPr>
          <w:p w:rsidR="00E161E0" w:rsidRPr="00484DAF" w:rsidRDefault="00E161E0" w:rsidP="00CC552D">
            <w:pPr>
              <w:spacing w:after="0" w:line="360" w:lineRule="auto"/>
              <w:rPr>
                <w:i/>
                <w:sz w:val="24"/>
                <w:szCs w:val="24"/>
                <w:lang w:eastAsia="nl-NL"/>
              </w:rPr>
            </w:pPr>
            <w:r w:rsidRPr="00484DAF">
              <w:rPr>
                <w:i/>
                <w:sz w:val="24"/>
                <w:szCs w:val="24"/>
                <w:lang w:eastAsia="nl-NL"/>
              </w:rPr>
              <w:t xml:space="preserve">Soort </w:t>
            </w:r>
          </w:p>
          <w:p w:rsidR="00E161E0" w:rsidRPr="00484DAF" w:rsidRDefault="00E161E0" w:rsidP="00CC552D">
            <w:pPr>
              <w:spacing w:after="0" w:line="360" w:lineRule="auto"/>
              <w:rPr>
                <w:i/>
                <w:sz w:val="24"/>
                <w:szCs w:val="24"/>
                <w:lang w:eastAsia="nl-NL"/>
              </w:rPr>
            </w:pPr>
            <w:r w:rsidRPr="00484DAF">
              <w:rPr>
                <w:i/>
                <w:sz w:val="24"/>
                <w:szCs w:val="24"/>
                <w:lang w:eastAsia="nl-NL"/>
              </w:rPr>
              <w:t>onroerend goed</w:t>
            </w:r>
          </w:p>
        </w:tc>
        <w:tc>
          <w:tcPr>
            <w:tcW w:w="1708" w:type="dxa"/>
          </w:tcPr>
          <w:p w:rsidR="00E161E0" w:rsidRPr="00484DAF" w:rsidRDefault="00E161E0" w:rsidP="00CC552D">
            <w:pPr>
              <w:spacing w:after="0" w:line="360" w:lineRule="auto"/>
              <w:rPr>
                <w:i/>
                <w:sz w:val="24"/>
                <w:szCs w:val="24"/>
                <w:lang w:eastAsia="nl-NL"/>
              </w:rPr>
            </w:pPr>
            <w:r w:rsidRPr="00484DAF">
              <w:rPr>
                <w:i/>
                <w:sz w:val="24"/>
                <w:szCs w:val="24"/>
                <w:lang w:eastAsia="nl-NL"/>
              </w:rPr>
              <w:t>Prijs exclusief</w:t>
            </w:r>
          </w:p>
          <w:p w:rsidR="00E161E0" w:rsidRPr="00484DAF" w:rsidRDefault="00E161E0" w:rsidP="00CC552D">
            <w:pPr>
              <w:spacing w:after="0" w:line="360" w:lineRule="auto"/>
              <w:rPr>
                <w:i/>
                <w:sz w:val="24"/>
                <w:szCs w:val="24"/>
                <w:lang w:eastAsia="nl-NL"/>
              </w:rPr>
            </w:pPr>
            <w:r w:rsidRPr="00484DAF">
              <w:rPr>
                <w:i/>
                <w:sz w:val="24"/>
                <w:szCs w:val="24"/>
                <w:lang w:eastAsia="nl-NL"/>
              </w:rPr>
              <w:t>Belastingen</w:t>
            </w:r>
          </w:p>
        </w:tc>
        <w:tc>
          <w:tcPr>
            <w:tcW w:w="294" w:type="dxa"/>
          </w:tcPr>
          <w:p w:rsidR="00E161E0" w:rsidRPr="00484DAF" w:rsidRDefault="00E161E0" w:rsidP="00CC552D">
            <w:pPr>
              <w:spacing w:after="0" w:line="360" w:lineRule="auto"/>
              <w:rPr>
                <w:i/>
                <w:sz w:val="24"/>
                <w:szCs w:val="24"/>
                <w:lang w:eastAsia="nl-NL"/>
              </w:rPr>
            </w:pPr>
          </w:p>
        </w:tc>
        <w:tc>
          <w:tcPr>
            <w:tcW w:w="1728" w:type="dxa"/>
          </w:tcPr>
          <w:p w:rsidR="00E161E0" w:rsidRPr="00484DAF" w:rsidRDefault="00E161E0" w:rsidP="00CC552D">
            <w:pPr>
              <w:spacing w:after="0" w:line="360" w:lineRule="auto"/>
              <w:rPr>
                <w:i/>
                <w:sz w:val="24"/>
                <w:szCs w:val="24"/>
                <w:lang w:eastAsia="nl-NL"/>
              </w:rPr>
            </w:pPr>
            <w:r w:rsidRPr="00484DAF">
              <w:rPr>
                <w:i/>
                <w:sz w:val="24"/>
                <w:szCs w:val="24"/>
                <w:lang w:eastAsia="nl-NL"/>
              </w:rPr>
              <w:t>Verschuldigde</w:t>
            </w:r>
          </w:p>
          <w:p w:rsidR="00E161E0" w:rsidRPr="00484DAF" w:rsidRDefault="00E161E0" w:rsidP="00CC552D">
            <w:pPr>
              <w:spacing w:after="0" w:line="360" w:lineRule="auto"/>
              <w:rPr>
                <w:i/>
                <w:sz w:val="24"/>
                <w:szCs w:val="24"/>
                <w:lang w:eastAsia="nl-NL"/>
              </w:rPr>
            </w:pPr>
            <w:r w:rsidRPr="00484DAF">
              <w:rPr>
                <w:i/>
                <w:sz w:val="24"/>
                <w:szCs w:val="24"/>
                <w:lang w:eastAsia="nl-NL"/>
              </w:rPr>
              <w:t>belasting</w:t>
            </w:r>
          </w:p>
        </w:tc>
        <w:tc>
          <w:tcPr>
            <w:tcW w:w="1529" w:type="dxa"/>
          </w:tcPr>
          <w:p w:rsidR="00E161E0" w:rsidRPr="00484DAF" w:rsidRDefault="00E161E0" w:rsidP="00CC552D">
            <w:pPr>
              <w:spacing w:after="0" w:line="360" w:lineRule="auto"/>
              <w:rPr>
                <w:i/>
                <w:sz w:val="24"/>
                <w:szCs w:val="24"/>
                <w:lang w:eastAsia="nl-NL"/>
              </w:rPr>
            </w:pPr>
          </w:p>
        </w:tc>
        <w:tc>
          <w:tcPr>
            <w:tcW w:w="1863" w:type="dxa"/>
          </w:tcPr>
          <w:p w:rsidR="00E161E0" w:rsidRPr="00484DAF" w:rsidRDefault="00E161E0" w:rsidP="00CC552D">
            <w:pPr>
              <w:spacing w:after="0" w:line="360" w:lineRule="auto"/>
              <w:rPr>
                <w:i/>
                <w:sz w:val="24"/>
                <w:szCs w:val="24"/>
                <w:lang w:eastAsia="nl-NL"/>
              </w:rPr>
            </w:pPr>
            <w:r w:rsidRPr="00484DAF">
              <w:rPr>
                <w:i/>
                <w:sz w:val="24"/>
                <w:szCs w:val="24"/>
                <w:lang w:eastAsia="nl-NL"/>
              </w:rPr>
              <w:t>Totale kostprijs</w:t>
            </w:r>
          </w:p>
          <w:p w:rsidR="00E161E0" w:rsidRPr="00484DAF" w:rsidRDefault="00E161E0" w:rsidP="00CC552D">
            <w:pPr>
              <w:spacing w:after="0" w:line="360" w:lineRule="auto"/>
              <w:rPr>
                <w:i/>
                <w:sz w:val="24"/>
                <w:szCs w:val="24"/>
                <w:lang w:eastAsia="nl-NL"/>
              </w:rPr>
            </w:pPr>
            <w:r w:rsidRPr="00484DAF">
              <w:rPr>
                <w:i/>
                <w:sz w:val="24"/>
                <w:szCs w:val="24"/>
                <w:lang w:eastAsia="nl-NL"/>
              </w:rPr>
              <w:t>voor particulier</w:t>
            </w:r>
          </w:p>
        </w:tc>
      </w:tr>
      <w:tr w:rsidR="00E161E0" w:rsidRPr="00484DAF" w:rsidTr="00CC552D">
        <w:trPr>
          <w:jc w:val="center"/>
        </w:trPr>
        <w:tc>
          <w:tcPr>
            <w:tcW w:w="1863" w:type="dxa"/>
          </w:tcPr>
          <w:p w:rsidR="00E161E0" w:rsidRPr="00484DAF" w:rsidRDefault="00E161E0" w:rsidP="00CC552D">
            <w:pPr>
              <w:spacing w:after="0" w:line="360" w:lineRule="auto"/>
              <w:rPr>
                <w:sz w:val="24"/>
                <w:szCs w:val="24"/>
                <w:lang w:eastAsia="nl-NL"/>
              </w:rPr>
            </w:pPr>
            <w:r w:rsidRPr="00484DAF">
              <w:rPr>
                <w:sz w:val="24"/>
                <w:szCs w:val="24"/>
                <w:lang w:eastAsia="nl-NL"/>
              </w:rPr>
              <w:t>Grond</w:t>
            </w:r>
          </w:p>
        </w:tc>
        <w:tc>
          <w:tcPr>
            <w:tcW w:w="1708" w:type="dxa"/>
          </w:tcPr>
          <w:p w:rsidR="00E161E0" w:rsidRPr="00484DAF" w:rsidRDefault="00E161E0" w:rsidP="00CC552D">
            <w:pPr>
              <w:spacing w:after="0" w:line="360" w:lineRule="auto"/>
              <w:rPr>
                <w:sz w:val="24"/>
                <w:szCs w:val="24"/>
                <w:lang w:eastAsia="nl-NL"/>
              </w:rPr>
            </w:pPr>
            <w:r w:rsidRPr="00484DAF">
              <w:rPr>
                <w:sz w:val="24"/>
                <w:szCs w:val="24"/>
                <w:lang w:eastAsia="nl-NL"/>
              </w:rPr>
              <w:t>€ 200.000</w:t>
            </w:r>
          </w:p>
        </w:tc>
        <w:tc>
          <w:tcPr>
            <w:tcW w:w="294" w:type="dxa"/>
          </w:tcPr>
          <w:p w:rsidR="00E161E0" w:rsidRPr="00484DAF" w:rsidRDefault="00E161E0" w:rsidP="00CC552D">
            <w:pPr>
              <w:spacing w:after="0" w:line="360" w:lineRule="auto"/>
              <w:rPr>
                <w:sz w:val="24"/>
                <w:szCs w:val="24"/>
                <w:lang w:eastAsia="nl-NL"/>
              </w:rPr>
            </w:pPr>
          </w:p>
        </w:tc>
        <w:tc>
          <w:tcPr>
            <w:tcW w:w="1728" w:type="dxa"/>
          </w:tcPr>
          <w:p w:rsidR="00E161E0" w:rsidRPr="00484DAF" w:rsidRDefault="00E161E0" w:rsidP="00CC552D">
            <w:pPr>
              <w:spacing w:after="0" w:line="360" w:lineRule="auto"/>
              <w:rPr>
                <w:sz w:val="24"/>
                <w:szCs w:val="24"/>
                <w:lang w:eastAsia="nl-NL"/>
              </w:rPr>
            </w:pPr>
            <w:r w:rsidRPr="00484DAF">
              <w:rPr>
                <w:sz w:val="24"/>
                <w:szCs w:val="24"/>
                <w:lang w:eastAsia="nl-NL"/>
              </w:rPr>
              <w:t xml:space="preserve">€ 38.000 </w:t>
            </w:r>
          </w:p>
        </w:tc>
        <w:tc>
          <w:tcPr>
            <w:tcW w:w="1529" w:type="dxa"/>
          </w:tcPr>
          <w:p w:rsidR="00E161E0" w:rsidRPr="00484DAF" w:rsidRDefault="00E161E0" w:rsidP="00CC552D">
            <w:pPr>
              <w:spacing w:after="0" w:line="360" w:lineRule="auto"/>
              <w:rPr>
                <w:sz w:val="24"/>
                <w:szCs w:val="24"/>
                <w:lang w:eastAsia="nl-NL"/>
              </w:rPr>
            </w:pPr>
            <w:r w:rsidRPr="00484DAF">
              <w:rPr>
                <w:sz w:val="24"/>
                <w:szCs w:val="24"/>
                <w:lang w:eastAsia="nl-NL"/>
              </w:rPr>
              <w:t>(19% BTW)</w:t>
            </w:r>
          </w:p>
        </w:tc>
        <w:tc>
          <w:tcPr>
            <w:tcW w:w="1863" w:type="dxa"/>
          </w:tcPr>
          <w:p w:rsidR="00E161E0" w:rsidRPr="00484DAF" w:rsidRDefault="00E161E0" w:rsidP="00CC552D">
            <w:pPr>
              <w:spacing w:after="0" w:line="360" w:lineRule="auto"/>
              <w:rPr>
                <w:sz w:val="24"/>
                <w:szCs w:val="24"/>
                <w:lang w:eastAsia="nl-NL"/>
              </w:rPr>
            </w:pPr>
            <w:r w:rsidRPr="00484DAF">
              <w:rPr>
                <w:sz w:val="24"/>
                <w:szCs w:val="24"/>
                <w:lang w:eastAsia="nl-NL"/>
              </w:rPr>
              <w:t>€ 238.000</w:t>
            </w:r>
          </w:p>
        </w:tc>
      </w:tr>
      <w:tr w:rsidR="00E161E0" w:rsidRPr="00484DAF" w:rsidTr="00CC552D">
        <w:trPr>
          <w:jc w:val="center"/>
        </w:trPr>
        <w:tc>
          <w:tcPr>
            <w:tcW w:w="1863" w:type="dxa"/>
          </w:tcPr>
          <w:p w:rsidR="00E161E0" w:rsidRPr="00484DAF" w:rsidRDefault="00E161E0" w:rsidP="00CC552D">
            <w:pPr>
              <w:spacing w:after="0" w:line="360" w:lineRule="auto"/>
              <w:rPr>
                <w:sz w:val="24"/>
                <w:szCs w:val="24"/>
                <w:lang w:eastAsia="nl-NL"/>
              </w:rPr>
            </w:pPr>
            <w:r w:rsidRPr="00484DAF">
              <w:rPr>
                <w:sz w:val="24"/>
                <w:szCs w:val="24"/>
                <w:lang w:eastAsia="nl-NL"/>
              </w:rPr>
              <w:t>Opstal</w:t>
            </w:r>
          </w:p>
        </w:tc>
        <w:tc>
          <w:tcPr>
            <w:tcW w:w="1708" w:type="dxa"/>
            <w:tcBorders>
              <w:bottom w:val="single" w:sz="4" w:space="0" w:color="auto"/>
            </w:tcBorders>
          </w:tcPr>
          <w:p w:rsidR="00E161E0" w:rsidRPr="00484DAF" w:rsidRDefault="00E161E0" w:rsidP="00CC552D">
            <w:pPr>
              <w:spacing w:after="0" w:line="360" w:lineRule="auto"/>
              <w:rPr>
                <w:sz w:val="24"/>
                <w:szCs w:val="24"/>
                <w:lang w:eastAsia="nl-NL"/>
              </w:rPr>
            </w:pPr>
            <w:r w:rsidRPr="00484DAF">
              <w:rPr>
                <w:sz w:val="24"/>
                <w:szCs w:val="24"/>
                <w:lang w:eastAsia="nl-NL"/>
              </w:rPr>
              <w:t>€ 150.000</w:t>
            </w:r>
          </w:p>
        </w:tc>
        <w:tc>
          <w:tcPr>
            <w:tcW w:w="294" w:type="dxa"/>
          </w:tcPr>
          <w:p w:rsidR="00E161E0" w:rsidRPr="00484DAF" w:rsidRDefault="00E161E0" w:rsidP="00CC552D">
            <w:pPr>
              <w:spacing w:after="0" w:line="360" w:lineRule="auto"/>
              <w:rPr>
                <w:sz w:val="24"/>
                <w:szCs w:val="24"/>
                <w:lang w:eastAsia="nl-NL"/>
              </w:rPr>
            </w:pPr>
          </w:p>
        </w:tc>
        <w:tc>
          <w:tcPr>
            <w:tcW w:w="1728" w:type="dxa"/>
            <w:tcBorders>
              <w:bottom w:val="single" w:sz="4" w:space="0" w:color="auto"/>
            </w:tcBorders>
          </w:tcPr>
          <w:p w:rsidR="00E161E0" w:rsidRPr="00484DAF" w:rsidRDefault="00E161E0" w:rsidP="00CC552D">
            <w:pPr>
              <w:spacing w:after="0" w:line="360" w:lineRule="auto"/>
              <w:rPr>
                <w:sz w:val="24"/>
                <w:szCs w:val="24"/>
                <w:lang w:eastAsia="nl-NL"/>
              </w:rPr>
            </w:pPr>
            <w:r w:rsidRPr="00484DAF">
              <w:rPr>
                <w:sz w:val="24"/>
                <w:szCs w:val="24"/>
                <w:lang w:eastAsia="nl-NL"/>
              </w:rPr>
              <w:t xml:space="preserve">€ 28.500 </w:t>
            </w:r>
          </w:p>
        </w:tc>
        <w:tc>
          <w:tcPr>
            <w:tcW w:w="1529" w:type="dxa"/>
          </w:tcPr>
          <w:p w:rsidR="00E161E0" w:rsidRPr="00484DAF" w:rsidRDefault="00E161E0" w:rsidP="00CC552D">
            <w:pPr>
              <w:spacing w:after="0" w:line="360" w:lineRule="auto"/>
              <w:rPr>
                <w:sz w:val="24"/>
                <w:szCs w:val="24"/>
                <w:lang w:eastAsia="nl-NL"/>
              </w:rPr>
            </w:pPr>
            <w:r w:rsidRPr="00484DAF">
              <w:rPr>
                <w:sz w:val="24"/>
                <w:szCs w:val="24"/>
                <w:lang w:eastAsia="nl-NL"/>
              </w:rPr>
              <w:t>(19% BTW)</w:t>
            </w:r>
          </w:p>
        </w:tc>
        <w:tc>
          <w:tcPr>
            <w:tcW w:w="1863" w:type="dxa"/>
            <w:tcBorders>
              <w:bottom w:val="double" w:sz="4" w:space="0" w:color="auto"/>
            </w:tcBorders>
          </w:tcPr>
          <w:p w:rsidR="00E161E0" w:rsidRPr="00484DAF" w:rsidRDefault="00E161E0" w:rsidP="00CC552D">
            <w:pPr>
              <w:spacing w:after="0" w:line="360" w:lineRule="auto"/>
              <w:rPr>
                <w:sz w:val="24"/>
                <w:szCs w:val="24"/>
                <w:lang w:eastAsia="nl-NL"/>
              </w:rPr>
            </w:pPr>
            <w:r w:rsidRPr="00484DAF">
              <w:rPr>
                <w:sz w:val="24"/>
                <w:szCs w:val="24"/>
                <w:lang w:eastAsia="nl-NL"/>
              </w:rPr>
              <w:t>€ 178.500</w:t>
            </w:r>
          </w:p>
        </w:tc>
      </w:tr>
      <w:tr w:rsidR="00E161E0" w:rsidRPr="00484DAF" w:rsidTr="00CC552D">
        <w:trPr>
          <w:jc w:val="center"/>
        </w:trPr>
        <w:tc>
          <w:tcPr>
            <w:tcW w:w="1863" w:type="dxa"/>
          </w:tcPr>
          <w:p w:rsidR="00E161E0" w:rsidRPr="00484DAF" w:rsidRDefault="00E161E0" w:rsidP="00CC552D">
            <w:pPr>
              <w:spacing w:after="0" w:line="360" w:lineRule="auto"/>
              <w:rPr>
                <w:sz w:val="24"/>
                <w:szCs w:val="24"/>
                <w:lang w:eastAsia="nl-NL"/>
              </w:rPr>
            </w:pPr>
            <w:r w:rsidRPr="00484DAF">
              <w:rPr>
                <w:b/>
                <w:sz w:val="24"/>
                <w:szCs w:val="24"/>
                <w:lang w:eastAsia="nl-NL"/>
              </w:rPr>
              <w:t>Totaal</w:t>
            </w:r>
          </w:p>
        </w:tc>
        <w:tc>
          <w:tcPr>
            <w:tcW w:w="1708" w:type="dxa"/>
            <w:tcBorders>
              <w:top w:val="single" w:sz="4" w:space="0" w:color="auto"/>
            </w:tcBorders>
          </w:tcPr>
          <w:p w:rsidR="00E161E0" w:rsidRPr="00484DAF" w:rsidRDefault="00E161E0" w:rsidP="00CC552D">
            <w:pPr>
              <w:spacing w:after="0" w:line="360" w:lineRule="auto"/>
              <w:rPr>
                <w:sz w:val="24"/>
                <w:szCs w:val="24"/>
                <w:lang w:eastAsia="nl-NL"/>
              </w:rPr>
            </w:pPr>
            <w:r w:rsidRPr="00484DAF">
              <w:rPr>
                <w:sz w:val="24"/>
                <w:szCs w:val="24"/>
                <w:lang w:eastAsia="nl-NL"/>
              </w:rPr>
              <w:t>€ 350.000</w:t>
            </w:r>
          </w:p>
        </w:tc>
        <w:tc>
          <w:tcPr>
            <w:tcW w:w="294" w:type="dxa"/>
          </w:tcPr>
          <w:p w:rsidR="00E161E0" w:rsidRPr="00484DAF" w:rsidRDefault="00E161E0" w:rsidP="00CC552D">
            <w:pPr>
              <w:spacing w:after="0" w:line="360" w:lineRule="auto"/>
              <w:rPr>
                <w:sz w:val="24"/>
                <w:szCs w:val="24"/>
                <w:lang w:eastAsia="nl-NL"/>
              </w:rPr>
            </w:pPr>
          </w:p>
        </w:tc>
        <w:tc>
          <w:tcPr>
            <w:tcW w:w="1728" w:type="dxa"/>
            <w:tcBorders>
              <w:top w:val="single" w:sz="4" w:space="0" w:color="auto"/>
            </w:tcBorders>
          </w:tcPr>
          <w:p w:rsidR="00E161E0" w:rsidRPr="00484DAF" w:rsidRDefault="00E161E0" w:rsidP="00CC552D">
            <w:pPr>
              <w:spacing w:after="0" w:line="360" w:lineRule="auto"/>
              <w:rPr>
                <w:sz w:val="24"/>
                <w:szCs w:val="24"/>
                <w:lang w:eastAsia="nl-NL"/>
              </w:rPr>
            </w:pPr>
            <w:r w:rsidRPr="00484DAF">
              <w:rPr>
                <w:sz w:val="24"/>
                <w:szCs w:val="24"/>
                <w:lang w:eastAsia="nl-NL"/>
              </w:rPr>
              <w:t>€ 66.500</w:t>
            </w:r>
          </w:p>
        </w:tc>
        <w:tc>
          <w:tcPr>
            <w:tcW w:w="1529" w:type="dxa"/>
          </w:tcPr>
          <w:p w:rsidR="00E161E0" w:rsidRPr="00484DAF" w:rsidRDefault="00E161E0" w:rsidP="00CC552D">
            <w:pPr>
              <w:spacing w:after="0" w:line="360" w:lineRule="auto"/>
              <w:rPr>
                <w:b/>
                <w:sz w:val="24"/>
                <w:szCs w:val="24"/>
                <w:lang w:eastAsia="nl-NL"/>
              </w:rPr>
            </w:pPr>
          </w:p>
        </w:tc>
        <w:tc>
          <w:tcPr>
            <w:tcW w:w="1863" w:type="dxa"/>
            <w:tcBorders>
              <w:top w:val="double" w:sz="4" w:space="0" w:color="auto"/>
            </w:tcBorders>
          </w:tcPr>
          <w:p w:rsidR="00E161E0" w:rsidRPr="00484DAF" w:rsidRDefault="00E161E0" w:rsidP="00CC552D">
            <w:pPr>
              <w:spacing w:after="0" w:line="360" w:lineRule="auto"/>
              <w:rPr>
                <w:b/>
                <w:sz w:val="24"/>
                <w:szCs w:val="24"/>
                <w:lang w:eastAsia="nl-NL"/>
              </w:rPr>
            </w:pPr>
            <w:r w:rsidRPr="00484DAF">
              <w:rPr>
                <w:b/>
                <w:sz w:val="24"/>
                <w:szCs w:val="24"/>
                <w:lang w:eastAsia="nl-NL"/>
              </w:rPr>
              <w:t>€ 416.500</w:t>
            </w:r>
          </w:p>
        </w:tc>
      </w:tr>
    </w:tbl>
    <w:p w:rsidR="00E161E0" w:rsidRPr="00484DAF" w:rsidRDefault="00E161E0" w:rsidP="00CC552D">
      <w:pPr>
        <w:spacing w:after="0" w:line="360" w:lineRule="auto"/>
        <w:rPr>
          <w:sz w:val="24"/>
          <w:szCs w:val="24"/>
        </w:rPr>
      </w:pPr>
    </w:p>
    <w:p w:rsidR="00E161E0" w:rsidRPr="00484DAF" w:rsidRDefault="00E161E0" w:rsidP="00CC552D">
      <w:pPr>
        <w:tabs>
          <w:tab w:val="left" w:pos="6453"/>
        </w:tabs>
        <w:spacing w:after="0" w:line="360" w:lineRule="auto"/>
        <w:rPr>
          <w:sz w:val="24"/>
          <w:szCs w:val="24"/>
        </w:rPr>
      </w:pPr>
      <w:r w:rsidRPr="00484DAF">
        <w:rPr>
          <w:sz w:val="24"/>
          <w:szCs w:val="24"/>
        </w:rPr>
        <w:t>De projectontwikkelaar houdt netto € 350.000 aan de verkoop over en de particulier betaalt voor zijn nieuwbouwwoning € 416.500. Voor de situatie waarbij de afnemer van nieuwbouw ondernemer is, verandert de situatie niet. Immers, de voorkeur van een ondernemer gaat al uit naar een volledig BTW-belaste levering. Wanneer de nieuwbouwwoning vervolgens voor belaste prestaties wordt gebruikt, bestaat volledige recht op aftrek voorbelasting.</w:t>
      </w:r>
    </w:p>
    <w:p w:rsidR="00B05466" w:rsidRPr="00484DAF" w:rsidRDefault="00B05466" w:rsidP="00CC552D">
      <w:pPr>
        <w:pStyle w:val="Geenafstand"/>
        <w:spacing w:line="360" w:lineRule="auto"/>
        <w:rPr>
          <w:sz w:val="24"/>
          <w:szCs w:val="24"/>
        </w:rPr>
      </w:pPr>
    </w:p>
    <w:p w:rsidR="000960CE" w:rsidRPr="00484DAF" w:rsidRDefault="00AB17E9" w:rsidP="00CC552D">
      <w:pPr>
        <w:pStyle w:val="Kop1"/>
        <w:spacing w:before="0" w:line="360" w:lineRule="auto"/>
        <w:rPr>
          <w:rFonts w:ascii="Times New Roman" w:hAnsi="Times New Roman"/>
          <w:color w:val="auto"/>
          <w:sz w:val="24"/>
          <w:szCs w:val="24"/>
        </w:rPr>
      </w:pPr>
      <w:bookmarkStart w:id="147" w:name="_Toc254043998"/>
      <w:r w:rsidRPr="00484DAF">
        <w:rPr>
          <w:rFonts w:ascii="Times New Roman" w:hAnsi="Times New Roman"/>
          <w:color w:val="auto"/>
          <w:sz w:val="24"/>
          <w:szCs w:val="24"/>
        </w:rPr>
        <w:t>7.7</w:t>
      </w:r>
      <w:r w:rsidR="000960CE" w:rsidRPr="00484DAF">
        <w:rPr>
          <w:rFonts w:ascii="Times New Roman" w:hAnsi="Times New Roman"/>
          <w:color w:val="auto"/>
          <w:sz w:val="24"/>
          <w:szCs w:val="24"/>
        </w:rPr>
        <w:t xml:space="preserve"> Tussenconclusie VII</w:t>
      </w:r>
      <w:bookmarkEnd w:id="147"/>
    </w:p>
    <w:p w:rsidR="00E161E0" w:rsidRPr="00484DAF" w:rsidRDefault="00E161E0" w:rsidP="00CC552D">
      <w:pPr>
        <w:spacing w:after="0" w:line="360" w:lineRule="auto"/>
        <w:rPr>
          <w:sz w:val="24"/>
          <w:szCs w:val="24"/>
        </w:rPr>
      </w:pPr>
      <w:r w:rsidRPr="00484DAF">
        <w:rPr>
          <w:sz w:val="24"/>
          <w:szCs w:val="24"/>
        </w:rPr>
        <w:t>Als tussenconclusie van dit hoofdstuk volsta ik met de wettekst van artikel 11 Wet OB 1968 zoals die zou komen te luiden na alle genoemde aanpassingen:</w:t>
      </w:r>
    </w:p>
    <w:p w:rsidR="00E161E0" w:rsidRPr="00484DAF" w:rsidRDefault="00E161E0" w:rsidP="00CC552D">
      <w:pPr>
        <w:pStyle w:val="Geenafstand"/>
        <w:spacing w:line="360" w:lineRule="auto"/>
        <w:rPr>
          <w:sz w:val="24"/>
          <w:szCs w:val="24"/>
        </w:rPr>
      </w:pPr>
    </w:p>
    <w:p w:rsidR="00E161E0" w:rsidRPr="00484DAF" w:rsidRDefault="00E161E0" w:rsidP="00CC552D">
      <w:pPr>
        <w:pStyle w:val="Geenafstand"/>
        <w:spacing w:line="360" w:lineRule="auto"/>
        <w:rPr>
          <w:sz w:val="24"/>
          <w:szCs w:val="24"/>
        </w:rPr>
      </w:pPr>
    </w:p>
    <w:p w:rsidR="00E161E0" w:rsidRPr="00484DAF" w:rsidRDefault="00E161E0" w:rsidP="00CC552D">
      <w:pPr>
        <w:spacing w:after="0" w:line="360" w:lineRule="auto"/>
        <w:rPr>
          <w:i/>
          <w:sz w:val="24"/>
          <w:szCs w:val="24"/>
        </w:rPr>
      </w:pPr>
      <w:r w:rsidRPr="00484DAF">
        <w:rPr>
          <w:b/>
          <w:i/>
          <w:sz w:val="24"/>
          <w:szCs w:val="24"/>
        </w:rPr>
        <w:lastRenderedPageBreak/>
        <w:t>Artikel 11. 1.</w:t>
      </w:r>
      <w:r w:rsidRPr="00484DAF">
        <w:rPr>
          <w:i/>
          <w:sz w:val="24"/>
          <w:szCs w:val="24"/>
        </w:rPr>
        <w:t>Onder bij algemene maatregel van bestuur vast te stellen voorwaarden zijn van de belasting vrijgesteld:</w:t>
      </w:r>
    </w:p>
    <w:p w:rsidR="00E161E0" w:rsidRPr="00484DAF" w:rsidRDefault="00E161E0" w:rsidP="00CC552D">
      <w:pPr>
        <w:spacing w:after="0" w:line="360" w:lineRule="auto"/>
        <w:ind w:firstLine="708"/>
        <w:rPr>
          <w:i/>
          <w:sz w:val="24"/>
          <w:szCs w:val="24"/>
        </w:rPr>
      </w:pPr>
      <w:r w:rsidRPr="00484DAF">
        <w:rPr>
          <w:i/>
          <w:sz w:val="24"/>
          <w:szCs w:val="24"/>
        </w:rPr>
        <w:t>a. de levering van onroerende zaken en van rechten waaraan deze zijn onderworpen, met uitzondering van:</w:t>
      </w:r>
    </w:p>
    <w:p w:rsidR="00E161E0" w:rsidRPr="00484DAF" w:rsidRDefault="00E161E0" w:rsidP="00CC552D">
      <w:pPr>
        <w:spacing w:after="0" w:line="360" w:lineRule="auto"/>
        <w:ind w:firstLine="708"/>
        <w:rPr>
          <w:i/>
          <w:sz w:val="24"/>
          <w:szCs w:val="24"/>
        </w:rPr>
      </w:pPr>
      <w:r w:rsidRPr="00484DAF">
        <w:rPr>
          <w:i/>
          <w:sz w:val="24"/>
          <w:szCs w:val="24"/>
        </w:rPr>
        <w:t>1°. de levering van een gebouw of een gedeelte van een gebouw en het erbij behorend terrein vóór, op of uiterlijk twee jaren na het tijdstip van eerste ingebruikneming, alsmede de levering van een bouwterrein welke binnen vi</w:t>
      </w:r>
      <w:r w:rsidR="00D12918">
        <w:rPr>
          <w:i/>
          <w:sz w:val="24"/>
          <w:szCs w:val="24"/>
        </w:rPr>
        <w:t>er jaar wordt bebouwd</w:t>
      </w:r>
      <w:r w:rsidRPr="00484DAF">
        <w:rPr>
          <w:i/>
          <w:sz w:val="24"/>
          <w:szCs w:val="24"/>
        </w:rPr>
        <w:t>;</w:t>
      </w:r>
    </w:p>
    <w:p w:rsidR="00E161E0" w:rsidRPr="00484DAF" w:rsidRDefault="00E161E0" w:rsidP="00CC552D">
      <w:pPr>
        <w:spacing w:after="0" w:line="360" w:lineRule="auto"/>
        <w:rPr>
          <w:i/>
          <w:sz w:val="24"/>
          <w:szCs w:val="24"/>
        </w:rPr>
      </w:pPr>
      <w:r w:rsidRPr="00484DAF">
        <w:rPr>
          <w:i/>
          <w:sz w:val="24"/>
          <w:szCs w:val="24"/>
        </w:rPr>
        <w:t>(…)</w:t>
      </w:r>
    </w:p>
    <w:p w:rsidR="00E161E0" w:rsidRPr="00484DAF" w:rsidRDefault="00E161E0" w:rsidP="00CC552D">
      <w:pPr>
        <w:spacing w:after="0" w:line="360" w:lineRule="auto"/>
        <w:rPr>
          <w:i/>
          <w:sz w:val="24"/>
          <w:szCs w:val="24"/>
        </w:rPr>
      </w:pPr>
      <w:r w:rsidRPr="00484DAF">
        <w:rPr>
          <w:b/>
          <w:i/>
          <w:sz w:val="24"/>
          <w:szCs w:val="24"/>
        </w:rPr>
        <w:t xml:space="preserve">3. </w:t>
      </w:r>
      <w:r w:rsidRPr="00484DAF">
        <w:rPr>
          <w:i/>
          <w:sz w:val="24"/>
          <w:szCs w:val="24"/>
        </w:rPr>
        <w:t>Voor de toepassing van het eerste lid, onderdeel a, onder 1°:</w:t>
      </w:r>
    </w:p>
    <w:p w:rsidR="00E161E0" w:rsidRPr="00484DAF" w:rsidRDefault="00E161E0" w:rsidP="00CC552D">
      <w:pPr>
        <w:spacing w:after="0" w:line="360" w:lineRule="auto"/>
        <w:ind w:firstLine="708"/>
        <w:rPr>
          <w:i/>
          <w:sz w:val="24"/>
          <w:szCs w:val="24"/>
        </w:rPr>
      </w:pPr>
      <w:r w:rsidRPr="00484DAF">
        <w:rPr>
          <w:i/>
          <w:sz w:val="24"/>
          <w:szCs w:val="24"/>
        </w:rPr>
        <w:t>a. wordt als gebouw beschouwd ieder bouwwerk dat vast met de grond is verbonden, niet zijnde een natuurlijke constructie;</w:t>
      </w:r>
    </w:p>
    <w:p w:rsidR="00E161E0" w:rsidRPr="00484DAF" w:rsidRDefault="00E161E0" w:rsidP="00CC552D">
      <w:pPr>
        <w:spacing w:after="0" w:line="360" w:lineRule="auto"/>
        <w:ind w:firstLine="708"/>
        <w:rPr>
          <w:i/>
          <w:sz w:val="24"/>
          <w:szCs w:val="24"/>
        </w:rPr>
      </w:pPr>
      <w:r w:rsidRPr="00484DAF">
        <w:rPr>
          <w:i/>
          <w:sz w:val="24"/>
          <w:szCs w:val="24"/>
        </w:rPr>
        <w:t>b. wordt na de verbouwing van een gebouw de ingebruikneming als eerste ingebruikneming aangemerkt, indien door die verbouwing een vervaardigd goed is voortgebracht;</w:t>
      </w:r>
    </w:p>
    <w:p w:rsidR="00E161E0" w:rsidRPr="00484DAF" w:rsidRDefault="00E161E0" w:rsidP="00CC552D">
      <w:pPr>
        <w:spacing w:after="0" w:line="360" w:lineRule="auto"/>
        <w:ind w:firstLine="708"/>
        <w:rPr>
          <w:i/>
          <w:sz w:val="24"/>
          <w:szCs w:val="24"/>
        </w:rPr>
      </w:pPr>
      <w:r w:rsidRPr="00484DAF">
        <w:rPr>
          <w:i/>
          <w:sz w:val="24"/>
          <w:szCs w:val="24"/>
        </w:rPr>
        <w:t>c. wordt als erbij behorend terrein beschouwd ieder terrein dat naar maatschappelijke opvattingen behoort bij dan wel dienstbaar is aan het gebouw.</w:t>
      </w:r>
    </w:p>
    <w:p w:rsidR="00E161E0" w:rsidRPr="00484DAF" w:rsidRDefault="00E161E0" w:rsidP="00CC552D">
      <w:pPr>
        <w:spacing w:after="0" w:line="360" w:lineRule="auto"/>
        <w:rPr>
          <w:i/>
          <w:sz w:val="24"/>
          <w:szCs w:val="24"/>
        </w:rPr>
      </w:pPr>
      <w:r w:rsidRPr="00484DAF">
        <w:rPr>
          <w:b/>
          <w:i/>
          <w:sz w:val="24"/>
          <w:szCs w:val="24"/>
        </w:rPr>
        <w:t xml:space="preserve">4. </w:t>
      </w:r>
      <w:r w:rsidRPr="00484DAF">
        <w:rPr>
          <w:i/>
          <w:sz w:val="24"/>
          <w:szCs w:val="24"/>
        </w:rPr>
        <w:t>Voor de toepassing van het eerste lid, onderdeel a, onder 1</w:t>
      </w:r>
      <w:r w:rsidRPr="00484DAF">
        <w:rPr>
          <w:i/>
          <w:sz w:val="24"/>
          <w:szCs w:val="24"/>
          <w:vertAlign w:val="superscript"/>
        </w:rPr>
        <w:t>o</w:t>
      </w:r>
      <w:r w:rsidRPr="00484DAF">
        <w:rPr>
          <w:i/>
          <w:sz w:val="24"/>
          <w:szCs w:val="24"/>
        </w:rPr>
        <w:t>, wordt als bouwterrein beschouwd zowel bebouwde als onbebouwde grond, anders dan erbij behorend terrein als bedoeld in het derde lid, onderdeel c:</w:t>
      </w:r>
      <w:r w:rsidRPr="00484DAF">
        <w:rPr>
          <w:i/>
          <w:sz w:val="24"/>
          <w:szCs w:val="24"/>
          <w:vertAlign w:val="superscript"/>
        </w:rPr>
        <w:t xml:space="preserve"> </w:t>
      </w:r>
    </w:p>
    <w:p w:rsidR="00E161E0" w:rsidRPr="00484DAF" w:rsidRDefault="00E161E0" w:rsidP="00CC552D">
      <w:pPr>
        <w:spacing w:after="0" w:line="360" w:lineRule="auto"/>
        <w:ind w:firstLine="708"/>
        <w:rPr>
          <w:i/>
          <w:sz w:val="24"/>
          <w:szCs w:val="24"/>
        </w:rPr>
      </w:pPr>
      <w:r w:rsidRPr="00484DAF">
        <w:rPr>
          <w:i/>
          <w:sz w:val="24"/>
          <w:szCs w:val="24"/>
        </w:rPr>
        <w:t>a. waaraan bewerkingen hebben plaatsgevonden;</w:t>
      </w:r>
    </w:p>
    <w:p w:rsidR="00E161E0" w:rsidRPr="00484DAF" w:rsidRDefault="00E161E0" w:rsidP="00CC552D">
      <w:pPr>
        <w:spacing w:after="0" w:line="360" w:lineRule="auto"/>
        <w:ind w:firstLine="708"/>
        <w:rPr>
          <w:i/>
          <w:sz w:val="24"/>
          <w:szCs w:val="24"/>
        </w:rPr>
      </w:pPr>
      <w:r w:rsidRPr="00484DAF">
        <w:rPr>
          <w:i/>
          <w:sz w:val="24"/>
          <w:szCs w:val="24"/>
        </w:rPr>
        <w:t>b. ten aanzien waarvan voorzieningen zijn getroffen die uitsluitend dienstbaar zijn aan de grond;</w:t>
      </w:r>
    </w:p>
    <w:p w:rsidR="00E161E0" w:rsidRPr="00484DAF" w:rsidRDefault="00E161E0" w:rsidP="00CC552D">
      <w:pPr>
        <w:spacing w:after="0" w:line="360" w:lineRule="auto"/>
        <w:ind w:firstLine="708"/>
        <w:rPr>
          <w:i/>
          <w:sz w:val="24"/>
          <w:szCs w:val="24"/>
        </w:rPr>
      </w:pPr>
      <w:r w:rsidRPr="00484DAF">
        <w:rPr>
          <w:i/>
          <w:sz w:val="24"/>
          <w:szCs w:val="24"/>
        </w:rPr>
        <w:t>c. in de omgeving waarvan voorzieningen zijn getroffen; of</w:t>
      </w:r>
    </w:p>
    <w:p w:rsidR="00E161E0" w:rsidRPr="00484DAF" w:rsidRDefault="00E161E0" w:rsidP="00CC552D">
      <w:pPr>
        <w:spacing w:after="0" w:line="360" w:lineRule="auto"/>
        <w:ind w:firstLine="708"/>
        <w:rPr>
          <w:i/>
          <w:sz w:val="24"/>
          <w:szCs w:val="24"/>
        </w:rPr>
      </w:pPr>
      <w:r w:rsidRPr="00484DAF">
        <w:rPr>
          <w:i/>
          <w:sz w:val="24"/>
          <w:szCs w:val="24"/>
        </w:rPr>
        <w:t>d. ter zake waarvan een bouwvergunning is verleend;</w:t>
      </w:r>
    </w:p>
    <w:p w:rsidR="00E161E0" w:rsidRPr="00484DAF" w:rsidRDefault="00E161E0" w:rsidP="00CC552D">
      <w:pPr>
        <w:spacing w:after="0" w:line="360" w:lineRule="auto"/>
        <w:ind w:firstLine="708"/>
        <w:rPr>
          <w:i/>
          <w:sz w:val="24"/>
          <w:szCs w:val="24"/>
        </w:rPr>
      </w:pPr>
      <w:r w:rsidRPr="00484DAF">
        <w:rPr>
          <w:i/>
          <w:sz w:val="24"/>
          <w:szCs w:val="24"/>
        </w:rPr>
        <w:t>bestemd voor bebouwing.’</w:t>
      </w:r>
    </w:p>
    <w:p w:rsidR="00E161E0" w:rsidRPr="00484DAF" w:rsidRDefault="00E161E0" w:rsidP="00CC552D">
      <w:pPr>
        <w:spacing w:after="0" w:line="360" w:lineRule="auto"/>
        <w:rPr>
          <w:b/>
          <w:i/>
          <w:sz w:val="24"/>
          <w:szCs w:val="24"/>
        </w:rPr>
      </w:pPr>
      <w:r w:rsidRPr="00484DAF">
        <w:rPr>
          <w:b/>
          <w:i/>
          <w:sz w:val="24"/>
          <w:szCs w:val="24"/>
        </w:rPr>
        <w:t xml:space="preserve">5. </w:t>
      </w:r>
      <w:r w:rsidRPr="00484DAF">
        <w:rPr>
          <w:i/>
          <w:sz w:val="24"/>
          <w:szCs w:val="24"/>
        </w:rPr>
        <w:t>Voor de toepassing van het eerste lid, onderdeel a, onder 1</w:t>
      </w:r>
      <w:r w:rsidRPr="00484DAF">
        <w:rPr>
          <w:i/>
          <w:sz w:val="24"/>
          <w:szCs w:val="24"/>
          <w:vertAlign w:val="superscript"/>
        </w:rPr>
        <w:t>o</w:t>
      </w:r>
      <w:r w:rsidRPr="00484DAF">
        <w:rPr>
          <w:i/>
          <w:sz w:val="24"/>
          <w:szCs w:val="24"/>
        </w:rPr>
        <w:t>, wordt als bouwterrein mede beschouwd (al dan niet gedeeltelijk) bebouwde grond, indien met betrekking tot de aanwezige opstallen de intentie bestaat door verbouwing een vervaardigd goed voort te brengen.</w:t>
      </w:r>
    </w:p>
    <w:p w:rsidR="00832459" w:rsidRPr="00484DAF" w:rsidRDefault="00832459" w:rsidP="00CC552D">
      <w:pPr>
        <w:pStyle w:val="Geenafstand"/>
        <w:spacing w:line="360" w:lineRule="auto"/>
        <w:rPr>
          <w:b/>
          <w:i/>
          <w:sz w:val="24"/>
          <w:szCs w:val="24"/>
        </w:rPr>
      </w:pPr>
    </w:p>
    <w:p w:rsidR="00D05673" w:rsidRPr="00484DAF" w:rsidRDefault="000960CE" w:rsidP="00CC552D">
      <w:pPr>
        <w:spacing w:after="0" w:line="360" w:lineRule="auto"/>
        <w:rPr>
          <w:sz w:val="24"/>
          <w:szCs w:val="24"/>
        </w:rPr>
      </w:pPr>
      <w:r w:rsidRPr="00484DAF">
        <w:rPr>
          <w:sz w:val="24"/>
          <w:szCs w:val="24"/>
        </w:rPr>
        <w:br w:type="page"/>
      </w:r>
    </w:p>
    <w:p w:rsidR="00D05673" w:rsidRPr="00484DAF" w:rsidRDefault="00D05673" w:rsidP="00CC552D">
      <w:pPr>
        <w:pStyle w:val="Kop1"/>
        <w:spacing w:before="0" w:line="360" w:lineRule="auto"/>
        <w:rPr>
          <w:rFonts w:ascii="Times New Roman" w:hAnsi="Times New Roman"/>
          <w:color w:val="auto"/>
          <w:sz w:val="24"/>
          <w:szCs w:val="24"/>
        </w:rPr>
      </w:pPr>
      <w:bookmarkStart w:id="148" w:name="_Toc254043999"/>
      <w:r w:rsidRPr="00484DAF">
        <w:rPr>
          <w:rFonts w:ascii="Times New Roman" w:hAnsi="Times New Roman"/>
          <w:color w:val="auto"/>
          <w:sz w:val="24"/>
          <w:szCs w:val="24"/>
        </w:rPr>
        <w:lastRenderedPageBreak/>
        <w:t>Conclusie</w:t>
      </w:r>
      <w:bookmarkEnd w:id="148"/>
    </w:p>
    <w:p w:rsidR="006D6963" w:rsidRPr="00484DAF" w:rsidRDefault="006D6963" w:rsidP="00CC552D">
      <w:pPr>
        <w:spacing w:after="0" w:line="360" w:lineRule="auto"/>
        <w:rPr>
          <w:sz w:val="24"/>
          <w:szCs w:val="24"/>
        </w:rPr>
      </w:pPr>
      <w:r w:rsidRPr="00484DAF">
        <w:rPr>
          <w:sz w:val="24"/>
          <w:szCs w:val="24"/>
        </w:rPr>
        <w:t>De beantwoording van de probleemstelling is in deze thesis piramidevormig gestructureerd. Met andere woorden, het onderzoek begon algemeen (lees: breed) beschouwend, maar werd al snel specifieker. Allereerst kwam in deze scriptie de verticale rechtstreekse werking van Europese Richtlijnen aanbod. Dit in verband met het feit dat de nationale omzetbelastingwet is gebaseerd op de Europese BTW-richtlijn. Het karakter van de omzetbelasting is omschreven als een kostprijsverhogende indirecte belasting waarbij neutraliteit een rol op de voorgrond vertolkt. Een van de aanleidingen tot het schrijven van deze thesis is de BTW-vrijstelling voor levering van onroerende goederen. Geconstateerd is dat vrijstellingen een inbreuk vormen op het BTW-stelsel en derhalve eng dienen te worden geïnterpreteerd. Of sprake is van voornoemde levering dient te worden bepaald of in casu überhaupt sprake is van onroerend goed. Gezien gewezen Europese jurisprudentie gaat het om een communautair begrip, waarbij het HvJ EG als ‘onroerend’ aanmerkt elk gebouw dat mobiel noch verplaatsbaar is. Op de vrijstelling van omzetbelasting voor de levering van onroerende goederen bestaan twee uitzonderingen, namelijk de met BTW belaste levering van rechtswege en de belaste levering door optie, welke beiden uitvoerig in het eerste hoofdstuk zijn besproken. Daarbij is de eerste van belang met het oog op de samenloopvrijstelling uit de overdrachtsbelasting.</w:t>
      </w:r>
    </w:p>
    <w:p w:rsidR="006D6963" w:rsidRPr="00484DAF" w:rsidRDefault="006D6963" w:rsidP="00CC552D">
      <w:pPr>
        <w:spacing w:after="0" w:line="360" w:lineRule="auto"/>
        <w:rPr>
          <w:sz w:val="24"/>
          <w:szCs w:val="24"/>
        </w:rPr>
      </w:pPr>
    </w:p>
    <w:p w:rsidR="006D6963" w:rsidRPr="00484DAF" w:rsidRDefault="006D6963" w:rsidP="00CC552D">
      <w:pPr>
        <w:spacing w:after="0" w:line="360" w:lineRule="auto"/>
        <w:rPr>
          <w:sz w:val="24"/>
          <w:szCs w:val="24"/>
        </w:rPr>
      </w:pPr>
      <w:r w:rsidRPr="00484DAF">
        <w:rPr>
          <w:sz w:val="24"/>
          <w:szCs w:val="24"/>
        </w:rPr>
        <w:t>De overdrachtsbelasting, een kostprijsverhogende directe belasting, welke wordt geheven ter zake van de verkrijging van in Nederland gelegen onroerend goed, is besproken in het tweede hoofdstuk. Naast de juridische verkrijging van onroerend goed is ook de overdracht van het economische eigendom een verkrijging waar rekening mee dient te worden gehouden. In plaats van een communautair begrip wordt voor invulling van onroerend goed voor de overdrachtsbelasting aansluiting gezocht bij het Nederlandse zakenrecht. Het civiele recht leert dat onder onroerend wordt verstaan grond, nog niet gewonnen delfstoffen, met de grond verenigde beplantingen, alsmede gebouwen en werken die duurzaam met de grond zijn verenigd, hetzij rechtstreeks, hetzij door vereniging met andere gebouwen of werken. Dit verschil in uitleg kan tot problemen leiden bij beroep op de samenloopvrijstelling, welke de verkrijging van onroerend goed vrijstelt indien deze van rechtswege met BTW is belast, niet als bedrijfsmiddel is gebruikt en zo dat wel het geval is geen recht op aftrek voorbelasting bestaat.</w:t>
      </w:r>
    </w:p>
    <w:p w:rsidR="006D6963" w:rsidRPr="00484DAF" w:rsidRDefault="006D6963" w:rsidP="00CC552D">
      <w:pPr>
        <w:spacing w:after="0" w:line="360" w:lineRule="auto"/>
        <w:rPr>
          <w:sz w:val="24"/>
          <w:szCs w:val="24"/>
        </w:rPr>
      </w:pPr>
    </w:p>
    <w:p w:rsidR="006D6963" w:rsidRPr="00484DAF" w:rsidRDefault="006D6963" w:rsidP="00CC552D">
      <w:pPr>
        <w:spacing w:after="0" w:line="360" w:lineRule="auto"/>
        <w:rPr>
          <w:sz w:val="24"/>
          <w:szCs w:val="24"/>
        </w:rPr>
      </w:pPr>
      <w:r w:rsidRPr="00484DAF">
        <w:rPr>
          <w:sz w:val="24"/>
          <w:szCs w:val="24"/>
        </w:rPr>
        <w:lastRenderedPageBreak/>
        <w:t xml:space="preserve">Met betrekking tot de probleemstelling zijn zowel de begrippen ‘gebouw’ als ‘bouwterrein’ van essentieel belang. Hoofdstuk drie zette uiteen dat onder gebouw ingevolge de BTW-richtlijn (en de gelijkluidende Nederlandse Wet OB 1968) wordt verstaan ieder bouwwerk dat vast met de grond is verbonden, hetgeen een veel meer omvattende duiding is dan ‘gebouw’ in de zin van een pand. Voor de vraag of een nieuw gebouw is ontstaan, is het vervaardigingvraagstuk van belang. Europese jurisprudentie leert dat sprake is van een ‘nieuw’ goed wanneer een goed ontstaat welke een andere functie heeft dan de functie die de verstrekte materialen oorspronkelijk hadden. De Hoge Raad blijkt van deze uitleg enigszins af te wijken door ook aan uiterlijke verschijningsvorm waarde toe te kennen en het veranderen van aanwendingsmogelijkheden niet doorslaggevend acht voor de vraag of een goed is vervaardigd. In twijfelgevallen worden ook andere relatieve criteria uit de kast gehaald. Het vervaardigingvraagstuk onderscheidt vier soorten ‘bouw’, namelijk nieuwbouw, verbouwing, aanbouw, en opbouw (dan wel onderbouw). Voor alle vier verschijningsvormen is onderzocht wanneer ze leiden tot vervaardiging. In de praktijk dient dit onderzoek overigens plaats te vinden op het leveringstijdstip. </w:t>
      </w:r>
    </w:p>
    <w:p w:rsidR="006D6963" w:rsidRPr="00484DAF" w:rsidRDefault="006D6963" w:rsidP="00CC552D">
      <w:pPr>
        <w:spacing w:after="0" w:line="360" w:lineRule="auto"/>
        <w:rPr>
          <w:sz w:val="24"/>
          <w:szCs w:val="24"/>
        </w:rPr>
      </w:pPr>
    </w:p>
    <w:p w:rsidR="006D6963" w:rsidRPr="00484DAF" w:rsidRDefault="006D6963" w:rsidP="00CC552D">
      <w:pPr>
        <w:spacing w:after="0" w:line="360" w:lineRule="auto"/>
        <w:rPr>
          <w:sz w:val="24"/>
          <w:szCs w:val="24"/>
        </w:rPr>
      </w:pPr>
      <w:r w:rsidRPr="00484DAF">
        <w:rPr>
          <w:sz w:val="24"/>
          <w:szCs w:val="24"/>
        </w:rPr>
        <w:t>Hoofdstuk vier onderscheidde met betrekking tot gronden drie verschijningsvormen, namelijk onbebouwde grond, bouwterrein en bebouwde grond. Invulling van het begrip bouwterrein is ingevolge Europese jurisprudentie een communautair begrip, waarbij het aan de lidstaten is om daaraan invulling te geven. Daarbij is een ruime uitleg van het begrip bouwterrein verdedigbaar. De Nederlandse omzetbelastingwet stelt drie voorwaarden aan een bouwterrein, namelijk dat sprake is onbebouwde grond en met het oog op bebouwing aan één van de vier volgende criteria is voldaan, namelijk het bewerken van de grond, het treffen van voorzieningen (al dan niet in de omgeving) of een bouwvergunning is verleend. Het toetsingsmoment of aan één van de criteria voor de kwalificatie bouwterrein is voldaan, is net als bij beoordeling van vervaardiging van een gebouw, het leveringsmoment.</w:t>
      </w:r>
    </w:p>
    <w:p w:rsidR="006D6963" w:rsidRPr="00484DAF" w:rsidRDefault="006D6963" w:rsidP="00CC552D">
      <w:pPr>
        <w:spacing w:after="0" w:line="360" w:lineRule="auto"/>
        <w:rPr>
          <w:sz w:val="24"/>
          <w:szCs w:val="24"/>
        </w:rPr>
      </w:pPr>
    </w:p>
    <w:p w:rsidR="006D6963" w:rsidRPr="00484DAF" w:rsidRDefault="006D6963" w:rsidP="00CC552D">
      <w:pPr>
        <w:spacing w:after="0" w:line="360" w:lineRule="auto"/>
        <w:rPr>
          <w:sz w:val="24"/>
          <w:szCs w:val="24"/>
        </w:rPr>
      </w:pPr>
      <w:r w:rsidRPr="00484DAF">
        <w:rPr>
          <w:sz w:val="24"/>
          <w:szCs w:val="24"/>
        </w:rPr>
        <w:t xml:space="preserve">Het vijfde hoofdstuk besprak twee regimes die ieder voortkomen uit sloopwerkzaamheden. Enerzijds gaat het om oud onroerend goed dat door volledige sloop verandert in een bouwterrein waarna nieuwbouw wordt gerealiseerd. Anderzijds betreft het de overgang van oud onroerend goed naar nieuw onroerend goed door verbouwing (al dan niet in combinatie met gedeeltelijke sloop). Uit Nederlandse jurisprudentie volgt dat sloop- en egalisatiewerkzaamheden niet leiden tot vervaardiging van een bouwterrein indien ‘het oog op bebouwing’ ontbreekt. Dit standpunt dient te worden genuanceerd dankzij recente arresten </w:t>
      </w:r>
      <w:r w:rsidRPr="00484DAF">
        <w:rPr>
          <w:sz w:val="24"/>
          <w:szCs w:val="24"/>
        </w:rPr>
        <w:lastRenderedPageBreak/>
        <w:t xml:space="preserve">waarin is beslist dat een geringe bewerking van de grond al voldoende is om te kwalificeren als bouwterrein en dat het oogmerk van de sloop ten tijde van de verbouwing wel degelijk invloed heeft. Inzake vervaardiging van een nieuw gebouw door sloop volgt uit een ander arrest dat het uitvoeren van sloopwerkzaamheden niet kan worden aangemerkt als het verrichten van verbouwing. Ook indien het oogmerk tot vervaardiging bestaat, is daarvan geen sprake. Het HvJ EG heeft in het arrest </w:t>
      </w:r>
      <w:r w:rsidRPr="00484DAF">
        <w:rPr>
          <w:i/>
          <w:sz w:val="24"/>
          <w:szCs w:val="24"/>
        </w:rPr>
        <w:t>Don Bosco</w:t>
      </w:r>
      <w:r w:rsidRPr="00484DAF">
        <w:rPr>
          <w:sz w:val="24"/>
          <w:szCs w:val="24"/>
        </w:rPr>
        <w:t xml:space="preserve"> behandeling van onroerend goed nog ingewikkelder gemaakt. Door de prestaties “sloopwerkzaamheden” en “levering van onroerend goed” als één te beschouwen, komt het HvJ EG tot de conclusie dat in een geval waarin grond met opstallen wordt geleverd juridisch “onbebouwde grond” wordt geleverd. Het is vervolgens aan de verwijzende rechter om te oordelen of een bouwterrein in de zin van artikel 11, lid 4 Wet OB 1968 is geleverd. Wat het HvJ EG hier doet, is het naar voren halen van het moment dat de levering van oud onroerend goed, dan wel een bouwterrein in de BTW-heffing wordt betrokken. Ik heb daarbij betoogd dat het betreffende moment niet vroeg genoeg kan plaatsvinden. Verdedigbaar is zelfs het aanmerken van bestemmingswijziging als moment waarop het </w:t>
      </w:r>
      <w:r w:rsidRPr="00484DAF">
        <w:rPr>
          <w:i/>
          <w:sz w:val="24"/>
          <w:szCs w:val="24"/>
        </w:rPr>
        <w:t>“voor (…) eerste ingebruikneming”</w:t>
      </w:r>
      <w:r w:rsidRPr="00484DAF">
        <w:rPr>
          <w:sz w:val="24"/>
          <w:szCs w:val="24"/>
        </w:rPr>
        <w:t xml:space="preserve"> ingaat. Gezien de mogelijke kanttekeningen bij het arrest Don Bosco is in het kader van het vervaardigingvraagstuk een mogelijk arrest uitgewerkt waarin verdedigbaar wordt geacht dat de termijn ‘vóór eerste ingebruikneming’ aanvangt op het moment dat een gebouw (al dan niet) gedeeltelijk wordt gesloopt met het oog op vervanging van dat gebouw door een nieuw op te richten gebouw. Let wel, hiermee smelten de hiervoor genoemde twee regimes samen doordat de tussenstap bouwterrein niet noodzakelijk is om van vervaardiging te spreken. </w:t>
      </w:r>
    </w:p>
    <w:p w:rsidR="006D6963" w:rsidRPr="00484DAF" w:rsidRDefault="006D6963" w:rsidP="00CC552D">
      <w:pPr>
        <w:spacing w:after="0" w:line="360" w:lineRule="auto"/>
        <w:rPr>
          <w:sz w:val="24"/>
          <w:szCs w:val="24"/>
        </w:rPr>
      </w:pPr>
    </w:p>
    <w:p w:rsidR="006D6963" w:rsidRPr="00484DAF" w:rsidRDefault="006D6963" w:rsidP="00CC552D">
      <w:pPr>
        <w:spacing w:after="0" w:line="360" w:lineRule="auto"/>
        <w:rPr>
          <w:sz w:val="24"/>
          <w:szCs w:val="24"/>
        </w:rPr>
      </w:pPr>
      <w:r w:rsidRPr="00484DAF">
        <w:rPr>
          <w:sz w:val="24"/>
          <w:szCs w:val="24"/>
        </w:rPr>
        <w:t xml:space="preserve">Het zesde hoofdstuk diende om de BTW-heffing met betrekking tot (de levering van) onroerend goed van zeven lidstaten te vergelijken. Geen twee landen kennen daarin dezelfde behandeling. Zo zijn er landen wiens samenloopvrijstelling als enige voorwaarde kent, dat BTW met betrekking tot die levering is voldaan. Andere lidstaten betrekken de levering van een bouwterrein in het geheel niet in de heffing. Weer andere lidstaten redeneren juist vanuit het aanwezig zijn van grond en zien gebouwen als aanhorig bij die grond. Een aantal landen pleit ervoor om leveringen in de bouwfase in de BTW-belaste sfeer te trekken opdat sprake is van een nieuw vervaardigd goed. De bouwfase kan naar wens worden uitgebreid tot bijvoorbeeld de aankoop van een bouwterrein of onroerend goed bestemd om een bouwterrein te worden en de bouw van nieuw onroerend goed. Bij de beoordeling of sloopwerkzaamheden tot vervaardiging leiden wordt in een aantal landen voorts gekeken naar de intentie van de (ver)koper. Indien ten tijde van de levering van een (deels) gesloopt pand of bouwterrein met </w:t>
      </w:r>
      <w:r w:rsidRPr="00484DAF">
        <w:rPr>
          <w:sz w:val="24"/>
          <w:szCs w:val="24"/>
        </w:rPr>
        <w:lastRenderedPageBreak/>
        <w:t>(deels) gesloopte opstallen duidelijk is dat nieuwbouw zal worden gerealiseerd, is sprake van een vervaardiging.</w:t>
      </w:r>
    </w:p>
    <w:p w:rsidR="006D6963" w:rsidRPr="00484DAF" w:rsidRDefault="006D6963" w:rsidP="00CC552D">
      <w:pPr>
        <w:spacing w:after="0" w:line="360" w:lineRule="auto"/>
        <w:rPr>
          <w:sz w:val="24"/>
          <w:szCs w:val="24"/>
        </w:rPr>
      </w:pPr>
    </w:p>
    <w:p w:rsidR="00666853" w:rsidRPr="00484DAF" w:rsidRDefault="006D6963" w:rsidP="00CC552D">
      <w:pPr>
        <w:pStyle w:val="Geenafstand"/>
        <w:spacing w:line="360" w:lineRule="auto"/>
        <w:rPr>
          <w:sz w:val="24"/>
          <w:szCs w:val="24"/>
        </w:rPr>
      </w:pPr>
      <w:r w:rsidRPr="00484DAF">
        <w:rPr>
          <w:sz w:val="24"/>
          <w:szCs w:val="24"/>
        </w:rPr>
        <w:t xml:space="preserve">Het geheel in ogenschouw nemend, is in hoofdstuk zeven geconcludeerd inzake de probleemstelling. Deze luidde: </w:t>
      </w:r>
      <w:r w:rsidRPr="00484DAF">
        <w:rPr>
          <w:i/>
          <w:sz w:val="24"/>
          <w:szCs w:val="24"/>
        </w:rPr>
        <w:t xml:space="preserve">‘Leidt bij vervaardiging van nieuw onroerend goed de samenloop tussen omzetbelasting en overdrachtsbelasting tot een probleem door de wijze waarop de communautaire begrippen bouwterrein en nieuw gebouw in de Nederlandse omzetbelasting worden gedefinieerd? Zo ja, in hoeverre kan de (al dan niet communautaire) invulling worden gewijzigd met voorwaarden die passen binnen het kader van de BTW-richtlijn?’ </w:t>
      </w:r>
      <w:r w:rsidRPr="00484DAF">
        <w:rPr>
          <w:sz w:val="24"/>
          <w:szCs w:val="24"/>
        </w:rPr>
        <w:t xml:space="preserve">Gebleken is dat de invulling in de Nederlandse wetgeving van het begrip ‘gebouw’ aansluit bij de BTW-richtlijn. Daar het begrip ‘bouwterrein’ door de lidstaten zelf mag worden ingevuld, kan de Nederlandse invulling nauwelijks in strijd zijn met de BTW-richtlijn. Wel is geconstateerd dat de BTW-richtlijn meer ruimte biedt, dan aanvankelijk door de Nederlandse wetgever voorzien. Dit volgt onder meer uit het onderzoek naar invulling door andere lidstaten waarbij die invulling door het HvJ EG (nog) niet strijdig is verklaard en het recente arrest </w:t>
      </w:r>
      <w:r w:rsidRPr="00484DAF">
        <w:rPr>
          <w:i/>
          <w:sz w:val="24"/>
          <w:szCs w:val="24"/>
        </w:rPr>
        <w:t>Don Bosco</w:t>
      </w:r>
      <w:r w:rsidRPr="00484DAF">
        <w:rPr>
          <w:sz w:val="24"/>
          <w:szCs w:val="24"/>
        </w:rPr>
        <w:t>. Met betrekking tot het vervaardigingvraagstuk zijn ingevolge deze scriptie wel kanttekeningen te plaatsen. Gepleit is voor wetgeving waarbij de sloopwerkzaamheden worden erkend als bijdragend aan vervaardiging. Uiteraard onder voorwaarde dat ‘vervaardiging’ het doel van de sloop is. Voorts is gepleit voor objectivering van de invulling van het begrip ‘bouwterrein’ door enkel wanneer aan de huidige criteria is voldaan (let op voltooid verleden tijd) de status van bouwterrein toe te kennen. De hoofdvraag van deze scriptie luidt mede of problemen ontstaan door de Nederlandse invulling van de hiervoor veelvuldig aan bod gekomen begrippen met betrekking tot de samenloopvrijstelling. Aan de hand van een rekenvoorbeeld is in eerste instantie aangetoond hoe projectontwikkelaars inspelen op een te behalen voordeel van 13% belasting door verkoop vanaf de tekening. Wanneer voor het Nederlandse begrip van bouwterrein en vervaardiging de intentie van de levering van een bouwterrein of een terrein met bebouwing van doorslaggevende betekenis is, is zowel de levering van grond (bebouwd dan wel onbebouwd) belast met 19% BTW waardoor voor gekunstelde leveringen (mijns inziens “een probleem”) geen ruimte meer is.</w:t>
      </w:r>
    </w:p>
    <w:p w:rsidR="0034544C" w:rsidRPr="00484DAF" w:rsidRDefault="0034544C" w:rsidP="00CC552D">
      <w:pPr>
        <w:spacing w:after="0" w:line="360" w:lineRule="auto"/>
        <w:rPr>
          <w:sz w:val="24"/>
          <w:szCs w:val="24"/>
        </w:rPr>
      </w:pPr>
      <w:r w:rsidRPr="00484DAF">
        <w:rPr>
          <w:sz w:val="24"/>
          <w:szCs w:val="24"/>
        </w:rPr>
        <w:br w:type="page"/>
      </w:r>
    </w:p>
    <w:p w:rsidR="001A6698" w:rsidRPr="00484DAF" w:rsidRDefault="001A6698" w:rsidP="00CC552D">
      <w:pPr>
        <w:pStyle w:val="Kop1"/>
        <w:spacing w:before="0" w:line="360" w:lineRule="auto"/>
        <w:rPr>
          <w:rFonts w:ascii="Times New Roman" w:hAnsi="Times New Roman"/>
          <w:color w:val="auto"/>
          <w:sz w:val="24"/>
          <w:szCs w:val="24"/>
        </w:rPr>
      </w:pPr>
      <w:bookmarkStart w:id="149" w:name="_Toc254044000"/>
      <w:r w:rsidRPr="00484DAF">
        <w:rPr>
          <w:rFonts w:ascii="Times New Roman" w:hAnsi="Times New Roman"/>
          <w:color w:val="auto"/>
          <w:sz w:val="24"/>
          <w:szCs w:val="24"/>
        </w:rPr>
        <w:lastRenderedPageBreak/>
        <w:t>Literatuurlijst</w:t>
      </w:r>
      <w:bookmarkEnd w:id="149"/>
    </w:p>
    <w:p w:rsidR="00484DAF" w:rsidRDefault="00484DAF" w:rsidP="00CC552D">
      <w:pPr>
        <w:pStyle w:val="Kop2"/>
        <w:spacing w:before="0" w:line="360" w:lineRule="auto"/>
        <w:rPr>
          <w:rFonts w:ascii="Times New Roman" w:hAnsi="Times New Roman"/>
          <w:color w:val="auto"/>
          <w:sz w:val="24"/>
          <w:szCs w:val="24"/>
        </w:rPr>
      </w:pPr>
      <w:bookmarkStart w:id="150" w:name="_Toc254044001"/>
    </w:p>
    <w:p w:rsidR="001A6698" w:rsidRPr="00484DAF" w:rsidRDefault="001A6698" w:rsidP="00CC552D">
      <w:pPr>
        <w:pStyle w:val="Kop2"/>
        <w:spacing w:before="0" w:line="360" w:lineRule="auto"/>
        <w:rPr>
          <w:rFonts w:ascii="Times New Roman" w:hAnsi="Times New Roman"/>
          <w:color w:val="auto"/>
          <w:sz w:val="24"/>
          <w:szCs w:val="24"/>
        </w:rPr>
      </w:pPr>
      <w:r w:rsidRPr="00484DAF">
        <w:rPr>
          <w:rFonts w:ascii="Times New Roman" w:hAnsi="Times New Roman"/>
          <w:color w:val="auto"/>
          <w:sz w:val="24"/>
          <w:szCs w:val="24"/>
        </w:rPr>
        <w:t>Boeken</w:t>
      </w:r>
      <w:bookmarkEnd w:id="150"/>
    </w:p>
    <w:p w:rsidR="007C2B4F" w:rsidRPr="00484DAF" w:rsidRDefault="007C2B4F" w:rsidP="00CC552D">
      <w:pPr>
        <w:pStyle w:val="Geenafstand"/>
        <w:numPr>
          <w:ilvl w:val="0"/>
          <w:numId w:val="3"/>
        </w:numPr>
        <w:spacing w:line="360" w:lineRule="auto"/>
        <w:rPr>
          <w:sz w:val="24"/>
          <w:szCs w:val="24"/>
        </w:rPr>
      </w:pPr>
      <w:r w:rsidRPr="00484DAF">
        <w:rPr>
          <w:sz w:val="24"/>
          <w:szCs w:val="24"/>
        </w:rPr>
        <w:t>S.T.M. Beelen</w:t>
      </w:r>
      <w:r w:rsidR="00AE01E0" w:rsidRPr="00484DAF">
        <w:rPr>
          <w:sz w:val="24"/>
          <w:szCs w:val="24"/>
        </w:rPr>
        <w:t>, K.M. Braun, O.L. Mobach</w:t>
      </w:r>
      <w:r w:rsidR="00D04578" w:rsidRPr="00484DAF">
        <w:rPr>
          <w:sz w:val="24"/>
          <w:szCs w:val="24"/>
        </w:rPr>
        <w:t xml:space="preserve"> en </w:t>
      </w:r>
      <w:r w:rsidR="00AE01E0" w:rsidRPr="00484DAF">
        <w:rPr>
          <w:sz w:val="24"/>
          <w:szCs w:val="24"/>
        </w:rPr>
        <w:t>R.N.G. van der Paardt</w:t>
      </w:r>
      <w:r w:rsidRPr="00484DAF">
        <w:rPr>
          <w:sz w:val="24"/>
          <w:szCs w:val="24"/>
        </w:rPr>
        <w:t xml:space="preserve">, </w:t>
      </w:r>
      <w:r w:rsidRPr="00484DAF">
        <w:rPr>
          <w:i/>
          <w:sz w:val="24"/>
          <w:szCs w:val="24"/>
        </w:rPr>
        <w:t>Cursus Belastingrecht Omzetbelasting (studenteneditie)</w:t>
      </w:r>
      <w:r w:rsidRPr="00484DAF">
        <w:rPr>
          <w:sz w:val="24"/>
          <w:szCs w:val="24"/>
        </w:rPr>
        <w:t>, Kluwer, Deventer, 2006</w:t>
      </w:r>
    </w:p>
    <w:p w:rsidR="00607582" w:rsidRPr="00484DAF" w:rsidRDefault="00607582" w:rsidP="00CC552D">
      <w:pPr>
        <w:pStyle w:val="Lijstalinea"/>
        <w:numPr>
          <w:ilvl w:val="0"/>
          <w:numId w:val="3"/>
        </w:numPr>
        <w:spacing w:after="0" w:line="360" w:lineRule="auto"/>
        <w:contextualSpacing w:val="0"/>
        <w:rPr>
          <w:sz w:val="24"/>
          <w:szCs w:val="24"/>
        </w:rPr>
      </w:pPr>
      <w:r w:rsidRPr="00484DAF">
        <w:rPr>
          <w:sz w:val="24"/>
          <w:szCs w:val="24"/>
        </w:rPr>
        <w:t xml:space="preserve">D.B. Bijl, </w:t>
      </w:r>
      <w:r w:rsidRPr="00484DAF">
        <w:rPr>
          <w:i/>
          <w:sz w:val="24"/>
          <w:szCs w:val="24"/>
        </w:rPr>
        <w:t>De heffing van omzetbelasting ten aanzien van onroerend goed</w:t>
      </w:r>
      <w:r w:rsidRPr="00484DAF">
        <w:rPr>
          <w:sz w:val="24"/>
          <w:szCs w:val="24"/>
        </w:rPr>
        <w:t>, Kluwer, Deventer, 1990.</w:t>
      </w:r>
    </w:p>
    <w:p w:rsidR="00A40AF7" w:rsidRPr="00484DAF" w:rsidRDefault="00A40AF7" w:rsidP="00CC552D">
      <w:pPr>
        <w:pStyle w:val="Lijstalinea"/>
        <w:numPr>
          <w:ilvl w:val="0"/>
          <w:numId w:val="3"/>
        </w:numPr>
        <w:spacing w:after="0" w:line="360" w:lineRule="auto"/>
        <w:contextualSpacing w:val="0"/>
        <w:rPr>
          <w:sz w:val="24"/>
          <w:szCs w:val="24"/>
        </w:rPr>
      </w:pPr>
      <w:r w:rsidRPr="00484DAF">
        <w:rPr>
          <w:sz w:val="24"/>
          <w:szCs w:val="24"/>
        </w:rPr>
        <w:t xml:space="preserve">D.B. Bijl, </w:t>
      </w:r>
      <w:r w:rsidRPr="00484DAF">
        <w:rPr>
          <w:i/>
          <w:sz w:val="24"/>
          <w:szCs w:val="24"/>
        </w:rPr>
        <w:t>Omzetbelasting en onroerend goed</w:t>
      </w:r>
      <w:r w:rsidR="002A23DD" w:rsidRPr="00484DAF">
        <w:rPr>
          <w:sz w:val="24"/>
          <w:szCs w:val="24"/>
        </w:rPr>
        <w:t>, FED, Deventer, 1998.</w:t>
      </w:r>
    </w:p>
    <w:p w:rsidR="00D04578" w:rsidRPr="00484DAF" w:rsidRDefault="00607582" w:rsidP="00CC552D">
      <w:pPr>
        <w:pStyle w:val="Lijstalinea"/>
        <w:numPr>
          <w:ilvl w:val="0"/>
          <w:numId w:val="3"/>
        </w:numPr>
        <w:spacing w:after="0" w:line="360" w:lineRule="auto"/>
        <w:contextualSpacing w:val="0"/>
        <w:rPr>
          <w:sz w:val="24"/>
          <w:szCs w:val="24"/>
        </w:rPr>
      </w:pPr>
      <w:r w:rsidRPr="00484DAF">
        <w:rPr>
          <w:sz w:val="24"/>
          <w:szCs w:val="24"/>
        </w:rPr>
        <w:t xml:space="preserve">D.B. </w:t>
      </w:r>
      <w:r w:rsidR="00D04578" w:rsidRPr="00484DAF">
        <w:rPr>
          <w:sz w:val="24"/>
          <w:szCs w:val="24"/>
        </w:rPr>
        <w:t xml:space="preserve">Bijl, M.E. van </w:t>
      </w:r>
      <w:r w:rsidRPr="00484DAF">
        <w:rPr>
          <w:sz w:val="24"/>
          <w:szCs w:val="24"/>
        </w:rPr>
        <w:t xml:space="preserve">Hilten en D.G. van Vliet, </w:t>
      </w:r>
      <w:r w:rsidRPr="00484DAF">
        <w:rPr>
          <w:i/>
          <w:sz w:val="24"/>
          <w:szCs w:val="24"/>
        </w:rPr>
        <w:t>Europese BTW en Nederlandse omzetbelasting</w:t>
      </w:r>
      <w:r w:rsidRPr="00484DAF">
        <w:rPr>
          <w:sz w:val="24"/>
          <w:szCs w:val="24"/>
        </w:rPr>
        <w:t>, Kluwer, Deventer, 2001.</w:t>
      </w:r>
    </w:p>
    <w:p w:rsidR="00AE01E0" w:rsidRPr="00484DAF" w:rsidRDefault="00AE01E0" w:rsidP="00CC552D">
      <w:pPr>
        <w:pStyle w:val="Lijstalinea"/>
        <w:numPr>
          <w:ilvl w:val="0"/>
          <w:numId w:val="3"/>
        </w:numPr>
        <w:spacing w:after="0" w:line="360" w:lineRule="auto"/>
        <w:contextualSpacing w:val="0"/>
        <w:rPr>
          <w:sz w:val="24"/>
          <w:szCs w:val="24"/>
        </w:rPr>
      </w:pPr>
      <w:r w:rsidRPr="00484DAF">
        <w:rPr>
          <w:sz w:val="24"/>
          <w:szCs w:val="24"/>
        </w:rPr>
        <w:t xml:space="preserve">J. H. Blommers en R.N.G. van der Paardt, </w:t>
      </w:r>
      <w:r w:rsidRPr="00484DAF">
        <w:rPr>
          <w:i/>
          <w:sz w:val="24"/>
          <w:szCs w:val="24"/>
        </w:rPr>
        <w:t>BTW en Overdrachtsbelasting in de Vastgoedsector – editie 2008</w:t>
      </w:r>
      <w:r w:rsidRPr="00484DAF">
        <w:rPr>
          <w:sz w:val="24"/>
          <w:szCs w:val="24"/>
        </w:rPr>
        <w:t>, Loyens &amp; Loeff series, 2008</w:t>
      </w:r>
    </w:p>
    <w:p w:rsidR="00AE01E0" w:rsidRPr="00484DAF" w:rsidRDefault="007943C9" w:rsidP="00CC552D">
      <w:pPr>
        <w:pStyle w:val="Lijstalinea"/>
        <w:numPr>
          <w:ilvl w:val="0"/>
          <w:numId w:val="3"/>
        </w:numPr>
        <w:spacing w:after="0" w:line="360" w:lineRule="auto"/>
        <w:contextualSpacing w:val="0"/>
        <w:rPr>
          <w:sz w:val="24"/>
          <w:szCs w:val="24"/>
        </w:rPr>
      </w:pPr>
      <w:r w:rsidRPr="00484DAF">
        <w:rPr>
          <w:sz w:val="24"/>
          <w:szCs w:val="24"/>
        </w:rPr>
        <w:t xml:space="preserve">M.E. van Hilten </w:t>
      </w:r>
      <w:r w:rsidR="007C2B4F" w:rsidRPr="00484DAF">
        <w:rPr>
          <w:sz w:val="24"/>
          <w:szCs w:val="24"/>
        </w:rPr>
        <w:t>en H.W.M. van Kesteren</w:t>
      </w:r>
      <w:r w:rsidRPr="00484DAF">
        <w:rPr>
          <w:sz w:val="24"/>
          <w:szCs w:val="24"/>
        </w:rPr>
        <w:t xml:space="preserve">, </w:t>
      </w:r>
      <w:r w:rsidRPr="00484DAF">
        <w:rPr>
          <w:i/>
          <w:sz w:val="24"/>
          <w:szCs w:val="24"/>
        </w:rPr>
        <w:t>Omzetbelasting</w:t>
      </w:r>
      <w:r w:rsidR="007C2B4F" w:rsidRPr="00484DAF">
        <w:rPr>
          <w:sz w:val="24"/>
          <w:szCs w:val="24"/>
        </w:rPr>
        <w:t>, Kluwer, Deventer, 2007.</w:t>
      </w:r>
    </w:p>
    <w:p w:rsidR="00F5201B" w:rsidRPr="00484DAF" w:rsidRDefault="00F5201B" w:rsidP="00CC552D">
      <w:pPr>
        <w:pStyle w:val="Lijstalinea"/>
        <w:numPr>
          <w:ilvl w:val="0"/>
          <w:numId w:val="3"/>
        </w:numPr>
        <w:spacing w:after="0" w:line="360" w:lineRule="auto"/>
        <w:contextualSpacing w:val="0"/>
        <w:rPr>
          <w:sz w:val="24"/>
          <w:szCs w:val="24"/>
        </w:rPr>
      </w:pPr>
      <w:r w:rsidRPr="00484DAF">
        <w:rPr>
          <w:sz w:val="24"/>
          <w:szCs w:val="24"/>
        </w:rPr>
        <w:t xml:space="preserve">Diverse auteurs, </w:t>
      </w:r>
      <w:r w:rsidRPr="00484DAF">
        <w:rPr>
          <w:i/>
          <w:sz w:val="24"/>
          <w:szCs w:val="24"/>
        </w:rPr>
        <w:t>Portret van de BTW - Alle wegen leiden naar Brussel (50 jaar NOB, 50 jaar Europese jurisprudentie en wetgeving)</w:t>
      </w:r>
      <w:r w:rsidRPr="00484DAF">
        <w:rPr>
          <w:sz w:val="24"/>
          <w:szCs w:val="24"/>
        </w:rPr>
        <w:t>, NOB, Amsterdam, 2004.</w:t>
      </w:r>
    </w:p>
    <w:p w:rsidR="00AE01E0" w:rsidRPr="00484DAF" w:rsidRDefault="00AE01E0" w:rsidP="00CC552D">
      <w:pPr>
        <w:pStyle w:val="Lijstalinea"/>
        <w:numPr>
          <w:ilvl w:val="0"/>
          <w:numId w:val="3"/>
        </w:numPr>
        <w:spacing w:after="0" w:line="360" w:lineRule="auto"/>
        <w:contextualSpacing w:val="0"/>
        <w:rPr>
          <w:sz w:val="24"/>
          <w:szCs w:val="24"/>
          <w:lang w:val="en-US"/>
        </w:rPr>
      </w:pPr>
      <w:r w:rsidRPr="00484DAF">
        <w:rPr>
          <w:sz w:val="24"/>
          <w:szCs w:val="24"/>
          <w:lang w:val="en-US"/>
        </w:rPr>
        <w:t xml:space="preserve">B.J.M. </w:t>
      </w:r>
      <w:r w:rsidR="00451EE3" w:rsidRPr="00484DAF">
        <w:rPr>
          <w:sz w:val="24"/>
          <w:szCs w:val="24"/>
          <w:lang w:val="en-US"/>
        </w:rPr>
        <w:t xml:space="preserve">Terra </w:t>
      </w:r>
      <w:r w:rsidRPr="00484DAF">
        <w:rPr>
          <w:sz w:val="24"/>
          <w:szCs w:val="24"/>
          <w:lang w:val="en-US"/>
        </w:rPr>
        <w:t>en J. Kajus</w:t>
      </w:r>
      <w:r w:rsidR="00451EE3" w:rsidRPr="00484DAF">
        <w:rPr>
          <w:sz w:val="24"/>
          <w:szCs w:val="24"/>
          <w:lang w:val="en-US"/>
        </w:rPr>
        <w:t xml:space="preserve">. </w:t>
      </w:r>
      <w:r w:rsidR="00451EE3" w:rsidRPr="00484DAF">
        <w:rPr>
          <w:i/>
          <w:sz w:val="24"/>
          <w:szCs w:val="24"/>
          <w:lang w:val="en-US"/>
        </w:rPr>
        <w:t>A guide to the European VAT Directives – Introduction to European VAT – Volume 1</w:t>
      </w:r>
      <w:r w:rsidR="00451EE3" w:rsidRPr="00484DAF">
        <w:rPr>
          <w:sz w:val="24"/>
          <w:szCs w:val="24"/>
          <w:lang w:val="en-US"/>
        </w:rPr>
        <w:t>, IBFD, 2008</w:t>
      </w:r>
      <w:r w:rsidRPr="00484DAF">
        <w:rPr>
          <w:sz w:val="24"/>
          <w:szCs w:val="24"/>
          <w:lang w:val="en-US"/>
        </w:rPr>
        <w:t>.</w:t>
      </w:r>
    </w:p>
    <w:p w:rsidR="00AE01E0" w:rsidRPr="00484DAF" w:rsidRDefault="002A23DD" w:rsidP="00CC552D">
      <w:pPr>
        <w:pStyle w:val="Lijstalinea"/>
        <w:numPr>
          <w:ilvl w:val="0"/>
          <w:numId w:val="3"/>
        </w:numPr>
        <w:spacing w:after="0" w:line="360" w:lineRule="auto"/>
        <w:contextualSpacing w:val="0"/>
        <w:rPr>
          <w:sz w:val="24"/>
          <w:szCs w:val="24"/>
          <w:lang w:val="en-US"/>
        </w:rPr>
      </w:pPr>
      <w:r w:rsidRPr="00484DAF">
        <w:rPr>
          <w:sz w:val="24"/>
          <w:szCs w:val="24"/>
          <w:lang w:val="en-US"/>
        </w:rPr>
        <w:t xml:space="preserve">Ben Terra </w:t>
      </w:r>
      <w:r w:rsidR="00AE01E0" w:rsidRPr="00484DAF">
        <w:rPr>
          <w:sz w:val="24"/>
          <w:szCs w:val="24"/>
          <w:lang w:val="en-US"/>
        </w:rPr>
        <w:t xml:space="preserve">en J. Kajus, </w:t>
      </w:r>
      <w:r w:rsidRPr="00484DAF">
        <w:rPr>
          <w:i/>
          <w:sz w:val="24"/>
          <w:szCs w:val="24"/>
          <w:lang w:val="en-US"/>
        </w:rPr>
        <w:t>A guide to the European VAT Directives – Introduction to European VAT – Volume 2</w:t>
      </w:r>
      <w:r w:rsidR="00AE01E0" w:rsidRPr="00484DAF">
        <w:rPr>
          <w:sz w:val="24"/>
          <w:szCs w:val="24"/>
          <w:lang w:val="en-US"/>
        </w:rPr>
        <w:t xml:space="preserve">, IBFD, 2008. </w:t>
      </w:r>
    </w:p>
    <w:p w:rsidR="00AE01E0" w:rsidRPr="00484DAF" w:rsidRDefault="00AE01E0" w:rsidP="00CC552D">
      <w:pPr>
        <w:pStyle w:val="Lijstalinea"/>
        <w:numPr>
          <w:ilvl w:val="0"/>
          <w:numId w:val="3"/>
        </w:numPr>
        <w:spacing w:after="0" w:line="360" w:lineRule="auto"/>
        <w:contextualSpacing w:val="0"/>
        <w:rPr>
          <w:sz w:val="24"/>
          <w:szCs w:val="24"/>
        </w:rPr>
      </w:pPr>
      <w:r w:rsidRPr="00484DAF">
        <w:rPr>
          <w:sz w:val="24"/>
          <w:szCs w:val="24"/>
        </w:rPr>
        <w:t xml:space="preserve">B.J.M. Terra, </w:t>
      </w:r>
      <w:r w:rsidRPr="00484DAF">
        <w:rPr>
          <w:i/>
          <w:sz w:val="24"/>
          <w:szCs w:val="24"/>
        </w:rPr>
        <w:t>Europees indirect belastingrecht</w:t>
      </w:r>
      <w:r w:rsidRPr="00484DAF">
        <w:rPr>
          <w:sz w:val="24"/>
          <w:szCs w:val="24"/>
        </w:rPr>
        <w:t>, Tweede druk, 2002 (download van www.tax.nl, website heden niet meer actief).</w:t>
      </w:r>
    </w:p>
    <w:p w:rsidR="00AE01E0" w:rsidRPr="00484DAF" w:rsidRDefault="00AE01E0" w:rsidP="00CC552D">
      <w:pPr>
        <w:pStyle w:val="Lijstalinea"/>
        <w:numPr>
          <w:ilvl w:val="0"/>
          <w:numId w:val="3"/>
        </w:numPr>
        <w:spacing w:after="0" w:line="360" w:lineRule="auto"/>
        <w:contextualSpacing w:val="0"/>
        <w:rPr>
          <w:sz w:val="24"/>
          <w:szCs w:val="24"/>
        </w:rPr>
      </w:pPr>
      <w:r w:rsidRPr="00484DAF">
        <w:rPr>
          <w:sz w:val="24"/>
          <w:szCs w:val="24"/>
        </w:rPr>
        <w:t xml:space="preserve">R.T.G. Verstraaten en Y.E. Gassler, </w:t>
      </w:r>
      <w:r w:rsidRPr="00484DAF">
        <w:rPr>
          <w:i/>
          <w:sz w:val="24"/>
          <w:szCs w:val="24"/>
        </w:rPr>
        <w:t>Cursus Belastingrecht Belastingen van Rechtsverkeer (studenteneditie)</w:t>
      </w:r>
      <w:r w:rsidRPr="00484DAF">
        <w:rPr>
          <w:sz w:val="24"/>
          <w:szCs w:val="24"/>
        </w:rPr>
        <w:t>, Deventer: Kluwer, 2006</w:t>
      </w:r>
    </w:p>
    <w:p w:rsidR="00A40AF7" w:rsidRPr="00484DAF" w:rsidRDefault="00A40AF7" w:rsidP="00CC552D">
      <w:pPr>
        <w:pStyle w:val="Lijstalinea"/>
        <w:numPr>
          <w:ilvl w:val="0"/>
          <w:numId w:val="3"/>
        </w:numPr>
        <w:spacing w:after="0" w:line="360" w:lineRule="auto"/>
        <w:contextualSpacing w:val="0"/>
        <w:rPr>
          <w:sz w:val="24"/>
          <w:szCs w:val="24"/>
        </w:rPr>
      </w:pPr>
      <w:r w:rsidRPr="00484DAF">
        <w:rPr>
          <w:sz w:val="24"/>
          <w:szCs w:val="24"/>
        </w:rPr>
        <w:t xml:space="preserve">B.G. van Zadelhoff, </w:t>
      </w:r>
      <w:r w:rsidRPr="00484DAF">
        <w:rPr>
          <w:i/>
          <w:sz w:val="24"/>
          <w:szCs w:val="24"/>
        </w:rPr>
        <w:t>Onroerende goederen en belasting over toegevoegde waarde</w:t>
      </w:r>
      <w:r w:rsidRPr="00484DAF">
        <w:rPr>
          <w:sz w:val="24"/>
          <w:szCs w:val="24"/>
        </w:rPr>
        <w:t>, FED, Deventer, 1992</w:t>
      </w:r>
      <w:r w:rsidR="00AE01E0" w:rsidRPr="00484DAF">
        <w:rPr>
          <w:sz w:val="24"/>
          <w:szCs w:val="24"/>
        </w:rPr>
        <w:t>.</w:t>
      </w:r>
    </w:p>
    <w:p w:rsidR="00607582" w:rsidRPr="00484DAF" w:rsidRDefault="00607582" w:rsidP="00CC552D">
      <w:pPr>
        <w:pStyle w:val="Lijstalinea"/>
        <w:numPr>
          <w:ilvl w:val="0"/>
          <w:numId w:val="3"/>
        </w:numPr>
        <w:spacing w:after="0" w:line="360" w:lineRule="auto"/>
        <w:contextualSpacing w:val="0"/>
        <w:rPr>
          <w:sz w:val="24"/>
          <w:szCs w:val="24"/>
        </w:rPr>
      </w:pPr>
      <w:r w:rsidRPr="00484DAF">
        <w:rPr>
          <w:sz w:val="24"/>
          <w:szCs w:val="24"/>
        </w:rPr>
        <w:t xml:space="preserve">B.G. van Zadelhoff, </w:t>
      </w:r>
      <w:r w:rsidRPr="00484DAF">
        <w:rPr>
          <w:i/>
          <w:sz w:val="24"/>
          <w:szCs w:val="24"/>
        </w:rPr>
        <w:t>Belastingplichtige in de BTW</w:t>
      </w:r>
      <w:r w:rsidRPr="00484DAF">
        <w:rPr>
          <w:sz w:val="24"/>
          <w:szCs w:val="24"/>
        </w:rPr>
        <w:t>, Kluwer, Deventer, 2008.</w:t>
      </w:r>
    </w:p>
    <w:p w:rsidR="00CC552D" w:rsidRPr="00484DAF" w:rsidRDefault="00CC552D" w:rsidP="00CC552D">
      <w:pPr>
        <w:pStyle w:val="Lijstalinea"/>
        <w:spacing w:after="0" w:line="360" w:lineRule="auto"/>
        <w:contextualSpacing w:val="0"/>
        <w:rPr>
          <w:sz w:val="24"/>
          <w:szCs w:val="24"/>
        </w:rPr>
      </w:pPr>
    </w:p>
    <w:p w:rsidR="001A6698" w:rsidRPr="00484DAF" w:rsidRDefault="007943C9" w:rsidP="00CC552D">
      <w:pPr>
        <w:pStyle w:val="Kop2"/>
        <w:spacing w:before="0" w:line="360" w:lineRule="auto"/>
        <w:rPr>
          <w:rFonts w:ascii="Times New Roman" w:hAnsi="Times New Roman"/>
          <w:color w:val="auto"/>
          <w:sz w:val="24"/>
          <w:szCs w:val="24"/>
        </w:rPr>
      </w:pPr>
      <w:bookmarkStart w:id="151" w:name="_Toc254044002"/>
      <w:r w:rsidRPr="00484DAF">
        <w:rPr>
          <w:rFonts w:ascii="Times New Roman" w:hAnsi="Times New Roman"/>
          <w:color w:val="auto"/>
          <w:sz w:val="24"/>
          <w:szCs w:val="24"/>
        </w:rPr>
        <w:t>Artikelen</w:t>
      </w:r>
      <w:bookmarkEnd w:id="151"/>
    </w:p>
    <w:p w:rsidR="005B08C5" w:rsidRPr="00484DAF" w:rsidRDefault="005B08C5" w:rsidP="00CC552D">
      <w:pPr>
        <w:pStyle w:val="Geenafstand"/>
        <w:numPr>
          <w:ilvl w:val="0"/>
          <w:numId w:val="3"/>
        </w:numPr>
        <w:spacing w:line="360" w:lineRule="auto"/>
        <w:rPr>
          <w:sz w:val="24"/>
          <w:szCs w:val="24"/>
        </w:rPr>
      </w:pPr>
      <w:r w:rsidRPr="00484DAF">
        <w:rPr>
          <w:sz w:val="24"/>
          <w:szCs w:val="24"/>
        </w:rPr>
        <w:t xml:space="preserve">W.J.A. Ambergen, </w:t>
      </w:r>
      <w:r w:rsidR="00D12918">
        <w:rPr>
          <w:i/>
          <w:sz w:val="24"/>
          <w:szCs w:val="24"/>
        </w:rPr>
        <w:t>De econoom</w:t>
      </w:r>
      <w:r w:rsidRPr="00484DAF">
        <w:rPr>
          <w:i/>
          <w:sz w:val="24"/>
          <w:szCs w:val="24"/>
        </w:rPr>
        <w:t>:</w:t>
      </w:r>
      <w:r w:rsidR="00D12918">
        <w:rPr>
          <w:i/>
          <w:sz w:val="24"/>
          <w:szCs w:val="24"/>
        </w:rPr>
        <w:t xml:space="preserve"> </w:t>
      </w:r>
      <w:r w:rsidRPr="00484DAF">
        <w:rPr>
          <w:i/>
          <w:sz w:val="24"/>
          <w:szCs w:val="24"/>
        </w:rPr>
        <w:t>1995-2007</w:t>
      </w:r>
      <w:r w:rsidRPr="00484DAF">
        <w:rPr>
          <w:sz w:val="24"/>
          <w:szCs w:val="24"/>
        </w:rPr>
        <w:t>, Vastgoed Fiscaal &amp; Civiel 2008/01.</w:t>
      </w:r>
    </w:p>
    <w:p w:rsidR="00EB5815" w:rsidRPr="00484DAF" w:rsidRDefault="00EB5815" w:rsidP="00CC552D">
      <w:pPr>
        <w:pStyle w:val="Geenafstand"/>
        <w:numPr>
          <w:ilvl w:val="0"/>
          <w:numId w:val="3"/>
        </w:numPr>
        <w:spacing w:line="360" w:lineRule="auto"/>
        <w:rPr>
          <w:sz w:val="24"/>
          <w:szCs w:val="24"/>
        </w:rPr>
      </w:pPr>
      <w:r w:rsidRPr="00484DAF">
        <w:rPr>
          <w:sz w:val="24"/>
          <w:szCs w:val="24"/>
        </w:rPr>
        <w:t xml:space="preserve">D.B. Bijl, </w:t>
      </w:r>
      <w:r w:rsidRPr="00484DAF">
        <w:rPr>
          <w:i/>
          <w:sz w:val="24"/>
          <w:szCs w:val="24"/>
        </w:rPr>
        <w:t>Het verbouwen van onroerende goederen: vervaardiging?</w:t>
      </w:r>
      <w:r w:rsidRPr="00484DAF">
        <w:rPr>
          <w:sz w:val="24"/>
          <w:szCs w:val="24"/>
        </w:rPr>
        <w:t>, WFR 1976/332.</w:t>
      </w:r>
    </w:p>
    <w:p w:rsidR="001A6698" w:rsidRPr="00484DAF" w:rsidRDefault="00A40AF7" w:rsidP="00CC552D">
      <w:pPr>
        <w:pStyle w:val="Geenafstand"/>
        <w:numPr>
          <w:ilvl w:val="0"/>
          <w:numId w:val="3"/>
        </w:numPr>
        <w:spacing w:line="360" w:lineRule="auto"/>
        <w:rPr>
          <w:sz w:val="24"/>
          <w:szCs w:val="24"/>
        </w:rPr>
      </w:pPr>
      <w:r w:rsidRPr="00484DAF">
        <w:rPr>
          <w:sz w:val="24"/>
          <w:szCs w:val="24"/>
        </w:rPr>
        <w:t xml:space="preserve">D.B. Bijl, </w:t>
      </w:r>
      <w:r w:rsidRPr="00484DAF">
        <w:rPr>
          <w:i/>
          <w:sz w:val="24"/>
          <w:szCs w:val="24"/>
        </w:rPr>
        <w:t>Eerste ingebruikneming van onroerend goed</w:t>
      </w:r>
      <w:r w:rsidRPr="00484DAF">
        <w:rPr>
          <w:sz w:val="24"/>
          <w:szCs w:val="24"/>
        </w:rPr>
        <w:t>, WFR 1990/483.</w:t>
      </w:r>
    </w:p>
    <w:p w:rsidR="00256A97" w:rsidRPr="00484DAF" w:rsidRDefault="00256A97" w:rsidP="00CC552D">
      <w:pPr>
        <w:pStyle w:val="Geenafstand"/>
        <w:numPr>
          <w:ilvl w:val="0"/>
          <w:numId w:val="3"/>
        </w:numPr>
        <w:spacing w:line="360" w:lineRule="auto"/>
        <w:rPr>
          <w:sz w:val="24"/>
          <w:szCs w:val="24"/>
        </w:rPr>
      </w:pPr>
      <w:r w:rsidRPr="00484DAF">
        <w:rPr>
          <w:sz w:val="24"/>
          <w:szCs w:val="24"/>
        </w:rPr>
        <w:t xml:space="preserve">H.M.I.Th. Breedveld en T. Braakman., </w:t>
      </w:r>
      <w:r w:rsidRPr="00484DAF">
        <w:rPr>
          <w:i/>
          <w:sz w:val="24"/>
          <w:szCs w:val="24"/>
        </w:rPr>
        <w:t>Een omzet- en overdrachtsbelastingvraagstuk bij meervoudig grondgebruik</w:t>
      </w:r>
      <w:r w:rsidRPr="00484DAF">
        <w:rPr>
          <w:sz w:val="24"/>
          <w:szCs w:val="24"/>
        </w:rPr>
        <w:t>, WPNR 2002/6496.</w:t>
      </w:r>
    </w:p>
    <w:p w:rsidR="00BB262C" w:rsidRPr="00484DAF" w:rsidRDefault="00BB262C" w:rsidP="00CC552D">
      <w:pPr>
        <w:pStyle w:val="Geenafstand"/>
        <w:numPr>
          <w:ilvl w:val="0"/>
          <w:numId w:val="3"/>
        </w:numPr>
        <w:spacing w:line="360" w:lineRule="auto"/>
        <w:rPr>
          <w:sz w:val="24"/>
          <w:szCs w:val="24"/>
        </w:rPr>
      </w:pPr>
      <w:r w:rsidRPr="00484DAF">
        <w:rPr>
          <w:sz w:val="24"/>
          <w:szCs w:val="24"/>
        </w:rPr>
        <w:lastRenderedPageBreak/>
        <w:t xml:space="preserve">H.M.I.Th. Breedveld en R.N.G. van der Paardt, </w:t>
      </w:r>
      <w:r w:rsidRPr="00484DAF">
        <w:rPr>
          <w:i/>
          <w:sz w:val="24"/>
          <w:szCs w:val="24"/>
        </w:rPr>
        <w:t>Overdracht van kabels en leidingen; civiele en fiscale aspecten</w:t>
      </w:r>
      <w:r w:rsidRPr="00484DAF">
        <w:rPr>
          <w:sz w:val="24"/>
          <w:szCs w:val="24"/>
        </w:rPr>
        <w:t>, Vastgoed Fiscaal &amp; Civiel 2003/5.</w:t>
      </w:r>
    </w:p>
    <w:p w:rsidR="00E33242" w:rsidRPr="00484DAF" w:rsidRDefault="00E33242" w:rsidP="00CC552D">
      <w:pPr>
        <w:pStyle w:val="Geenafstand"/>
        <w:numPr>
          <w:ilvl w:val="0"/>
          <w:numId w:val="3"/>
        </w:numPr>
        <w:spacing w:line="360" w:lineRule="auto"/>
        <w:rPr>
          <w:sz w:val="24"/>
          <w:szCs w:val="24"/>
        </w:rPr>
      </w:pPr>
      <w:r w:rsidRPr="00484DAF">
        <w:rPr>
          <w:sz w:val="24"/>
          <w:szCs w:val="24"/>
        </w:rPr>
        <w:t xml:space="preserve">T.J.C. Charon, </w:t>
      </w:r>
      <w:r w:rsidRPr="00484DAF">
        <w:rPr>
          <w:i/>
          <w:sz w:val="24"/>
          <w:szCs w:val="24"/>
        </w:rPr>
        <w:t>Vastgoedontwikkelingen in België</w:t>
      </w:r>
      <w:r w:rsidRPr="00484DAF">
        <w:rPr>
          <w:sz w:val="24"/>
          <w:szCs w:val="24"/>
        </w:rPr>
        <w:t>, Vastgoed Fiscaal &amp; Civiel 2004/4.</w:t>
      </w:r>
    </w:p>
    <w:p w:rsidR="00E33242" w:rsidRPr="00484DAF" w:rsidRDefault="00E33242" w:rsidP="00CC552D">
      <w:pPr>
        <w:pStyle w:val="Geenafstand"/>
        <w:numPr>
          <w:ilvl w:val="0"/>
          <w:numId w:val="3"/>
        </w:numPr>
        <w:spacing w:line="360" w:lineRule="auto"/>
        <w:rPr>
          <w:sz w:val="24"/>
          <w:szCs w:val="24"/>
        </w:rPr>
      </w:pPr>
      <w:r w:rsidRPr="00484DAF">
        <w:rPr>
          <w:sz w:val="24"/>
          <w:szCs w:val="24"/>
        </w:rPr>
        <w:t xml:space="preserve">T.J.C. Charon, </w:t>
      </w:r>
      <w:r w:rsidRPr="00484DAF">
        <w:rPr>
          <w:i/>
          <w:sz w:val="24"/>
          <w:szCs w:val="24"/>
        </w:rPr>
        <w:t>Vastgoedontwikkelingen in Luxemburg</w:t>
      </w:r>
      <w:r w:rsidRPr="00484DAF">
        <w:rPr>
          <w:sz w:val="24"/>
          <w:szCs w:val="24"/>
        </w:rPr>
        <w:t>, Vastgoed Fiscaal &amp; Civiel 2004/4.</w:t>
      </w:r>
    </w:p>
    <w:p w:rsidR="00BB262C" w:rsidRPr="00484DAF" w:rsidRDefault="00BB262C" w:rsidP="00CC552D">
      <w:pPr>
        <w:pStyle w:val="Geenafstand"/>
        <w:numPr>
          <w:ilvl w:val="0"/>
          <w:numId w:val="3"/>
        </w:numPr>
        <w:spacing w:line="360" w:lineRule="auto"/>
        <w:rPr>
          <w:sz w:val="24"/>
          <w:szCs w:val="24"/>
          <w:lang w:val="en-US"/>
        </w:rPr>
      </w:pPr>
      <w:r w:rsidRPr="00484DAF">
        <w:rPr>
          <w:sz w:val="24"/>
          <w:szCs w:val="24"/>
          <w:lang w:val="en-US"/>
        </w:rPr>
        <w:t xml:space="preserve">I. Crawford, M. Keen en S. Smith, </w:t>
      </w:r>
      <w:r w:rsidRPr="00484DAF">
        <w:rPr>
          <w:i/>
          <w:sz w:val="24"/>
          <w:szCs w:val="24"/>
          <w:lang w:val="en-US"/>
        </w:rPr>
        <w:t xml:space="preserve">Value-Added Tax and Excises, </w:t>
      </w:r>
      <w:r w:rsidRPr="00484DAF">
        <w:rPr>
          <w:sz w:val="24"/>
          <w:szCs w:val="24"/>
          <w:lang w:val="en-US"/>
        </w:rPr>
        <w:t>Background paper for the Mirrlees Review, Reforming the Tax System for the 21st Century, 2008.</w:t>
      </w:r>
    </w:p>
    <w:p w:rsidR="00BB262C" w:rsidRPr="00484DAF" w:rsidRDefault="00BB262C" w:rsidP="00CC552D">
      <w:pPr>
        <w:pStyle w:val="Geenafstand"/>
        <w:numPr>
          <w:ilvl w:val="0"/>
          <w:numId w:val="3"/>
        </w:numPr>
        <w:spacing w:line="360" w:lineRule="auto"/>
        <w:rPr>
          <w:sz w:val="24"/>
          <w:szCs w:val="24"/>
        </w:rPr>
      </w:pPr>
      <w:r w:rsidRPr="00484DAF">
        <w:rPr>
          <w:sz w:val="24"/>
          <w:szCs w:val="24"/>
        </w:rPr>
        <w:t xml:space="preserve">A. van Dongen, </w:t>
      </w:r>
      <w:r w:rsidRPr="00484DAF">
        <w:rPr>
          <w:i/>
          <w:sz w:val="24"/>
          <w:szCs w:val="24"/>
        </w:rPr>
        <w:t>Nieuwe ronde, nieuwe kansen – Verhuur van machines en bedrijfsinstallaties</w:t>
      </w:r>
      <w:r w:rsidRPr="00484DAF">
        <w:rPr>
          <w:sz w:val="24"/>
          <w:szCs w:val="24"/>
        </w:rPr>
        <w:t>, BtwBrief 2001/5.</w:t>
      </w:r>
    </w:p>
    <w:p w:rsidR="00BB262C" w:rsidRPr="00484DAF" w:rsidRDefault="00BB262C" w:rsidP="00CC552D">
      <w:pPr>
        <w:pStyle w:val="Geenafstand"/>
        <w:numPr>
          <w:ilvl w:val="0"/>
          <w:numId w:val="3"/>
        </w:numPr>
        <w:spacing w:line="360" w:lineRule="auto"/>
        <w:rPr>
          <w:sz w:val="24"/>
          <w:szCs w:val="24"/>
        </w:rPr>
      </w:pPr>
      <w:r w:rsidRPr="00484DAF">
        <w:rPr>
          <w:sz w:val="24"/>
          <w:szCs w:val="24"/>
        </w:rPr>
        <w:t xml:space="preserve">A. van Dongen, </w:t>
      </w:r>
      <w:r w:rsidRPr="00484DAF">
        <w:rPr>
          <w:i/>
          <w:sz w:val="24"/>
          <w:szCs w:val="24"/>
        </w:rPr>
        <w:t>Maierhofer: vast en zeker of twee keer mis?</w:t>
      </w:r>
      <w:r w:rsidRPr="00484DAF">
        <w:rPr>
          <w:sz w:val="24"/>
          <w:szCs w:val="24"/>
        </w:rPr>
        <w:t>, BtwBrief 2003/4</w:t>
      </w:r>
    </w:p>
    <w:p w:rsidR="001A6698" w:rsidRPr="00484DAF" w:rsidRDefault="001A6698" w:rsidP="00CC552D">
      <w:pPr>
        <w:pStyle w:val="Geenafstand"/>
        <w:numPr>
          <w:ilvl w:val="0"/>
          <w:numId w:val="3"/>
        </w:numPr>
        <w:spacing w:line="360" w:lineRule="auto"/>
        <w:rPr>
          <w:sz w:val="24"/>
          <w:szCs w:val="24"/>
        </w:rPr>
      </w:pPr>
      <w:r w:rsidRPr="00484DAF">
        <w:rPr>
          <w:sz w:val="24"/>
          <w:szCs w:val="24"/>
        </w:rPr>
        <w:t xml:space="preserve">A. van Dongen, </w:t>
      </w:r>
      <w:r w:rsidRPr="00484DAF">
        <w:rPr>
          <w:i/>
          <w:sz w:val="24"/>
          <w:szCs w:val="24"/>
        </w:rPr>
        <w:t>De plaats van bemiddelingsdiensten voor de BTW na 1 januari 2007</w:t>
      </w:r>
      <w:r w:rsidRPr="00484DAF">
        <w:rPr>
          <w:sz w:val="24"/>
          <w:szCs w:val="24"/>
        </w:rPr>
        <w:t>, Forfaitair, juni 2007.</w:t>
      </w:r>
    </w:p>
    <w:p w:rsidR="00EB5815" w:rsidRPr="00484DAF" w:rsidRDefault="00EB5815" w:rsidP="00CC552D">
      <w:pPr>
        <w:pStyle w:val="Geenafstand"/>
        <w:numPr>
          <w:ilvl w:val="0"/>
          <w:numId w:val="3"/>
        </w:numPr>
        <w:spacing w:line="360" w:lineRule="auto"/>
        <w:rPr>
          <w:sz w:val="24"/>
          <w:szCs w:val="24"/>
        </w:rPr>
      </w:pPr>
      <w:r w:rsidRPr="00484DAF">
        <w:rPr>
          <w:sz w:val="24"/>
          <w:szCs w:val="24"/>
        </w:rPr>
        <w:t xml:space="preserve">J.J.I. van Driel, </w:t>
      </w:r>
      <w:r w:rsidRPr="00484DAF">
        <w:rPr>
          <w:i/>
          <w:sz w:val="24"/>
          <w:szCs w:val="24"/>
        </w:rPr>
        <w:t>Golfen in de BTW</w:t>
      </w:r>
      <w:r w:rsidRPr="00484DAF">
        <w:rPr>
          <w:sz w:val="24"/>
          <w:szCs w:val="24"/>
        </w:rPr>
        <w:t>, BTW-bulletin 2001/7-8.</w:t>
      </w:r>
    </w:p>
    <w:p w:rsidR="000E5D3C" w:rsidRPr="00484DAF" w:rsidRDefault="000E5D3C" w:rsidP="00CC552D">
      <w:pPr>
        <w:pStyle w:val="Geenafstand"/>
        <w:numPr>
          <w:ilvl w:val="0"/>
          <w:numId w:val="3"/>
        </w:numPr>
        <w:spacing w:line="360" w:lineRule="auto"/>
        <w:rPr>
          <w:sz w:val="24"/>
          <w:szCs w:val="24"/>
        </w:rPr>
      </w:pPr>
      <w:r w:rsidRPr="00484DAF">
        <w:rPr>
          <w:sz w:val="24"/>
          <w:szCs w:val="24"/>
        </w:rPr>
        <w:t xml:space="preserve">J.J.I. van Driel, </w:t>
      </w:r>
      <w:r w:rsidRPr="00484DAF">
        <w:rPr>
          <w:i/>
          <w:sz w:val="24"/>
          <w:szCs w:val="24"/>
        </w:rPr>
        <w:t>Bouwterreinen</w:t>
      </w:r>
      <w:r w:rsidRPr="00484DAF">
        <w:rPr>
          <w:sz w:val="24"/>
          <w:szCs w:val="24"/>
        </w:rPr>
        <w:t>, BTW-bulletin 1998/10.</w:t>
      </w:r>
    </w:p>
    <w:p w:rsidR="00BB262C" w:rsidRPr="00484DAF" w:rsidRDefault="00BB262C" w:rsidP="00CC552D">
      <w:pPr>
        <w:pStyle w:val="Geenafstand"/>
        <w:numPr>
          <w:ilvl w:val="0"/>
          <w:numId w:val="3"/>
        </w:numPr>
        <w:spacing w:line="360" w:lineRule="auto"/>
        <w:rPr>
          <w:sz w:val="24"/>
          <w:szCs w:val="24"/>
        </w:rPr>
      </w:pPr>
      <w:r w:rsidRPr="00484DAF">
        <w:rPr>
          <w:sz w:val="24"/>
          <w:szCs w:val="24"/>
        </w:rPr>
        <w:t xml:space="preserve">M.H.J. van Driel, </w:t>
      </w:r>
      <w:r w:rsidRPr="00484DAF">
        <w:rPr>
          <w:i/>
          <w:sz w:val="24"/>
          <w:szCs w:val="24"/>
        </w:rPr>
        <w:t>De gefaseerde bouwvergunning</w:t>
      </w:r>
      <w:r w:rsidRPr="00484DAF">
        <w:rPr>
          <w:sz w:val="24"/>
          <w:szCs w:val="24"/>
        </w:rPr>
        <w:t>, Vastgoed Fiscaal &amp; Civiel 2005/04.</w:t>
      </w:r>
    </w:p>
    <w:p w:rsidR="00256A97" w:rsidRPr="00484DAF" w:rsidRDefault="00256A97" w:rsidP="00CC552D">
      <w:pPr>
        <w:pStyle w:val="Geenafstand"/>
        <w:numPr>
          <w:ilvl w:val="0"/>
          <w:numId w:val="3"/>
        </w:numPr>
        <w:spacing w:line="360" w:lineRule="auto"/>
        <w:rPr>
          <w:sz w:val="24"/>
          <w:szCs w:val="24"/>
        </w:rPr>
      </w:pPr>
      <w:r w:rsidRPr="00484DAF">
        <w:rPr>
          <w:sz w:val="24"/>
          <w:szCs w:val="24"/>
        </w:rPr>
        <w:t xml:space="preserve">E.H. van den Elsen, </w:t>
      </w:r>
      <w:r w:rsidRPr="00484DAF">
        <w:rPr>
          <w:i/>
          <w:sz w:val="24"/>
          <w:szCs w:val="24"/>
        </w:rPr>
        <w:t>BTW-bouwkavels</w:t>
      </w:r>
      <w:r w:rsidRPr="00484DAF">
        <w:rPr>
          <w:sz w:val="24"/>
          <w:szCs w:val="24"/>
        </w:rPr>
        <w:t>, BTW-bulletin 1996/6.</w:t>
      </w:r>
    </w:p>
    <w:p w:rsidR="00C47D1E" w:rsidRPr="00484DAF" w:rsidRDefault="00C47D1E" w:rsidP="00CC552D">
      <w:pPr>
        <w:pStyle w:val="Geenafstand"/>
        <w:numPr>
          <w:ilvl w:val="0"/>
          <w:numId w:val="3"/>
        </w:numPr>
        <w:spacing w:line="360" w:lineRule="auto"/>
        <w:rPr>
          <w:sz w:val="24"/>
          <w:szCs w:val="24"/>
        </w:rPr>
      </w:pPr>
      <w:r w:rsidRPr="00484DAF">
        <w:rPr>
          <w:sz w:val="24"/>
          <w:szCs w:val="24"/>
        </w:rPr>
        <w:t xml:space="preserve">E.H. van den Elsen en </w:t>
      </w:r>
      <w:r w:rsidR="00E33242" w:rsidRPr="00484DAF">
        <w:rPr>
          <w:sz w:val="24"/>
          <w:szCs w:val="24"/>
        </w:rPr>
        <w:t>K.Hessing-Sinnige</w:t>
      </w:r>
      <w:r w:rsidRPr="00484DAF">
        <w:rPr>
          <w:sz w:val="24"/>
          <w:szCs w:val="24"/>
        </w:rPr>
        <w:t xml:space="preserve">, </w:t>
      </w:r>
      <w:r w:rsidRPr="00484DAF">
        <w:rPr>
          <w:i/>
          <w:sz w:val="24"/>
          <w:szCs w:val="24"/>
        </w:rPr>
        <w:t>Ik sloop dus ik creëer:’ will history rebuild itself?’</w:t>
      </w:r>
      <w:r w:rsidRPr="00484DAF">
        <w:rPr>
          <w:sz w:val="24"/>
          <w:szCs w:val="24"/>
        </w:rPr>
        <w:t>, Vastgoed Fiscaal &amp; Civiel 2008/6.</w:t>
      </w:r>
    </w:p>
    <w:p w:rsidR="00EB5815" w:rsidRPr="00484DAF" w:rsidRDefault="00EB5815" w:rsidP="00CC552D">
      <w:pPr>
        <w:pStyle w:val="Geenafstand"/>
        <w:numPr>
          <w:ilvl w:val="0"/>
          <w:numId w:val="3"/>
        </w:numPr>
        <w:spacing w:line="360" w:lineRule="auto"/>
        <w:rPr>
          <w:sz w:val="24"/>
          <w:szCs w:val="24"/>
        </w:rPr>
      </w:pPr>
      <w:r w:rsidRPr="00484DAF">
        <w:rPr>
          <w:sz w:val="24"/>
          <w:szCs w:val="24"/>
        </w:rPr>
        <w:t xml:space="preserve">E. van den Elsen, </w:t>
      </w:r>
      <w:r w:rsidRPr="00484DAF">
        <w:rPr>
          <w:i/>
          <w:sz w:val="24"/>
          <w:szCs w:val="24"/>
        </w:rPr>
        <w:t>Vastgoed, btw en overdrachtsbelasting</w:t>
      </w:r>
      <w:r w:rsidRPr="00484DAF">
        <w:rPr>
          <w:sz w:val="24"/>
          <w:szCs w:val="24"/>
        </w:rPr>
        <w:t>, BTW-bulletin 2009/7-8.</w:t>
      </w:r>
    </w:p>
    <w:p w:rsidR="00BB262C" w:rsidRPr="00484DAF" w:rsidRDefault="00BB262C" w:rsidP="00CC552D">
      <w:pPr>
        <w:pStyle w:val="Geenafstand"/>
        <w:numPr>
          <w:ilvl w:val="0"/>
          <w:numId w:val="3"/>
        </w:numPr>
        <w:spacing w:line="360" w:lineRule="auto"/>
        <w:rPr>
          <w:sz w:val="24"/>
          <w:szCs w:val="24"/>
        </w:rPr>
      </w:pPr>
      <w:r w:rsidRPr="00484DAF">
        <w:rPr>
          <w:sz w:val="24"/>
          <w:szCs w:val="24"/>
        </w:rPr>
        <w:t xml:space="preserve">M. Eryilmaz, </w:t>
      </w:r>
      <w:r w:rsidRPr="00484DAF">
        <w:rPr>
          <w:i/>
          <w:sz w:val="24"/>
          <w:szCs w:val="24"/>
        </w:rPr>
        <w:t>De btw onder de slopershamer</w:t>
      </w:r>
      <w:r w:rsidRPr="00484DAF">
        <w:rPr>
          <w:sz w:val="24"/>
          <w:szCs w:val="24"/>
        </w:rPr>
        <w:t>, BTW-bulletin 2009/1.</w:t>
      </w:r>
    </w:p>
    <w:p w:rsidR="00B9043E" w:rsidRPr="00484DAF" w:rsidRDefault="00C53024" w:rsidP="00CC552D">
      <w:pPr>
        <w:pStyle w:val="Geenafstand"/>
        <w:numPr>
          <w:ilvl w:val="0"/>
          <w:numId w:val="3"/>
        </w:numPr>
        <w:spacing w:line="360" w:lineRule="auto"/>
        <w:rPr>
          <w:sz w:val="24"/>
          <w:szCs w:val="24"/>
        </w:rPr>
      </w:pPr>
      <w:r w:rsidRPr="00484DAF">
        <w:rPr>
          <w:sz w:val="24"/>
          <w:szCs w:val="24"/>
        </w:rPr>
        <w:t xml:space="preserve">P.H.J. </w:t>
      </w:r>
      <w:r w:rsidR="00B9043E" w:rsidRPr="00484DAF">
        <w:rPr>
          <w:sz w:val="24"/>
          <w:szCs w:val="24"/>
        </w:rPr>
        <w:t xml:space="preserve">Geurten, </w:t>
      </w:r>
      <w:r w:rsidR="00B9043E" w:rsidRPr="00484DAF">
        <w:rPr>
          <w:i/>
          <w:sz w:val="24"/>
          <w:szCs w:val="24"/>
        </w:rPr>
        <w:t>Heffing van BTW en overdrachtsbelasting ten aanzien van bouwterreinen</w:t>
      </w:r>
      <w:r w:rsidR="00B9043E" w:rsidRPr="00484DAF">
        <w:rPr>
          <w:sz w:val="24"/>
          <w:szCs w:val="24"/>
        </w:rPr>
        <w:t>, BtwBrief 1998/5.</w:t>
      </w:r>
    </w:p>
    <w:p w:rsidR="00F5201B" w:rsidRPr="00484DAF" w:rsidRDefault="00F5201B" w:rsidP="00CC552D">
      <w:pPr>
        <w:pStyle w:val="Geenafstand"/>
        <w:numPr>
          <w:ilvl w:val="0"/>
          <w:numId w:val="3"/>
        </w:numPr>
        <w:spacing w:line="360" w:lineRule="auto"/>
        <w:rPr>
          <w:sz w:val="24"/>
          <w:szCs w:val="24"/>
        </w:rPr>
      </w:pPr>
      <w:r w:rsidRPr="00484DAF">
        <w:rPr>
          <w:sz w:val="24"/>
          <w:szCs w:val="24"/>
        </w:rPr>
        <w:t xml:space="preserve">R.M.C. van den Heuvel, </w:t>
      </w:r>
      <w:r w:rsidRPr="00484DAF">
        <w:rPr>
          <w:i/>
          <w:sz w:val="24"/>
          <w:szCs w:val="24"/>
        </w:rPr>
        <w:t>Verhuur van een roerende of onroerende zaak</w:t>
      </w:r>
      <w:r w:rsidRPr="00484DAF">
        <w:rPr>
          <w:sz w:val="24"/>
          <w:szCs w:val="24"/>
        </w:rPr>
        <w:t>, BTW-bulletin 2003/2.</w:t>
      </w:r>
    </w:p>
    <w:p w:rsidR="00C53024" w:rsidRPr="00484DAF" w:rsidRDefault="00C53024" w:rsidP="00CC552D">
      <w:pPr>
        <w:pStyle w:val="Geenafstand"/>
        <w:numPr>
          <w:ilvl w:val="0"/>
          <w:numId w:val="3"/>
        </w:numPr>
        <w:spacing w:line="360" w:lineRule="auto"/>
        <w:rPr>
          <w:sz w:val="24"/>
          <w:szCs w:val="24"/>
        </w:rPr>
      </w:pPr>
      <w:r w:rsidRPr="00484DAF">
        <w:rPr>
          <w:sz w:val="24"/>
          <w:szCs w:val="24"/>
        </w:rPr>
        <w:t xml:space="preserve">P.W. Hofman, </w:t>
      </w:r>
      <w:r w:rsidRPr="00484DAF">
        <w:rPr>
          <w:i/>
          <w:sz w:val="24"/>
          <w:szCs w:val="24"/>
        </w:rPr>
        <w:t>Het belang van economisch eigendom in de WBR</w:t>
      </w:r>
      <w:r w:rsidRPr="00484DAF">
        <w:rPr>
          <w:sz w:val="24"/>
          <w:szCs w:val="24"/>
        </w:rPr>
        <w:t>, WFR 2007/197.</w:t>
      </w:r>
    </w:p>
    <w:p w:rsidR="00256A97" w:rsidRPr="00484DAF" w:rsidRDefault="00256A97" w:rsidP="00CC552D">
      <w:pPr>
        <w:pStyle w:val="Geenafstand"/>
        <w:numPr>
          <w:ilvl w:val="0"/>
          <w:numId w:val="3"/>
        </w:numPr>
        <w:spacing w:line="360" w:lineRule="auto"/>
        <w:rPr>
          <w:sz w:val="24"/>
          <w:szCs w:val="24"/>
        </w:rPr>
      </w:pPr>
      <w:r w:rsidRPr="00484DAF">
        <w:rPr>
          <w:sz w:val="24"/>
          <w:szCs w:val="24"/>
        </w:rPr>
        <w:t xml:space="preserve">R.R.J.M. Keijsers en W.A. Kronjee, </w:t>
      </w:r>
      <w:r w:rsidRPr="00484DAF">
        <w:rPr>
          <w:i/>
          <w:sz w:val="24"/>
          <w:szCs w:val="24"/>
        </w:rPr>
        <w:t>Zand erover met het oog op bebouwing: oogmerk tot bebouwing van grond kan niet ongedaan worden gemaakt</w:t>
      </w:r>
      <w:r w:rsidRPr="00484DAF">
        <w:rPr>
          <w:sz w:val="24"/>
          <w:szCs w:val="24"/>
        </w:rPr>
        <w:t>, BtwBrief, 2003/4</w:t>
      </w:r>
    </w:p>
    <w:p w:rsidR="000E5D3C" w:rsidRPr="00484DAF" w:rsidRDefault="000E5D3C" w:rsidP="00CC552D">
      <w:pPr>
        <w:pStyle w:val="Geenafstand"/>
        <w:numPr>
          <w:ilvl w:val="0"/>
          <w:numId w:val="3"/>
        </w:numPr>
        <w:spacing w:line="360" w:lineRule="auto"/>
        <w:rPr>
          <w:sz w:val="24"/>
          <w:szCs w:val="24"/>
        </w:rPr>
      </w:pPr>
      <w:r w:rsidRPr="00484DAF">
        <w:rPr>
          <w:sz w:val="24"/>
          <w:szCs w:val="24"/>
        </w:rPr>
        <w:t xml:space="preserve">R.R.J.M. Keijsers </w:t>
      </w:r>
      <w:r w:rsidR="00256A97" w:rsidRPr="00484DAF">
        <w:rPr>
          <w:sz w:val="24"/>
          <w:szCs w:val="24"/>
        </w:rPr>
        <w:t>en W.A. Kronjee</w:t>
      </w:r>
      <w:r w:rsidRPr="00484DAF">
        <w:rPr>
          <w:sz w:val="24"/>
          <w:szCs w:val="24"/>
        </w:rPr>
        <w:t xml:space="preserve">, </w:t>
      </w:r>
      <w:r w:rsidRPr="00484DAF">
        <w:rPr>
          <w:i/>
          <w:sz w:val="24"/>
          <w:szCs w:val="24"/>
        </w:rPr>
        <w:t>Op een BTW-bouwterrein moet je kunnen bouwen</w:t>
      </w:r>
      <w:r w:rsidRPr="00484DAF">
        <w:rPr>
          <w:sz w:val="24"/>
          <w:szCs w:val="24"/>
        </w:rPr>
        <w:t>, BtwBrief, 2005/2.</w:t>
      </w:r>
    </w:p>
    <w:p w:rsidR="00BB262C" w:rsidRPr="00484DAF" w:rsidRDefault="00BB262C" w:rsidP="00CC552D">
      <w:pPr>
        <w:pStyle w:val="Geenafstand"/>
        <w:numPr>
          <w:ilvl w:val="0"/>
          <w:numId w:val="3"/>
        </w:numPr>
        <w:spacing w:line="360" w:lineRule="auto"/>
        <w:rPr>
          <w:sz w:val="24"/>
          <w:szCs w:val="24"/>
        </w:rPr>
      </w:pPr>
      <w:r w:rsidRPr="00484DAF">
        <w:rPr>
          <w:sz w:val="24"/>
          <w:szCs w:val="24"/>
        </w:rPr>
        <w:t xml:space="preserve">A.M.A. Koks en F.H. van den Elsen, </w:t>
      </w:r>
      <w:r w:rsidRPr="00484DAF">
        <w:rPr>
          <w:i/>
          <w:sz w:val="24"/>
          <w:szCs w:val="24"/>
        </w:rPr>
        <w:t>Ondergronds bouwen</w:t>
      </w:r>
      <w:r w:rsidRPr="00484DAF">
        <w:rPr>
          <w:sz w:val="24"/>
          <w:szCs w:val="24"/>
        </w:rPr>
        <w:t>, Vastgoed Fiscaal en Civiel 2001/2.</w:t>
      </w:r>
    </w:p>
    <w:p w:rsidR="000E5D3C" w:rsidRPr="00484DAF" w:rsidRDefault="000E5D3C" w:rsidP="00CC552D">
      <w:pPr>
        <w:pStyle w:val="Geenafstand"/>
        <w:numPr>
          <w:ilvl w:val="0"/>
          <w:numId w:val="3"/>
        </w:numPr>
        <w:spacing w:line="360" w:lineRule="auto"/>
        <w:rPr>
          <w:sz w:val="24"/>
          <w:szCs w:val="24"/>
        </w:rPr>
      </w:pPr>
      <w:r w:rsidRPr="00484DAF">
        <w:rPr>
          <w:sz w:val="24"/>
          <w:szCs w:val="24"/>
        </w:rPr>
        <w:t xml:space="preserve">A.M.A. Koks, </w:t>
      </w:r>
      <w:r w:rsidRPr="00484DAF">
        <w:rPr>
          <w:i/>
          <w:sz w:val="24"/>
          <w:szCs w:val="24"/>
        </w:rPr>
        <w:t>Ontstaat er door sloop een bouwterrein?</w:t>
      </w:r>
      <w:r w:rsidRPr="00484DAF">
        <w:rPr>
          <w:sz w:val="24"/>
          <w:szCs w:val="24"/>
        </w:rPr>
        <w:t>, Vastgoed Fiscaal &amp; Civiel 2004/05.</w:t>
      </w:r>
    </w:p>
    <w:p w:rsidR="00B9043E" w:rsidRPr="00484DAF" w:rsidRDefault="00B9043E" w:rsidP="00CC552D">
      <w:pPr>
        <w:pStyle w:val="Geenafstand"/>
        <w:numPr>
          <w:ilvl w:val="0"/>
          <w:numId w:val="3"/>
        </w:numPr>
        <w:spacing w:line="360" w:lineRule="auto"/>
        <w:rPr>
          <w:sz w:val="24"/>
          <w:szCs w:val="24"/>
        </w:rPr>
      </w:pPr>
      <w:r w:rsidRPr="00484DAF">
        <w:rPr>
          <w:sz w:val="24"/>
          <w:szCs w:val="24"/>
        </w:rPr>
        <w:lastRenderedPageBreak/>
        <w:t xml:space="preserve">G.G.M. Kortenaar, </w:t>
      </w:r>
      <w:r w:rsidRPr="00484DAF">
        <w:rPr>
          <w:i/>
          <w:sz w:val="24"/>
          <w:szCs w:val="24"/>
        </w:rPr>
        <w:t>Herontwikkeling oud vastgoed: BTW of overdrachtsbelasting?</w:t>
      </w:r>
      <w:r w:rsidRPr="00484DAF">
        <w:rPr>
          <w:sz w:val="24"/>
          <w:szCs w:val="24"/>
        </w:rPr>
        <w:t>, Vastgoed Fiscaal &amp; Civiel 2003/4</w:t>
      </w:r>
      <w:r w:rsidR="00EB5815" w:rsidRPr="00484DAF">
        <w:rPr>
          <w:sz w:val="24"/>
          <w:szCs w:val="24"/>
        </w:rPr>
        <w:t>.</w:t>
      </w:r>
    </w:p>
    <w:p w:rsidR="00EB5815" w:rsidRPr="00484DAF" w:rsidRDefault="00EB5815" w:rsidP="00CC552D">
      <w:pPr>
        <w:pStyle w:val="Geenafstand"/>
        <w:numPr>
          <w:ilvl w:val="0"/>
          <w:numId w:val="3"/>
        </w:numPr>
        <w:spacing w:line="360" w:lineRule="auto"/>
        <w:rPr>
          <w:sz w:val="24"/>
          <w:szCs w:val="24"/>
          <w:lang w:val="en-US"/>
        </w:rPr>
      </w:pPr>
      <w:r w:rsidRPr="00484DAF">
        <w:rPr>
          <w:sz w:val="24"/>
          <w:szCs w:val="24"/>
          <w:lang w:val="en-US"/>
        </w:rPr>
        <w:t xml:space="preserve">J.P.M. Linssen, </w:t>
      </w:r>
      <w:r w:rsidRPr="00484DAF">
        <w:rPr>
          <w:i/>
          <w:sz w:val="24"/>
          <w:szCs w:val="24"/>
          <w:lang w:val="en-US"/>
        </w:rPr>
        <w:t>Bouwterrein: the last episode?</w:t>
      </w:r>
      <w:r w:rsidRPr="00484DAF">
        <w:rPr>
          <w:sz w:val="24"/>
          <w:szCs w:val="24"/>
          <w:lang w:val="en-US"/>
        </w:rPr>
        <w:t>, BtwBrief 2009/1.</w:t>
      </w:r>
    </w:p>
    <w:p w:rsidR="00BB262C" w:rsidRPr="00484DAF" w:rsidRDefault="00BB262C" w:rsidP="00CC552D">
      <w:pPr>
        <w:pStyle w:val="Geenafstand"/>
        <w:numPr>
          <w:ilvl w:val="0"/>
          <w:numId w:val="3"/>
        </w:numPr>
        <w:spacing w:line="360" w:lineRule="auto"/>
        <w:rPr>
          <w:sz w:val="24"/>
          <w:szCs w:val="24"/>
        </w:rPr>
      </w:pPr>
      <w:r w:rsidRPr="00484DAF">
        <w:rPr>
          <w:sz w:val="24"/>
          <w:szCs w:val="24"/>
        </w:rPr>
        <w:t xml:space="preserve">F.J. Manzoni-Van de Kuilen, </w:t>
      </w:r>
      <w:r w:rsidRPr="00484DAF">
        <w:rPr>
          <w:i/>
          <w:sz w:val="24"/>
          <w:szCs w:val="24"/>
        </w:rPr>
        <w:t>Onroerende zaak: een communautair begrip</w:t>
      </w:r>
      <w:r w:rsidRPr="00484DAF">
        <w:rPr>
          <w:sz w:val="24"/>
          <w:szCs w:val="24"/>
        </w:rPr>
        <w:t>, Juridisch up to date, juni 2005.</w:t>
      </w:r>
    </w:p>
    <w:p w:rsidR="000E5D3C" w:rsidRPr="00484DAF" w:rsidRDefault="000E5D3C" w:rsidP="00CC552D">
      <w:pPr>
        <w:pStyle w:val="Geenafstand"/>
        <w:numPr>
          <w:ilvl w:val="0"/>
          <w:numId w:val="3"/>
        </w:numPr>
        <w:spacing w:line="360" w:lineRule="auto"/>
        <w:rPr>
          <w:sz w:val="24"/>
          <w:szCs w:val="24"/>
        </w:rPr>
      </w:pPr>
      <w:r w:rsidRPr="00484DAF">
        <w:rPr>
          <w:sz w:val="24"/>
          <w:szCs w:val="24"/>
        </w:rPr>
        <w:t xml:space="preserve">M.M.W.D. Merkx, </w:t>
      </w:r>
      <w:r w:rsidRPr="00484DAF">
        <w:rPr>
          <w:i/>
          <w:sz w:val="24"/>
          <w:szCs w:val="24"/>
        </w:rPr>
        <w:t>Bouwterreinen; ruim blikveld voor de Hoge Raad</w:t>
      </w:r>
      <w:r w:rsidRPr="00484DAF">
        <w:rPr>
          <w:sz w:val="24"/>
          <w:szCs w:val="24"/>
        </w:rPr>
        <w:t>, BTW-bulletin 2005/2.</w:t>
      </w:r>
    </w:p>
    <w:p w:rsidR="00BB262C" w:rsidRPr="00484DAF" w:rsidRDefault="00BB262C" w:rsidP="00CC552D">
      <w:pPr>
        <w:pStyle w:val="Geenafstand"/>
        <w:numPr>
          <w:ilvl w:val="0"/>
          <w:numId w:val="3"/>
        </w:numPr>
        <w:spacing w:line="360" w:lineRule="auto"/>
        <w:rPr>
          <w:sz w:val="24"/>
          <w:szCs w:val="24"/>
        </w:rPr>
      </w:pPr>
      <w:r w:rsidRPr="00484DAF">
        <w:rPr>
          <w:sz w:val="24"/>
          <w:szCs w:val="24"/>
        </w:rPr>
        <w:t xml:space="preserve">W.A.P. Nieuwenhuizen, </w:t>
      </w:r>
      <w:r w:rsidRPr="00484DAF">
        <w:rPr>
          <w:i/>
          <w:sz w:val="24"/>
          <w:szCs w:val="24"/>
        </w:rPr>
        <w:t>Containers als opslagplaats: onroerend of roerend</w:t>
      </w:r>
      <w:r w:rsidRPr="00484DAF">
        <w:rPr>
          <w:sz w:val="24"/>
          <w:szCs w:val="24"/>
        </w:rPr>
        <w:t>, BTW-bulletin 2000/5.</w:t>
      </w:r>
    </w:p>
    <w:p w:rsidR="00EB5815" w:rsidRPr="00484DAF" w:rsidRDefault="00EB5815" w:rsidP="00CC552D">
      <w:pPr>
        <w:pStyle w:val="Geenafstand"/>
        <w:numPr>
          <w:ilvl w:val="0"/>
          <w:numId w:val="3"/>
        </w:numPr>
        <w:spacing w:line="360" w:lineRule="auto"/>
        <w:rPr>
          <w:sz w:val="24"/>
          <w:szCs w:val="24"/>
        </w:rPr>
      </w:pPr>
      <w:r w:rsidRPr="00484DAF">
        <w:rPr>
          <w:sz w:val="24"/>
          <w:szCs w:val="24"/>
        </w:rPr>
        <w:t xml:space="preserve">W.A.P. Nieuwenhuizen, </w:t>
      </w:r>
      <w:r w:rsidRPr="00484DAF">
        <w:rPr>
          <w:i/>
          <w:sz w:val="24"/>
          <w:szCs w:val="24"/>
        </w:rPr>
        <w:t>Bouwterrein in beweging</w:t>
      </w:r>
      <w:r w:rsidRPr="00484DAF">
        <w:rPr>
          <w:sz w:val="24"/>
          <w:szCs w:val="24"/>
        </w:rPr>
        <w:t>, BTW-bulletin 2004/6.</w:t>
      </w:r>
    </w:p>
    <w:p w:rsidR="00B9043E" w:rsidRPr="00484DAF" w:rsidRDefault="00B9043E" w:rsidP="00CC552D">
      <w:pPr>
        <w:pStyle w:val="Geenafstand"/>
        <w:numPr>
          <w:ilvl w:val="0"/>
          <w:numId w:val="3"/>
        </w:numPr>
        <w:spacing w:line="360" w:lineRule="auto"/>
        <w:rPr>
          <w:sz w:val="24"/>
          <w:szCs w:val="24"/>
        </w:rPr>
      </w:pPr>
      <w:r w:rsidRPr="00484DAF">
        <w:rPr>
          <w:sz w:val="24"/>
          <w:szCs w:val="24"/>
        </w:rPr>
        <w:t xml:space="preserve">W.A.P. Nieuwenhuizen, </w:t>
      </w:r>
      <w:r w:rsidRPr="00484DAF">
        <w:rPr>
          <w:i/>
          <w:sz w:val="24"/>
          <w:szCs w:val="24"/>
        </w:rPr>
        <w:t>Van Dijk’s Boekhuis – een achterhaalde of vergeten klassieker?</w:t>
      </w:r>
      <w:r w:rsidRPr="00484DAF">
        <w:rPr>
          <w:sz w:val="24"/>
          <w:szCs w:val="24"/>
        </w:rPr>
        <w:t>, NTFR 2008/647.</w:t>
      </w:r>
    </w:p>
    <w:p w:rsidR="00E33242" w:rsidRPr="00484DAF" w:rsidRDefault="00E33242" w:rsidP="00CC552D">
      <w:pPr>
        <w:pStyle w:val="Geenafstand"/>
        <w:numPr>
          <w:ilvl w:val="0"/>
          <w:numId w:val="3"/>
        </w:numPr>
        <w:spacing w:line="360" w:lineRule="auto"/>
        <w:rPr>
          <w:sz w:val="24"/>
          <w:szCs w:val="24"/>
        </w:rPr>
      </w:pPr>
      <w:r w:rsidRPr="00484DAF">
        <w:rPr>
          <w:i/>
          <w:sz w:val="24"/>
          <w:szCs w:val="24"/>
        </w:rPr>
        <w:t>“Nieuw gebouw” – twee woorden die een nieuwe betekenis kregen en aanleiding geven tot nieuwe opportuniteiten</w:t>
      </w:r>
      <w:r w:rsidRPr="00484DAF">
        <w:rPr>
          <w:sz w:val="24"/>
          <w:szCs w:val="24"/>
        </w:rPr>
        <w:t>, Quarterly Tax &amp; Legal, januari 2003, nummer 14, Deloitte &amp; Touche België.</w:t>
      </w:r>
    </w:p>
    <w:p w:rsidR="00C47D1E" w:rsidRPr="00484DAF" w:rsidRDefault="00C47D1E" w:rsidP="00CC552D">
      <w:pPr>
        <w:pStyle w:val="Geenafstand"/>
        <w:numPr>
          <w:ilvl w:val="0"/>
          <w:numId w:val="3"/>
        </w:numPr>
        <w:spacing w:line="360" w:lineRule="auto"/>
        <w:rPr>
          <w:sz w:val="24"/>
          <w:szCs w:val="24"/>
        </w:rPr>
      </w:pPr>
      <w:r w:rsidRPr="00484DAF">
        <w:rPr>
          <w:sz w:val="24"/>
          <w:szCs w:val="24"/>
        </w:rPr>
        <w:t xml:space="preserve">W.P. Otto, </w:t>
      </w:r>
      <w:r w:rsidRPr="00484DAF">
        <w:rPr>
          <w:i/>
          <w:sz w:val="24"/>
          <w:szCs w:val="24"/>
        </w:rPr>
        <w:t>Slopen of vervaardigen</w:t>
      </w:r>
      <w:r w:rsidRPr="00484DAF">
        <w:rPr>
          <w:sz w:val="24"/>
          <w:szCs w:val="24"/>
        </w:rPr>
        <w:t>, BtwBrief 2008/4.</w:t>
      </w:r>
    </w:p>
    <w:p w:rsidR="00B9043E" w:rsidRPr="00484DAF" w:rsidRDefault="00B9043E" w:rsidP="00CC552D">
      <w:pPr>
        <w:pStyle w:val="Geenafstand"/>
        <w:numPr>
          <w:ilvl w:val="0"/>
          <w:numId w:val="3"/>
        </w:numPr>
        <w:spacing w:line="360" w:lineRule="auto"/>
        <w:rPr>
          <w:sz w:val="24"/>
          <w:szCs w:val="24"/>
        </w:rPr>
      </w:pPr>
      <w:r w:rsidRPr="00484DAF">
        <w:rPr>
          <w:sz w:val="24"/>
          <w:szCs w:val="24"/>
        </w:rPr>
        <w:t xml:space="preserve">G.H. Rademaker, </w:t>
      </w:r>
      <w:r w:rsidRPr="00484DAF">
        <w:rPr>
          <w:i/>
          <w:sz w:val="24"/>
          <w:szCs w:val="24"/>
        </w:rPr>
        <w:t>Fiscaal (on)vriendelijk slopen (het begrip ‘bouwterrein’ in de BTW)</w:t>
      </w:r>
      <w:r w:rsidR="00EB5815" w:rsidRPr="00484DAF">
        <w:rPr>
          <w:sz w:val="24"/>
          <w:szCs w:val="24"/>
        </w:rPr>
        <w:t>, MBB 2003/54.</w:t>
      </w:r>
    </w:p>
    <w:p w:rsidR="000E5D3C" w:rsidRPr="00484DAF" w:rsidRDefault="000E5D3C" w:rsidP="00CC552D">
      <w:pPr>
        <w:pStyle w:val="Geenafstand"/>
        <w:numPr>
          <w:ilvl w:val="0"/>
          <w:numId w:val="3"/>
        </w:numPr>
        <w:spacing w:line="360" w:lineRule="auto"/>
        <w:rPr>
          <w:sz w:val="24"/>
          <w:szCs w:val="24"/>
        </w:rPr>
      </w:pPr>
      <w:r w:rsidRPr="00484DAF">
        <w:rPr>
          <w:sz w:val="24"/>
          <w:szCs w:val="24"/>
        </w:rPr>
        <w:t xml:space="preserve">J. Rakhan en G.H. van Doorn, </w:t>
      </w:r>
      <w:r w:rsidRPr="00484DAF">
        <w:rPr>
          <w:i/>
          <w:sz w:val="24"/>
          <w:szCs w:val="24"/>
        </w:rPr>
        <w:t>Het begrip ‘bouwterrein’ in de steigers?</w:t>
      </w:r>
      <w:r w:rsidRPr="00484DAF">
        <w:rPr>
          <w:sz w:val="24"/>
          <w:szCs w:val="24"/>
        </w:rPr>
        <w:t>, Vastgoed Fiscaal &amp; Civiel 2007/3.</w:t>
      </w:r>
    </w:p>
    <w:p w:rsidR="00EB5815" w:rsidRPr="00484DAF" w:rsidRDefault="00EB5815" w:rsidP="00CC552D">
      <w:pPr>
        <w:pStyle w:val="Geenafstand"/>
        <w:numPr>
          <w:ilvl w:val="0"/>
          <w:numId w:val="3"/>
        </w:numPr>
        <w:spacing w:line="360" w:lineRule="auto"/>
        <w:rPr>
          <w:sz w:val="24"/>
          <w:szCs w:val="24"/>
        </w:rPr>
      </w:pPr>
      <w:r w:rsidRPr="00484DAF">
        <w:rPr>
          <w:sz w:val="24"/>
          <w:szCs w:val="24"/>
        </w:rPr>
        <w:t xml:space="preserve">A.J. de Ruiter, </w:t>
      </w:r>
      <w:r w:rsidRPr="00484DAF">
        <w:rPr>
          <w:i/>
          <w:sz w:val="24"/>
          <w:szCs w:val="24"/>
        </w:rPr>
        <w:t>Vervaardigen, slechts een deel van het probleem</w:t>
      </w:r>
      <w:r w:rsidRPr="00484DAF">
        <w:rPr>
          <w:sz w:val="24"/>
          <w:szCs w:val="24"/>
        </w:rPr>
        <w:t>, BTW-bulletin 2006/2.</w:t>
      </w:r>
    </w:p>
    <w:p w:rsidR="00B9043E" w:rsidRPr="00484DAF" w:rsidRDefault="00B9043E" w:rsidP="00CC552D">
      <w:pPr>
        <w:pStyle w:val="Geenafstand"/>
        <w:numPr>
          <w:ilvl w:val="0"/>
          <w:numId w:val="3"/>
        </w:numPr>
        <w:spacing w:line="360" w:lineRule="auto"/>
        <w:rPr>
          <w:sz w:val="24"/>
          <w:szCs w:val="24"/>
        </w:rPr>
      </w:pPr>
      <w:r w:rsidRPr="00484DAF">
        <w:rPr>
          <w:sz w:val="24"/>
          <w:szCs w:val="24"/>
        </w:rPr>
        <w:t xml:space="preserve">J.T. Sanders, </w:t>
      </w:r>
      <w:r w:rsidRPr="00484DAF">
        <w:rPr>
          <w:i/>
          <w:sz w:val="24"/>
          <w:szCs w:val="24"/>
        </w:rPr>
        <w:t>Over vragen en overvragen</w:t>
      </w:r>
      <w:r w:rsidRPr="00484DAF">
        <w:rPr>
          <w:sz w:val="24"/>
          <w:szCs w:val="24"/>
        </w:rPr>
        <w:t>, NTFR Beschouwingen, februari 2009/10.</w:t>
      </w:r>
    </w:p>
    <w:p w:rsidR="000E5D3C" w:rsidRPr="00484DAF" w:rsidRDefault="000E5D3C" w:rsidP="00CC552D">
      <w:pPr>
        <w:pStyle w:val="Geenafstand"/>
        <w:numPr>
          <w:ilvl w:val="0"/>
          <w:numId w:val="3"/>
        </w:numPr>
        <w:spacing w:line="360" w:lineRule="auto"/>
        <w:rPr>
          <w:sz w:val="24"/>
          <w:szCs w:val="24"/>
        </w:rPr>
      </w:pPr>
      <w:r w:rsidRPr="00484DAF">
        <w:rPr>
          <w:sz w:val="24"/>
          <w:szCs w:val="24"/>
        </w:rPr>
        <w:t xml:space="preserve">E. Schregardus, </w:t>
      </w:r>
      <w:r w:rsidRPr="00484DAF">
        <w:rPr>
          <w:i/>
          <w:sz w:val="24"/>
          <w:szCs w:val="24"/>
        </w:rPr>
        <w:t>De zaak Maierhofer “Een gebouw is geen gebouw” – De gevolgen voor artikel 15, lid 1, letter a Wet BRV in de recreatiesector</w:t>
      </w:r>
      <w:r w:rsidRPr="00484DAF">
        <w:rPr>
          <w:sz w:val="24"/>
          <w:szCs w:val="24"/>
        </w:rPr>
        <w:t>, Europese Fiscale Studies, 2007/2008.</w:t>
      </w:r>
    </w:p>
    <w:p w:rsidR="00F5201B" w:rsidRPr="00484DAF" w:rsidRDefault="001A6698" w:rsidP="00CC552D">
      <w:pPr>
        <w:pStyle w:val="Geenafstand"/>
        <w:numPr>
          <w:ilvl w:val="0"/>
          <w:numId w:val="3"/>
        </w:numPr>
        <w:spacing w:line="360" w:lineRule="auto"/>
        <w:rPr>
          <w:sz w:val="24"/>
          <w:szCs w:val="24"/>
        </w:rPr>
      </w:pPr>
      <w:r w:rsidRPr="00484DAF">
        <w:rPr>
          <w:sz w:val="24"/>
          <w:szCs w:val="24"/>
        </w:rPr>
        <w:t xml:space="preserve">A.L.C. Simons, </w:t>
      </w:r>
      <w:r w:rsidRPr="00484DAF">
        <w:rPr>
          <w:i/>
          <w:sz w:val="24"/>
          <w:szCs w:val="24"/>
        </w:rPr>
        <w:t>Open brief aan prof.mr. J. Reugebrink</w:t>
      </w:r>
      <w:r w:rsidRPr="00484DAF">
        <w:rPr>
          <w:sz w:val="24"/>
          <w:szCs w:val="24"/>
        </w:rPr>
        <w:t>, WFR 1995/1587.</w:t>
      </w:r>
    </w:p>
    <w:p w:rsidR="00B9043E" w:rsidRPr="00484DAF" w:rsidRDefault="00B9043E" w:rsidP="00CC552D">
      <w:pPr>
        <w:pStyle w:val="Geenafstand"/>
        <w:numPr>
          <w:ilvl w:val="0"/>
          <w:numId w:val="3"/>
        </w:numPr>
        <w:spacing w:line="360" w:lineRule="auto"/>
        <w:rPr>
          <w:sz w:val="24"/>
          <w:szCs w:val="24"/>
        </w:rPr>
      </w:pPr>
      <w:r w:rsidRPr="00484DAF">
        <w:rPr>
          <w:sz w:val="24"/>
          <w:szCs w:val="24"/>
        </w:rPr>
        <w:t xml:space="preserve">J.C. van Straaten, </w:t>
      </w:r>
      <w:r w:rsidRPr="00484DAF">
        <w:rPr>
          <w:i/>
          <w:sz w:val="24"/>
          <w:szCs w:val="24"/>
        </w:rPr>
        <w:t>Bouwen en slopen: Is er iets vervaardigd en, zo ja, wat dan? (I)</w:t>
      </w:r>
      <w:r w:rsidRPr="00484DAF">
        <w:rPr>
          <w:sz w:val="24"/>
          <w:szCs w:val="24"/>
        </w:rPr>
        <w:t>, WPNR2004/6598.</w:t>
      </w:r>
    </w:p>
    <w:p w:rsidR="00B9043E" w:rsidRPr="00484DAF" w:rsidRDefault="00B9043E" w:rsidP="00CC552D">
      <w:pPr>
        <w:pStyle w:val="Geenafstand"/>
        <w:numPr>
          <w:ilvl w:val="0"/>
          <w:numId w:val="3"/>
        </w:numPr>
        <w:spacing w:line="360" w:lineRule="auto"/>
        <w:rPr>
          <w:sz w:val="24"/>
          <w:szCs w:val="24"/>
        </w:rPr>
      </w:pPr>
      <w:r w:rsidRPr="00484DAF">
        <w:rPr>
          <w:sz w:val="24"/>
          <w:szCs w:val="24"/>
        </w:rPr>
        <w:t xml:space="preserve">J.C. van Straaten, </w:t>
      </w:r>
      <w:r w:rsidRPr="00484DAF">
        <w:rPr>
          <w:i/>
          <w:sz w:val="24"/>
          <w:szCs w:val="24"/>
        </w:rPr>
        <w:t>Bouwen en slopen: Is er iets vervaardigd en, zo ja, wat dan? (II)</w:t>
      </w:r>
      <w:r w:rsidRPr="00484DAF">
        <w:rPr>
          <w:sz w:val="24"/>
          <w:szCs w:val="24"/>
        </w:rPr>
        <w:t>, WPNR2004/6599.</w:t>
      </w:r>
    </w:p>
    <w:p w:rsidR="00B9043E" w:rsidRPr="00484DAF" w:rsidRDefault="00B9043E" w:rsidP="00CC552D">
      <w:pPr>
        <w:pStyle w:val="Geenafstand"/>
        <w:numPr>
          <w:ilvl w:val="0"/>
          <w:numId w:val="3"/>
        </w:numPr>
        <w:spacing w:line="360" w:lineRule="auto"/>
        <w:rPr>
          <w:sz w:val="24"/>
          <w:szCs w:val="24"/>
        </w:rPr>
      </w:pPr>
      <w:r w:rsidRPr="00484DAF">
        <w:rPr>
          <w:sz w:val="24"/>
          <w:szCs w:val="24"/>
        </w:rPr>
        <w:t xml:space="preserve">J.C. van Straaten, </w:t>
      </w:r>
      <w:r w:rsidRPr="00484DAF">
        <w:rPr>
          <w:i/>
          <w:sz w:val="24"/>
          <w:szCs w:val="24"/>
        </w:rPr>
        <w:t>Bouwen en slopen: Is er iets vervaardigd en, zo ja, wat dan? (III)</w:t>
      </w:r>
      <w:r w:rsidRPr="00484DAF">
        <w:rPr>
          <w:sz w:val="24"/>
          <w:szCs w:val="24"/>
        </w:rPr>
        <w:t>, WPNR2004/6600.</w:t>
      </w:r>
    </w:p>
    <w:p w:rsidR="00B9043E" w:rsidRPr="00484DAF" w:rsidRDefault="00B9043E" w:rsidP="00CC552D">
      <w:pPr>
        <w:pStyle w:val="Geenafstand"/>
        <w:numPr>
          <w:ilvl w:val="0"/>
          <w:numId w:val="3"/>
        </w:numPr>
        <w:spacing w:line="360" w:lineRule="auto"/>
        <w:rPr>
          <w:sz w:val="24"/>
          <w:szCs w:val="24"/>
        </w:rPr>
      </w:pPr>
      <w:r w:rsidRPr="00484DAF">
        <w:rPr>
          <w:sz w:val="24"/>
          <w:szCs w:val="24"/>
        </w:rPr>
        <w:lastRenderedPageBreak/>
        <w:t xml:space="preserve">J.C. van Straaten, </w:t>
      </w:r>
      <w:r w:rsidRPr="00484DAF">
        <w:rPr>
          <w:i/>
          <w:sz w:val="24"/>
          <w:szCs w:val="24"/>
        </w:rPr>
        <w:t>Bouwen en slopen: Is er iets vervaardigd en, zo ja, wat dan? (IV, slot)</w:t>
      </w:r>
      <w:r w:rsidRPr="00484DAF">
        <w:rPr>
          <w:sz w:val="24"/>
          <w:szCs w:val="24"/>
        </w:rPr>
        <w:t>, WPNR2004/6601.</w:t>
      </w:r>
    </w:p>
    <w:p w:rsidR="00EB5815" w:rsidRPr="00484DAF" w:rsidRDefault="00EB5815" w:rsidP="00CC552D">
      <w:pPr>
        <w:pStyle w:val="Geenafstand"/>
        <w:numPr>
          <w:ilvl w:val="0"/>
          <w:numId w:val="3"/>
        </w:numPr>
        <w:spacing w:line="360" w:lineRule="auto"/>
        <w:rPr>
          <w:sz w:val="24"/>
          <w:szCs w:val="24"/>
        </w:rPr>
      </w:pPr>
      <w:r w:rsidRPr="00484DAF">
        <w:rPr>
          <w:sz w:val="24"/>
          <w:szCs w:val="24"/>
        </w:rPr>
        <w:t xml:space="preserve">P. Tielemans, </w:t>
      </w:r>
      <w:r w:rsidRPr="00484DAF">
        <w:rPr>
          <w:i/>
          <w:sz w:val="24"/>
          <w:szCs w:val="24"/>
        </w:rPr>
        <w:t>Onroerende zaak vervaardigd, of niet</w:t>
      </w:r>
      <w:r w:rsidRPr="00484DAF">
        <w:rPr>
          <w:sz w:val="24"/>
          <w:szCs w:val="24"/>
        </w:rPr>
        <w:t>, BtwBrief 2003/1</w:t>
      </w:r>
      <w:r w:rsidR="000E5D3C" w:rsidRPr="00484DAF">
        <w:rPr>
          <w:sz w:val="24"/>
          <w:szCs w:val="24"/>
        </w:rPr>
        <w:t>.</w:t>
      </w:r>
    </w:p>
    <w:p w:rsidR="000E5D3C" w:rsidRPr="00484DAF" w:rsidRDefault="000E5D3C" w:rsidP="00CC552D">
      <w:pPr>
        <w:pStyle w:val="Geenafstand"/>
        <w:numPr>
          <w:ilvl w:val="0"/>
          <w:numId w:val="3"/>
        </w:numPr>
        <w:spacing w:line="360" w:lineRule="auto"/>
        <w:rPr>
          <w:sz w:val="24"/>
          <w:szCs w:val="24"/>
        </w:rPr>
      </w:pPr>
      <w:r w:rsidRPr="00484DAF">
        <w:rPr>
          <w:sz w:val="24"/>
          <w:szCs w:val="24"/>
        </w:rPr>
        <w:t xml:space="preserve">P. Tielemans </w:t>
      </w:r>
      <w:r w:rsidR="00256A97" w:rsidRPr="00484DAF">
        <w:rPr>
          <w:sz w:val="24"/>
          <w:szCs w:val="24"/>
        </w:rPr>
        <w:t>en A.H.S. Bouwman</w:t>
      </w:r>
      <w:r w:rsidRPr="00484DAF">
        <w:rPr>
          <w:sz w:val="24"/>
          <w:szCs w:val="24"/>
        </w:rPr>
        <w:t xml:space="preserve">, </w:t>
      </w:r>
      <w:r w:rsidRPr="00484DAF">
        <w:rPr>
          <w:i/>
          <w:sz w:val="24"/>
          <w:szCs w:val="24"/>
        </w:rPr>
        <w:t>Bouwterrein; de kwestie van slopen</w:t>
      </w:r>
      <w:r w:rsidRPr="00484DAF">
        <w:rPr>
          <w:sz w:val="24"/>
          <w:szCs w:val="24"/>
        </w:rPr>
        <w:t>, BtwBrief 2003/2.</w:t>
      </w:r>
    </w:p>
    <w:p w:rsidR="00C47D1E" w:rsidRPr="00484DAF" w:rsidRDefault="00C47D1E" w:rsidP="00CC552D">
      <w:pPr>
        <w:pStyle w:val="Geenafstand"/>
        <w:numPr>
          <w:ilvl w:val="0"/>
          <w:numId w:val="3"/>
        </w:numPr>
        <w:spacing w:line="360" w:lineRule="auto"/>
        <w:rPr>
          <w:sz w:val="24"/>
          <w:szCs w:val="24"/>
        </w:rPr>
      </w:pPr>
      <w:r w:rsidRPr="00484DAF">
        <w:rPr>
          <w:sz w:val="24"/>
          <w:szCs w:val="24"/>
        </w:rPr>
        <w:t xml:space="preserve">P. Tielemans, </w:t>
      </w:r>
      <w:r w:rsidRPr="00484DAF">
        <w:rPr>
          <w:i/>
          <w:sz w:val="24"/>
          <w:szCs w:val="24"/>
        </w:rPr>
        <w:t>Voormalig hertenkamp is een bouwterrein; opnieuw de kwestie van slopen</w:t>
      </w:r>
      <w:r w:rsidRPr="00484DAF">
        <w:rPr>
          <w:sz w:val="24"/>
          <w:szCs w:val="24"/>
        </w:rPr>
        <w:t>, BtwBrief 2007/10.</w:t>
      </w:r>
    </w:p>
    <w:p w:rsidR="00EB5815" w:rsidRPr="00484DAF" w:rsidRDefault="00EB5815" w:rsidP="00CC552D">
      <w:pPr>
        <w:pStyle w:val="Geenafstand"/>
        <w:numPr>
          <w:ilvl w:val="0"/>
          <w:numId w:val="3"/>
        </w:numPr>
        <w:spacing w:line="360" w:lineRule="auto"/>
        <w:rPr>
          <w:sz w:val="24"/>
          <w:szCs w:val="24"/>
        </w:rPr>
      </w:pPr>
      <w:r w:rsidRPr="00484DAF">
        <w:rPr>
          <w:sz w:val="24"/>
          <w:szCs w:val="24"/>
        </w:rPr>
        <w:t xml:space="preserve">J.L.M.J. Vervloed, </w:t>
      </w:r>
      <w:r w:rsidRPr="00484DAF">
        <w:rPr>
          <w:i/>
          <w:sz w:val="24"/>
          <w:szCs w:val="24"/>
        </w:rPr>
        <w:t>Het begrip vervaardigen in de BTW</w:t>
      </w:r>
      <w:r w:rsidRPr="00484DAF">
        <w:rPr>
          <w:sz w:val="24"/>
          <w:szCs w:val="24"/>
        </w:rPr>
        <w:t>, BtwBrief 1989/1.</w:t>
      </w:r>
    </w:p>
    <w:p w:rsidR="00B9043E" w:rsidRPr="00484DAF" w:rsidRDefault="00B9043E" w:rsidP="00CC552D">
      <w:pPr>
        <w:pStyle w:val="Geenafstand"/>
        <w:numPr>
          <w:ilvl w:val="0"/>
          <w:numId w:val="3"/>
        </w:numPr>
        <w:spacing w:line="360" w:lineRule="auto"/>
        <w:rPr>
          <w:sz w:val="24"/>
          <w:szCs w:val="24"/>
        </w:rPr>
      </w:pPr>
      <w:r w:rsidRPr="00484DAF">
        <w:rPr>
          <w:sz w:val="24"/>
          <w:szCs w:val="24"/>
        </w:rPr>
        <w:t xml:space="preserve">J.L.M.J. Vervloed, </w:t>
      </w:r>
      <w:r w:rsidRPr="00484DAF">
        <w:rPr>
          <w:i/>
          <w:sz w:val="24"/>
          <w:szCs w:val="24"/>
        </w:rPr>
        <w:t>Bouwterrein</w:t>
      </w:r>
      <w:r w:rsidRPr="00484DAF">
        <w:rPr>
          <w:sz w:val="24"/>
          <w:szCs w:val="24"/>
        </w:rPr>
        <w:t>, BtwBrief 1996/6-7.</w:t>
      </w:r>
    </w:p>
    <w:p w:rsidR="00B9043E" w:rsidRPr="00484DAF" w:rsidRDefault="00B9043E" w:rsidP="00CC552D">
      <w:pPr>
        <w:pStyle w:val="Geenafstand"/>
        <w:numPr>
          <w:ilvl w:val="0"/>
          <w:numId w:val="3"/>
        </w:numPr>
        <w:spacing w:line="360" w:lineRule="auto"/>
        <w:rPr>
          <w:sz w:val="24"/>
          <w:szCs w:val="24"/>
        </w:rPr>
      </w:pPr>
      <w:r w:rsidRPr="00484DAF">
        <w:rPr>
          <w:sz w:val="24"/>
          <w:szCs w:val="24"/>
        </w:rPr>
        <w:t xml:space="preserve">D.G. Van Vliet, </w:t>
      </w:r>
      <w:r w:rsidRPr="00484DAF">
        <w:rPr>
          <w:i/>
          <w:sz w:val="24"/>
          <w:szCs w:val="24"/>
        </w:rPr>
        <w:t>Geen vervaardiging door enkel wijziging van bestemming</w:t>
      </w:r>
      <w:r w:rsidRPr="00484DAF">
        <w:rPr>
          <w:sz w:val="24"/>
          <w:szCs w:val="24"/>
        </w:rPr>
        <w:t>, WFR 1988/1492</w:t>
      </w:r>
    </w:p>
    <w:p w:rsidR="00EB5815" w:rsidRPr="00484DAF" w:rsidRDefault="00EB5815" w:rsidP="00CC552D">
      <w:pPr>
        <w:pStyle w:val="Geenafstand"/>
        <w:numPr>
          <w:ilvl w:val="0"/>
          <w:numId w:val="3"/>
        </w:numPr>
        <w:spacing w:line="360" w:lineRule="auto"/>
        <w:rPr>
          <w:sz w:val="24"/>
          <w:szCs w:val="24"/>
        </w:rPr>
      </w:pPr>
      <w:r w:rsidRPr="00484DAF">
        <w:rPr>
          <w:sz w:val="24"/>
          <w:szCs w:val="24"/>
        </w:rPr>
        <w:t xml:space="preserve">R.A. Wolf, </w:t>
      </w:r>
      <w:r w:rsidRPr="00484DAF">
        <w:rPr>
          <w:i/>
          <w:sz w:val="24"/>
          <w:szCs w:val="24"/>
        </w:rPr>
        <w:t>Bouwterreinen en bijbehorende terreinen; the best of both worlds?</w:t>
      </w:r>
      <w:r w:rsidRPr="00484DAF">
        <w:rPr>
          <w:sz w:val="24"/>
          <w:szCs w:val="24"/>
        </w:rPr>
        <w:t>, Vastgoed Fiscaal &amp; Civiel 2008/4.</w:t>
      </w:r>
    </w:p>
    <w:p w:rsidR="001B329F" w:rsidRPr="00484DAF" w:rsidRDefault="001B329F" w:rsidP="00CC552D">
      <w:pPr>
        <w:pStyle w:val="Geenafstand"/>
        <w:numPr>
          <w:ilvl w:val="0"/>
          <w:numId w:val="3"/>
        </w:numPr>
        <w:spacing w:line="360" w:lineRule="auto"/>
        <w:rPr>
          <w:sz w:val="24"/>
          <w:szCs w:val="24"/>
        </w:rPr>
      </w:pPr>
      <w:r w:rsidRPr="00484DAF">
        <w:rPr>
          <w:sz w:val="24"/>
          <w:szCs w:val="24"/>
        </w:rPr>
        <w:t xml:space="preserve">R.A. Wolff, </w:t>
      </w:r>
      <w:r w:rsidRPr="00484DAF">
        <w:rPr>
          <w:i/>
          <w:sz w:val="24"/>
          <w:szCs w:val="24"/>
        </w:rPr>
        <w:t>Geen econoom bij sloop door verkoper</w:t>
      </w:r>
      <w:r w:rsidRPr="00484DAF">
        <w:rPr>
          <w:sz w:val="24"/>
          <w:szCs w:val="24"/>
        </w:rPr>
        <w:t>, Vastgoed Fiscaal &amp; Civiel 2008/6.</w:t>
      </w:r>
    </w:p>
    <w:p w:rsidR="00451EE3" w:rsidRPr="00484DAF" w:rsidRDefault="00451EE3" w:rsidP="00CC552D">
      <w:pPr>
        <w:pStyle w:val="Geenafstand"/>
        <w:numPr>
          <w:ilvl w:val="0"/>
          <w:numId w:val="3"/>
        </w:numPr>
        <w:spacing w:line="360" w:lineRule="auto"/>
        <w:rPr>
          <w:sz w:val="24"/>
          <w:szCs w:val="24"/>
        </w:rPr>
      </w:pPr>
      <w:r w:rsidRPr="00484DAF">
        <w:rPr>
          <w:sz w:val="24"/>
          <w:szCs w:val="24"/>
        </w:rPr>
        <w:t xml:space="preserve">B.G. van Zadelhoff, </w:t>
      </w:r>
      <w:r w:rsidRPr="00484DAF">
        <w:rPr>
          <w:i/>
          <w:sz w:val="24"/>
          <w:szCs w:val="24"/>
        </w:rPr>
        <w:t>De bodemgesteldheid van Nederland</w:t>
      </w:r>
      <w:r w:rsidRPr="00484DAF">
        <w:rPr>
          <w:sz w:val="24"/>
          <w:szCs w:val="24"/>
        </w:rPr>
        <w:t>, WFR 1995/451.</w:t>
      </w:r>
    </w:p>
    <w:p w:rsidR="00446CC0" w:rsidRPr="00484DAF" w:rsidRDefault="00446CC0" w:rsidP="00CC552D">
      <w:pPr>
        <w:pStyle w:val="Geenafstand"/>
        <w:numPr>
          <w:ilvl w:val="0"/>
          <w:numId w:val="3"/>
        </w:numPr>
        <w:spacing w:line="360" w:lineRule="auto"/>
        <w:rPr>
          <w:sz w:val="24"/>
          <w:szCs w:val="24"/>
        </w:rPr>
      </w:pPr>
      <w:r w:rsidRPr="00484DAF">
        <w:rPr>
          <w:sz w:val="24"/>
          <w:szCs w:val="24"/>
        </w:rPr>
        <w:t xml:space="preserve">B.G. van Zadelhoff, </w:t>
      </w:r>
      <w:r w:rsidRPr="00484DAF">
        <w:rPr>
          <w:i/>
          <w:sz w:val="24"/>
          <w:szCs w:val="24"/>
        </w:rPr>
        <w:t>Wacht u voor economen!</w:t>
      </w:r>
      <w:r w:rsidRPr="00484DAF">
        <w:rPr>
          <w:sz w:val="24"/>
          <w:szCs w:val="24"/>
        </w:rPr>
        <w:t>, Tribuut 2007/01.</w:t>
      </w:r>
    </w:p>
    <w:p w:rsidR="003911D6" w:rsidRPr="00484DAF" w:rsidRDefault="003911D6" w:rsidP="00CC552D">
      <w:pPr>
        <w:pStyle w:val="Geenafstand"/>
        <w:numPr>
          <w:ilvl w:val="0"/>
          <w:numId w:val="3"/>
        </w:numPr>
        <w:spacing w:line="360" w:lineRule="auto"/>
        <w:rPr>
          <w:sz w:val="24"/>
          <w:szCs w:val="24"/>
        </w:rPr>
      </w:pPr>
      <w:r w:rsidRPr="00484DAF">
        <w:rPr>
          <w:sz w:val="24"/>
          <w:szCs w:val="24"/>
        </w:rPr>
        <w:t xml:space="preserve">B.G. van Zadelhoff, </w:t>
      </w:r>
      <w:r w:rsidRPr="00484DAF">
        <w:rPr>
          <w:i/>
          <w:sz w:val="24"/>
          <w:szCs w:val="24"/>
        </w:rPr>
        <w:t>Weg met de strafheffing!</w:t>
      </w:r>
      <w:r w:rsidRPr="00484DAF">
        <w:rPr>
          <w:sz w:val="24"/>
          <w:szCs w:val="24"/>
        </w:rPr>
        <w:t>, WFR 2009/283.</w:t>
      </w:r>
    </w:p>
    <w:p w:rsidR="00CC552D" w:rsidRPr="00484DAF" w:rsidRDefault="00CC552D" w:rsidP="00CC552D">
      <w:pPr>
        <w:pStyle w:val="Geenafstand"/>
        <w:spacing w:line="360" w:lineRule="auto"/>
        <w:ind w:left="720"/>
        <w:rPr>
          <w:sz w:val="24"/>
          <w:szCs w:val="24"/>
        </w:rPr>
      </w:pPr>
    </w:p>
    <w:p w:rsidR="007943C9" w:rsidRPr="00484DAF" w:rsidRDefault="002D11A2" w:rsidP="00CC552D">
      <w:pPr>
        <w:pStyle w:val="Kop2"/>
        <w:spacing w:before="0" w:line="360" w:lineRule="auto"/>
        <w:rPr>
          <w:rFonts w:ascii="Times New Roman" w:hAnsi="Times New Roman"/>
          <w:color w:val="auto"/>
          <w:sz w:val="24"/>
          <w:szCs w:val="24"/>
        </w:rPr>
      </w:pPr>
      <w:bookmarkStart w:id="152" w:name="_Toc254044003"/>
      <w:r w:rsidRPr="00484DAF">
        <w:rPr>
          <w:rFonts w:ascii="Times New Roman" w:hAnsi="Times New Roman"/>
          <w:color w:val="auto"/>
          <w:sz w:val="24"/>
          <w:szCs w:val="24"/>
        </w:rPr>
        <w:t>Naslagwerken</w:t>
      </w:r>
      <w:bookmarkEnd w:id="152"/>
    </w:p>
    <w:p w:rsidR="00E33242" w:rsidRPr="00484DAF" w:rsidRDefault="00E33242" w:rsidP="00CC552D">
      <w:pPr>
        <w:pStyle w:val="Geenafstand"/>
        <w:numPr>
          <w:ilvl w:val="0"/>
          <w:numId w:val="3"/>
        </w:numPr>
        <w:spacing w:line="360" w:lineRule="auto"/>
        <w:rPr>
          <w:sz w:val="24"/>
          <w:szCs w:val="24"/>
          <w:lang w:val="en-US"/>
        </w:rPr>
      </w:pPr>
      <w:r w:rsidRPr="00484DAF">
        <w:rPr>
          <w:sz w:val="24"/>
          <w:szCs w:val="24"/>
          <w:lang w:val="en-US"/>
        </w:rPr>
        <w:t xml:space="preserve">P. Wille, </w:t>
      </w:r>
      <w:r w:rsidRPr="00484DAF">
        <w:rPr>
          <w:i/>
          <w:sz w:val="24"/>
          <w:szCs w:val="24"/>
          <w:lang w:val="en-US"/>
        </w:rPr>
        <w:t>Belgium</w:t>
      </w:r>
      <w:r w:rsidRPr="00484DAF">
        <w:rPr>
          <w:sz w:val="24"/>
          <w:szCs w:val="24"/>
          <w:lang w:val="en-US"/>
        </w:rPr>
        <w:t>, Value Added Tax, IBFD, april 2009.</w:t>
      </w:r>
    </w:p>
    <w:p w:rsidR="00DD5564" w:rsidRPr="00484DAF" w:rsidRDefault="00DD5564" w:rsidP="00CC552D">
      <w:pPr>
        <w:pStyle w:val="Geenafstand"/>
        <w:numPr>
          <w:ilvl w:val="0"/>
          <w:numId w:val="3"/>
        </w:numPr>
        <w:spacing w:line="360" w:lineRule="auto"/>
        <w:rPr>
          <w:sz w:val="24"/>
          <w:szCs w:val="24"/>
          <w:lang w:val="en-US"/>
        </w:rPr>
      </w:pPr>
      <w:r w:rsidRPr="00484DAF">
        <w:rPr>
          <w:sz w:val="24"/>
          <w:szCs w:val="24"/>
        </w:rPr>
        <w:t xml:space="preserve">D.A. van Waardenburg en J.H. Miller, </w:t>
      </w:r>
      <w:r w:rsidRPr="00484DAF">
        <w:rPr>
          <w:i/>
          <w:sz w:val="24"/>
          <w:szCs w:val="24"/>
        </w:rPr>
        <w:t>France</w:t>
      </w:r>
      <w:r w:rsidRPr="00484DAF">
        <w:rPr>
          <w:sz w:val="24"/>
          <w:szCs w:val="24"/>
        </w:rPr>
        <w:t>, Value Added Tax, IBFD, Mei 2007.</w:t>
      </w:r>
    </w:p>
    <w:p w:rsidR="00DD5564" w:rsidRPr="00484DAF" w:rsidRDefault="00DD5564" w:rsidP="00CC552D">
      <w:pPr>
        <w:pStyle w:val="Geenafstand"/>
        <w:numPr>
          <w:ilvl w:val="0"/>
          <w:numId w:val="3"/>
        </w:numPr>
        <w:spacing w:line="360" w:lineRule="auto"/>
        <w:rPr>
          <w:sz w:val="24"/>
          <w:szCs w:val="24"/>
          <w:lang w:val="en-US"/>
        </w:rPr>
      </w:pPr>
      <w:r w:rsidRPr="00484DAF">
        <w:rPr>
          <w:sz w:val="24"/>
          <w:szCs w:val="24"/>
          <w:lang w:val="en-US"/>
        </w:rPr>
        <w:t xml:space="preserve">M. Verwaal, </w:t>
      </w:r>
      <w:r w:rsidRPr="00484DAF">
        <w:rPr>
          <w:i/>
          <w:sz w:val="24"/>
          <w:szCs w:val="24"/>
          <w:lang w:val="en-US"/>
        </w:rPr>
        <w:t>Germany</w:t>
      </w:r>
      <w:r w:rsidRPr="00484DAF">
        <w:rPr>
          <w:sz w:val="24"/>
          <w:szCs w:val="24"/>
          <w:lang w:val="en-US"/>
        </w:rPr>
        <w:t>, Value Added Tax, IBFD, februari 2006.</w:t>
      </w:r>
    </w:p>
    <w:p w:rsidR="00DD5564" w:rsidRPr="00484DAF" w:rsidRDefault="00DD5564" w:rsidP="00CC552D">
      <w:pPr>
        <w:pStyle w:val="Geenafstand"/>
        <w:numPr>
          <w:ilvl w:val="0"/>
          <w:numId w:val="3"/>
        </w:numPr>
        <w:spacing w:line="360" w:lineRule="auto"/>
        <w:rPr>
          <w:sz w:val="24"/>
          <w:szCs w:val="24"/>
          <w:lang w:val="en-US"/>
        </w:rPr>
      </w:pPr>
      <w:r w:rsidRPr="00484DAF">
        <w:rPr>
          <w:sz w:val="24"/>
          <w:szCs w:val="24"/>
          <w:lang w:val="en-US"/>
        </w:rPr>
        <w:t xml:space="preserve">R. Barr en M. Iavagnilio, </w:t>
      </w:r>
      <w:r w:rsidRPr="00484DAF">
        <w:rPr>
          <w:i/>
          <w:sz w:val="24"/>
          <w:szCs w:val="24"/>
          <w:lang w:val="en-US"/>
        </w:rPr>
        <w:t>Italy</w:t>
      </w:r>
      <w:r w:rsidRPr="00484DAF">
        <w:rPr>
          <w:sz w:val="24"/>
          <w:szCs w:val="24"/>
          <w:lang w:val="en-US"/>
        </w:rPr>
        <w:t xml:space="preserve">, Value Added Tax, IBFD, November 2005. </w:t>
      </w:r>
    </w:p>
    <w:p w:rsidR="00DD5564" w:rsidRPr="00484DAF" w:rsidRDefault="00DD5564" w:rsidP="00CC552D">
      <w:pPr>
        <w:pStyle w:val="Geenafstand"/>
        <w:numPr>
          <w:ilvl w:val="0"/>
          <w:numId w:val="3"/>
        </w:numPr>
        <w:spacing w:line="360" w:lineRule="auto"/>
        <w:rPr>
          <w:sz w:val="24"/>
          <w:szCs w:val="24"/>
          <w:lang w:val="en-US"/>
        </w:rPr>
      </w:pPr>
      <w:r w:rsidRPr="00484DAF">
        <w:rPr>
          <w:sz w:val="24"/>
          <w:szCs w:val="24"/>
          <w:lang w:val="en-US"/>
        </w:rPr>
        <w:t xml:space="preserve">I. Dawes en C. Woodward, </w:t>
      </w:r>
      <w:r w:rsidRPr="00484DAF">
        <w:rPr>
          <w:i/>
          <w:sz w:val="24"/>
          <w:szCs w:val="24"/>
          <w:lang w:val="en-US"/>
        </w:rPr>
        <w:t>United Kingdom</w:t>
      </w:r>
      <w:r w:rsidRPr="00484DAF">
        <w:rPr>
          <w:sz w:val="24"/>
          <w:szCs w:val="24"/>
          <w:lang w:val="en-US"/>
        </w:rPr>
        <w:t xml:space="preserve">, Value Added Tax, IBFD, April 2009. </w:t>
      </w:r>
    </w:p>
    <w:p w:rsidR="001A6698" w:rsidRPr="00484DAF" w:rsidRDefault="001A6698" w:rsidP="00CC552D">
      <w:pPr>
        <w:pStyle w:val="Geenafstand"/>
        <w:numPr>
          <w:ilvl w:val="0"/>
          <w:numId w:val="3"/>
        </w:numPr>
        <w:spacing w:line="360" w:lineRule="auto"/>
        <w:rPr>
          <w:sz w:val="24"/>
          <w:szCs w:val="24"/>
          <w:lang w:val="en-US"/>
        </w:rPr>
      </w:pPr>
      <w:r w:rsidRPr="00484DAF">
        <w:rPr>
          <w:sz w:val="24"/>
          <w:szCs w:val="24"/>
          <w:lang w:val="en-US"/>
        </w:rPr>
        <w:t>M. Guilluy</w:t>
      </w:r>
      <w:r w:rsidR="00DD5564" w:rsidRPr="00484DAF">
        <w:rPr>
          <w:sz w:val="24"/>
          <w:szCs w:val="24"/>
          <w:lang w:val="en-US"/>
        </w:rPr>
        <w:t>, M. Lambon en F. Wersand</w:t>
      </w:r>
      <w:r w:rsidRPr="00484DAF">
        <w:rPr>
          <w:sz w:val="24"/>
          <w:szCs w:val="24"/>
          <w:lang w:val="en-US"/>
        </w:rPr>
        <w:t xml:space="preserve">, </w:t>
      </w:r>
      <w:r w:rsidRPr="00484DAF">
        <w:rPr>
          <w:i/>
          <w:sz w:val="24"/>
          <w:szCs w:val="24"/>
          <w:lang w:val="en-US"/>
        </w:rPr>
        <w:t>Luxembourg</w:t>
      </w:r>
      <w:r w:rsidRPr="00484DAF">
        <w:rPr>
          <w:sz w:val="24"/>
          <w:szCs w:val="24"/>
          <w:lang w:val="en-US"/>
        </w:rPr>
        <w:t>, Value Added Tax, IBFD, april 2008</w:t>
      </w:r>
      <w:r w:rsidR="00E33242" w:rsidRPr="00484DAF">
        <w:rPr>
          <w:sz w:val="24"/>
          <w:szCs w:val="24"/>
          <w:lang w:val="en-US"/>
        </w:rPr>
        <w:t>.</w:t>
      </w:r>
    </w:p>
    <w:p w:rsidR="00811AE1" w:rsidRPr="00484DAF" w:rsidRDefault="001A6698" w:rsidP="00CC552D">
      <w:pPr>
        <w:pStyle w:val="Geenafstand"/>
        <w:numPr>
          <w:ilvl w:val="0"/>
          <w:numId w:val="3"/>
        </w:numPr>
        <w:spacing w:line="360" w:lineRule="auto"/>
        <w:rPr>
          <w:sz w:val="24"/>
          <w:szCs w:val="24"/>
          <w:lang w:val="en-US"/>
        </w:rPr>
      </w:pPr>
      <w:r w:rsidRPr="00484DAF">
        <w:rPr>
          <w:sz w:val="24"/>
          <w:szCs w:val="24"/>
          <w:lang w:val="en-US"/>
        </w:rPr>
        <w:t xml:space="preserve">J. Martin </w:t>
      </w:r>
      <w:r w:rsidR="00DD5564" w:rsidRPr="00484DAF">
        <w:rPr>
          <w:sz w:val="24"/>
          <w:szCs w:val="24"/>
          <w:lang w:val="en-US"/>
        </w:rPr>
        <w:t>en R.R. Folgado</w:t>
      </w:r>
      <w:r w:rsidRPr="00484DAF">
        <w:rPr>
          <w:sz w:val="24"/>
          <w:szCs w:val="24"/>
          <w:lang w:val="en-US"/>
        </w:rPr>
        <w:t xml:space="preserve">, </w:t>
      </w:r>
      <w:r w:rsidRPr="00484DAF">
        <w:rPr>
          <w:i/>
          <w:sz w:val="24"/>
          <w:szCs w:val="24"/>
          <w:lang w:val="en-US"/>
        </w:rPr>
        <w:t>Spain</w:t>
      </w:r>
      <w:r w:rsidRPr="00484DAF">
        <w:rPr>
          <w:sz w:val="24"/>
          <w:szCs w:val="24"/>
          <w:lang w:val="en-US"/>
        </w:rPr>
        <w:t>, Value Added Tax, IBFD, December 2008</w:t>
      </w:r>
      <w:r w:rsidR="00E33242" w:rsidRPr="00484DAF">
        <w:rPr>
          <w:sz w:val="24"/>
          <w:szCs w:val="24"/>
          <w:lang w:val="en-US"/>
        </w:rPr>
        <w:t>.</w:t>
      </w:r>
    </w:p>
    <w:p w:rsidR="00E33242" w:rsidRPr="00484DAF" w:rsidRDefault="00E33242" w:rsidP="00CC552D">
      <w:pPr>
        <w:pStyle w:val="Geenafstand"/>
        <w:spacing w:line="360" w:lineRule="auto"/>
        <w:ind w:left="720"/>
        <w:rPr>
          <w:sz w:val="24"/>
          <w:szCs w:val="24"/>
          <w:lang w:val="en-US"/>
        </w:rPr>
      </w:pPr>
      <w:r w:rsidRPr="00484DAF">
        <w:rPr>
          <w:sz w:val="24"/>
          <w:szCs w:val="24"/>
          <w:lang w:val="en-US"/>
        </w:rPr>
        <w:t xml:space="preserve"> </w:t>
      </w:r>
    </w:p>
    <w:p w:rsidR="005A4228" w:rsidRPr="00484DAF" w:rsidRDefault="00811AE1" w:rsidP="00CC552D">
      <w:pPr>
        <w:pStyle w:val="Geenafstand"/>
        <w:numPr>
          <w:ilvl w:val="0"/>
          <w:numId w:val="3"/>
        </w:numPr>
        <w:spacing w:line="360" w:lineRule="auto"/>
        <w:rPr>
          <w:sz w:val="24"/>
          <w:szCs w:val="24"/>
        </w:rPr>
      </w:pPr>
      <w:r w:rsidRPr="00484DAF">
        <w:rPr>
          <w:sz w:val="24"/>
          <w:szCs w:val="24"/>
        </w:rPr>
        <w:t>NDFR, Deel Omzetbelasting, Wet OB 1968, Artikel 11.1a Wet OB 1968, Vrijstelling levering onroerende zaken, Commentaar, Artikel 11, lid 1, onderdeel a, onder 2o (commentator M.W.C. Soltysik).</w:t>
      </w:r>
    </w:p>
    <w:p w:rsidR="005A4228" w:rsidRPr="00484DAF" w:rsidRDefault="005A4228" w:rsidP="00CC552D">
      <w:pPr>
        <w:pStyle w:val="Geenafstand"/>
        <w:numPr>
          <w:ilvl w:val="0"/>
          <w:numId w:val="3"/>
        </w:numPr>
        <w:spacing w:line="360" w:lineRule="auto"/>
        <w:rPr>
          <w:sz w:val="24"/>
          <w:szCs w:val="24"/>
        </w:rPr>
      </w:pPr>
      <w:r w:rsidRPr="00484DAF">
        <w:rPr>
          <w:sz w:val="24"/>
          <w:szCs w:val="24"/>
        </w:rPr>
        <w:t>NDFR, Deel Successiewet en Wet op belastingen van rechtsverkeer, Wet BRV, art. 2 Wet BRV, Commentaar (commentator J. Beers).</w:t>
      </w:r>
    </w:p>
    <w:p w:rsidR="00622DBD" w:rsidRPr="00484DAF" w:rsidRDefault="00622DBD" w:rsidP="00CC552D">
      <w:pPr>
        <w:pStyle w:val="Geenafstand"/>
        <w:spacing w:line="360" w:lineRule="auto"/>
        <w:ind w:left="720"/>
        <w:rPr>
          <w:sz w:val="24"/>
          <w:szCs w:val="24"/>
        </w:rPr>
      </w:pPr>
    </w:p>
    <w:p w:rsidR="00811AE1" w:rsidRPr="00484DAF" w:rsidRDefault="00811AE1" w:rsidP="00CC552D">
      <w:pPr>
        <w:pStyle w:val="Geenafstand"/>
        <w:numPr>
          <w:ilvl w:val="0"/>
          <w:numId w:val="3"/>
        </w:numPr>
        <w:spacing w:line="360" w:lineRule="auto"/>
        <w:rPr>
          <w:sz w:val="24"/>
          <w:szCs w:val="24"/>
        </w:rPr>
      </w:pPr>
      <w:r w:rsidRPr="00484DAF">
        <w:rPr>
          <w:sz w:val="24"/>
          <w:szCs w:val="24"/>
        </w:rPr>
        <w:t>Fiscale Encyclopedie De Vakstudie (VST), Wet op de omzetbelasting 1968, Artikelsgewijs commentaar, Artikel 11, eerste lid, onderdeel a(*1).</w:t>
      </w:r>
      <w:r w:rsidR="00282762" w:rsidRPr="00484DAF">
        <w:rPr>
          <w:sz w:val="24"/>
          <w:szCs w:val="24"/>
        </w:rPr>
        <w:t xml:space="preserve"> Levering van onroerende zaken.</w:t>
      </w:r>
    </w:p>
    <w:p w:rsidR="00811AE1" w:rsidRPr="00484DAF" w:rsidRDefault="00811AE1" w:rsidP="00CC552D">
      <w:pPr>
        <w:pStyle w:val="Geenafstand"/>
        <w:numPr>
          <w:ilvl w:val="0"/>
          <w:numId w:val="3"/>
        </w:numPr>
        <w:spacing w:line="360" w:lineRule="auto"/>
        <w:rPr>
          <w:sz w:val="24"/>
          <w:szCs w:val="24"/>
        </w:rPr>
      </w:pPr>
      <w:r w:rsidRPr="00484DAF">
        <w:rPr>
          <w:sz w:val="24"/>
          <w:szCs w:val="24"/>
        </w:rPr>
        <w:t>Fiscale Encyclopedie De Vakstudie (VST), Wet op belastingen van rechtsverkeer en Registratiewet 1970, Wet op belastingen van rechtsverkeer, Wet BRV. Artikelsgewijs commentaar, Artikel 15(*1). Vrijstellingen.</w:t>
      </w:r>
    </w:p>
    <w:p w:rsidR="00811AE1" w:rsidRPr="00484DAF" w:rsidRDefault="00811AE1" w:rsidP="00CC552D">
      <w:pPr>
        <w:pStyle w:val="Geenafstand"/>
        <w:spacing w:line="360" w:lineRule="auto"/>
        <w:rPr>
          <w:sz w:val="24"/>
          <w:szCs w:val="24"/>
        </w:rPr>
      </w:pPr>
    </w:p>
    <w:p w:rsidR="001A6698" w:rsidRPr="00484DAF" w:rsidRDefault="001A6698" w:rsidP="00CC552D">
      <w:pPr>
        <w:pStyle w:val="Geenafstand"/>
        <w:numPr>
          <w:ilvl w:val="0"/>
          <w:numId w:val="3"/>
        </w:numPr>
        <w:spacing w:line="360" w:lineRule="auto"/>
        <w:rPr>
          <w:sz w:val="24"/>
          <w:szCs w:val="24"/>
        </w:rPr>
      </w:pPr>
      <w:r w:rsidRPr="00484DAF">
        <w:rPr>
          <w:sz w:val="24"/>
          <w:szCs w:val="24"/>
        </w:rPr>
        <w:br w:type="page"/>
      </w:r>
    </w:p>
    <w:p w:rsidR="001A6698" w:rsidRPr="00484DAF" w:rsidRDefault="001A6698" w:rsidP="00CC552D">
      <w:pPr>
        <w:pStyle w:val="Kop1"/>
        <w:spacing w:before="0" w:line="360" w:lineRule="auto"/>
        <w:rPr>
          <w:rFonts w:ascii="Times New Roman" w:hAnsi="Times New Roman"/>
          <w:color w:val="auto"/>
          <w:sz w:val="24"/>
          <w:szCs w:val="24"/>
        </w:rPr>
      </w:pPr>
      <w:bookmarkStart w:id="153" w:name="_Toc254044004"/>
      <w:r w:rsidRPr="00484DAF">
        <w:rPr>
          <w:rFonts w:ascii="Times New Roman" w:hAnsi="Times New Roman"/>
          <w:color w:val="auto"/>
          <w:sz w:val="24"/>
          <w:szCs w:val="24"/>
        </w:rPr>
        <w:lastRenderedPageBreak/>
        <w:t>Jurisprudentielijst</w:t>
      </w:r>
      <w:bookmarkEnd w:id="153"/>
    </w:p>
    <w:p w:rsidR="00484DAF" w:rsidRDefault="00484DAF" w:rsidP="00CC552D">
      <w:pPr>
        <w:pStyle w:val="Kop2"/>
        <w:spacing w:before="0" w:line="360" w:lineRule="auto"/>
        <w:rPr>
          <w:rFonts w:ascii="Times New Roman" w:hAnsi="Times New Roman"/>
          <w:color w:val="auto"/>
          <w:sz w:val="24"/>
          <w:szCs w:val="24"/>
        </w:rPr>
      </w:pPr>
      <w:bookmarkStart w:id="154" w:name="_Toc254044005"/>
    </w:p>
    <w:p w:rsidR="00A40AF7" w:rsidRPr="00484DAF" w:rsidRDefault="00A40AF7" w:rsidP="00CC552D">
      <w:pPr>
        <w:pStyle w:val="Kop2"/>
        <w:spacing w:before="0" w:line="360" w:lineRule="auto"/>
        <w:rPr>
          <w:rFonts w:ascii="Times New Roman" w:hAnsi="Times New Roman"/>
          <w:color w:val="auto"/>
          <w:sz w:val="24"/>
          <w:szCs w:val="24"/>
        </w:rPr>
      </w:pPr>
      <w:r w:rsidRPr="00484DAF">
        <w:rPr>
          <w:rFonts w:ascii="Times New Roman" w:hAnsi="Times New Roman"/>
          <w:color w:val="auto"/>
          <w:sz w:val="24"/>
          <w:szCs w:val="24"/>
        </w:rPr>
        <w:t>Besluiten</w:t>
      </w:r>
      <w:r w:rsidR="005A43F9" w:rsidRPr="00484DAF">
        <w:rPr>
          <w:rFonts w:ascii="Times New Roman" w:hAnsi="Times New Roman"/>
          <w:color w:val="auto"/>
          <w:sz w:val="24"/>
          <w:szCs w:val="24"/>
        </w:rPr>
        <w:t>/kamerstukken</w:t>
      </w:r>
      <w:bookmarkEnd w:id="154"/>
    </w:p>
    <w:p w:rsidR="005A43F9" w:rsidRPr="00484DAF" w:rsidRDefault="00A40AF7" w:rsidP="00CC552D">
      <w:pPr>
        <w:pStyle w:val="Geenafstand"/>
        <w:numPr>
          <w:ilvl w:val="0"/>
          <w:numId w:val="3"/>
        </w:numPr>
        <w:spacing w:line="360" w:lineRule="auto"/>
        <w:rPr>
          <w:sz w:val="24"/>
          <w:szCs w:val="24"/>
        </w:rPr>
      </w:pPr>
      <w:r w:rsidRPr="00484DAF">
        <w:rPr>
          <w:sz w:val="24"/>
          <w:szCs w:val="24"/>
        </w:rPr>
        <w:t>Besluit van 14 juli 2009, nr. CPP2008/137M</w:t>
      </w:r>
      <w:r w:rsidR="00301239" w:rsidRPr="00484DAF">
        <w:rPr>
          <w:sz w:val="24"/>
          <w:szCs w:val="24"/>
        </w:rPr>
        <w:t xml:space="preserve">, </w:t>
      </w:r>
      <w:r w:rsidR="00301239" w:rsidRPr="00484DAF">
        <w:rPr>
          <w:i/>
          <w:sz w:val="24"/>
          <w:szCs w:val="24"/>
        </w:rPr>
        <w:t>VN 2009/39.23</w:t>
      </w:r>
      <w:r w:rsidR="00DD5564" w:rsidRPr="00484DAF">
        <w:rPr>
          <w:sz w:val="24"/>
          <w:szCs w:val="24"/>
        </w:rPr>
        <w:t>.</w:t>
      </w:r>
    </w:p>
    <w:p w:rsidR="005A43F9" w:rsidRPr="00484DAF" w:rsidRDefault="005A43F9" w:rsidP="00CC552D">
      <w:pPr>
        <w:pStyle w:val="Geenafstand"/>
        <w:numPr>
          <w:ilvl w:val="0"/>
          <w:numId w:val="3"/>
        </w:numPr>
        <w:spacing w:line="360" w:lineRule="auto"/>
        <w:rPr>
          <w:sz w:val="24"/>
          <w:szCs w:val="24"/>
        </w:rPr>
      </w:pPr>
      <w:r w:rsidRPr="00484DAF">
        <w:rPr>
          <w:sz w:val="24"/>
          <w:szCs w:val="24"/>
        </w:rPr>
        <w:t xml:space="preserve">Mededeling van de Staatssecretaris van Financiën, Infobulletin 87/175, </w:t>
      </w:r>
      <w:r w:rsidRPr="00484DAF">
        <w:rPr>
          <w:i/>
          <w:sz w:val="24"/>
          <w:szCs w:val="24"/>
        </w:rPr>
        <w:t>VN 1987/908</w:t>
      </w:r>
      <w:r w:rsidRPr="00484DAF">
        <w:rPr>
          <w:sz w:val="24"/>
          <w:szCs w:val="24"/>
        </w:rPr>
        <w:t>.</w:t>
      </w:r>
    </w:p>
    <w:p w:rsidR="005A43F9" w:rsidRPr="00484DAF" w:rsidRDefault="00A40AF7" w:rsidP="00CC552D">
      <w:pPr>
        <w:pStyle w:val="Geenafstand"/>
        <w:numPr>
          <w:ilvl w:val="0"/>
          <w:numId w:val="3"/>
        </w:numPr>
        <w:spacing w:line="360" w:lineRule="auto"/>
        <w:rPr>
          <w:sz w:val="24"/>
          <w:szCs w:val="24"/>
        </w:rPr>
      </w:pPr>
      <w:r w:rsidRPr="00484DAF">
        <w:rPr>
          <w:sz w:val="24"/>
          <w:szCs w:val="24"/>
        </w:rPr>
        <w:t>Memorie van Toelichting, Wijziging van de Wet op de omzetbelasting 1968, de Wet op belastingen van rechtsverkeer en enkele andere belastingwetten in verband met de bestrijding van constructies met betrekking tot onroerende zaken, Kamerstukken 1994-1995, 24 172, nr. 3, Tweede Kamer.</w:t>
      </w:r>
    </w:p>
    <w:p w:rsidR="000A0B0F" w:rsidRPr="00484DAF" w:rsidRDefault="000A0B0F" w:rsidP="00CC552D">
      <w:pPr>
        <w:pStyle w:val="Geenafstand"/>
        <w:numPr>
          <w:ilvl w:val="0"/>
          <w:numId w:val="3"/>
        </w:numPr>
        <w:spacing w:line="360" w:lineRule="auto"/>
        <w:rPr>
          <w:sz w:val="24"/>
          <w:szCs w:val="24"/>
        </w:rPr>
      </w:pPr>
      <w:r w:rsidRPr="00484DAF">
        <w:rPr>
          <w:sz w:val="24"/>
          <w:szCs w:val="24"/>
        </w:rPr>
        <w:t>Memorie van Toelichting, Levering van bouwkavels en gebouwen, Kamerstuk 1995/96, 24 703, nr. 3</w:t>
      </w:r>
      <w:r w:rsidR="005A43F9" w:rsidRPr="00484DAF">
        <w:rPr>
          <w:sz w:val="24"/>
          <w:szCs w:val="24"/>
        </w:rPr>
        <w:t>.</w:t>
      </w:r>
    </w:p>
    <w:p w:rsidR="00CC552D" w:rsidRPr="00484DAF" w:rsidRDefault="00CC552D" w:rsidP="00CC552D">
      <w:pPr>
        <w:pStyle w:val="Geenafstand"/>
        <w:spacing w:line="360" w:lineRule="auto"/>
        <w:ind w:left="720"/>
        <w:rPr>
          <w:sz w:val="24"/>
          <w:szCs w:val="24"/>
        </w:rPr>
      </w:pPr>
    </w:p>
    <w:p w:rsidR="004B1CED" w:rsidRPr="00484DAF" w:rsidRDefault="004B1CED" w:rsidP="00CC552D">
      <w:pPr>
        <w:pStyle w:val="Kop2"/>
        <w:spacing w:before="0" w:line="360" w:lineRule="auto"/>
        <w:rPr>
          <w:rFonts w:ascii="Times New Roman" w:hAnsi="Times New Roman"/>
          <w:color w:val="auto"/>
          <w:sz w:val="24"/>
          <w:szCs w:val="24"/>
        </w:rPr>
      </w:pPr>
      <w:bookmarkStart w:id="155" w:name="_Toc254044006"/>
      <w:r w:rsidRPr="00484DAF">
        <w:rPr>
          <w:rFonts w:ascii="Times New Roman" w:hAnsi="Times New Roman"/>
          <w:color w:val="auto"/>
          <w:sz w:val="24"/>
          <w:szCs w:val="24"/>
        </w:rPr>
        <w:t>Rechtbanken</w:t>
      </w:r>
      <w:bookmarkEnd w:id="155"/>
    </w:p>
    <w:p w:rsidR="004B1CED" w:rsidRPr="00484DAF" w:rsidRDefault="004B1CED" w:rsidP="00CC552D">
      <w:pPr>
        <w:pStyle w:val="Geenafstand"/>
        <w:numPr>
          <w:ilvl w:val="0"/>
          <w:numId w:val="3"/>
        </w:numPr>
        <w:spacing w:line="360" w:lineRule="auto"/>
        <w:rPr>
          <w:sz w:val="24"/>
          <w:szCs w:val="24"/>
        </w:rPr>
      </w:pPr>
      <w:r w:rsidRPr="00484DAF">
        <w:rPr>
          <w:sz w:val="24"/>
          <w:szCs w:val="24"/>
        </w:rPr>
        <w:t>Rechtbank Breda 16 maart 2007, nr. AWB 06/865</w:t>
      </w:r>
      <w:r w:rsidRPr="00484DAF">
        <w:rPr>
          <w:i/>
          <w:sz w:val="24"/>
          <w:szCs w:val="24"/>
        </w:rPr>
        <w:t>, VN 2007/44.16</w:t>
      </w:r>
      <w:r w:rsidRPr="00484DAF">
        <w:rPr>
          <w:sz w:val="24"/>
          <w:szCs w:val="24"/>
        </w:rPr>
        <w:t>.</w:t>
      </w:r>
    </w:p>
    <w:p w:rsidR="00B24148" w:rsidRPr="00484DAF" w:rsidRDefault="00B24148" w:rsidP="00CC552D">
      <w:pPr>
        <w:pStyle w:val="Geenafstand"/>
        <w:numPr>
          <w:ilvl w:val="0"/>
          <w:numId w:val="3"/>
        </w:numPr>
        <w:spacing w:line="360" w:lineRule="auto"/>
        <w:rPr>
          <w:sz w:val="24"/>
          <w:szCs w:val="24"/>
        </w:rPr>
      </w:pPr>
      <w:r w:rsidRPr="00484DAF">
        <w:rPr>
          <w:sz w:val="24"/>
          <w:szCs w:val="24"/>
        </w:rPr>
        <w:t xml:space="preserve">Rechtbank Breda 14 augustus 2007, nr. AWB 06/00923, </w:t>
      </w:r>
      <w:r w:rsidRPr="00484DAF">
        <w:rPr>
          <w:i/>
          <w:sz w:val="24"/>
          <w:szCs w:val="24"/>
        </w:rPr>
        <w:t>NTFR2007-1967</w:t>
      </w:r>
      <w:r w:rsidRPr="00484DAF">
        <w:rPr>
          <w:sz w:val="24"/>
          <w:szCs w:val="24"/>
        </w:rPr>
        <w:t>.</w:t>
      </w:r>
    </w:p>
    <w:p w:rsidR="00CC552D" w:rsidRPr="00484DAF" w:rsidRDefault="00CC552D" w:rsidP="00CC552D">
      <w:pPr>
        <w:pStyle w:val="Geenafstand"/>
        <w:spacing w:line="360" w:lineRule="auto"/>
        <w:ind w:left="720"/>
        <w:rPr>
          <w:sz w:val="24"/>
          <w:szCs w:val="24"/>
        </w:rPr>
      </w:pPr>
    </w:p>
    <w:p w:rsidR="001A6698" w:rsidRPr="00484DAF" w:rsidRDefault="001A6698" w:rsidP="00CC552D">
      <w:pPr>
        <w:pStyle w:val="Kop2"/>
        <w:spacing w:before="0" w:line="360" w:lineRule="auto"/>
        <w:rPr>
          <w:rFonts w:ascii="Times New Roman" w:hAnsi="Times New Roman"/>
          <w:color w:val="auto"/>
          <w:sz w:val="24"/>
          <w:szCs w:val="24"/>
        </w:rPr>
      </w:pPr>
      <w:bookmarkStart w:id="156" w:name="_Toc254044007"/>
      <w:r w:rsidRPr="00484DAF">
        <w:rPr>
          <w:rFonts w:ascii="Times New Roman" w:hAnsi="Times New Roman"/>
          <w:color w:val="auto"/>
          <w:sz w:val="24"/>
          <w:szCs w:val="24"/>
        </w:rPr>
        <w:t>Gerechtshoven</w:t>
      </w:r>
      <w:bookmarkEnd w:id="156"/>
    </w:p>
    <w:p w:rsidR="00A2557A" w:rsidRPr="00484DAF" w:rsidRDefault="00A2557A" w:rsidP="00CC552D">
      <w:pPr>
        <w:pStyle w:val="Geenafstand"/>
        <w:numPr>
          <w:ilvl w:val="0"/>
          <w:numId w:val="3"/>
        </w:numPr>
        <w:spacing w:line="360" w:lineRule="auto"/>
        <w:rPr>
          <w:sz w:val="24"/>
          <w:szCs w:val="24"/>
        </w:rPr>
      </w:pPr>
      <w:r w:rsidRPr="00484DAF">
        <w:rPr>
          <w:sz w:val="24"/>
          <w:szCs w:val="24"/>
        </w:rPr>
        <w:t xml:space="preserve">Hof Leeuwarden 12 mei 1989, nr. 431/87, </w:t>
      </w:r>
      <w:r w:rsidRPr="00484DAF">
        <w:rPr>
          <w:i/>
          <w:sz w:val="24"/>
          <w:szCs w:val="24"/>
        </w:rPr>
        <w:t>VN 1989/2830</w:t>
      </w:r>
      <w:r w:rsidRPr="00484DAF">
        <w:rPr>
          <w:sz w:val="24"/>
          <w:szCs w:val="24"/>
        </w:rPr>
        <w:t>.</w:t>
      </w:r>
    </w:p>
    <w:p w:rsidR="005A43F9" w:rsidRPr="00484DAF" w:rsidRDefault="005A43F9" w:rsidP="00CC552D">
      <w:pPr>
        <w:pStyle w:val="Geenafstand"/>
        <w:numPr>
          <w:ilvl w:val="0"/>
          <w:numId w:val="3"/>
        </w:numPr>
        <w:spacing w:line="360" w:lineRule="auto"/>
        <w:rPr>
          <w:sz w:val="24"/>
          <w:szCs w:val="24"/>
        </w:rPr>
      </w:pPr>
      <w:r w:rsidRPr="00484DAF">
        <w:rPr>
          <w:sz w:val="24"/>
          <w:szCs w:val="24"/>
        </w:rPr>
        <w:t xml:space="preserve">Hof Amsterdam 28 maart 1994, nr. 93/2820, </w:t>
      </w:r>
      <w:r w:rsidRPr="00484DAF">
        <w:rPr>
          <w:i/>
          <w:sz w:val="24"/>
          <w:szCs w:val="24"/>
        </w:rPr>
        <w:t>BNB 1995/70</w:t>
      </w:r>
      <w:r w:rsidRPr="00484DAF">
        <w:rPr>
          <w:sz w:val="24"/>
          <w:szCs w:val="24"/>
        </w:rPr>
        <w:t>.</w:t>
      </w:r>
    </w:p>
    <w:p w:rsidR="00BF5014" w:rsidRPr="00484DAF" w:rsidRDefault="00BF5014" w:rsidP="00CC552D">
      <w:pPr>
        <w:pStyle w:val="Geenafstand"/>
        <w:numPr>
          <w:ilvl w:val="0"/>
          <w:numId w:val="3"/>
        </w:numPr>
        <w:spacing w:line="360" w:lineRule="auto"/>
        <w:rPr>
          <w:sz w:val="24"/>
          <w:szCs w:val="24"/>
        </w:rPr>
      </w:pPr>
      <w:r w:rsidRPr="00484DAF">
        <w:rPr>
          <w:sz w:val="24"/>
          <w:szCs w:val="24"/>
        </w:rPr>
        <w:t xml:space="preserve">Hof Amsterdam 5 juni 2000, nr. 99/2651, </w:t>
      </w:r>
      <w:r w:rsidRPr="00484DAF">
        <w:rPr>
          <w:i/>
          <w:sz w:val="24"/>
          <w:szCs w:val="24"/>
        </w:rPr>
        <w:t>VN 2001/12.1.2</w:t>
      </w:r>
      <w:r w:rsidRPr="00484DAF">
        <w:rPr>
          <w:sz w:val="24"/>
          <w:szCs w:val="24"/>
        </w:rPr>
        <w:t>.</w:t>
      </w:r>
    </w:p>
    <w:p w:rsidR="00A2557A" w:rsidRPr="00484DAF" w:rsidRDefault="00A2557A" w:rsidP="00CC552D">
      <w:pPr>
        <w:pStyle w:val="Geenafstand"/>
        <w:numPr>
          <w:ilvl w:val="0"/>
          <w:numId w:val="3"/>
        </w:numPr>
        <w:spacing w:line="360" w:lineRule="auto"/>
        <w:rPr>
          <w:sz w:val="24"/>
          <w:szCs w:val="24"/>
        </w:rPr>
      </w:pPr>
      <w:r w:rsidRPr="00484DAF">
        <w:rPr>
          <w:sz w:val="24"/>
          <w:szCs w:val="24"/>
        </w:rPr>
        <w:t xml:space="preserve">Hof Den Haag 6 oktober 2000, nr. 99/0575, </w:t>
      </w:r>
      <w:r w:rsidRPr="00484DAF">
        <w:rPr>
          <w:i/>
          <w:sz w:val="24"/>
          <w:szCs w:val="24"/>
        </w:rPr>
        <w:t>VN 2001/15.2.3</w:t>
      </w:r>
      <w:r w:rsidRPr="00484DAF">
        <w:rPr>
          <w:sz w:val="24"/>
          <w:szCs w:val="24"/>
        </w:rPr>
        <w:t>.</w:t>
      </w:r>
    </w:p>
    <w:p w:rsidR="00C5640B" w:rsidRPr="00484DAF" w:rsidRDefault="00C5640B" w:rsidP="00CC552D">
      <w:pPr>
        <w:pStyle w:val="Geenafstand"/>
        <w:numPr>
          <w:ilvl w:val="0"/>
          <w:numId w:val="3"/>
        </w:numPr>
        <w:spacing w:line="360" w:lineRule="auto"/>
        <w:rPr>
          <w:sz w:val="24"/>
          <w:szCs w:val="24"/>
        </w:rPr>
      </w:pPr>
      <w:r w:rsidRPr="00484DAF">
        <w:rPr>
          <w:sz w:val="24"/>
          <w:szCs w:val="24"/>
        </w:rPr>
        <w:t xml:space="preserve">Hof Den Haag 7 juni 2001, nr. 00/00117, </w:t>
      </w:r>
      <w:r w:rsidRPr="00484DAF">
        <w:rPr>
          <w:i/>
          <w:sz w:val="24"/>
          <w:szCs w:val="24"/>
        </w:rPr>
        <w:t>VN 2001/52.20</w:t>
      </w:r>
    </w:p>
    <w:p w:rsidR="00BF5014" w:rsidRPr="00484DAF" w:rsidRDefault="005A43F9" w:rsidP="00CC552D">
      <w:pPr>
        <w:pStyle w:val="Geenafstand"/>
        <w:numPr>
          <w:ilvl w:val="0"/>
          <w:numId w:val="3"/>
        </w:numPr>
        <w:spacing w:line="360" w:lineRule="auto"/>
        <w:rPr>
          <w:sz w:val="24"/>
          <w:szCs w:val="24"/>
        </w:rPr>
      </w:pPr>
      <w:r w:rsidRPr="00484DAF">
        <w:rPr>
          <w:sz w:val="24"/>
          <w:szCs w:val="24"/>
        </w:rPr>
        <w:t xml:space="preserve">Hof Den Haag 12 juli 2001, nr. 99/2059, </w:t>
      </w:r>
      <w:r w:rsidRPr="00484DAF">
        <w:rPr>
          <w:i/>
          <w:sz w:val="24"/>
          <w:szCs w:val="24"/>
        </w:rPr>
        <w:t>VN 2002/22.23</w:t>
      </w:r>
      <w:r w:rsidRPr="00484DAF">
        <w:rPr>
          <w:sz w:val="24"/>
          <w:szCs w:val="24"/>
        </w:rPr>
        <w:t>.</w:t>
      </w:r>
      <w:r w:rsidR="00BF5014" w:rsidRPr="00484DAF">
        <w:rPr>
          <w:sz w:val="24"/>
          <w:szCs w:val="24"/>
        </w:rPr>
        <w:t xml:space="preserve"> </w:t>
      </w:r>
    </w:p>
    <w:p w:rsidR="005A43F9" w:rsidRPr="00484DAF" w:rsidRDefault="00BF5014" w:rsidP="00CC552D">
      <w:pPr>
        <w:pStyle w:val="Geenafstand"/>
        <w:numPr>
          <w:ilvl w:val="0"/>
          <w:numId w:val="3"/>
        </w:numPr>
        <w:spacing w:line="360" w:lineRule="auto"/>
        <w:rPr>
          <w:sz w:val="24"/>
          <w:szCs w:val="24"/>
        </w:rPr>
      </w:pPr>
      <w:r w:rsidRPr="00484DAF">
        <w:rPr>
          <w:sz w:val="24"/>
          <w:szCs w:val="24"/>
        </w:rPr>
        <w:t xml:space="preserve">Hof Arnhem 20 september 2002, nr. 01/0447, </w:t>
      </w:r>
      <w:r w:rsidRPr="00484DAF">
        <w:rPr>
          <w:i/>
          <w:sz w:val="24"/>
          <w:szCs w:val="24"/>
        </w:rPr>
        <w:t>VN 2003/5.17</w:t>
      </w:r>
      <w:r w:rsidRPr="00484DAF">
        <w:rPr>
          <w:sz w:val="24"/>
          <w:szCs w:val="24"/>
        </w:rPr>
        <w:t>.</w:t>
      </w:r>
    </w:p>
    <w:p w:rsidR="0088241A" w:rsidRPr="00484DAF" w:rsidRDefault="0088241A" w:rsidP="00CC552D">
      <w:pPr>
        <w:pStyle w:val="Geenafstand"/>
        <w:numPr>
          <w:ilvl w:val="0"/>
          <w:numId w:val="3"/>
        </w:numPr>
        <w:spacing w:line="360" w:lineRule="auto"/>
        <w:rPr>
          <w:sz w:val="24"/>
          <w:szCs w:val="24"/>
        </w:rPr>
      </w:pPr>
      <w:r w:rsidRPr="00484DAF">
        <w:rPr>
          <w:sz w:val="24"/>
          <w:szCs w:val="24"/>
        </w:rPr>
        <w:t xml:space="preserve">Hof Leeuwarden 25 oktober 2002, nr. 01/0521, </w:t>
      </w:r>
      <w:r w:rsidRPr="00484DAF">
        <w:rPr>
          <w:i/>
          <w:sz w:val="24"/>
          <w:szCs w:val="24"/>
        </w:rPr>
        <w:t>VN 2003/9.2.10.</w:t>
      </w:r>
    </w:p>
    <w:p w:rsidR="00583CAC" w:rsidRPr="00484DAF" w:rsidRDefault="00577AEF" w:rsidP="00CC552D">
      <w:pPr>
        <w:pStyle w:val="Geenafstand"/>
        <w:numPr>
          <w:ilvl w:val="0"/>
          <w:numId w:val="3"/>
        </w:numPr>
        <w:spacing w:line="360" w:lineRule="auto"/>
        <w:rPr>
          <w:sz w:val="24"/>
          <w:szCs w:val="24"/>
        </w:rPr>
      </w:pPr>
      <w:r w:rsidRPr="00484DAF">
        <w:rPr>
          <w:sz w:val="24"/>
          <w:szCs w:val="24"/>
        </w:rPr>
        <w:t>Hof Den Haag</w:t>
      </w:r>
      <w:r w:rsidR="00583CAC" w:rsidRPr="00484DAF">
        <w:rPr>
          <w:sz w:val="24"/>
          <w:szCs w:val="24"/>
        </w:rPr>
        <w:t xml:space="preserve"> 15 november 2002, nr. 01/2211, </w:t>
      </w:r>
      <w:r w:rsidR="00583CAC" w:rsidRPr="00484DAF">
        <w:rPr>
          <w:i/>
          <w:sz w:val="24"/>
          <w:szCs w:val="24"/>
        </w:rPr>
        <w:t>VN 2003/29.23</w:t>
      </w:r>
      <w:r w:rsidR="0088241A" w:rsidRPr="00484DAF">
        <w:rPr>
          <w:i/>
          <w:sz w:val="24"/>
          <w:szCs w:val="24"/>
        </w:rPr>
        <w:t>.</w:t>
      </w:r>
    </w:p>
    <w:p w:rsidR="0088241A" w:rsidRPr="00484DAF" w:rsidRDefault="0088241A" w:rsidP="00CC552D">
      <w:pPr>
        <w:pStyle w:val="Geenafstand"/>
        <w:numPr>
          <w:ilvl w:val="0"/>
          <w:numId w:val="3"/>
        </w:numPr>
        <w:spacing w:line="360" w:lineRule="auto"/>
        <w:rPr>
          <w:sz w:val="24"/>
          <w:szCs w:val="24"/>
        </w:rPr>
      </w:pPr>
      <w:r w:rsidRPr="00484DAF">
        <w:rPr>
          <w:sz w:val="24"/>
          <w:szCs w:val="24"/>
        </w:rPr>
        <w:t xml:space="preserve">Hof Arnhem, 5 december 2002, nr. 00/1748, </w:t>
      </w:r>
      <w:r w:rsidRPr="00484DAF">
        <w:rPr>
          <w:i/>
          <w:sz w:val="24"/>
          <w:szCs w:val="24"/>
        </w:rPr>
        <w:t>VN 2003/17.3.8</w:t>
      </w:r>
      <w:r w:rsidRPr="00484DAF">
        <w:rPr>
          <w:sz w:val="24"/>
          <w:szCs w:val="24"/>
        </w:rPr>
        <w:t>.</w:t>
      </w:r>
    </w:p>
    <w:p w:rsidR="005A43F9" w:rsidRPr="00484DAF" w:rsidRDefault="005A43F9" w:rsidP="00CC552D">
      <w:pPr>
        <w:pStyle w:val="Geenafstand"/>
        <w:numPr>
          <w:ilvl w:val="0"/>
          <w:numId w:val="3"/>
        </w:numPr>
        <w:spacing w:line="360" w:lineRule="auto"/>
        <w:rPr>
          <w:sz w:val="24"/>
          <w:szCs w:val="24"/>
        </w:rPr>
      </w:pPr>
      <w:r w:rsidRPr="00484DAF">
        <w:rPr>
          <w:sz w:val="24"/>
          <w:szCs w:val="24"/>
        </w:rPr>
        <w:t xml:space="preserve">Hof Den Bosch 13 december 2002, nr. 00/0268, </w:t>
      </w:r>
      <w:r w:rsidRPr="00484DAF">
        <w:rPr>
          <w:i/>
          <w:sz w:val="24"/>
          <w:szCs w:val="24"/>
        </w:rPr>
        <w:t>VN 2003/17.16</w:t>
      </w:r>
      <w:r w:rsidRPr="00484DAF">
        <w:rPr>
          <w:sz w:val="24"/>
          <w:szCs w:val="24"/>
        </w:rPr>
        <w:t>.</w:t>
      </w:r>
    </w:p>
    <w:p w:rsidR="00BF5014" w:rsidRPr="00484DAF" w:rsidRDefault="00577AEF" w:rsidP="00CC552D">
      <w:pPr>
        <w:pStyle w:val="Geenafstand"/>
        <w:numPr>
          <w:ilvl w:val="0"/>
          <w:numId w:val="3"/>
        </w:numPr>
        <w:spacing w:line="360" w:lineRule="auto"/>
        <w:rPr>
          <w:sz w:val="24"/>
          <w:szCs w:val="24"/>
        </w:rPr>
      </w:pPr>
      <w:r w:rsidRPr="00484DAF">
        <w:rPr>
          <w:sz w:val="24"/>
          <w:szCs w:val="24"/>
        </w:rPr>
        <w:t>Hof Den Bosch</w:t>
      </w:r>
      <w:r w:rsidR="00BF5014" w:rsidRPr="00484DAF">
        <w:rPr>
          <w:sz w:val="24"/>
          <w:szCs w:val="24"/>
        </w:rPr>
        <w:t xml:space="preserve"> 3 april 2003, nr. 00/2480, </w:t>
      </w:r>
      <w:r w:rsidR="00BF5014" w:rsidRPr="00484DAF">
        <w:rPr>
          <w:i/>
          <w:sz w:val="24"/>
          <w:szCs w:val="24"/>
        </w:rPr>
        <w:t>VN 2003/23.3.2</w:t>
      </w:r>
      <w:r w:rsidR="00BF5014" w:rsidRPr="00484DAF">
        <w:rPr>
          <w:sz w:val="24"/>
          <w:szCs w:val="24"/>
        </w:rPr>
        <w:t>.</w:t>
      </w:r>
    </w:p>
    <w:p w:rsidR="00BF5014" w:rsidRPr="00484DAF" w:rsidRDefault="00BF5014" w:rsidP="00CC552D">
      <w:pPr>
        <w:pStyle w:val="Geenafstand"/>
        <w:numPr>
          <w:ilvl w:val="0"/>
          <w:numId w:val="3"/>
        </w:numPr>
        <w:spacing w:line="360" w:lineRule="auto"/>
        <w:rPr>
          <w:sz w:val="24"/>
          <w:szCs w:val="24"/>
        </w:rPr>
      </w:pPr>
      <w:r w:rsidRPr="00484DAF">
        <w:rPr>
          <w:sz w:val="24"/>
          <w:szCs w:val="24"/>
        </w:rPr>
        <w:t xml:space="preserve">Hof Den Bosch 15 augustus 2003, </w:t>
      </w:r>
      <w:r w:rsidRPr="00484DAF">
        <w:rPr>
          <w:i/>
          <w:sz w:val="24"/>
          <w:szCs w:val="24"/>
        </w:rPr>
        <w:t>VN 2003/60.18</w:t>
      </w:r>
      <w:r w:rsidRPr="00484DAF">
        <w:rPr>
          <w:sz w:val="24"/>
          <w:szCs w:val="24"/>
        </w:rPr>
        <w:t>.</w:t>
      </w:r>
    </w:p>
    <w:p w:rsidR="00BF5014" w:rsidRPr="00484DAF" w:rsidRDefault="00BF5014" w:rsidP="00CC552D">
      <w:pPr>
        <w:pStyle w:val="Geenafstand"/>
        <w:numPr>
          <w:ilvl w:val="0"/>
          <w:numId w:val="3"/>
        </w:numPr>
        <w:spacing w:line="360" w:lineRule="auto"/>
        <w:rPr>
          <w:sz w:val="24"/>
          <w:szCs w:val="24"/>
        </w:rPr>
      </w:pPr>
      <w:r w:rsidRPr="00484DAF">
        <w:rPr>
          <w:sz w:val="24"/>
          <w:szCs w:val="24"/>
        </w:rPr>
        <w:t xml:space="preserve">Hof Arnhem 24 december 2003, nr. 03/0811, </w:t>
      </w:r>
      <w:r w:rsidRPr="00484DAF">
        <w:rPr>
          <w:i/>
          <w:sz w:val="24"/>
          <w:szCs w:val="24"/>
        </w:rPr>
        <w:t>VN 2004/7.1.2</w:t>
      </w:r>
      <w:r w:rsidRPr="00484DAF">
        <w:rPr>
          <w:sz w:val="24"/>
          <w:szCs w:val="24"/>
        </w:rPr>
        <w:t>.</w:t>
      </w:r>
    </w:p>
    <w:p w:rsidR="00577AEF" w:rsidRPr="00484DAF" w:rsidRDefault="00577AEF" w:rsidP="00CC552D">
      <w:pPr>
        <w:pStyle w:val="Geenafstand"/>
        <w:numPr>
          <w:ilvl w:val="0"/>
          <w:numId w:val="3"/>
        </w:numPr>
        <w:spacing w:line="360" w:lineRule="auto"/>
        <w:rPr>
          <w:sz w:val="24"/>
          <w:szCs w:val="24"/>
        </w:rPr>
      </w:pPr>
      <w:r w:rsidRPr="00484DAF">
        <w:rPr>
          <w:sz w:val="24"/>
          <w:szCs w:val="24"/>
        </w:rPr>
        <w:t xml:space="preserve">Hof Den Bosch 4 februari 2004, nr. 03/0254, </w:t>
      </w:r>
      <w:r w:rsidRPr="00484DAF">
        <w:rPr>
          <w:i/>
          <w:sz w:val="24"/>
          <w:szCs w:val="24"/>
        </w:rPr>
        <w:t>VN 2004/33.24</w:t>
      </w:r>
      <w:r w:rsidRPr="00484DAF">
        <w:rPr>
          <w:sz w:val="24"/>
          <w:szCs w:val="24"/>
        </w:rPr>
        <w:t>.</w:t>
      </w:r>
    </w:p>
    <w:p w:rsidR="0088241A" w:rsidRPr="00484DAF" w:rsidRDefault="0088241A" w:rsidP="00CC552D">
      <w:pPr>
        <w:pStyle w:val="Geenafstand"/>
        <w:numPr>
          <w:ilvl w:val="0"/>
          <w:numId w:val="3"/>
        </w:numPr>
        <w:spacing w:line="360" w:lineRule="auto"/>
        <w:rPr>
          <w:sz w:val="24"/>
          <w:szCs w:val="24"/>
        </w:rPr>
      </w:pPr>
      <w:r w:rsidRPr="00484DAF">
        <w:rPr>
          <w:sz w:val="24"/>
          <w:szCs w:val="24"/>
        </w:rPr>
        <w:t xml:space="preserve">Hof Amsterdam 18 oktober 2004, nr. 03/1746, </w:t>
      </w:r>
      <w:r w:rsidRPr="00484DAF">
        <w:rPr>
          <w:i/>
          <w:sz w:val="24"/>
          <w:szCs w:val="24"/>
        </w:rPr>
        <w:t>VN 2005/6.1.14</w:t>
      </w:r>
      <w:r w:rsidRPr="00484DAF">
        <w:rPr>
          <w:sz w:val="24"/>
          <w:szCs w:val="24"/>
        </w:rPr>
        <w:t>.</w:t>
      </w:r>
    </w:p>
    <w:p w:rsidR="00BF5014" w:rsidRPr="00484DAF" w:rsidRDefault="00BF5014" w:rsidP="00CC552D">
      <w:pPr>
        <w:pStyle w:val="Geenafstand"/>
        <w:numPr>
          <w:ilvl w:val="0"/>
          <w:numId w:val="3"/>
        </w:numPr>
        <w:spacing w:line="360" w:lineRule="auto"/>
        <w:rPr>
          <w:sz w:val="24"/>
          <w:szCs w:val="24"/>
        </w:rPr>
      </w:pPr>
      <w:r w:rsidRPr="00484DAF">
        <w:rPr>
          <w:sz w:val="24"/>
          <w:szCs w:val="24"/>
        </w:rPr>
        <w:t xml:space="preserve">Hof Den Bosch 1 juli 2005, nr. 02/2152, </w:t>
      </w:r>
      <w:r w:rsidRPr="00484DAF">
        <w:rPr>
          <w:i/>
          <w:sz w:val="24"/>
          <w:szCs w:val="24"/>
        </w:rPr>
        <w:t>VN 2005/52.22</w:t>
      </w:r>
      <w:r w:rsidRPr="00484DAF">
        <w:rPr>
          <w:sz w:val="24"/>
          <w:szCs w:val="24"/>
        </w:rPr>
        <w:t>.</w:t>
      </w:r>
    </w:p>
    <w:p w:rsidR="00583CAC" w:rsidRPr="00484DAF" w:rsidRDefault="00583CAC" w:rsidP="00CC552D">
      <w:pPr>
        <w:pStyle w:val="Geenafstand"/>
        <w:numPr>
          <w:ilvl w:val="0"/>
          <w:numId w:val="3"/>
        </w:numPr>
        <w:spacing w:line="360" w:lineRule="auto"/>
        <w:rPr>
          <w:sz w:val="24"/>
          <w:szCs w:val="24"/>
        </w:rPr>
      </w:pPr>
      <w:r w:rsidRPr="00484DAF">
        <w:rPr>
          <w:sz w:val="24"/>
          <w:szCs w:val="24"/>
        </w:rPr>
        <w:lastRenderedPageBreak/>
        <w:t xml:space="preserve">Hof Den Haag 27 januari 2006, nr. 05/0125 </w:t>
      </w:r>
      <w:r w:rsidRPr="00484DAF">
        <w:rPr>
          <w:i/>
          <w:sz w:val="24"/>
          <w:szCs w:val="24"/>
        </w:rPr>
        <w:t>(Niet gepubliceerd)</w:t>
      </w:r>
      <w:r w:rsidRPr="00484DAF">
        <w:rPr>
          <w:sz w:val="24"/>
          <w:szCs w:val="24"/>
        </w:rPr>
        <w:t>.</w:t>
      </w:r>
    </w:p>
    <w:p w:rsidR="00583CAC" w:rsidRPr="00484DAF" w:rsidRDefault="00583CAC" w:rsidP="00CC552D">
      <w:pPr>
        <w:pStyle w:val="Geenafstand"/>
        <w:numPr>
          <w:ilvl w:val="0"/>
          <w:numId w:val="3"/>
        </w:numPr>
        <w:spacing w:line="360" w:lineRule="auto"/>
        <w:rPr>
          <w:sz w:val="24"/>
          <w:szCs w:val="24"/>
        </w:rPr>
      </w:pPr>
      <w:r w:rsidRPr="00484DAF">
        <w:rPr>
          <w:sz w:val="24"/>
          <w:szCs w:val="24"/>
        </w:rPr>
        <w:t xml:space="preserve">Hof Den Bosch 29 maart 2006, nr. 04/1884, </w:t>
      </w:r>
      <w:r w:rsidRPr="00484DAF">
        <w:rPr>
          <w:i/>
          <w:sz w:val="24"/>
          <w:szCs w:val="24"/>
        </w:rPr>
        <w:t>VN 2006/40.1.13</w:t>
      </w:r>
      <w:r w:rsidRPr="00484DAF">
        <w:rPr>
          <w:sz w:val="24"/>
          <w:szCs w:val="24"/>
        </w:rPr>
        <w:t>.</w:t>
      </w:r>
    </w:p>
    <w:p w:rsidR="0088241A" w:rsidRPr="00484DAF" w:rsidRDefault="00577AEF" w:rsidP="00CC552D">
      <w:pPr>
        <w:pStyle w:val="Geenafstand"/>
        <w:numPr>
          <w:ilvl w:val="0"/>
          <w:numId w:val="3"/>
        </w:numPr>
        <w:spacing w:line="360" w:lineRule="auto"/>
        <w:rPr>
          <w:sz w:val="24"/>
          <w:szCs w:val="24"/>
        </w:rPr>
      </w:pPr>
      <w:r w:rsidRPr="00484DAF">
        <w:rPr>
          <w:sz w:val="24"/>
          <w:szCs w:val="24"/>
        </w:rPr>
        <w:t>Hof Arnhem</w:t>
      </w:r>
      <w:r w:rsidR="0088241A" w:rsidRPr="00484DAF">
        <w:rPr>
          <w:sz w:val="24"/>
          <w:szCs w:val="24"/>
        </w:rPr>
        <w:t xml:space="preserve"> 14 juli 2006, nr. 04/00417, </w:t>
      </w:r>
      <w:r w:rsidR="0088241A" w:rsidRPr="00484DAF">
        <w:rPr>
          <w:i/>
          <w:sz w:val="24"/>
          <w:szCs w:val="24"/>
        </w:rPr>
        <w:t>VN 2006/60.12.</w:t>
      </w:r>
    </w:p>
    <w:p w:rsidR="00583CAC" w:rsidRPr="00484DAF" w:rsidRDefault="00583CAC" w:rsidP="00CC552D">
      <w:pPr>
        <w:pStyle w:val="Geenafstand"/>
        <w:numPr>
          <w:ilvl w:val="0"/>
          <w:numId w:val="3"/>
        </w:numPr>
        <w:spacing w:line="360" w:lineRule="auto"/>
        <w:rPr>
          <w:sz w:val="24"/>
          <w:szCs w:val="24"/>
        </w:rPr>
      </w:pPr>
      <w:r w:rsidRPr="00484DAF">
        <w:rPr>
          <w:sz w:val="24"/>
          <w:szCs w:val="24"/>
        </w:rPr>
        <w:t xml:space="preserve">Hof Den Bosch 26 september 2007, nr. 06/00386, </w:t>
      </w:r>
      <w:r w:rsidRPr="00484DAF">
        <w:rPr>
          <w:i/>
          <w:sz w:val="24"/>
          <w:szCs w:val="24"/>
        </w:rPr>
        <w:t>VN 2008/12.25</w:t>
      </w:r>
      <w:r w:rsidRPr="00484DAF">
        <w:rPr>
          <w:sz w:val="24"/>
          <w:szCs w:val="24"/>
        </w:rPr>
        <w:t>.</w:t>
      </w:r>
    </w:p>
    <w:p w:rsidR="00583CAC" w:rsidRPr="00484DAF" w:rsidRDefault="00583CAC" w:rsidP="00CC552D">
      <w:pPr>
        <w:pStyle w:val="Geenafstand"/>
        <w:numPr>
          <w:ilvl w:val="0"/>
          <w:numId w:val="3"/>
        </w:numPr>
        <w:spacing w:line="360" w:lineRule="auto"/>
        <w:rPr>
          <w:sz w:val="24"/>
          <w:szCs w:val="24"/>
        </w:rPr>
      </w:pPr>
      <w:r w:rsidRPr="00484DAF">
        <w:rPr>
          <w:sz w:val="24"/>
          <w:szCs w:val="24"/>
        </w:rPr>
        <w:t xml:space="preserve">Hof Den Bosch 5 oktober 2006, nr. 03/01019, </w:t>
      </w:r>
      <w:r w:rsidRPr="00484DAF">
        <w:rPr>
          <w:i/>
          <w:sz w:val="24"/>
          <w:szCs w:val="24"/>
        </w:rPr>
        <w:t>VN 2007/28.23</w:t>
      </w:r>
      <w:r w:rsidRPr="00484DAF">
        <w:rPr>
          <w:sz w:val="24"/>
          <w:szCs w:val="24"/>
        </w:rPr>
        <w:t>.</w:t>
      </w:r>
    </w:p>
    <w:p w:rsidR="00BF5014" w:rsidRPr="00484DAF" w:rsidRDefault="00BF5014" w:rsidP="00CC552D">
      <w:pPr>
        <w:pStyle w:val="Geenafstand"/>
        <w:numPr>
          <w:ilvl w:val="0"/>
          <w:numId w:val="3"/>
        </w:numPr>
        <w:spacing w:line="360" w:lineRule="auto"/>
        <w:rPr>
          <w:sz w:val="24"/>
          <w:szCs w:val="24"/>
        </w:rPr>
      </w:pPr>
      <w:r w:rsidRPr="00484DAF">
        <w:rPr>
          <w:sz w:val="24"/>
          <w:szCs w:val="24"/>
        </w:rPr>
        <w:t xml:space="preserve">Hof Den Bosch 12 juni 2008, nr. 04/00433, </w:t>
      </w:r>
      <w:r w:rsidRPr="00484DAF">
        <w:rPr>
          <w:i/>
          <w:sz w:val="24"/>
          <w:szCs w:val="24"/>
        </w:rPr>
        <w:t>VN 2008/52.22</w:t>
      </w:r>
      <w:r w:rsidRPr="00484DAF">
        <w:rPr>
          <w:sz w:val="24"/>
          <w:szCs w:val="24"/>
        </w:rPr>
        <w:t>.</w:t>
      </w:r>
    </w:p>
    <w:p w:rsidR="005A4228" w:rsidRPr="00484DAF" w:rsidRDefault="005A4228" w:rsidP="00CC552D">
      <w:pPr>
        <w:pStyle w:val="Geenafstand"/>
        <w:numPr>
          <w:ilvl w:val="0"/>
          <w:numId w:val="3"/>
        </w:numPr>
        <w:spacing w:line="360" w:lineRule="auto"/>
        <w:rPr>
          <w:sz w:val="24"/>
          <w:szCs w:val="24"/>
        </w:rPr>
      </w:pPr>
      <w:r w:rsidRPr="00484DAF">
        <w:rPr>
          <w:sz w:val="24"/>
          <w:szCs w:val="24"/>
        </w:rPr>
        <w:t>Hof Den Bosch 17 juli 2008, nr. 07/00459,</w:t>
      </w:r>
      <w:r w:rsidR="009F0D78" w:rsidRPr="00484DAF">
        <w:rPr>
          <w:sz w:val="24"/>
          <w:szCs w:val="24"/>
        </w:rPr>
        <w:t xml:space="preserve"> </w:t>
      </w:r>
      <w:r w:rsidRPr="00484DAF">
        <w:rPr>
          <w:i/>
          <w:sz w:val="24"/>
          <w:szCs w:val="24"/>
        </w:rPr>
        <w:t>NTFR 2008</w:t>
      </w:r>
      <w:r w:rsidR="00B24148" w:rsidRPr="00484DAF">
        <w:rPr>
          <w:i/>
          <w:sz w:val="24"/>
          <w:szCs w:val="24"/>
        </w:rPr>
        <w:t>-</w:t>
      </w:r>
      <w:r w:rsidRPr="00484DAF">
        <w:rPr>
          <w:i/>
          <w:sz w:val="24"/>
          <w:szCs w:val="24"/>
        </w:rPr>
        <w:t>2041</w:t>
      </w:r>
      <w:r w:rsidRPr="00484DAF">
        <w:rPr>
          <w:sz w:val="24"/>
          <w:szCs w:val="24"/>
        </w:rPr>
        <w:t>.</w:t>
      </w:r>
    </w:p>
    <w:p w:rsidR="005A43F9" w:rsidRPr="00484DAF" w:rsidRDefault="00DD5564" w:rsidP="00CC552D">
      <w:pPr>
        <w:pStyle w:val="Geenafstand"/>
        <w:numPr>
          <w:ilvl w:val="0"/>
          <w:numId w:val="3"/>
        </w:numPr>
        <w:spacing w:line="360" w:lineRule="auto"/>
        <w:rPr>
          <w:sz w:val="24"/>
          <w:szCs w:val="24"/>
        </w:rPr>
      </w:pPr>
      <w:r w:rsidRPr="00484DAF">
        <w:rPr>
          <w:sz w:val="24"/>
          <w:szCs w:val="24"/>
        </w:rPr>
        <w:t xml:space="preserve">Hof Den Bosch 3 oktober 2008, nr. 04/02218, </w:t>
      </w:r>
      <w:r w:rsidRPr="00484DAF">
        <w:rPr>
          <w:i/>
          <w:sz w:val="24"/>
          <w:szCs w:val="24"/>
        </w:rPr>
        <w:t>VN 2009/17.19</w:t>
      </w:r>
      <w:r w:rsidRPr="00484DAF">
        <w:rPr>
          <w:sz w:val="24"/>
          <w:szCs w:val="24"/>
        </w:rPr>
        <w:t>.</w:t>
      </w:r>
    </w:p>
    <w:p w:rsidR="00CC552D" w:rsidRPr="00484DAF" w:rsidRDefault="00CC552D" w:rsidP="00CC552D">
      <w:pPr>
        <w:pStyle w:val="Geenafstand"/>
        <w:spacing w:line="360" w:lineRule="auto"/>
        <w:ind w:left="720"/>
        <w:rPr>
          <w:sz w:val="24"/>
          <w:szCs w:val="24"/>
        </w:rPr>
      </w:pPr>
    </w:p>
    <w:p w:rsidR="001A6698" w:rsidRPr="00484DAF" w:rsidRDefault="001A6698" w:rsidP="00CC552D">
      <w:pPr>
        <w:pStyle w:val="Kop2"/>
        <w:spacing w:before="0" w:line="360" w:lineRule="auto"/>
        <w:rPr>
          <w:rFonts w:ascii="Times New Roman" w:hAnsi="Times New Roman"/>
          <w:color w:val="auto"/>
          <w:sz w:val="24"/>
          <w:szCs w:val="24"/>
        </w:rPr>
      </w:pPr>
      <w:bookmarkStart w:id="157" w:name="_Toc254044008"/>
      <w:r w:rsidRPr="00484DAF">
        <w:rPr>
          <w:rFonts w:ascii="Times New Roman" w:hAnsi="Times New Roman"/>
          <w:color w:val="auto"/>
          <w:sz w:val="24"/>
          <w:szCs w:val="24"/>
        </w:rPr>
        <w:t>Hoge Raad</w:t>
      </w:r>
      <w:bookmarkEnd w:id="157"/>
    </w:p>
    <w:p w:rsidR="004B1CED" w:rsidRPr="00484DAF" w:rsidRDefault="004B1CED" w:rsidP="00CC552D">
      <w:pPr>
        <w:pStyle w:val="Geenafstand"/>
        <w:numPr>
          <w:ilvl w:val="0"/>
          <w:numId w:val="3"/>
        </w:numPr>
        <w:spacing w:line="360" w:lineRule="auto"/>
        <w:rPr>
          <w:sz w:val="24"/>
          <w:szCs w:val="24"/>
        </w:rPr>
      </w:pPr>
      <w:r w:rsidRPr="00484DAF">
        <w:rPr>
          <w:sz w:val="24"/>
          <w:szCs w:val="24"/>
        </w:rPr>
        <w:t xml:space="preserve">HR 2 oktober 1985, nr. 22 246, </w:t>
      </w:r>
      <w:r w:rsidRPr="00484DAF">
        <w:rPr>
          <w:i/>
          <w:sz w:val="24"/>
          <w:szCs w:val="24"/>
        </w:rPr>
        <w:t>BNB 1985/336 *.</w:t>
      </w:r>
    </w:p>
    <w:p w:rsidR="00BF5014" w:rsidRPr="00484DAF" w:rsidRDefault="00D12918" w:rsidP="00CC552D">
      <w:pPr>
        <w:pStyle w:val="Geenafstand"/>
        <w:numPr>
          <w:ilvl w:val="0"/>
          <w:numId w:val="3"/>
        </w:numPr>
        <w:spacing w:line="360" w:lineRule="auto"/>
        <w:rPr>
          <w:sz w:val="24"/>
          <w:szCs w:val="24"/>
          <w:lang w:val="en-US"/>
        </w:rPr>
      </w:pPr>
      <w:r>
        <w:rPr>
          <w:sz w:val="24"/>
          <w:szCs w:val="24"/>
          <w:lang w:val="en-US"/>
        </w:rPr>
        <w:t>HR 17 december 1986</w:t>
      </w:r>
      <w:r w:rsidR="00BF5014" w:rsidRPr="00484DAF">
        <w:rPr>
          <w:sz w:val="24"/>
          <w:szCs w:val="24"/>
          <w:lang w:val="en-US"/>
        </w:rPr>
        <w:t xml:space="preserve">, nr. 23 578, </w:t>
      </w:r>
      <w:r w:rsidR="00BF5014" w:rsidRPr="00484DAF">
        <w:rPr>
          <w:i/>
          <w:sz w:val="24"/>
          <w:szCs w:val="24"/>
          <w:lang w:val="en-US"/>
        </w:rPr>
        <w:t>BNB 1987/59</w:t>
      </w:r>
      <w:r w:rsidR="00BF5014" w:rsidRPr="00484DAF">
        <w:rPr>
          <w:sz w:val="24"/>
          <w:szCs w:val="24"/>
          <w:lang w:val="en-US"/>
        </w:rPr>
        <w:t>.</w:t>
      </w:r>
    </w:p>
    <w:p w:rsidR="004B1CED" w:rsidRPr="00484DAF" w:rsidRDefault="00D12918" w:rsidP="00CC552D">
      <w:pPr>
        <w:pStyle w:val="Geenafstand"/>
        <w:numPr>
          <w:ilvl w:val="0"/>
          <w:numId w:val="3"/>
        </w:numPr>
        <w:spacing w:line="360" w:lineRule="auto"/>
        <w:rPr>
          <w:sz w:val="24"/>
          <w:szCs w:val="24"/>
        </w:rPr>
      </w:pPr>
      <w:r>
        <w:rPr>
          <w:sz w:val="24"/>
          <w:szCs w:val="24"/>
        </w:rPr>
        <w:t>HR 17 juni 1987</w:t>
      </w:r>
      <w:r w:rsidR="004B1CED" w:rsidRPr="00484DAF">
        <w:rPr>
          <w:sz w:val="24"/>
          <w:szCs w:val="24"/>
        </w:rPr>
        <w:t xml:space="preserve">, nr. 23 782, </w:t>
      </w:r>
      <w:r w:rsidR="004B1CED" w:rsidRPr="00484DAF">
        <w:rPr>
          <w:i/>
          <w:sz w:val="24"/>
          <w:szCs w:val="24"/>
        </w:rPr>
        <w:t>BNB 1987/243</w:t>
      </w:r>
      <w:r w:rsidR="004B1CED" w:rsidRPr="00484DAF">
        <w:rPr>
          <w:sz w:val="24"/>
          <w:szCs w:val="24"/>
        </w:rPr>
        <w:t>.</w:t>
      </w:r>
    </w:p>
    <w:p w:rsidR="004B1CED" w:rsidRPr="00484DAF" w:rsidRDefault="004B1CED" w:rsidP="00CC552D">
      <w:pPr>
        <w:pStyle w:val="Geenafstand"/>
        <w:numPr>
          <w:ilvl w:val="0"/>
          <w:numId w:val="3"/>
        </w:numPr>
        <w:spacing w:line="360" w:lineRule="auto"/>
        <w:rPr>
          <w:sz w:val="24"/>
          <w:szCs w:val="24"/>
        </w:rPr>
      </w:pPr>
      <w:r w:rsidRPr="00484DAF">
        <w:rPr>
          <w:sz w:val="24"/>
          <w:szCs w:val="24"/>
        </w:rPr>
        <w:t xml:space="preserve">HR 9 december 1987, nr. 24 963, </w:t>
      </w:r>
      <w:r w:rsidRPr="00484DAF">
        <w:rPr>
          <w:i/>
          <w:sz w:val="24"/>
          <w:szCs w:val="24"/>
        </w:rPr>
        <w:t>BNB 1988/74</w:t>
      </w:r>
      <w:r w:rsidRPr="00484DAF">
        <w:rPr>
          <w:sz w:val="24"/>
          <w:szCs w:val="24"/>
        </w:rPr>
        <w:t>.</w:t>
      </w:r>
    </w:p>
    <w:p w:rsidR="00BF5014" w:rsidRPr="00484DAF" w:rsidRDefault="00BF5014" w:rsidP="00CC552D">
      <w:pPr>
        <w:pStyle w:val="Geenafstand"/>
        <w:numPr>
          <w:ilvl w:val="0"/>
          <w:numId w:val="3"/>
        </w:numPr>
        <w:spacing w:line="360" w:lineRule="auto"/>
        <w:rPr>
          <w:sz w:val="24"/>
          <w:szCs w:val="24"/>
          <w:lang w:val="en-US"/>
        </w:rPr>
      </w:pPr>
      <w:r w:rsidRPr="00484DAF">
        <w:rPr>
          <w:sz w:val="24"/>
          <w:szCs w:val="24"/>
          <w:lang w:val="en-US"/>
        </w:rPr>
        <w:t xml:space="preserve">HR 26 april 1989, nr. 25 315, </w:t>
      </w:r>
      <w:r w:rsidRPr="00484DAF">
        <w:rPr>
          <w:i/>
          <w:sz w:val="24"/>
          <w:szCs w:val="24"/>
          <w:lang w:val="en-US"/>
        </w:rPr>
        <w:t>BNB 1989/172</w:t>
      </w:r>
      <w:r w:rsidRPr="00484DAF">
        <w:rPr>
          <w:sz w:val="24"/>
          <w:szCs w:val="24"/>
          <w:lang w:val="en-US"/>
        </w:rPr>
        <w:t>.</w:t>
      </w:r>
    </w:p>
    <w:p w:rsidR="00C60261" w:rsidRPr="00484DAF" w:rsidRDefault="00C60261" w:rsidP="00CC552D">
      <w:pPr>
        <w:pStyle w:val="Geenafstand"/>
        <w:numPr>
          <w:ilvl w:val="0"/>
          <w:numId w:val="3"/>
        </w:numPr>
        <w:spacing w:line="360" w:lineRule="auto"/>
        <w:rPr>
          <w:sz w:val="24"/>
          <w:szCs w:val="24"/>
        </w:rPr>
      </w:pPr>
      <w:r w:rsidRPr="00484DAF">
        <w:rPr>
          <w:sz w:val="24"/>
          <w:szCs w:val="24"/>
        </w:rPr>
        <w:t xml:space="preserve">HR 21 november 1990, nr. 26 362, </w:t>
      </w:r>
      <w:r w:rsidRPr="00484DAF">
        <w:rPr>
          <w:i/>
          <w:sz w:val="24"/>
          <w:szCs w:val="24"/>
        </w:rPr>
        <w:t>BNB 1991/19</w:t>
      </w:r>
      <w:r w:rsidRPr="00484DAF">
        <w:rPr>
          <w:sz w:val="24"/>
          <w:szCs w:val="24"/>
        </w:rPr>
        <w:t>.</w:t>
      </w:r>
    </w:p>
    <w:p w:rsidR="0088241A" w:rsidRPr="00484DAF" w:rsidRDefault="0088241A" w:rsidP="00CC552D">
      <w:pPr>
        <w:pStyle w:val="Geenafstand"/>
        <w:numPr>
          <w:ilvl w:val="0"/>
          <w:numId w:val="3"/>
        </w:numPr>
        <w:spacing w:line="360" w:lineRule="auto"/>
        <w:rPr>
          <w:sz w:val="24"/>
          <w:szCs w:val="24"/>
        </w:rPr>
      </w:pPr>
      <w:r w:rsidRPr="00484DAF">
        <w:rPr>
          <w:sz w:val="24"/>
          <w:szCs w:val="24"/>
        </w:rPr>
        <w:t xml:space="preserve">HR 23 oktober 1991, nr. 27 053, </w:t>
      </w:r>
      <w:r w:rsidRPr="00484DAF">
        <w:rPr>
          <w:i/>
          <w:sz w:val="24"/>
          <w:szCs w:val="24"/>
        </w:rPr>
        <w:t>BNB 1992/44 *.</w:t>
      </w:r>
    </w:p>
    <w:p w:rsidR="004B1CED" w:rsidRPr="00484DAF" w:rsidRDefault="004B1CED" w:rsidP="00CC552D">
      <w:pPr>
        <w:pStyle w:val="Geenafstand"/>
        <w:numPr>
          <w:ilvl w:val="0"/>
          <w:numId w:val="3"/>
        </w:numPr>
        <w:spacing w:line="360" w:lineRule="auto"/>
        <w:rPr>
          <w:sz w:val="24"/>
          <w:szCs w:val="24"/>
        </w:rPr>
      </w:pPr>
      <w:r w:rsidRPr="00484DAF">
        <w:rPr>
          <w:sz w:val="24"/>
          <w:szCs w:val="24"/>
        </w:rPr>
        <w:t xml:space="preserve">HR 15 september 1993, nr. 28 979, </w:t>
      </w:r>
      <w:r w:rsidRPr="00484DAF">
        <w:rPr>
          <w:i/>
          <w:sz w:val="24"/>
          <w:szCs w:val="24"/>
        </w:rPr>
        <w:t>BNB 1993/314</w:t>
      </w:r>
      <w:r w:rsidRPr="00484DAF">
        <w:rPr>
          <w:sz w:val="24"/>
          <w:szCs w:val="24"/>
        </w:rPr>
        <w:t>.</w:t>
      </w:r>
    </w:p>
    <w:p w:rsidR="0088241A" w:rsidRPr="00484DAF" w:rsidRDefault="0088241A" w:rsidP="00CC552D">
      <w:pPr>
        <w:pStyle w:val="Geenafstand"/>
        <w:numPr>
          <w:ilvl w:val="0"/>
          <w:numId w:val="3"/>
        </w:numPr>
        <w:spacing w:line="360" w:lineRule="auto"/>
        <w:rPr>
          <w:sz w:val="24"/>
          <w:szCs w:val="24"/>
        </w:rPr>
      </w:pPr>
      <w:r w:rsidRPr="00484DAF">
        <w:rPr>
          <w:sz w:val="24"/>
          <w:szCs w:val="24"/>
        </w:rPr>
        <w:t xml:space="preserve">HR 7 december 1994, Nr. 29 153, </w:t>
      </w:r>
      <w:r w:rsidRPr="00484DAF">
        <w:rPr>
          <w:i/>
          <w:sz w:val="24"/>
          <w:szCs w:val="24"/>
        </w:rPr>
        <w:t>BNB 1995/87 c*.</w:t>
      </w:r>
    </w:p>
    <w:p w:rsidR="0088241A" w:rsidRPr="00484DAF" w:rsidRDefault="0088241A" w:rsidP="00CC552D">
      <w:pPr>
        <w:pStyle w:val="Geenafstand"/>
        <w:numPr>
          <w:ilvl w:val="0"/>
          <w:numId w:val="3"/>
        </w:numPr>
        <w:spacing w:line="360" w:lineRule="auto"/>
        <w:rPr>
          <w:sz w:val="24"/>
          <w:szCs w:val="24"/>
        </w:rPr>
      </w:pPr>
      <w:r w:rsidRPr="00484DAF">
        <w:rPr>
          <w:sz w:val="24"/>
          <w:szCs w:val="24"/>
        </w:rPr>
        <w:t xml:space="preserve">HR 17 januari 1996, nr. 30 707, </w:t>
      </w:r>
      <w:r w:rsidRPr="00484DAF">
        <w:rPr>
          <w:i/>
          <w:sz w:val="24"/>
          <w:szCs w:val="24"/>
        </w:rPr>
        <w:t>BNB 1996/113 *</w:t>
      </w:r>
      <w:r w:rsidR="00D20D7B" w:rsidRPr="00484DAF">
        <w:rPr>
          <w:i/>
          <w:sz w:val="24"/>
          <w:szCs w:val="24"/>
        </w:rPr>
        <w:t>, VN 1996/555</w:t>
      </w:r>
      <w:r w:rsidRPr="00484DAF">
        <w:rPr>
          <w:sz w:val="24"/>
          <w:szCs w:val="24"/>
        </w:rPr>
        <w:t>.</w:t>
      </w:r>
    </w:p>
    <w:p w:rsidR="00C5640B" w:rsidRPr="00484DAF" w:rsidRDefault="0088241A" w:rsidP="00CC552D">
      <w:pPr>
        <w:pStyle w:val="Geenafstand"/>
        <w:numPr>
          <w:ilvl w:val="0"/>
          <w:numId w:val="3"/>
        </w:numPr>
        <w:spacing w:line="360" w:lineRule="auto"/>
        <w:rPr>
          <w:sz w:val="24"/>
          <w:szCs w:val="24"/>
        </w:rPr>
      </w:pPr>
      <w:r w:rsidRPr="00484DAF">
        <w:rPr>
          <w:sz w:val="24"/>
          <w:szCs w:val="24"/>
        </w:rPr>
        <w:t xml:space="preserve">HR 23 april 1997, nr. 32 095, </w:t>
      </w:r>
      <w:r w:rsidRPr="00484DAF">
        <w:rPr>
          <w:i/>
          <w:sz w:val="24"/>
          <w:szCs w:val="24"/>
        </w:rPr>
        <w:t>BNB 1997/262</w:t>
      </w:r>
      <w:r w:rsidRPr="00484DAF">
        <w:rPr>
          <w:sz w:val="24"/>
          <w:szCs w:val="24"/>
        </w:rPr>
        <w:t>.</w:t>
      </w:r>
    </w:p>
    <w:p w:rsidR="0088241A" w:rsidRPr="00484DAF" w:rsidRDefault="00C5640B" w:rsidP="00CC552D">
      <w:pPr>
        <w:pStyle w:val="Geenafstand"/>
        <w:numPr>
          <w:ilvl w:val="0"/>
          <w:numId w:val="3"/>
        </w:numPr>
        <w:spacing w:line="360" w:lineRule="auto"/>
        <w:rPr>
          <w:sz w:val="24"/>
          <w:szCs w:val="24"/>
        </w:rPr>
      </w:pPr>
      <w:r w:rsidRPr="00484DAF">
        <w:rPr>
          <w:sz w:val="24"/>
          <w:szCs w:val="24"/>
        </w:rPr>
        <w:t xml:space="preserve">HR 31 oktober 1997, nr. 16 404 (C96/222), </w:t>
      </w:r>
      <w:r w:rsidRPr="00484DAF">
        <w:rPr>
          <w:i/>
          <w:sz w:val="24"/>
          <w:szCs w:val="24"/>
        </w:rPr>
        <w:t>VN 1997/4334</w:t>
      </w:r>
      <w:r w:rsidRPr="00484DAF">
        <w:rPr>
          <w:sz w:val="24"/>
          <w:szCs w:val="24"/>
        </w:rPr>
        <w:t>.</w:t>
      </w:r>
      <w:r w:rsidR="0088241A" w:rsidRPr="00484DAF">
        <w:rPr>
          <w:sz w:val="24"/>
          <w:szCs w:val="24"/>
        </w:rPr>
        <w:t xml:space="preserve"> </w:t>
      </w:r>
    </w:p>
    <w:p w:rsidR="0088241A" w:rsidRPr="00484DAF" w:rsidRDefault="0088241A" w:rsidP="00CC552D">
      <w:pPr>
        <w:pStyle w:val="Geenafstand"/>
        <w:numPr>
          <w:ilvl w:val="0"/>
          <w:numId w:val="3"/>
        </w:numPr>
        <w:spacing w:line="360" w:lineRule="auto"/>
        <w:rPr>
          <w:sz w:val="24"/>
          <w:szCs w:val="24"/>
        </w:rPr>
      </w:pPr>
      <w:r w:rsidRPr="00484DAF">
        <w:rPr>
          <w:sz w:val="24"/>
          <w:szCs w:val="24"/>
        </w:rPr>
        <w:t xml:space="preserve">HR 22 april 1998, nr. 33 328, </w:t>
      </w:r>
      <w:r w:rsidRPr="00484DAF">
        <w:rPr>
          <w:i/>
          <w:sz w:val="24"/>
          <w:szCs w:val="24"/>
        </w:rPr>
        <w:t>BNB 1998/273</w:t>
      </w:r>
      <w:r w:rsidRPr="00484DAF">
        <w:rPr>
          <w:sz w:val="24"/>
          <w:szCs w:val="24"/>
        </w:rPr>
        <w:t>.</w:t>
      </w:r>
    </w:p>
    <w:p w:rsidR="0088241A" w:rsidRPr="00484DAF" w:rsidRDefault="0088241A" w:rsidP="00CC552D">
      <w:pPr>
        <w:pStyle w:val="Geenafstand"/>
        <w:numPr>
          <w:ilvl w:val="0"/>
          <w:numId w:val="3"/>
        </w:numPr>
        <w:spacing w:line="360" w:lineRule="auto"/>
        <w:rPr>
          <w:sz w:val="24"/>
          <w:szCs w:val="24"/>
        </w:rPr>
      </w:pPr>
      <w:r w:rsidRPr="00484DAF">
        <w:rPr>
          <w:sz w:val="24"/>
          <w:szCs w:val="24"/>
        </w:rPr>
        <w:t xml:space="preserve">HR 3 maart 1999, nr. 34 535, </w:t>
      </w:r>
      <w:r w:rsidRPr="00484DAF">
        <w:rPr>
          <w:i/>
          <w:sz w:val="24"/>
          <w:szCs w:val="24"/>
        </w:rPr>
        <w:t>VN 1999/15.27</w:t>
      </w:r>
      <w:r w:rsidRPr="00484DAF">
        <w:rPr>
          <w:sz w:val="24"/>
          <w:szCs w:val="24"/>
        </w:rPr>
        <w:t>.</w:t>
      </w:r>
    </w:p>
    <w:p w:rsidR="00583CAC" w:rsidRPr="00484DAF" w:rsidRDefault="00583CAC" w:rsidP="00CC552D">
      <w:pPr>
        <w:pStyle w:val="Geenafstand"/>
        <w:numPr>
          <w:ilvl w:val="0"/>
          <w:numId w:val="3"/>
        </w:numPr>
        <w:spacing w:line="360" w:lineRule="auto"/>
        <w:rPr>
          <w:sz w:val="24"/>
          <w:szCs w:val="24"/>
        </w:rPr>
      </w:pPr>
      <w:r w:rsidRPr="00484DAF">
        <w:rPr>
          <w:sz w:val="24"/>
          <w:szCs w:val="24"/>
        </w:rPr>
        <w:t xml:space="preserve">HR 10 augustus 2001, nr. 36 686, </w:t>
      </w:r>
      <w:r w:rsidRPr="00484DAF">
        <w:rPr>
          <w:i/>
          <w:sz w:val="24"/>
          <w:szCs w:val="24"/>
        </w:rPr>
        <w:t>BNB 2001/401*</w:t>
      </w:r>
      <w:r w:rsidR="003E4EE2" w:rsidRPr="00484DAF">
        <w:rPr>
          <w:i/>
          <w:sz w:val="24"/>
          <w:szCs w:val="24"/>
        </w:rPr>
        <w:t>, NTFR 2001-1179</w:t>
      </w:r>
      <w:r w:rsidRPr="00484DAF">
        <w:rPr>
          <w:i/>
          <w:sz w:val="24"/>
          <w:szCs w:val="24"/>
        </w:rPr>
        <w:t>.</w:t>
      </w:r>
    </w:p>
    <w:p w:rsidR="00BF5014" w:rsidRPr="00484DAF" w:rsidRDefault="00BF5014" w:rsidP="00CC552D">
      <w:pPr>
        <w:pStyle w:val="Geenafstand"/>
        <w:numPr>
          <w:ilvl w:val="0"/>
          <w:numId w:val="3"/>
        </w:numPr>
        <w:spacing w:line="360" w:lineRule="auto"/>
        <w:rPr>
          <w:sz w:val="24"/>
          <w:szCs w:val="24"/>
        </w:rPr>
      </w:pPr>
      <w:r w:rsidRPr="00484DAF">
        <w:rPr>
          <w:sz w:val="24"/>
          <w:szCs w:val="24"/>
        </w:rPr>
        <w:t xml:space="preserve">HR 14 december 2001, nr. 36 277, </w:t>
      </w:r>
      <w:r w:rsidRPr="00484DAF">
        <w:rPr>
          <w:i/>
          <w:sz w:val="24"/>
          <w:szCs w:val="24"/>
        </w:rPr>
        <w:t>BNB 2002/114 c*.</w:t>
      </w:r>
    </w:p>
    <w:p w:rsidR="004B1CED" w:rsidRPr="00484DAF" w:rsidRDefault="004B1CED" w:rsidP="00CC552D">
      <w:pPr>
        <w:pStyle w:val="Geenafstand"/>
        <w:numPr>
          <w:ilvl w:val="0"/>
          <w:numId w:val="3"/>
        </w:numPr>
        <w:spacing w:line="360" w:lineRule="auto"/>
        <w:rPr>
          <w:sz w:val="24"/>
          <w:szCs w:val="24"/>
        </w:rPr>
      </w:pPr>
      <w:r w:rsidRPr="00484DAF">
        <w:rPr>
          <w:sz w:val="24"/>
          <w:szCs w:val="24"/>
        </w:rPr>
        <w:t xml:space="preserve">Conclusie A-G Groeneveld, 23 september 2002, nr. 37 525, </w:t>
      </w:r>
      <w:r w:rsidRPr="00484DAF">
        <w:rPr>
          <w:i/>
          <w:sz w:val="24"/>
          <w:szCs w:val="24"/>
        </w:rPr>
        <w:t>VN 2003/2.26</w:t>
      </w:r>
      <w:r w:rsidRPr="00484DAF">
        <w:rPr>
          <w:sz w:val="24"/>
          <w:szCs w:val="24"/>
        </w:rPr>
        <w:t>.</w:t>
      </w:r>
    </w:p>
    <w:p w:rsidR="00583CAC" w:rsidRPr="00484DAF" w:rsidRDefault="00583CAC" w:rsidP="00CC552D">
      <w:pPr>
        <w:pStyle w:val="Geenafstand"/>
        <w:numPr>
          <w:ilvl w:val="0"/>
          <w:numId w:val="3"/>
        </w:numPr>
        <w:spacing w:line="360" w:lineRule="auto"/>
        <w:rPr>
          <w:sz w:val="24"/>
          <w:szCs w:val="24"/>
        </w:rPr>
      </w:pPr>
      <w:r w:rsidRPr="00484DAF">
        <w:rPr>
          <w:sz w:val="24"/>
          <w:szCs w:val="24"/>
        </w:rPr>
        <w:t xml:space="preserve">HR 7 maart 2003, nr. 37 525, </w:t>
      </w:r>
      <w:r w:rsidRPr="00484DAF">
        <w:rPr>
          <w:i/>
          <w:sz w:val="24"/>
          <w:szCs w:val="24"/>
        </w:rPr>
        <w:t>BNB 2003/193 c*</w:t>
      </w:r>
      <w:r w:rsidR="003E4EE2" w:rsidRPr="00484DAF">
        <w:rPr>
          <w:i/>
          <w:sz w:val="24"/>
          <w:szCs w:val="24"/>
        </w:rPr>
        <w:t>, NTFR2003-520.</w:t>
      </w:r>
    </w:p>
    <w:p w:rsidR="00BF5014" w:rsidRPr="00484DAF" w:rsidRDefault="00BF5014" w:rsidP="00CC552D">
      <w:pPr>
        <w:pStyle w:val="Geenafstand"/>
        <w:numPr>
          <w:ilvl w:val="0"/>
          <w:numId w:val="3"/>
        </w:numPr>
        <w:spacing w:line="360" w:lineRule="auto"/>
        <w:rPr>
          <w:sz w:val="24"/>
          <w:szCs w:val="24"/>
        </w:rPr>
      </w:pPr>
      <w:r w:rsidRPr="00484DAF">
        <w:rPr>
          <w:sz w:val="24"/>
          <w:szCs w:val="24"/>
        </w:rPr>
        <w:t xml:space="preserve">HR 2 mei 2003, nr. 38 575, </w:t>
      </w:r>
      <w:r w:rsidRPr="00484DAF">
        <w:rPr>
          <w:i/>
          <w:sz w:val="24"/>
          <w:szCs w:val="24"/>
        </w:rPr>
        <w:t>BNB 2003/230</w:t>
      </w:r>
      <w:r w:rsidRPr="00484DAF">
        <w:rPr>
          <w:sz w:val="24"/>
          <w:szCs w:val="24"/>
        </w:rPr>
        <w:t>.</w:t>
      </w:r>
    </w:p>
    <w:p w:rsidR="004B1CED" w:rsidRPr="00484DAF" w:rsidRDefault="004B1CED" w:rsidP="00CC552D">
      <w:pPr>
        <w:pStyle w:val="Geenafstand"/>
        <w:numPr>
          <w:ilvl w:val="0"/>
          <w:numId w:val="3"/>
        </w:numPr>
        <w:spacing w:line="360" w:lineRule="auto"/>
        <w:rPr>
          <w:i/>
          <w:sz w:val="24"/>
          <w:szCs w:val="24"/>
        </w:rPr>
      </w:pPr>
      <w:r w:rsidRPr="00484DAF">
        <w:rPr>
          <w:sz w:val="24"/>
          <w:szCs w:val="24"/>
        </w:rPr>
        <w:t xml:space="preserve">HR 6 juni 2003, nr. 36 075, </w:t>
      </w:r>
      <w:r w:rsidRPr="00484DAF">
        <w:rPr>
          <w:i/>
          <w:sz w:val="24"/>
          <w:szCs w:val="24"/>
        </w:rPr>
        <w:t>VN 2003/34.16</w:t>
      </w:r>
      <w:r w:rsidRPr="00484DAF">
        <w:rPr>
          <w:sz w:val="24"/>
          <w:szCs w:val="24"/>
        </w:rPr>
        <w:t>.</w:t>
      </w:r>
    </w:p>
    <w:p w:rsidR="004B1CED" w:rsidRPr="00484DAF" w:rsidRDefault="004B1CED" w:rsidP="00CC552D">
      <w:pPr>
        <w:pStyle w:val="Geenafstand"/>
        <w:numPr>
          <w:ilvl w:val="0"/>
          <w:numId w:val="3"/>
        </w:numPr>
        <w:spacing w:line="360" w:lineRule="auto"/>
        <w:rPr>
          <w:i/>
          <w:sz w:val="24"/>
          <w:szCs w:val="24"/>
        </w:rPr>
      </w:pPr>
      <w:r w:rsidRPr="00484DAF">
        <w:rPr>
          <w:sz w:val="24"/>
          <w:szCs w:val="24"/>
        </w:rPr>
        <w:t xml:space="preserve">HR 24 december 2004, nr. 39 489, </w:t>
      </w:r>
      <w:r w:rsidRPr="00484DAF">
        <w:rPr>
          <w:i/>
          <w:sz w:val="24"/>
          <w:szCs w:val="24"/>
        </w:rPr>
        <w:t>BNB 2005/124 c*.</w:t>
      </w:r>
    </w:p>
    <w:p w:rsidR="00BF5014" w:rsidRPr="00484DAF" w:rsidRDefault="00BF5014" w:rsidP="00CC552D">
      <w:pPr>
        <w:pStyle w:val="Geenafstand"/>
        <w:numPr>
          <w:ilvl w:val="0"/>
          <w:numId w:val="3"/>
        </w:numPr>
        <w:spacing w:line="360" w:lineRule="auto"/>
        <w:rPr>
          <w:sz w:val="24"/>
          <w:szCs w:val="24"/>
        </w:rPr>
      </w:pPr>
      <w:r w:rsidRPr="00484DAF">
        <w:rPr>
          <w:sz w:val="24"/>
          <w:szCs w:val="24"/>
        </w:rPr>
        <w:t xml:space="preserve">HR 14 oktober 2005, nr. 41 015, </w:t>
      </w:r>
      <w:r w:rsidRPr="00484DAF">
        <w:rPr>
          <w:i/>
          <w:sz w:val="24"/>
          <w:szCs w:val="24"/>
        </w:rPr>
        <w:t>BNB 2006/65 *</w:t>
      </w:r>
      <w:r w:rsidRPr="00484DAF">
        <w:rPr>
          <w:sz w:val="24"/>
          <w:szCs w:val="24"/>
        </w:rPr>
        <w:t>.</w:t>
      </w:r>
    </w:p>
    <w:p w:rsidR="00583CAC" w:rsidRPr="00484DAF" w:rsidRDefault="00583CAC" w:rsidP="00CC552D">
      <w:pPr>
        <w:pStyle w:val="Geenafstand"/>
        <w:numPr>
          <w:ilvl w:val="0"/>
          <w:numId w:val="3"/>
        </w:numPr>
        <w:spacing w:line="360" w:lineRule="auto"/>
        <w:rPr>
          <w:sz w:val="24"/>
          <w:szCs w:val="24"/>
        </w:rPr>
      </w:pPr>
      <w:r w:rsidRPr="00484DAF">
        <w:rPr>
          <w:sz w:val="24"/>
          <w:szCs w:val="24"/>
        </w:rPr>
        <w:t xml:space="preserve">Conclusie A-G Wattel 22 februari 2007, nr. 43 246, </w:t>
      </w:r>
      <w:r w:rsidRPr="00484DAF">
        <w:rPr>
          <w:i/>
          <w:sz w:val="24"/>
          <w:szCs w:val="24"/>
        </w:rPr>
        <w:t>VN 2007/39.23</w:t>
      </w:r>
      <w:r w:rsidRPr="00484DAF">
        <w:rPr>
          <w:sz w:val="24"/>
          <w:szCs w:val="24"/>
        </w:rPr>
        <w:t>.</w:t>
      </w:r>
    </w:p>
    <w:p w:rsidR="004B1CED" w:rsidRPr="00484DAF" w:rsidRDefault="004B1CED" w:rsidP="00CC552D">
      <w:pPr>
        <w:pStyle w:val="Geenafstand"/>
        <w:numPr>
          <w:ilvl w:val="0"/>
          <w:numId w:val="3"/>
        </w:numPr>
        <w:spacing w:line="360" w:lineRule="auto"/>
        <w:rPr>
          <w:sz w:val="24"/>
          <w:szCs w:val="24"/>
        </w:rPr>
      </w:pPr>
      <w:r w:rsidRPr="00484DAF">
        <w:rPr>
          <w:sz w:val="24"/>
          <w:szCs w:val="24"/>
        </w:rPr>
        <w:t xml:space="preserve">HR 25 april 2008, nr. 41 798, </w:t>
      </w:r>
      <w:r w:rsidRPr="00484DAF">
        <w:rPr>
          <w:i/>
          <w:sz w:val="24"/>
          <w:szCs w:val="24"/>
        </w:rPr>
        <w:t>BNB 2008/181</w:t>
      </w:r>
      <w:r w:rsidRPr="00484DAF">
        <w:rPr>
          <w:sz w:val="24"/>
          <w:szCs w:val="24"/>
        </w:rPr>
        <w:t>.</w:t>
      </w:r>
    </w:p>
    <w:p w:rsidR="0088241A" w:rsidRPr="00484DAF" w:rsidRDefault="0088241A" w:rsidP="00CC552D">
      <w:pPr>
        <w:pStyle w:val="Geenafstand"/>
        <w:numPr>
          <w:ilvl w:val="0"/>
          <w:numId w:val="3"/>
        </w:numPr>
        <w:spacing w:line="360" w:lineRule="auto"/>
        <w:rPr>
          <w:sz w:val="24"/>
          <w:szCs w:val="24"/>
        </w:rPr>
      </w:pPr>
      <w:r w:rsidRPr="00484DAF">
        <w:rPr>
          <w:sz w:val="24"/>
          <w:szCs w:val="24"/>
        </w:rPr>
        <w:lastRenderedPageBreak/>
        <w:t xml:space="preserve">HR 3 oktober 2008, nr. 41 510, </w:t>
      </w:r>
      <w:r w:rsidR="00B13206" w:rsidRPr="00484DAF">
        <w:rPr>
          <w:i/>
          <w:sz w:val="24"/>
          <w:szCs w:val="24"/>
        </w:rPr>
        <w:t xml:space="preserve">VN 2008/48.18, </w:t>
      </w:r>
      <w:r w:rsidRPr="00484DAF">
        <w:rPr>
          <w:i/>
          <w:sz w:val="24"/>
          <w:szCs w:val="24"/>
        </w:rPr>
        <w:t>BNB 2009/25 *</w:t>
      </w:r>
      <w:r w:rsidR="003E4EE2" w:rsidRPr="00484DAF">
        <w:rPr>
          <w:i/>
          <w:sz w:val="24"/>
          <w:szCs w:val="24"/>
        </w:rPr>
        <w:t>, NTFR2008-1955.</w:t>
      </w:r>
    </w:p>
    <w:p w:rsidR="00583CAC" w:rsidRPr="00484DAF" w:rsidRDefault="00583CAC" w:rsidP="00CC552D">
      <w:pPr>
        <w:pStyle w:val="Geenafstand"/>
        <w:numPr>
          <w:ilvl w:val="0"/>
          <w:numId w:val="3"/>
        </w:numPr>
        <w:spacing w:line="360" w:lineRule="auto"/>
        <w:rPr>
          <w:sz w:val="24"/>
          <w:szCs w:val="24"/>
        </w:rPr>
      </w:pPr>
      <w:r w:rsidRPr="00484DAF">
        <w:rPr>
          <w:sz w:val="24"/>
          <w:szCs w:val="24"/>
        </w:rPr>
        <w:t xml:space="preserve">HR 14 november 2008, nr. 42 860, </w:t>
      </w:r>
      <w:r w:rsidRPr="00484DAF">
        <w:rPr>
          <w:i/>
          <w:sz w:val="24"/>
          <w:szCs w:val="24"/>
        </w:rPr>
        <w:t>BNB 2009/30 c*</w:t>
      </w:r>
      <w:r w:rsidR="003E4EE2" w:rsidRPr="00484DAF">
        <w:rPr>
          <w:sz w:val="24"/>
          <w:szCs w:val="24"/>
        </w:rPr>
        <w:t xml:space="preserve">, </w:t>
      </w:r>
      <w:r w:rsidR="003E4EE2" w:rsidRPr="00484DAF">
        <w:rPr>
          <w:i/>
          <w:sz w:val="24"/>
          <w:szCs w:val="24"/>
        </w:rPr>
        <w:t>NTFR 2008-2309</w:t>
      </w:r>
      <w:r w:rsidR="003E4EE2" w:rsidRPr="00484DAF">
        <w:rPr>
          <w:sz w:val="24"/>
          <w:szCs w:val="24"/>
        </w:rPr>
        <w:t>.</w:t>
      </w:r>
    </w:p>
    <w:p w:rsidR="003E4EE2" w:rsidRPr="00484DAF" w:rsidRDefault="003E4EE2" w:rsidP="00CC552D">
      <w:pPr>
        <w:pStyle w:val="Geenafstand"/>
        <w:numPr>
          <w:ilvl w:val="0"/>
          <w:numId w:val="3"/>
        </w:numPr>
        <w:spacing w:line="360" w:lineRule="auto"/>
        <w:rPr>
          <w:sz w:val="24"/>
          <w:szCs w:val="24"/>
        </w:rPr>
      </w:pPr>
      <w:r w:rsidRPr="00484DAF">
        <w:rPr>
          <w:sz w:val="24"/>
          <w:szCs w:val="24"/>
        </w:rPr>
        <w:t xml:space="preserve">HR 14 november 2008, nr. 43 246, </w:t>
      </w:r>
      <w:r w:rsidRPr="00484DAF">
        <w:rPr>
          <w:i/>
          <w:sz w:val="24"/>
          <w:szCs w:val="24"/>
        </w:rPr>
        <w:t>BNB 2009/31 c*</w:t>
      </w:r>
      <w:r w:rsidRPr="00484DAF">
        <w:rPr>
          <w:sz w:val="24"/>
          <w:szCs w:val="24"/>
        </w:rPr>
        <w:t>.</w:t>
      </w:r>
    </w:p>
    <w:p w:rsidR="0088241A" w:rsidRPr="00484DAF" w:rsidRDefault="0088241A" w:rsidP="00CC552D">
      <w:pPr>
        <w:pStyle w:val="Geenafstand"/>
        <w:numPr>
          <w:ilvl w:val="0"/>
          <w:numId w:val="3"/>
        </w:numPr>
        <w:spacing w:line="360" w:lineRule="auto"/>
        <w:rPr>
          <w:sz w:val="24"/>
          <w:szCs w:val="24"/>
        </w:rPr>
      </w:pPr>
      <w:r w:rsidRPr="00484DAF">
        <w:rPr>
          <w:sz w:val="24"/>
          <w:szCs w:val="24"/>
        </w:rPr>
        <w:t xml:space="preserve">HR 3 april 2009, nr. 07/10582, </w:t>
      </w:r>
      <w:r w:rsidRPr="00484DAF">
        <w:rPr>
          <w:i/>
          <w:sz w:val="24"/>
          <w:szCs w:val="24"/>
        </w:rPr>
        <w:t>BNB 2009/137</w:t>
      </w:r>
      <w:r w:rsidRPr="00484DAF">
        <w:rPr>
          <w:sz w:val="24"/>
          <w:szCs w:val="24"/>
        </w:rPr>
        <w:t>.</w:t>
      </w:r>
    </w:p>
    <w:p w:rsidR="00F70C80" w:rsidRPr="00484DAF" w:rsidRDefault="009702AF" w:rsidP="00CC552D">
      <w:pPr>
        <w:pStyle w:val="Geenafstand"/>
        <w:numPr>
          <w:ilvl w:val="0"/>
          <w:numId w:val="3"/>
        </w:numPr>
        <w:spacing w:line="360" w:lineRule="auto"/>
        <w:rPr>
          <w:sz w:val="24"/>
          <w:szCs w:val="24"/>
        </w:rPr>
      </w:pPr>
      <w:r w:rsidRPr="00484DAF">
        <w:rPr>
          <w:sz w:val="24"/>
          <w:szCs w:val="24"/>
        </w:rPr>
        <w:t xml:space="preserve">HR 9 oktober 2009, nr. 08/03696, </w:t>
      </w:r>
      <w:r w:rsidRPr="00484DAF">
        <w:rPr>
          <w:i/>
          <w:sz w:val="24"/>
          <w:szCs w:val="24"/>
        </w:rPr>
        <w:t>VN 2009/51.28</w:t>
      </w:r>
      <w:r w:rsidR="00F70C80" w:rsidRPr="00484DAF">
        <w:rPr>
          <w:sz w:val="24"/>
          <w:szCs w:val="24"/>
        </w:rPr>
        <w:t>.</w:t>
      </w:r>
    </w:p>
    <w:p w:rsidR="009702AF" w:rsidRPr="00484DAF" w:rsidRDefault="009702AF" w:rsidP="00CC552D">
      <w:pPr>
        <w:pStyle w:val="Geenafstand"/>
        <w:spacing w:line="360" w:lineRule="auto"/>
        <w:ind w:left="720"/>
        <w:rPr>
          <w:sz w:val="24"/>
          <w:szCs w:val="24"/>
        </w:rPr>
      </w:pPr>
    </w:p>
    <w:p w:rsidR="001A6698" w:rsidRPr="00484DAF" w:rsidRDefault="002D11A2" w:rsidP="00CC552D">
      <w:pPr>
        <w:pStyle w:val="Kop2"/>
        <w:spacing w:before="0" w:line="360" w:lineRule="auto"/>
        <w:rPr>
          <w:rFonts w:ascii="Times New Roman" w:hAnsi="Times New Roman"/>
          <w:color w:val="auto"/>
          <w:sz w:val="24"/>
          <w:szCs w:val="24"/>
        </w:rPr>
      </w:pPr>
      <w:r w:rsidRPr="00484DAF">
        <w:rPr>
          <w:rFonts w:ascii="Times New Roman" w:hAnsi="Times New Roman"/>
          <w:color w:val="auto"/>
          <w:sz w:val="24"/>
          <w:szCs w:val="24"/>
        </w:rPr>
        <w:t xml:space="preserve"> </w:t>
      </w:r>
      <w:bookmarkStart w:id="158" w:name="_Toc254044009"/>
      <w:r w:rsidR="001A6698" w:rsidRPr="00484DAF">
        <w:rPr>
          <w:rFonts w:ascii="Times New Roman" w:hAnsi="Times New Roman"/>
          <w:color w:val="auto"/>
          <w:sz w:val="24"/>
          <w:szCs w:val="24"/>
        </w:rPr>
        <w:t>Europees Hof van Justitie</w:t>
      </w:r>
      <w:bookmarkEnd w:id="158"/>
    </w:p>
    <w:p w:rsidR="001A6698" w:rsidRPr="00484DAF" w:rsidRDefault="001A6698" w:rsidP="00CC552D">
      <w:pPr>
        <w:pStyle w:val="Geenafstand"/>
        <w:numPr>
          <w:ilvl w:val="0"/>
          <w:numId w:val="3"/>
        </w:numPr>
        <w:spacing w:line="360" w:lineRule="auto"/>
        <w:rPr>
          <w:sz w:val="24"/>
          <w:szCs w:val="24"/>
        </w:rPr>
      </w:pPr>
      <w:r w:rsidRPr="00484DAF">
        <w:rPr>
          <w:sz w:val="24"/>
          <w:szCs w:val="24"/>
        </w:rPr>
        <w:t>HvJ EG 5 februari 1963, nr. 26/62 [Van Gend &amp; Loos], Jur. 0003.</w:t>
      </w:r>
    </w:p>
    <w:p w:rsidR="00C5640B" w:rsidRPr="00484DAF" w:rsidRDefault="00C5640B" w:rsidP="00CC552D">
      <w:pPr>
        <w:pStyle w:val="Geenafstand"/>
        <w:numPr>
          <w:ilvl w:val="0"/>
          <w:numId w:val="3"/>
        </w:numPr>
        <w:spacing w:line="360" w:lineRule="auto"/>
        <w:rPr>
          <w:sz w:val="24"/>
          <w:szCs w:val="24"/>
        </w:rPr>
      </w:pPr>
      <w:r w:rsidRPr="00484DAF">
        <w:rPr>
          <w:sz w:val="24"/>
          <w:szCs w:val="24"/>
        </w:rPr>
        <w:t xml:space="preserve">HvJ EG 14 mei 1985, nr. 139/84 [Van Dijk’s Boekhuis], </w:t>
      </w:r>
      <w:r w:rsidRPr="00484DAF">
        <w:rPr>
          <w:i/>
          <w:sz w:val="24"/>
          <w:szCs w:val="24"/>
        </w:rPr>
        <w:t>BNB 1985/335 *.</w:t>
      </w:r>
    </w:p>
    <w:p w:rsidR="002022AC" w:rsidRPr="00484DAF" w:rsidRDefault="002022AC" w:rsidP="00CC552D">
      <w:pPr>
        <w:pStyle w:val="Geenafstand"/>
        <w:numPr>
          <w:ilvl w:val="0"/>
          <w:numId w:val="3"/>
        </w:numPr>
        <w:spacing w:line="360" w:lineRule="auto"/>
        <w:rPr>
          <w:sz w:val="24"/>
          <w:szCs w:val="24"/>
          <w:lang w:val="en-US"/>
        </w:rPr>
      </w:pPr>
      <w:r w:rsidRPr="00484DAF">
        <w:rPr>
          <w:sz w:val="24"/>
          <w:szCs w:val="24"/>
        </w:rPr>
        <w:t>HvJ 8 juli 1986, nr. 73/85 [Kerrutt].</w:t>
      </w:r>
    </w:p>
    <w:p w:rsidR="00C5640B" w:rsidRPr="00484DAF" w:rsidRDefault="00C5640B" w:rsidP="00CC552D">
      <w:pPr>
        <w:pStyle w:val="Geenafstand"/>
        <w:numPr>
          <w:ilvl w:val="0"/>
          <w:numId w:val="3"/>
        </w:numPr>
        <w:spacing w:line="360" w:lineRule="auto"/>
        <w:rPr>
          <w:sz w:val="24"/>
          <w:szCs w:val="24"/>
          <w:lang w:val="en-US"/>
        </w:rPr>
      </w:pPr>
      <w:r w:rsidRPr="00484DAF">
        <w:rPr>
          <w:sz w:val="24"/>
          <w:szCs w:val="24"/>
          <w:lang w:val="en-US"/>
        </w:rPr>
        <w:t>HvJ EG 26 februari 1986, nr.152/84 [Marshall/Southampton Area Health Authority], Jur. 1986, blz. 00723.</w:t>
      </w:r>
    </w:p>
    <w:p w:rsidR="00C5640B" w:rsidRPr="00484DAF" w:rsidRDefault="00C5640B" w:rsidP="00CC552D">
      <w:pPr>
        <w:pStyle w:val="Geenafstand"/>
        <w:numPr>
          <w:ilvl w:val="0"/>
          <w:numId w:val="3"/>
        </w:numPr>
        <w:spacing w:line="360" w:lineRule="auto"/>
        <w:rPr>
          <w:sz w:val="24"/>
          <w:szCs w:val="24"/>
        </w:rPr>
      </w:pPr>
      <w:r w:rsidRPr="00484DAF">
        <w:rPr>
          <w:sz w:val="24"/>
          <w:szCs w:val="24"/>
        </w:rPr>
        <w:t>HvJ EG 8 oktober 1987, nr. C-80/86 [Kolpinghuis], Jur. 1987 blz. 3969.</w:t>
      </w:r>
    </w:p>
    <w:p w:rsidR="00C5640B" w:rsidRPr="00484DAF" w:rsidRDefault="00C5640B" w:rsidP="00CC552D">
      <w:pPr>
        <w:pStyle w:val="Geenafstand"/>
        <w:numPr>
          <w:ilvl w:val="0"/>
          <w:numId w:val="3"/>
        </w:numPr>
        <w:spacing w:line="360" w:lineRule="auto"/>
        <w:rPr>
          <w:sz w:val="24"/>
          <w:szCs w:val="24"/>
        </w:rPr>
      </w:pPr>
      <w:r w:rsidRPr="00484DAF">
        <w:rPr>
          <w:sz w:val="24"/>
          <w:szCs w:val="24"/>
        </w:rPr>
        <w:t>HvJ EG 23 februari 1988, zaak 353/85 [Commissie/Verenigd Koninkrijk], Jur. 1988, blz. 817.</w:t>
      </w:r>
    </w:p>
    <w:p w:rsidR="00C5640B" w:rsidRPr="00484DAF" w:rsidRDefault="00C5640B" w:rsidP="00CC552D">
      <w:pPr>
        <w:pStyle w:val="Geenafstand"/>
        <w:numPr>
          <w:ilvl w:val="0"/>
          <w:numId w:val="3"/>
        </w:numPr>
        <w:spacing w:line="360" w:lineRule="auto"/>
        <w:rPr>
          <w:sz w:val="24"/>
          <w:szCs w:val="24"/>
        </w:rPr>
      </w:pPr>
      <w:r w:rsidRPr="00484DAF">
        <w:rPr>
          <w:sz w:val="24"/>
          <w:szCs w:val="24"/>
        </w:rPr>
        <w:t>HvJ EG 15 juni 1989, zaak 348/87 [Stichting Uitvoering Financiële Acties/Nederland], Jur. 1989, blz. 1737.</w:t>
      </w:r>
    </w:p>
    <w:p w:rsidR="000C140C" w:rsidRPr="00484DAF" w:rsidRDefault="000C140C" w:rsidP="00CC552D">
      <w:pPr>
        <w:pStyle w:val="Geenafstand"/>
        <w:numPr>
          <w:ilvl w:val="0"/>
          <w:numId w:val="3"/>
        </w:numPr>
        <w:spacing w:line="360" w:lineRule="auto"/>
        <w:rPr>
          <w:sz w:val="24"/>
          <w:szCs w:val="24"/>
        </w:rPr>
      </w:pPr>
      <w:r w:rsidRPr="00484DAF">
        <w:rPr>
          <w:sz w:val="24"/>
          <w:szCs w:val="24"/>
        </w:rPr>
        <w:t xml:space="preserve">HvJ EG 13 juli 1989, gevoegde zaken 93 en nr. 94/88, </w:t>
      </w:r>
      <w:r w:rsidRPr="00484DAF">
        <w:rPr>
          <w:i/>
          <w:sz w:val="24"/>
          <w:szCs w:val="24"/>
        </w:rPr>
        <w:t>BNB 1989/289 *</w:t>
      </w:r>
      <w:r w:rsidRPr="00484DAF">
        <w:rPr>
          <w:sz w:val="24"/>
          <w:szCs w:val="24"/>
        </w:rPr>
        <w:t>.</w:t>
      </w:r>
    </w:p>
    <w:p w:rsidR="000C140C" w:rsidRPr="00484DAF" w:rsidRDefault="000C140C" w:rsidP="00CC552D">
      <w:pPr>
        <w:pStyle w:val="Geenafstand"/>
        <w:numPr>
          <w:ilvl w:val="0"/>
          <w:numId w:val="3"/>
        </w:numPr>
        <w:spacing w:line="360" w:lineRule="auto"/>
        <w:rPr>
          <w:sz w:val="24"/>
          <w:szCs w:val="24"/>
          <w:lang w:val="en-US"/>
        </w:rPr>
      </w:pPr>
      <w:r w:rsidRPr="00484DAF">
        <w:rPr>
          <w:sz w:val="24"/>
          <w:szCs w:val="24"/>
          <w:lang w:val="en-US"/>
        </w:rPr>
        <w:t xml:space="preserve">HvJ EG 8 februari 1990, nr. C-320/88 [Shipping and Forwarding Enterprise Safe BV (SAFE Rekencentrum BV)], </w:t>
      </w:r>
      <w:r w:rsidRPr="00484DAF">
        <w:rPr>
          <w:i/>
          <w:sz w:val="24"/>
          <w:szCs w:val="24"/>
          <w:lang w:val="en-US"/>
        </w:rPr>
        <w:t>BNB 1990/271</w:t>
      </w:r>
      <w:r w:rsidRPr="00484DAF">
        <w:rPr>
          <w:sz w:val="24"/>
          <w:szCs w:val="24"/>
          <w:lang w:val="en-US"/>
        </w:rPr>
        <w:t>.</w:t>
      </w:r>
    </w:p>
    <w:p w:rsidR="00C5640B" w:rsidRPr="00484DAF" w:rsidRDefault="00C5640B" w:rsidP="00CC552D">
      <w:pPr>
        <w:pStyle w:val="Geenafstand"/>
        <w:numPr>
          <w:ilvl w:val="0"/>
          <w:numId w:val="3"/>
        </w:numPr>
        <w:spacing w:line="360" w:lineRule="auto"/>
        <w:rPr>
          <w:sz w:val="24"/>
          <w:szCs w:val="24"/>
          <w:lang w:val="pt-BR"/>
        </w:rPr>
      </w:pPr>
      <w:r w:rsidRPr="00484DAF">
        <w:rPr>
          <w:sz w:val="24"/>
          <w:szCs w:val="24"/>
          <w:lang w:val="en-US"/>
        </w:rPr>
        <w:t xml:space="preserve">HvJ EG 12 juli 1990, nr. C-188/89 [Foster/British Gas Plc.], Jur. 1990, blz. </w:t>
      </w:r>
      <w:r w:rsidRPr="00484DAF">
        <w:rPr>
          <w:sz w:val="24"/>
          <w:szCs w:val="24"/>
          <w:lang w:val="pt-BR"/>
        </w:rPr>
        <w:t>I-03313.</w:t>
      </w:r>
    </w:p>
    <w:p w:rsidR="00C5640B" w:rsidRPr="00484DAF" w:rsidRDefault="00C5640B" w:rsidP="00CC552D">
      <w:pPr>
        <w:pStyle w:val="Geenafstand"/>
        <w:numPr>
          <w:ilvl w:val="0"/>
          <w:numId w:val="3"/>
        </w:numPr>
        <w:spacing w:line="360" w:lineRule="auto"/>
        <w:rPr>
          <w:sz w:val="24"/>
          <w:szCs w:val="24"/>
          <w:lang w:val="en-US"/>
        </w:rPr>
      </w:pPr>
      <w:r w:rsidRPr="00484DAF">
        <w:rPr>
          <w:sz w:val="24"/>
          <w:szCs w:val="24"/>
          <w:lang w:val="en-US"/>
        </w:rPr>
        <w:t>HvJ EG 13 november 1990, nr. C-106/89 [Marleasing], NJ 1993, blz. 163.</w:t>
      </w:r>
    </w:p>
    <w:p w:rsidR="001A6698" w:rsidRPr="00484DAF" w:rsidRDefault="001A6698" w:rsidP="00CC552D">
      <w:pPr>
        <w:pStyle w:val="Geenafstand"/>
        <w:numPr>
          <w:ilvl w:val="0"/>
          <w:numId w:val="3"/>
        </w:numPr>
        <w:spacing w:line="360" w:lineRule="auto"/>
        <w:rPr>
          <w:sz w:val="24"/>
          <w:szCs w:val="24"/>
          <w:lang w:val="pt-BR"/>
        </w:rPr>
      </w:pPr>
      <w:r w:rsidRPr="00484DAF">
        <w:rPr>
          <w:sz w:val="24"/>
          <w:szCs w:val="24"/>
          <w:lang w:val="pt-BR"/>
        </w:rPr>
        <w:t>HvJ EG 14 juli 1994, nr. C-91/92 [Faccini Dori], Jur</w:t>
      </w:r>
      <w:r w:rsidR="00C5640B" w:rsidRPr="00484DAF">
        <w:rPr>
          <w:sz w:val="24"/>
          <w:szCs w:val="24"/>
          <w:lang w:val="pt-BR"/>
        </w:rPr>
        <w:t>. 1994, blz.</w:t>
      </w:r>
      <w:r w:rsidRPr="00484DAF">
        <w:rPr>
          <w:sz w:val="24"/>
          <w:szCs w:val="24"/>
          <w:lang w:val="pt-BR"/>
        </w:rPr>
        <w:t xml:space="preserve"> I-3325.</w:t>
      </w:r>
    </w:p>
    <w:p w:rsidR="00C5640B" w:rsidRPr="00484DAF" w:rsidRDefault="00C5640B" w:rsidP="00CC552D">
      <w:pPr>
        <w:pStyle w:val="Geenafstand"/>
        <w:numPr>
          <w:ilvl w:val="0"/>
          <w:numId w:val="3"/>
        </w:numPr>
        <w:spacing w:line="360" w:lineRule="auto"/>
        <w:rPr>
          <w:sz w:val="24"/>
          <w:szCs w:val="24"/>
        </w:rPr>
      </w:pPr>
      <w:r w:rsidRPr="00484DAF">
        <w:rPr>
          <w:sz w:val="24"/>
          <w:szCs w:val="24"/>
        </w:rPr>
        <w:t>HvJ EG 11 augustus 1995, zaak C-453/93 [W. Bulthuis-Griffioen], Jur. 1995, I-02341.</w:t>
      </w:r>
    </w:p>
    <w:p w:rsidR="000C140C" w:rsidRPr="00484DAF" w:rsidRDefault="000C140C" w:rsidP="00CC552D">
      <w:pPr>
        <w:pStyle w:val="Geenafstand"/>
        <w:numPr>
          <w:ilvl w:val="0"/>
          <w:numId w:val="3"/>
        </w:numPr>
        <w:spacing w:line="360" w:lineRule="auto"/>
        <w:rPr>
          <w:sz w:val="24"/>
          <w:szCs w:val="24"/>
        </w:rPr>
      </w:pPr>
      <w:r w:rsidRPr="00484DAF">
        <w:rPr>
          <w:sz w:val="24"/>
          <w:szCs w:val="24"/>
        </w:rPr>
        <w:t xml:space="preserve">HvJ EG 28 maart 1996, nr. C-468/93[Gemeente Emmen], </w:t>
      </w:r>
      <w:r w:rsidRPr="00484DAF">
        <w:rPr>
          <w:i/>
          <w:sz w:val="24"/>
          <w:szCs w:val="24"/>
        </w:rPr>
        <w:t>VN 1996/1545</w:t>
      </w:r>
      <w:r w:rsidRPr="00484DAF">
        <w:rPr>
          <w:sz w:val="24"/>
          <w:szCs w:val="24"/>
        </w:rPr>
        <w:t>.</w:t>
      </w:r>
    </w:p>
    <w:p w:rsidR="00C5640B" w:rsidRPr="00484DAF" w:rsidRDefault="00C5640B" w:rsidP="00CC552D">
      <w:pPr>
        <w:pStyle w:val="Geenafstand"/>
        <w:numPr>
          <w:ilvl w:val="0"/>
          <w:numId w:val="3"/>
        </w:numPr>
        <w:spacing w:line="360" w:lineRule="auto"/>
        <w:rPr>
          <w:sz w:val="24"/>
          <w:szCs w:val="24"/>
          <w:lang w:val="en-US"/>
        </w:rPr>
      </w:pPr>
      <w:r w:rsidRPr="00484DAF">
        <w:rPr>
          <w:sz w:val="24"/>
          <w:szCs w:val="24"/>
          <w:lang w:val="en-US"/>
        </w:rPr>
        <w:t xml:space="preserve">HvJ EG 20 juni 1996, nr. C-155/94 [Wellcome Trust Ltd], </w:t>
      </w:r>
      <w:r w:rsidRPr="00484DAF">
        <w:rPr>
          <w:i/>
          <w:sz w:val="24"/>
          <w:szCs w:val="24"/>
          <w:lang w:val="en-US"/>
        </w:rPr>
        <w:t>VN 1997/1034</w:t>
      </w:r>
      <w:r w:rsidRPr="00484DAF">
        <w:rPr>
          <w:sz w:val="24"/>
          <w:szCs w:val="24"/>
          <w:lang w:val="en-US"/>
        </w:rPr>
        <w:t>.</w:t>
      </w:r>
    </w:p>
    <w:p w:rsidR="00C5640B" w:rsidRPr="00484DAF" w:rsidRDefault="00C5640B" w:rsidP="00CC552D">
      <w:pPr>
        <w:pStyle w:val="Geenafstand"/>
        <w:numPr>
          <w:ilvl w:val="0"/>
          <w:numId w:val="3"/>
        </w:numPr>
        <w:spacing w:line="360" w:lineRule="auto"/>
        <w:rPr>
          <w:sz w:val="24"/>
          <w:szCs w:val="24"/>
          <w:lang w:val="pt-BR"/>
        </w:rPr>
      </w:pPr>
      <w:r w:rsidRPr="00484DAF">
        <w:rPr>
          <w:sz w:val="24"/>
          <w:szCs w:val="24"/>
        </w:rPr>
        <w:t xml:space="preserve">HvJ EG 24 oktober 1996, nr. C-317/94 [Elida Gibbs], Jur. 1996, blz. </w:t>
      </w:r>
      <w:r w:rsidRPr="00484DAF">
        <w:rPr>
          <w:sz w:val="24"/>
          <w:szCs w:val="24"/>
          <w:lang w:val="pt-BR"/>
        </w:rPr>
        <w:t xml:space="preserve">I-5339, </w:t>
      </w:r>
      <w:r w:rsidRPr="00484DAF">
        <w:rPr>
          <w:i/>
          <w:sz w:val="24"/>
          <w:szCs w:val="24"/>
          <w:lang w:val="pt-BR"/>
        </w:rPr>
        <w:t>VN 1996/4573</w:t>
      </w:r>
      <w:r w:rsidRPr="00484DAF">
        <w:rPr>
          <w:sz w:val="24"/>
          <w:szCs w:val="24"/>
          <w:lang w:val="pt-BR"/>
        </w:rPr>
        <w:t>.</w:t>
      </w:r>
    </w:p>
    <w:p w:rsidR="00C5640B" w:rsidRPr="00484DAF" w:rsidRDefault="00C5640B" w:rsidP="00CC552D">
      <w:pPr>
        <w:pStyle w:val="Geenafstand"/>
        <w:numPr>
          <w:ilvl w:val="0"/>
          <w:numId w:val="3"/>
        </w:numPr>
        <w:spacing w:line="360" w:lineRule="auto"/>
        <w:rPr>
          <w:sz w:val="24"/>
          <w:szCs w:val="24"/>
        </w:rPr>
      </w:pPr>
      <w:r w:rsidRPr="00484DAF">
        <w:rPr>
          <w:sz w:val="24"/>
          <w:szCs w:val="24"/>
        </w:rPr>
        <w:t xml:space="preserve">HvJ EG 25 juni 1997, nr. C-45/95 [Commissie/Italië], Jur. 1997, blz. </w:t>
      </w:r>
      <w:r w:rsidRPr="00484DAF">
        <w:rPr>
          <w:sz w:val="24"/>
          <w:szCs w:val="24"/>
          <w:lang w:val="en-US"/>
        </w:rPr>
        <w:t>I-03605.</w:t>
      </w:r>
    </w:p>
    <w:p w:rsidR="00C5640B" w:rsidRPr="00484DAF" w:rsidRDefault="00C5640B" w:rsidP="00CC552D">
      <w:pPr>
        <w:pStyle w:val="Geenafstand"/>
        <w:numPr>
          <w:ilvl w:val="0"/>
          <w:numId w:val="3"/>
        </w:numPr>
        <w:spacing w:line="360" w:lineRule="auto"/>
        <w:rPr>
          <w:sz w:val="24"/>
          <w:szCs w:val="24"/>
        </w:rPr>
      </w:pPr>
      <w:r w:rsidRPr="00484DAF">
        <w:rPr>
          <w:sz w:val="24"/>
          <w:szCs w:val="24"/>
        </w:rPr>
        <w:t>HvJ EG 11 juni 1998, zaak C-283/95 [Karl Heinz Fisher], Jur. 1998, blz. I-3369.</w:t>
      </w:r>
    </w:p>
    <w:p w:rsidR="000C140C" w:rsidRPr="00484DAF" w:rsidRDefault="000C140C" w:rsidP="00CC552D">
      <w:pPr>
        <w:pStyle w:val="Geenafstand"/>
        <w:numPr>
          <w:ilvl w:val="0"/>
          <w:numId w:val="3"/>
        </w:numPr>
        <w:spacing w:line="360" w:lineRule="auto"/>
        <w:rPr>
          <w:sz w:val="24"/>
          <w:szCs w:val="24"/>
          <w:lang w:val="en-US"/>
        </w:rPr>
      </w:pPr>
      <w:r w:rsidRPr="00484DAF">
        <w:rPr>
          <w:sz w:val="24"/>
          <w:szCs w:val="24"/>
          <w:lang w:val="en-US"/>
        </w:rPr>
        <w:t xml:space="preserve">HvJ EG 29 april 1999, C-136/97 [Norbury Developments Ltd], </w:t>
      </w:r>
      <w:r w:rsidRPr="00484DAF">
        <w:rPr>
          <w:i/>
          <w:sz w:val="24"/>
          <w:szCs w:val="24"/>
          <w:lang w:val="en-US"/>
        </w:rPr>
        <w:t>VN 1999/26.22</w:t>
      </w:r>
      <w:r w:rsidRPr="00484DAF">
        <w:rPr>
          <w:sz w:val="24"/>
          <w:szCs w:val="24"/>
          <w:lang w:val="en-US"/>
        </w:rPr>
        <w:t>.</w:t>
      </w:r>
    </w:p>
    <w:p w:rsidR="000C140C" w:rsidRPr="00484DAF" w:rsidRDefault="000C140C" w:rsidP="00CC552D">
      <w:pPr>
        <w:pStyle w:val="Geenafstand"/>
        <w:numPr>
          <w:ilvl w:val="0"/>
          <w:numId w:val="3"/>
        </w:numPr>
        <w:spacing w:line="360" w:lineRule="auto"/>
        <w:rPr>
          <w:sz w:val="24"/>
          <w:szCs w:val="24"/>
        </w:rPr>
      </w:pPr>
      <w:r w:rsidRPr="00484DAF">
        <w:rPr>
          <w:sz w:val="24"/>
          <w:szCs w:val="24"/>
        </w:rPr>
        <w:t xml:space="preserve">HvJ EG 8 juni 2000, nr. C-400/98 [Brigitte Breitsohl], </w:t>
      </w:r>
      <w:r w:rsidRPr="00484DAF">
        <w:rPr>
          <w:i/>
          <w:sz w:val="24"/>
          <w:szCs w:val="24"/>
        </w:rPr>
        <w:t>VN 2000/43.17</w:t>
      </w:r>
      <w:r w:rsidRPr="00484DAF">
        <w:rPr>
          <w:sz w:val="24"/>
          <w:szCs w:val="24"/>
        </w:rPr>
        <w:t>.</w:t>
      </w:r>
    </w:p>
    <w:p w:rsidR="000C140C" w:rsidRPr="00484DAF" w:rsidRDefault="00C5640B" w:rsidP="00CC552D">
      <w:pPr>
        <w:pStyle w:val="Geenafstand"/>
        <w:numPr>
          <w:ilvl w:val="0"/>
          <w:numId w:val="3"/>
        </w:numPr>
        <w:spacing w:line="360" w:lineRule="auto"/>
        <w:rPr>
          <w:sz w:val="24"/>
          <w:szCs w:val="24"/>
        </w:rPr>
      </w:pPr>
      <w:r w:rsidRPr="00484DAF">
        <w:rPr>
          <w:sz w:val="24"/>
          <w:szCs w:val="24"/>
        </w:rPr>
        <w:t>HvJ EG 3 mei 2001, nr. C-481/98 [Commissie/Frankrijk], Jur. 2001 blz. I-3369.</w:t>
      </w:r>
    </w:p>
    <w:p w:rsidR="004C4501" w:rsidRPr="00484DAF" w:rsidRDefault="005A43F9" w:rsidP="00CC552D">
      <w:pPr>
        <w:pStyle w:val="Geenafstand"/>
        <w:numPr>
          <w:ilvl w:val="0"/>
          <w:numId w:val="3"/>
        </w:numPr>
        <w:spacing w:line="360" w:lineRule="auto"/>
        <w:rPr>
          <w:sz w:val="24"/>
          <w:szCs w:val="24"/>
        </w:rPr>
      </w:pPr>
      <w:r w:rsidRPr="00484DAF">
        <w:rPr>
          <w:sz w:val="24"/>
          <w:szCs w:val="24"/>
        </w:rPr>
        <w:t xml:space="preserve">HvJ EG 16 januari 2003, nr. C-315/00 [Rudolf Maierhofer], </w:t>
      </w:r>
      <w:r w:rsidRPr="00484DAF">
        <w:rPr>
          <w:i/>
          <w:sz w:val="24"/>
          <w:szCs w:val="24"/>
        </w:rPr>
        <w:t>BNB 2003/123 c*.</w:t>
      </w:r>
    </w:p>
    <w:p w:rsidR="002F66BE" w:rsidRPr="00484DAF" w:rsidRDefault="002F66BE" w:rsidP="00CC552D">
      <w:pPr>
        <w:pStyle w:val="Geenafstand"/>
        <w:numPr>
          <w:ilvl w:val="0"/>
          <w:numId w:val="3"/>
        </w:numPr>
        <w:spacing w:line="360" w:lineRule="auto"/>
        <w:rPr>
          <w:sz w:val="24"/>
          <w:szCs w:val="24"/>
        </w:rPr>
      </w:pPr>
      <w:r w:rsidRPr="00484DAF">
        <w:rPr>
          <w:sz w:val="24"/>
          <w:szCs w:val="24"/>
        </w:rPr>
        <w:lastRenderedPageBreak/>
        <w:t>HvJ EG 19 november 2009, nr. C-461/08</w:t>
      </w:r>
      <w:r w:rsidR="00EA41EA" w:rsidRPr="00484DAF">
        <w:rPr>
          <w:sz w:val="24"/>
          <w:szCs w:val="24"/>
        </w:rPr>
        <w:t xml:space="preserve"> [Don Bosco Onroerend Goed BV]</w:t>
      </w:r>
      <w:r w:rsidRPr="00484DAF">
        <w:rPr>
          <w:sz w:val="24"/>
          <w:szCs w:val="24"/>
        </w:rPr>
        <w:t xml:space="preserve">, </w:t>
      </w:r>
      <w:r w:rsidRPr="00484DAF">
        <w:rPr>
          <w:i/>
          <w:sz w:val="24"/>
          <w:szCs w:val="24"/>
        </w:rPr>
        <w:t>VN 2009/59.17</w:t>
      </w:r>
      <w:r w:rsidR="005F5499" w:rsidRPr="00484DAF">
        <w:rPr>
          <w:sz w:val="24"/>
          <w:szCs w:val="24"/>
        </w:rPr>
        <w:t xml:space="preserve">, </w:t>
      </w:r>
      <w:r w:rsidR="005F5499" w:rsidRPr="00484DAF">
        <w:rPr>
          <w:i/>
          <w:sz w:val="24"/>
          <w:szCs w:val="24"/>
        </w:rPr>
        <w:t>NTFR2009-2583</w:t>
      </w:r>
      <w:r w:rsidR="005F5499" w:rsidRPr="00484DAF">
        <w:rPr>
          <w:sz w:val="24"/>
          <w:szCs w:val="24"/>
        </w:rPr>
        <w:t>.</w:t>
      </w:r>
    </w:p>
    <w:sectPr w:rsidR="002F66BE" w:rsidRPr="00484DAF" w:rsidSect="001934DB">
      <w:footerReference w:type="default" r:id="rId8"/>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7B8E" w:rsidRDefault="00027B8E" w:rsidP="005459BD">
      <w:pPr>
        <w:spacing w:after="0" w:line="240" w:lineRule="auto"/>
      </w:pPr>
      <w:r>
        <w:separator/>
      </w:r>
    </w:p>
  </w:endnote>
  <w:endnote w:type="continuationSeparator" w:id="0">
    <w:p w:rsidR="00027B8E" w:rsidRDefault="00027B8E" w:rsidP="005459B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552D" w:rsidRDefault="00BE5F7D">
    <w:pPr>
      <w:pStyle w:val="Voettekst"/>
      <w:jc w:val="center"/>
    </w:pPr>
    <w:fldSimple w:instr=" PAGE   \* MERGEFORMAT ">
      <w:r w:rsidR="00BD660B">
        <w:rPr>
          <w:noProof/>
        </w:rPr>
        <w:t>55</w:t>
      </w:r>
    </w:fldSimple>
  </w:p>
  <w:p w:rsidR="00CC552D" w:rsidRDefault="00CC552D">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7B8E" w:rsidRDefault="00027B8E" w:rsidP="005459BD">
      <w:pPr>
        <w:spacing w:after="0" w:line="240" w:lineRule="auto"/>
      </w:pPr>
      <w:r>
        <w:separator/>
      </w:r>
    </w:p>
  </w:footnote>
  <w:footnote w:type="continuationSeparator" w:id="0">
    <w:p w:rsidR="00027B8E" w:rsidRDefault="00027B8E" w:rsidP="005459BD">
      <w:pPr>
        <w:spacing w:after="0" w:line="240" w:lineRule="auto"/>
      </w:pPr>
      <w:r>
        <w:continuationSeparator/>
      </w:r>
    </w:p>
  </w:footnote>
  <w:footnote w:id="1">
    <w:p w:rsidR="00CC552D" w:rsidRPr="00AD0ECE" w:rsidRDefault="00CC552D">
      <w:pPr>
        <w:pStyle w:val="Voetnoottekst"/>
      </w:pPr>
      <w:r w:rsidRPr="00AD0ECE">
        <w:rPr>
          <w:rStyle w:val="Voetnootmarkering"/>
        </w:rPr>
        <w:footnoteRef/>
      </w:r>
      <w:r w:rsidRPr="00AD0ECE">
        <w:t xml:space="preserve"> Uit: 1 Koningen 19,7.</w:t>
      </w:r>
    </w:p>
  </w:footnote>
  <w:footnote w:id="2">
    <w:p w:rsidR="00CC552D" w:rsidRPr="00AD0ECE" w:rsidRDefault="00CC552D" w:rsidP="00221A90">
      <w:pPr>
        <w:pStyle w:val="Voetnoottekst"/>
      </w:pPr>
      <w:r w:rsidRPr="00AD0ECE">
        <w:rPr>
          <w:rStyle w:val="Voetnootmarkering"/>
        </w:rPr>
        <w:footnoteRef/>
      </w:r>
      <w:r w:rsidRPr="00AD0ECE">
        <w:t xml:space="preserve"> Vrij vertaald: </w:t>
      </w:r>
      <w:r w:rsidRPr="00AD0ECE">
        <w:rPr>
          <w:i/>
        </w:rPr>
        <w:t>“Deze scriptie is geschreven voor diegenen die hun vaderland hebben verlaten om ons een beter leven te bieden en voor diegene die hen hebben laten vertrekken met datzelfde doel voor ogen. Bedankt voor alles!”</w:t>
      </w:r>
    </w:p>
  </w:footnote>
  <w:footnote w:id="3">
    <w:p w:rsidR="00CC552D" w:rsidRPr="00AD0ECE" w:rsidRDefault="00CC552D" w:rsidP="008F4B4E">
      <w:pPr>
        <w:pStyle w:val="Voetnoottekst"/>
      </w:pPr>
      <w:r w:rsidRPr="00AD0ECE">
        <w:rPr>
          <w:rStyle w:val="Voetnootmarkering"/>
        </w:rPr>
        <w:footnoteRef/>
      </w:r>
      <w:r w:rsidRPr="00AD0ECE">
        <w:t xml:space="preserve"> Artikel 1, onderdeel a Wet OB 1968.</w:t>
      </w:r>
    </w:p>
  </w:footnote>
  <w:footnote w:id="4">
    <w:p w:rsidR="00CC552D" w:rsidRPr="00AD0ECE" w:rsidRDefault="00CC552D" w:rsidP="008F4B4E">
      <w:pPr>
        <w:pStyle w:val="Voetnoottekst"/>
      </w:pPr>
      <w:r w:rsidRPr="00AD0ECE">
        <w:rPr>
          <w:rStyle w:val="Voetnootmarkering"/>
        </w:rPr>
        <w:footnoteRef/>
      </w:r>
      <w:r w:rsidRPr="00AD0ECE">
        <w:t xml:space="preserve"> A. van Dongen, </w:t>
      </w:r>
      <w:r w:rsidRPr="00AD0ECE">
        <w:rPr>
          <w:i/>
        </w:rPr>
        <w:t>‘De plaats van bemiddelingsdiensten voor de BTW na 1 januari 2007’</w:t>
      </w:r>
      <w:r w:rsidRPr="00AD0ECE">
        <w:t>, Forfaitair, juni 2007, blz.11.</w:t>
      </w:r>
    </w:p>
  </w:footnote>
  <w:footnote w:id="5">
    <w:p w:rsidR="00CC552D" w:rsidRPr="00AD0ECE" w:rsidRDefault="00CC552D" w:rsidP="008F4B4E">
      <w:pPr>
        <w:pStyle w:val="Voetnoottekst"/>
      </w:pPr>
      <w:r w:rsidRPr="00AD0ECE">
        <w:rPr>
          <w:rStyle w:val="Voetnootmarkering"/>
        </w:rPr>
        <w:footnoteRef/>
      </w:r>
      <w:r w:rsidRPr="00AD0ECE">
        <w:t xml:space="preserve"> HvJ EG 5 februari 1963, nr. 26/62 [Van Gend &amp; Loos], Jur. 0003.</w:t>
      </w:r>
    </w:p>
  </w:footnote>
  <w:footnote w:id="6">
    <w:p w:rsidR="00CC552D" w:rsidRPr="00AD0ECE" w:rsidRDefault="00CC552D" w:rsidP="008F4B4E">
      <w:pPr>
        <w:pStyle w:val="Voetnoottekst"/>
        <w:rPr>
          <w:lang w:val="pt-BR"/>
        </w:rPr>
      </w:pPr>
      <w:r w:rsidRPr="00AD0ECE">
        <w:rPr>
          <w:rStyle w:val="Voetnootmarkering"/>
        </w:rPr>
        <w:footnoteRef/>
      </w:r>
      <w:r w:rsidRPr="00AD0ECE">
        <w:rPr>
          <w:lang w:val="pt-BR"/>
        </w:rPr>
        <w:t xml:space="preserve"> HvJ EG 14 juli 1994, nr. C-91/92 [Faccini Dori], Jur. 1994, p. I-3325.</w:t>
      </w:r>
    </w:p>
  </w:footnote>
  <w:footnote w:id="7">
    <w:p w:rsidR="00CC552D" w:rsidRPr="00AD0ECE" w:rsidRDefault="00CC552D" w:rsidP="008F4B4E">
      <w:pPr>
        <w:pStyle w:val="Voetnoottekst"/>
      </w:pPr>
      <w:r w:rsidRPr="00AD0ECE">
        <w:rPr>
          <w:rStyle w:val="Voetnootmarkering"/>
        </w:rPr>
        <w:footnoteRef/>
      </w:r>
      <w:r w:rsidRPr="00AD0ECE">
        <w:t xml:space="preserve"> HvJ EG 8 oktober 1987, nr. C-80/86 [Kolpinghuis], Jur. 1987 blz. 3969.</w:t>
      </w:r>
    </w:p>
  </w:footnote>
  <w:footnote w:id="8">
    <w:p w:rsidR="00CC552D" w:rsidRPr="00AD0ECE" w:rsidRDefault="00CC552D" w:rsidP="008F4B4E">
      <w:pPr>
        <w:pStyle w:val="Voetnoottekst"/>
        <w:rPr>
          <w:lang w:val="en-US"/>
        </w:rPr>
      </w:pPr>
      <w:r w:rsidRPr="00AD0ECE">
        <w:rPr>
          <w:rStyle w:val="Voetnootmarkering"/>
        </w:rPr>
        <w:footnoteRef/>
      </w:r>
      <w:r w:rsidRPr="00AD0ECE">
        <w:rPr>
          <w:lang w:val="en-US"/>
        </w:rPr>
        <w:t xml:space="preserve"> HvJ EG 13 november 1990, nr. C-106/89 [Marleasing], NJ 1993, blz. 163.</w:t>
      </w:r>
    </w:p>
  </w:footnote>
  <w:footnote w:id="9">
    <w:p w:rsidR="00CC552D" w:rsidRPr="00AD0ECE" w:rsidRDefault="00CC552D" w:rsidP="008F4B4E">
      <w:pPr>
        <w:pStyle w:val="Voetnoottekst"/>
        <w:rPr>
          <w:lang w:val="en-US"/>
        </w:rPr>
      </w:pPr>
      <w:r w:rsidRPr="00AD0ECE">
        <w:rPr>
          <w:rStyle w:val="Voetnootmarkering"/>
        </w:rPr>
        <w:footnoteRef/>
      </w:r>
      <w:r w:rsidRPr="00AD0ECE">
        <w:rPr>
          <w:lang w:val="en-US"/>
        </w:rPr>
        <w:t xml:space="preserve"> HvJ EG 12 juli 1990, nr. C-188/89 [Foster/British Gas Plc.], Jur. 1990, blz. I-03313.</w:t>
      </w:r>
    </w:p>
  </w:footnote>
  <w:footnote w:id="10">
    <w:p w:rsidR="00CC552D" w:rsidRPr="00AD0ECE" w:rsidRDefault="00CC552D" w:rsidP="008F4B4E">
      <w:pPr>
        <w:pStyle w:val="Voetnoottekst"/>
        <w:rPr>
          <w:lang w:val="en-US"/>
        </w:rPr>
      </w:pPr>
      <w:r w:rsidRPr="00AD0ECE">
        <w:rPr>
          <w:rStyle w:val="Voetnootmarkering"/>
        </w:rPr>
        <w:footnoteRef/>
      </w:r>
      <w:r w:rsidRPr="00AD0ECE">
        <w:rPr>
          <w:lang w:val="en-US"/>
        </w:rPr>
        <w:t xml:space="preserve"> HvJ EG 26 februari 1986, nr.152/84 [Marshall/Southampton Area Health Authority], Jur. 1986, blz. 00723.</w:t>
      </w:r>
    </w:p>
  </w:footnote>
  <w:footnote w:id="11">
    <w:p w:rsidR="00CC552D" w:rsidRPr="00AD0ECE" w:rsidRDefault="00CC552D">
      <w:pPr>
        <w:pStyle w:val="Voetnoottekst"/>
      </w:pPr>
      <w:r w:rsidRPr="00AD0ECE">
        <w:rPr>
          <w:rStyle w:val="Voetnootmarkering"/>
        </w:rPr>
        <w:footnoteRef/>
      </w:r>
      <w:r w:rsidRPr="00AD0ECE">
        <w:t xml:space="preserve"> A.L.C. Simons, </w:t>
      </w:r>
      <w:r w:rsidRPr="00AD0ECE">
        <w:rPr>
          <w:i/>
        </w:rPr>
        <w:t>Open brief aan prof.mr. J. Reugebrink</w:t>
      </w:r>
      <w:r w:rsidRPr="00AD0ECE">
        <w:t>, WFR 1995/1587.</w:t>
      </w:r>
    </w:p>
  </w:footnote>
  <w:footnote w:id="12">
    <w:p w:rsidR="00CC552D" w:rsidRPr="00AD0ECE" w:rsidRDefault="00CC552D" w:rsidP="008F4B4E">
      <w:pPr>
        <w:pStyle w:val="Voetnoottekst"/>
      </w:pPr>
      <w:r w:rsidRPr="00AD0ECE">
        <w:rPr>
          <w:rStyle w:val="Voetnootmarkering"/>
        </w:rPr>
        <w:footnoteRef/>
      </w:r>
      <w:r w:rsidRPr="00AD0ECE">
        <w:t xml:space="preserve"> Artikel 9, lid 1 Wet OB 1968.</w:t>
      </w:r>
    </w:p>
  </w:footnote>
  <w:footnote w:id="13">
    <w:p w:rsidR="00CC552D" w:rsidRPr="00AD0ECE" w:rsidRDefault="00CC552D" w:rsidP="008F4B4E">
      <w:pPr>
        <w:pStyle w:val="Voetnoottekst"/>
      </w:pPr>
      <w:r w:rsidRPr="00AD0ECE">
        <w:rPr>
          <w:rStyle w:val="Voetnootmarkering"/>
        </w:rPr>
        <w:footnoteRef/>
      </w:r>
      <w:r w:rsidRPr="00AD0ECE">
        <w:t xml:space="preserve"> Artikel 9, lid 2, onderdeel a en b Wet OB 1968, respectievelijk de tabellen I en II.</w:t>
      </w:r>
    </w:p>
  </w:footnote>
  <w:footnote w:id="14">
    <w:p w:rsidR="00CC552D" w:rsidRPr="00AD0ECE" w:rsidRDefault="00CC552D" w:rsidP="008F4B4E">
      <w:pPr>
        <w:pStyle w:val="Voetnoottekst"/>
      </w:pPr>
      <w:r w:rsidRPr="00AD0ECE">
        <w:rPr>
          <w:rStyle w:val="Voetnootmarkering"/>
        </w:rPr>
        <w:footnoteRef/>
      </w:r>
      <w:r w:rsidRPr="00AD0ECE">
        <w:t xml:space="preserve"> Artikel 7, lid 1 Wet OB 1968.</w:t>
      </w:r>
    </w:p>
  </w:footnote>
  <w:footnote w:id="15">
    <w:p w:rsidR="00CC552D" w:rsidRPr="00AD0ECE" w:rsidRDefault="00CC552D" w:rsidP="008F4B4E">
      <w:pPr>
        <w:pStyle w:val="Voetnoottekst"/>
      </w:pPr>
      <w:r w:rsidRPr="00AD0ECE">
        <w:rPr>
          <w:rStyle w:val="Voetnootmarkering"/>
        </w:rPr>
        <w:footnoteRef/>
      </w:r>
      <w:r w:rsidRPr="00AD0ECE">
        <w:t xml:space="preserve"> Artikel 12, lid 1 Wet OB 1968.</w:t>
      </w:r>
    </w:p>
  </w:footnote>
  <w:footnote w:id="16">
    <w:p w:rsidR="00CC552D" w:rsidRPr="00AD0ECE" w:rsidRDefault="00CC552D" w:rsidP="008F4B4E">
      <w:pPr>
        <w:pStyle w:val="Voetnoottekst"/>
      </w:pPr>
      <w:r w:rsidRPr="00AD0ECE">
        <w:rPr>
          <w:rStyle w:val="Voetnootmarkering"/>
        </w:rPr>
        <w:footnoteRef/>
      </w:r>
      <w:r w:rsidRPr="00AD0ECE">
        <w:t xml:space="preserve"> Artikel 7, lid 2, onderdeel a Wet OB 1968.</w:t>
      </w:r>
    </w:p>
  </w:footnote>
  <w:footnote w:id="17">
    <w:p w:rsidR="00CC552D" w:rsidRPr="00AD0ECE" w:rsidRDefault="00CC552D" w:rsidP="008F4B4E">
      <w:pPr>
        <w:pStyle w:val="Voetnoottekst"/>
      </w:pPr>
      <w:r w:rsidRPr="00AD0ECE">
        <w:rPr>
          <w:rStyle w:val="Voetnootmarkering"/>
        </w:rPr>
        <w:footnoteRef/>
      </w:r>
      <w:r w:rsidRPr="00AD0ECE">
        <w:t xml:space="preserve"> Blommers e.a., </w:t>
      </w:r>
      <w:r w:rsidRPr="00AD0ECE">
        <w:rPr>
          <w:i/>
        </w:rPr>
        <w:t>BTW en Overdrachtsbelasting in de Vastgoedsector – editie 2008</w:t>
      </w:r>
      <w:r w:rsidRPr="00AD0ECE">
        <w:t>, Loyens &amp; Loeff series, 2008, blz. 11.</w:t>
      </w:r>
    </w:p>
  </w:footnote>
  <w:footnote w:id="18">
    <w:p w:rsidR="00CC552D" w:rsidRPr="00AD0ECE" w:rsidRDefault="00CC552D" w:rsidP="008F4B4E">
      <w:pPr>
        <w:pStyle w:val="Voetnoottekst"/>
      </w:pPr>
      <w:r w:rsidRPr="00AD0ECE">
        <w:rPr>
          <w:rStyle w:val="Voetnootmarkering"/>
        </w:rPr>
        <w:footnoteRef/>
      </w:r>
      <w:r w:rsidRPr="00AD0ECE">
        <w:t xml:space="preserve"> HvJ EG 24 oktober 1996, nr. C-317/94 [Elida Gibbs], Jur. 1996, blz. I-5339, </w:t>
      </w:r>
      <w:r w:rsidRPr="00AD0ECE">
        <w:rPr>
          <w:i/>
        </w:rPr>
        <w:t>VN 1996/4573.</w:t>
      </w:r>
    </w:p>
  </w:footnote>
  <w:footnote w:id="19">
    <w:p w:rsidR="00CC552D" w:rsidRPr="00AD0ECE" w:rsidRDefault="00CC552D" w:rsidP="008F4B4E">
      <w:pPr>
        <w:pStyle w:val="Voetnoottekst"/>
      </w:pPr>
      <w:r w:rsidRPr="00AD0ECE">
        <w:rPr>
          <w:rStyle w:val="Voetnootmarkering"/>
        </w:rPr>
        <w:footnoteRef/>
      </w:r>
      <w:r w:rsidRPr="00AD0ECE">
        <w:t xml:space="preserve"> Dit volgt uit artikel 2 Eerste BTW-richtlijn (Eerste Richtlijn 67/227/EEG van de Raad van 11 april 1967 betreffende de harmonisatie van de wetgevingen der Lidstaten inzake omzetbelasting).</w:t>
      </w:r>
    </w:p>
  </w:footnote>
  <w:footnote w:id="20">
    <w:p w:rsidR="00CC552D" w:rsidRPr="00AD0ECE" w:rsidRDefault="00CC552D" w:rsidP="008F4B4E">
      <w:pPr>
        <w:pStyle w:val="Voetnoottekst"/>
      </w:pPr>
      <w:r w:rsidRPr="00AD0ECE">
        <w:rPr>
          <w:rStyle w:val="Voetnootmarkering"/>
        </w:rPr>
        <w:footnoteRef/>
      </w:r>
      <w:r w:rsidRPr="00AD0ECE">
        <w:t xml:space="preserve"> Artikel 94, lid 2 BTW-richtlijn.</w:t>
      </w:r>
    </w:p>
  </w:footnote>
  <w:footnote w:id="21">
    <w:p w:rsidR="00CC552D" w:rsidRPr="00AD0ECE" w:rsidRDefault="00CC552D" w:rsidP="0007574E">
      <w:pPr>
        <w:pStyle w:val="Voetnoottekst"/>
        <w:rPr>
          <w:lang w:val="en-US"/>
        </w:rPr>
      </w:pPr>
      <w:r w:rsidRPr="00AD0ECE">
        <w:rPr>
          <w:rStyle w:val="Voetnootmarkering"/>
        </w:rPr>
        <w:footnoteRef/>
      </w:r>
      <w:r w:rsidRPr="00AD0ECE">
        <w:t xml:space="preserve"> HvJ EG 25 juni 1997, nr. C-45/95 [Commissie/Italië], Jur. 1997, blz. </w:t>
      </w:r>
      <w:r w:rsidRPr="00AD0ECE">
        <w:rPr>
          <w:lang w:val="en-US"/>
        </w:rPr>
        <w:t>I-03605.</w:t>
      </w:r>
    </w:p>
  </w:footnote>
  <w:footnote w:id="22">
    <w:p w:rsidR="00CC552D" w:rsidRPr="00AD0ECE" w:rsidRDefault="00CC552D" w:rsidP="008F4B4E">
      <w:pPr>
        <w:pStyle w:val="Voetnoottekst"/>
        <w:rPr>
          <w:lang w:val="en-US"/>
        </w:rPr>
      </w:pPr>
      <w:r w:rsidRPr="00AD0ECE">
        <w:rPr>
          <w:rStyle w:val="Voetnootmarkering"/>
        </w:rPr>
        <w:footnoteRef/>
      </w:r>
      <w:r w:rsidRPr="00AD0ECE">
        <w:rPr>
          <w:lang w:val="en-US"/>
        </w:rPr>
        <w:t xml:space="preserve"> HvJ EG 20 juni 1996, nr. C-155/94 [Wellcome Trust Ltd], </w:t>
      </w:r>
      <w:r w:rsidRPr="00AD0ECE">
        <w:rPr>
          <w:i/>
          <w:lang w:val="en-US"/>
        </w:rPr>
        <w:t>VN 1997/1034.</w:t>
      </w:r>
    </w:p>
  </w:footnote>
  <w:footnote w:id="23">
    <w:p w:rsidR="00CC552D" w:rsidRPr="00AD0ECE" w:rsidRDefault="00CC552D" w:rsidP="008F4B4E">
      <w:pPr>
        <w:pStyle w:val="Voetnoottekst"/>
      </w:pPr>
      <w:r w:rsidRPr="00AD0ECE">
        <w:rPr>
          <w:rStyle w:val="Voetnootmarkering"/>
        </w:rPr>
        <w:footnoteRef/>
      </w:r>
      <w:r w:rsidRPr="00AD0ECE">
        <w:t xml:space="preserve"> HvJ EG 3 mei 2001, nr. C-481/98 [Commissie/Frankrijk], Jur. 2001 blz. I-3369.</w:t>
      </w:r>
    </w:p>
  </w:footnote>
  <w:footnote w:id="24">
    <w:p w:rsidR="00CC552D" w:rsidRPr="00AD0ECE" w:rsidRDefault="00CC552D" w:rsidP="008F4B4E">
      <w:pPr>
        <w:pStyle w:val="Voetnoottekst"/>
      </w:pPr>
      <w:r w:rsidRPr="00AD0ECE">
        <w:rPr>
          <w:rStyle w:val="Voetnootmarkering"/>
        </w:rPr>
        <w:footnoteRef/>
      </w:r>
      <w:r w:rsidRPr="00AD0ECE">
        <w:t xml:space="preserve"> S.T.M. Beelen e.a., </w:t>
      </w:r>
      <w:r w:rsidRPr="00AD0ECE">
        <w:rPr>
          <w:i/>
        </w:rPr>
        <w:t>Cursus Belastingrecht Omzetbelasting (studenteneditie)</w:t>
      </w:r>
      <w:r w:rsidRPr="00AD0ECE">
        <w:t>, Kluwer, Deventer, 2006, blz. 179.</w:t>
      </w:r>
    </w:p>
  </w:footnote>
  <w:footnote w:id="25">
    <w:p w:rsidR="00CC552D" w:rsidRPr="00AD0ECE" w:rsidRDefault="00CC552D">
      <w:pPr>
        <w:pStyle w:val="Voetnoottekst"/>
        <w:rPr>
          <w:lang w:val="en-US"/>
        </w:rPr>
      </w:pPr>
      <w:r w:rsidRPr="00AD0ECE">
        <w:rPr>
          <w:rStyle w:val="Voetnootmarkering"/>
        </w:rPr>
        <w:footnoteRef/>
      </w:r>
      <w:r w:rsidRPr="00AD0ECE">
        <w:rPr>
          <w:lang w:val="en-US"/>
        </w:rPr>
        <w:t xml:space="preserve"> I. Crawford c.s., </w:t>
      </w:r>
      <w:r w:rsidRPr="00AD0ECE">
        <w:rPr>
          <w:i/>
          <w:lang w:val="en-US"/>
        </w:rPr>
        <w:t>Value-Added Tax and Excises</w:t>
      </w:r>
      <w:r w:rsidRPr="00AD0ECE">
        <w:rPr>
          <w:lang w:val="en-US"/>
        </w:rPr>
        <w:t xml:space="preserve">, Background paper for the Mirrlees Review, Reforming the Tax System for the 21st Century, 2008 </w:t>
      </w:r>
      <w:r w:rsidRPr="00BD660B">
        <w:rPr>
          <w:lang w:val="en-US"/>
        </w:rPr>
        <w:t>verwoorden dit met gevoel voor drama</w:t>
      </w:r>
      <w:r w:rsidRPr="00AD0ECE">
        <w:rPr>
          <w:lang w:val="en-US"/>
        </w:rPr>
        <w:t xml:space="preserve">: </w:t>
      </w:r>
      <w:r w:rsidRPr="00AD0ECE">
        <w:rPr>
          <w:i/>
          <w:lang w:val="en-US"/>
        </w:rPr>
        <w:t xml:space="preserve">‘Any exemption is anathema </w:t>
      </w:r>
      <w:r w:rsidRPr="00AD0ECE">
        <w:rPr>
          <w:lang w:val="en-US"/>
        </w:rPr>
        <w:t>[</w:t>
      </w:r>
      <w:r w:rsidRPr="00BD660B">
        <w:rPr>
          <w:lang w:val="en-US"/>
        </w:rPr>
        <w:t>een vloek</w:t>
      </w:r>
      <w:r w:rsidRPr="00AD0ECE">
        <w:rPr>
          <w:lang w:val="en-US"/>
        </w:rPr>
        <w:t xml:space="preserve">, MGVV] </w:t>
      </w:r>
      <w:r w:rsidRPr="00AD0ECE">
        <w:rPr>
          <w:i/>
          <w:lang w:val="en-US"/>
        </w:rPr>
        <w:t>to the logic of the VAT, since it inherently breaks the chain of credit and refund, leading to an element of production taxation.’</w:t>
      </w:r>
    </w:p>
  </w:footnote>
  <w:footnote w:id="26">
    <w:p w:rsidR="00CC552D" w:rsidRPr="00AD0ECE" w:rsidRDefault="00CC552D">
      <w:pPr>
        <w:pStyle w:val="Voetnoottekst"/>
      </w:pPr>
      <w:r w:rsidRPr="00AD0ECE">
        <w:rPr>
          <w:rStyle w:val="Voetnootmarkering"/>
        </w:rPr>
        <w:footnoteRef/>
      </w:r>
      <w:r w:rsidRPr="00AD0ECE">
        <w:t xml:space="preserve"> Dit blijkt uit het arrest SUFA, zie HvJ EG 15 juni 1989, zaak 348/87 [Stichting Uitvoering Financiële Acties/Nederland], Jur. 1989, blz. 1737.</w:t>
      </w:r>
    </w:p>
  </w:footnote>
  <w:footnote w:id="27">
    <w:p w:rsidR="00CC552D" w:rsidRPr="00AD0ECE" w:rsidRDefault="00CC552D">
      <w:pPr>
        <w:pStyle w:val="Voetnoottekst"/>
      </w:pPr>
      <w:r w:rsidRPr="00AD0ECE">
        <w:rPr>
          <w:rStyle w:val="Voetnootmarkering"/>
        </w:rPr>
        <w:footnoteRef/>
      </w:r>
      <w:r w:rsidRPr="00AD0ECE">
        <w:t xml:space="preserve"> Dit kwam duidelijk naar voren in het arrest Commissie/Verenigd Koninkrijk (HvJ EG 23 februari 1988, zaak 353/85 [Commissie/Verenigd Koninkrijk], Jur. 1988, blz. 817) en het arrest Bulthuis-Griffioen (HvJ EG 11 augustus 1995, zaak C-453/93 [W. Bulthuis-Griffioen], Jur. 1995, I-02341).</w:t>
      </w:r>
    </w:p>
  </w:footnote>
  <w:footnote w:id="28">
    <w:p w:rsidR="00CC552D" w:rsidRPr="00AD0ECE" w:rsidRDefault="00CC552D" w:rsidP="008F4B4E">
      <w:pPr>
        <w:pStyle w:val="Voetnoottekst"/>
      </w:pPr>
      <w:r w:rsidRPr="00AD0ECE">
        <w:rPr>
          <w:rStyle w:val="Voetnootmarkering"/>
        </w:rPr>
        <w:footnoteRef/>
      </w:r>
      <w:r w:rsidRPr="00AD0ECE">
        <w:t xml:space="preserve"> Voor de volledigheid, ingevolge artikel 3:3, lid 2 BW wordt als roerend aangemerkt </w:t>
      </w:r>
      <w:r w:rsidRPr="00AD0ECE">
        <w:rPr>
          <w:i/>
        </w:rPr>
        <w:t>‘alle zaken die niet onroerend zijn.’</w:t>
      </w:r>
    </w:p>
  </w:footnote>
  <w:footnote w:id="29">
    <w:p w:rsidR="00CC552D" w:rsidRPr="00AD0ECE" w:rsidRDefault="00CC552D" w:rsidP="008F4B4E">
      <w:pPr>
        <w:pStyle w:val="Voetnoottekst"/>
      </w:pPr>
      <w:r w:rsidRPr="00AD0ECE">
        <w:rPr>
          <w:rStyle w:val="Voetnootmarkering"/>
        </w:rPr>
        <w:footnoteRef/>
      </w:r>
      <w:r w:rsidRPr="00AD0ECE">
        <w:t xml:space="preserve"> HR 31 oktober 1997, nr. 16 404 (C96/222), </w:t>
      </w:r>
      <w:r w:rsidRPr="00AD0ECE">
        <w:rPr>
          <w:i/>
        </w:rPr>
        <w:t>VN 1997/4334</w:t>
      </w:r>
      <w:r w:rsidRPr="00AD0ECE">
        <w:t xml:space="preserve">, vergelijk ook Gerechtshof ’s-Gravenhage (hierna: Hof Den Haag) 7 juni 2001, nr. 00/00117, </w:t>
      </w:r>
      <w:r w:rsidRPr="00AD0ECE">
        <w:rPr>
          <w:i/>
        </w:rPr>
        <w:t>VN 2001/52.20</w:t>
      </w:r>
      <w:r w:rsidRPr="00AD0ECE">
        <w:t xml:space="preserve"> inzake zeecontainers waarbij getoetst wordt aan de criteria geformuleerd aan het arrest van 31 oktober 1997.</w:t>
      </w:r>
    </w:p>
  </w:footnote>
  <w:footnote w:id="30">
    <w:p w:rsidR="00CC552D" w:rsidRPr="00AD0ECE" w:rsidRDefault="00CC552D" w:rsidP="008F4B4E">
      <w:pPr>
        <w:pStyle w:val="Voetnoottekst"/>
      </w:pPr>
      <w:r w:rsidRPr="00AD0ECE">
        <w:rPr>
          <w:rStyle w:val="Voetnootmarkering"/>
        </w:rPr>
        <w:footnoteRef/>
      </w:r>
      <w:r w:rsidRPr="00AD0ECE">
        <w:t xml:space="preserve"> HR 31 oktober 1997, nr. 16 404 (C96/222), </w:t>
      </w:r>
      <w:r w:rsidRPr="00AD0ECE">
        <w:rPr>
          <w:i/>
        </w:rPr>
        <w:t>VN 1997/4334</w:t>
      </w:r>
      <w:r w:rsidRPr="00AD0ECE">
        <w:t>, rechtsoverweging (hierna: r.o.) 3.3.a.</w:t>
      </w:r>
    </w:p>
  </w:footnote>
  <w:footnote w:id="31">
    <w:p w:rsidR="00CC552D" w:rsidRPr="00AD0ECE" w:rsidRDefault="00CC552D" w:rsidP="008F4B4E">
      <w:pPr>
        <w:pStyle w:val="Voetnoottekst"/>
      </w:pPr>
      <w:r w:rsidRPr="00AD0ECE">
        <w:rPr>
          <w:rStyle w:val="Voetnootmarkering"/>
        </w:rPr>
        <w:footnoteRef/>
      </w:r>
      <w:r w:rsidRPr="00AD0ECE">
        <w:t xml:space="preserve"> Fiscale Encyclopedie De Vakstudie ( VST), Wet op de omzetbelasting 1968, Artikelsgewijs commentaar, Artikel 11, eerste lid, onderdeel a(*1). Levering van onroerende zaken, Aantekening 2. Onroerende zaken, paragraaf 2.1.</w:t>
      </w:r>
    </w:p>
  </w:footnote>
  <w:footnote w:id="32">
    <w:p w:rsidR="00CC552D" w:rsidRPr="00AD0ECE" w:rsidRDefault="00CC552D" w:rsidP="008F4B4E">
      <w:pPr>
        <w:pStyle w:val="Voetnoottekst"/>
      </w:pPr>
      <w:r w:rsidRPr="00AD0ECE">
        <w:rPr>
          <w:rStyle w:val="Voetnootmarkering"/>
        </w:rPr>
        <w:footnoteRef/>
      </w:r>
      <w:r w:rsidRPr="00AD0ECE">
        <w:t xml:space="preserve"> HvJ EG 16 januari 2003, nr. C-315/00 [Rudolf Maierhofer], </w:t>
      </w:r>
      <w:r w:rsidRPr="00AD0ECE">
        <w:rPr>
          <w:i/>
        </w:rPr>
        <w:t>BNB 2003/123 c*.</w:t>
      </w:r>
    </w:p>
  </w:footnote>
  <w:footnote w:id="33">
    <w:p w:rsidR="00CC552D" w:rsidRPr="00AD0ECE" w:rsidRDefault="00CC552D" w:rsidP="008F4B4E">
      <w:pPr>
        <w:pStyle w:val="Voetnoottekst"/>
      </w:pPr>
      <w:r w:rsidRPr="00AD0ECE">
        <w:rPr>
          <w:rStyle w:val="Voetnootmarkering"/>
        </w:rPr>
        <w:footnoteRef/>
      </w:r>
      <w:r w:rsidRPr="00AD0ECE">
        <w:t xml:space="preserve"> Overigens was in de zaak </w:t>
      </w:r>
      <w:r w:rsidRPr="00AD0ECE">
        <w:rPr>
          <w:i/>
        </w:rPr>
        <w:t>Breitsohl</w:t>
      </w:r>
      <w:r w:rsidRPr="00AD0ECE">
        <w:t xml:space="preserve"> (HvJ EG 8 juni 2000, nr. C-400/98 [Breitsohl], </w:t>
      </w:r>
      <w:r w:rsidRPr="00AD0ECE">
        <w:rPr>
          <w:i/>
        </w:rPr>
        <w:t>VN 2000/43.17</w:t>
      </w:r>
      <w:r w:rsidRPr="00AD0ECE">
        <w:t xml:space="preserve">) de vraag of onroerend goed een communautair begrip is of invulling wordt overgelaten aan het nationale recht reeds gesteld. </w:t>
      </w:r>
      <w:r w:rsidRPr="00AD0ECE">
        <w:rPr>
          <w:i/>
        </w:rPr>
        <w:t>Van Dongen</w:t>
      </w:r>
      <w:r w:rsidRPr="00AD0ECE">
        <w:t xml:space="preserve"> constateert dat genoemd arrest geen bruikbare definitie heeft opgeleverd in A. van Dongen, </w:t>
      </w:r>
      <w:r w:rsidRPr="00AD0ECE">
        <w:rPr>
          <w:i/>
        </w:rPr>
        <w:t>Portret van de BTW</w:t>
      </w:r>
      <w:r w:rsidRPr="00AD0ECE">
        <w:t xml:space="preserve"> in </w:t>
      </w:r>
      <w:r w:rsidRPr="00AD0ECE">
        <w:rPr>
          <w:i/>
        </w:rPr>
        <w:t>Alle wegen leiden naar Brussel (50 jaar NOB, 50 jaar Europese jurisprudentie en wetgeving</w:t>
      </w:r>
      <w:r w:rsidRPr="00AD0ECE">
        <w:t>), NOB, Amsterdam, 2004.</w:t>
      </w:r>
    </w:p>
  </w:footnote>
  <w:footnote w:id="34">
    <w:p w:rsidR="00CC552D" w:rsidRPr="00AD0ECE" w:rsidRDefault="00CC552D" w:rsidP="008F4B4E">
      <w:pPr>
        <w:pStyle w:val="Voetnoottekst"/>
      </w:pPr>
      <w:r w:rsidRPr="00AD0ECE">
        <w:rPr>
          <w:rStyle w:val="Voetnootmarkering"/>
        </w:rPr>
        <w:footnoteRef/>
      </w:r>
      <w:r w:rsidRPr="00AD0ECE">
        <w:t xml:space="preserve"> A. van Dongen, </w:t>
      </w:r>
      <w:r w:rsidRPr="00AD0ECE">
        <w:rPr>
          <w:i/>
        </w:rPr>
        <w:t>Nieuwe ronde, nieuwe kansen – Verhuur van machines en bedrijfsinstallaties</w:t>
      </w:r>
      <w:r w:rsidRPr="00AD0ECE">
        <w:t>, BtwBrief 2001/5.</w:t>
      </w:r>
    </w:p>
  </w:footnote>
  <w:footnote w:id="35">
    <w:p w:rsidR="00CC552D" w:rsidRPr="00AD0ECE" w:rsidRDefault="00CC552D" w:rsidP="008F4B4E">
      <w:pPr>
        <w:pStyle w:val="Voetnoottekst"/>
      </w:pPr>
      <w:r w:rsidRPr="00AD0ECE">
        <w:rPr>
          <w:rStyle w:val="Voetnootmarkering"/>
        </w:rPr>
        <w:footnoteRef/>
      </w:r>
      <w:r w:rsidRPr="00AD0ECE">
        <w:t xml:space="preserve"> HvJ EG 16 januari 2003, nr. C-315/00 [Rudolf Maierhofer], </w:t>
      </w:r>
      <w:r w:rsidRPr="00AD0ECE">
        <w:rPr>
          <w:i/>
        </w:rPr>
        <w:t>BNB 2003/123 c*,</w:t>
      </w:r>
      <w:r w:rsidRPr="00AD0ECE">
        <w:t xml:space="preserve"> r.o. 26.</w:t>
      </w:r>
    </w:p>
  </w:footnote>
  <w:footnote w:id="36">
    <w:p w:rsidR="00CC552D" w:rsidRPr="00AD0ECE" w:rsidRDefault="00CC552D" w:rsidP="008F4B4E">
      <w:pPr>
        <w:pStyle w:val="Voetnoottekst"/>
      </w:pPr>
      <w:r w:rsidRPr="00AD0ECE">
        <w:rPr>
          <w:rStyle w:val="Voetnootmarkering"/>
        </w:rPr>
        <w:footnoteRef/>
      </w:r>
      <w:r w:rsidRPr="00AD0ECE">
        <w:t xml:space="preserve"> HvJ EG 16 januari 2003, nr. C-315/00 [Rudolf Maierhofer], </w:t>
      </w:r>
      <w:r w:rsidRPr="00AD0ECE">
        <w:rPr>
          <w:i/>
        </w:rPr>
        <w:t>BNB 2003/123 c*</w:t>
      </w:r>
      <w:r w:rsidRPr="00AD0ECE">
        <w:t>, r.o. 31.</w:t>
      </w:r>
    </w:p>
  </w:footnote>
  <w:footnote w:id="37">
    <w:p w:rsidR="00CC552D" w:rsidRPr="00AD0ECE" w:rsidRDefault="00CC552D" w:rsidP="008F4B4E">
      <w:pPr>
        <w:pStyle w:val="Voetnoottekst"/>
      </w:pPr>
      <w:r w:rsidRPr="00AD0ECE">
        <w:rPr>
          <w:rStyle w:val="Voetnootmarkering"/>
        </w:rPr>
        <w:footnoteRef/>
      </w:r>
      <w:r w:rsidRPr="00AD0ECE">
        <w:t xml:space="preserve"> In onderhavig arrest waren voor verplaatsing van de gebouwen, bestaande uit prefabelementen, tachtig mandagen (in de vorm van acht personen gedurende tien dagen) nodig, zie HvJ EG 16 januari 2003, nr. C-315/00 [Rudolf Maierhofer], BNB 2003/123 c*, r.o. 32. </w:t>
      </w:r>
      <w:r w:rsidRPr="00AD0ECE">
        <w:rPr>
          <w:i/>
        </w:rPr>
        <w:t xml:space="preserve">Van de Heuvel </w:t>
      </w:r>
      <w:r w:rsidRPr="00AD0ECE">
        <w:t xml:space="preserve">vraagt zich af of 20 manuren voor het demonteren ook genoeg was geweest om te kwalificeren als onroerend goed en voorziet dat de toekomst het zal leren in R.M.C. van den Heuvel, </w:t>
      </w:r>
      <w:r w:rsidRPr="00AD0ECE">
        <w:rPr>
          <w:i/>
        </w:rPr>
        <w:t>Verhuur van een roerende of onroerende zaak</w:t>
      </w:r>
      <w:r w:rsidRPr="00AD0ECE">
        <w:t>, BTW-bulletin 2003/2. Tot op heden is echter nog geen duidelijkheid hieromtrent geschept.</w:t>
      </w:r>
    </w:p>
  </w:footnote>
  <w:footnote w:id="38">
    <w:p w:rsidR="00CC552D" w:rsidRPr="00AD0ECE" w:rsidRDefault="00CC552D" w:rsidP="008F4B4E">
      <w:pPr>
        <w:pStyle w:val="Voetnoottekst"/>
      </w:pPr>
      <w:r w:rsidRPr="00AD0ECE">
        <w:rPr>
          <w:rStyle w:val="Voetnootmarkering"/>
        </w:rPr>
        <w:footnoteRef/>
      </w:r>
      <w:r w:rsidRPr="00AD0ECE">
        <w:t xml:space="preserve"> </w:t>
      </w:r>
      <w:r w:rsidRPr="00AD0ECE">
        <w:rPr>
          <w:i/>
        </w:rPr>
        <w:t>‘- doch niet onlosmakelijk -’</w:t>
      </w:r>
      <w:r w:rsidRPr="00AD0ECE">
        <w:t xml:space="preserve">, aldus A. van Dongen, </w:t>
      </w:r>
      <w:r w:rsidRPr="00AD0ECE">
        <w:rPr>
          <w:i/>
        </w:rPr>
        <w:t>Maierhofer: vast en zeker of twee keer mis?</w:t>
      </w:r>
      <w:r w:rsidRPr="00AD0ECE">
        <w:t>, BtwBrief 2003/4.</w:t>
      </w:r>
    </w:p>
  </w:footnote>
  <w:footnote w:id="39">
    <w:p w:rsidR="00CC552D" w:rsidRPr="00AD0ECE" w:rsidRDefault="00CC552D" w:rsidP="008F4B4E">
      <w:pPr>
        <w:pStyle w:val="Voetnoottekst"/>
      </w:pPr>
      <w:r w:rsidRPr="00AD0ECE">
        <w:rPr>
          <w:rStyle w:val="Voetnootmarkering"/>
        </w:rPr>
        <w:footnoteRef/>
      </w:r>
      <w:r w:rsidRPr="00AD0ECE">
        <w:t xml:space="preserve"> F.J. Manzoni-Van de Kuilen, </w:t>
      </w:r>
      <w:r w:rsidRPr="00AD0ECE">
        <w:rPr>
          <w:i/>
        </w:rPr>
        <w:t>Onroerende zaak: een communautair begrip</w:t>
      </w:r>
      <w:r w:rsidRPr="00AD0ECE">
        <w:t>, Juridisch up to date, juni 2005.</w:t>
      </w:r>
    </w:p>
  </w:footnote>
  <w:footnote w:id="40">
    <w:p w:rsidR="00CC552D" w:rsidRPr="00AD0ECE" w:rsidRDefault="00CC552D" w:rsidP="008F4B4E">
      <w:pPr>
        <w:pStyle w:val="Voetnoottekst"/>
      </w:pPr>
      <w:r w:rsidRPr="00AD0ECE">
        <w:rPr>
          <w:rStyle w:val="Voetnootmarkering"/>
        </w:rPr>
        <w:footnoteRef/>
      </w:r>
      <w:r w:rsidRPr="00AD0ECE">
        <w:t xml:space="preserve"> M.E. van Hilten e.a., </w:t>
      </w:r>
      <w:r w:rsidRPr="00AD0ECE">
        <w:rPr>
          <w:i/>
        </w:rPr>
        <w:t>Omzetbelasting</w:t>
      </w:r>
      <w:r w:rsidRPr="00AD0ECE">
        <w:t>, Kluwer, Deventer, 2007, blz. 96.</w:t>
      </w:r>
    </w:p>
  </w:footnote>
  <w:footnote w:id="41">
    <w:p w:rsidR="00CC552D" w:rsidRPr="00AD0ECE" w:rsidRDefault="00CC552D" w:rsidP="008F4B4E">
      <w:pPr>
        <w:pStyle w:val="Voetnoottekst"/>
      </w:pPr>
      <w:r w:rsidRPr="00AD0ECE">
        <w:rPr>
          <w:rStyle w:val="Voetnootmarkering"/>
        </w:rPr>
        <w:footnoteRef/>
      </w:r>
      <w:r w:rsidRPr="00AD0ECE">
        <w:t xml:space="preserve"> In het vervolg van deze scriptie zal dan ook enkel worden gesproken van onroerende goederen (tenzij sprake is van geciteerde of geparafraseerde tekst).</w:t>
      </w:r>
    </w:p>
  </w:footnote>
  <w:footnote w:id="42">
    <w:p w:rsidR="00CC552D" w:rsidRPr="00AD0ECE" w:rsidRDefault="00CC552D" w:rsidP="008F4B4E">
      <w:pPr>
        <w:pStyle w:val="Voetnoottekst"/>
      </w:pPr>
      <w:r w:rsidRPr="00AD0ECE">
        <w:rPr>
          <w:rStyle w:val="Voetnootmarkering"/>
        </w:rPr>
        <w:footnoteRef/>
      </w:r>
      <w:r w:rsidRPr="00AD0ECE">
        <w:t xml:space="preserve"> </w:t>
      </w:r>
      <w:r w:rsidRPr="00AD0ECE">
        <w:rPr>
          <w:i/>
        </w:rPr>
        <w:t xml:space="preserve">‘Zoals elke behoorlijke wettelijke regel betaamt, kent ook deze regel </w:t>
      </w:r>
      <w:r w:rsidRPr="00AD0ECE">
        <w:t>[artikel 11, lid 1, onderdeel a Wet OB 1968, MGVV]</w:t>
      </w:r>
      <w:r w:rsidRPr="00AD0ECE">
        <w:rPr>
          <w:i/>
        </w:rPr>
        <w:t xml:space="preserve"> een aantal uitzonderingen,’</w:t>
      </w:r>
      <w:r w:rsidRPr="00AD0ECE">
        <w:t xml:space="preserve"> aldus D.G. Van Vliet, </w:t>
      </w:r>
      <w:r w:rsidRPr="00AD0ECE">
        <w:rPr>
          <w:i/>
        </w:rPr>
        <w:t>Geen vervaardiging door enkel wijziging van bestemming</w:t>
      </w:r>
      <w:r w:rsidRPr="00AD0ECE">
        <w:t>, WFR 1988/1492.</w:t>
      </w:r>
    </w:p>
  </w:footnote>
  <w:footnote w:id="43">
    <w:p w:rsidR="00CC552D" w:rsidRPr="00AD0ECE" w:rsidRDefault="00CC552D" w:rsidP="008F4B4E">
      <w:pPr>
        <w:pStyle w:val="Voetnoottekst"/>
      </w:pPr>
      <w:r w:rsidRPr="00AD0ECE">
        <w:rPr>
          <w:rStyle w:val="Voetnootmarkering"/>
        </w:rPr>
        <w:footnoteRef/>
      </w:r>
      <w:r w:rsidRPr="00AD0ECE">
        <w:t xml:space="preserve"> Overigens had de Nederlandse wetgever ingevolge artikel 12, lid 2 BTW-richtlijn er ook voor kunnen kiezen de levering te belasten welke plaatsvindt vóór, op of uiterlijk vijf jaren na voltooiing van het gebouw.</w:t>
      </w:r>
    </w:p>
  </w:footnote>
  <w:footnote w:id="44">
    <w:p w:rsidR="00CC552D" w:rsidRPr="00AD0ECE" w:rsidRDefault="00CC552D" w:rsidP="008F4B4E">
      <w:pPr>
        <w:pStyle w:val="Voetnoottekst"/>
      </w:pPr>
      <w:r w:rsidRPr="00AD0ECE">
        <w:rPr>
          <w:rStyle w:val="Voetnootmarkering"/>
        </w:rPr>
        <w:footnoteRef/>
      </w:r>
      <w:r w:rsidRPr="00AD0ECE">
        <w:t xml:space="preserve"> Artikel 3, lid 1, onderdeel a Wet OB 1968.</w:t>
      </w:r>
    </w:p>
  </w:footnote>
  <w:footnote w:id="45">
    <w:p w:rsidR="00CC552D" w:rsidRPr="00AD0ECE" w:rsidRDefault="00CC552D" w:rsidP="008F4B4E">
      <w:pPr>
        <w:pStyle w:val="Voetnoottekst"/>
        <w:rPr>
          <w:lang w:val="en-US"/>
        </w:rPr>
      </w:pPr>
      <w:r w:rsidRPr="00AD0ECE">
        <w:rPr>
          <w:rStyle w:val="Voetnootmarkering"/>
        </w:rPr>
        <w:footnoteRef/>
      </w:r>
      <w:r w:rsidRPr="00AD0ECE">
        <w:rPr>
          <w:lang w:val="en-US"/>
        </w:rPr>
        <w:t xml:space="preserve"> Artikel 3:89 BW.</w:t>
      </w:r>
    </w:p>
  </w:footnote>
  <w:footnote w:id="46">
    <w:p w:rsidR="00CC552D" w:rsidRPr="00AD0ECE" w:rsidRDefault="00CC552D" w:rsidP="008F4B4E">
      <w:pPr>
        <w:pStyle w:val="Voetnoottekst"/>
        <w:rPr>
          <w:lang w:val="en-US"/>
        </w:rPr>
      </w:pPr>
      <w:r w:rsidRPr="00AD0ECE">
        <w:rPr>
          <w:rStyle w:val="Voetnootmarkering"/>
        </w:rPr>
        <w:footnoteRef/>
      </w:r>
      <w:r w:rsidRPr="00AD0ECE">
        <w:rPr>
          <w:lang w:val="en-US"/>
        </w:rPr>
        <w:t xml:space="preserve"> HvJ EG 8 februari 1990, nr. C-320/88 [Shipping and Forwarding Enterprise Safe BV (SAFE Rekencentrum BV)], BNB 1990/271, r.o. 9.</w:t>
      </w:r>
    </w:p>
  </w:footnote>
  <w:footnote w:id="47">
    <w:p w:rsidR="00CC552D" w:rsidRPr="00AD0ECE" w:rsidRDefault="00CC552D" w:rsidP="008F4B4E">
      <w:pPr>
        <w:pStyle w:val="Voetnoottekst"/>
      </w:pPr>
      <w:r w:rsidRPr="00AD0ECE">
        <w:rPr>
          <w:rStyle w:val="Voetnootmarkering"/>
        </w:rPr>
        <w:footnoteRef/>
      </w:r>
      <w:r w:rsidRPr="00AD0ECE">
        <w:t xml:space="preserve"> E. Schregardus, </w:t>
      </w:r>
      <w:r w:rsidRPr="00AD0ECE">
        <w:rPr>
          <w:i/>
        </w:rPr>
        <w:t>De zaak Maierhofer “Een gebouw is geen gebouw – De gevolgen voor artikel 15, lid 1, letter a Wet BRV in de recreatiesector</w:t>
      </w:r>
      <w:r w:rsidRPr="00AD0ECE">
        <w:t>, Europese Fiscale Studies, 2007/2008. De auteur tekent aan dat hier zowel sprake kan zijn van vervaardiging van een nieuw pand als verbouwing van een bestaand pand. Deze problematiek komt in hoofdstuk 3 van deze scriptie aan de orde.</w:t>
      </w:r>
    </w:p>
  </w:footnote>
  <w:footnote w:id="48">
    <w:p w:rsidR="00CC552D" w:rsidRPr="00AD0ECE" w:rsidRDefault="00CC552D" w:rsidP="008F4B4E">
      <w:pPr>
        <w:pStyle w:val="Voetnoottekst"/>
      </w:pPr>
      <w:r w:rsidRPr="00AD0ECE">
        <w:rPr>
          <w:rStyle w:val="Voetnootmarkering"/>
        </w:rPr>
        <w:footnoteRef/>
      </w:r>
      <w:r w:rsidRPr="00AD0ECE">
        <w:t xml:space="preserve"> Waaronder grond, zie artikel 3, lid 9 Wet OB 1968.</w:t>
      </w:r>
    </w:p>
  </w:footnote>
  <w:footnote w:id="49">
    <w:p w:rsidR="00CC552D" w:rsidRPr="00AD0ECE" w:rsidRDefault="00CC552D" w:rsidP="008F4B4E">
      <w:pPr>
        <w:pStyle w:val="Voetnoottekst"/>
      </w:pPr>
      <w:r w:rsidRPr="00AD0ECE">
        <w:rPr>
          <w:rStyle w:val="Voetnootmarkering"/>
        </w:rPr>
        <w:footnoteRef/>
      </w:r>
      <w:r w:rsidRPr="00AD0ECE">
        <w:t xml:space="preserve"> Mededeling van de Staatssecretaris van Financiën, Infobulletin 87/175, VN 1987/908. Dit standpunt is nog steeds geldig, getuige paragraaf 3.3 van het Besluit van 14 juli 2009, nr. CPP2008/137M, </w:t>
      </w:r>
      <w:r w:rsidRPr="00AD0ECE">
        <w:rPr>
          <w:i/>
        </w:rPr>
        <w:t>VN 2009/39.23</w:t>
      </w:r>
      <w:r w:rsidRPr="00AD0ECE">
        <w:t xml:space="preserve">: </w:t>
      </w:r>
      <w:r w:rsidRPr="00AD0ECE">
        <w:rPr>
          <w:i/>
        </w:rPr>
        <w:t>‘Bij de eerste ingebruikneming (…) gaat het om het feitelijk voor het eerst en op duurzame wijze gebruik maken van de onroerende zaak in overeenstemming met de objectieve bestemming van de betrokken onroerende zaak.’</w:t>
      </w:r>
    </w:p>
  </w:footnote>
  <w:footnote w:id="50">
    <w:p w:rsidR="00CC552D" w:rsidRPr="00AD0ECE" w:rsidRDefault="00CC552D" w:rsidP="008F4B4E">
      <w:pPr>
        <w:pStyle w:val="Voetnoottekst"/>
      </w:pPr>
      <w:r w:rsidRPr="00AD0ECE">
        <w:rPr>
          <w:rStyle w:val="Voetnootmarkering"/>
        </w:rPr>
        <w:footnoteRef/>
      </w:r>
      <w:r w:rsidRPr="00AD0ECE">
        <w:t xml:space="preserve"> Hof Den Bosch 3 oktober 2008, nr. 04/02218, </w:t>
      </w:r>
      <w:r w:rsidRPr="00AD0ECE">
        <w:rPr>
          <w:i/>
        </w:rPr>
        <w:t>VN 2009/17.19</w:t>
      </w:r>
      <w:r w:rsidRPr="00AD0ECE">
        <w:t>.</w:t>
      </w:r>
    </w:p>
  </w:footnote>
  <w:footnote w:id="51">
    <w:p w:rsidR="00CC552D" w:rsidRPr="00AD0ECE" w:rsidRDefault="00CC552D" w:rsidP="008F4B4E">
      <w:pPr>
        <w:pStyle w:val="Voetnoottekst"/>
      </w:pPr>
      <w:r w:rsidRPr="00AD0ECE">
        <w:rPr>
          <w:rStyle w:val="Voetnootmarkering"/>
        </w:rPr>
        <w:footnoteRef/>
      </w:r>
      <w:r w:rsidRPr="00AD0ECE">
        <w:t xml:space="preserve"> Hof Den Bosch 3 oktober 2008, nr. 04/02218, </w:t>
      </w:r>
      <w:r w:rsidRPr="00AD0ECE">
        <w:rPr>
          <w:i/>
        </w:rPr>
        <w:t>VN 2009/17.19</w:t>
      </w:r>
      <w:r w:rsidRPr="00AD0ECE">
        <w:t>, r.o. 4.4. Voor de volledigheid merk ik op dat deze uitspraken en anderen aangaande zaken aangaande onroerend goed een sterk casuïstisch karakter hebben.</w:t>
      </w:r>
    </w:p>
  </w:footnote>
  <w:footnote w:id="52">
    <w:p w:rsidR="00CC552D" w:rsidRPr="00AD0ECE" w:rsidRDefault="00CC552D" w:rsidP="008F4B4E">
      <w:pPr>
        <w:pStyle w:val="Voetnoottekst"/>
      </w:pPr>
      <w:r w:rsidRPr="00AD0ECE">
        <w:rPr>
          <w:rStyle w:val="Voetnootmarkering"/>
        </w:rPr>
        <w:footnoteRef/>
      </w:r>
      <w:r w:rsidRPr="00AD0ECE">
        <w:t xml:space="preserve"> B.G. van Zadelhoff, </w:t>
      </w:r>
      <w:r w:rsidRPr="00AD0ECE">
        <w:rPr>
          <w:i/>
        </w:rPr>
        <w:t>Onroerende goederen en belasting over toegevoegde waarde</w:t>
      </w:r>
      <w:r w:rsidRPr="00AD0ECE">
        <w:t>, FED, Deventer, 1992, blz. 253.</w:t>
      </w:r>
    </w:p>
  </w:footnote>
  <w:footnote w:id="53">
    <w:p w:rsidR="00CC552D" w:rsidRPr="00AD0ECE" w:rsidRDefault="00CC552D" w:rsidP="008F4B4E">
      <w:pPr>
        <w:pStyle w:val="Voetnoottekst"/>
      </w:pPr>
      <w:r w:rsidRPr="00AD0ECE">
        <w:rPr>
          <w:rStyle w:val="Voetnootmarkering"/>
        </w:rPr>
        <w:footnoteRef/>
      </w:r>
      <w:r w:rsidRPr="00AD0ECE">
        <w:t xml:space="preserve"> D.B. Bijl, </w:t>
      </w:r>
      <w:r w:rsidRPr="00AD0ECE">
        <w:rPr>
          <w:i/>
        </w:rPr>
        <w:t>Eerste ingebruikneming van onroerend goed</w:t>
      </w:r>
      <w:r w:rsidRPr="00AD0ECE">
        <w:t>, WFR 1990/483.</w:t>
      </w:r>
    </w:p>
  </w:footnote>
  <w:footnote w:id="54">
    <w:p w:rsidR="00CC552D" w:rsidRPr="00AD0ECE" w:rsidRDefault="00CC552D" w:rsidP="008F4B4E">
      <w:pPr>
        <w:pStyle w:val="Voetnoottekst"/>
      </w:pPr>
      <w:r w:rsidRPr="00AD0ECE">
        <w:rPr>
          <w:rStyle w:val="Voetnootmarkering"/>
        </w:rPr>
        <w:footnoteRef/>
      </w:r>
      <w:r w:rsidRPr="00AD0ECE">
        <w:t xml:space="preserve"> Memorie van Toelichting, Wijziging van de Wet op de omzetbelasting 1968, de Wet op belastingen van rechtsverkeer en enkele andere belastingwetten in verband met de bestrijding van constructies met betrekking tot onroerende zaken, Kamerstukken 1994-1995, 24 172, nr. 3, Tweede Kamer, blz. 34.</w:t>
      </w:r>
    </w:p>
  </w:footnote>
  <w:footnote w:id="55">
    <w:p w:rsidR="00CC552D" w:rsidRPr="00AD0ECE" w:rsidRDefault="00CC552D" w:rsidP="008F4B4E">
      <w:pPr>
        <w:pStyle w:val="Voetnoottekst"/>
      </w:pPr>
      <w:r w:rsidRPr="00AD0ECE">
        <w:rPr>
          <w:rStyle w:val="Voetnootmarkering"/>
        </w:rPr>
        <w:footnoteRef/>
      </w:r>
      <w:r w:rsidRPr="00AD0ECE">
        <w:t xml:space="preserve"> Artikel 6, lid 5 Uitvoeringsbeschikking Wet OB 1968.</w:t>
      </w:r>
    </w:p>
  </w:footnote>
  <w:footnote w:id="56">
    <w:p w:rsidR="00CC552D" w:rsidRPr="00AD0ECE" w:rsidRDefault="00CC552D" w:rsidP="008F4B4E">
      <w:pPr>
        <w:pStyle w:val="Voetnoottekst"/>
      </w:pPr>
      <w:r w:rsidRPr="00AD0ECE">
        <w:rPr>
          <w:rStyle w:val="Voetnootmarkering"/>
        </w:rPr>
        <w:footnoteRef/>
      </w:r>
      <w:r w:rsidRPr="00AD0ECE">
        <w:t xml:space="preserve"> Artikel 13, lid 2 Wet OB 1968.</w:t>
      </w:r>
    </w:p>
  </w:footnote>
  <w:footnote w:id="57">
    <w:p w:rsidR="00CC552D" w:rsidRPr="00AD0ECE" w:rsidRDefault="00CC552D" w:rsidP="008F4B4E">
      <w:pPr>
        <w:pStyle w:val="Voetnoottekst"/>
      </w:pPr>
      <w:r w:rsidRPr="00AD0ECE">
        <w:rPr>
          <w:rStyle w:val="Voetnootmarkering"/>
        </w:rPr>
        <w:footnoteRef/>
      </w:r>
      <w:r w:rsidRPr="00AD0ECE">
        <w:t xml:space="preserve"> NDFR, Deel Omzetbelasting, Wet OB 1968, Artikel 11.1a Wet OB 1968, Vrijstelling levering onroerende zaken, Commentaar, Artikel 11, lid 1, onderdeel a, onder 2</w:t>
      </w:r>
      <w:r w:rsidRPr="00AD0ECE">
        <w:rPr>
          <w:vertAlign w:val="superscript"/>
        </w:rPr>
        <w:t>o</w:t>
      </w:r>
      <w:r w:rsidRPr="00AD0ECE">
        <w:t xml:space="preserve"> (commentator M.W.C. Soltysik).</w:t>
      </w:r>
    </w:p>
  </w:footnote>
  <w:footnote w:id="58">
    <w:p w:rsidR="00CC552D" w:rsidRPr="00AD0ECE" w:rsidRDefault="00CC552D" w:rsidP="008F4B4E">
      <w:pPr>
        <w:pStyle w:val="Voetnoottekst"/>
      </w:pPr>
      <w:r w:rsidRPr="00AD0ECE">
        <w:rPr>
          <w:rStyle w:val="Voetnootmarkering"/>
        </w:rPr>
        <w:footnoteRef/>
      </w:r>
      <w:r w:rsidRPr="00AD0ECE">
        <w:t xml:space="preserve"> Artikel 16 Wet BRV.</w:t>
      </w:r>
    </w:p>
  </w:footnote>
  <w:footnote w:id="59">
    <w:p w:rsidR="00CC552D" w:rsidRPr="00AD0ECE" w:rsidRDefault="00CC552D" w:rsidP="008F4B4E">
      <w:pPr>
        <w:pStyle w:val="Voetnoottekst"/>
      </w:pPr>
      <w:r w:rsidRPr="00AD0ECE">
        <w:rPr>
          <w:rStyle w:val="Voetnootmarkering"/>
        </w:rPr>
        <w:footnoteRef/>
      </w:r>
      <w:r w:rsidRPr="00AD0ECE">
        <w:t xml:space="preserve"> R.T.G. Verstraaten e.a. Cursus Belastingrecht Belastingen van Rechtsverkeer (studenteneditie), Deventer: Kluwer, 2006, blz. 17.</w:t>
      </w:r>
    </w:p>
  </w:footnote>
  <w:footnote w:id="60">
    <w:p w:rsidR="00CC552D" w:rsidRPr="00AD0ECE" w:rsidRDefault="00CC552D" w:rsidP="008F4B4E">
      <w:pPr>
        <w:pStyle w:val="Voetnoottekst"/>
      </w:pPr>
      <w:r w:rsidRPr="00AD0ECE">
        <w:rPr>
          <w:rStyle w:val="Voetnootmarkering"/>
        </w:rPr>
        <w:footnoteRef/>
      </w:r>
      <w:r w:rsidRPr="00AD0ECE">
        <w:t xml:space="preserve"> Artikel 14 Wet BRV.</w:t>
      </w:r>
    </w:p>
  </w:footnote>
  <w:footnote w:id="61">
    <w:p w:rsidR="00CC552D" w:rsidRPr="00AD0ECE" w:rsidRDefault="00CC552D" w:rsidP="008F4B4E">
      <w:pPr>
        <w:pStyle w:val="Voetnoottekst"/>
      </w:pPr>
      <w:r w:rsidRPr="00AD0ECE">
        <w:rPr>
          <w:rStyle w:val="Voetnootmarkering"/>
        </w:rPr>
        <w:footnoteRef/>
      </w:r>
      <w:r w:rsidRPr="00AD0ECE">
        <w:t xml:space="preserve"> Artikel 3, lid 1, onderdeel a en b Wet BRV.</w:t>
      </w:r>
    </w:p>
  </w:footnote>
  <w:footnote w:id="62">
    <w:p w:rsidR="00CC552D" w:rsidRPr="00AD0ECE" w:rsidRDefault="00CC552D" w:rsidP="008F4B4E">
      <w:pPr>
        <w:pStyle w:val="Voetnoottekst"/>
      </w:pPr>
      <w:r w:rsidRPr="00AD0ECE">
        <w:rPr>
          <w:rStyle w:val="Voetnootmarkering"/>
        </w:rPr>
        <w:footnoteRef/>
      </w:r>
      <w:r w:rsidRPr="00AD0ECE">
        <w:t xml:space="preserve"> Artikel 3:89 BW.</w:t>
      </w:r>
    </w:p>
  </w:footnote>
  <w:footnote w:id="63">
    <w:p w:rsidR="00CC552D" w:rsidRPr="00AD0ECE" w:rsidRDefault="00CC552D">
      <w:pPr>
        <w:pStyle w:val="Voetnoottekst"/>
      </w:pPr>
      <w:r w:rsidRPr="00AD0ECE">
        <w:rPr>
          <w:rStyle w:val="Voetnootmarkering"/>
        </w:rPr>
        <w:footnoteRef/>
      </w:r>
      <w:r w:rsidRPr="00AD0ECE">
        <w:t xml:space="preserve"> Memorie van Toelichting, Wijziging van de Wet op de omzetbelasting 1968, de Wet op belastingen van rechtsverkeer en enkele andere belastingwetten in verband met de bestrijding van constructies met betrekking tot onroerende zaken, Kamerstukken 1994-1995, 24 172, nr. 3, Tweede Kamer, blz. 35</w:t>
      </w:r>
    </w:p>
  </w:footnote>
  <w:footnote w:id="64">
    <w:p w:rsidR="00CC552D" w:rsidRPr="00AD0ECE" w:rsidRDefault="00CC552D" w:rsidP="000B4909">
      <w:pPr>
        <w:pStyle w:val="Voetnoottekst"/>
      </w:pPr>
      <w:r w:rsidRPr="00AD0ECE">
        <w:rPr>
          <w:rStyle w:val="Voetnootmarkering"/>
        </w:rPr>
        <w:footnoteRef/>
      </w:r>
      <w:r w:rsidRPr="00AD0ECE">
        <w:t xml:space="preserve"> B.G. van Zadelhoff, </w:t>
      </w:r>
      <w:r w:rsidRPr="00AD0ECE">
        <w:rPr>
          <w:i/>
        </w:rPr>
        <w:t>Wacht u voor economen!</w:t>
      </w:r>
      <w:r w:rsidRPr="00AD0ECE">
        <w:t>, Tribuut 2007/01.</w:t>
      </w:r>
    </w:p>
  </w:footnote>
  <w:footnote w:id="65">
    <w:p w:rsidR="00CC552D" w:rsidRPr="00AD0ECE" w:rsidRDefault="00CC552D" w:rsidP="000B4909">
      <w:pPr>
        <w:pStyle w:val="Voetnoottekst"/>
      </w:pPr>
      <w:r w:rsidRPr="00AD0ECE">
        <w:rPr>
          <w:rStyle w:val="Voetnootmarkering"/>
        </w:rPr>
        <w:footnoteRef/>
      </w:r>
      <w:r w:rsidRPr="00AD0ECE">
        <w:t xml:space="preserve"> Voorts kan deze overgang van het economisch eigendom ook gevolgen hebben voor de landbouwer. Indien de verkrijging niet notarieel is vastgelegd (of in een andere akte ter registratie wordt aangeboden), is de landbouwer op grond van artikel 54, lid 1 Wet BRV verplicht binnen twee weken de verkrijging bij de inspecteur te melden. Doet hij dit niet, dan wordt hij ingevolge artikel 55 Wet BRV gestraft met een geldboete en is hij hoofdelijk aansprakelijk voor de openstaande overdrachtsbelastingschuld.</w:t>
      </w:r>
    </w:p>
  </w:footnote>
  <w:footnote w:id="66">
    <w:p w:rsidR="00CC552D" w:rsidRPr="00AD0ECE" w:rsidRDefault="00CC552D" w:rsidP="000B4909">
      <w:pPr>
        <w:pStyle w:val="Voetnoottekst"/>
      </w:pPr>
      <w:r w:rsidRPr="00AD0ECE">
        <w:rPr>
          <w:rStyle w:val="Voetnootmarkering"/>
        </w:rPr>
        <w:footnoteRef/>
      </w:r>
      <w:r w:rsidRPr="00AD0ECE">
        <w:t xml:space="preserve"> P.W. Hofman, </w:t>
      </w:r>
      <w:r w:rsidRPr="00AD0ECE">
        <w:rPr>
          <w:i/>
        </w:rPr>
        <w:t>Het belang van economisch eigendom in de WBR</w:t>
      </w:r>
      <w:r w:rsidRPr="00AD0ECE">
        <w:t>, WFR 2007/197.</w:t>
      </w:r>
    </w:p>
  </w:footnote>
  <w:footnote w:id="67">
    <w:p w:rsidR="00CC552D" w:rsidRPr="00AD0ECE" w:rsidRDefault="00CC552D" w:rsidP="000B4909">
      <w:pPr>
        <w:pStyle w:val="Voetnoottekst"/>
      </w:pPr>
      <w:r w:rsidRPr="00AD0ECE">
        <w:rPr>
          <w:rStyle w:val="Voetnootmarkering"/>
        </w:rPr>
        <w:footnoteRef/>
      </w:r>
      <w:r w:rsidRPr="00AD0ECE">
        <w:t xml:space="preserve"> </w:t>
      </w:r>
      <w:r w:rsidRPr="00AD0ECE">
        <w:rPr>
          <w:i/>
        </w:rPr>
        <w:t>Hofman</w:t>
      </w:r>
      <w:r w:rsidRPr="00AD0ECE">
        <w:t xml:space="preserve"> noemt als voorbeelden van overeenkomsten die zonder toevoeging van de </w:t>
      </w:r>
      <w:r w:rsidR="00D12918" w:rsidRPr="00AD0ECE">
        <w:t>zinsnede</w:t>
      </w:r>
      <w:r w:rsidRPr="00AD0ECE">
        <w:t xml:space="preserve"> ‘ten minste enig risico van waardeverandering’ wel onder artikel 2, lid 2 Wet BRV vallen: </w:t>
      </w:r>
      <w:r w:rsidRPr="00AD0ECE">
        <w:rPr>
          <w:i/>
        </w:rPr>
        <w:t>“Een bank die een lening verstrekt waarbij zij een hypotheekrecht op een onroerende zaak bedingt; de huurder van een onroerende zaak; iemand die een koopoptie verkrijgt op een onroerende zaak: allemaal verkrijgen ze een belang bij de onroerende zaak dat ten minste enig risico van waardeverandering omvat.”</w:t>
      </w:r>
    </w:p>
  </w:footnote>
  <w:footnote w:id="68">
    <w:p w:rsidR="00CC552D" w:rsidRPr="00AD0ECE" w:rsidRDefault="00CC552D" w:rsidP="000B4909">
      <w:pPr>
        <w:pStyle w:val="Voetnoottekst"/>
      </w:pPr>
      <w:r w:rsidRPr="00AD0ECE">
        <w:rPr>
          <w:rStyle w:val="Voetnootmarkering"/>
        </w:rPr>
        <w:footnoteRef/>
      </w:r>
      <w:r w:rsidRPr="00AD0ECE">
        <w:t xml:space="preserve"> W.J.A. Ambergen, </w:t>
      </w:r>
      <w:r w:rsidRPr="00AD0ECE">
        <w:rPr>
          <w:i/>
        </w:rPr>
        <w:t xml:space="preserve">De </w:t>
      </w:r>
      <w:r w:rsidR="00D12918" w:rsidRPr="00AD0ECE">
        <w:rPr>
          <w:i/>
        </w:rPr>
        <w:t>econoom:</w:t>
      </w:r>
      <w:r w:rsidRPr="00AD0ECE">
        <w:rPr>
          <w:i/>
        </w:rPr>
        <w:t>1995-2007</w:t>
      </w:r>
      <w:r w:rsidRPr="00AD0ECE">
        <w:t>, Vastgoed Fiscaal &amp; Civiel 2008/01.</w:t>
      </w:r>
    </w:p>
  </w:footnote>
  <w:footnote w:id="69">
    <w:p w:rsidR="00CC552D" w:rsidRPr="00AD0ECE" w:rsidRDefault="00CC552D" w:rsidP="00C06AB0">
      <w:pPr>
        <w:pStyle w:val="Voetnoottekst"/>
      </w:pPr>
      <w:r w:rsidRPr="00AD0ECE">
        <w:rPr>
          <w:rStyle w:val="Voetnootmarkering"/>
        </w:rPr>
        <w:footnoteRef/>
      </w:r>
      <w:r w:rsidRPr="00AD0ECE">
        <w:t xml:space="preserve"> Hoewel het niet duidelijk naar voren komt in de omschrijving van de feiten neem ik aan dat naast volledig sloop ook een bewerking zou plaatsvinden om te voldoen aan de criteria van artikel 11, lid 4 Wet OB 1968.</w:t>
      </w:r>
    </w:p>
  </w:footnote>
  <w:footnote w:id="70">
    <w:p w:rsidR="00CC552D" w:rsidRPr="00AD0ECE" w:rsidRDefault="00CC552D" w:rsidP="00E816EF">
      <w:pPr>
        <w:pStyle w:val="Voetnoottekst"/>
      </w:pPr>
      <w:r w:rsidRPr="00AD0ECE">
        <w:rPr>
          <w:rStyle w:val="Voetnootmarkering"/>
        </w:rPr>
        <w:footnoteRef/>
      </w:r>
      <w:r w:rsidRPr="00AD0ECE">
        <w:t xml:space="preserve"> Rechtbank Breda 14 augustus 2007, nr. AWB 06/00923, </w:t>
      </w:r>
      <w:r w:rsidRPr="00AD0ECE">
        <w:rPr>
          <w:i/>
        </w:rPr>
        <w:t>NTFR2007-1967</w:t>
      </w:r>
      <w:r w:rsidRPr="00AD0ECE">
        <w:t>, r.o. 2.1.2.</w:t>
      </w:r>
    </w:p>
  </w:footnote>
  <w:footnote w:id="71">
    <w:p w:rsidR="00CC552D" w:rsidRPr="00AD0ECE" w:rsidRDefault="00CC552D">
      <w:pPr>
        <w:pStyle w:val="Voetnoottekst"/>
      </w:pPr>
      <w:r w:rsidRPr="00AD0ECE">
        <w:rPr>
          <w:rStyle w:val="Voetnootmarkering"/>
        </w:rPr>
        <w:footnoteRef/>
      </w:r>
      <w:r w:rsidRPr="00AD0ECE">
        <w:t xml:space="preserve"> Hof Den Bosch 17 juli 2008, nr. 07/00459, </w:t>
      </w:r>
      <w:r w:rsidRPr="00AD0ECE">
        <w:rPr>
          <w:i/>
        </w:rPr>
        <w:t>NTFR 2008/2041</w:t>
      </w:r>
    </w:p>
  </w:footnote>
  <w:footnote w:id="72">
    <w:p w:rsidR="00CC552D" w:rsidRPr="00AD0ECE" w:rsidRDefault="00CC552D">
      <w:pPr>
        <w:pStyle w:val="Voetnoottekst"/>
      </w:pPr>
      <w:r w:rsidRPr="00AD0ECE">
        <w:rPr>
          <w:rStyle w:val="Voetnootmarkering"/>
        </w:rPr>
        <w:footnoteRef/>
      </w:r>
      <w:r w:rsidRPr="00AD0ECE">
        <w:t xml:space="preserve"> HR 9 oktober 2009, nr. 08/03696, </w:t>
      </w:r>
      <w:r w:rsidRPr="00AD0ECE">
        <w:rPr>
          <w:i/>
        </w:rPr>
        <w:t>VN 2009/51.28</w:t>
      </w:r>
      <w:r w:rsidRPr="00AD0ECE">
        <w:t>.</w:t>
      </w:r>
    </w:p>
  </w:footnote>
  <w:footnote w:id="73">
    <w:p w:rsidR="00CC552D" w:rsidRPr="00AD0ECE" w:rsidRDefault="00CC552D" w:rsidP="008F4B4E">
      <w:pPr>
        <w:pStyle w:val="Voetnoottekst"/>
      </w:pPr>
      <w:r w:rsidRPr="00AD0ECE">
        <w:rPr>
          <w:rStyle w:val="Voetnootmarkering"/>
        </w:rPr>
        <w:footnoteRef/>
      </w:r>
      <w:r w:rsidRPr="00AD0ECE">
        <w:t xml:space="preserve"> </w:t>
      </w:r>
      <w:r w:rsidRPr="00AD0ECE">
        <w:rPr>
          <w:i/>
        </w:rPr>
        <w:t>Sanders</w:t>
      </w:r>
      <w:r w:rsidRPr="00AD0ECE">
        <w:t xml:space="preserve"> merkt dienaangaande op: </w:t>
      </w:r>
      <w:r w:rsidRPr="00AD0ECE">
        <w:rPr>
          <w:i/>
        </w:rPr>
        <w:t xml:space="preserve">‘Hoewel de overdrachtsbelasting de essentiële kenmerken mist te worden aangemerkt als (Europese) omzetbelasting, is de overdrachtsbelasting door de in de Wet op belasting van rechtsverkeer (…) gekozen heffingssystematiek in een aantal gevallen tot de omzetbelasting veroordeeld.’ </w:t>
      </w:r>
      <w:r w:rsidRPr="00AD0ECE">
        <w:t>Zie J.T. Sanders</w:t>
      </w:r>
      <w:r w:rsidRPr="00AD0ECE">
        <w:rPr>
          <w:i/>
        </w:rPr>
        <w:t>, Over vragen en overvragen</w:t>
      </w:r>
      <w:r w:rsidRPr="00AD0ECE">
        <w:t>, NTFR Beschouwingen, februari 2009/10.</w:t>
      </w:r>
    </w:p>
  </w:footnote>
  <w:footnote w:id="74">
    <w:p w:rsidR="00CC552D" w:rsidRPr="00AD0ECE" w:rsidRDefault="00CC552D" w:rsidP="008F4B4E">
      <w:pPr>
        <w:pStyle w:val="Voetnoottekst"/>
      </w:pPr>
      <w:r w:rsidRPr="00AD0ECE">
        <w:rPr>
          <w:rStyle w:val="Voetnootmarkering"/>
        </w:rPr>
        <w:footnoteRef/>
      </w:r>
      <w:r w:rsidRPr="00AD0ECE">
        <w:t xml:space="preserve"> HR 6 juni 2003, nr. 36 075, </w:t>
      </w:r>
      <w:r w:rsidRPr="00AD0ECE">
        <w:rPr>
          <w:i/>
        </w:rPr>
        <w:t>VN 2003/34.16</w:t>
      </w:r>
      <w:r w:rsidRPr="00AD0ECE">
        <w:t>, r.o. 3.2.2.</w:t>
      </w:r>
    </w:p>
  </w:footnote>
  <w:footnote w:id="75">
    <w:p w:rsidR="00CC552D" w:rsidRPr="00AD0ECE" w:rsidRDefault="00CC552D" w:rsidP="008F4B4E">
      <w:pPr>
        <w:pStyle w:val="Voetnoottekst"/>
      </w:pPr>
      <w:r w:rsidRPr="00AD0ECE">
        <w:rPr>
          <w:rStyle w:val="Voetnootmarkering"/>
        </w:rPr>
        <w:footnoteRef/>
      </w:r>
      <w:r w:rsidRPr="00AD0ECE">
        <w:t xml:space="preserve"> H.M.I.Th. Breedveld c.s., </w:t>
      </w:r>
      <w:r w:rsidRPr="00AD0ECE">
        <w:rPr>
          <w:i/>
        </w:rPr>
        <w:t>Overdracht van kabels en leidingen; civiele en fiscale aspecten</w:t>
      </w:r>
      <w:r w:rsidRPr="00AD0ECE">
        <w:t>, Vastgoed Fiscaal &amp; Civiel 2003/5.</w:t>
      </w:r>
    </w:p>
  </w:footnote>
  <w:footnote w:id="76">
    <w:p w:rsidR="00CC552D" w:rsidRPr="00AD0ECE" w:rsidRDefault="00CC552D" w:rsidP="008F4B4E">
      <w:pPr>
        <w:pStyle w:val="Voetnoottekst"/>
      </w:pPr>
      <w:r w:rsidRPr="00AD0ECE">
        <w:rPr>
          <w:rStyle w:val="Voetnootmarkering"/>
        </w:rPr>
        <w:footnoteRef/>
      </w:r>
      <w:r w:rsidRPr="00AD0ECE">
        <w:t xml:space="preserve"> W.A.P. Nieuwenhuizen, </w:t>
      </w:r>
      <w:r w:rsidRPr="00AD0ECE">
        <w:rPr>
          <w:i/>
        </w:rPr>
        <w:t>Containers als opslagplaats: onroerend of roerend</w:t>
      </w:r>
      <w:r w:rsidRPr="00AD0ECE">
        <w:t>, BTW-bulletin 2000/5.</w:t>
      </w:r>
    </w:p>
  </w:footnote>
  <w:footnote w:id="77">
    <w:p w:rsidR="00CC552D" w:rsidRPr="00AD0ECE" w:rsidRDefault="00CC552D" w:rsidP="000935E7">
      <w:pPr>
        <w:pStyle w:val="Voetnoottekst"/>
      </w:pPr>
      <w:r w:rsidRPr="00AD0ECE">
        <w:rPr>
          <w:rStyle w:val="Voetnootmarkering"/>
        </w:rPr>
        <w:footnoteRef/>
      </w:r>
      <w:r w:rsidRPr="00AD0ECE">
        <w:t xml:space="preserve"> Waar in deze scriptie wordt gesproken van de samenloopvrijstelling draait het uitsluitend om de vrijstelling van artikel 15, lid 1, onderdeel a Wet BRV welke samenloop tussen omzetbelasting en overdrachtsbelasting tracht te voorkomen. De Wet BRV kent namelijk nog een tweetal samenloopvrijstellingen voor overdrachtsbelasting. Ten eerste in geval van opeenvolgende verkrijging van het juridisch en economisch eigendom door dezelfde persoon (artikel 9, lid 4 Wet BRV). Ten tweede bij samenloop in geval van opeenvolgende verkrijging binnen zes maanden van dezelfde goederen door verschillende personen (artikel 13 Wet BRV).</w:t>
      </w:r>
    </w:p>
  </w:footnote>
  <w:footnote w:id="78">
    <w:p w:rsidR="00CC552D" w:rsidRPr="00AD0ECE" w:rsidRDefault="00CC552D">
      <w:pPr>
        <w:pStyle w:val="Voetnoottekst"/>
      </w:pPr>
      <w:r w:rsidRPr="00AD0ECE">
        <w:rPr>
          <w:rStyle w:val="Voetnootmarkering"/>
        </w:rPr>
        <w:footnoteRef/>
      </w:r>
      <w:r w:rsidRPr="00AD0ECE">
        <w:t xml:space="preserve"> Terloops merkt Hof Den Bosch in een uitspraak op dat de bewijslast bij een beroep op een vrijstelling rust op diegene die het beroep doet, zie Hof Den Bosch 4 februari 2004, nr. 03/0254, </w:t>
      </w:r>
      <w:r w:rsidRPr="00AD0ECE">
        <w:rPr>
          <w:i/>
        </w:rPr>
        <w:t>VN 2004/33.24</w:t>
      </w:r>
      <w:r w:rsidRPr="00AD0ECE">
        <w:t>.</w:t>
      </w:r>
    </w:p>
  </w:footnote>
  <w:footnote w:id="79">
    <w:p w:rsidR="00CC552D" w:rsidRPr="00AD0ECE" w:rsidRDefault="00CC552D" w:rsidP="008F4B4E">
      <w:pPr>
        <w:pStyle w:val="Voetnoottekst"/>
      </w:pPr>
      <w:r w:rsidRPr="00AD0ECE">
        <w:rPr>
          <w:rStyle w:val="Voetnootmarkering"/>
        </w:rPr>
        <w:footnoteRef/>
      </w:r>
      <w:r w:rsidRPr="00AD0ECE">
        <w:t xml:space="preserve"> HvJ 8 juli 1986, nr. 73/85 [Kerrutt], B.J.M. Terra, Europees indirect belastingrecht, Tweede druk, 2002 (download van www.tax.nl, website heden niet meer actief), blz. 398.</w:t>
      </w:r>
    </w:p>
  </w:footnote>
  <w:footnote w:id="80">
    <w:p w:rsidR="00CC552D" w:rsidRPr="00AD0ECE" w:rsidRDefault="00CC552D" w:rsidP="008F4B4E">
      <w:pPr>
        <w:pStyle w:val="Voetnoottekst"/>
      </w:pPr>
      <w:r w:rsidRPr="00AD0ECE">
        <w:rPr>
          <w:rStyle w:val="Voetnootmarkering"/>
        </w:rPr>
        <w:footnoteRef/>
      </w:r>
      <w:r w:rsidRPr="00AD0ECE">
        <w:t xml:space="preserve"> HvJ EG 13 juli 1989, gevoegde zaken 93 en nr. 94/88, </w:t>
      </w:r>
      <w:r w:rsidRPr="00AD0ECE">
        <w:rPr>
          <w:i/>
        </w:rPr>
        <w:t>BNB 1989/289</w:t>
      </w:r>
      <w:r w:rsidRPr="00AD0ECE">
        <w:t xml:space="preserve"> *.</w:t>
      </w:r>
    </w:p>
  </w:footnote>
  <w:footnote w:id="81">
    <w:p w:rsidR="00CC552D" w:rsidRPr="00AD0ECE" w:rsidRDefault="00CC552D" w:rsidP="008F4B4E">
      <w:pPr>
        <w:pStyle w:val="Voetnoottekst"/>
      </w:pPr>
      <w:r w:rsidRPr="00AD0ECE">
        <w:rPr>
          <w:rStyle w:val="Voetnootmarkering"/>
        </w:rPr>
        <w:footnoteRef/>
      </w:r>
      <w:r w:rsidRPr="00AD0ECE">
        <w:t xml:space="preserve"> Artikel 11, lid 1, onderdeel a, ten tweede Wet OB 1968</w:t>
      </w:r>
    </w:p>
  </w:footnote>
  <w:footnote w:id="82">
    <w:p w:rsidR="00CC552D" w:rsidRPr="00AD0ECE" w:rsidRDefault="00CC552D" w:rsidP="008F4B4E">
      <w:pPr>
        <w:pStyle w:val="Voetnoottekst"/>
      </w:pPr>
      <w:r w:rsidRPr="00AD0ECE">
        <w:rPr>
          <w:rStyle w:val="Voetnootmarkering"/>
        </w:rPr>
        <w:footnoteRef/>
      </w:r>
      <w:r w:rsidRPr="00AD0ECE">
        <w:t xml:space="preserve"> Ondernemers die vrijgesteld van btw presteren vallen hieronder, omdat zij geen recht op aftrek van voorbelasting hebben ingevolge artikel 15, lid 2 Wet OB 1968. </w:t>
      </w:r>
    </w:p>
  </w:footnote>
  <w:footnote w:id="83">
    <w:p w:rsidR="00CC552D" w:rsidRPr="00AD0ECE" w:rsidRDefault="00CC552D" w:rsidP="008F4B4E">
      <w:pPr>
        <w:pStyle w:val="Voetnoottekst"/>
      </w:pPr>
      <w:r w:rsidRPr="00AD0ECE">
        <w:rPr>
          <w:rStyle w:val="Voetnootmarkering"/>
        </w:rPr>
        <w:footnoteRef/>
      </w:r>
      <w:r w:rsidRPr="00AD0ECE">
        <w:t xml:space="preserve"> D.B. Bijl, </w:t>
      </w:r>
      <w:r w:rsidRPr="00AD0ECE">
        <w:rPr>
          <w:i/>
        </w:rPr>
        <w:t>Omzetbelasting en onroerend goed</w:t>
      </w:r>
      <w:r w:rsidRPr="00AD0ECE">
        <w:t>, FED, Deventer, 1998, blz. 102.</w:t>
      </w:r>
    </w:p>
  </w:footnote>
  <w:footnote w:id="84">
    <w:p w:rsidR="00CC552D" w:rsidRPr="00AD0ECE" w:rsidRDefault="00CC552D" w:rsidP="008F4B4E">
      <w:pPr>
        <w:pStyle w:val="Voetnoottekst"/>
      </w:pPr>
      <w:r w:rsidRPr="00AD0ECE">
        <w:rPr>
          <w:rStyle w:val="Voetnootmarkering"/>
        </w:rPr>
        <w:footnoteRef/>
      </w:r>
      <w:r w:rsidRPr="00AD0ECE">
        <w:t xml:space="preserve"> Invulling van vervaardiging van nieuw onroerend goed komt in de volgende hoofdstukken uitgebreid aan bod.</w:t>
      </w:r>
    </w:p>
  </w:footnote>
  <w:footnote w:id="85">
    <w:p w:rsidR="00CC552D" w:rsidRPr="00AD0ECE" w:rsidRDefault="00CC552D" w:rsidP="008F4B4E">
      <w:pPr>
        <w:pStyle w:val="Voetnoottekst"/>
      </w:pPr>
      <w:r w:rsidRPr="00AD0ECE">
        <w:rPr>
          <w:rStyle w:val="Voetnootmarkering"/>
        </w:rPr>
        <w:footnoteRef/>
      </w:r>
      <w:r w:rsidRPr="00AD0ECE">
        <w:t xml:space="preserve"> Fiscale Encyclopedie De Vakstudie ( VST), Wet op belastingen van rechtsverkeer en Registratiewet 1970, Wet op belastingen van rechtsverkeer, Wet BRV. Artikelsgewijs commentaar, Artikel 15(*1). Vrijstellingen</w:t>
      </w:r>
    </w:p>
    <w:p w:rsidR="00CC552D" w:rsidRPr="00AD0ECE" w:rsidRDefault="00CC552D" w:rsidP="008F4B4E">
      <w:pPr>
        <w:pStyle w:val="Voetnoottekst"/>
      </w:pPr>
      <w:r w:rsidRPr="00AD0ECE">
        <w:t>Aantekening 2. Verband met omzetbelasting, paragraaf 2.1.2.</w:t>
      </w:r>
    </w:p>
  </w:footnote>
  <w:footnote w:id="86">
    <w:p w:rsidR="00CC552D" w:rsidRPr="00AD0ECE" w:rsidRDefault="00CC552D" w:rsidP="008F4B4E">
      <w:pPr>
        <w:pStyle w:val="Voetnoottekst"/>
      </w:pPr>
      <w:r w:rsidRPr="00AD0ECE">
        <w:rPr>
          <w:rStyle w:val="Voetnootmarkering"/>
        </w:rPr>
        <w:footnoteRef/>
      </w:r>
      <w:r w:rsidRPr="00AD0ECE">
        <w:t xml:space="preserve"> Hof Amsterdam 28 maart 1994, nr. 93/2820, </w:t>
      </w:r>
      <w:r w:rsidRPr="00AD0ECE">
        <w:rPr>
          <w:i/>
        </w:rPr>
        <w:t>BNB 1995/70</w:t>
      </w:r>
      <w:r w:rsidRPr="00AD0ECE">
        <w:t>.</w:t>
      </w:r>
    </w:p>
  </w:footnote>
  <w:footnote w:id="87">
    <w:p w:rsidR="00CC552D" w:rsidRPr="00AD0ECE" w:rsidRDefault="00CC552D" w:rsidP="008F4B4E">
      <w:pPr>
        <w:pStyle w:val="Voetnoottekst"/>
      </w:pPr>
      <w:r w:rsidRPr="00AD0ECE">
        <w:rPr>
          <w:rStyle w:val="Voetnootmarkering"/>
        </w:rPr>
        <w:footnoteRef/>
      </w:r>
      <w:r w:rsidRPr="00AD0ECE">
        <w:t xml:space="preserve"> Hof Amsterdam 28 maart 1994, nr. 93/2820, </w:t>
      </w:r>
      <w:r w:rsidRPr="00AD0ECE">
        <w:rPr>
          <w:i/>
        </w:rPr>
        <w:t>BNB 1995/70</w:t>
      </w:r>
      <w:r w:rsidRPr="00AD0ECE">
        <w:t>, r.o. 5.4.</w:t>
      </w:r>
    </w:p>
  </w:footnote>
  <w:footnote w:id="88">
    <w:p w:rsidR="00CC552D" w:rsidRPr="00AD0ECE" w:rsidRDefault="00CC552D" w:rsidP="008F4B4E">
      <w:pPr>
        <w:pStyle w:val="Voetnoottekst"/>
      </w:pPr>
      <w:r w:rsidRPr="00AD0ECE">
        <w:rPr>
          <w:rStyle w:val="Voetnootmarkering"/>
        </w:rPr>
        <w:footnoteRef/>
      </w:r>
      <w:r w:rsidRPr="00AD0ECE">
        <w:t xml:space="preserve"> Met andere woorden, hij is ondernemer ingevolge artikel 7, lid 1Wet OB 1968, die belaste prestaties levert en uit dien hoofde recht heeft op aftrek van voorbelasting op grond van artikel 15 Wet OB 1968.</w:t>
      </w:r>
    </w:p>
  </w:footnote>
  <w:footnote w:id="89">
    <w:p w:rsidR="00CC552D" w:rsidRPr="00AD0ECE" w:rsidRDefault="00CC552D">
      <w:pPr>
        <w:pStyle w:val="Voetnoottekst"/>
      </w:pPr>
      <w:r w:rsidRPr="00AD0ECE">
        <w:rPr>
          <w:rStyle w:val="Voetnootmarkering"/>
        </w:rPr>
        <w:footnoteRef/>
      </w:r>
      <w:r w:rsidRPr="00AD0ECE">
        <w:t xml:space="preserve"> G.G.M. Kortenaar, Herontwikkeling oud vastgoed: BTW of overdrachtsbelasting?</w:t>
      </w:r>
      <w:r w:rsidRPr="00AD0ECE">
        <w:rPr>
          <w:i/>
        </w:rPr>
        <w:t xml:space="preserve">, </w:t>
      </w:r>
      <w:r w:rsidRPr="00AD0ECE">
        <w:t xml:space="preserve">Vastgoed Fiscaal &amp; Civiel 2003/4 wijst er overigens op dat dit een theoretisch mogelijk percentage aan belastingbesparing is, maar vaak niet wordt behaald, omdat </w:t>
      </w:r>
      <w:r w:rsidRPr="00AD0ECE">
        <w:rPr>
          <w:i/>
        </w:rPr>
        <w:t>‘een keuze voor BTW-vrije levering management, planning en administratie van een project een stuk ingewikkelder met alle extra kosten en inspanningen van dien’</w:t>
      </w:r>
      <w:r w:rsidRPr="00AD0ECE">
        <w:t xml:space="preserve"> maakt.</w:t>
      </w:r>
    </w:p>
  </w:footnote>
  <w:footnote w:id="90">
    <w:p w:rsidR="00CC552D" w:rsidRPr="00AD0ECE" w:rsidRDefault="00CC552D" w:rsidP="008F4B4E">
      <w:pPr>
        <w:pStyle w:val="Voetnoottekst"/>
      </w:pPr>
      <w:r w:rsidRPr="00AD0ECE">
        <w:rPr>
          <w:rStyle w:val="Voetnootmarkering"/>
        </w:rPr>
        <w:footnoteRef/>
      </w:r>
      <w:r w:rsidRPr="00AD0ECE">
        <w:t xml:space="preserve"> Vrij op naam houdt in dat in de koopsom van een nieuwbouwwoning een aantal aankoopkosten zijn inbegrepen, waaronder de BTW en overdrachtsbelasting. Voor de projectontwikkelaar vormt de BTW geen kostenpost, daar hij in de regel gerechtigd is tot aftrek van voorbelasting. Het “tegenovergestelde” van vrij op naam is ‘kosten koper’, waarbij deze kosten bovenop de koopprijs van de woning komen en over het algemeen 10% van de koopprijs bedragen, waaronder 6% overdrachtsbelasting en de notariskosten. Bij nieuwbouw dient in geval van kosten koper uiteraard ook BTW te worden voldaan.</w:t>
      </w:r>
    </w:p>
  </w:footnote>
  <w:footnote w:id="91">
    <w:p w:rsidR="00CC552D" w:rsidRPr="00AD0ECE" w:rsidRDefault="00CC552D">
      <w:pPr>
        <w:pStyle w:val="Voetnoottekst"/>
      </w:pPr>
      <w:r w:rsidRPr="00AD0ECE">
        <w:rPr>
          <w:rStyle w:val="Voetnootmarkering"/>
        </w:rPr>
        <w:footnoteRef/>
      </w:r>
      <w:r w:rsidRPr="00AD0ECE">
        <w:t xml:space="preserve"> Dit wordt ook wel ‘verkoop vanaf de tekening’ genoemd.</w:t>
      </w:r>
    </w:p>
  </w:footnote>
  <w:footnote w:id="92">
    <w:p w:rsidR="00CC552D" w:rsidRPr="00AD0ECE" w:rsidRDefault="00CC552D" w:rsidP="00370B81">
      <w:pPr>
        <w:pStyle w:val="Voetnoottekst"/>
      </w:pPr>
      <w:r w:rsidRPr="00AD0ECE">
        <w:rPr>
          <w:rStyle w:val="Voetnootmarkering"/>
        </w:rPr>
        <w:footnoteRef/>
      </w:r>
      <w:r w:rsidRPr="00AD0ECE">
        <w:t xml:space="preserve"> W.A.P. Nieuwenhuizen, </w:t>
      </w:r>
      <w:r w:rsidRPr="00AD0ECE">
        <w:rPr>
          <w:i/>
        </w:rPr>
        <w:t>Bouwterrein in beweging</w:t>
      </w:r>
      <w:r w:rsidRPr="00AD0ECE">
        <w:t>, BTW-bulletin 2004/6.</w:t>
      </w:r>
    </w:p>
  </w:footnote>
  <w:footnote w:id="93">
    <w:p w:rsidR="00CC552D" w:rsidRPr="00AD0ECE" w:rsidRDefault="00CC552D">
      <w:pPr>
        <w:pStyle w:val="Voetnoottekst"/>
      </w:pPr>
      <w:r w:rsidRPr="00AD0ECE">
        <w:rPr>
          <w:rStyle w:val="Voetnootmarkering"/>
        </w:rPr>
        <w:footnoteRef/>
      </w:r>
      <w:r w:rsidRPr="00AD0ECE">
        <w:t xml:space="preserve"> In paragraaf 2.3 volgt van beide beschreven situaties een rekenvoorbeeld.</w:t>
      </w:r>
    </w:p>
  </w:footnote>
  <w:footnote w:id="94">
    <w:p w:rsidR="00CC552D" w:rsidRPr="00AD0ECE" w:rsidRDefault="00CC552D" w:rsidP="008F4B4E">
      <w:pPr>
        <w:pStyle w:val="Voetnoottekst"/>
      </w:pPr>
      <w:r w:rsidRPr="00AD0ECE">
        <w:rPr>
          <w:rStyle w:val="Voetnootmarkering"/>
        </w:rPr>
        <w:footnoteRef/>
      </w:r>
      <w:r w:rsidRPr="00AD0ECE">
        <w:t xml:space="preserve"> ‘</w:t>
      </w:r>
      <w:r w:rsidRPr="00AD0ECE">
        <w:rPr>
          <w:i/>
        </w:rPr>
        <w:t xml:space="preserve">al jaren als onredelijk ervaren voor gevallen waarin partijen niet gelieerd zijn, noch een belastingvoordeel nastreven,’ </w:t>
      </w:r>
      <w:r w:rsidRPr="00AD0ECE">
        <w:t xml:space="preserve">aldus E. van den Elsen, </w:t>
      </w:r>
      <w:r w:rsidRPr="00AD0ECE">
        <w:rPr>
          <w:i/>
        </w:rPr>
        <w:t>Vastgoed, btw en overdrachtsbelasting</w:t>
      </w:r>
      <w:r w:rsidRPr="00AD0ECE">
        <w:t>, BTW-bulletin 2009/7-8.</w:t>
      </w:r>
    </w:p>
  </w:footnote>
  <w:footnote w:id="95">
    <w:p w:rsidR="00CC552D" w:rsidRPr="00AD0ECE" w:rsidRDefault="00CC552D" w:rsidP="00FB4A41">
      <w:pPr>
        <w:pStyle w:val="Voetnoottekst"/>
      </w:pPr>
      <w:r w:rsidRPr="00AD0ECE">
        <w:rPr>
          <w:rStyle w:val="Voetnootmarkering"/>
        </w:rPr>
        <w:footnoteRef/>
      </w:r>
      <w:r w:rsidRPr="00AD0ECE">
        <w:t xml:space="preserve"> Artikel 15, lid 4 Wet BRV.</w:t>
      </w:r>
    </w:p>
  </w:footnote>
  <w:footnote w:id="96">
    <w:p w:rsidR="00CC552D" w:rsidRPr="00AD0ECE" w:rsidRDefault="00CC552D">
      <w:pPr>
        <w:pStyle w:val="Voetnoottekst"/>
      </w:pPr>
      <w:r w:rsidRPr="00AD0ECE">
        <w:rPr>
          <w:rStyle w:val="Voetnootmarkering"/>
        </w:rPr>
        <w:footnoteRef/>
      </w:r>
      <w:r w:rsidRPr="00AD0ECE">
        <w:t xml:space="preserve"> </w:t>
      </w:r>
      <w:r w:rsidRPr="00AD0ECE">
        <w:rPr>
          <w:i/>
        </w:rPr>
        <w:t xml:space="preserve">Van Zadelhoff </w:t>
      </w:r>
      <w:r w:rsidRPr="00AD0ECE">
        <w:t xml:space="preserve">wijst erop dat in tijden van economische crisis met dalende huizenprijzen artikel 15, lid 4 Wet BRV nog nadeliger uitpakt, omdat de strafheffing geen toets kent of sprake is van ongewenst gedrag. Immers, de uiteindelijke verkoopprijs kan lager zijn dan de vooraf afgesproken vrij op naam prijs zonder dat kwade opzet in het spel is. Zie: B.G. van Zadelhoff, </w:t>
      </w:r>
      <w:r w:rsidRPr="00AD0ECE">
        <w:rPr>
          <w:i/>
        </w:rPr>
        <w:t>Weg met de strafheffing!</w:t>
      </w:r>
      <w:r w:rsidRPr="00AD0ECE">
        <w:t>, WFR 2009/283.</w:t>
      </w:r>
    </w:p>
  </w:footnote>
  <w:footnote w:id="97">
    <w:p w:rsidR="00CC552D" w:rsidRPr="00AD0ECE" w:rsidRDefault="00CC552D" w:rsidP="008F4B4E">
      <w:pPr>
        <w:pStyle w:val="Voetnoottekst"/>
      </w:pPr>
      <w:r w:rsidRPr="00AD0ECE">
        <w:rPr>
          <w:rStyle w:val="Voetnootmarkering"/>
        </w:rPr>
        <w:footnoteRef/>
      </w:r>
      <w:r w:rsidRPr="00AD0ECE">
        <w:t xml:space="preserve"> Waar zoals beschreven in voetnoot 83 de BTW reeds is inbegrepen en door de projectontwikkelaar voldaan. Feitelijk ontvangt de fiscus hier tweemaal omzetbelasting.</w:t>
      </w:r>
    </w:p>
  </w:footnote>
  <w:footnote w:id="98">
    <w:p w:rsidR="00CC552D" w:rsidRPr="00AD0ECE" w:rsidRDefault="00CC552D">
      <w:pPr>
        <w:pStyle w:val="Voetnoottekst"/>
      </w:pPr>
      <w:r w:rsidRPr="00AD0ECE">
        <w:rPr>
          <w:rStyle w:val="Voetnootmarkering"/>
        </w:rPr>
        <w:footnoteRef/>
      </w:r>
      <w:r w:rsidRPr="00AD0ECE">
        <w:t xml:space="preserve"> R.A. Wolff, </w:t>
      </w:r>
      <w:r w:rsidRPr="00AD0ECE">
        <w:rPr>
          <w:i/>
        </w:rPr>
        <w:t>Geen econoom bij sloop door verkoper</w:t>
      </w:r>
      <w:r w:rsidRPr="00AD0ECE">
        <w:t>, Vastgoed Fiscaal &amp; Civiel 2008/06.</w:t>
      </w:r>
    </w:p>
  </w:footnote>
  <w:footnote w:id="99">
    <w:p w:rsidR="00CC552D" w:rsidRPr="00AD0ECE" w:rsidRDefault="00CC552D">
      <w:pPr>
        <w:pStyle w:val="Voetnoottekst"/>
      </w:pPr>
      <w:r w:rsidRPr="00AD0ECE">
        <w:rPr>
          <w:rStyle w:val="Voetnootmarkering"/>
        </w:rPr>
        <w:footnoteRef/>
      </w:r>
      <w:r w:rsidRPr="00AD0ECE">
        <w:t xml:space="preserve"> Ook wel koop/aanneemovereenkomst genaamd.</w:t>
      </w:r>
    </w:p>
  </w:footnote>
  <w:footnote w:id="100">
    <w:p w:rsidR="00CC552D" w:rsidRPr="00AD0ECE" w:rsidRDefault="00CC552D">
      <w:pPr>
        <w:pStyle w:val="Voetnoottekst"/>
      </w:pPr>
      <w:r w:rsidRPr="00AD0ECE">
        <w:rPr>
          <w:rStyle w:val="Voetnootmarkering"/>
        </w:rPr>
        <w:footnoteRef/>
      </w:r>
      <w:r w:rsidRPr="00AD0ECE">
        <w:t xml:space="preserve"> In deze scriptie blijven de regels omtrent herziening van voorbelasting bij onroerend goed (ingevolge artikel 15, lid 6 Wet OB 1968 juncto artikel 13 en 13a Uitvoeringsbeschikking OB 1968) buiten beschouwing.</w:t>
      </w:r>
    </w:p>
  </w:footnote>
  <w:footnote w:id="101">
    <w:p w:rsidR="00CC552D" w:rsidRPr="00AD0ECE" w:rsidRDefault="00CC552D">
      <w:pPr>
        <w:pStyle w:val="Voetnoottekst"/>
      </w:pPr>
      <w:r w:rsidRPr="00AD0ECE">
        <w:rPr>
          <w:rStyle w:val="Voetnootmarkering"/>
        </w:rPr>
        <w:footnoteRef/>
      </w:r>
      <w:r w:rsidRPr="00AD0ECE">
        <w:t xml:space="preserve"> </w:t>
      </w:r>
      <w:r w:rsidRPr="00AD0ECE">
        <w:rPr>
          <w:i/>
        </w:rPr>
        <w:t>Van Zadelhoff</w:t>
      </w:r>
      <w:r w:rsidRPr="00AD0ECE">
        <w:t xml:space="preserve"> merkt terecht op dat het logischer was geweest indien de begrippen “gebouw” en “bouwterrein” in een afzonderlijk artikel zouden zijn gedefinieerd dan wel in een vrijstellingsbepaling opgenomen. Artikel 12 BTW-richtlijn handelt namelijk over belastingplicht bij incidentele handelingen. Daarbij dienen onroerend goedtransacties als voorbeeld van dergelijke handelingen, zie B.G. van Zadelhoff, </w:t>
      </w:r>
      <w:r w:rsidRPr="00AD0ECE">
        <w:rPr>
          <w:i/>
        </w:rPr>
        <w:t>Belastingplichtige in de BTW</w:t>
      </w:r>
      <w:r w:rsidRPr="00AD0ECE">
        <w:t>, Kluwer, Deventer, 2008, blz. 25.</w:t>
      </w:r>
    </w:p>
  </w:footnote>
  <w:footnote w:id="102">
    <w:p w:rsidR="00CC552D" w:rsidRPr="00AD0ECE" w:rsidRDefault="00CC552D" w:rsidP="008F4B4E">
      <w:pPr>
        <w:pStyle w:val="Voetnoottekst"/>
      </w:pPr>
      <w:r w:rsidRPr="00AD0ECE">
        <w:rPr>
          <w:rStyle w:val="Voetnootmarkering"/>
        </w:rPr>
        <w:footnoteRef/>
      </w:r>
      <w:r w:rsidRPr="00AD0ECE">
        <w:t xml:space="preserve"> </w:t>
      </w:r>
      <w:r w:rsidRPr="00AD0ECE">
        <w:rPr>
          <w:i/>
        </w:rPr>
        <w:t>‘(…) De Engelse en Franse richtlijntekst – structure onderscheidenlijk construction – vormen daarvoor ook een indicatie (…),’</w:t>
      </w:r>
      <w:r w:rsidRPr="00AD0ECE">
        <w:t xml:space="preserve"> ontleend aan J.J.I. van Driel, </w:t>
      </w:r>
      <w:r w:rsidRPr="00AD0ECE">
        <w:rPr>
          <w:i/>
        </w:rPr>
        <w:t>Golfen in de BTW</w:t>
      </w:r>
      <w:r w:rsidRPr="00AD0ECE">
        <w:t>, BTW-bulletin 2001/7-8.</w:t>
      </w:r>
    </w:p>
  </w:footnote>
  <w:footnote w:id="103">
    <w:p w:rsidR="00CC552D" w:rsidRPr="00AD0ECE" w:rsidRDefault="00CC552D" w:rsidP="008F4B4E">
      <w:pPr>
        <w:pStyle w:val="Voetnoottekst"/>
      </w:pPr>
      <w:r w:rsidRPr="00AD0ECE">
        <w:rPr>
          <w:rStyle w:val="Voetnootmarkering"/>
        </w:rPr>
        <w:footnoteRef/>
      </w:r>
      <w:r w:rsidRPr="00AD0ECE">
        <w:t xml:space="preserve"> </w:t>
      </w:r>
      <w:r w:rsidRPr="00AD0ECE">
        <w:rPr>
          <w:i/>
        </w:rPr>
        <w:t>‘Straten kwalificeren op grond van de wetsgeschiedenis als gebouw in de zin van art. 11, derde lid, onderdeel a, Wet OB 1968. In de literatuur bestaat twijfel over het aanmerken van straten als gebouw,’</w:t>
      </w:r>
      <w:r w:rsidRPr="00AD0ECE">
        <w:t xml:space="preserve"> Fiscale Encyclopedie De Vakstudie ( VST), Wet op de omzetbelasting 1968, Artikelsgewijs commentaar, Artikel 11-3(*1). Definitie 'Gebouw', Aantekening 6. Gebouwen, paragraaf 6.5.186. Straten.</w:t>
      </w:r>
    </w:p>
  </w:footnote>
  <w:footnote w:id="104">
    <w:p w:rsidR="00CC552D" w:rsidRPr="00AD0ECE" w:rsidRDefault="00CC552D" w:rsidP="008F4B4E">
      <w:pPr>
        <w:pStyle w:val="Voetnoottekst"/>
      </w:pPr>
      <w:r w:rsidRPr="00AD0ECE">
        <w:rPr>
          <w:rStyle w:val="Voetnootmarkering"/>
        </w:rPr>
        <w:footnoteRef/>
      </w:r>
      <w:r w:rsidRPr="00AD0ECE">
        <w:t xml:space="preserve"> Niet uitputtende lijst ontleend aan J.C. van Straaten, </w:t>
      </w:r>
      <w:r w:rsidRPr="00AD0ECE">
        <w:rPr>
          <w:i/>
        </w:rPr>
        <w:t>Bouwen en slopen: Is er iets vervaardigd en, zo ja, wat dan? (I)</w:t>
      </w:r>
      <w:r w:rsidRPr="00AD0ECE">
        <w:t>, WPNR2004/6598.</w:t>
      </w:r>
    </w:p>
  </w:footnote>
  <w:footnote w:id="105">
    <w:p w:rsidR="00CC552D" w:rsidRPr="00AD0ECE" w:rsidRDefault="00CC552D" w:rsidP="008F4B4E">
      <w:pPr>
        <w:pStyle w:val="Voetnoottekst"/>
      </w:pPr>
      <w:r w:rsidRPr="00AD0ECE">
        <w:rPr>
          <w:rStyle w:val="Voetnootmarkering"/>
        </w:rPr>
        <w:footnoteRef/>
      </w:r>
      <w:r w:rsidRPr="00AD0ECE">
        <w:t xml:space="preserve"> Onder andere HR 25 april 2008, nr. 41 798, </w:t>
      </w:r>
      <w:r w:rsidRPr="00AD0ECE">
        <w:rPr>
          <w:i/>
        </w:rPr>
        <w:t>BNB 2008/181</w:t>
      </w:r>
      <w:r w:rsidRPr="00AD0ECE">
        <w:t xml:space="preserve"> (inzake kunstgrasvelden), Hof Den Bosch 5 oktober 2006, nr. 03/01019, </w:t>
      </w:r>
      <w:r w:rsidRPr="00AD0ECE">
        <w:rPr>
          <w:i/>
        </w:rPr>
        <w:t>VN 2007/28.23</w:t>
      </w:r>
      <w:r w:rsidRPr="00AD0ECE">
        <w:t xml:space="preserve"> (inzake opslagschuren), Rb. Breda 16 maart 2007, nr. AWB 06/865, </w:t>
      </w:r>
      <w:r w:rsidRPr="00AD0ECE">
        <w:rPr>
          <w:i/>
        </w:rPr>
        <w:t>VN 2007/44.16</w:t>
      </w:r>
      <w:r w:rsidRPr="00AD0ECE">
        <w:t xml:space="preserve"> (inzake stallen).</w:t>
      </w:r>
    </w:p>
  </w:footnote>
  <w:footnote w:id="106">
    <w:p w:rsidR="00CC552D" w:rsidRPr="00AD0ECE" w:rsidRDefault="00CC552D" w:rsidP="008F4B4E">
      <w:pPr>
        <w:pStyle w:val="Voetnoottekst"/>
        <w:rPr>
          <w:lang w:val="en-US"/>
        </w:rPr>
      </w:pPr>
      <w:r w:rsidRPr="00AD0ECE">
        <w:rPr>
          <w:rStyle w:val="Voetnootmarkering"/>
        </w:rPr>
        <w:footnoteRef/>
      </w:r>
      <w:r w:rsidRPr="00AD0ECE">
        <w:t xml:space="preserve"> J.C. van Straaten, </w:t>
      </w:r>
      <w:r w:rsidRPr="00AD0ECE">
        <w:rPr>
          <w:i/>
        </w:rPr>
        <w:t xml:space="preserve">Bouwen en slopen: Is er iets vervaardigd en, zo ja, wat dan? </w:t>
      </w:r>
      <w:r w:rsidRPr="00AD0ECE">
        <w:rPr>
          <w:i/>
          <w:lang w:val="en-US"/>
        </w:rPr>
        <w:t>(I)</w:t>
      </w:r>
      <w:r w:rsidRPr="00AD0ECE">
        <w:rPr>
          <w:lang w:val="en-US"/>
        </w:rPr>
        <w:t>, WPNR2004/6598.</w:t>
      </w:r>
    </w:p>
  </w:footnote>
  <w:footnote w:id="107">
    <w:p w:rsidR="00CC552D" w:rsidRPr="00AD0ECE" w:rsidRDefault="00CC552D">
      <w:pPr>
        <w:pStyle w:val="Voetnoottekst"/>
        <w:rPr>
          <w:lang w:val="en-US"/>
        </w:rPr>
      </w:pPr>
      <w:r w:rsidRPr="00AD0ECE">
        <w:rPr>
          <w:rStyle w:val="Voetnootmarkering"/>
        </w:rPr>
        <w:footnoteRef/>
      </w:r>
      <w:r w:rsidRPr="00AD0ECE">
        <w:rPr>
          <w:lang w:val="en-US"/>
        </w:rPr>
        <w:t xml:space="preserve"> J.P.M. Linssen, </w:t>
      </w:r>
      <w:r w:rsidRPr="00AD0ECE">
        <w:rPr>
          <w:i/>
          <w:lang w:val="en-US"/>
        </w:rPr>
        <w:t>Bouwterrein: the last episode?</w:t>
      </w:r>
      <w:r w:rsidRPr="00AD0ECE">
        <w:rPr>
          <w:lang w:val="en-US"/>
        </w:rPr>
        <w:t>, BtwBrief 2009/1.</w:t>
      </w:r>
    </w:p>
  </w:footnote>
  <w:footnote w:id="108">
    <w:p w:rsidR="00CC552D" w:rsidRPr="00AD0ECE" w:rsidRDefault="00CC552D">
      <w:pPr>
        <w:pStyle w:val="Voetnoottekst"/>
      </w:pPr>
      <w:r w:rsidRPr="00AD0ECE">
        <w:rPr>
          <w:rStyle w:val="Voetnootmarkering"/>
        </w:rPr>
        <w:footnoteRef/>
      </w:r>
      <w:r w:rsidRPr="00AD0ECE">
        <w:t xml:space="preserve"> HR 24 december 2004, nr. 39 489, </w:t>
      </w:r>
      <w:r w:rsidRPr="00AD0ECE">
        <w:rPr>
          <w:i/>
        </w:rPr>
        <w:t>BNB 2005/124 c*</w:t>
      </w:r>
      <w:r w:rsidRPr="00AD0ECE">
        <w:t>.</w:t>
      </w:r>
    </w:p>
  </w:footnote>
  <w:footnote w:id="109">
    <w:p w:rsidR="00CC552D" w:rsidRPr="00AD0ECE" w:rsidRDefault="00CC552D">
      <w:pPr>
        <w:pStyle w:val="Voetnoottekst"/>
      </w:pPr>
      <w:r w:rsidRPr="00AD0ECE">
        <w:rPr>
          <w:rStyle w:val="Voetnootmarkering"/>
        </w:rPr>
        <w:footnoteRef/>
      </w:r>
      <w:r w:rsidRPr="00AD0ECE">
        <w:t xml:space="preserve"> HR 24 december 2004, nr. 39 489, </w:t>
      </w:r>
      <w:r w:rsidRPr="00AD0ECE">
        <w:rPr>
          <w:i/>
        </w:rPr>
        <w:t>BNB 2005/124 c*</w:t>
      </w:r>
      <w:r w:rsidRPr="00AD0ECE">
        <w:t>, r.o. 3.3.5.</w:t>
      </w:r>
    </w:p>
  </w:footnote>
  <w:footnote w:id="110">
    <w:p w:rsidR="00CC552D" w:rsidRPr="00AD0ECE" w:rsidRDefault="00CC552D" w:rsidP="008F4B4E">
      <w:pPr>
        <w:pStyle w:val="Voetnoottekst"/>
      </w:pPr>
      <w:r w:rsidRPr="00AD0ECE">
        <w:rPr>
          <w:rStyle w:val="Voetnootmarkering"/>
        </w:rPr>
        <w:footnoteRef/>
      </w:r>
      <w:r w:rsidRPr="00AD0ECE">
        <w:t xml:space="preserve"> Wet van 19 juni 1997, houdende wijziging van de wet van 19 juni 1997, Stb. 276, tot wijziging van de Wet op de omzetbelasting (levering van bouwkavels en gebouwen), Stb.1997/277.</w:t>
      </w:r>
    </w:p>
  </w:footnote>
  <w:footnote w:id="111">
    <w:p w:rsidR="00CC552D" w:rsidRPr="00AD0ECE" w:rsidRDefault="00CC552D" w:rsidP="008601E9">
      <w:pPr>
        <w:pStyle w:val="Voetnoottekst"/>
      </w:pPr>
      <w:r w:rsidRPr="00AD0ECE">
        <w:rPr>
          <w:rStyle w:val="Voetnootmarkering"/>
        </w:rPr>
        <w:footnoteRef/>
      </w:r>
      <w:r w:rsidRPr="00AD0ECE">
        <w:t xml:space="preserve"> Aan de hand van (tot dan bekende) jurisprudentie heeft Bijl criteria opgesomd welke toentertijd een rol speelden bij de vraag of een goed vervaardigd was of niet. Hij noemde daarbij: </w:t>
      </w:r>
      <w:r w:rsidRPr="00AD0ECE">
        <w:rPr>
          <w:i/>
        </w:rPr>
        <w:t xml:space="preserve">‘1. de omvang van de verbouwingen, ook relatief gezien; 2. de grootte van de totale verbouwingskosten, zowel op zichzelf beschouwd als in relatie tot de waarde van het pand voor de verbouwing; 3. de verandering van de economische bestemming van het gebouw; 4. zodanig omvangrijke herstellingen, dat de wederopbouw naar zijn economische betekenis als nieuwbouw is aan te merken; 5. een verandering in de locatiewaarde.’ </w:t>
      </w:r>
      <w:r w:rsidRPr="00AD0ECE">
        <w:t xml:space="preserve">Naast genoemde criteria was volgens </w:t>
      </w:r>
      <w:r w:rsidRPr="00AD0ECE">
        <w:rPr>
          <w:i/>
        </w:rPr>
        <w:t>Bijl</w:t>
      </w:r>
      <w:r w:rsidRPr="00AD0ECE">
        <w:t xml:space="preserve"> ook van belang of naar opvattingen in het maatschappelijke verkeer een nieuw goed is ontstaan door vervaardiging, zie D.B. Bijl, </w:t>
      </w:r>
      <w:r w:rsidRPr="00AD0ECE">
        <w:rPr>
          <w:i/>
        </w:rPr>
        <w:t>Het verbouwen van onroerende goederen: vervaardiging?</w:t>
      </w:r>
      <w:r w:rsidRPr="00AD0ECE">
        <w:t>, WFR 1976/332. Hoewel de nummering voorafgaand aan de criteria anders suggereert, was hier geen sprake van een rangorde of eis van cumulatieve voorwaarden</w:t>
      </w:r>
    </w:p>
  </w:footnote>
  <w:footnote w:id="112">
    <w:p w:rsidR="00CC552D" w:rsidRPr="00AD0ECE" w:rsidRDefault="00CC552D">
      <w:pPr>
        <w:pStyle w:val="Voetnoottekst"/>
      </w:pPr>
      <w:r w:rsidRPr="00AD0ECE">
        <w:rPr>
          <w:rStyle w:val="Voetnootmarkering"/>
        </w:rPr>
        <w:footnoteRef/>
      </w:r>
      <w:r w:rsidRPr="00AD0ECE">
        <w:t xml:space="preserve"> </w:t>
      </w:r>
      <w:r w:rsidRPr="00AD0ECE">
        <w:rPr>
          <w:i/>
        </w:rPr>
        <w:t>Eryilmaz</w:t>
      </w:r>
      <w:r w:rsidRPr="00AD0ECE">
        <w:t xml:space="preserve"> vertaalt dit anno 2009 naar de vraag of een voorbijlopende burger na de vervaardiginghandelingen daadwerkelijk een ‘nieuw’ gebouw ziet, zie M. Eryilmaz, </w:t>
      </w:r>
      <w:r w:rsidRPr="00AD0ECE">
        <w:rPr>
          <w:i/>
        </w:rPr>
        <w:t>De btw onder de slopershamer</w:t>
      </w:r>
      <w:r w:rsidRPr="00AD0ECE">
        <w:t>, BTW-bulletin 2009/1.</w:t>
      </w:r>
    </w:p>
  </w:footnote>
  <w:footnote w:id="113">
    <w:p w:rsidR="00CC552D" w:rsidRPr="00AD0ECE" w:rsidRDefault="00CC552D" w:rsidP="008F4B4E">
      <w:pPr>
        <w:pStyle w:val="Voetnoottekst"/>
      </w:pPr>
      <w:r w:rsidRPr="00AD0ECE">
        <w:rPr>
          <w:rStyle w:val="Voetnootmarkering"/>
        </w:rPr>
        <w:footnoteRef/>
      </w:r>
      <w:r w:rsidRPr="00AD0ECE">
        <w:t xml:space="preserve"> Memorie van Toelichting, Levering van bouwkavels en gebouwen, Kamerstuk 1995/96, 24 703, nr. 3, blz. 5.</w:t>
      </w:r>
    </w:p>
  </w:footnote>
  <w:footnote w:id="114">
    <w:p w:rsidR="00CC552D" w:rsidRPr="00AD0ECE" w:rsidRDefault="00CC552D" w:rsidP="008F4B4E">
      <w:pPr>
        <w:pStyle w:val="Voetnoottekst"/>
      </w:pPr>
      <w:r w:rsidRPr="00AD0ECE">
        <w:rPr>
          <w:rStyle w:val="Voetnootmarkering"/>
        </w:rPr>
        <w:footnoteRef/>
      </w:r>
      <w:r w:rsidRPr="00AD0ECE">
        <w:t xml:space="preserve"> Vandaar dat deze paragraaf als titel “ Vervaardiging” draagt en niet “Verbouwing”. Verbouwing kan weliswaar leiden tot vervaardiging, maar vervaardiging is niet altijd een gevolg van verbouwing. Nieuwbouw is namelijk per definitie een vervaardiginghandeling. </w:t>
      </w:r>
    </w:p>
  </w:footnote>
  <w:footnote w:id="115">
    <w:p w:rsidR="00CC552D" w:rsidRPr="00AD0ECE" w:rsidRDefault="00CC552D" w:rsidP="008F4B4E">
      <w:pPr>
        <w:pStyle w:val="Voetnoottekst"/>
      </w:pPr>
      <w:r w:rsidRPr="00AD0ECE">
        <w:rPr>
          <w:rStyle w:val="Voetnootmarkering"/>
        </w:rPr>
        <w:footnoteRef/>
      </w:r>
      <w:r w:rsidRPr="00AD0ECE">
        <w:t xml:space="preserve"> P. Tielemans, </w:t>
      </w:r>
      <w:r w:rsidRPr="00AD0ECE">
        <w:rPr>
          <w:i/>
        </w:rPr>
        <w:t>Onroerende zaak vervaardigd, of niet</w:t>
      </w:r>
      <w:r w:rsidRPr="00AD0ECE">
        <w:t>, BtwBrief 2003/1, daarnaast noemt auteur ook het belang van het vraagstuk met betrekking tot herziene BTW bij verbouwingen of renovaties en de vraag of integratieheffing aan de orde is. Beide zijn echter voor deze scriptie niet van belang.</w:t>
      </w:r>
    </w:p>
  </w:footnote>
  <w:footnote w:id="116">
    <w:p w:rsidR="00CC552D" w:rsidRPr="00AD0ECE" w:rsidRDefault="00CC552D" w:rsidP="008F4B4E">
      <w:pPr>
        <w:pStyle w:val="Voetnoottekst"/>
        <w:rPr>
          <w:b/>
        </w:rPr>
      </w:pPr>
      <w:r w:rsidRPr="00AD0ECE">
        <w:rPr>
          <w:rStyle w:val="Voetnootmarkering"/>
        </w:rPr>
        <w:footnoteRef/>
      </w:r>
      <w:r w:rsidRPr="00AD0ECE">
        <w:t xml:space="preserve"> HvJ EG 14 mei 1985, nr. 139/84 [Van Dijk’s Boekhuis], </w:t>
      </w:r>
      <w:r w:rsidRPr="00AD0ECE">
        <w:rPr>
          <w:i/>
        </w:rPr>
        <w:t>BNB 1985/335 *</w:t>
      </w:r>
      <w:r w:rsidRPr="00AD0ECE">
        <w:t xml:space="preserve"> en de voortzetting in HR 2 oktober 1985, nr. 22 246, </w:t>
      </w:r>
      <w:r w:rsidRPr="00AD0ECE">
        <w:rPr>
          <w:i/>
        </w:rPr>
        <w:t>BNB 1985/336 *</w:t>
      </w:r>
      <w:r w:rsidRPr="00AD0ECE">
        <w:t>.</w:t>
      </w:r>
    </w:p>
  </w:footnote>
  <w:footnote w:id="117">
    <w:p w:rsidR="00CC552D" w:rsidRPr="00AD0ECE" w:rsidRDefault="00CC552D" w:rsidP="008F4B4E">
      <w:pPr>
        <w:pStyle w:val="Voetnoottekst"/>
      </w:pPr>
      <w:r w:rsidRPr="00AD0ECE">
        <w:rPr>
          <w:rStyle w:val="Voetnootmarkering"/>
        </w:rPr>
        <w:footnoteRef/>
      </w:r>
      <w:r w:rsidRPr="00AD0ECE">
        <w:t xml:space="preserve"> HvJ EG 14 mei 1985, nr. 139/84 [Van Dijk’s Boekhuis], </w:t>
      </w:r>
      <w:r w:rsidRPr="00AD0ECE">
        <w:rPr>
          <w:i/>
        </w:rPr>
        <w:t>BNB 1985/335 *,</w:t>
      </w:r>
      <w:r w:rsidRPr="00AD0ECE">
        <w:t xml:space="preserve"> r.o. 20.</w:t>
      </w:r>
    </w:p>
  </w:footnote>
  <w:footnote w:id="118">
    <w:p w:rsidR="00CC552D" w:rsidRPr="00AD0ECE" w:rsidRDefault="00CC552D" w:rsidP="008F4B4E">
      <w:pPr>
        <w:pStyle w:val="Voetnoottekst"/>
      </w:pPr>
      <w:r w:rsidRPr="00AD0ECE">
        <w:rPr>
          <w:rStyle w:val="Voetnootmarkering"/>
        </w:rPr>
        <w:footnoteRef/>
      </w:r>
      <w:r w:rsidRPr="00AD0ECE">
        <w:t xml:space="preserve"> HR 2 oktober 1985, nr. 22 246, </w:t>
      </w:r>
      <w:r w:rsidRPr="00AD0ECE">
        <w:rPr>
          <w:i/>
        </w:rPr>
        <w:t>BNB 1985/336 *</w:t>
      </w:r>
      <w:r w:rsidRPr="00AD0ECE">
        <w:t>, r.o. 3.3.</w:t>
      </w:r>
    </w:p>
  </w:footnote>
  <w:footnote w:id="119">
    <w:p w:rsidR="00CC552D" w:rsidRPr="00AD0ECE" w:rsidRDefault="00CC552D" w:rsidP="008F4B4E">
      <w:pPr>
        <w:pStyle w:val="Voetnoottekst"/>
      </w:pPr>
      <w:r w:rsidRPr="00AD0ECE">
        <w:rPr>
          <w:rStyle w:val="Voetnootmarkering"/>
        </w:rPr>
        <w:footnoteRef/>
      </w:r>
      <w:r w:rsidRPr="00AD0ECE">
        <w:t xml:space="preserve"> HR 17 juni </w:t>
      </w:r>
      <w:r w:rsidR="00D12918" w:rsidRPr="00AD0ECE">
        <w:t>1987,</w:t>
      </w:r>
      <w:r w:rsidRPr="00AD0ECE">
        <w:t xml:space="preserve"> nr. 23 782, </w:t>
      </w:r>
      <w:r w:rsidRPr="00AD0ECE">
        <w:rPr>
          <w:i/>
        </w:rPr>
        <w:t>BNB 1987/243</w:t>
      </w:r>
      <w:r w:rsidRPr="00AD0ECE">
        <w:t>.</w:t>
      </w:r>
    </w:p>
  </w:footnote>
  <w:footnote w:id="120">
    <w:p w:rsidR="00CC552D" w:rsidRPr="00AD0ECE" w:rsidRDefault="00CC552D">
      <w:pPr>
        <w:pStyle w:val="Voetnoottekst"/>
      </w:pPr>
      <w:r w:rsidRPr="00AD0ECE">
        <w:rPr>
          <w:rStyle w:val="Voetnootmarkering"/>
        </w:rPr>
        <w:footnoteRef/>
      </w:r>
      <w:r w:rsidRPr="00AD0ECE">
        <w:t xml:space="preserve"> D.B. Bijl, </w:t>
      </w:r>
      <w:r w:rsidRPr="00AD0ECE">
        <w:rPr>
          <w:i/>
        </w:rPr>
        <w:t>De heffing van omzetbelasting ten aanzien van onroerend goed</w:t>
      </w:r>
      <w:r w:rsidRPr="00AD0ECE">
        <w:t>, Kluwer, Deventer, 1990, blz. 206.</w:t>
      </w:r>
    </w:p>
  </w:footnote>
  <w:footnote w:id="121">
    <w:p w:rsidR="00CC552D" w:rsidRPr="00AD0ECE" w:rsidRDefault="00CC552D">
      <w:pPr>
        <w:pStyle w:val="Voetnoottekst"/>
      </w:pPr>
      <w:r w:rsidRPr="00AD0ECE">
        <w:rPr>
          <w:rStyle w:val="Voetnootmarkering"/>
        </w:rPr>
        <w:footnoteRef/>
      </w:r>
      <w:r w:rsidRPr="00AD0ECE">
        <w:t xml:space="preserve"> D.G. Van Vliet, </w:t>
      </w:r>
      <w:r w:rsidRPr="00AD0ECE">
        <w:rPr>
          <w:i/>
        </w:rPr>
        <w:t>Geen vervaardiging door enkel wijziging van bestemming</w:t>
      </w:r>
      <w:r w:rsidRPr="00AD0ECE">
        <w:t>, WFR 1988/1492.</w:t>
      </w:r>
    </w:p>
  </w:footnote>
  <w:footnote w:id="122">
    <w:p w:rsidR="00CC552D" w:rsidRPr="00AD0ECE" w:rsidRDefault="00CC552D">
      <w:pPr>
        <w:pStyle w:val="Voetnoottekst"/>
      </w:pPr>
      <w:r w:rsidRPr="00AD0ECE">
        <w:rPr>
          <w:rStyle w:val="Voetnootmarkering"/>
        </w:rPr>
        <w:footnoteRef/>
      </w:r>
      <w:r w:rsidRPr="00AD0ECE">
        <w:t xml:space="preserve"> Hof Leeuwarden 12 mei 1989, nr. 431/87, </w:t>
      </w:r>
      <w:r w:rsidRPr="00AD0ECE">
        <w:rPr>
          <w:i/>
        </w:rPr>
        <w:t>VN 1989/2830</w:t>
      </w:r>
      <w:r w:rsidRPr="00AD0ECE">
        <w:t>.</w:t>
      </w:r>
    </w:p>
  </w:footnote>
  <w:footnote w:id="123">
    <w:p w:rsidR="00CC552D" w:rsidRPr="00AD0ECE" w:rsidRDefault="00CC552D" w:rsidP="008F4B4E">
      <w:pPr>
        <w:pStyle w:val="Voetnoottekst"/>
      </w:pPr>
      <w:r w:rsidRPr="00AD0ECE">
        <w:rPr>
          <w:rStyle w:val="Voetnootmarkering"/>
        </w:rPr>
        <w:footnoteRef/>
      </w:r>
      <w:r w:rsidRPr="00AD0ECE">
        <w:t xml:space="preserve"> aldus J.L.M.J. Vervloed, </w:t>
      </w:r>
      <w:r w:rsidRPr="00AD0ECE">
        <w:rPr>
          <w:i/>
        </w:rPr>
        <w:t>Het begrip vervaardigen in de BTW</w:t>
      </w:r>
      <w:r w:rsidRPr="00AD0ECE">
        <w:t>, BtwBrief 1989/1.</w:t>
      </w:r>
    </w:p>
  </w:footnote>
  <w:footnote w:id="124">
    <w:p w:rsidR="00CC552D" w:rsidRPr="00AD0ECE" w:rsidRDefault="00CC552D">
      <w:pPr>
        <w:pStyle w:val="Voetnoottekst"/>
      </w:pPr>
      <w:r w:rsidRPr="00AD0ECE">
        <w:rPr>
          <w:rStyle w:val="Voetnootmarkering"/>
        </w:rPr>
        <w:footnoteRef/>
      </w:r>
      <w:r w:rsidRPr="00AD0ECE">
        <w:t xml:space="preserve"> Wederom laat ik de wijziging door sloop buiten beschouwing en verwijs ik naar hoofdstuk 5 van deze scriptie.</w:t>
      </w:r>
    </w:p>
  </w:footnote>
  <w:footnote w:id="125">
    <w:p w:rsidR="00CC552D" w:rsidRPr="00AD0ECE" w:rsidRDefault="00CC552D" w:rsidP="00D838FE">
      <w:pPr>
        <w:pStyle w:val="Voetnoottekst"/>
      </w:pPr>
      <w:r w:rsidRPr="00AD0ECE">
        <w:rPr>
          <w:rStyle w:val="Voetnootmarkering"/>
        </w:rPr>
        <w:footnoteRef/>
      </w:r>
      <w:r w:rsidRPr="00AD0ECE">
        <w:t xml:space="preserve"> Hof Den Bosch 1 juli 2005, nr. 02/2152, </w:t>
      </w:r>
      <w:r w:rsidRPr="00AD0ECE">
        <w:rPr>
          <w:i/>
        </w:rPr>
        <w:t>VN 2005/52.22.</w:t>
      </w:r>
    </w:p>
  </w:footnote>
  <w:footnote w:id="126">
    <w:p w:rsidR="00CC552D" w:rsidRPr="00AD0ECE" w:rsidRDefault="00CC552D">
      <w:pPr>
        <w:pStyle w:val="Voetnoottekst"/>
      </w:pPr>
      <w:r w:rsidRPr="00AD0ECE">
        <w:rPr>
          <w:rStyle w:val="Voetnootmarkering"/>
        </w:rPr>
        <w:footnoteRef/>
      </w:r>
      <w:r w:rsidRPr="00AD0ECE">
        <w:t xml:space="preserve"> HR 17 december </w:t>
      </w:r>
      <w:r w:rsidR="00D12918" w:rsidRPr="00AD0ECE">
        <w:t>1986,</w:t>
      </w:r>
      <w:r w:rsidRPr="00AD0ECE">
        <w:t xml:space="preserve"> nr. 23 578, </w:t>
      </w:r>
      <w:r w:rsidRPr="00AD0ECE">
        <w:rPr>
          <w:i/>
        </w:rPr>
        <w:t>BNB 1987/59</w:t>
      </w:r>
      <w:r w:rsidRPr="00AD0ECE">
        <w:t>.</w:t>
      </w:r>
    </w:p>
  </w:footnote>
  <w:footnote w:id="127">
    <w:p w:rsidR="00CC552D" w:rsidRPr="00AD0ECE" w:rsidRDefault="00CC552D">
      <w:pPr>
        <w:pStyle w:val="Voetnoottekst"/>
      </w:pPr>
      <w:r w:rsidRPr="00AD0ECE">
        <w:rPr>
          <w:rStyle w:val="Voetnootmarkering"/>
        </w:rPr>
        <w:footnoteRef/>
      </w:r>
      <w:r w:rsidRPr="00AD0ECE">
        <w:t xml:space="preserve"> Civielrechtelijk bezien heeft verbouwing binnen een gebouw geen gevolgen, omdat het eigendom van de onroerende zaak bij dezelfde persoon blijft. Dit is anders bij een verbouwing die tot gevolg heeft dat niet één, maar twee onroerende zaken zijn te onderscheiden (bijvoorbeeld door verticale splitsing van het pand), zie J.C. van Straaten, </w:t>
      </w:r>
      <w:r w:rsidRPr="00AD0ECE">
        <w:rPr>
          <w:i/>
        </w:rPr>
        <w:t>Bouwen en slopen: Is er iets vervaardigd en, zo ja, wat dan? (II)</w:t>
      </w:r>
      <w:r w:rsidRPr="00AD0ECE">
        <w:t>, WPNR2004/6599.</w:t>
      </w:r>
    </w:p>
  </w:footnote>
  <w:footnote w:id="128">
    <w:p w:rsidR="00CC552D" w:rsidRPr="00AD0ECE" w:rsidRDefault="00CC552D" w:rsidP="00840677">
      <w:pPr>
        <w:pStyle w:val="Voetnoottekst"/>
      </w:pPr>
      <w:r w:rsidRPr="00AD0ECE">
        <w:rPr>
          <w:rStyle w:val="Voetnootmarkering"/>
        </w:rPr>
        <w:footnoteRef/>
      </w:r>
      <w:r w:rsidRPr="00AD0ECE">
        <w:t xml:space="preserve"> In de literatuur wordt deze uiteenloop tussen Nederlandse en Europese jurisprudentie eveneens opgemerkt, zie D.B. Bijl c.s., </w:t>
      </w:r>
      <w:r w:rsidRPr="00AD0ECE">
        <w:rPr>
          <w:i/>
        </w:rPr>
        <w:t>Europese BTW en Nederlandse omzetbelasting</w:t>
      </w:r>
      <w:r w:rsidRPr="00AD0ECE">
        <w:t>, Kluwer, Deventer, 2001, blz. 70.</w:t>
      </w:r>
    </w:p>
  </w:footnote>
  <w:footnote w:id="129">
    <w:p w:rsidR="00CC552D" w:rsidRPr="00AD0ECE" w:rsidRDefault="00CC552D">
      <w:pPr>
        <w:pStyle w:val="Voetnoottekst"/>
      </w:pPr>
      <w:r w:rsidRPr="00AD0ECE">
        <w:rPr>
          <w:rStyle w:val="Voetnootmarkering"/>
        </w:rPr>
        <w:footnoteRef/>
      </w:r>
      <w:r w:rsidRPr="00AD0ECE">
        <w:t xml:space="preserve"> HR 26 april 1989, nr. 25 315, </w:t>
      </w:r>
      <w:r w:rsidRPr="00AD0ECE">
        <w:rPr>
          <w:i/>
        </w:rPr>
        <w:t>BNB 1989/172</w:t>
      </w:r>
      <w:r w:rsidRPr="00AD0ECE">
        <w:t>.</w:t>
      </w:r>
    </w:p>
  </w:footnote>
  <w:footnote w:id="130">
    <w:p w:rsidR="00CC552D" w:rsidRPr="00AD0ECE" w:rsidRDefault="00CC552D">
      <w:pPr>
        <w:pStyle w:val="Voetnoottekst"/>
      </w:pPr>
      <w:r w:rsidRPr="00AD0ECE">
        <w:rPr>
          <w:rStyle w:val="Voetnootmarkering"/>
        </w:rPr>
        <w:footnoteRef/>
      </w:r>
      <w:r w:rsidRPr="00AD0ECE">
        <w:t xml:space="preserve"> Hof Den Bosch, 3 april 2003, nr. 00/2480, </w:t>
      </w:r>
      <w:r w:rsidRPr="00AD0ECE">
        <w:rPr>
          <w:i/>
        </w:rPr>
        <w:t>VN 2003/23.3.2</w:t>
      </w:r>
      <w:r w:rsidRPr="00AD0ECE">
        <w:t>.</w:t>
      </w:r>
    </w:p>
  </w:footnote>
  <w:footnote w:id="131">
    <w:p w:rsidR="00CC552D" w:rsidRPr="00AD0ECE" w:rsidRDefault="00CC552D">
      <w:pPr>
        <w:pStyle w:val="Voetnoottekst"/>
      </w:pPr>
      <w:r w:rsidRPr="00AD0ECE">
        <w:rPr>
          <w:rStyle w:val="Voetnootmarkering"/>
        </w:rPr>
        <w:footnoteRef/>
      </w:r>
      <w:r w:rsidRPr="00AD0ECE">
        <w:t xml:space="preserve"> Hof Den Bosch, 3 april 2003, nr. 00/2480, </w:t>
      </w:r>
      <w:r w:rsidRPr="00AD0ECE">
        <w:rPr>
          <w:i/>
        </w:rPr>
        <w:t>VN 2003/23.3.2</w:t>
      </w:r>
      <w:r w:rsidRPr="00AD0ECE">
        <w:t>, r.o. 4.2.</w:t>
      </w:r>
    </w:p>
  </w:footnote>
  <w:footnote w:id="132">
    <w:p w:rsidR="00CC552D" w:rsidRPr="00AD0ECE" w:rsidRDefault="00CC552D">
      <w:pPr>
        <w:pStyle w:val="Voetnoottekst"/>
      </w:pPr>
      <w:r w:rsidRPr="00AD0ECE">
        <w:rPr>
          <w:rStyle w:val="Voetnootmarkering"/>
        </w:rPr>
        <w:footnoteRef/>
      </w:r>
      <w:r w:rsidRPr="00AD0ECE">
        <w:t xml:space="preserve"> Hof Den Bosch, 12 juni 2008, nr. 04/00433, </w:t>
      </w:r>
      <w:r w:rsidRPr="00AD0ECE">
        <w:rPr>
          <w:i/>
        </w:rPr>
        <w:t>VN 2008/52.22</w:t>
      </w:r>
      <w:r w:rsidRPr="00AD0ECE">
        <w:t>.</w:t>
      </w:r>
    </w:p>
  </w:footnote>
  <w:footnote w:id="133">
    <w:p w:rsidR="00CC552D" w:rsidRPr="00AD0ECE" w:rsidRDefault="00CC552D">
      <w:pPr>
        <w:pStyle w:val="Voetnoottekst"/>
      </w:pPr>
      <w:r w:rsidRPr="00AD0ECE">
        <w:rPr>
          <w:rStyle w:val="Voetnootmarkering"/>
        </w:rPr>
        <w:footnoteRef/>
      </w:r>
      <w:r w:rsidRPr="00AD0ECE">
        <w:t xml:space="preserve"> Hof Den Bosch, 12 juni 2008, nr. 04/00433, </w:t>
      </w:r>
      <w:r w:rsidRPr="00AD0ECE">
        <w:rPr>
          <w:i/>
        </w:rPr>
        <w:t>VN 2008/52.22</w:t>
      </w:r>
      <w:r w:rsidRPr="00AD0ECE">
        <w:t>, r.o. 4.3.</w:t>
      </w:r>
    </w:p>
  </w:footnote>
  <w:footnote w:id="134">
    <w:p w:rsidR="00CC552D" w:rsidRPr="00AD0ECE" w:rsidRDefault="00CC552D">
      <w:pPr>
        <w:pStyle w:val="Voetnoottekst"/>
      </w:pPr>
      <w:r w:rsidRPr="00AD0ECE">
        <w:rPr>
          <w:rStyle w:val="Voetnootmarkering"/>
        </w:rPr>
        <w:footnoteRef/>
      </w:r>
      <w:r w:rsidRPr="00AD0ECE">
        <w:t xml:space="preserve"> Daarmee is de stelling, dat Bijl zijn criteria (zie voetnoot 111) nog steeds van toepassing zijn, gerechtvaardigd.</w:t>
      </w:r>
    </w:p>
  </w:footnote>
  <w:footnote w:id="135">
    <w:p w:rsidR="00CC552D" w:rsidRPr="00AD0ECE" w:rsidRDefault="00CC552D" w:rsidP="008F4B4E">
      <w:pPr>
        <w:pStyle w:val="Voetnoottekst"/>
      </w:pPr>
      <w:r w:rsidRPr="00AD0ECE">
        <w:rPr>
          <w:rStyle w:val="Voetnootmarkering"/>
        </w:rPr>
        <w:footnoteRef/>
      </w:r>
      <w:r w:rsidRPr="00AD0ECE">
        <w:t xml:space="preserve"> Hof Arnhem 20 september 2002, nr. 01/0447, </w:t>
      </w:r>
      <w:r w:rsidRPr="00AD0ECE">
        <w:rPr>
          <w:i/>
        </w:rPr>
        <w:t>VN 2003/5.17.</w:t>
      </w:r>
    </w:p>
  </w:footnote>
  <w:footnote w:id="136">
    <w:p w:rsidR="00CC552D" w:rsidRPr="00AD0ECE" w:rsidRDefault="00CC552D" w:rsidP="008F4B4E">
      <w:pPr>
        <w:pStyle w:val="Voetnoottekst"/>
      </w:pPr>
      <w:r w:rsidRPr="00AD0ECE">
        <w:rPr>
          <w:rStyle w:val="Voetnootmarkering"/>
        </w:rPr>
        <w:footnoteRef/>
      </w:r>
      <w:r w:rsidRPr="00AD0ECE">
        <w:t xml:space="preserve"> Hof Arnhem 20 september 2002, nr. 01/0447, </w:t>
      </w:r>
      <w:r w:rsidRPr="00AD0ECE">
        <w:rPr>
          <w:i/>
        </w:rPr>
        <w:t>VN 2003/5.17, r.o. 4.2.</w:t>
      </w:r>
    </w:p>
  </w:footnote>
  <w:footnote w:id="137">
    <w:p w:rsidR="00CC552D" w:rsidRPr="00AD0ECE" w:rsidRDefault="00CC552D">
      <w:pPr>
        <w:pStyle w:val="Voetnoottekst"/>
      </w:pPr>
      <w:r w:rsidRPr="00AD0ECE">
        <w:rPr>
          <w:rStyle w:val="Voetnootmarkering"/>
        </w:rPr>
        <w:footnoteRef/>
      </w:r>
      <w:r w:rsidRPr="00AD0ECE">
        <w:t xml:space="preserve"> HR 14 oktober 2005, nr. 41 015, </w:t>
      </w:r>
      <w:r w:rsidRPr="00AD0ECE">
        <w:rPr>
          <w:i/>
        </w:rPr>
        <w:t>BNB 2006/65 *</w:t>
      </w:r>
      <w:r w:rsidRPr="00AD0ECE">
        <w:t>.</w:t>
      </w:r>
    </w:p>
  </w:footnote>
  <w:footnote w:id="138">
    <w:p w:rsidR="00CC552D" w:rsidRPr="00AD0ECE" w:rsidRDefault="00CC552D">
      <w:pPr>
        <w:pStyle w:val="Voetnoottekst"/>
      </w:pPr>
      <w:r w:rsidRPr="00AD0ECE">
        <w:rPr>
          <w:rStyle w:val="Voetnootmarkering"/>
        </w:rPr>
        <w:footnoteRef/>
      </w:r>
      <w:r w:rsidRPr="00AD0ECE">
        <w:t xml:space="preserve"> A.J. de Ruiter, </w:t>
      </w:r>
      <w:r w:rsidRPr="00AD0ECE">
        <w:rPr>
          <w:i/>
        </w:rPr>
        <w:t>Vervaardigen, slechts een deel van het probleem</w:t>
      </w:r>
      <w:r w:rsidRPr="00AD0ECE">
        <w:t>, BTW-bulletin 2006/2.</w:t>
      </w:r>
    </w:p>
  </w:footnote>
  <w:footnote w:id="139">
    <w:p w:rsidR="00CC552D" w:rsidRPr="00AD0ECE" w:rsidRDefault="00CC552D">
      <w:pPr>
        <w:pStyle w:val="Voetnoottekst"/>
      </w:pPr>
      <w:r w:rsidRPr="00AD0ECE">
        <w:rPr>
          <w:rStyle w:val="Voetnootmarkering"/>
        </w:rPr>
        <w:footnoteRef/>
      </w:r>
      <w:r w:rsidRPr="00AD0ECE">
        <w:t xml:space="preserve"> HR 14 oktober 2005, nr. 41 015, </w:t>
      </w:r>
      <w:r w:rsidRPr="00AD0ECE">
        <w:rPr>
          <w:i/>
        </w:rPr>
        <w:t>BNB 2006/65 *</w:t>
      </w:r>
      <w:r w:rsidRPr="00AD0ECE">
        <w:t>, r.o. 3.3 en 3.5.</w:t>
      </w:r>
    </w:p>
  </w:footnote>
  <w:footnote w:id="140">
    <w:p w:rsidR="00CC552D" w:rsidRPr="00AD0ECE" w:rsidRDefault="00CC552D">
      <w:pPr>
        <w:pStyle w:val="Voetnoottekst"/>
      </w:pPr>
      <w:r w:rsidRPr="00AD0ECE">
        <w:rPr>
          <w:rStyle w:val="Voetnootmarkering"/>
        </w:rPr>
        <w:footnoteRef/>
      </w:r>
      <w:r w:rsidRPr="00AD0ECE">
        <w:t xml:space="preserve"> Hof Amsterdam 5 juni 2000, nr. 99/2651, </w:t>
      </w:r>
      <w:r w:rsidRPr="00AD0ECE">
        <w:rPr>
          <w:i/>
        </w:rPr>
        <w:t>VN 2001/12.1.2</w:t>
      </w:r>
      <w:r w:rsidRPr="00AD0ECE">
        <w:t>.</w:t>
      </w:r>
    </w:p>
  </w:footnote>
  <w:footnote w:id="141">
    <w:p w:rsidR="00CC552D" w:rsidRPr="00AD0ECE" w:rsidRDefault="00CC552D">
      <w:pPr>
        <w:pStyle w:val="Voetnoottekst"/>
      </w:pPr>
      <w:r w:rsidRPr="00AD0ECE">
        <w:rPr>
          <w:rStyle w:val="Voetnootmarkering"/>
        </w:rPr>
        <w:footnoteRef/>
      </w:r>
      <w:r w:rsidRPr="00AD0ECE">
        <w:t xml:space="preserve"> HR 14 december 2001, nr. 36 277, </w:t>
      </w:r>
      <w:r w:rsidRPr="00AD0ECE">
        <w:rPr>
          <w:i/>
        </w:rPr>
        <w:t>BNB 2002/114 c*</w:t>
      </w:r>
      <w:r w:rsidRPr="00AD0ECE">
        <w:t>.</w:t>
      </w:r>
    </w:p>
  </w:footnote>
  <w:footnote w:id="142">
    <w:p w:rsidR="00CC552D" w:rsidRPr="00AD0ECE" w:rsidRDefault="00CC552D">
      <w:pPr>
        <w:pStyle w:val="Voetnoottekst"/>
      </w:pPr>
      <w:r w:rsidRPr="00AD0ECE">
        <w:rPr>
          <w:rStyle w:val="Voetnootmarkering"/>
        </w:rPr>
        <w:footnoteRef/>
      </w:r>
      <w:r w:rsidRPr="00AD0ECE">
        <w:t xml:space="preserve"> Hof Arnhem, 24 december 2003, nr. 03/0811, </w:t>
      </w:r>
      <w:r w:rsidRPr="00AD0ECE">
        <w:rPr>
          <w:i/>
        </w:rPr>
        <w:t>VN 2004/7.1.2</w:t>
      </w:r>
      <w:r w:rsidRPr="00AD0ECE">
        <w:t>.</w:t>
      </w:r>
    </w:p>
  </w:footnote>
  <w:footnote w:id="143">
    <w:p w:rsidR="00CC552D" w:rsidRPr="00AD0ECE" w:rsidRDefault="00CC552D">
      <w:pPr>
        <w:pStyle w:val="Voetnoottekst"/>
      </w:pPr>
      <w:r w:rsidRPr="00AD0ECE">
        <w:rPr>
          <w:rStyle w:val="Voetnootmarkering"/>
        </w:rPr>
        <w:footnoteRef/>
      </w:r>
      <w:r w:rsidRPr="00AD0ECE">
        <w:t xml:space="preserve"> HR 2 mei 2003, nr. 38 575, </w:t>
      </w:r>
      <w:r w:rsidRPr="00AD0ECE">
        <w:rPr>
          <w:i/>
        </w:rPr>
        <w:t>BNB 2003/230</w:t>
      </w:r>
      <w:r w:rsidRPr="00AD0ECE">
        <w:t>.</w:t>
      </w:r>
    </w:p>
  </w:footnote>
  <w:footnote w:id="144">
    <w:p w:rsidR="00CC552D" w:rsidRPr="00AD0ECE" w:rsidRDefault="00CC552D">
      <w:pPr>
        <w:pStyle w:val="Voetnoottekst"/>
      </w:pPr>
      <w:r w:rsidRPr="00AD0ECE">
        <w:rPr>
          <w:rStyle w:val="Voetnootmarkering"/>
        </w:rPr>
        <w:footnoteRef/>
      </w:r>
      <w:r w:rsidRPr="00AD0ECE">
        <w:t xml:space="preserve"> Hof Arnhem, 24 december 2003, nr. 03/0811, </w:t>
      </w:r>
      <w:r w:rsidRPr="00AD0ECE">
        <w:rPr>
          <w:i/>
        </w:rPr>
        <w:t>VN 2004/7.1.2</w:t>
      </w:r>
      <w:r w:rsidRPr="00AD0ECE">
        <w:t>, r.o. 4.2.</w:t>
      </w:r>
    </w:p>
  </w:footnote>
  <w:footnote w:id="145">
    <w:p w:rsidR="00CC552D" w:rsidRPr="00AD0ECE" w:rsidRDefault="00CC552D">
      <w:pPr>
        <w:pStyle w:val="Voetnoottekst"/>
      </w:pPr>
      <w:r w:rsidRPr="00AD0ECE">
        <w:rPr>
          <w:rStyle w:val="Voetnootmarkering"/>
        </w:rPr>
        <w:footnoteRef/>
      </w:r>
      <w:r w:rsidRPr="00AD0ECE">
        <w:t xml:space="preserve"> J.C. van Straaten, </w:t>
      </w:r>
      <w:r w:rsidRPr="00AD0ECE">
        <w:rPr>
          <w:i/>
        </w:rPr>
        <w:t>Bouwen en slopen: Is er iets vervaardigd en, zo ja, wat dan? (III)</w:t>
      </w:r>
      <w:r w:rsidRPr="00AD0ECE">
        <w:t>, WPNR2004/6600.</w:t>
      </w:r>
    </w:p>
  </w:footnote>
  <w:footnote w:id="146">
    <w:p w:rsidR="00CC552D" w:rsidRPr="00AD0ECE" w:rsidRDefault="00CC552D">
      <w:pPr>
        <w:pStyle w:val="Voetnoottekst"/>
      </w:pPr>
      <w:r w:rsidRPr="00AD0ECE">
        <w:rPr>
          <w:rStyle w:val="Voetnootmarkering"/>
        </w:rPr>
        <w:footnoteRef/>
      </w:r>
      <w:r w:rsidRPr="00AD0ECE">
        <w:t xml:space="preserve"> Hof Den Bosch 15 augustus 2003, </w:t>
      </w:r>
      <w:r w:rsidRPr="00AD0ECE">
        <w:rPr>
          <w:i/>
        </w:rPr>
        <w:t>VN 2003/60.18</w:t>
      </w:r>
      <w:r w:rsidRPr="00AD0ECE">
        <w:t>.</w:t>
      </w:r>
    </w:p>
  </w:footnote>
  <w:footnote w:id="147">
    <w:p w:rsidR="00CC552D" w:rsidRPr="00AD0ECE" w:rsidRDefault="00CC552D" w:rsidP="008B3A8E">
      <w:pPr>
        <w:pStyle w:val="Voetnoottekst"/>
      </w:pPr>
      <w:r w:rsidRPr="00AD0ECE">
        <w:rPr>
          <w:rStyle w:val="Voetnootmarkering"/>
        </w:rPr>
        <w:footnoteRef/>
      </w:r>
      <w:r w:rsidRPr="00AD0ECE">
        <w:t xml:space="preserve"> </w:t>
      </w:r>
      <w:r w:rsidRPr="00AD0ECE">
        <w:rPr>
          <w:i/>
        </w:rPr>
        <w:t xml:space="preserve">Van Straaten </w:t>
      </w:r>
      <w:r w:rsidRPr="00AD0ECE">
        <w:t xml:space="preserve">wijst in zijn artikel (J.C. van Straaten, </w:t>
      </w:r>
      <w:r w:rsidRPr="00AD0ECE">
        <w:rPr>
          <w:i/>
        </w:rPr>
        <w:t>Bouwen en slopen: Is er iets vervaardigd en, zo ja, wat dan? (III)</w:t>
      </w:r>
      <w:r w:rsidRPr="00AD0ECE">
        <w:t xml:space="preserve">, WPNR2004/6600) op de afwijkende mening van </w:t>
      </w:r>
      <w:r w:rsidRPr="00AD0ECE">
        <w:rPr>
          <w:i/>
        </w:rPr>
        <w:t>Van Zadelhoff</w:t>
      </w:r>
      <w:r w:rsidRPr="00AD0ECE">
        <w:t xml:space="preserve">, die deze uitspraak van Hof Den Bosch in strijd acht met het arrest van 17 januari 1996 (HR 17 januari 1996, nr. 30 707, </w:t>
      </w:r>
      <w:r w:rsidRPr="00AD0ECE">
        <w:rPr>
          <w:i/>
        </w:rPr>
        <w:t>BNB 1996/113 *</w:t>
      </w:r>
      <w:r w:rsidRPr="00AD0ECE">
        <w:t xml:space="preserve">) en zodoende deze variant bij aanbouw niet erkent. Behandeling van dit laatste arrest met als gedingvraagstuk integratieheffing voert te ver voor deze scriptie. Met de aantekening van de </w:t>
      </w:r>
      <w:r w:rsidRPr="00AD0ECE">
        <w:rPr>
          <w:i/>
        </w:rPr>
        <w:t>redactie Vakstudie Nieuws</w:t>
      </w:r>
      <w:r w:rsidRPr="00AD0ECE">
        <w:t xml:space="preserve"> bij genoemde zaak ben ik het echter wel eens dat bij toepassing van artikel 11 Wet OB 1968 splitsing van een onroerende zaak in gedeelten met een zelfstandig (economische) gedeelte binnen het complex eenvoudiger is dan bij de integratieheffing (</w:t>
      </w:r>
      <w:r w:rsidRPr="00AD0ECE">
        <w:rPr>
          <w:i/>
        </w:rPr>
        <w:t>VN 1996/555</w:t>
      </w:r>
      <w:r w:rsidRPr="00AD0ECE">
        <w:t>).</w:t>
      </w:r>
    </w:p>
  </w:footnote>
  <w:footnote w:id="148">
    <w:p w:rsidR="00CC552D" w:rsidRPr="00AD0ECE" w:rsidRDefault="00CC552D">
      <w:pPr>
        <w:pStyle w:val="Voetnoottekst"/>
      </w:pPr>
      <w:r w:rsidRPr="00AD0ECE">
        <w:rPr>
          <w:rStyle w:val="Voetnootmarkering"/>
        </w:rPr>
        <w:footnoteRef/>
      </w:r>
      <w:r w:rsidRPr="00AD0ECE">
        <w:t xml:space="preserve"> HR 23 oktober 1991, nr. 27 053, </w:t>
      </w:r>
      <w:r w:rsidRPr="00AD0ECE">
        <w:rPr>
          <w:i/>
        </w:rPr>
        <w:t>BNB 1992/44 *</w:t>
      </w:r>
      <w:r w:rsidRPr="00AD0ECE">
        <w:t>.</w:t>
      </w:r>
    </w:p>
  </w:footnote>
  <w:footnote w:id="149">
    <w:p w:rsidR="00CC552D" w:rsidRPr="00AD0ECE" w:rsidRDefault="00CC552D" w:rsidP="0020569A">
      <w:pPr>
        <w:pStyle w:val="Voetnoottekst"/>
      </w:pPr>
      <w:r w:rsidRPr="00AD0ECE">
        <w:rPr>
          <w:rStyle w:val="Voetnootmarkering"/>
        </w:rPr>
        <w:footnoteRef/>
      </w:r>
      <w:r w:rsidRPr="00AD0ECE">
        <w:t xml:space="preserve"> De Hoge Raad bevestigt hiermee de, in het arrest opgenomen, rechtsoverweging 5.2.2 van Hof Den Bosch.</w:t>
      </w:r>
    </w:p>
  </w:footnote>
  <w:footnote w:id="150">
    <w:p w:rsidR="00CC552D" w:rsidRPr="00AD0ECE" w:rsidRDefault="00CC552D" w:rsidP="008043BF">
      <w:pPr>
        <w:pStyle w:val="Voetnoottekst"/>
      </w:pPr>
      <w:r w:rsidRPr="00AD0ECE">
        <w:rPr>
          <w:rStyle w:val="Voetnootmarkering"/>
        </w:rPr>
        <w:footnoteRef/>
      </w:r>
      <w:r w:rsidRPr="00AD0ECE">
        <w:t xml:space="preserve"> Hof Leeuwarden 25 oktober 2002, nr. 01/0521, </w:t>
      </w:r>
      <w:r w:rsidRPr="00AD0ECE">
        <w:rPr>
          <w:i/>
        </w:rPr>
        <w:t>VN 2003/9.2.10</w:t>
      </w:r>
      <w:r w:rsidRPr="00AD0ECE">
        <w:t>.</w:t>
      </w:r>
    </w:p>
  </w:footnote>
  <w:footnote w:id="151">
    <w:p w:rsidR="00CC552D" w:rsidRPr="00AD0ECE" w:rsidRDefault="00CC552D">
      <w:pPr>
        <w:pStyle w:val="Voetnoottekst"/>
      </w:pPr>
      <w:r w:rsidRPr="00AD0ECE">
        <w:rPr>
          <w:rStyle w:val="Voetnootmarkering"/>
        </w:rPr>
        <w:footnoteRef/>
      </w:r>
      <w:r w:rsidRPr="00AD0ECE">
        <w:t xml:space="preserve"> Hof Leeuwarden 25 oktober 2002, nr. 01/0521, </w:t>
      </w:r>
      <w:r w:rsidRPr="00AD0ECE">
        <w:rPr>
          <w:i/>
        </w:rPr>
        <w:t>VN 2003/9.2.10</w:t>
      </w:r>
      <w:r w:rsidRPr="00AD0ECE">
        <w:t>, r.o. 4.4.</w:t>
      </w:r>
    </w:p>
  </w:footnote>
  <w:footnote w:id="152">
    <w:p w:rsidR="00CC552D" w:rsidRPr="00AD0ECE" w:rsidRDefault="00CC552D">
      <w:pPr>
        <w:pStyle w:val="Voetnoottekst"/>
      </w:pPr>
      <w:r w:rsidRPr="00AD0ECE">
        <w:rPr>
          <w:rStyle w:val="Voetnootmarkering"/>
        </w:rPr>
        <w:footnoteRef/>
      </w:r>
      <w:r w:rsidRPr="00AD0ECE">
        <w:t xml:space="preserve"> J.C. van Straaten, </w:t>
      </w:r>
      <w:r w:rsidRPr="00AD0ECE">
        <w:rPr>
          <w:i/>
        </w:rPr>
        <w:t>Bouwen en slopen: Is er iets vervaardigd en, zo ja, wat dan? (II)</w:t>
      </w:r>
      <w:r w:rsidRPr="00AD0ECE">
        <w:t>, WPNR2004/6599.</w:t>
      </w:r>
    </w:p>
  </w:footnote>
  <w:footnote w:id="153">
    <w:p w:rsidR="00CC552D" w:rsidRPr="00AD0ECE" w:rsidRDefault="00CC552D">
      <w:pPr>
        <w:pStyle w:val="Voetnoottekst"/>
      </w:pPr>
      <w:r w:rsidRPr="00AD0ECE">
        <w:rPr>
          <w:rStyle w:val="Voetnootmarkering"/>
        </w:rPr>
        <w:footnoteRef/>
      </w:r>
      <w:r w:rsidRPr="00AD0ECE">
        <w:t xml:space="preserve"> Hierbij veronderstel ik dat de nieuwe bovenste verdieping geen eigen toegang vanaf straatniveau heeft. Anders is namelijk sprake van een zelfstandig gebouw waardoor de opbouw geen vervaardiginggevolgen heeft voor het reeds bestaande onroerend goed.</w:t>
      </w:r>
    </w:p>
  </w:footnote>
  <w:footnote w:id="154">
    <w:p w:rsidR="00CC552D" w:rsidRPr="00AD0ECE" w:rsidRDefault="00CC552D">
      <w:pPr>
        <w:pStyle w:val="Voetnoottekst"/>
      </w:pPr>
      <w:r w:rsidRPr="00AD0ECE">
        <w:rPr>
          <w:rStyle w:val="Voetnootmarkering"/>
        </w:rPr>
        <w:footnoteRef/>
      </w:r>
      <w:r w:rsidRPr="00AD0ECE">
        <w:t xml:space="preserve"> A.M.A. Koks c.s., </w:t>
      </w:r>
      <w:r w:rsidRPr="00AD0ECE">
        <w:rPr>
          <w:i/>
        </w:rPr>
        <w:t>Ondergronds bouwen</w:t>
      </w:r>
      <w:r w:rsidRPr="00AD0ECE">
        <w:t>, Vastgoed Fiscaal en Civiel 2001/2.</w:t>
      </w:r>
    </w:p>
  </w:footnote>
  <w:footnote w:id="155">
    <w:p w:rsidR="00CC552D" w:rsidRPr="00AD0ECE" w:rsidRDefault="00CC552D">
      <w:pPr>
        <w:pStyle w:val="Voetnoottekst"/>
      </w:pPr>
      <w:r w:rsidRPr="00AD0ECE">
        <w:rPr>
          <w:rStyle w:val="Voetnootmarkering"/>
        </w:rPr>
        <w:footnoteRef/>
      </w:r>
      <w:r w:rsidRPr="00AD0ECE">
        <w:t xml:space="preserve"> Conclusie A-G Groeneveld, 23 september 2002, nr. 37 525, </w:t>
      </w:r>
      <w:r w:rsidRPr="00AD0ECE">
        <w:rPr>
          <w:i/>
        </w:rPr>
        <w:t>VN 2003/2.26</w:t>
      </w:r>
      <w:r w:rsidRPr="00AD0ECE">
        <w:t>.</w:t>
      </w:r>
    </w:p>
  </w:footnote>
  <w:footnote w:id="156">
    <w:p w:rsidR="00CC552D" w:rsidRPr="00AD0ECE" w:rsidRDefault="00CC552D">
      <w:pPr>
        <w:pStyle w:val="Voetnoottekst"/>
      </w:pPr>
      <w:r w:rsidRPr="00AD0ECE">
        <w:rPr>
          <w:rStyle w:val="Voetnootmarkering"/>
        </w:rPr>
        <w:footnoteRef/>
      </w:r>
      <w:r w:rsidRPr="00AD0ECE">
        <w:t xml:space="preserve"> HR 9 december 1987, nr. 24 963, </w:t>
      </w:r>
      <w:r w:rsidRPr="00AD0ECE">
        <w:rPr>
          <w:i/>
        </w:rPr>
        <w:t>BNB 1988/74</w:t>
      </w:r>
      <w:r w:rsidRPr="00AD0ECE">
        <w:t>.</w:t>
      </w:r>
    </w:p>
  </w:footnote>
  <w:footnote w:id="157">
    <w:p w:rsidR="00CC552D" w:rsidRPr="00AD0ECE" w:rsidRDefault="00CC552D">
      <w:pPr>
        <w:pStyle w:val="Voetnoottekst"/>
      </w:pPr>
      <w:r w:rsidRPr="00AD0ECE">
        <w:rPr>
          <w:rStyle w:val="Voetnootmarkering"/>
        </w:rPr>
        <w:footnoteRef/>
      </w:r>
      <w:r w:rsidRPr="00AD0ECE">
        <w:t xml:space="preserve"> Conclusie A-G Groeneveld, 23 september 2002, nr. 37 525, </w:t>
      </w:r>
      <w:r w:rsidRPr="00AD0ECE">
        <w:rPr>
          <w:i/>
        </w:rPr>
        <w:t>VN 2003/2.26</w:t>
      </w:r>
      <w:r w:rsidRPr="00AD0ECE">
        <w:t>, r.o. 4.2.</w:t>
      </w:r>
    </w:p>
  </w:footnote>
  <w:footnote w:id="158">
    <w:p w:rsidR="00CC552D" w:rsidRPr="00AD0ECE" w:rsidRDefault="00CC552D">
      <w:pPr>
        <w:pStyle w:val="Voetnoottekst"/>
      </w:pPr>
      <w:r w:rsidRPr="00AD0ECE">
        <w:rPr>
          <w:rStyle w:val="Voetnootmarkering"/>
        </w:rPr>
        <w:footnoteRef/>
      </w:r>
      <w:r w:rsidRPr="00AD0ECE">
        <w:t xml:space="preserve"> Memorie van Toelichting, Levering van bouwkavels en gebouwen, Kamerstuk 1995/96, 24 703, nr. 3, blz. 5-6.</w:t>
      </w:r>
    </w:p>
  </w:footnote>
  <w:footnote w:id="159">
    <w:p w:rsidR="00CC552D" w:rsidRPr="00AD0ECE" w:rsidRDefault="00CC552D">
      <w:pPr>
        <w:pStyle w:val="Voetnoottekst"/>
      </w:pPr>
      <w:r w:rsidRPr="00AD0ECE">
        <w:rPr>
          <w:rStyle w:val="Voetnootmarkering"/>
        </w:rPr>
        <w:footnoteRef/>
      </w:r>
      <w:r w:rsidRPr="00AD0ECE">
        <w:t xml:space="preserve"> J.C. van Straaten, </w:t>
      </w:r>
      <w:r w:rsidRPr="00AD0ECE">
        <w:rPr>
          <w:i/>
        </w:rPr>
        <w:t>Bouwen en slopen: Is er iets vervaardigd en, zo ja, wat dan? (I)</w:t>
      </w:r>
      <w:r w:rsidRPr="00AD0ECE">
        <w:t>, WPNR2004/6598.</w:t>
      </w:r>
    </w:p>
  </w:footnote>
  <w:footnote w:id="160">
    <w:p w:rsidR="00CC552D" w:rsidRPr="00AD0ECE" w:rsidRDefault="00CC552D">
      <w:pPr>
        <w:pStyle w:val="Voetnoottekst"/>
      </w:pPr>
      <w:r w:rsidRPr="00AD0ECE">
        <w:rPr>
          <w:rStyle w:val="Voetnootmarkering"/>
        </w:rPr>
        <w:footnoteRef/>
      </w:r>
      <w:r w:rsidRPr="00AD0ECE">
        <w:t xml:space="preserve"> HvJ EG 8 juni 2000, nr. C-400/98 [Brigitte Breitsohl], </w:t>
      </w:r>
      <w:r w:rsidRPr="00AD0ECE">
        <w:rPr>
          <w:i/>
        </w:rPr>
        <w:t>VN 2000/43.17</w:t>
      </w:r>
      <w:r w:rsidRPr="00AD0ECE">
        <w:t>.</w:t>
      </w:r>
    </w:p>
  </w:footnote>
  <w:footnote w:id="161">
    <w:p w:rsidR="00CC552D" w:rsidRPr="00AD0ECE" w:rsidRDefault="00CC552D">
      <w:pPr>
        <w:pStyle w:val="Voetnoottekst"/>
      </w:pPr>
      <w:r w:rsidRPr="00AD0ECE">
        <w:rPr>
          <w:rStyle w:val="Voetnootmarkering"/>
        </w:rPr>
        <w:footnoteRef/>
      </w:r>
      <w:r w:rsidRPr="00AD0ECE">
        <w:t xml:space="preserve"> Bespreking van (tegen)argumenten voor de complexbenadering of compartimenteringgedachte voert te ver voor deze scriptie aangezien het voor de beantwoording van de probleemstelling weinig toevoegt. Volstaan wordt hier met de aanwijzing dat de Nederlandse rechtsprekende macht de unittheorie niet afwijst, zie voor een recente uitspraak HR 14 oktober 2005, nr. 41 015, </w:t>
      </w:r>
      <w:r w:rsidRPr="00AD0ECE">
        <w:rPr>
          <w:i/>
        </w:rPr>
        <w:t>BNB 2006/65 *</w:t>
      </w:r>
      <w:r w:rsidRPr="00AD0ECE">
        <w:t xml:space="preserve"> waarbij de overdracht van een sportcomplex als vier afzonderlijke goederen met ieder een eigen zelfstandigheid werd beschouwd. Zie voor de complexbenadering HR 24 december 2004, nr. 39 489, </w:t>
      </w:r>
      <w:r w:rsidRPr="00AD0ECE">
        <w:rPr>
          <w:i/>
        </w:rPr>
        <w:t>BNB 2005/124 c*</w:t>
      </w:r>
      <w:r w:rsidRPr="00AD0ECE">
        <w:t xml:space="preserve"> waarin een door een dijk afgescheiden perceel het regime volgde van twee percelen welke dertig jaar terug door een dijk binnen de rivierbedding zijn komen te liggen.</w:t>
      </w:r>
    </w:p>
  </w:footnote>
  <w:footnote w:id="162">
    <w:p w:rsidR="00CC552D" w:rsidRPr="00AD0ECE" w:rsidRDefault="00CC552D">
      <w:pPr>
        <w:pStyle w:val="Voetnoottekst"/>
      </w:pPr>
      <w:r w:rsidRPr="00AD0ECE">
        <w:rPr>
          <w:rStyle w:val="Voetnootmarkering"/>
        </w:rPr>
        <w:footnoteRef/>
      </w:r>
      <w:r w:rsidRPr="00AD0ECE">
        <w:t xml:space="preserve"> R.A. Wolf, </w:t>
      </w:r>
      <w:r w:rsidRPr="00AD0ECE">
        <w:rPr>
          <w:i/>
        </w:rPr>
        <w:t>Bouwterreinen en bijbehorende terreinen; the best of both worlds?</w:t>
      </w:r>
      <w:r w:rsidRPr="00AD0ECE">
        <w:t>, Vastgoed Fiscaal &amp; Civiel 2008/4.</w:t>
      </w:r>
    </w:p>
  </w:footnote>
  <w:footnote w:id="163">
    <w:p w:rsidR="00CC552D" w:rsidRPr="00AD0ECE" w:rsidRDefault="00CC552D">
      <w:pPr>
        <w:pStyle w:val="Voetnoottekst"/>
      </w:pPr>
      <w:r w:rsidRPr="00AD0ECE">
        <w:rPr>
          <w:rStyle w:val="Voetnootmarkering"/>
        </w:rPr>
        <w:footnoteRef/>
      </w:r>
      <w:r w:rsidRPr="00AD0ECE">
        <w:t xml:space="preserve"> B.G. van Zadelhoff, </w:t>
      </w:r>
      <w:r w:rsidRPr="00AD0ECE">
        <w:rPr>
          <w:i/>
        </w:rPr>
        <w:t>De bodemgesteldheid van Nederland</w:t>
      </w:r>
      <w:r w:rsidRPr="00AD0ECE">
        <w:t>, WFR 1995/451.</w:t>
      </w:r>
    </w:p>
  </w:footnote>
  <w:footnote w:id="164">
    <w:p w:rsidR="00CC552D" w:rsidRPr="00AD0ECE" w:rsidRDefault="00CC552D">
      <w:pPr>
        <w:pStyle w:val="Voetnoottekst"/>
      </w:pPr>
      <w:r w:rsidRPr="00AD0ECE">
        <w:rPr>
          <w:rStyle w:val="Voetnootmarkering"/>
        </w:rPr>
        <w:footnoteRef/>
      </w:r>
      <w:r w:rsidRPr="00AD0ECE">
        <w:t xml:space="preserve"> A.M.A. Koks, </w:t>
      </w:r>
      <w:r w:rsidRPr="00AD0ECE">
        <w:rPr>
          <w:i/>
        </w:rPr>
        <w:t>Ontstaat er door sloop een bouwterrein?</w:t>
      </w:r>
      <w:r w:rsidRPr="00AD0ECE">
        <w:t xml:space="preserve"> Vastgoed Fiscaal &amp; Civiel 2004/05.</w:t>
      </w:r>
    </w:p>
  </w:footnote>
  <w:footnote w:id="165">
    <w:p w:rsidR="00CC552D" w:rsidRPr="00AD0ECE" w:rsidRDefault="00CC552D" w:rsidP="007A3C31">
      <w:pPr>
        <w:pStyle w:val="Voetnoottekst"/>
      </w:pPr>
      <w:r w:rsidRPr="00AD0ECE">
        <w:rPr>
          <w:rStyle w:val="Voetnootmarkering"/>
        </w:rPr>
        <w:footnoteRef/>
      </w:r>
      <w:r w:rsidRPr="00AD0ECE">
        <w:t xml:space="preserve"> J. Rakhan c.s., </w:t>
      </w:r>
      <w:r w:rsidRPr="00AD0ECE">
        <w:rPr>
          <w:i/>
        </w:rPr>
        <w:t>Het begrip ‘bouwterrein’ in de steigers?</w:t>
      </w:r>
      <w:r w:rsidRPr="00AD0ECE">
        <w:t>, Vastgoed Fiscaal &amp; Civiel 2007/3.</w:t>
      </w:r>
    </w:p>
  </w:footnote>
  <w:footnote w:id="166">
    <w:p w:rsidR="00CC552D" w:rsidRPr="00AD0ECE" w:rsidRDefault="00CC552D">
      <w:pPr>
        <w:pStyle w:val="Voetnoottekst"/>
      </w:pPr>
      <w:r w:rsidRPr="00AD0ECE">
        <w:rPr>
          <w:rStyle w:val="Voetnootmarkering"/>
        </w:rPr>
        <w:footnoteRef/>
      </w:r>
      <w:r w:rsidRPr="00AD0ECE">
        <w:t xml:space="preserve"> HvJ EG 28 maart 1996, nr. C-468/93[Gemeente Emmen], </w:t>
      </w:r>
      <w:r w:rsidRPr="00AD0ECE">
        <w:rPr>
          <w:i/>
        </w:rPr>
        <w:t>VN 1996/1545</w:t>
      </w:r>
      <w:r w:rsidRPr="00AD0ECE">
        <w:t>.</w:t>
      </w:r>
    </w:p>
  </w:footnote>
  <w:footnote w:id="167">
    <w:p w:rsidR="00CC552D" w:rsidRPr="00AD0ECE" w:rsidRDefault="00CC552D" w:rsidP="009E7BD1">
      <w:pPr>
        <w:pStyle w:val="Voetnoottekst"/>
      </w:pPr>
      <w:r w:rsidRPr="00AD0ECE">
        <w:rPr>
          <w:rStyle w:val="Voetnootmarkering"/>
        </w:rPr>
        <w:footnoteRef/>
      </w:r>
      <w:r w:rsidRPr="00AD0ECE">
        <w:t xml:space="preserve"> Ter illustratie: onder andere wilde Hof Leeuwarden weten of het ontgraven van cunetten, aanleggen van een rioleringsstelsel en (bouw)straten, aanleggen van nutsvoorzieningen, aanleggen van meergenoemde nutsvoorzieningen binnen de grenzen van het terrein, aanbrengen van een standpijp en uitlegger aan het hoofdriool tot aan of zelfs in het terrein, dan wel het aansluiten van het terrein op de uitlegger, ten behoeve van het terrein aanbrengen van een boveninlaat in het hoofdriool, ophogen van het terrein door voor dat doel aangevoerde grond, aanleggen van drainageafvoerleidingen binnen het bestemmingsplan, doch buiten de grenzen van het terrein en het dempen van een binnen de grenzen van het terrein gelegen sloot met aangevoerde grond onder bedoelde werkzaamheden om terrein bouwrijp te maken vallen, aldus r.o. 13 van HvJ EG 28 maart 1996, nr. C-468/93[Gemeente Emmen], </w:t>
      </w:r>
      <w:r w:rsidRPr="00AD0ECE">
        <w:rPr>
          <w:i/>
        </w:rPr>
        <w:t>VN 1996/1545</w:t>
      </w:r>
      <w:r w:rsidRPr="00AD0ECE">
        <w:t>.</w:t>
      </w:r>
    </w:p>
  </w:footnote>
  <w:footnote w:id="168">
    <w:p w:rsidR="00CC552D" w:rsidRPr="00AD0ECE" w:rsidRDefault="00CC552D" w:rsidP="00FE4339">
      <w:pPr>
        <w:pStyle w:val="Voetnoottekst"/>
      </w:pPr>
      <w:r w:rsidRPr="00AD0ECE">
        <w:rPr>
          <w:rStyle w:val="Voetnootmarkering"/>
        </w:rPr>
        <w:footnoteRef/>
      </w:r>
      <w:r w:rsidRPr="00AD0ECE">
        <w:t xml:space="preserve"> Onder verwijzing naar het arrest Bulthuis-Griffioen, zie HvJ EG 11 augustus 1995, zaak C-453/93 [W. Bulthuis-Griffioen], Jur. 1995, I-02341.</w:t>
      </w:r>
    </w:p>
  </w:footnote>
  <w:footnote w:id="169">
    <w:p w:rsidR="00CC552D" w:rsidRPr="00AD0ECE" w:rsidRDefault="00CC552D">
      <w:pPr>
        <w:pStyle w:val="Voetnoottekst"/>
      </w:pPr>
      <w:r w:rsidRPr="00AD0ECE">
        <w:rPr>
          <w:rStyle w:val="Voetnootmarkering"/>
        </w:rPr>
        <w:footnoteRef/>
      </w:r>
      <w:r w:rsidRPr="00AD0ECE">
        <w:t xml:space="preserve"> HvJ EG 28 maart 1996, nr. C-468/93[Gemeente Emmen], </w:t>
      </w:r>
      <w:r w:rsidRPr="00AD0ECE">
        <w:rPr>
          <w:i/>
        </w:rPr>
        <w:t>VN 1996/1545</w:t>
      </w:r>
      <w:r w:rsidRPr="00AD0ECE">
        <w:t>, r.o. 25.</w:t>
      </w:r>
    </w:p>
  </w:footnote>
  <w:footnote w:id="170">
    <w:p w:rsidR="00CC552D" w:rsidRPr="00AD0ECE" w:rsidRDefault="00CC552D">
      <w:pPr>
        <w:pStyle w:val="Voetnoottekst"/>
        <w:rPr>
          <w:lang w:val="en-US"/>
        </w:rPr>
      </w:pPr>
      <w:r w:rsidRPr="00AD0ECE">
        <w:rPr>
          <w:rStyle w:val="Voetnootmarkering"/>
        </w:rPr>
        <w:footnoteRef/>
      </w:r>
      <w:r w:rsidRPr="00AD0ECE">
        <w:rPr>
          <w:lang w:val="en-US"/>
        </w:rPr>
        <w:t xml:space="preserve"> Ben Terra c.s. </w:t>
      </w:r>
      <w:r w:rsidRPr="00AD0ECE">
        <w:rPr>
          <w:i/>
          <w:lang w:val="en-US"/>
        </w:rPr>
        <w:t xml:space="preserve">A guide to the European VAT Directives – Introduction to European VAT – Volume 1, </w:t>
      </w:r>
      <w:r w:rsidRPr="00AD0ECE">
        <w:rPr>
          <w:lang w:val="en-US"/>
        </w:rPr>
        <w:t>IBFD, 2008, blz. 844.</w:t>
      </w:r>
    </w:p>
  </w:footnote>
  <w:footnote w:id="171">
    <w:p w:rsidR="00CC552D" w:rsidRPr="00AD0ECE" w:rsidRDefault="00CC552D">
      <w:pPr>
        <w:pStyle w:val="Voetnoottekst"/>
      </w:pPr>
      <w:r w:rsidRPr="00AD0ECE">
        <w:rPr>
          <w:rStyle w:val="Voetnootmarkering"/>
        </w:rPr>
        <w:footnoteRef/>
      </w:r>
      <w:r w:rsidRPr="00AD0ECE">
        <w:t xml:space="preserve"> J.C. van Straaten, Bouwen en slopen: </w:t>
      </w:r>
      <w:r w:rsidRPr="00AD0ECE">
        <w:rPr>
          <w:i/>
        </w:rPr>
        <w:t>Is er iets vervaardigd en, zo ja, wat dan? (IV, slot)</w:t>
      </w:r>
      <w:r w:rsidRPr="00AD0ECE">
        <w:t>, WPNR2004/6601.</w:t>
      </w:r>
    </w:p>
  </w:footnote>
  <w:footnote w:id="172">
    <w:p w:rsidR="00CC552D" w:rsidRPr="00AD0ECE" w:rsidRDefault="00CC552D">
      <w:pPr>
        <w:pStyle w:val="Voetnoottekst"/>
      </w:pPr>
      <w:r w:rsidRPr="00AD0ECE">
        <w:rPr>
          <w:rStyle w:val="Voetnootmarkering"/>
        </w:rPr>
        <w:footnoteRef/>
      </w:r>
      <w:r w:rsidRPr="00AD0ECE">
        <w:t xml:space="preserve"> De vraag of deze fase aanvangt met (algehele) sloop en de mening van </w:t>
      </w:r>
      <w:r w:rsidRPr="00AD0ECE">
        <w:rPr>
          <w:i/>
        </w:rPr>
        <w:t xml:space="preserve">Rakhan en Van Doorn </w:t>
      </w:r>
      <w:r w:rsidRPr="00AD0ECE">
        <w:t>daaromtrent worden in hoofdstuk 5 erbij gehaald.</w:t>
      </w:r>
    </w:p>
  </w:footnote>
  <w:footnote w:id="173">
    <w:p w:rsidR="00CC552D" w:rsidRPr="00AD0ECE" w:rsidRDefault="00CC552D" w:rsidP="00144E96">
      <w:pPr>
        <w:pStyle w:val="Voetnoottekst"/>
      </w:pPr>
      <w:r w:rsidRPr="00AD0ECE">
        <w:rPr>
          <w:rStyle w:val="Voetnootmarkering"/>
        </w:rPr>
        <w:footnoteRef/>
      </w:r>
      <w:r w:rsidRPr="00AD0ECE">
        <w:t xml:space="preserve"> Wetswijziging van 11 juli 1997 (Wet van 19 juni 1997, houdende wijziging van de wet van 19 juni 1997, Stb. 276, tot wijziging van de Wet op de omzetbelasting [levering van bouwkavels en gebouwen], Stb.1997/277).</w:t>
      </w:r>
    </w:p>
  </w:footnote>
  <w:footnote w:id="174">
    <w:p w:rsidR="00CC552D" w:rsidRPr="00AD0ECE" w:rsidRDefault="00CC552D">
      <w:pPr>
        <w:pStyle w:val="Voetnoottekst"/>
      </w:pPr>
      <w:r w:rsidRPr="00AD0ECE">
        <w:rPr>
          <w:rStyle w:val="Voetnootmarkering"/>
        </w:rPr>
        <w:footnoteRef/>
      </w:r>
      <w:r w:rsidRPr="00AD0ECE">
        <w:t xml:space="preserve"> G.H. Rademaker, </w:t>
      </w:r>
      <w:r w:rsidRPr="00AD0ECE">
        <w:rPr>
          <w:i/>
        </w:rPr>
        <w:t>Fiscaal (on)vriendelijk slopen (het begrip ‘bouwterrein’ in de BTW)</w:t>
      </w:r>
      <w:r w:rsidRPr="00AD0ECE">
        <w:t xml:space="preserve">, MBB 2003/54. Van belang was enkel of een perceel was vervaardigd. In deze scriptie wordt enkel aandacht besteedt aan de invulling van het begrip bouwterrein sinds de wetswijziging. Derhalve wordt jurisprudentie onder het oude regime niet behandeld, tenzij daarmee een waardevolle toevoeging wordt geleverd. </w:t>
      </w:r>
    </w:p>
  </w:footnote>
  <w:footnote w:id="175">
    <w:p w:rsidR="00CC552D" w:rsidRPr="00AD0ECE" w:rsidRDefault="00CC552D" w:rsidP="00F92769">
      <w:pPr>
        <w:pStyle w:val="Voetnoottekst"/>
      </w:pPr>
      <w:r w:rsidRPr="00AD0ECE">
        <w:rPr>
          <w:rStyle w:val="Voetnootmarkering"/>
        </w:rPr>
        <w:footnoteRef/>
      </w:r>
      <w:r w:rsidRPr="00AD0ECE">
        <w:t xml:space="preserve"> Met betrekking tot sloop spelen in combinatie met sfeerovergangen van bebouwde grond naar onbebouwde grond interessante kwesties, welke in hoofdstuk 5 zullen worden behandeld.</w:t>
      </w:r>
    </w:p>
  </w:footnote>
  <w:footnote w:id="176">
    <w:p w:rsidR="00CC552D" w:rsidRPr="00AD0ECE" w:rsidRDefault="00CC552D">
      <w:pPr>
        <w:pStyle w:val="Voetnoottekst"/>
      </w:pPr>
      <w:r w:rsidRPr="00AD0ECE">
        <w:rPr>
          <w:rStyle w:val="Voetnootmarkering"/>
        </w:rPr>
        <w:footnoteRef/>
      </w:r>
      <w:r w:rsidRPr="00AD0ECE">
        <w:t xml:space="preserve"> P.H.J. Geurten, </w:t>
      </w:r>
      <w:r w:rsidRPr="00AD0ECE">
        <w:rPr>
          <w:i/>
        </w:rPr>
        <w:t>Heffing van BTW en overdrachtsbelasting ten aanzien van bouwterreinen</w:t>
      </w:r>
      <w:r w:rsidRPr="00AD0ECE">
        <w:t>, BtwBrief 1998/5.</w:t>
      </w:r>
    </w:p>
  </w:footnote>
  <w:footnote w:id="177">
    <w:p w:rsidR="00CC552D" w:rsidRPr="00AD0ECE" w:rsidRDefault="00CC552D">
      <w:pPr>
        <w:pStyle w:val="Voetnoottekst"/>
      </w:pPr>
      <w:r w:rsidRPr="00AD0ECE">
        <w:rPr>
          <w:rStyle w:val="Voetnootmarkering"/>
        </w:rPr>
        <w:footnoteRef/>
      </w:r>
      <w:r w:rsidRPr="00AD0ECE">
        <w:t xml:space="preserve"> J.L.M.J. Vervloed, </w:t>
      </w:r>
      <w:r w:rsidRPr="00AD0ECE">
        <w:rPr>
          <w:i/>
        </w:rPr>
        <w:t>Bouwterrein</w:t>
      </w:r>
      <w:r w:rsidRPr="00AD0ECE">
        <w:t>, BtwBrief 1996/6-7.</w:t>
      </w:r>
    </w:p>
  </w:footnote>
  <w:footnote w:id="178">
    <w:p w:rsidR="00CC552D" w:rsidRPr="00AD0ECE" w:rsidRDefault="00CC552D">
      <w:pPr>
        <w:pStyle w:val="Voetnoottekst"/>
      </w:pPr>
      <w:r w:rsidRPr="00AD0ECE">
        <w:rPr>
          <w:rStyle w:val="Voetnootmarkering"/>
        </w:rPr>
        <w:footnoteRef/>
      </w:r>
      <w:r w:rsidRPr="00AD0ECE">
        <w:t xml:space="preserve"> HR 7 december 1994, Nr. 29 153, </w:t>
      </w:r>
      <w:r w:rsidRPr="00AD0ECE">
        <w:rPr>
          <w:i/>
        </w:rPr>
        <w:t>BNB 1995/87 c*</w:t>
      </w:r>
      <w:r w:rsidRPr="00AD0ECE">
        <w:t>.</w:t>
      </w:r>
    </w:p>
  </w:footnote>
  <w:footnote w:id="179">
    <w:p w:rsidR="00CC552D" w:rsidRPr="00AD0ECE" w:rsidRDefault="00CC552D">
      <w:pPr>
        <w:pStyle w:val="Voetnoottekst"/>
      </w:pPr>
      <w:r w:rsidRPr="00AD0ECE">
        <w:rPr>
          <w:rStyle w:val="Voetnootmarkering"/>
        </w:rPr>
        <w:footnoteRef/>
      </w:r>
      <w:r w:rsidRPr="00AD0ECE">
        <w:t xml:space="preserve"> HR 24 december 2004, nr. 39 489, </w:t>
      </w:r>
      <w:r w:rsidRPr="00AD0ECE">
        <w:rPr>
          <w:i/>
        </w:rPr>
        <w:t>BNB 2005/124 c*</w:t>
      </w:r>
      <w:r w:rsidRPr="00AD0ECE">
        <w:t>.</w:t>
      </w:r>
    </w:p>
  </w:footnote>
  <w:footnote w:id="180">
    <w:p w:rsidR="00CC552D" w:rsidRPr="00AD0ECE" w:rsidRDefault="00CC552D">
      <w:pPr>
        <w:pStyle w:val="Voetnoottekst"/>
      </w:pPr>
      <w:r w:rsidRPr="00AD0ECE">
        <w:rPr>
          <w:rStyle w:val="Voetnootmarkering"/>
        </w:rPr>
        <w:footnoteRef/>
      </w:r>
      <w:r w:rsidRPr="00AD0ECE">
        <w:t xml:space="preserve"> Met betrekking tot de vraag of een dijk(verzwaring) een gebouw vond, heb ik in hoofdstuk 3 reeds mijn mening gegeven.</w:t>
      </w:r>
    </w:p>
  </w:footnote>
  <w:footnote w:id="181">
    <w:p w:rsidR="00CC552D" w:rsidRPr="00AD0ECE" w:rsidRDefault="00CC552D" w:rsidP="00144E96">
      <w:pPr>
        <w:pStyle w:val="Voetnoottekst"/>
      </w:pPr>
      <w:r w:rsidRPr="00AD0ECE">
        <w:rPr>
          <w:rStyle w:val="Voetnootmarkering"/>
        </w:rPr>
        <w:footnoteRef/>
      </w:r>
      <w:r w:rsidRPr="00AD0ECE">
        <w:t xml:space="preserve"> Hof Arnhem, 5 december 2002, nr. 00/1748, </w:t>
      </w:r>
      <w:r w:rsidRPr="00AD0ECE">
        <w:rPr>
          <w:i/>
        </w:rPr>
        <w:t>VN 2003/17.3.8</w:t>
      </w:r>
      <w:r w:rsidRPr="00AD0ECE">
        <w:t>, r.o. 4.2.</w:t>
      </w:r>
    </w:p>
  </w:footnote>
  <w:footnote w:id="182">
    <w:p w:rsidR="00CC552D" w:rsidRPr="00AD0ECE" w:rsidRDefault="00CC552D">
      <w:pPr>
        <w:pStyle w:val="Voetnoottekst"/>
      </w:pPr>
      <w:r w:rsidRPr="00AD0ECE">
        <w:rPr>
          <w:rStyle w:val="Voetnootmarkering"/>
        </w:rPr>
        <w:footnoteRef/>
      </w:r>
      <w:r w:rsidRPr="00AD0ECE">
        <w:t xml:space="preserve"> HR 24 december 2004, nr. 39 489, </w:t>
      </w:r>
      <w:r w:rsidRPr="00AD0ECE">
        <w:rPr>
          <w:i/>
        </w:rPr>
        <w:t>BNB 2005/124 c*</w:t>
      </w:r>
      <w:r w:rsidRPr="00AD0ECE">
        <w:t>, r.o. 3.3.3.</w:t>
      </w:r>
    </w:p>
  </w:footnote>
  <w:footnote w:id="183">
    <w:p w:rsidR="00CC552D" w:rsidRPr="00AD0ECE" w:rsidRDefault="00CC552D">
      <w:pPr>
        <w:pStyle w:val="Voetnoottekst"/>
      </w:pPr>
      <w:r w:rsidRPr="00AD0ECE">
        <w:rPr>
          <w:rStyle w:val="Voetnootmarkering"/>
        </w:rPr>
        <w:footnoteRef/>
      </w:r>
      <w:r w:rsidRPr="00AD0ECE">
        <w:t xml:space="preserve"> Enigszins gechargeerd uitgedrukt.</w:t>
      </w:r>
    </w:p>
  </w:footnote>
  <w:footnote w:id="184">
    <w:p w:rsidR="00CC552D" w:rsidRPr="00AD0ECE" w:rsidRDefault="00CC552D">
      <w:pPr>
        <w:pStyle w:val="Voetnoottekst"/>
      </w:pPr>
      <w:r w:rsidRPr="00AD0ECE">
        <w:rPr>
          <w:rStyle w:val="Voetnootmarkering"/>
        </w:rPr>
        <w:footnoteRef/>
      </w:r>
      <w:r w:rsidRPr="00AD0ECE">
        <w:t xml:space="preserve"> R.R.J.M. Keijsers c.s., </w:t>
      </w:r>
      <w:r w:rsidRPr="00AD0ECE">
        <w:rPr>
          <w:i/>
        </w:rPr>
        <w:t>Op een BTW-bouwterrein moet je kunnen bouwen</w:t>
      </w:r>
      <w:r w:rsidRPr="00AD0ECE">
        <w:t>, BtwBrief, 2005/2.</w:t>
      </w:r>
    </w:p>
  </w:footnote>
  <w:footnote w:id="185">
    <w:p w:rsidR="00CC552D" w:rsidRPr="00AD0ECE" w:rsidRDefault="00CC552D">
      <w:pPr>
        <w:pStyle w:val="Voetnoottekst"/>
      </w:pPr>
      <w:r w:rsidRPr="00AD0ECE">
        <w:rPr>
          <w:rStyle w:val="Voetnootmarkering"/>
        </w:rPr>
        <w:footnoteRef/>
      </w:r>
      <w:r w:rsidRPr="00AD0ECE">
        <w:t xml:space="preserve"> J.J.I. van Driel, </w:t>
      </w:r>
      <w:r w:rsidRPr="00AD0ECE">
        <w:rPr>
          <w:i/>
        </w:rPr>
        <w:t xml:space="preserve">Bouwterreinen, </w:t>
      </w:r>
      <w:r w:rsidRPr="00AD0ECE">
        <w:t>BTW-bulletin 1998/10.</w:t>
      </w:r>
    </w:p>
  </w:footnote>
  <w:footnote w:id="186">
    <w:p w:rsidR="00CC552D" w:rsidRPr="00AD0ECE" w:rsidRDefault="00CC552D">
      <w:pPr>
        <w:pStyle w:val="Voetnoottekst"/>
      </w:pPr>
      <w:r w:rsidRPr="00AD0ECE">
        <w:rPr>
          <w:rStyle w:val="Voetnootmarkering"/>
        </w:rPr>
        <w:footnoteRef/>
      </w:r>
      <w:r w:rsidRPr="00AD0ECE">
        <w:t xml:space="preserve"> W.A.P. Nieuwenhuizen, </w:t>
      </w:r>
      <w:r w:rsidRPr="00AD0ECE">
        <w:rPr>
          <w:i/>
        </w:rPr>
        <w:t>Bouwterrein in beweging</w:t>
      </w:r>
      <w:r w:rsidRPr="00AD0ECE">
        <w:t>, BTW-bulletin 2004/6.</w:t>
      </w:r>
    </w:p>
  </w:footnote>
  <w:footnote w:id="187">
    <w:p w:rsidR="00CC552D" w:rsidRPr="00AD0ECE" w:rsidRDefault="00CC552D">
      <w:pPr>
        <w:pStyle w:val="Voetnoottekst"/>
      </w:pPr>
      <w:r w:rsidRPr="00AD0ECE">
        <w:rPr>
          <w:rStyle w:val="Voetnootmarkering"/>
        </w:rPr>
        <w:footnoteRef/>
      </w:r>
      <w:r w:rsidRPr="00AD0ECE">
        <w:t xml:space="preserve"> M.M.W.D. Merkx, </w:t>
      </w:r>
      <w:r w:rsidRPr="00AD0ECE">
        <w:rPr>
          <w:i/>
        </w:rPr>
        <w:t>Bouwterreinen; ruim blikveld voor de Hoge Raad</w:t>
      </w:r>
      <w:r w:rsidRPr="00AD0ECE">
        <w:t>, BTW-bulletin 2005/2.</w:t>
      </w:r>
    </w:p>
  </w:footnote>
  <w:footnote w:id="188">
    <w:p w:rsidR="00CC552D" w:rsidRPr="00AD0ECE" w:rsidRDefault="00CC552D">
      <w:pPr>
        <w:pStyle w:val="Voetnoottekst"/>
        <w:rPr>
          <w:u w:val="single"/>
        </w:rPr>
      </w:pPr>
      <w:r w:rsidRPr="00AD0ECE">
        <w:rPr>
          <w:rStyle w:val="Voetnootmarkering"/>
        </w:rPr>
        <w:footnoteRef/>
      </w:r>
      <w:r w:rsidRPr="00AD0ECE">
        <w:t xml:space="preserve"> Zie in deze zin de noot van </w:t>
      </w:r>
      <w:r w:rsidRPr="00AD0ECE">
        <w:rPr>
          <w:i/>
        </w:rPr>
        <w:t xml:space="preserve">D.B. Bijl </w:t>
      </w:r>
      <w:r w:rsidRPr="00AD0ECE">
        <w:t xml:space="preserve">bij </w:t>
      </w:r>
      <w:r w:rsidRPr="00AD0ECE">
        <w:rPr>
          <w:i/>
        </w:rPr>
        <w:t>BNB 2005/124 c*</w:t>
      </w:r>
      <w:r w:rsidRPr="00AD0ECE">
        <w:t xml:space="preserve"> onder 5 waarin hij aangeeft kritisch te zijn over het aanleggen van een formeel criterium als dat van de bouwvergunning.</w:t>
      </w:r>
      <w:r w:rsidRPr="00AD0ECE">
        <w:tab/>
      </w:r>
    </w:p>
  </w:footnote>
  <w:footnote w:id="189">
    <w:p w:rsidR="00CC552D" w:rsidRPr="00AD0ECE" w:rsidRDefault="00CC552D">
      <w:pPr>
        <w:pStyle w:val="Voetnoottekst"/>
      </w:pPr>
      <w:r w:rsidRPr="00AD0ECE">
        <w:rPr>
          <w:rStyle w:val="Voetnootmarkering"/>
        </w:rPr>
        <w:footnoteRef/>
      </w:r>
      <w:r w:rsidRPr="00AD0ECE">
        <w:t xml:space="preserve"> Mijns inziens komen namelijk objectieve maatstaven (waar mogelijk) de rechtszekerheid meer ten goede dan subjectieve maatstaven.</w:t>
      </w:r>
    </w:p>
  </w:footnote>
  <w:footnote w:id="190">
    <w:p w:rsidR="00CC552D" w:rsidRPr="00AD0ECE" w:rsidRDefault="00CC552D">
      <w:pPr>
        <w:pStyle w:val="Voetnoottekst"/>
      </w:pPr>
      <w:r w:rsidRPr="00AD0ECE">
        <w:rPr>
          <w:rStyle w:val="Voetnootmarkering"/>
        </w:rPr>
        <w:footnoteRef/>
      </w:r>
      <w:r w:rsidRPr="00AD0ECE">
        <w:t xml:space="preserve"> De reden dat de Nederlandse wetgever niet laatstgenoemde terminologie gebruikt, voert terug naar </w:t>
      </w:r>
      <w:r w:rsidR="00D12918" w:rsidRPr="00AD0ECE">
        <w:t>vroegere</w:t>
      </w:r>
      <w:r w:rsidRPr="00AD0ECE">
        <w:t xml:space="preserve"> arresten waaronder het arrest van 21 november 1990, waarin de Hoge Raad oordeelt dat </w:t>
      </w:r>
      <w:r w:rsidRPr="00AD0ECE">
        <w:rPr>
          <w:i/>
        </w:rPr>
        <w:t>‘onder het bouwrijp maken van grond in de hierbedoelde zin worden verstaan het bewerken van de grond zelf en het treffen van voorzieningen die uitsluitend dienstbaar zijn aan deze grond,’</w:t>
      </w:r>
      <w:r w:rsidRPr="00AD0ECE">
        <w:t xml:space="preserve"> zie HR 21 november 1990, nr. 26 362, </w:t>
      </w:r>
      <w:r w:rsidRPr="00AD0ECE">
        <w:rPr>
          <w:i/>
        </w:rPr>
        <w:t>BNB 1991/19</w:t>
      </w:r>
      <w:r w:rsidRPr="00AD0ECE">
        <w:t>.</w:t>
      </w:r>
    </w:p>
  </w:footnote>
  <w:footnote w:id="191">
    <w:p w:rsidR="00CC552D" w:rsidRPr="00AD0ECE" w:rsidRDefault="00CC552D">
      <w:pPr>
        <w:pStyle w:val="Voetnoottekst"/>
      </w:pPr>
      <w:r w:rsidRPr="00AD0ECE">
        <w:rPr>
          <w:rStyle w:val="Voetnootmarkering"/>
        </w:rPr>
        <w:footnoteRef/>
      </w:r>
      <w:r w:rsidRPr="00AD0ECE">
        <w:t xml:space="preserve"> Dit ingevolge HR 23 april 1997, nr. 32 095, </w:t>
      </w:r>
      <w:r w:rsidRPr="00AD0ECE">
        <w:rPr>
          <w:i/>
        </w:rPr>
        <w:t>BNB 1997/262</w:t>
      </w:r>
      <w:r w:rsidRPr="00AD0ECE">
        <w:t xml:space="preserve">. </w:t>
      </w:r>
    </w:p>
  </w:footnote>
  <w:footnote w:id="192">
    <w:p w:rsidR="00CC552D" w:rsidRPr="00AD0ECE" w:rsidRDefault="00CC552D">
      <w:pPr>
        <w:pStyle w:val="Voetnoottekst"/>
      </w:pPr>
      <w:r w:rsidRPr="00AD0ECE">
        <w:rPr>
          <w:rStyle w:val="Voetnootmarkering"/>
        </w:rPr>
        <w:footnoteRef/>
      </w:r>
      <w:r w:rsidRPr="00AD0ECE">
        <w:t xml:space="preserve"> Noot bij </w:t>
      </w:r>
      <w:r w:rsidRPr="00AD0ECE">
        <w:rPr>
          <w:i/>
        </w:rPr>
        <w:t>BNB 1997/262</w:t>
      </w:r>
      <w:r w:rsidRPr="00AD0ECE">
        <w:t>.</w:t>
      </w:r>
    </w:p>
  </w:footnote>
  <w:footnote w:id="193">
    <w:p w:rsidR="00CC552D" w:rsidRPr="00AD0ECE" w:rsidRDefault="00CC552D">
      <w:pPr>
        <w:pStyle w:val="Voetnoottekst"/>
      </w:pPr>
      <w:r w:rsidRPr="00AD0ECE">
        <w:rPr>
          <w:rStyle w:val="Voetnootmarkering"/>
        </w:rPr>
        <w:footnoteRef/>
      </w:r>
      <w:r w:rsidRPr="00AD0ECE">
        <w:t xml:space="preserve"> HR 22 april 1998, nr. 33 328, </w:t>
      </w:r>
      <w:r w:rsidRPr="00AD0ECE">
        <w:rPr>
          <w:i/>
        </w:rPr>
        <w:t>BNB 1998/273</w:t>
      </w:r>
      <w:r w:rsidRPr="00AD0ECE">
        <w:t xml:space="preserve">. </w:t>
      </w:r>
    </w:p>
  </w:footnote>
  <w:footnote w:id="194">
    <w:p w:rsidR="00CC552D" w:rsidRPr="00AD0ECE" w:rsidRDefault="00CC552D">
      <w:pPr>
        <w:pStyle w:val="Voetnoottekst"/>
      </w:pPr>
      <w:r w:rsidRPr="00AD0ECE">
        <w:rPr>
          <w:rStyle w:val="Voetnootmarkering"/>
        </w:rPr>
        <w:footnoteRef/>
      </w:r>
      <w:r w:rsidRPr="00AD0ECE">
        <w:t xml:space="preserve"> P. Tielemans c.s., </w:t>
      </w:r>
      <w:r w:rsidRPr="00AD0ECE">
        <w:rPr>
          <w:i/>
        </w:rPr>
        <w:t>Bouwterrein; de kwestie van slopen</w:t>
      </w:r>
      <w:r w:rsidRPr="00AD0ECE">
        <w:t>, BtwBrief 2003/2.</w:t>
      </w:r>
    </w:p>
  </w:footnote>
  <w:footnote w:id="195">
    <w:p w:rsidR="00CC552D" w:rsidRPr="00AD0ECE" w:rsidRDefault="00CC552D">
      <w:pPr>
        <w:pStyle w:val="Voetnoottekst"/>
      </w:pPr>
      <w:r w:rsidRPr="00AD0ECE">
        <w:rPr>
          <w:rStyle w:val="Voetnootmarkering"/>
        </w:rPr>
        <w:footnoteRef/>
      </w:r>
      <w:r w:rsidRPr="00AD0ECE">
        <w:t xml:space="preserve"> Hof Den Haag, 15 november 2002, nr. 01/2211, </w:t>
      </w:r>
      <w:r w:rsidRPr="00AD0ECE">
        <w:rPr>
          <w:i/>
        </w:rPr>
        <w:t>VN 2003/29.23</w:t>
      </w:r>
      <w:r w:rsidRPr="00AD0ECE">
        <w:t>.</w:t>
      </w:r>
    </w:p>
  </w:footnote>
  <w:footnote w:id="196">
    <w:p w:rsidR="00CC552D" w:rsidRPr="00AD0ECE" w:rsidRDefault="00CC552D" w:rsidP="001A5D52">
      <w:pPr>
        <w:pStyle w:val="Voetnoottekst"/>
      </w:pPr>
      <w:r w:rsidRPr="00AD0ECE">
        <w:rPr>
          <w:rStyle w:val="Voetnootmarkering"/>
        </w:rPr>
        <w:footnoteRef/>
      </w:r>
      <w:r w:rsidRPr="00AD0ECE">
        <w:t xml:space="preserve"> J.C. van Straaten, </w:t>
      </w:r>
      <w:r w:rsidRPr="00AD0ECE">
        <w:rPr>
          <w:i/>
        </w:rPr>
        <w:t xml:space="preserve">Bouwen en slopen: Is er iets vervaardigd en, zo ja, wat dan? (IV, slot), </w:t>
      </w:r>
      <w:r w:rsidRPr="00AD0ECE">
        <w:t>WPNR2004/6601.</w:t>
      </w:r>
    </w:p>
  </w:footnote>
  <w:footnote w:id="197">
    <w:p w:rsidR="00CC552D" w:rsidRPr="00AD0ECE" w:rsidRDefault="00CC552D">
      <w:pPr>
        <w:pStyle w:val="Voetnoottekst"/>
      </w:pPr>
      <w:r w:rsidRPr="00AD0ECE">
        <w:rPr>
          <w:rStyle w:val="Voetnootmarkering"/>
        </w:rPr>
        <w:footnoteRef/>
      </w:r>
      <w:r w:rsidRPr="00AD0ECE">
        <w:t xml:space="preserve"> Hof Arnhem, 14 juli 2006, nr. 04/00417, </w:t>
      </w:r>
      <w:r w:rsidRPr="00AD0ECE">
        <w:rPr>
          <w:i/>
        </w:rPr>
        <w:t>VN 2006/60.12</w:t>
      </w:r>
      <w:r w:rsidRPr="00AD0ECE">
        <w:t>.</w:t>
      </w:r>
    </w:p>
  </w:footnote>
  <w:footnote w:id="198">
    <w:p w:rsidR="00CC552D" w:rsidRPr="00AD0ECE" w:rsidRDefault="00CC552D">
      <w:pPr>
        <w:pStyle w:val="Voetnoottekst"/>
      </w:pPr>
      <w:r w:rsidRPr="00AD0ECE">
        <w:rPr>
          <w:rStyle w:val="Voetnootmarkering"/>
        </w:rPr>
        <w:footnoteRef/>
      </w:r>
      <w:r w:rsidRPr="00AD0ECE">
        <w:t xml:space="preserve"> Zie HR 3 april 2009, nr. 07/10582, </w:t>
      </w:r>
      <w:r w:rsidRPr="00AD0ECE">
        <w:rPr>
          <w:i/>
        </w:rPr>
        <w:t>BNB 2009/137</w:t>
      </w:r>
      <w:r w:rsidRPr="00AD0ECE">
        <w:t xml:space="preserve">, waarin de Hoge Raad aangehaalde aan de hofuitspraak ontleende r.o. 5.5 niet casseert waarin wordt gesteld: </w:t>
      </w:r>
      <w:r w:rsidRPr="00AD0ECE">
        <w:rPr>
          <w:i/>
        </w:rPr>
        <w:t>‘Ten overvloede merkt het Hof nog op dat de levering van de grond (…) een belaste handeling zou zijn geweest, indien belanghebbende niet zou hebben bewerkstelligd dat de verleende bouwvergunning werd ingetrokken. Daaruit volgt namelijk dat de levering van onbebouwde grond belast is met omzetbelasting als op het tijdstip van de levering (nog) een bouwvergunning aanwezig is.’</w:t>
      </w:r>
    </w:p>
  </w:footnote>
  <w:footnote w:id="199">
    <w:p w:rsidR="00CC552D" w:rsidRPr="00AD0ECE" w:rsidRDefault="00CC552D">
      <w:pPr>
        <w:pStyle w:val="Voetnoottekst"/>
      </w:pPr>
      <w:r w:rsidRPr="00AD0ECE">
        <w:rPr>
          <w:rStyle w:val="Voetnootmarkering"/>
        </w:rPr>
        <w:footnoteRef/>
      </w:r>
      <w:r w:rsidRPr="00AD0ECE">
        <w:t xml:space="preserve"> Voor minder ingrijpende verbouwing als de bouw van een schuur.</w:t>
      </w:r>
    </w:p>
  </w:footnote>
  <w:footnote w:id="200">
    <w:p w:rsidR="00CC552D" w:rsidRPr="00AD0ECE" w:rsidRDefault="00CC552D">
      <w:pPr>
        <w:pStyle w:val="Voetnoottekst"/>
      </w:pPr>
      <w:r w:rsidRPr="00AD0ECE">
        <w:rPr>
          <w:rStyle w:val="Voetnootmarkering"/>
        </w:rPr>
        <w:footnoteRef/>
      </w:r>
      <w:r w:rsidRPr="00AD0ECE">
        <w:t xml:space="preserve"> M.H.J. van Driel, </w:t>
      </w:r>
      <w:r w:rsidRPr="00AD0ECE">
        <w:rPr>
          <w:i/>
        </w:rPr>
        <w:t>De gefaseerde bouwvergunning</w:t>
      </w:r>
      <w:r w:rsidRPr="00AD0ECE">
        <w:t>, Vastgoed Fiscaal &amp; Civiel 2005/04.</w:t>
      </w:r>
    </w:p>
  </w:footnote>
  <w:footnote w:id="201">
    <w:p w:rsidR="00CC552D" w:rsidRPr="00AD0ECE" w:rsidRDefault="00CC552D">
      <w:pPr>
        <w:pStyle w:val="Voetnoottekst"/>
      </w:pPr>
      <w:r w:rsidRPr="00AD0ECE">
        <w:rPr>
          <w:rStyle w:val="Voetnootmarkering"/>
        </w:rPr>
        <w:footnoteRef/>
      </w:r>
      <w:r w:rsidRPr="00AD0ECE">
        <w:t xml:space="preserve"> Besluit van 14 juli 2009, nr. CPP2008/137M, </w:t>
      </w:r>
      <w:r w:rsidRPr="00AD0ECE">
        <w:rPr>
          <w:i/>
        </w:rPr>
        <w:t>VN 2009/39.23</w:t>
      </w:r>
      <w:r w:rsidRPr="00AD0ECE">
        <w:t>, paragraaf 4.2.3.</w:t>
      </w:r>
    </w:p>
  </w:footnote>
  <w:footnote w:id="202">
    <w:p w:rsidR="00CC552D" w:rsidRPr="00AD0ECE" w:rsidRDefault="00CC552D">
      <w:pPr>
        <w:pStyle w:val="Voetnoottekst"/>
      </w:pPr>
      <w:r w:rsidRPr="00AD0ECE">
        <w:rPr>
          <w:rStyle w:val="Voetnootmarkering"/>
        </w:rPr>
        <w:footnoteRef/>
      </w:r>
      <w:r w:rsidRPr="00AD0ECE">
        <w:t xml:space="preserve"> Besluit van 14 juli 2009, nr. CPP2008/137M, </w:t>
      </w:r>
      <w:r w:rsidRPr="00AD0ECE">
        <w:rPr>
          <w:i/>
        </w:rPr>
        <w:t>VN 2009/39.23</w:t>
      </w:r>
      <w:r w:rsidRPr="00AD0ECE">
        <w:t>, paragraaf 4.2.1.</w:t>
      </w:r>
    </w:p>
  </w:footnote>
  <w:footnote w:id="203">
    <w:p w:rsidR="00CC552D" w:rsidRPr="00AD0ECE" w:rsidRDefault="00CC552D">
      <w:pPr>
        <w:pStyle w:val="Voetnoottekst"/>
      </w:pPr>
      <w:r w:rsidRPr="00AD0ECE">
        <w:rPr>
          <w:rStyle w:val="Voetnootmarkering"/>
        </w:rPr>
        <w:footnoteRef/>
      </w:r>
      <w:r w:rsidRPr="00AD0ECE">
        <w:t xml:space="preserve"> R.R.J.M. Keijsers c.s., </w:t>
      </w:r>
      <w:r w:rsidRPr="00AD0ECE">
        <w:rPr>
          <w:i/>
        </w:rPr>
        <w:t>Zand erover met het oog op bebouwing: oogmerk tot bebouwing van grond kan niet ongedaan worden gemaakt</w:t>
      </w:r>
      <w:r w:rsidRPr="00AD0ECE">
        <w:t>, BtwBrief, 2003/4.</w:t>
      </w:r>
    </w:p>
  </w:footnote>
  <w:footnote w:id="204">
    <w:p w:rsidR="00CC552D" w:rsidRPr="00AD0ECE" w:rsidRDefault="00CC552D">
      <w:pPr>
        <w:pStyle w:val="Voetnoottekst"/>
      </w:pPr>
      <w:r w:rsidRPr="00AD0ECE">
        <w:rPr>
          <w:rStyle w:val="Voetnootmarkering"/>
        </w:rPr>
        <w:footnoteRef/>
      </w:r>
      <w:r w:rsidRPr="00AD0ECE">
        <w:t xml:space="preserve"> H.M.I.Th. Breedveld c.s., </w:t>
      </w:r>
      <w:r w:rsidRPr="00AD0ECE">
        <w:rPr>
          <w:i/>
        </w:rPr>
        <w:t>Een omzet- en overdrachtsbelastingvraagstuk bij meervoudig grondgebruik</w:t>
      </w:r>
      <w:r w:rsidRPr="00AD0ECE">
        <w:t>, WPNR 2002/6496.</w:t>
      </w:r>
    </w:p>
  </w:footnote>
  <w:footnote w:id="205">
    <w:p w:rsidR="00CC552D" w:rsidRPr="00AD0ECE" w:rsidRDefault="00CC552D">
      <w:pPr>
        <w:pStyle w:val="Voetnoottekst"/>
      </w:pPr>
      <w:r w:rsidRPr="00AD0ECE">
        <w:rPr>
          <w:rStyle w:val="Voetnootmarkering"/>
        </w:rPr>
        <w:footnoteRef/>
      </w:r>
      <w:r w:rsidRPr="00AD0ECE">
        <w:t xml:space="preserve"> Anders speelt enige irritatie bij het HvJ EG, getuige het arrest </w:t>
      </w:r>
      <w:r w:rsidRPr="00AD0ECE">
        <w:rPr>
          <w:i/>
        </w:rPr>
        <w:t xml:space="preserve">Rudolf Maierhofer </w:t>
      </w:r>
      <w:r w:rsidRPr="00AD0ECE">
        <w:t xml:space="preserve">(HvJ EG 16 januari 2003, nr. C-315/00 [Rudolf Maierhofer], BNB 2003/123 c*) waarin de Duitse wetgever afwijking van de toenmalige Zesde Richtlijn opnam in een administratieve instructie waarop het HvJ EG ten overvloede (en niets toevoegend aan de voorliggende casus) opmerkte: </w:t>
      </w:r>
      <w:r w:rsidRPr="00AD0ECE">
        <w:rPr>
          <w:i/>
        </w:rPr>
        <w:t>‘Anderzijds moet met betrekking tot de door de Duitse regering ter sprake gebrachte administratieve instructies worden opgemerkt, dat het Bundesfinanzhof deze nergens in zijn verwijzingsbeschikking vermeldt.’</w:t>
      </w:r>
    </w:p>
  </w:footnote>
  <w:footnote w:id="206">
    <w:p w:rsidR="00CC552D" w:rsidRPr="00AD0ECE" w:rsidRDefault="00CC552D">
      <w:pPr>
        <w:pStyle w:val="Voetnoottekst"/>
      </w:pPr>
      <w:r w:rsidRPr="00AD0ECE">
        <w:rPr>
          <w:rStyle w:val="Voetnootmarkering"/>
        </w:rPr>
        <w:footnoteRef/>
      </w:r>
      <w:r w:rsidRPr="00AD0ECE">
        <w:t xml:space="preserve">J. Rakhan c.s., </w:t>
      </w:r>
      <w:r w:rsidRPr="00AD0ECE">
        <w:rPr>
          <w:i/>
        </w:rPr>
        <w:t>Het begrip ‘bouwterrein’ in de steigers?</w:t>
      </w:r>
      <w:r w:rsidRPr="00AD0ECE">
        <w:t>, Vastgoed Fiscaal &amp; Civiel 2007/3.</w:t>
      </w:r>
    </w:p>
  </w:footnote>
  <w:footnote w:id="207">
    <w:p w:rsidR="00CC552D" w:rsidRPr="00AD0ECE" w:rsidRDefault="00CC552D">
      <w:pPr>
        <w:pStyle w:val="Voetnoottekst"/>
      </w:pPr>
      <w:r w:rsidRPr="00AD0ECE">
        <w:rPr>
          <w:rStyle w:val="Voetnootmarkering"/>
        </w:rPr>
        <w:footnoteRef/>
      </w:r>
      <w:r w:rsidRPr="00AD0ECE">
        <w:t xml:space="preserve"> E.H. van den Elsen, </w:t>
      </w:r>
      <w:r w:rsidRPr="00AD0ECE">
        <w:rPr>
          <w:i/>
        </w:rPr>
        <w:t>BTW-bouwkavels</w:t>
      </w:r>
      <w:r w:rsidRPr="00AD0ECE">
        <w:t>, BTW-bulletin 1996/6.</w:t>
      </w:r>
    </w:p>
  </w:footnote>
  <w:footnote w:id="208">
    <w:p w:rsidR="00CC552D" w:rsidRPr="00AD0ECE" w:rsidRDefault="00CC552D">
      <w:pPr>
        <w:pStyle w:val="Voetnoottekst"/>
      </w:pPr>
      <w:r w:rsidRPr="00AD0ECE">
        <w:rPr>
          <w:rStyle w:val="Voetnootmarkering"/>
        </w:rPr>
        <w:footnoteRef/>
      </w:r>
      <w:r w:rsidRPr="00AD0ECE">
        <w:t xml:space="preserve"> J.C. van Straaten, Bouwen en slopen: </w:t>
      </w:r>
      <w:r w:rsidRPr="00AD0ECE">
        <w:rPr>
          <w:i/>
        </w:rPr>
        <w:t>Is er iets vervaardigd en, zo ja, wat dan? (IV, slot)</w:t>
      </w:r>
      <w:r w:rsidRPr="00AD0ECE">
        <w:t>, WPNR 2004/6601.</w:t>
      </w:r>
    </w:p>
  </w:footnote>
  <w:footnote w:id="209">
    <w:p w:rsidR="00CC552D" w:rsidRPr="00AD0ECE" w:rsidRDefault="00CC552D">
      <w:pPr>
        <w:pStyle w:val="Voetnoottekst"/>
      </w:pPr>
      <w:r w:rsidRPr="00AD0ECE">
        <w:rPr>
          <w:rStyle w:val="Voetnootmarkering"/>
        </w:rPr>
        <w:footnoteRef/>
      </w:r>
      <w:r w:rsidRPr="00AD0ECE">
        <w:t xml:space="preserve"> Memorie van Toelichting, Levering van bouwkavels en gebouwen, Kamerstuk 1995/96, 24 703, nr. 3, blz. 5.</w:t>
      </w:r>
    </w:p>
  </w:footnote>
  <w:footnote w:id="210">
    <w:p w:rsidR="00CC552D" w:rsidRPr="00AD0ECE" w:rsidRDefault="00CC552D">
      <w:pPr>
        <w:pStyle w:val="Voetnoottekst"/>
      </w:pPr>
      <w:r w:rsidRPr="00AD0ECE">
        <w:rPr>
          <w:rStyle w:val="Voetnootmarkering"/>
        </w:rPr>
        <w:footnoteRef/>
      </w:r>
      <w:r w:rsidRPr="00AD0ECE">
        <w:t xml:space="preserve"> Besluit van 14 juli 2009, nr. CPP2008/137M, </w:t>
      </w:r>
      <w:r w:rsidRPr="00AD0ECE">
        <w:rPr>
          <w:i/>
        </w:rPr>
        <w:t>VN 2009/39.23</w:t>
      </w:r>
      <w:r w:rsidRPr="00AD0ECE">
        <w:t>, paragraaf 4.2.2.</w:t>
      </w:r>
    </w:p>
  </w:footnote>
  <w:footnote w:id="211">
    <w:p w:rsidR="00CC552D" w:rsidRPr="00AD0ECE" w:rsidRDefault="00CC552D">
      <w:pPr>
        <w:pStyle w:val="Voetnoottekst"/>
      </w:pPr>
      <w:r w:rsidRPr="00AD0ECE">
        <w:rPr>
          <w:rStyle w:val="Voetnootmarkering"/>
        </w:rPr>
        <w:footnoteRef/>
      </w:r>
      <w:r w:rsidRPr="00AD0ECE">
        <w:t xml:space="preserve"> J. Rakhan c.s., </w:t>
      </w:r>
      <w:r w:rsidRPr="00AD0ECE">
        <w:rPr>
          <w:i/>
        </w:rPr>
        <w:t>Het begrip ‘bouwterrein’ in de steigers?</w:t>
      </w:r>
      <w:r w:rsidRPr="00AD0ECE">
        <w:t>, Vastgoed Fiscaal &amp; Civiel 2007/3.</w:t>
      </w:r>
    </w:p>
  </w:footnote>
  <w:footnote w:id="212">
    <w:p w:rsidR="00CC552D" w:rsidRPr="00AD0ECE" w:rsidRDefault="00CC552D">
      <w:pPr>
        <w:pStyle w:val="Voetnoottekst"/>
      </w:pPr>
      <w:r w:rsidRPr="00AD0ECE">
        <w:rPr>
          <w:rStyle w:val="Voetnootmarkering"/>
        </w:rPr>
        <w:footnoteRef/>
      </w:r>
      <w:r w:rsidRPr="00AD0ECE">
        <w:t xml:space="preserve"> HR 10 augustus 2001, nr. 36 686, </w:t>
      </w:r>
      <w:r w:rsidRPr="00AD0ECE">
        <w:rPr>
          <w:i/>
        </w:rPr>
        <w:t>BNB 2001/401*</w:t>
      </w:r>
      <w:r w:rsidRPr="00AD0ECE">
        <w:t>.</w:t>
      </w:r>
    </w:p>
  </w:footnote>
  <w:footnote w:id="213">
    <w:p w:rsidR="00CC552D" w:rsidRPr="00AD0ECE" w:rsidRDefault="00CC552D">
      <w:pPr>
        <w:pStyle w:val="Voetnoottekst"/>
      </w:pPr>
      <w:r w:rsidRPr="00AD0ECE">
        <w:rPr>
          <w:rStyle w:val="Voetnootmarkering"/>
        </w:rPr>
        <w:footnoteRef/>
      </w:r>
      <w:r w:rsidRPr="00AD0ECE">
        <w:t xml:space="preserve"> Hof Den Haag 6 oktober 2000, nr. 99/0575, </w:t>
      </w:r>
      <w:r w:rsidRPr="00AD0ECE">
        <w:rPr>
          <w:i/>
        </w:rPr>
        <w:t>VN 2001/15.2.3</w:t>
      </w:r>
      <w:r w:rsidRPr="00AD0ECE">
        <w:t>, welke uitspraak overigens pas na een tip van een abonnee door Vakstudie Nieuws verkort werd opgenomen, mogelijk in verband met veronderstelde geringe relevantie voor de praktijk.</w:t>
      </w:r>
    </w:p>
  </w:footnote>
  <w:footnote w:id="214">
    <w:p w:rsidR="00CC552D" w:rsidRPr="00AD0ECE" w:rsidRDefault="00CC552D" w:rsidP="005A1470">
      <w:pPr>
        <w:pStyle w:val="Voetnoottekst"/>
      </w:pPr>
      <w:r w:rsidRPr="00AD0ECE">
        <w:rPr>
          <w:rStyle w:val="Voetnootmarkering"/>
        </w:rPr>
        <w:footnoteRef/>
      </w:r>
      <w:r w:rsidRPr="00AD0ECE">
        <w:t xml:space="preserve"> HR 10 augustus 2001, nr. 36 686, </w:t>
      </w:r>
      <w:r w:rsidRPr="00AD0ECE">
        <w:rPr>
          <w:i/>
        </w:rPr>
        <w:t>BNB 2001/401*</w:t>
      </w:r>
      <w:r w:rsidRPr="00AD0ECE">
        <w:t>, r.o. 3.2.</w:t>
      </w:r>
    </w:p>
  </w:footnote>
  <w:footnote w:id="215">
    <w:p w:rsidR="00CC552D" w:rsidRPr="00AD0ECE" w:rsidRDefault="00CC552D">
      <w:pPr>
        <w:pStyle w:val="Voetnoottekst"/>
      </w:pPr>
      <w:r w:rsidRPr="00AD0ECE">
        <w:rPr>
          <w:rStyle w:val="Voetnootmarkering"/>
        </w:rPr>
        <w:footnoteRef/>
      </w:r>
      <w:r w:rsidRPr="00AD0ECE">
        <w:t xml:space="preserve"> HR 10 augustus 2001, nr. 36 686, </w:t>
      </w:r>
      <w:r w:rsidRPr="00AD0ECE">
        <w:rPr>
          <w:i/>
        </w:rPr>
        <w:t>VN 2001/44.18</w:t>
      </w:r>
      <w:r w:rsidRPr="00AD0ECE">
        <w:t>.</w:t>
      </w:r>
    </w:p>
  </w:footnote>
  <w:footnote w:id="216">
    <w:p w:rsidR="00CC552D" w:rsidRPr="00AD0ECE" w:rsidRDefault="00CC552D">
      <w:pPr>
        <w:pStyle w:val="Voetnoottekst"/>
      </w:pPr>
      <w:r w:rsidRPr="00AD0ECE">
        <w:rPr>
          <w:rStyle w:val="Voetnootmarkering"/>
        </w:rPr>
        <w:footnoteRef/>
      </w:r>
      <w:r w:rsidRPr="00AD0ECE">
        <w:t xml:space="preserve"> Besluit van 14 juli 2009, nr. CPP2008/137M, </w:t>
      </w:r>
      <w:r w:rsidRPr="00AD0ECE">
        <w:rPr>
          <w:i/>
        </w:rPr>
        <w:t>VN 2009/39.23</w:t>
      </w:r>
      <w:r w:rsidRPr="00AD0ECE">
        <w:t>, paragraaf 4.2.2.</w:t>
      </w:r>
    </w:p>
  </w:footnote>
  <w:footnote w:id="217">
    <w:p w:rsidR="00CC552D" w:rsidRPr="00AD0ECE" w:rsidRDefault="00CC552D">
      <w:pPr>
        <w:pStyle w:val="Voetnoottekst"/>
      </w:pPr>
      <w:r w:rsidRPr="00AD0ECE">
        <w:rPr>
          <w:rStyle w:val="Voetnootmarkering"/>
        </w:rPr>
        <w:footnoteRef/>
      </w:r>
      <w:r w:rsidRPr="00AD0ECE">
        <w:t xml:space="preserve"> Let op nuanceverschil tussen ‘niet altijd’ en ‘nooit’.</w:t>
      </w:r>
    </w:p>
  </w:footnote>
  <w:footnote w:id="218">
    <w:p w:rsidR="00CC552D" w:rsidRPr="00AD0ECE" w:rsidRDefault="00CC552D" w:rsidP="003272E9">
      <w:pPr>
        <w:pStyle w:val="Voetnoottekst"/>
      </w:pPr>
      <w:r w:rsidRPr="00AD0ECE">
        <w:rPr>
          <w:rStyle w:val="Voetnootmarkering"/>
        </w:rPr>
        <w:footnoteRef/>
      </w:r>
      <w:r w:rsidRPr="00AD0ECE">
        <w:t xml:space="preserve"> Overigens met dezelfde strekking als de eveneens door hem geschreven noot bij BNB 1997/262.</w:t>
      </w:r>
    </w:p>
  </w:footnote>
  <w:footnote w:id="219">
    <w:p w:rsidR="00CC552D" w:rsidRPr="00AD0ECE" w:rsidRDefault="00CC552D">
      <w:pPr>
        <w:pStyle w:val="Voetnoottekst"/>
      </w:pPr>
      <w:r w:rsidRPr="00AD0ECE">
        <w:rPr>
          <w:rStyle w:val="Voetnootmarkering"/>
        </w:rPr>
        <w:footnoteRef/>
      </w:r>
      <w:r w:rsidRPr="00AD0ECE">
        <w:t xml:space="preserve"> Hof Den Bosch 13 december 2002, nr. 00/0268, </w:t>
      </w:r>
      <w:r w:rsidRPr="00AD0ECE">
        <w:rPr>
          <w:i/>
        </w:rPr>
        <w:t>VN 2003/17.16</w:t>
      </w:r>
      <w:r w:rsidRPr="00AD0ECE">
        <w:t>.</w:t>
      </w:r>
    </w:p>
  </w:footnote>
  <w:footnote w:id="220">
    <w:p w:rsidR="00CC552D" w:rsidRPr="00AD0ECE" w:rsidRDefault="00CC552D">
      <w:pPr>
        <w:pStyle w:val="Voetnoottekst"/>
      </w:pPr>
      <w:r w:rsidRPr="00AD0ECE">
        <w:rPr>
          <w:rStyle w:val="Voetnootmarkering"/>
        </w:rPr>
        <w:footnoteRef/>
      </w:r>
      <w:r w:rsidRPr="00AD0ECE">
        <w:t xml:space="preserve"> Hof Den Bosch 13 december 2002, nr. 00/0268, </w:t>
      </w:r>
      <w:r w:rsidRPr="00AD0ECE">
        <w:rPr>
          <w:i/>
        </w:rPr>
        <w:t>VN 2003/17.16</w:t>
      </w:r>
      <w:r w:rsidRPr="00AD0ECE">
        <w:t>, r.o. 2.2.</w:t>
      </w:r>
    </w:p>
  </w:footnote>
  <w:footnote w:id="221">
    <w:p w:rsidR="00CC552D" w:rsidRPr="00AD0ECE" w:rsidRDefault="00CC552D" w:rsidP="007B7863">
      <w:pPr>
        <w:pStyle w:val="Voetnoottekst"/>
      </w:pPr>
      <w:r w:rsidRPr="00AD0ECE">
        <w:rPr>
          <w:rStyle w:val="Voetnootmarkering"/>
        </w:rPr>
        <w:footnoteRef/>
      </w:r>
      <w:r w:rsidRPr="00AD0ECE">
        <w:t xml:space="preserve"> Hof Den Bosch 13 december 2002, nr. 00/0268, </w:t>
      </w:r>
      <w:r w:rsidRPr="00AD0ECE">
        <w:rPr>
          <w:i/>
        </w:rPr>
        <w:t>VN 2003/17.16</w:t>
      </w:r>
      <w:r w:rsidRPr="00AD0ECE">
        <w:t>, r.o. 4.9.</w:t>
      </w:r>
    </w:p>
  </w:footnote>
  <w:footnote w:id="222">
    <w:p w:rsidR="00CC552D" w:rsidRPr="00AD0ECE" w:rsidRDefault="00CC552D">
      <w:pPr>
        <w:pStyle w:val="Voetnoottekst"/>
      </w:pPr>
      <w:r w:rsidRPr="00AD0ECE">
        <w:rPr>
          <w:rStyle w:val="Voetnootmarkering"/>
        </w:rPr>
        <w:footnoteRef/>
      </w:r>
      <w:r w:rsidRPr="00AD0ECE">
        <w:t xml:space="preserve"> Hof Den Bosch, 5 oktober 2006, nr. 03/01019, </w:t>
      </w:r>
      <w:r w:rsidRPr="00AD0ECE">
        <w:rPr>
          <w:i/>
        </w:rPr>
        <w:t>VN 2007/28.23</w:t>
      </w:r>
      <w:r w:rsidRPr="00AD0ECE">
        <w:t>.</w:t>
      </w:r>
    </w:p>
  </w:footnote>
  <w:footnote w:id="223">
    <w:p w:rsidR="00CC552D" w:rsidRPr="00AD0ECE" w:rsidRDefault="00CC552D">
      <w:pPr>
        <w:pStyle w:val="Voetnoottekst"/>
      </w:pPr>
      <w:r w:rsidRPr="00AD0ECE">
        <w:rPr>
          <w:rStyle w:val="Voetnootmarkering"/>
        </w:rPr>
        <w:footnoteRef/>
      </w:r>
      <w:r w:rsidRPr="00AD0ECE">
        <w:t xml:space="preserve"> P. Tielemans, </w:t>
      </w:r>
      <w:r w:rsidRPr="00AD0ECE">
        <w:rPr>
          <w:i/>
        </w:rPr>
        <w:t>Voormalig hertenkamp is een bouwterrein; opnieuw de kwestie van slopen</w:t>
      </w:r>
      <w:r w:rsidRPr="00AD0ECE">
        <w:t>, BtwBrief 2007/10.</w:t>
      </w:r>
    </w:p>
  </w:footnote>
  <w:footnote w:id="224">
    <w:p w:rsidR="00CC552D" w:rsidRPr="00AD0ECE" w:rsidRDefault="00CC552D" w:rsidP="00DC5A93">
      <w:pPr>
        <w:pStyle w:val="Voetnoottekst"/>
      </w:pPr>
      <w:r w:rsidRPr="00AD0ECE">
        <w:rPr>
          <w:rStyle w:val="Voetnootmarkering"/>
        </w:rPr>
        <w:footnoteRef/>
      </w:r>
      <w:r w:rsidRPr="00AD0ECE">
        <w:t xml:space="preserve"> Hof Den Bosch, 5 oktober 2006, nr. 03/01019, </w:t>
      </w:r>
      <w:r w:rsidRPr="00AD0ECE">
        <w:rPr>
          <w:i/>
        </w:rPr>
        <w:t>VN 2007/28.23</w:t>
      </w:r>
      <w:r w:rsidRPr="00AD0ECE">
        <w:t>, r.o. 4.7.</w:t>
      </w:r>
    </w:p>
  </w:footnote>
  <w:footnote w:id="225">
    <w:p w:rsidR="00CC552D" w:rsidRPr="00AD0ECE" w:rsidRDefault="00CC552D">
      <w:pPr>
        <w:pStyle w:val="Voetnoottekst"/>
      </w:pPr>
      <w:r w:rsidRPr="00AD0ECE">
        <w:rPr>
          <w:rStyle w:val="Voetnootmarkering"/>
        </w:rPr>
        <w:footnoteRef/>
      </w:r>
      <w:r w:rsidRPr="00AD0ECE">
        <w:t xml:space="preserve"> Overigens gaat Hof Den Bosch in deze uitspraak ook al ‘tegen het verkeer in’ door een bestaande straat als voorziening in de omgeving aan te merken (zie Hof Den Bosch, 5 oktober 2006, nr. 03/01019, </w:t>
      </w:r>
      <w:r w:rsidRPr="00AD0ECE">
        <w:rPr>
          <w:i/>
        </w:rPr>
        <w:t>VN 2007/28.23</w:t>
      </w:r>
      <w:r w:rsidRPr="00AD0ECE">
        <w:t xml:space="preserve">, r.o. 4.11), nadat Hof Den Haag in een eerder aangehaalde uitspraak (Hof Den Haag, 15 november 2002, nr. 01/2211, </w:t>
      </w:r>
      <w:r w:rsidRPr="00AD0ECE">
        <w:rPr>
          <w:i/>
        </w:rPr>
        <w:t>VN 2003/29.23</w:t>
      </w:r>
      <w:r w:rsidRPr="00AD0ECE">
        <w:t>) oordeelde dat bestaande voorzieningen niet meetellen voor de kwalificatie van bouwterrein.</w:t>
      </w:r>
    </w:p>
  </w:footnote>
  <w:footnote w:id="226">
    <w:p w:rsidR="00CC552D" w:rsidRPr="00AD0ECE" w:rsidRDefault="00CC552D">
      <w:pPr>
        <w:pStyle w:val="Voetnoottekst"/>
      </w:pPr>
      <w:r w:rsidRPr="00AD0ECE">
        <w:rPr>
          <w:rStyle w:val="Voetnootmarkering"/>
        </w:rPr>
        <w:footnoteRef/>
      </w:r>
      <w:r w:rsidRPr="00AD0ECE">
        <w:t xml:space="preserve"> NTFR 2001-1179 met aantekeningtitel: </w:t>
      </w:r>
      <w:r w:rsidRPr="00AD0ECE">
        <w:rPr>
          <w:i/>
        </w:rPr>
        <w:t>‘Door volledige sloop van opstallen alleen ontstaat nog geen bouwterrein.’</w:t>
      </w:r>
    </w:p>
  </w:footnote>
  <w:footnote w:id="227">
    <w:p w:rsidR="00CC552D" w:rsidRPr="00AD0ECE" w:rsidRDefault="00CC552D">
      <w:pPr>
        <w:pStyle w:val="Voetnoottekst"/>
        <w:rPr>
          <w:b/>
        </w:rPr>
      </w:pPr>
      <w:r w:rsidRPr="00AD0ECE">
        <w:rPr>
          <w:rStyle w:val="Voetnootmarkering"/>
        </w:rPr>
        <w:footnoteRef/>
      </w:r>
      <w:r w:rsidRPr="00AD0ECE">
        <w:t xml:space="preserve"> En daarmee zekerheid.</w:t>
      </w:r>
    </w:p>
  </w:footnote>
  <w:footnote w:id="228">
    <w:p w:rsidR="00CC552D" w:rsidRPr="00AD0ECE" w:rsidRDefault="00CC552D">
      <w:pPr>
        <w:pStyle w:val="Voetnoottekst"/>
      </w:pPr>
      <w:r w:rsidRPr="00AD0ECE">
        <w:rPr>
          <w:rStyle w:val="Voetnootmarkering"/>
        </w:rPr>
        <w:footnoteRef/>
      </w:r>
      <w:r w:rsidRPr="00AD0ECE">
        <w:t xml:space="preserve"> HR 14 november 2008, nr. 42 860, </w:t>
      </w:r>
      <w:r w:rsidRPr="00AD0ECE">
        <w:rPr>
          <w:i/>
        </w:rPr>
        <w:t>BNB 2009/30 c*</w:t>
      </w:r>
      <w:r w:rsidRPr="00AD0ECE">
        <w:t>.</w:t>
      </w:r>
    </w:p>
  </w:footnote>
  <w:footnote w:id="229">
    <w:p w:rsidR="00CC552D" w:rsidRPr="00AD0ECE" w:rsidRDefault="00CC552D" w:rsidP="00993B10">
      <w:pPr>
        <w:pStyle w:val="Voetnoottekst"/>
      </w:pPr>
      <w:r w:rsidRPr="00AD0ECE">
        <w:rPr>
          <w:rStyle w:val="Voetnootmarkering"/>
        </w:rPr>
        <w:footnoteRef/>
      </w:r>
      <w:r w:rsidRPr="00AD0ECE">
        <w:t xml:space="preserve"> Toevallig zijn buurman.</w:t>
      </w:r>
    </w:p>
  </w:footnote>
  <w:footnote w:id="230">
    <w:p w:rsidR="00CC552D" w:rsidRPr="00AD0ECE" w:rsidRDefault="00CC552D">
      <w:pPr>
        <w:pStyle w:val="Voetnoottekst"/>
      </w:pPr>
      <w:r w:rsidRPr="00AD0ECE">
        <w:rPr>
          <w:rStyle w:val="Voetnootmarkering"/>
        </w:rPr>
        <w:footnoteRef/>
      </w:r>
      <w:r w:rsidRPr="00AD0ECE">
        <w:t xml:space="preserve"> Daarbij is niet in geding of de samenloopvrijstelling uit de overdrachtsbelasting van toepassing is. Levering vindt namelijk reeds vrijgesteld van overdrachtsbelasting plaats uit hoofde van artikel 15, lid 1, onderdeel q Wet BRV (vrijstelling inzake de verkrijging van ten behoeve van de landbouw bedrijfsmatig geëxploiteerde cultuurgrond).</w:t>
      </w:r>
    </w:p>
  </w:footnote>
  <w:footnote w:id="231">
    <w:p w:rsidR="00CC552D" w:rsidRPr="00AD0ECE" w:rsidRDefault="00CC552D" w:rsidP="008D3292">
      <w:pPr>
        <w:pStyle w:val="Voetnoottekst"/>
      </w:pPr>
      <w:r w:rsidRPr="00AD0ECE">
        <w:rPr>
          <w:rStyle w:val="Voetnootmarkering"/>
        </w:rPr>
        <w:footnoteRef/>
      </w:r>
      <w:r w:rsidRPr="00AD0ECE">
        <w:t xml:space="preserve"> Niet gepubliceerde uitspraak van Hof Den Haag 27 januari 2006, nr. 05/0125.</w:t>
      </w:r>
    </w:p>
  </w:footnote>
  <w:footnote w:id="232">
    <w:p w:rsidR="00CC552D" w:rsidRPr="00AD0ECE" w:rsidRDefault="00CC552D">
      <w:pPr>
        <w:pStyle w:val="Voetnoottekst"/>
      </w:pPr>
      <w:r w:rsidRPr="00AD0ECE">
        <w:rPr>
          <w:rStyle w:val="Voetnootmarkering"/>
        </w:rPr>
        <w:footnoteRef/>
      </w:r>
      <w:r w:rsidRPr="00AD0ECE">
        <w:t xml:space="preserve"> Aangezien het eerder aangehaalde besluit 14 juli 2009, nr. CPP2008/137M precies acht maanden na dit arrest is verschenen, is het vreemd dat op dit punt het besluit niet is aangepast. Stelling van de staatssecretaris dat ‘</w:t>
      </w:r>
      <w:r w:rsidRPr="00AD0ECE">
        <w:rPr>
          <w:i/>
        </w:rPr>
        <w:t xml:space="preserve">niet relevant met welk (subjectief) doel de sloophandelingen zijn verricht. Met name is niet van belang of de sloophandelingen plaatsvinden met het oog op de bouw van nieuwe gebouwen’ </w:t>
      </w:r>
      <w:r w:rsidRPr="00AD0ECE">
        <w:t>blijft kennelijk gehanteerd ondanks strijd met Hoge Raad jurisprudentie.</w:t>
      </w:r>
    </w:p>
  </w:footnote>
  <w:footnote w:id="233">
    <w:p w:rsidR="00CC552D" w:rsidRPr="00AD0ECE" w:rsidRDefault="00CC552D">
      <w:pPr>
        <w:pStyle w:val="Voetnoottekst"/>
      </w:pPr>
      <w:r w:rsidRPr="00AD0ECE">
        <w:rPr>
          <w:rStyle w:val="Voetnootmarkering"/>
        </w:rPr>
        <w:footnoteRef/>
      </w:r>
      <w:r w:rsidRPr="00AD0ECE">
        <w:t xml:space="preserve"> Conclusie A-G Wattel 22 februari 2007, nr. 43246, </w:t>
      </w:r>
      <w:r w:rsidRPr="00AD0ECE">
        <w:rPr>
          <w:i/>
        </w:rPr>
        <w:t>VN 2007/39.23</w:t>
      </w:r>
      <w:r w:rsidRPr="00AD0ECE">
        <w:t>, r.o. 6.2.</w:t>
      </w:r>
    </w:p>
  </w:footnote>
  <w:footnote w:id="234">
    <w:p w:rsidR="00CC552D" w:rsidRPr="00AD0ECE" w:rsidRDefault="00CC552D">
      <w:pPr>
        <w:pStyle w:val="Voetnoottekst"/>
      </w:pPr>
      <w:r w:rsidRPr="00AD0ECE">
        <w:rPr>
          <w:rStyle w:val="Voetnootmarkering"/>
        </w:rPr>
        <w:footnoteRef/>
      </w:r>
      <w:r w:rsidRPr="00AD0ECE">
        <w:t xml:space="preserve"> HR 14 november 2008, nr. 43 246, </w:t>
      </w:r>
      <w:r w:rsidRPr="00AD0ECE">
        <w:rPr>
          <w:i/>
        </w:rPr>
        <w:t>BNB 2009/31 c*</w:t>
      </w:r>
      <w:r w:rsidRPr="00AD0ECE">
        <w:t>.</w:t>
      </w:r>
    </w:p>
  </w:footnote>
  <w:footnote w:id="235">
    <w:p w:rsidR="00CC552D" w:rsidRPr="00AD0ECE" w:rsidRDefault="00CC552D">
      <w:pPr>
        <w:pStyle w:val="Voetnoottekst"/>
      </w:pPr>
      <w:r w:rsidRPr="00AD0ECE">
        <w:rPr>
          <w:rStyle w:val="Voetnootmarkering"/>
        </w:rPr>
        <w:footnoteRef/>
      </w:r>
      <w:r w:rsidRPr="00AD0ECE">
        <w:t xml:space="preserve"> Hof Den Bosch </w:t>
      </w:r>
      <w:r w:rsidRPr="00AD0ECE">
        <w:rPr>
          <w:bCs/>
        </w:rPr>
        <w:t xml:space="preserve">29 maart 2006, nr. </w:t>
      </w:r>
      <w:bookmarkStart w:id="101" w:name="h100"/>
      <w:bookmarkEnd w:id="101"/>
      <w:r w:rsidRPr="00AD0ECE">
        <w:rPr>
          <w:bCs/>
        </w:rPr>
        <w:t>04/</w:t>
      </w:r>
      <w:bookmarkStart w:id="102" w:name="h101"/>
      <w:bookmarkEnd w:id="102"/>
      <w:r w:rsidRPr="00AD0ECE">
        <w:rPr>
          <w:bCs/>
        </w:rPr>
        <w:t xml:space="preserve">1884, </w:t>
      </w:r>
      <w:r w:rsidRPr="00AD0ECE">
        <w:rPr>
          <w:bCs/>
          <w:i/>
        </w:rPr>
        <w:t>VN 2006/40.1.13.</w:t>
      </w:r>
    </w:p>
  </w:footnote>
  <w:footnote w:id="236">
    <w:p w:rsidR="00CC552D" w:rsidRPr="00AD0ECE" w:rsidRDefault="00CC552D">
      <w:pPr>
        <w:pStyle w:val="Voetnoottekst"/>
      </w:pPr>
      <w:r w:rsidRPr="00AD0ECE">
        <w:rPr>
          <w:rStyle w:val="Voetnootmarkering"/>
        </w:rPr>
        <w:footnoteRef/>
      </w:r>
      <w:r w:rsidRPr="00AD0ECE">
        <w:t xml:space="preserve"> In geval de Hoge Raad had geoordeeld dat bewerkingen niet met het oog op bebouwingen hadden plaats gevonden was voor belanghebbende geen man overboord. Immers, </w:t>
      </w:r>
      <w:r w:rsidRPr="00AD0ECE">
        <w:rPr>
          <w:i/>
        </w:rPr>
        <w:t xml:space="preserve">‘Ten overvloede merkt het hof nog op dat naar zijn oordeel ook voldaan is aan de voorwaarden van de onderdelen b en c van artikel 11, vierde lid, van de Wet OB. Immers in de omgeving van de grond is reeds in 1999 een bouwweg aangelegd en de omheining hersteld,’ </w:t>
      </w:r>
      <w:r w:rsidRPr="00AD0ECE">
        <w:t xml:space="preserve">zie Hof Den Bosch </w:t>
      </w:r>
      <w:r w:rsidRPr="00AD0ECE">
        <w:rPr>
          <w:bCs/>
        </w:rPr>
        <w:t xml:space="preserve">29 maart 2006, nr. 04/1884, </w:t>
      </w:r>
      <w:r w:rsidRPr="00AD0ECE">
        <w:rPr>
          <w:bCs/>
          <w:i/>
        </w:rPr>
        <w:t xml:space="preserve">VN 2006/40.1.13, </w:t>
      </w:r>
      <w:r w:rsidRPr="00AD0ECE">
        <w:rPr>
          <w:bCs/>
        </w:rPr>
        <w:t>r.o. 4.5.</w:t>
      </w:r>
    </w:p>
  </w:footnote>
  <w:footnote w:id="237">
    <w:p w:rsidR="00CC552D" w:rsidRPr="00AD0ECE" w:rsidRDefault="00CC552D">
      <w:pPr>
        <w:pStyle w:val="Voetnoottekst"/>
      </w:pPr>
      <w:r w:rsidRPr="00AD0ECE">
        <w:rPr>
          <w:rStyle w:val="Voetnootmarkering"/>
        </w:rPr>
        <w:footnoteRef/>
      </w:r>
      <w:r w:rsidRPr="00AD0ECE">
        <w:t xml:space="preserve"> Overigens ben ik het niet eens met de Hofuitspraak in dezelfde rechtsoverweging wat betreft de uitleg van het Jeugdhonkarrest waar wordt gesteld dat vervaardiging door sloop van opstallen enkel is afgeschoten vanwege de voorafgaande veiligheidsoverwegingen. Hof Den Bosch zegt namelijk:</w:t>
      </w:r>
      <w:r w:rsidRPr="00AD0ECE">
        <w:rPr>
          <w:i/>
        </w:rPr>
        <w:t>‘Anders dan in dat arrest is in het hier aan de orde zijnde geval gesteld noch gebleken dat het schoolgebouw gesloopt zou zijn met het oog op de veiligheid.’</w:t>
      </w:r>
    </w:p>
  </w:footnote>
  <w:footnote w:id="238">
    <w:p w:rsidR="00CC552D" w:rsidRPr="00AD0ECE" w:rsidRDefault="00CC552D">
      <w:pPr>
        <w:pStyle w:val="Voetnoottekst"/>
      </w:pPr>
      <w:r w:rsidRPr="00AD0ECE">
        <w:rPr>
          <w:rStyle w:val="Voetnootmarkering"/>
        </w:rPr>
        <w:footnoteRef/>
      </w:r>
      <w:r w:rsidRPr="00AD0ECE">
        <w:t xml:space="preserve"> Daar de Hoge Raad enkel aan rechtsvinding doet en niet een reeds afgebakend feitencomplex toetst, is dit wellicht onbewust gegaan.</w:t>
      </w:r>
    </w:p>
  </w:footnote>
  <w:footnote w:id="239">
    <w:p w:rsidR="00CC552D" w:rsidRPr="00AD0ECE" w:rsidRDefault="00CC552D">
      <w:pPr>
        <w:pStyle w:val="Voetnoottekst"/>
      </w:pPr>
      <w:r w:rsidRPr="00AD0ECE">
        <w:rPr>
          <w:rStyle w:val="Voetnootmarkering"/>
        </w:rPr>
        <w:footnoteRef/>
      </w:r>
      <w:r w:rsidRPr="00AD0ECE">
        <w:t xml:space="preserve"> Noot bij </w:t>
      </w:r>
      <w:r w:rsidRPr="00AD0ECE">
        <w:rPr>
          <w:i/>
        </w:rPr>
        <w:t>BNB 2009/30 c*</w:t>
      </w:r>
      <w:r w:rsidRPr="00AD0ECE">
        <w:t>.</w:t>
      </w:r>
    </w:p>
  </w:footnote>
  <w:footnote w:id="240">
    <w:p w:rsidR="00CC552D" w:rsidRPr="00AD0ECE" w:rsidRDefault="00CC552D">
      <w:pPr>
        <w:pStyle w:val="Voetnoottekst"/>
      </w:pPr>
      <w:r w:rsidRPr="00AD0ECE">
        <w:rPr>
          <w:rStyle w:val="Voetnootmarkering"/>
        </w:rPr>
        <w:footnoteRef/>
      </w:r>
      <w:r w:rsidRPr="00AD0ECE">
        <w:t xml:space="preserve"> M. Eryilmaz, </w:t>
      </w:r>
      <w:r w:rsidRPr="00AD0ECE">
        <w:rPr>
          <w:i/>
        </w:rPr>
        <w:t>De btw onder de slopershamer</w:t>
      </w:r>
      <w:r w:rsidRPr="00AD0ECE">
        <w:t>, BTW-bulletin 2009/1.</w:t>
      </w:r>
    </w:p>
  </w:footnote>
  <w:footnote w:id="241">
    <w:p w:rsidR="00CC552D" w:rsidRPr="00AD0ECE" w:rsidRDefault="00CC552D">
      <w:pPr>
        <w:pStyle w:val="Voetnoottekst"/>
      </w:pPr>
      <w:r w:rsidRPr="00AD0ECE">
        <w:rPr>
          <w:rStyle w:val="Voetnootmarkering"/>
        </w:rPr>
        <w:footnoteRef/>
      </w:r>
      <w:r w:rsidRPr="00AD0ECE">
        <w:t xml:space="preserve"> Commentaar Nieuwenhuizen</w:t>
      </w:r>
      <w:r w:rsidRPr="00AD0ECE">
        <w:rPr>
          <w:i/>
        </w:rPr>
        <w:t xml:space="preserve"> </w:t>
      </w:r>
      <w:r w:rsidRPr="00AD0ECE">
        <w:t xml:space="preserve">bij </w:t>
      </w:r>
      <w:r w:rsidRPr="00AD0ECE">
        <w:rPr>
          <w:i/>
        </w:rPr>
        <w:t>NTFR 2008/2309</w:t>
      </w:r>
      <w:r w:rsidRPr="00AD0ECE">
        <w:t xml:space="preserve"> met als aantekeningtitel </w:t>
      </w:r>
      <w:r w:rsidRPr="00AD0ECE">
        <w:rPr>
          <w:i/>
        </w:rPr>
        <w:t>‘Bewerkingen van gering kaliber kunnen leiden tot een bouwterrein.’</w:t>
      </w:r>
    </w:p>
  </w:footnote>
  <w:footnote w:id="242">
    <w:p w:rsidR="00CC552D" w:rsidRPr="00AD0ECE" w:rsidRDefault="00CC552D">
      <w:pPr>
        <w:pStyle w:val="Voetnoottekst"/>
      </w:pPr>
      <w:r w:rsidRPr="00AD0ECE">
        <w:rPr>
          <w:rStyle w:val="Voetnootmarkering"/>
        </w:rPr>
        <w:footnoteRef/>
      </w:r>
      <w:r w:rsidRPr="00AD0ECE">
        <w:t xml:space="preserve"> Vergelijk hierbij het arrest </w:t>
      </w:r>
      <w:r w:rsidRPr="00AD0ECE">
        <w:rPr>
          <w:i/>
        </w:rPr>
        <w:t>Karl Heinz Fisher</w:t>
      </w:r>
      <w:r w:rsidRPr="00AD0ECE">
        <w:t xml:space="preserve"> (HvJ EG 11 juni 1998, zaak C-283/95 [Karl Heinz Fisher], Jur. 1998, blz. I-3369) waarin het HvJ EG stelt, dat in beginsel geen onderscheid dient te worden gemaakt in de BTW-handeling tussen legale en illegale handelingen.</w:t>
      </w:r>
    </w:p>
  </w:footnote>
  <w:footnote w:id="243">
    <w:p w:rsidR="00CC552D" w:rsidRPr="00AD0ECE" w:rsidRDefault="00CC552D">
      <w:pPr>
        <w:pStyle w:val="Voetnoottekst"/>
      </w:pPr>
      <w:r w:rsidRPr="00AD0ECE">
        <w:rPr>
          <w:rStyle w:val="Voetnootmarkering"/>
        </w:rPr>
        <w:footnoteRef/>
      </w:r>
      <w:r w:rsidRPr="00AD0ECE">
        <w:t xml:space="preserve"> HR 7 maart 2003, nr. 37 525, </w:t>
      </w:r>
      <w:r w:rsidRPr="00AD0ECE">
        <w:rPr>
          <w:i/>
        </w:rPr>
        <w:t>BNB 2003/193 c*</w:t>
      </w:r>
      <w:r w:rsidRPr="00AD0ECE">
        <w:t>.</w:t>
      </w:r>
    </w:p>
  </w:footnote>
  <w:footnote w:id="244">
    <w:p w:rsidR="00CC552D" w:rsidRPr="00AD0ECE" w:rsidRDefault="00CC552D">
      <w:pPr>
        <w:pStyle w:val="Voetnoottekst"/>
      </w:pPr>
      <w:r w:rsidRPr="00AD0ECE">
        <w:rPr>
          <w:rStyle w:val="Voetnootmarkering"/>
        </w:rPr>
        <w:footnoteRef/>
      </w:r>
      <w:r w:rsidRPr="00AD0ECE">
        <w:t xml:space="preserve"> HvJ EG 14 mei 1985, nr. 139/84 [Van Dijk’s Boekhuis], </w:t>
      </w:r>
      <w:r w:rsidRPr="00AD0ECE">
        <w:rPr>
          <w:i/>
        </w:rPr>
        <w:t>BNB 1985/335</w:t>
      </w:r>
      <w:r w:rsidRPr="00AD0ECE">
        <w:t>.</w:t>
      </w:r>
    </w:p>
  </w:footnote>
  <w:footnote w:id="245">
    <w:p w:rsidR="00CC552D" w:rsidRPr="00AD0ECE" w:rsidRDefault="00CC552D">
      <w:pPr>
        <w:pStyle w:val="Voetnoottekst"/>
      </w:pPr>
      <w:r w:rsidRPr="00AD0ECE">
        <w:rPr>
          <w:rStyle w:val="Voetnootmarkering"/>
        </w:rPr>
        <w:footnoteRef/>
      </w:r>
      <w:r w:rsidRPr="00AD0ECE">
        <w:t xml:space="preserve"> Hof Den Haag 12 juli 2001, nr. 99/2059, </w:t>
      </w:r>
      <w:r w:rsidRPr="00AD0ECE">
        <w:rPr>
          <w:i/>
        </w:rPr>
        <w:t>VN 2002/22.23</w:t>
      </w:r>
      <w:r w:rsidRPr="00AD0ECE">
        <w:t>.</w:t>
      </w:r>
    </w:p>
  </w:footnote>
  <w:footnote w:id="246">
    <w:p w:rsidR="00CC552D" w:rsidRPr="00AD0ECE" w:rsidRDefault="00CC552D" w:rsidP="005B6084">
      <w:pPr>
        <w:pStyle w:val="Voetnoottekst"/>
      </w:pPr>
      <w:r w:rsidRPr="00AD0ECE">
        <w:rPr>
          <w:rStyle w:val="Voetnootmarkering"/>
        </w:rPr>
        <w:footnoteRef/>
      </w:r>
      <w:r w:rsidRPr="00AD0ECE">
        <w:t xml:space="preserve"> Conclusie A-G Groeneveld, 23 september 2002, nr. 37 525, </w:t>
      </w:r>
      <w:r w:rsidRPr="00AD0ECE">
        <w:rPr>
          <w:i/>
        </w:rPr>
        <w:t>VN 2003/2.26</w:t>
      </w:r>
      <w:r w:rsidRPr="00AD0ECE">
        <w:t>, r.o. 5.7.</w:t>
      </w:r>
    </w:p>
  </w:footnote>
  <w:footnote w:id="247">
    <w:p w:rsidR="00CC552D" w:rsidRPr="00AD0ECE" w:rsidRDefault="00CC552D">
      <w:pPr>
        <w:pStyle w:val="Voetnoottekst"/>
      </w:pPr>
      <w:r w:rsidRPr="00AD0ECE">
        <w:rPr>
          <w:rStyle w:val="Voetnootmarkering"/>
        </w:rPr>
        <w:footnoteRef/>
      </w:r>
      <w:r w:rsidRPr="00AD0ECE">
        <w:t xml:space="preserve"> HR 7 maart 2003, nr. 37 525, </w:t>
      </w:r>
      <w:r w:rsidRPr="00AD0ECE">
        <w:rPr>
          <w:i/>
        </w:rPr>
        <w:t>BNB 2003/193 c*</w:t>
      </w:r>
      <w:r w:rsidRPr="00AD0ECE">
        <w:t xml:space="preserve">, r.o. 3.6.3. </w:t>
      </w:r>
    </w:p>
  </w:footnote>
  <w:footnote w:id="248">
    <w:p w:rsidR="00CC552D" w:rsidRPr="00AD0ECE" w:rsidRDefault="00CC552D">
      <w:pPr>
        <w:pStyle w:val="Voetnoottekst"/>
      </w:pPr>
      <w:r w:rsidRPr="00AD0ECE">
        <w:rPr>
          <w:rStyle w:val="Voetnootmarkering"/>
        </w:rPr>
        <w:footnoteRef/>
      </w:r>
      <w:r w:rsidRPr="00AD0ECE">
        <w:t xml:space="preserve"> Hoewel het voornemen bestaat met deze scriptie niet te verwijzen naar jurisprudentie geldend onder het recht voor de wetswijziging van 11 juli 1997 misstaat hier de verwijzing naar HR 15 september 1993, nr. 28 979, </w:t>
      </w:r>
      <w:r w:rsidRPr="00AD0ECE">
        <w:rPr>
          <w:i/>
        </w:rPr>
        <w:t>BNB 1993/314</w:t>
      </w:r>
      <w:r w:rsidR="00D12918">
        <w:t xml:space="preserve"> n</w:t>
      </w:r>
      <w:r w:rsidRPr="00AD0ECE">
        <w:t>iet om aan te duiden dat de Hoge Raad met het Garagearrest “om” is. In 1993 lag een zaak voor waarin een door brand verwoest bedrijfspand werd gesloopt waarna enkel de betonnen vloer en fundering resteerde. Het onroerend goed had door de sloopwerkzaamheden en afvoeren van puin een dusdanige verandering ondergaan dat een goed is ontstaan dat tevoren niet bestond. Sloop werd in dezen wel gezien als vervaardiging, zij het dat onder de toenmalige wettekst de omzetbelasting de eis van vervaard</w:t>
      </w:r>
      <w:r w:rsidR="00D12918">
        <w:t>iging</w:t>
      </w:r>
      <w:r w:rsidRPr="00AD0ECE">
        <w:t xml:space="preserve"> (zoals thans in artikel 11, lid 3, onderdeel b Wet OB 19</w:t>
      </w:r>
      <w:r w:rsidR="00D12918">
        <w:t>68)</w:t>
      </w:r>
      <w:r w:rsidRPr="00AD0ECE">
        <w:t xml:space="preserve"> niet kende.</w:t>
      </w:r>
    </w:p>
  </w:footnote>
  <w:footnote w:id="249">
    <w:p w:rsidR="00CC552D" w:rsidRPr="00AD0ECE" w:rsidRDefault="00CC552D" w:rsidP="007413E3">
      <w:pPr>
        <w:pStyle w:val="Voetnoottekst"/>
      </w:pPr>
      <w:r w:rsidRPr="00AD0ECE">
        <w:rPr>
          <w:rStyle w:val="Voetnootmarkering"/>
        </w:rPr>
        <w:footnoteRef/>
      </w:r>
      <w:r w:rsidRPr="00AD0ECE">
        <w:t xml:space="preserve"> C.J. Hummel, NTFR2003-520, met als aantekeningtitel </w:t>
      </w:r>
      <w:r w:rsidRPr="00AD0ECE">
        <w:rPr>
          <w:i/>
        </w:rPr>
        <w:t>‘Sloop was geen verbouwing: geen vrijstelling voor overdrachtsbelasting.’</w:t>
      </w:r>
    </w:p>
  </w:footnote>
  <w:footnote w:id="250">
    <w:p w:rsidR="00CC552D" w:rsidRPr="00AD0ECE" w:rsidRDefault="00CC552D" w:rsidP="007413E3">
      <w:pPr>
        <w:pStyle w:val="Voetnoottekst"/>
      </w:pPr>
      <w:r w:rsidRPr="00AD0ECE">
        <w:rPr>
          <w:rStyle w:val="Voetnootmarkering"/>
        </w:rPr>
        <w:footnoteRef/>
      </w:r>
      <w:r w:rsidRPr="00AD0ECE">
        <w:t xml:space="preserve"> W.A.P. Nieuwenhuizen, </w:t>
      </w:r>
      <w:r w:rsidRPr="00AD0ECE">
        <w:rPr>
          <w:i/>
        </w:rPr>
        <w:t>Van Dijk’s Boekhuis – een achterhaalde of vergeten klassieker?</w:t>
      </w:r>
      <w:r w:rsidRPr="00AD0ECE">
        <w:t>, NTFR 2008/647.</w:t>
      </w:r>
    </w:p>
  </w:footnote>
  <w:footnote w:id="251">
    <w:p w:rsidR="00CC552D" w:rsidRPr="00AD0ECE" w:rsidRDefault="00CC552D">
      <w:pPr>
        <w:pStyle w:val="Voetnoottekst"/>
      </w:pPr>
      <w:r w:rsidRPr="00AD0ECE">
        <w:rPr>
          <w:rStyle w:val="Voetnootmarkering"/>
        </w:rPr>
        <w:footnoteRef/>
      </w:r>
      <w:r w:rsidRPr="00AD0ECE">
        <w:t xml:space="preserve"> </w:t>
      </w:r>
      <w:r w:rsidRPr="00AD0ECE">
        <w:rPr>
          <w:i/>
        </w:rPr>
        <w:t xml:space="preserve">Nieuwenhuizen </w:t>
      </w:r>
      <w:r w:rsidRPr="00AD0ECE">
        <w:t xml:space="preserve">constateert dat het antwoord op vervaardigingvraagstuk vaak zonder toepassing van </w:t>
      </w:r>
      <w:r w:rsidRPr="00AD0ECE">
        <w:rPr>
          <w:i/>
        </w:rPr>
        <w:t xml:space="preserve">Van Dijk’s boekhuis </w:t>
      </w:r>
      <w:r w:rsidRPr="00AD0ECE">
        <w:t xml:space="preserve">wordt opgelost. Zie bijvoorbeeld Hof Den Bosch 26 september 2007, nr. 06/00386, </w:t>
      </w:r>
      <w:r w:rsidRPr="00AD0ECE">
        <w:rPr>
          <w:i/>
        </w:rPr>
        <w:t>VN 2008/12.25</w:t>
      </w:r>
      <w:r w:rsidRPr="00AD0ECE">
        <w:t xml:space="preserve">, waarbij het Garagearrest wordt aangehaald in een zaak waarbij in geding is of bij het verbouwen middels sloop van een loods in een parkeerterrein een vervaardiging oplevert. Ik ben in mijn scriptieopzet geslaagd indien de lezer kan beantwoorden, dat op basis van het arrest </w:t>
      </w:r>
      <w:r w:rsidRPr="00AD0ECE">
        <w:rPr>
          <w:i/>
        </w:rPr>
        <w:t>Van Dijk’s Boekhuis</w:t>
      </w:r>
      <w:r w:rsidRPr="00AD0ECE">
        <w:t xml:space="preserve"> sprake is van een vervaardiging, omdat een nieuw goed door het werk van een opdrachtnemer is ontstaan waarvan de functie (parkeergelegenheid) volgens de in het maatschappelijk verkeer gangbare opvattingen verschilt van de functie (opslag) die het gebouw voorheen had. Mijns inziens had Hof Den Bosch dan ook kunnen volstaan met verwijzing naar de functieverandering en verandering in (zowel inwendige als uitwendige) verschijningsvorm, hetgeen zou verwijzen naar de Nederlandse afgeleide van het </w:t>
      </w:r>
      <w:r w:rsidRPr="00AD0ECE">
        <w:rPr>
          <w:i/>
        </w:rPr>
        <w:t>Van Dijk’s Boekhuis</w:t>
      </w:r>
      <w:r w:rsidRPr="00AD0ECE">
        <w:t xml:space="preserve"> arrest.</w:t>
      </w:r>
    </w:p>
  </w:footnote>
  <w:footnote w:id="252">
    <w:p w:rsidR="00CC552D" w:rsidRPr="00AD0ECE" w:rsidRDefault="00CC552D">
      <w:pPr>
        <w:pStyle w:val="Voetnoottekst"/>
      </w:pPr>
      <w:r w:rsidRPr="00AD0ECE">
        <w:rPr>
          <w:rStyle w:val="Voetnootmarkering"/>
        </w:rPr>
        <w:footnoteRef/>
      </w:r>
      <w:r w:rsidRPr="00AD0ECE">
        <w:t xml:space="preserve"> W.A.P. Nieuwenhuizen, </w:t>
      </w:r>
      <w:r w:rsidRPr="00AD0ECE">
        <w:rPr>
          <w:i/>
        </w:rPr>
        <w:t>Bouwterrein in beweging</w:t>
      </w:r>
      <w:r w:rsidRPr="00AD0ECE">
        <w:t>, BTW-bulletin 2004/6.</w:t>
      </w:r>
    </w:p>
  </w:footnote>
  <w:footnote w:id="253">
    <w:p w:rsidR="00CC552D" w:rsidRPr="00AD0ECE" w:rsidRDefault="00CC552D" w:rsidP="007D6691">
      <w:pPr>
        <w:pStyle w:val="Voetnoottekst"/>
      </w:pPr>
      <w:r w:rsidRPr="00AD0ECE">
        <w:rPr>
          <w:rStyle w:val="Voetnootmarkering"/>
        </w:rPr>
        <w:footnoteRef/>
      </w:r>
      <w:r w:rsidRPr="00AD0ECE">
        <w:t xml:space="preserve"> W.P. Otto, </w:t>
      </w:r>
      <w:r w:rsidRPr="00AD0ECE">
        <w:rPr>
          <w:i/>
        </w:rPr>
        <w:t>Slopen of vervaardigen</w:t>
      </w:r>
      <w:r w:rsidRPr="00AD0ECE">
        <w:t>, BtwBrief 2008/4.</w:t>
      </w:r>
    </w:p>
  </w:footnote>
  <w:footnote w:id="254">
    <w:p w:rsidR="00CC552D" w:rsidRPr="00AD0ECE" w:rsidRDefault="00CC552D">
      <w:pPr>
        <w:pStyle w:val="Voetnoottekst"/>
      </w:pPr>
      <w:r w:rsidRPr="00AD0ECE">
        <w:rPr>
          <w:rStyle w:val="Voetnootmarkering"/>
        </w:rPr>
        <w:footnoteRef/>
      </w:r>
      <w:r w:rsidRPr="00AD0ECE">
        <w:t xml:space="preserve"> Vijf jaar na dato geeft </w:t>
      </w:r>
      <w:r w:rsidRPr="00AD0ECE">
        <w:rPr>
          <w:i/>
        </w:rPr>
        <w:t xml:space="preserve">Nieuwenhuizen </w:t>
      </w:r>
      <w:r w:rsidRPr="00AD0ECE">
        <w:t xml:space="preserve">in zijn artikel aan dat hij dit ook graag had gezien, maar zich </w:t>
      </w:r>
      <w:r w:rsidRPr="00AD0ECE">
        <w:rPr>
          <w:i/>
        </w:rPr>
        <w:t xml:space="preserve">´wel enigszins kan vinden´ </w:t>
      </w:r>
      <w:r w:rsidRPr="00AD0ECE">
        <w:t xml:space="preserve">in het oordeel van de Hoge Raad, zie W.A.P. Nieuwenhuizen, </w:t>
      </w:r>
      <w:r w:rsidRPr="00AD0ECE">
        <w:rPr>
          <w:i/>
        </w:rPr>
        <w:t>Van Dijk’s Boekhuis – een achterhaalde of vergeten klassieker?</w:t>
      </w:r>
      <w:r w:rsidRPr="00AD0ECE">
        <w:t>, NTFR 2008/647.</w:t>
      </w:r>
    </w:p>
  </w:footnote>
  <w:footnote w:id="255">
    <w:p w:rsidR="00CC552D" w:rsidRPr="00AD0ECE" w:rsidRDefault="00CC552D" w:rsidP="004D585B">
      <w:pPr>
        <w:pStyle w:val="Voetnoottekst"/>
      </w:pPr>
      <w:r w:rsidRPr="00AD0ECE">
        <w:rPr>
          <w:rStyle w:val="Voetnootmarkering"/>
        </w:rPr>
        <w:footnoteRef/>
      </w:r>
      <w:r w:rsidRPr="00AD0ECE">
        <w:t xml:space="preserve"> HR 3 oktober 2008, nr. 41 510, </w:t>
      </w:r>
      <w:r w:rsidRPr="00AD0ECE">
        <w:rPr>
          <w:i/>
        </w:rPr>
        <w:t>BNB 2009/25 *</w:t>
      </w:r>
      <w:r w:rsidRPr="00AD0ECE">
        <w:t>.</w:t>
      </w:r>
    </w:p>
  </w:footnote>
  <w:footnote w:id="256">
    <w:p w:rsidR="00CC552D" w:rsidRPr="00AD0ECE" w:rsidRDefault="00CC552D">
      <w:pPr>
        <w:pStyle w:val="Voetnoottekst"/>
      </w:pPr>
      <w:r w:rsidRPr="00AD0ECE">
        <w:rPr>
          <w:rStyle w:val="Voetnootmarkering"/>
        </w:rPr>
        <w:footnoteRef/>
      </w:r>
      <w:r w:rsidRPr="00AD0ECE">
        <w:t xml:space="preserve"> Hof Amsterdam, 18 oktober 2004, nr. 03/1746, </w:t>
      </w:r>
      <w:r w:rsidRPr="00AD0ECE">
        <w:rPr>
          <w:i/>
        </w:rPr>
        <w:t>VN 2005/6.1.14</w:t>
      </w:r>
      <w:r w:rsidRPr="00AD0ECE">
        <w:t>.</w:t>
      </w:r>
    </w:p>
  </w:footnote>
  <w:footnote w:id="257">
    <w:p w:rsidR="00CC552D" w:rsidRPr="00AD0ECE" w:rsidRDefault="00CC552D">
      <w:pPr>
        <w:pStyle w:val="Voetnoottekst"/>
      </w:pPr>
      <w:r w:rsidRPr="00AD0ECE">
        <w:rPr>
          <w:rStyle w:val="Voetnootmarkering"/>
        </w:rPr>
        <w:footnoteRef/>
      </w:r>
      <w:r w:rsidRPr="00AD0ECE">
        <w:t xml:space="preserve"> Aanknopingspunten met het Garagearrest aanwezig.</w:t>
      </w:r>
    </w:p>
  </w:footnote>
  <w:footnote w:id="258">
    <w:p w:rsidR="00CC552D" w:rsidRPr="00AD0ECE" w:rsidRDefault="00CC552D">
      <w:pPr>
        <w:pStyle w:val="Voetnoottekst"/>
      </w:pPr>
      <w:r w:rsidRPr="00AD0ECE">
        <w:rPr>
          <w:rStyle w:val="Voetnootmarkering"/>
        </w:rPr>
        <w:footnoteRef/>
      </w:r>
      <w:r w:rsidRPr="00AD0ECE">
        <w:t xml:space="preserve"> J.T. Sanders</w:t>
      </w:r>
      <w:r w:rsidRPr="00AD0ECE">
        <w:rPr>
          <w:i/>
        </w:rPr>
        <w:t>, Over vragen en overvragen</w:t>
      </w:r>
      <w:r w:rsidRPr="00AD0ECE">
        <w:t xml:space="preserve">, NTFR Beschouwingen, februari 2009/10. Aan het subsidiaire standpunt maakt hij (mijns inziens ten ontrechte) dan ook nauwelijks woorden vuil. In zijn noot bij HvJ EG 19 november 2009, nr. C-461/08 [Don Bosco Onroerend Goed BV], VN 2009/59.17, </w:t>
      </w:r>
      <w:r w:rsidRPr="00AD0ECE">
        <w:rPr>
          <w:i/>
        </w:rPr>
        <w:t>NTFR2009-2583</w:t>
      </w:r>
      <w:r w:rsidRPr="00AD0ECE">
        <w:t xml:space="preserve"> geeft </w:t>
      </w:r>
      <w:r w:rsidRPr="00AD0ECE">
        <w:rPr>
          <w:i/>
        </w:rPr>
        <w:t xml:space="preserve">Sanders </w:t>
      </w:r>
      <w:r w:rsidRPr="00AD0ECE">
        <w:t>overigens toe dat hij zijn beschouwing te snelle conclusies trok.</w:t>
      </w:r>
    </w:p>
  </w:footnote>
  <w:footnote w:id="259">
    <w:p w:rsidR="00CC552D" w:rsidRPr="00AD0ECE" w:rsidRDefault="00CC552D">
      <w:pPr>
        <w:pStyle w:val="Voetnoottekst"/>
      </w:pPr>
      <w:r w:rsidRPr="00AD0ECE">
        <w:rPr>
          <w:rStyle w:val="Voetnootmarkering"/>
        </w:rPr>
        <w:footnoteRef/>
      </w:r>
      <w:r w:rsidRPr="00AD0ECE">
        <w:t xml:space="preserve"> Aanknopingspunt met het Jeugdhonkarrest.</w:t>
      </w:r>
    </w:p>
  </w:footnote>
  <w:footnote w:id="260">
    <w:p w:rsidR="00CC552D" w:rsidRPr="00AD0ECE" w:rsidRDefault="00CC552D">
      <w:pPr>
        <w:pStyle w:val="Voetnoottekst"/>
      </w:pPr>
      <w:r w:rsidRPr="00AD0ECE">
        <w:rPr>
          <w:rStyle w:val="Voetnootmarkering"/>
        </w:rPr>
        <w:footnoteRef/>
      </w:r>
      <w:r w:rsidRPr="00AD0ECE">
        <w:t xml:space="preserve"> Zo blijkt uit het later bekend gemaakt beroep in cassatie, zie HR 3 oktober 2008, nr. 41 510, </w:t>
      </w:r>
      <w:r w:rsidRPr="00AD0ECE">
        <w:rPr>
          <w:i/>
        </w:rPr>
        <w:t>BNB 2009/25 *</w:t>
      </w:r>
      <w:r w:rsidRPr="00AD0ECE">
        <w:t>, “Middel tot cassatie.”</w:t>
      </w:r>
    </w:p>
  </w:footnote>
  <w:footnote w:id="261">
    <w:p w:rsidR="00CC552D" w:rsidRPr="00AD0ECE" w:rsidRDefault="00CC552D">
      <w:pPr>
        <w:pStyle w:val="Voetnoottekst"/>
      </w:pPr>
      <w:r w:rsidRPr="00AD0ECE">
        <w:rPr>
          <w:rStyle w:val="Voetnootmarkering"/>
        </w:rPr>
        <w:footnoteRef/>
      </w:r>
      <w:r w:rsidRPr="00AD0ECE">
        <w:t xml:space="preserve"> Daarbij verwijst het Hof naar het arrest </w:t>
      </w:r>
      <w:r w:rsidRPr="00AD0ECE">
        <w:rPr>
          <w:i/>
        </w:rPr>
        <w:t>Gemeente Emmen</w:t>
      </w:r>
      <w:r w:rsidRPr="00AD0ECE">
        <w:t xml:space="preserve"> (HvJ EG 28 maart 1996, nr. C-468/93[Gemeente Emmen], </w:t>
      </w:r>
      <w:r w:rsidRPr="00AD0ECE">
        <w:rPr>
          <w:i/>
        </w:rPr>
        <w:t>VN 1996/1545</w:t>
      </w:r>
      <w:r w:rsidRPr="00AD0ECE">
        <w:t>) waarin aan lidstaten beleidsvrijheid met betrekking tot invulling van het begrip ‘bouwterrein’ wordt gegeven.</w:t>
      </w:r>
    </w:p>
  </w:footnote>
  <w:footnote w:id="262">
    <w:p w:rsidR="00CC552D" w:rsidRPr="00AD0ECE" w:rsidRDefault="00CC552D">
      <w:pPr>
        <w:pStyle w:val="Voetnoottekst"/>
      </w:pPr>
      <w:r w:rsidRPr="00AD0ECE">
        <w:rPr>
          <w:rStyle w:val="Voetnootmarkering"/>
        </w:rPr>
        <w:footnoteRef/>
      </w:r>
      <w:r w:rsidRPr="00AD0ECE">
        <w:t xml:space="preserve"> HR 3 oktober 2008, nr. 41 510, </w:t>
      </w:r>
      <w:r w:rsidRPr="00AD0ECE">
        <w:rPr>
          <w:i/>
        </w:rPr>
        <w:t>BNB 2009/25 *</w:t>
      </w:r>
      <w:r w:rsidRPr="00AD0ECE">
        <w:t>, r.o. 4. Deze vragen zijn gepubliceerd in het Publicatieblad van de Europese Unie (nr. C-69/17) onder de noemer ‘Don Bosco Onroerend Goed BV’ met zaaknummer C-461/08.</w:t>
      </w:r>
    </w:p>
  </w:footnote>
  <w:footnote w:id="263">
    <w:p w:rsidR="00CC552D" w:rsidRPr="00AD0ECE" w:rsidRDefault="00CC552D">
      <w:pPr>
        <w:pStyle w:val="Voetnoottekst"/>
      </w:pPr>
      <w:r w:rsidRPr="00AD0ECE">
        <w:rPr>
          <w:rStyle w:val="Voetnootmarkering"/>
        </w:rPr>
        <w:footnoteRef/>
      </w:r>
      <w:r w:rsidRPr="00AD0ECE">
        <w:t xml:space="preserve"> HR 3 oktober 2008, nr. 41 510, </w:t>
      </w:r>
      <w:r w:rsidRPr="00AD0ECE">
        <w:rPr>
          <w:i/>
        </w:rPr>
        <w:t>VN 2008/48.18</w:t>
      </w:r>
      <w:r w:rsidRPr="00AD0ECE">
        <w:t>, aantekening.</w:t>
      </w:r>
    </w:p>
  </w:footnote>
  <w:footnote w:id="264">
    <w:p w:rsidR="00CC552D" w:rsidRPr="00AD0ECE" w:rsidRDefault="00CC552D">
      <w:pPr>
        <w:pStyle w:val="Voetnoottekst"/>
      </w:pPr>
      <w:r w:rsidRPr="00AD0ECE">
        <w:rPr>
          <w:rStyle w:val="Voetnootmarkering"/>
        </w:rPr>
        <w:footnoteRef/>
      </w:r>
      <w:r w:rsidRPr="00AD0ECE">
        <w:t xml:space="preserve"> HR 3 oktober 2008, nr. 41 510, </w:t>
      </w:r>
      <w:r w:rsidRPr="00AD0ECE">
        <w:rPr>
          <w:i/>
        </w:rPr>
        <w:t>BNB 2009/25 *</w:t>
      </w:r>
      <w:r w:rsidRPr="00AD0ECE">
        <w:t>, r.o. 3.4.3.</w:t>
      </w:r>
    </w:p>
  </w:footnote>
  <w:footnote w:id="265">
    <w:p w:rsidR="00CC552D" w:rsidRPr="00AD0ECE" w:rsidRDefault="00CC552D">
      <w:pPr>
        <w:pStyle w:val="Voetnoottekst"/>
      </w:pPr>
      <w:r w:rsidRPr="00AD0ECE">
        <w:rPr>
          <w:rStyle w:val="Voetnootmarkering"/>
        </w:rPr>
        <w:footnoteRef/>
      </w:r>
      <w:r w:rsidRPr="00AD0ECE">
        <w:t xml:space="preserve"> HR 3 oktober 2008, nr. 41 510, </w:t>
      </w:r>
      <w:r w:rsidRPr="00AD0ECE">
        <w:rPr>
          <w:i/>
        </w:rPr>
        <w:t>BNB 2009/25 *</w:t>
      </w:r>
      <w:r w:rsidRPr="00AD0ECE">
        <w:t>, r.o. 3.4.4.</w:t>
      </w:r>
    </w:p>
  </w:footnote>
  <w:footnote w:id="266">
    <w:p w:rsidR="00CC552D" w:rsidRPr="00AD0ECE" w:rsidRDefault="00CC552D">
      <w:pPr>
        <w:pStyle w:val="Voetnoottekst"/>
      </w:pPr>
      <w:r w:rsidRPr="00AD0ECE">
        <w:rPr>
          <w:rStyle w:val="Voetnootmarkering"/>
        </w:rPr>
        <w:footnoteRef/>
      </w:r>
      <w:r w:rsidRPr="00AD0ECE">
        <w:t xml:space="preserve"> HR 3 oktober 2008, nr. 41 510, </w:t>
      </w:r>
      <w:r w:rsidRPr="00AD0ECE">
        <w:rPr>
          <w:i/>
        </w:rPr>
        <w:t>BNB 2009/25 *</w:t>
      </w:r>
      <w:r w:rsidRPr="00AD0ECE">
        <w:t>, r.o. 3.4.5.</w:t>
      </w:r>
    </w:p>
  </w:footnote>
  <w:footnote w:id="267">
    <w:p w:rsidR="00CC552D" w:rsidRPr="00AD0ECE" w:rsidRDefault="00CC552D">
      <w:pPr>
        <w:pStyle w:val="Voetnoottekst"/>
      </w:pPr>
      <w:r w:rsidRPr="00AD0ECE">
        <w:rPr>
          <w:rStyle w:val="Voetnootmarkering"/>
        </w:rPr>
        <w:footnoteRef/>
      </w:r>
      <w:r w:rsidRPr="00AD0ECE">
        <w:t xml:space="preserve"> HR 3 oktober 2008, nr. 41 510, </w:t>
      </w:r>
      <w:r w:rsidRPr="00AD0ECE">
        <w:rPr>
          <w:i/>
        </w:rPr>
        <w:t>BNB 2009/25 *</w:t>
      </w:r>
      <w:r w:rsidRPr="00AD0ECE">
        <w:t>, r.o. 3.4.6.</w:t>
      </w:r>
    </w:p>
  </w:footnote>
  <w:footnote w:id="268">
    <w:p w:rsidR="00CC552D" w:rsidRPr="00AD0ECE" w:rsidRDefault="00CC552D">
      <w:pPr>
        <w:pStyle w:val="Voetnoottekst"/>
      </w:pPr>
      <w:r w:rsidRPr="00AD0ECE">
        <w:rPr>
          <w:rStyle w:val="Voetnootmarkering"/>
        </w:rPr>
        <w:footnoteRef/>
      </w:r>
      <w:r w:rsidRPr="00AD0ECE">
        <w:t xml:space="preserve"> HR 3 oktober 2008, nr. 41 510, </w:t>
      </w:r>
      <w:r w:rsidRPr="00AD0ECE">
        <w:rPr>
          <w:i/>
        </w:rPr>
        <w:t>BNB 2009/25 *</w:t>
      </w:r>
      <w:r w:rsidRPr="00AD0ECE">
        <w:t>, r.o. 3.4.8.</w:t>
      </w:r>
    </w:p>
  </w:footnote>
  <w:footnote w:id="269">
    <w:p w:rsidR="00CC552D" w:rsidRPr="00AD0ECE" w:rsidRDefault="00CC552D" w:rsidP="00A17A0E">
      <w:pPr>
        <w:pStyle w:val="Voetnoottekst"/>
      </w:pPr>
      <w:r w:rsidRPr="00AD0ECE">
        <w:rPr>
          <w:rStyle w:val="Voetnootmarkering"/>
        </w:rPr>
        <w:footnoteRef/>
      </w:r>
      <w:r w:rsidRPr="00AD0ECE">
        <w:t xml:space="preserve"> </w:t>
      </w:r>
      <w:r w:rsidRPr="00AD0ECE">
        <w:rPr>
          <w:i/>
        </w:rPr>
        <w:t>Nieuwenhuizen</w:t>
      </w:r>
      <w:r w:rsidRPr="00AD0ECE">
        <w:t xml:space="preserve"> komt in zijn aantekening bij NTFR2008-1955met als aantekeningtitel </w:t>
      </w:r>
      <w:r w:rsidRPr="00AD0ECE">
        <w:rPr>
          <w:i/>
        </w:rPr>
        <w:t>‘Prejudiciële vragen over sloop en vervaardiging van een nieuwe onroerende zaak’</w:t>
      </w:r>
      <w:r w:rsidRPr="00AD0ECE">
        <w:t xml:space="preserve"> superlatieven tekort om zijn waardering uit te spreken.</w:t>
      </w:r>
    </w:p>
  </w:footnote>
  <w:footnote w:id="270">
    <w:p w:rsidR="00CC552D" w:rsidRPr="00AD0ECE" w:rsidRDefault="00CC552D">
      <w:pPr>
        <w:pStyle w:val="Voetnoottekst"/>
        <w:rPr>
          <w:i/>
        </w:rPr>
      </w:pPr>
      <w:r w:rsidRPr="00AD0ECE">
        <w:rPr>
          <w:rStyle w:val="Voetnootmarkering"/>
        </w:rPr>
        <w:footnoteRef/>
      </w:r>
      <w:r w:rsidRPr="00AD0ECE">
        <w:t xml:space="preserve"> In zijn noot</w:t>
      </w:r>
      <w:r w:rsidRPr="00AD0ECE">
        <w:rPr>
          <w:i/>
        </w:rPr>
        <w:t xml:space="preserve"> BNB 2009/25 *.</w:t>
      </w:r>
    </w:p>
  </w:footnote>
  <w:footnote w:id="271">
    <w:p w:rsidR="00CC552D" w:rsidRPr="00AD0ECE" w:rsidRDefault="00CC552D">
      <w:pPr>
        <w:pStyle w:val="Voetnoottekst"/>
      </w:pPr>
      <w:r w:rsidRPr="00AD0ECE">
        <w:rPr>
          <w:rStyle w:val="Voetnootmarkering"/>
        </w:rPr>
        <w:footnoteRef/>
      </w:r>
      <w:r w:rsidRPr="00AD0ECE">
        <w:t xml:space="preserve"> Overigens is in onderhavig arrest volledige sloop niet aan de orde, omdat de oorspronkelijke bebouwing inclusief verbouwing nog niet geheel was verwijderd.</w:t>
      </w:r>
    </w:p>
  </w:footnote>
  <w:footnote w:id="272">
    <w:p w:rsidR="00CC552D" w:rsidRPr="00AD0ECE" w:rsidRDefault="00CC552D" w:rsidP="00534389">
      <w:pPr>
        <w:pStyle w:val="Voetnoottekst"/>
      </w:pPr>
      <w:r w:rsidRPr="00AD0ECE">
        <w:rPr>
          <w:rStyle w:val="Voetnootmarkering"/>
        </w:rPr>
        <w:footnoteRef/>
      </w:r>
      <w:r w:rsidRPr="00AD0ECE">
        <w:t xml:space="preserve"> HR 7 maart 2003, nr. 37 525, </w:t>
      </w:r>
      <w:r w:rsidRPr="00AD0ECE">
        <w:rPr>
          <w:i/>
        </w:rPr>
        <w:t>BNB 2003/193 c*</w:t>
      </w:r>
      <w:r w:rsidRPr="00AD0ECE">
        <w:t xml:space="preserve">, r.o. 3.6.3. </w:t>
      </w:r>
    </w:p>
  </w:footnote>
  <w:footnote w:id="273">
    <w:p w:rsidR="00CC552D" w:rsidRPr="00AD0ECE" w:rsidRDefault="00CC552D">
      <w:pPr>
        <w:pStyle w:val="Voetnoottekst"/>
      </w:pPr>
      <w:r w:rsidRPr="00AD0ECE">
        <w:rPr>
          <w:rStyle w:val="Voetnootmarkering"/>
        </w:rPr>
        <w:footnoteRef/>
      </w:r>
      <w:r w:rsidRPr="00AD0ECE">
        <w:t xml:space="preserve"> Dit ondanks dat sinds het arrest </w:t>
      </w:r>
      <w:r w:rsidRPr="00AD0ECE">
        <w:rPr>
          <w:i/>
        </w:rPr>
        <w:t xml:space="preserve">Gemeente Emmen </w:t>
      </w:r>
      <w:r w:rsidRPr="00AD0ECE">
        <w:t xml:space="preserve">(HvJ EG 28 maart 1996, nr. C-468/93[Gemeente Emmen], </w:t>
      </w:r>
      <w:r w:rsidRPr="00AD0ECE">
        <w:rPr>
          <w:i/>
        </w:rPr>
        <w:t>VN 1996/</w:t>
      </w:r>
      <w:r w:rsidRPr="00AD0ECE">
        <w:t>1545) reeds bekend is dat invulling van het begrip ‘bouwterrein’ aan lidstaten wordt overgelaten.</w:t>
      </w:r>
    </w:p>
  </w:footnote>
  <w:footnote w:id="274">
    <w:p w:rsidR="00CC552D" w:rsidRPr="00AD0ECE" w:rsidRDefault="00CC552D">
      <w:pPr>
        <w:pStyle w:val="Voetnoottekst"/>
      </w:pPr>
      <w:r w:rsidRPr="00AD0ECE">
        <w:rPr>
          <w:rStyle w:val="Voetnootmarkering"/>
        </w:rPr>
        <w:footnoteRef/>
      </w:r>
      <w:r w:rsidRPr="00AD0ECE">
        <w:t xml:space="preserve"> HR 3 oktober 2008, nr. 41 510, </w:t>
      </w:r>
      <w:r w:rsidRPr="00AD0ECE">
        <w:rPr>
          <w:i/>
        </w:rPr>
        <w:t>BNB 2009/25 *</w:t>
      </w:r>
      <w:r w:rsidRPr="00AD0ECE">
        <w:t>, r.o. 3.4.4.</w:t>
      </w:r>
    </w:p>
  </w:footnote>
  <w:footnote w:id="275">
    <w:p w:rsidR="00CC552D" w:rsidRPr="00AD0ECE" w:rsidRDefault="00CC552D">
      <w:pPr>
        <w:pStyle w:val="Voetnoottekst"/>
      </w:pPr>
      <w:r w:rsidRPr="00AD0ECE">
        <w:rPr>
          <w:rStyle w:val="Voetnootmarkering"/>
        </w:rPr>
        <w:footnoteRef/>
      </w:r>
      <w:r w:rsidRPr="00AD0ECE">
        <w:t xml:space="preserve"> M. Eryilmaz, </w:t>
      </w:r>
      <w:r w:rsidRPr="00AD0ECE">
        <w:rPr>
          <w:i/>
        </w:rPr>
        <w:t>De btw onder de slopershamer</w:t>
      </w:r>
      <w:r w:rsidRPr="00AD0ECE">
        <w:t>, BTW-bulletin 2009/1.</w:t>
      </w:r>
    </w:p>
  </w:footnote>
  <w:footnote w:id="276">
    <w:p w:rsidR="00CC552D" w:rsidRPr="00AD0ECE" w:rsidRDefault="00CC552D">
      <w:pPr>
        <w:pStyle w:val="Voetnoottekst"/>
      </w:pPr>
      <w:r w:rsidRPr="00AD0ECE">
        <w:rPr>
          <w:rStyle w:val="Voetnootmarkering"/>
        </w:rPr>
        <w:footnoteRef/>
      </w:r>
      <w:r w:rsidRPr="00AD0ECE">
        <w:t xml:space="preserve"> Ik meen hierbij dat invorderingsproblematiek in de invorderingswet wordt opgelost en niet in de omzetbelasting. Gedacht kan namelijk worden aan een systeem waarbij BTW niet in voor aftrek wordt gebracht op het moment van sloop, maar bij voltooiing van de nieuwbouw alsnog de voorbelasting in aftrek mag worden gebracht. Een andere optie is om volledige aftrek toe te staan en een vorm van herziening in te voeren. Wanneer geen nieuwbouw is gerealiseerd dient BTW met terugwerkende kracht te worden voldaan. </w:t>
      </w:r>
    </w:p>
  </w:footnote>
  <w:footnote w:id="277">
    <w:p w:rsidR="00CC552D" w:rsidRPr="00AD0ECE" w:rsidRDefault="00CC552D" w:rsidP="003F6061">
      <w:pPr>
        <w:pStyle w:val="Voetnoottekst"/>
      </w:pPr>
      <w:r w:rsidRPr="00AD0ECE">
        <w:rPr>
          <w:rStyle w:val="Voetnootmarkering"/>
        </w:rPr>
        <w:footnoteRef/>
      </w:r>
      <w:r w:rsidRPr="00AD0ECE">
        <w:t xml:space="preserve"> </w:t>
      </w:r>
      <w:r w:rsidRPr="00AD0ECE">
        <w:rPr>
          <w:i/>
        </w:rPr>
        <w:t xml:space="preserve">Van den Elsen en Hessing-Sinnige </w:t>
      </w:r>
      <w:r w:rsidRPr="00AD0ECE">
        <w:t xml:space="preserve">trekken mijns inziens een te overhaaste conclusie. Zij stellen </w:t>
      </w:r>
      <w:r w:rsidRPr="00AD0ECE">
        <w:rPr>
          <w:i/>
        </w:rPr>
        <w:t>‘Zodra men begonnen is met slopen, is de levering van rechtswege btw-belast, men hoeft hiervoor dus niet meer eerst volledig te (laten) slopen en kwalificeren als bouwterrein,’</w:t>
      </w:r>
      <w:r w:rsidRPr="00AD0ECE">
        <w:t xml:space="preserve"> terwijl na uitspraak van het HvJ EG en later de Hoge Raad niet elke sloop tot vervaardiging zal leiden, zie E.H. van den Elsen c.s., </w:t>
      </w:r>
      <w:r w:rsidRPr="00AD0ECE">
        <w:rPr>
          <w:i/>
        </w:rPr>
        <w:t>Ik sloop dus ik creëer:’ will history rebuild itself?’</w:t>
      </w:r>
      <w:r w:rsidRPr="00AD0ECE">
        <w:t>, Vastgoed Fiscaal &amp; Civiel 2008/6.</w:t>
      </w:r>
    </w:p>
  </w:footnote>
  <w:footnote w:id="278">
    <w:p w:rsidR="00CC552D" w:rsidRPr="00AD0ECE" w:rsidRDefault="00CC552D" w:rsidP="001C2F78">
      <w:pPr>
        <w:pStyle w:val="Voetnoottekst"/>
      </w:pPr>
      <w:r w:rsidRPr="00AD0ECE">
        <w:rPr>
          <w:rStyle w:val="Voetnootmarkering"/>
        </w:rPr>
        <w:footnoteRef/>
      </w:r>
      <w:r w:rsidRPr="00AD0ECE">
        <w:t xml:space="preserve"> HvJ EG 19 november 2009, nr. C-461/08 [Don Bosco Onroerend Goed BV], </w:t>
      </w:r>
      <w:r w:rsidRPr="00AD0ECE">
        <w:rPr>
          <w:i/>
        </w:rPr>
        <w:t>VN 2009/59.17</w:t>
      </w:r>
      <w:r w:rsidRPr="00AD0ECE">
        <w:t>.</w:t>
      </w:r>
    </w:p>
  </w:footnote>
  <w:footnote w:id="279">
    <w:p w:rsidR="00CC552D" w:rsidRPr="00AD0ECE" w:rsidRDefault="00CC552D" w:rsidP="001C2F78">
      <w:pPr>
        <w:pStyle w:val="Voetnoottekst"/>
      </w:pPr>
      <w:r w:rsidRPr="00AD0ECE">
        <w:rPr>
          <w:rStyle w:val="Voetnootmarkering"/>
        </w:rPr>
        <w:footnoteRef/>
      </w:r>
      <w:r w:rsidRPr="00AD0ECE">
        <w:t xml:space="preserve"> HvJ EG 19 november 2009, nr. C-461/08 [Don Bosco Onroerend Goed BV], </w:t>
      </w:r>
      <w:r w:rsidRPr="00AD0ECE">
        <w:rPr>
          <w:i/>
        </w:rPr>
        <w:t>VN 2009/59.17</w:t>
      </w:r>
      <w:r w:rsidRPr="00AD0ECE">
        <w:t>, r.o. 24.</w:t>
      </w:r>
    </w:p>
  </w:footnote>
  <w:footnote w:id="280">
    <w:p w:rsidR="00CC552D" w:rsidRPr="00AD0ECE" w:rsidRDefault="00CC552D" w:rsidP="001C2F78">
      <w:pPr>
        <w:pStyle w:val="Voetnoottekst"/>
      </w:pPr>
      <w:r w:rsidRPr="00AD0ECE">
        <w:rPr>
          <w:rStyle w:val="Voetnootmarkering"/>
        </w:rPr>
        <w:footnoteRef/>
      </w:r>
      <w:r w:rsidR="00D12918">
        <w:t xml:space="preserve"> De discussie of </w:t>
      </w:r>
      <w:r w:rsidRPr="00AD0ECE">
        <w:t>hier sprake is van één dienst dan wel een bijkomende dienst en/of samensmelting van diensten correct is, gaat de reikwijdte van deze scriptie te buiten.</w:t>
      </w:r>
    </w:p>
  </w:footnote>
  <w:footnote w:id="281">
    <w:p w:rsidR="00CC552D" w:rsidRPr="00AD0ECE" w:rsidRDefault="00CC552D" w:rsidP="001C2F78">
      <w:pPr>
        <w:pStyle w:val="Voetnoottekst"/>
      </w:pPr>
      <w:r w:rsidRPr="00AD0ECE">
        <w:rPr>
          <w:rStyle w:val="Voetnootmarkering"/>
        </w:rPr>
        <w:footnoteRef/>
      </w:r>
      <w:r w:rsidRPr="00AD0ECE">
        <w:t xml:space="preserve"> HvJ EG 19 november 2009, nr. C-461/08 [Don Bosco Onroerend Goed BV], </w:t>
      </w:r>
      <w:r w:rsidRPr="00AD0ECE">
        <w:rPr>
          <w:i/>
        </w:rPr>
        <w:t>VN 2009/59.17</w:t>
      </w:r>
      <w:r w:rsidRPr="00AD0ECE">
        <w:t>, r.o. 39.</w:t>
      </w:r>
    </w:p>
  </w:footnote>
  <w:footnote w:id="282">
    <w:p w:rsidR="00CC552D" w:rsidRPr="00AD0ECE" w:rsidRDefault="00CC552D" w:rsidP="001C2F78">
      <w:pPr>
        <w:pStyle w:val="Voetnoottekst"/>
      </w:pPr>
      <w:r w:rsidRPr="00AD0ECE">
        <w:rPr>
          <w:rStyle w:val="Voetnootmarkering"/>
        </w:rPr>
        <w:footnoteRef/>
      </w:r>
      <w:r w:rsidRPr="00AD0ECE">
        <w:t xml:space="preserve"> HvJ EG 19 november 2009, nr. C-461/08 [Don Bosco Onroerend Goed BV], </w:t>
      </w:r>
      <w:r w:rsidRPr="00AD0ECE">
        <w:rPr>
          <w:i/>
        </w:rPr>
        <w:t>VN 2009/59.17</w:t>
      </w:r>
      <w:r w:rsidRPr="00AD0ECE">
        <w:t>, r.o. 41.</w:t>
      </w:r>
    </w:p>
  </w:footnote>
  <w:footnote w:id="283">
    <w:p w:rsidR="00CC552D" w:rsidRPr="00AD0ECE" w:rsidRDefault="00CC552D" w:rsidP="001C2F78">
      <w:pPr>
        <w:pStyle w:val="Voetnoottekst"/>
      </w:pPr>
      <w:r w:rsidRPr="00AD0ECE">
        <w:rPr>
          <w:rStyle w:val="Voetnootmarkering"/>
        </w:rPr>
        <w:footnoteRef/>
      </w:r>
      <w:r w:rsidRPr="00AD0ECE">
        <w:t xml:space="preserve"> HvJ EG 28 maart 1996, nr. C-468/93[Gemeente Emmen], </w:t>
      </w:r>
      <w:r w:rsidRPr="00AD0ECE">
        <w:rPr>
          <w:i/>
        </w:rPr>
        <w:t>VN 1996/1545</w:t>
      </w:r>
      <w:r w:rsidRPr="00AD0ECE">
        <w:t>.</w:t>
      </w:r>
    </w:p>
  </w:footnote>
  <w:footnote w:id="284">
    <w:p w:rsidR="00CC552D" w:rsidRPr="00AD0ECE" w:rsidRDefault="00CC552D" w:rsidP="001C2F78">
      <w:pPr>
        <w:pStyle w:val="Voetnoottekst"/>
      </w:pPr>
      <w:r w:rsidRPr="00AD0ECE">
        <w:rPr>
          <w:rStyle w:val="Voetnootmarkering"/>
        </w:rPr>
        <w:footnoteRef/>
      </w:r>
      <w:r w:rsidRPr="00AD0ECE">
        <w:t xml:space="preserve"> HvJ EG 19 november 2009, nr. C-461/08 [Don Bosco Onroerend Goed BV], </w:t>
      </w:r>
      <w:r w:rsidRPr="00AD0ECE">
        <w:rPr>
          <w:i/>
        </w:rPr>
        <w:t>NTFR2009-2583</w:t>
      </w:r>
      <w:r w:rsidRPr="00AD0ECE">
        <w:t>.</w:t>
      </w:r>
    </w:p>
  </w:footnote>
  <w:footnote w:id="285">
    <w:p w:rsidR="00CC552D" w:rsidRPr="00AD0ECE" w:rsidRDefault="00CC552D" w:rsidP="00810D51">
      <w:pPr>
        <w:pStyle w:val="Voetnoottekst"/>
      </w:pPr>
      <w:r w:rsidRPr="00AD0ECE">
        <w:rPr>
          <w:rStyle w:val="Voetnootmarkering"/>
        </w:rPr>
        <w:footnoteRef/>
      </w:r>
      <w:r w:rsidRPr="00AD0ECE">
        <w:t xml:space="preserve"> Graag pas ik in dezen ook de schrijfstijl van deze paragraaf aan.</w:t>
      </w:r>
    </w:p>
  </w:footnote>
  <w:footnote w:id="286">
    <w:p w:rsidR="00CC552D" w:rsidRPr="00AD0ECE" w:rsidRDefault="00CC552D" w:rsidP="00810D51">
      <w:pPr>
        <w:pStyle w:val="Voetnoottekst"/>
      </w:pPr>
      <w:r w:rsidRPr="00AD0ECE">
        <w:rPr>
          <w:rStyle w:val="Voetnootmarkering"/>
        </w:rPr>
        <w:footnoteRef/>
      </w:r>
      <w:r w:rsidRPr="00AD0ECE">
        <w:t xml:space="preserve"> Onder verwijzing naar de Toelichting op het voorstel van de Zesde Richtlijn.</w:t>
      </w:r>
    </w:p>
  </w:footnote>
  <w:footnote w:id="287">
    <w:p w:rsidR="00CC552D" w:rsidRPr="00AD0ECE" w:rsidRDefault="00CC552D">
      <w:pPr>
        <w:pStyle w:val="Voetnoottekst"/>
      </w:pPr>
      <w:r w:rsidRPr="00AD0ECE">
        <w:rPr>
          <w:rStyle w:val="Voetnootmarkering"/>
        </w:rPr>
        <w:footnoteRef/>
      </w:r>
      <w:r w:rsidRPr="00AD0ECE">
        <w:t xml:space="preserve"> Ben Terra c.s. </w:t>
      </w:r>
      <w:r w:rsidRPr="00AD0ECE">
        <w:rPr>
          <w:i/>
        </w:rPr>
        <w:t xml:space="preserve">A guide to the European VAT Directives – Introduction to European VAT – Volume 1, </w:t>
      </w:r>
      <w:r w:rsidRPr="00AD0ECE">
        <w:t>IBFD, 2008, blz. 847, waarbij met ‘patchwork’ wordt gedoeld op een handwerktechniek waarbij katoenen stof lapjes van verschillende kleuren aan elkaar worden genaaid.</w:t>
      </w:r>
    </w:p>
  </w:footnote>
  <w:footnote w:id="288">
    <w:p w:rsidR="00CC552D" w:rsidRPr="00AD0ECE" w:rsidRDefault="00CC552D">
      <w:pPr>
        <w:pStyle w:val="Voetnoottekst"/>
      </w:pPr>
      <w:r w:rsidRPr="00AD0ECE">
        <w:rPr>
          <w:rStyle w:val="Voetnootmarkering"/>
        </w:rPr>
        <w:footnoteRef/>
      </w:r>
      <w:r w:rsidRPr="00AD0ECE">
        <w:t xml:space="preserve"> Dit hoofdstuk beschrijft enkel de hoofdlijnen en opvallende regelingen in het buitenland aangaande onroerend goed. Niet zal worden ingegaan op artikelnummers en jurisprudentie.</w:t>
      </w:r>
    </w:p>
  </w:footnote>
  <w:footnote w:id="289">
    <w:p w:rsidR="00CC552D" w:rsidRPr="00AD0ECE" w:rsidRDefault="00CC552D">
      <w:pPr>
        <w:pStyle w:val="Voetnoottekst"/>
      </w:pPr>
      <w:r w:rsidRPr="00AD0ECE">
        <w:rPr>
          <w:rStyle w:val="Voetnootmarkering"/>
        </w:rPr>
        <w:footnoteRef/>
      </w:r>
      <w:r w:rsidRPr="00AD0ECE">
        <w:t xml:space="preserve"> De Belgische wetgever heeft daarbij gebruik gemaakt van de kan-bepaling in artikel 12, lid 1 BTW-richtlijn waarin is bepaald dat als belastingplichtige wordt aangemerkt eenieder die incidenteel onroerend goedleveringen doet.</w:t>
      </w:r>
    </w:p>
  </w:footnote>
  <w:footnote w:id="290">
    <w:p w:rsidR="00CC552D" w:rsidRPr="00AD0ECE" w:rsidRDefault="00CC552D" w:rsidP="00214465">
      <w:pPr>
        <w:pStyle w:val="Voetnoottekst"/>
      </w:pPr>
      <w:r w:rsidRPr="00AD0ECE">
        <w:rPr>
          <w:rStyle w:val="Voetnootmarkering"/>
        </w:rPr>
        <w:footnoteRef/>
      </w:r>
      <w:r w:rsidRPr="00AD0ECE">
        <w:t xml:space="preserve"> </w:t>
      </w:r>
      <w:r w:rsidRPr="00AD0ECE">
        <w:rPr>
          <w:i/>
        </w:rPr>
        <w:t xml:space="preserve">“Nieuw gebouw” – twee woorden die een nieuwe betekenis kregen en aanleiding geven tot nieuwe </w:t>
      </w:r>
      <w:r w:rsidRPr="00AD0ECE">
        <w:t>opportuniteiten, Quarterly Tax &amp; Legal, januari 2003, nummer 14, Deloitte &amp; Touche België.</w:t>
      </w:r>
    </w:p>
  </w:footnote>
  <w:footnote w:id="291">
    <w:p w:rsidR="00CC552D" w:rsidRPr="00AD0ECE" w:rsidRDefault="00CC552D" w:rsidP="003656DE">
      <w:pPr>
        <w:pStyle w:val="Voetnoottekst"/>
      </w:pPr>
      <w:r w:rsidRPr="00AD0ECE">
        <w:rPr>
          <w:rStyle w:val="Voetnootmarkering"/>
        </w:rPr>
        <w:footnoteRef/>
      </w:r>
      <w:r w:rsidRPr="00AD0ECE">
        <w:rPr>
          <w:lang w:val="en-US"/>
        </w:rPr>
        <w:t xml:space="preserve"> P. Wille, </w:t>
      </w:r>
      <w:r w:rsidRPr="00AD0ECE">
        <w:rPr>
          <w:i/>
          <w:lang w:val="en-US"/>
        </w:rPr>
        <w:t>Belgium</w:t>
      </w:r>
      <w:r w:rsidRPr="00AD0ECE">
        <w:rPr>
          <w:lang w:val="en-US"/>
        </w:rPr>
        <w:t xml:space="preserve">, Value Added Tax, IBFD, april 2009, blz. 105. </w:t>
      </w:r>
      <w:r w:rsidRPr="00AD0ECE">
        <w:t>Deze informatie is up-to-date tot 20 februari 2009.</w:t>
      </w:r>
    </w:p>
  </w:footnote>
  <w:footnote w:id="292">
    <w:p w:rsidR="00CC552D" w:rsidRPr="00AD0ECE" w:rsidRDefault="00CC552D">
      <w:pPr>
        <w:pStyle w:val="Voetnoottekst"/>
      </w:pPr>
      <w:r w:rsidRPr="00AD0ECE">
        <w:rPr>
          <w:rStyle w:val="Voetnootmarkering"/>
        </w:rPr>
        <w:footnoteRef/>
      </w:r>
      <w:r w:rsidRPr="00AD0ECE">
        <w:t xml:space="preserve"> T.J.C. Charon, </w:t>
      </w:r>
      <w:r w:rsidRPr="00AD0ECE">
        <w:rPr>
          <w:i/>
        </w:rPr>
        <w:t>Vastgoedontwikkelingen in België</w:t>
      </w:r>
      <w:r w:rsidRPr="00AD0ECE">
        <w:t>, Vastgoed Fiscaal &amp; Civiel 2004/4.</w:t>
      </w:r>
    </w:p>
  </w:footnote>
  <w:footnote w:id="293">
    <w:p w:rsidR="00CC552D" w:rsidRPr="00AD0ECE" w:rsidRDefault="00CC552D">
      <w:pPr>
        <w:pStyle w:val="Voetnoottekst"/>
      </w:pPr>
      <w:r w:rsidRPr="00AD0ECE">
        <w:rPr>
          <w:rStyle w:val="Voetnootmarkering"/>
        </w:rPr>
        <w:footnoteRef/>
      </w:r>
      <w:r w:rsidRPr="00AD0ECE">
        <w:t xml:space="preserve"> Deze bevoegdheid vloeit voort uit het arrest </w:t>
      </w:r>
      <w:r w:rsidRPr="00AD0ECE">
        <w:rPr>
          <w:i/>
        </w:rPr>
        <w:t>Norbury Developments Ltd</w:t>
      </w:r>
      <w:r w:rsidRPr="00AD0ECE">
        <w:t xml:space="preserve"> (HvJ EG 29 april 1999, C-136/97 [Norbury Developments Ltd], </w:t>
      </w:r>
      <w:r w:rsidRPr="00AD0ECE">
        <w:rPr>
          <w:i/>
        </w:rPr>
        <w:t>VN 1999/26.22</w:t>
      </w:r>
      <w:r w:rsidRPr="00AD0ECE">
        <w:t xml:space="preserve">, waarin beslist dat </w:t>
      </w:r>
      <w:r w:rsidRPr="00AD0ECE">
        <w:rPr>
          <w:i/>
        </w:rPr>
        <w:t>‘(…) een lidstaat (…) de levering van een bouwterrein mag vrijstellen, ook indien hij, enerzijds, sinds de vaststelling van de richtlijn de mogelijkheid heeft ingevoerd af te zien van de BTW-vrijstelling ter zake van deze leveringen, en, anderzijds, de materiële draagwijdte van de op die leveringen toepasselijke vrijstelling zo heeft beperkt, dat bepaalde eerder vrijgestelde leveringen voortaan aan de BTW zijn onderworpen</w:t>
      </w:r>
      <w:r w:rsidRPr="00AD0ECE">
        <w:t>,</w:t>
      </w:r>
      <w:r w:rsidRPr="00AD0ECE">
        <w:rPr>
          <w:i/>
        </w:rPr>
        <w:t>’</w:t>
      </w:r>
      <w:r w:rsidRPr="00AD0ECE">
        <w:t xml:space="preserve"> aldus r.o. 21.</w:t>
      </w:r>
    </w:p>
  </w:footnote>
  <w:footnote w:id="294">
    <w:p w:rsidR="00CC552D" w:rsidRPr="00AD0ECE" w:rsidRDefault="00CC552D">
      <w:pPr>
        <w:pStyle w:val="Voetnoottekst"/>
      </w:pPr>
      <w:r w:rsidRPr="00AD0ECE">
        <w:rPr>
          <w:rStyle w:val="Voetnootmarkering"/>
        </w:rPr>
        <w:footnoteRef/>
      </w:r>
      <w:r w:rsidRPr="00AD0ECE">
        <w:t xml:space="preserve"> T.J.C. Charon, </w:t>
      </w:r>
      <w:r w:rsidRPr="00AD0ECE">
        <w:rPr>
          <w:i/>
        </w:rPr>
        <w:t>Vastgoedontwikkelingen in Luxemburg</w:t>
      </w:r>
      <w:r w:rsidRPr="00AD0ECE">
        <w:t>, Vastgoed Fiscaal &amp; Civiel 2004/4.</w:t>
      </w:r>
    </w:p>
  </w:footnote>
  <w:footnote w:id="295">
    <w:p w:rsidR="00CC552D" w:rsidRPr="00AD0ECE" w:rsidRDefault="00CC552D">
      <w:pPr>
        <w:pStyle w:val="Voetnoottekst"/>
        <w:rPr>
          <w:lang w:val="en-US"/>
        </w:rPr>
      </w:pPr>
      <w:r w:rsidRPr="00AD0ECE">
        <w:rPr>
          <w:rStyle w:val="Voetnootmarkering"/>
        </w:rPr>
        <w:footnoteRef/>
      </w:r>
      <w:r w:rsidRPr="00AD0ECE">
        <w:rPr>
          <w:lang w:val="en-US"/>
        </w:rPr>
        <w:t xml:space="preserve"> M. Guilluy c.s., </w:t>
      </w:r>
      <w:r w:rsidRPr="00AD0ECE">
        <w:rPr>
          <w:i/>
          <w:lang w:val="en-US"/>
        </w:rPr>
        <w:t>Luxembourg</w:t>
      </w:r>
      <w:r w:rsidRPr="00AD0ECE">
        <w:rPr>
          <w:lang w:val="en-US"/>
        </w:rPr>
        <w:t>, Value Added Tax, IBFD, april 2008, blz. 83. Deze informatie is up-to-date tot 20 december 2007.</w:t>
      </w:r>
    </w:p>
  </w:footnote>
  <w:footnote w:id="296">
    <w:p w:rsidR="00CC552D" w:rsidRPr="00AD0ECE" w:rsidRDefault="00CC552D">
      <w:pPr>
        <w:pStyle w:val="Voetnoottekst"/>
      </w:pPr>
      <w:r w:rsidRPr="00AD0ECE">
        <w:rPr>
          <w:rStyle w:val="Voetnootmarkering"/>
        </w:rPr>
        <w:footnoteRef/>
      </w:r>
      <w:r w:rsidRPr="00AD0ECE">
        <w:rPr>
          <w:lang w:val="en-US"/>
        </w:rPr>
        <w:t xml:space="preserve"> Informatie gebaseerd op M. Verwaal, </w:t>
      </w:r>
      <w:r w:rsidRPr="00AD0ECE">
        <w:rPr>
          <w:i/>
          <w:lang w:val="en-US"/>
        </w:rPr>
        <w:t>Germany</w:t>
      </w:r>
      <w:r w:rsidRPr="00AD0ECE">
        <w:rPr>
          <w:lang w:val="en-US"/>
        </w:rPr>
        <w:t xml:space="preserve">, Value Added Tax, IBFD, februari 2006, blz. 119-123. </w:t>
      </w:r>
      <w:r w:rsidRPr="00AD0ECE">
        <w:t xml:space="preserve">Deze informatie is up-to-date tot 1 november 2005. </w:t>
      </w:r>
    </w:p>
  </w:footnote>
  <w:footnote w:id="297">
    <w:p w:rsidR="00CC552D" w:rsidRPr="00AD0ECE" w:rsidRDefault="00CC552D">
      <w:pPr>
        <w:pStyle w:val="Voetnoottekst"/>
      </w:pPr>
      <w:r w:rsidRPr="00AD0ECE">
        <w:rPr>
          <w:rStyle w:val="Voetnootmarkering"/>
        </w:rPr>
        <w:footnoteRef/>
      </w:r>
      <w:r w:rsidRPr="00AD0ECE">
        <w:t xml:space="preserve"> Daarbij wordt gebruik van het onroerend goed voor 10% in het kader van de onderneming als voldoende ervaren.</w:t>
      </w:r>
    </w:p>
  </w:footnote>
  <w:footnote w:id="298">
    <w:p w:rsidR="00CC552D" w:rsidRPr="00AD0ECE" w:rsidRDefault="00CC552D" w:rsidP="006F07BD">
      <w:pPr>
        <w:pStyle w:val="Voetnoottekst"/>
      </w:pPr>
      <w:r w:rsidRPr="00AD0ECE">
        <w:rPr>
          <w:rStyle w:val="Voetnootmarkering"/>
        </w:rPr>
        <w:footnoteRef/>
      </w:r>
      <w:r w:rsidRPr="00AD0ECE">
        <w:t xml:space="preserve"> Overigens biedt Duitsland net als België de mogelijkheid om een natuurlijk persoon niet ondernemer ingevolge artikel 12, lid 1 BTW-richtlijn als belastingplichtige aan te merken. </w:t>
      </w:r>
    </w:p>
  </w:footnote>
  <w:footnote w:id="299">
    <w:p w:rsidR="00CC552D" w:rsidRPr="00AD0ECE" w:rsidRDefault="00CC552D">
      <w:pPr>
        <w:pStyle w:val="Voetnoottekst"/>
        <w:rPr>
          <w:lang w:val="en-US"/>
        </w:rPr>
      </w:pPr>
      <w:r w:rsidRPr="00AD0ECE">
        <w:rPr>
          <w:rStyle w:val="Voetnootmarkering"/>
        </w:rPr>
        <w:footnoteRef/>
      </w:r>
      <w:r w:rsidRPr="00AD0ECE">
        <w:rPr>
          <w:lang w:val="en-US"/>
        </w:rPr>
        <w:t xml:space="preserve"> </w:t>
      </w:r>
      <w:r w:rsidRPr="00AD0ECE">
        <w:rPr>
          <w:i/>
          <w:lang w:val="en-US"/>
        </w:rPr>
        <w:t>‘This double taxation (…) is not incompatible with EC law (ECJ case C-73/85)’</w:t>
      </w:r>
      <w:r w:rsidRPr="00AD0ECE">
        <w:rPr>
          <w:lang w:val="en-US"/>
        </w:rPr>
        <w:t xml:space="preserve">, aldus M. Verwaal, </w:t>
      </w:r>
      <w:r w:rsidRPr="00AD0ECE">
        <w:rPr>
          <w:i/>
          <w:lang w:val="en-US"/>
        </w:rPr>
        <w:t>Germany</w:t>
      </w:r>
      <w:r w:rsidRPr="00AD0ECE">
        <w:rPr>
          <w:lang w:val="en-US"/>
        </w:rPr>
        <w:t>, Value Added Tax, IBFD, februari 2006, blz. 123.</w:t>
      </w:r>
    </w:p>
  </w:footnote>
  <w:footnote w:id="300">
    <w:p w:rsidR="00CC552D" w:rsidRPr="00AD0ECE" w:rsidRDefault="00CC552D" w:rsidP="006B12FD">
      <w:pPr>
        <w:pStyle w:val="Voetnoottekst"/>
        <w:rPr>
          <w:lang w:val="en-US"/>
        </w:rPr>
      </w:pPr>
      <w:r w:rsidRPr="00AD0ECE">
        <w:rPr>
          <w:rStyle w:val="Voetnootmarkering"/>
        </w:rPr>
        <w:footnoteRef/>
      </w:r>
      <w:r w:rsidRPr="00AD0ECE">
        <w:t xml:space="preserve"> Informatie gebaseerd op D.A. van Waardenburg c.s., </w:t>
      </w:r>
      <w:r w:rsidRPr="00AD0ECE">
        <w:rPr>
          <w:i/>
        </w:rPr>
        <w:t>France</w:t>
      </w:r>
      <w:r w:rsidRPr="00AD0ECE">
        <w:t xml:space="preserve">, Value Added Tax, IBFD, Mei 2007, blz. 195-210. </w:t>
      </w:r>
      <w:r w:rsidRPr="00AD0ECE">
        <w:rPr>
          <w:lang w:val="en-US"/>
        </w:rPr>
        <w:t xml:space="preserve">Deze informatie is up-to-date tot 28 februari 2007 </w:t>
      </w:r>
    </w:p>
  </w:footnote>
  <w:footnote w:id="301">
    <w:p w:rsidR="00CC552D" w:rsidRPr="00AD0ECE" w:rsidRDefault="00CC552D">
      <w:pPr>
        <w:pStyle w:val="Voetnoottekst"/>
      </w:pPr>
      <w:r w:rsidRPr="00AD0ECE">
        <w:rPr>
          <w:rStyle w:val="Voetnootmarkering"/>
        </w:rPr>
        <w:footnoteRef/>
      </w:r>
      <w:r w:rsidRPr="00AD0ECE">
        <w:rPr>
          <w:lang w:val="en-US"/>
        </w:rPr>
        <w:t xml:space="preserve"> Dit zijn belastbare feiten </w:t>
      </w:r>
      <w:r w:rsidRPr="00AD0ECE">
        <w:rPr>
          <w:i/>
          <w:lang w:val="en-US"/>
        </w:rPr>
        <w:t>‘even if they are not considered to be business transactions (…)’</w:t>
      </w:r>
      <w:r w:rsidRPr="00AD0ECE">
        <w:rPr>
          <w:lang w:val="en-US"/>
        </w:rPr>
        <w:t xml:space="preserve">, D.A. van Waardenburg c.s., </w:t>
      </w:r>
      <w:r w:rsidRPr="00AD0ECE">
        <w:rPr>
          <w:i/>
          <w:lang w:val="en-US"/>
        </w:rPr>
        <w:t>France</w:t>
      </w:r>
      <w:r w:rsidRPr="00AD0ECE">
        <w:rPr>
          <w:lang w:val="en-US"/>
        </w:rPr>
        <w:t xml:space="preserve">, Value Added Tax, IBFD, Mei 2007, blz. 195. </w:t>
      </w:r>
      <w:r w:rsidRPr="00AD0ECE">
        <w:t>Dit duidt erop dat ook in Frankrijk de kan-bepaling in de wet is opgenomen die natuurlijke personen niet ondernemers als belastingplichtige aanmerkt.</w:t>
      </w:r>
    </w:p>
  </w:footnote>
  <w:footnote w:id="302">
    <w:p w:rsidR="00CC552D" w:rsidRPr="00AD0ECE" w:rsidRDefault="00CC552D">
      <w:pPr>
        <w:pStyle w:val="Voetnoottekst"/>
      </w:pPr>
      <w:r w:rsidRPr="00AD0ECE">
        <w:rPr>
          <w:rStyle w:val="Voetnootmarkering"/>
        </w:rPr>
        <w:footnoteRef/>
      </w:r>
      <w:r w:rsidRPr="00AD0ECE">
        <w:t xml:space="preserve"> J. Rakhan c.s., </w:t>
      </w:r>
      <w:r w:rsidRPr="00AD0ECE">
        <w:rPr>
          <w:i/>
        </w:rPr>
        <w:t>Het begrip ‘bouwterrein’ in de steigers?</w:t>
      </w:r>
      <w:r w:rsidRPr="00AD0ECE">
        <w:t>, Vastgoed Fiscaal &amp; Civiel 2007/3.</w:t>
      </w:r>
    </w:p>
  </w:footnote>
  <w:footnote w:id="303">
    <w:p w:rsidR="00CC552D" w:rsidRPr="00AD0ECE" w:rsidRDefault="00CC552D" w:rsidP="008E452E">
      <w:pPr>
        <w:pStyle w:val="Voetnoottekst"/>
      </w:pPr>
      <w:r w:rsidRPr="00AD0ECE">
        <w:rPr>
          <w:rStyle w:val="Voetnootmarkering"/>
        </w:rPr>
        <w:footnoteRef/>
      </w:r>
      <w:r w:rsidRPr="00AD0ECE">
        <w:t xml:space="preserve"> Informatie gebaseerd op I. Dawes c.s., </w:t>
      </w:r>
      <w:r w:rsidRPr="00AD0ECE">
        <w:rPr>
          <w:i/>
        </w:rPr>
        <w:t>United Kingdom</w:t>
      </w:r>
      <w:r w:rsidRPr="00AD0ECE">
        <w:t>, Value Added Tax, IBFD, April 2009, blz. 107-110. Deze informatie is up-to-date tot 6 februari 2009.</w:t>
      </w:r>
    </w:p>
  </w:footnote>
  <w:footnote w:id="304">
    <w:p w:rsidR="00CC552D" w:rsidRPr="00AD0ECE" w:rsidRDefault="00CC552D">
      <w:pPr>
        <w:pStyle w:val="Voetnoottekst"/>
        <w:rPr>
          <w:lang w:val="en-US"/>
        </w:rPr>
      </w:pPr>
      <w:r w:rsidRPr="00AD0ECE">
        <w:rPr>
          <w:rStyle w:val="Voetnootmarkering"/>
        </w:rPr>
        <w:footnoteRef/>
      </w:r>
      <w:r w:rsidRPr="00AD0ECE">
        <w:rPr>
          <w:lang w:val="en-US"/>
        </w:rPr>
        <w:t xml:space="preserve"> </w:t>
      </w:r>
      <w:r w:rsidRPr="00AD0ECE">
        <w:rPr>
          <w:i/>
          <w:lang w:val="en-US"/>
        </w:rPr>
        <w:t>‘However, it is taken to mean (…)’,</w:t>
      </w:r>
      <w:r w:rsidRPr="00AD0ECE">
        <w:rPr>
          <w:lang w:val="en-US"/>
        </w:rPr>
        <w:t xml:space="preserve"> aldus I. Dawes c.s., </w:t>
      </w:r>
      <w:r w:rsidRPr="00AD0ECE">
        <w:rPr>
          <w:i/>
          <w:lang w:val="en-US"/>
        </w:rPr>
        <w:t>United Kingdom</w:t>
      </w:r>
      <w:r w:rsidRPr="00AD0ECE">
        <w:rPr>
          <w:lang w:val="en-US"/>
        </w:rPr>
        <w:t>, Value Added Tax, IBFD, April 2009, blz. 107.</w:t>
      </w:r>
    </w:p>
  </w:footnote>
  <w:footnote w:id="305">
    <w:p w:rsidR="00CC552D" w:rsidRPr="00AD0ECE" w:rsidRDefault="00CC552D">
      <w:pPr>
        <w:pStyle w:val="Voetnoottekst"/>
        <w:rPr>
          <w:lang w:val="en-US"/>
        </w:rPr>
      </w:pPr>
      <w:r w:rsidRPr="00AD0ECE">
        <w:rPr>
          <w:rStyle w:val="Voetnootmarkering"/>
        </w:rPr>
        <w:footnoteRef/>
      </w:r>
      <w:r w:rsidRPr="00AD0ECE">
        <w:rPr>
          <w:lang w:val="en-US"/>
        </w:rPr>
        <w:t xml:space="preserve"> Gedefinieerd als </w:t>
      </w:r>
      <w:r w:rsidRPr="00AD0ECE">
        <w:rPr>
          <w:i/>
          <w:lang w:val="en-US"/>
        </w:rPr>
        <w:t xml:space="preserve">‘not “new”’, </w:t>
      </w:r>
      <w:r w:rsidRPr="00AD0ECE">
        <w:rPr>
          <w:lang w:val="en-US"/>
        </w:rPr>
        <w:t xml:space="preserve">I. Dawes c.s., </w:t>
      </w:r>
      <w:r w:rsidRPr="00AD0ECE">
        <w:rPr>
          <w:i/>
          <w:lang w:val="en-US"/>
        </w:rPr>
        <w:t>United Kingdom</w:t>
      </w:r>
      <w:r w:rsidRPr="00AD0ECE">
        <w:rPr>
          <w:lang w:val="en-US"/>
        </w:rPr>
        <w:t>, Value Added Tax, IBFD, April 2009, blz. 108.</w:t>
      </w:r>
    </w:p>
  </w:footnote>
  <w:footnote w:id="306">
    <w:p w:rsidR="00CC552D" w:rsidRPr="00AD0ECE" w:rsidRDefault="00CC552D">
      <w:pPr>
        <w:pStyle w:val="Voetnoottekst"/>
        <w:rPr>
          <w:i/>
        </w:rPr>
      </w:pPr>
      <w:r w:rsidRPr="00AD0ECE">
        <w:rPr>
          <w:rStyle w:val="Voetnootmarkering"/>
        </w:rPr>
        <w:footnoteRef/>
      </w:r>
      <w:r w:rsidRPr="00AD0ECE">
        <w:t xml:space="preserve"> Het eerder aangehaalde arrest </w:t>
      </w:r>
      <w:r w:rsidRPr="00AD0ECE">
        <w:rPr>
          <w:i/>
        </w:rPr>
        <w:t>Norbury Developments Ltd</w:t>
      </w:r>
      <w:r w:rsidRPr="00AD0ECE">
        <w:t xml:space="preserve"> is door de ‘VAT and Duties Tribunal, Manchester Tribunal Centre’ bij het HvJ EG aanhangig gemaakt.</w:t>
      </w:r>
    </w:p>
  </w:footnote>
  <w:footnote w:id="307">
    <w:p w:rsidR="00CC552D" w:rsidRPr="00AD0ECE" w:rsidRDefault="00CC552D">
      <w:pPr>
        <w:pStyle w:val="Voetnoottekst"/>
      </w:pPr>
      <w:r w:rsidRPr="00AD0ECE">
        <w:rPr>
          <w:rStyle w:val="Voetnootmarkering"/>
        </w:rPr>
        <w:footnoteRef/>
      </w:r>
      <w:r w:rsidRPr="00AD0ECE">
        <w:t xml:space="preserve"> Betekenis van bijkomstig in Nederlandse wetgeving is “relatief gering”. Uit HR 3 maart 1999, nr. 34 535, VN 1999/15.27 blijkt dat bijkomstig duidt op minder dan 10%. Hoewel niet één op één toepasbaar, aangezien het om twee verschillende lidstaten gaat, lijkt me voor het begrip in de regeling 10% naar het spraakgebruik een redelijk percentage.</w:t>
      </w:r>
    </w:p>
  </w:footnote>
  <w:footnote w:id="308">
    <w:p w:rsidR="00CC552D" w:rsidRPr="00AD0ECE" w:rsidRDefault="00CC552D" w:rsidP="006F2ED0">
      <w:pPr>
        <w:pStyle w:val="Voetnoottekst"/>
      </w:pPr>
      <w:r w:rsidRPr="00AD0ECE">
        <w:rPr>
          <w:rStyle w:val="Voetnootmarkering"/>
        </w:rPr>
        <w:footnoteRef/>
      </w:r>
      <w:r w:rsidRPr="00AD0ECE">
        <w:t xml:space="preserve"> J. Rakhan c.s., </w:t>
      </w:r>
      <w:r w:rsidRPr="00AD0ECE">
        <w:rPr>
          <w:i/>
        </w:rPr>
        <w:t>Het begrip ‘bouwterrein’ in de steigers?</w:t>
      </w:r>
      <w:r w:rsidRPr="00AD0ECE">
        <w:t>, Vastgoed Fiscaal &amp; Civiel 2007/3.</w:t>
      </w:r>
    </w:p>
  </w:footnote>
  <w:footnote w:id="309">
    <w:p w:rsidR="00CC552D" w:rsidRPr="00AD0ECE" w:rsidRDefault="00CC552D">
      <w:pPr>
        <w:pStyle w:val="Voetnoottekst"/>
      </w:pPr>
      <w:r w:rsidRPr="00AD0ECE">
        <w:rPr>
          <w:rStyle w:val="Voetnootmarkering"/>
        </w:rPr>
        <w:footnoteRef/>
      </w:r>
      <w:r w:rsidRPr="00AD0ECE">
        <w:t xml:space="preserve"> Informatie gebaseerd op J. Martin c.s., </w:t>
      </w:r>
      <w:r w:rsidRPr="00AD0ECE">
        <w:rPr>
          <w:i/>
        </w:rPr>
        <w:t>Spain</w:t>
      </w:r>
      <w:r w:rsidRPr="00AD0ECE">
        <w:t>, Value Added Tax, IBFD, December 2008, blz. 115-122. Deze informatie is up-to-date tot 1 september 2008.</w:t>
      </w:r>
    </w:p>
  </w:footnote>
  <w:footnote w:id="310">
    <w:p w:rsidR="00CC552D" w:rsidRPr="00AD0ECE" w:rsidRDefault="00CC552D">
      <w:pPr>
        <w:pStyle w:val="Voetnoottekst"/>
      </w:pPr>
      <w:r w:rsidRPr="00AD0ECE">
        <w:rPr>
          <w:rStyle w:val="Voetnootmarkering"/>
        </w:rPr>
        <w:footnoteRef/>
      </w:r>
      <w:r w:rsidRPr="00AD0ECE">
        <w:t xml:space="preserve"> Uitputtende opsommingen te vinden in op J. Martin c.s., </w:t>
      </w:r>
      <w:r w:rsidRPr="00AD0ECE">
        <w:rPr>
          <w:i/>
        </w:rPr>
        <w:t>Spain</w:t>
      </w:r>
      <w:r w:rsidRPr="00AD0ECE">
        <w:t>, Value Added Tax, IBFD, December 2008, blz. 115.</w:t>
      </w:r>
    </w:p>
  </w:footnote>
  <w:footnote w:id="311">
    <w:p w:rsidR="00CC552D" w:rsidRPr="00AD0ECE" w:rsidRDefault="00CC552D">
      <w:pPr>
        <w:pStyle w:val="Voetnoottekst"/>
      </w:pPr>
      <w:r w:rsidRPr="00AD0ECE">
        <w:rPr>
          <w:rStyle w:val="Voetnootmarkering"/>
        </w:rPr>
        <w:footnoteRef/>
      </w:r>
      <w:r w:rsidRPr="00AD0ECE">
        <w:t xml:space="preserve"> J. Martin c.s., </w:t>
      </w:r>
      <w:r w:rsidRPr="00AD0ECE">
        <w:rPr>
          <w:i/>
        </w:rPr>
        <w:t>Spain</w:t>
      </w:r>
      <w:r w:rsidRPr="00AD0ECE">
        <w:t xml:space="preserve">, Value Added Tax, IBFD, December 2008, blz. 117.Aangezien deze verbouwing als toetsingsmoment geldt in </w:t>
      </w:r>
      <w:r w:rsidRPr="00AD0ECE">
        <w:rPr>
          <w:i/>
        </w:rPr>
        <w:t>‘supplies of buildings after construction or restauration’</w:t>
      </w:r>
      <w:r w:rsidRPr="00AD0ECE">
        <w:t xml:space="preserve"> ga ik hierbij uit van vergelijkbaarheid met het Nederlandse vervaardigingcriterium.</w:t>
      </w:r>
    </w:p>
  </w:footnote>
  <w:footnote w:id="312">
    <w:p w:rsidR="00CC552D" w:rsidRPr="00AD0ECE" w:rsidRDefault="00CC552D" w:rsidP="004A3C49">
      <w:pPr>
        <w:pStyle w:val="Voetnoottekst"/>
      </w:pPr>
      <w:r w:rsidRPr="00AD0ECE">
        <w:rPr>
          <w:rStyle w:val="Voetnootmarkering"/>
        </w:rPr>
        <w:footnoteRef/>
      </w:r>
      <w:r w:rsidRPr="00AD0ECE">
        <w:t xml:space="preserve"> Informatie gebaseerd op R. Barr c.s., </w:t>
      </w:r>
      <w:r w:rsidRPr="00AD0ECE">
        <w:rPr>
          <w:i/>
        </w:rPr>
        <w:t>Italy</w:t>
      </w:r>
      <w:r w:rsidRPr="00AD0ECE">
        <w:t>, Value Added Tax, IBFD, November 2005, blz. 107-122. Deze informatie is up-to-date tot 1 oktober 2005.</w:t>
      </w:r>
    </w:p>
  </w:footnote>
  <w:footnote w:id="313">
    <w:p w:rsidR="00CC552D" w:rsidRPr="00AD0ECE" w:rsidRDefault="00CC552D">
      <w:pPr>
        <w:pStyle w:val="Voetnoottekst"/>
      </w:pPr>
      <w:r w:rsidRPr="00AD0ECE">
        <w:rPr>
          <w:rStyle w:val="Voetnootmarkering"/>
        </w:rPr>
        <w:footnoteRef/>
      </w:r>
      <w:r w:rsidRPr="00AD0ECE">
        <w:t xml:space="preserve"> Ongeacht de betreffende pachtregeling (</w:t>
      </w:r>
      <w:r w:rsidRPr="00AD0ECE">
        <w:rPr>
          <w:i/>
        </w:rPr>
        <w:t>‘regardless of tenure’)</w:t>
      </w:r>
      <w:r w:rsidRPr="00AD0ECE">
        <w:t xml:space="preserve"> , aldus R. Barr c.s., </w:t>
      </w:r>
      <w:r w:rsidRPr="00AD0ECE">
        <w:rPr>
          <w:i/>
        </w:rPr>
        <w:t>Italy</w:t>
      </w:r>
      <w:r w:rsidRPr="00AD0ECE">
        <w:t>, Value Added Tax, IBFD, November 2005, blz. 107.</w:t>
      </w:r>
    </w:p>
  </w:footnote>
  <w:footnote w:id="314">
    <w:p w:rsidR="00CC552D" w:rsidRPr="00AD0ECE" w:rsidRDefault="00CC552D">
      <w:pPr>
        <w:pStyle w:val="Voetnoottekst"/>
      </w:pPr>
      <w:r w:rsidRPr="00AD0ECE">
        <w:rPr>
          <w:rStyle w:val="Voetnootmarkering"/>
        </w:rPr>
        <w:footnoteRef/>
      </w:r>
      <w:r w:rsidRPr="00AD0ECE">
        <w:t xml:space="preserve"> De uitzonderingen zijn niet in de bestudeerde tekst opgenomen. Wel is bekend dat het tarief van de belaste levering van onroerend goed afhangt van de bestemming ervan.</w:t>
      </w:r>
    </w:p>
  </w:footnote>
  <w:footnote w:id="315">
    <w:p w:rsidR="00CC552D" w:rsidRPr="00AD0ECE" w:rsidRDefault="00CC552D">
      <w:pPr>
        <w:pStyle w:val="Voetnoottekst"/>
      </w:pPr>
      <w:r w:rsidRPr="00AD0ECE">
        <w:rPr>
          <w:rStyle w:val="Voetnootmarkering"/>
        </w:rPr>
        <w:footnoteRef/>
      </w:r>
      <w:r w:rsidRPr="00AD0ECE">
        <w:t xml:space="preserve"> J. Rakhan c.s., </w:t>
      </w:r>
      <w:r w:rsidRPr="00AD0ECE">
        <w:rPr>
          <w:i/>
        </w:rPr>
        <w:t>Het begrip ‘bouwterrein’ in de steigers?</w:t>
      </w:r>
      <w:r w:rsidRPr="00AD0ECE">
        <w:t>, Vastgoed Fiscaal &amp; Civiel 2007/3.</w:t>
      </w:r>
    </w:p>
  </w:footnote>
  <w:footnote w:id="316">
    <w:p w:rsidR="00CC552D" w:rsidRPr="00AD0ECE" w:rsidRDefault="00CC552D">
      <w:pPr>
        <w:pStyle w:val="Voetnoottekst"/>
      </w:pPr>
      <w:r w:rsidRPr="00AD0ECE">
        <w:rPr>
          <w:rStyle w:val="Voetnootmarkering"/>
        </w:rPr>
        <w:footnoteRef/>
      </w:r>
      <w:r w:rsidRPr="00AD0ECE">
        <w:t xml:space="preserve"> In deze tussenconclusie worden enkel de van de Nederlandse wet afwijkende bepalingen limitatief genoemd.</w:t>
      </w:r>
    </w:p>
  </w:footnote>
  <w:footnote w:id="317">
    <w:p w:rsidR="00CC552D" w:rsidRPr="00AD0ECE" w:rsidRDefault="00CC552D" w:rsidP="00E161E0">
      <w:pPr>
        <w:pStyle w:val="Voetnoottekst"/>
      </w:pPr>
      <w:r w:rsidRPr="00AD0ECE">
        <w:rPr>
          <w:rStyle w:val="Voetnootmarkering"/>
        </w:rPr>
        <w:footnoteRef/>
      </w:r>
      <w:r w:rsidRPr="00AD0ECE">
        <w:t xml:space="preserve"> Uiteraard onder voorbehoud dat het begrip correct is geïmplementeerd.</w:t>
      </w:r>
    </w:p>
  </w:footnote>
  <w:footnote w:id="318">
    <w:p w:rsidR="00CC552D" w:rsidRPr="00AD0ECE" w:rsidRDefault="00CC552D" w:rsidP="00E161E0">
      <w:pPr>
        <w:pStyle w:val="Voetnoottekst"/>
      </w:pPr>
      <w:r w:rsidRPr="00AD0ECE">
        <w:rPr>
          <w:rStyle w:val="Voetnootmarkering"/>
        </w:rPr>
        <w:footnoteRef/>
      </w:r>
      <w:r w:rsidRPr="00AD0ECE">
        <w:t xml:space="preserve"> J. Rakhan c.s., </w:t>
      </w:r>
      <w:r w:rsidRPr="00AD0ECE">
        <w:rPr>
          <w:i/>
        </w:rPr>
        <w:t>Het begrip ‘bouwterrein’ in de steigers?</w:t>
      </w:r>
      <w:r w:rsidRPr="00AD0ECE">
        <w:t>, Vastgoed Fiscaal &amp; Civiel 2007/3.</w:t>
      </w:r>
    </w:p>
  </w:footnote>
  <w:footnote w:id="319">
    <w:p w:rsidR="00CC552D" w:rsidRPr="00AD0ECE" w:rsidRDefault="00CC552D" w:rsidP="00E161E0">
      <w:pPr>
        <w:pStyle w:val="Voetnoottekst"/>
      </w:pPr>
      <w:r w:rsidRPr="00AD0ECE">
        <w:rPr>
          <w:rStyle w:val="Voetnootmarkering"/>
        </w:rPr>
        <w:footnoteRef/>
      </w:r>
      <w:r w:rsidRPr="00AD0ECE">
        <w:t xml:space="preserve"> ‘</w:t>
      </w:r>
      <w:r w:rsidRPr="00AD0ECE">
        <w:rPr>
          <w:i/>
        </w:rPr>
        <w:t>Gezien de wijze waarop kennelijk in andere lidstaten met de onderhavige problematiek wordt omgegaan, is het helemaal juist dat de Hoge Raad prejudiciële vragen heeft gesteld,’</w:t>
      </w:r>
      <w:r w:rsidRPr="00AD0ECE">
        <w:t xml:space="preserve"> aldus B.G. Van Zadelhoff in zijn noot bij </w:t>
      </w:r>
      <w:r w:rsidRPr="00AD0ECE">
        <w:rPr>
          <w:i/>
        </w:rPr>
        <w:t>BNB 2009/25</w:t>
      </w:r>
      <w:r w:rsidRPr="00AD0ECE">
        <w:t xml:space="preserve"> *.</w:t>
      </w:r>
    </w:p>
  </w:footnote>
  <w:footnote w:id="320">
    <w:p w:rsidR="00CC552D" w:rsidRPr="00AD0ECE" w:rsidRDefault="00CC552D" w:rsidP="00E161E0">
      <w:pPr>
        <w:pStyle w:val="Voetnoottekst"/>
      </w:pPr>
      <w:r w:rsidRPr="00AD0ECE">
        <w:rPr>
          <w:rStyle w:val="Voetnootmarkering"/>
        </w:rPr>
        <w:footnoteRef/>
      </w:r>
      <w:r w:rsidRPr="00AD0ECE">
        <w:t xml:space="preserve"> De invoeging </w:t>
      </w:r>
      <w:r w:rsidRPr="00AD0ECE">
        <w:rPr>
          <w:i/>
        </w:rPr>
        <w:t>‘anders dan erbij behorend terrein als bedoeld in derde lid, onderdeel c’</w:t>
      </w:r>
      <w:r w:rsidRPr="00AD0ECE">
        <w:t xml:space="preserve"> is reeds voorgesteld in paragraaf 3.4.</w:t>
      </w:r>
    </w:p>
  </w:footnote>
  <w:footnote w:id="321">
    <w:p w:rsidR="00CC552D" w:rsidRPr="00AD0ECE" w:rsidRDefault="00CC552D" w:rsidP="00E161E0">
      <w:pPr>
        <w:pStyle w:val="Voetnoottekst"/>
      </w:pPr>
      <w:r w:rsidRPr="00AD0ECE">
        <w:rPr>
          <w:rStyle w:val="Voetnootmarkering"/>
        </w:rPr>
        <w:footnoteRef/>
      </w:r>
      <w:r w:rsidRPr="00AD0ECE">
        <w:t xml:space="preserve"> Naar J. Rakhan c.s., Het begrip ‘bouwterrein’ in de steigers?, Vastgoed Fiscaal &amp; Civiel 2007/3.</w:t>
      </w:r>
    </w:p>
  </w:footnote>
  <w:footnote w:id="322">
    <w:p w:rsidR="00CC552D" w:rsidRPr="00AD0ECE" w:rsidRDefault="00CC552D" w:rsidP="00E161E0">
      <w:pPr>
        <w:pStyle w:val="Voetnoottekst"/>
        <w:rPr>
          <w:i/>
        </w:rPr>
      </w:pPr>
      <w:r w:rsidRPr="00AD0ECE">
        <w:rPr>
          <w:rStyle w:val="Voetnootmarkering"/>
        </w:rPr>
        <w:footnoteRef/>
      </w:r>
      <w:r w:rsidRPr="00AD0ECE">
        <w:t xml:space="preserve"> Commentaar Nieuwenhuizen</w:t>
      </w:r>
      <w:r w:rsidRPr="00AD0ECE">
        <w:rPr>
          <w:i/>
        </w:rPr>
        <w:t xml:space="preserve"> </w:t>
      </w:r>
      <w:r w:rsidRPr="00AD0ECE">
        <w:t xml:space="preserve">bij </w:t>
      </w:r>
      <w:r w:rsidRPr="00AD0ECE">
        <w:rPr>
          <w:i/>
        </w:rPr>
        <w:t>NTFR 2008-2309</w:t>
      </w:r>
      <w:r w:rsidRPr="00AD0ECE">
        <w:t xml:space="preserve"> met als aantekeningtitel </w:t>
      </w:r>
      <w:r w:rsidRPr="00AD0ECE">
        <w:rPr>
          <w:i/>
        </w:rPr>
        <w:t>‘Bewerkingen van gering kaliber kunnen leiden tot een bouwterrein.’</w:t>
      </w:r>
    </w:p>
  </w:footnote>
  <w:footnote w:id="323">
    <w:p w:rsidR="00CC552D" w:rsidRPr="00AD0ECE" w:rsidRDefault="00CC552D" w:rsidP="00E161E0">
      <w:pPr>
        <w:pStyle w:val="Voetnoottekst"/>
      </w:pPr>
      <w:r w:rsidRPr="00AD0ECE">
        <w:rPr>
          <w:rStyle w:val="Voetnootmarkering"/>
        </w:rPr>
        <w:footnoteRef/>
      </w:r>
      <w:r w:rsidRPr="00AD0ECE">
        <w:t xml:space="preserve"> Commentaar Nieuwenhuizen</w:t>
      </w:r>
      <w:r w:rsidRPr="00AD0ECE">
        <w:rPr>
          <w:i/>
        </w:rPr>
        <w:t xml:space="preserve"> </w:t>
      </w:r>
      <w:r w:rsidRPr="00AD0ECE">
        <w:t xml:space="preserve">bij </w:t>
      </w:r>
      <w:r w:rsidRPr="00AD0ECE">
        <w:rPr>
          <w:i/>
        </w:rPr>
        <w:t>NTFR 2008-2309</w:t>
      </w:r>
      <w:r w:rsidRPr="00AD0ECE">
        <w:t xml:space="preserve"> met als aantekeningtitel </w:t>
      </w:r>
      <w:r w:rsidRPr="00AD0ECE">
        <w:rPr>
          <w:i/>
        </w:rPr>
        <w:t>‘Bewerkingen van gering kaliber kunnen leiden tot een bouwterrein.’</w:t>
      </w:r>
    </w:p>
  </w:footnote>
  <w:footnote w:id="324">
    <w:p w:rsidR="00CC552D" w:rsidRPr="00AD0ECE" w:rsidRDefault="00CC552D" w:rsidP="00E161E0">
      <w:pPr>
        <w:pStyle w:val="Voetnoottekst"/>
      </w:pPr>
      <w:r w:rsidRPr="00AD0ECE">
        <w:rPr>
          <w:rStyle w:val="Voetnootmarkering"/>
        </w:rPr>
        <w:footnoteRef/>
      </w:r>
      <w:r w:rsidRPr="00AD0ECE">
        <w:t xml:space="preserve"> Hetgeen te verklaren is vanuit de gedachte dat vervaardigingvraagstukken, meer nog dan bij levering van onroerend goed, spelen bij de integratieheffing. Hoewel niet expliciet genoemd, speelt de samenloopvrijstelling naar alle waarschijnlijkheid vaker een rol ware het niet dat enkel tegen omzetbelastingaanslagen wordt geageerd om later alsnog een beroep te doen op de samenloopvrijstelling. Zie in dit kader bijvoorbeeld het Jeugdhonkarrest.</w:t>
      </w:r>
    </w:p>
  </w:footnote>
  <w:footnote w:id="325">
    <w:p w:rsidR="00CC552D" w:rsidRPr="00AD0ECE" w:rsidRDefault="00CC552D" w:rsidP="00E161E0">
      <w:pPr>
        <w:pStyle w:val="Voetnoottekst"/>
      </w:pPr>
      <w:r w:rsidRPr="00AD0ECE">
        <w:rPr>
          <w:rStyle w:val="Voetnootmarkering"/>
        </w:rPr>
        <w:footnoteRef/>
      </w:r>
      <w:r w:rsidRPr="00AD0ECE">
        <w:t xml:space="preserve"> Wel in het kader van het toetsingsmoment om te oordelen of sprake is van vervaardiging.</w:t>
      </w:r>
    </w:p>
  </w:footnote>
  <w:footnote w:id="326">
    <w:p w:rsidR="00CC552D" w:rsidRPr="00AD0ECE" w:rsidRDefault="00CC552D" w:rsidP="00E161E0">
      <w:pPr>
        <w:pStyle w:val="Voetnoottekst"/>
      </w:pPr>
      <w:r w:rsidRPr="00AD0ECE">
        <w:rPr>
          <w:rStyle w:val="Voetnootmarkering"/>
        </w:rPr>
        <w:footnoteRef/>
      </w:r>
      <w:r w:rsidRPr="00AD0ECE">
        <w:t xml:space="preserve"> HR 9 december 1987, nr. 24 963, </w:t>
      </w:r>
      <w:r w:rsidRPr="00AD0ECE">
        <w:rPr>
          <w:i/>
        </w:rPr>
        <w:t>BNB 1988/74</w:t>
      </w:r>
      <w:r w:rsidRPr="00AD0ECE">
        <w:t>.</w:t>
      </w:r>
    </w:p>
  </w:footnote>
  <w:footnote w:id="327">
    <w:p w:rsidR="00CC552D" w:rsidRPr="00AD0ECE" w:rsidRDefault="00CC552D" w:rsidP="00E161E0">
      <w:pPr>
        <w:pStyle w:val="Voetnoottekst"/>
      </w:pPr>
      <w:r w:rsidRPr="00AD0ECE">
        <w:rPr>
          <w:rStyle w:val="Voetnootmarkering"/>
        </w:rPr>
        <w:footnoteRef/>
      </w:r>
      <w:r w:rsidRPr="00AD0ECE">
        <w:t xml:space="preserve"> HR 9 december 1987, nr. 24 963, </w:t>
      </w:r>
      <w:r w:rsidRPr="00AD0ECE">
        <w:rPr>
          <w:i/>
        </w:rPr>
        <w:t>BNB 1988/74</w:t>
      </w:r>
      <w:r w:rsidRPr="00AD0ECE">
        <w:t>, r.o. 3.</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093CCB"/>
    <w:multiLevelType w:val="hybridMultilevel"/>
    <w:tmpl w:val="3E083E4C"/>
    <w:lvl w:ilvl="0" w:tplc="5EE4A6B6">
      <w:start w:val="1"/>
      <w:numFmt w:val="bullet"/>
      <w:lvlText w:val="-"/>
      <w:lvlJc w:val="left"/>
      <w:pPr>
        <w:ind w:left="720" w:hanging="360"/>
      </w:pPr>
      <w:rPr>
        <w:rFonts w:ascii="Times New Roman" w:eastAsia="Calibr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17FB2832"/>
    <w:multiLevelType w:val="multilevel"/>
    <w:tmpl w:val="C0C61166"/>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nsid w:val="1C40708E"/>
    <w:multiLevelType w:val="hybridMultilevel"/>
    <w:tmpl w:val="76CAB03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30352B5B"/>
    <w:multiLevelType w:val="hybridMultilevel"/>
    <w:tmpl w:val="DE9A447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30783374"/>
    <w:multiLevelType w:val="hybridMultilevel"/>
    <w:tmpl w:val="A464043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nsid w:val="35967598"/>
    <w:multiLevelType w:val="hybridMultilevel"/>
    <w:tmpl w:val="1BB42976"/>
    <w:lvl w:ilvl="0" w:tplc="062C3386">
      <w:start w:val="4"/>
      <w:numFmt w:val="bullet"/>
      <w:lvlText w:val="-"/>
      <w:lvlJc w:val="left"/>
      <w:pPr>
        <w:ind w:left="720" w:hanging="360"/>
      </w:pPr>
      <w:rPr>
        <w:rFonts w:ascii="Times New Roman" w:eastAsia="Calibr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3FC52535"/>
    <w:multiLevelType w:val="hybridMultilevel"/>
    <w:tmpl w:val="A464043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5BED4E47"/>
    <w:multiLevelType w:val="hybridMultilevel"/>
    <w:tmpl w:val="A464043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644325FF"/>
    <w:multiLevelType w:val="hybridMultilevel"/>
    <w:tmpl w:val="11FEB25E"/>
    <w:lvl w:ilvl="0" w:tplc="04130011">
      <w:start w:val="1"/>
      <w:numFmt w:val="decimal"/>
      <w:lvlText w:val="%1)"/>
      <w:lvlJc w:val="left"/>
      <w:pPr>
        <w:ind w:left="720" w:hanging="360"/>
      </w:pPr>
      <w:rPr>
        <w:rFonts w:hint="default"/>
        <w:i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1"/>
  </w:num>
  <w:num w:numId="2">
    <w:abstractNumId w:val="2"/>
  </w:num>
  <w:num w:numId="3">
    <w:abstractNumId w:val="5"/>
  </w:num>
  <w:num w:numId="4">
    <w:abstractNumId w:val="6"/>
  </w:num>
  <w:num w:numId="5">
    <w:abstractNumId w:val="7"/>
  </w:num>
  <w:num w:numId="6">
    <w:abstractNumId w:val="8"/>
  </w:num>
  <w:num w:numId="7">
    <w:abstractNumId w:val="4"/>
  </w:num>
  <w:num w:numId="8">
    <w:abstractNumId w:val="0"/>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6F2A42"/>
    <w:rsid w:val="000006E9"/>
    <w:rsid w:val="00000BCB"/>
    <w:rsid w:val="00004673"/>
    <w:rsid w:val="000124D1"/>
    <w:rsid w:val="00013496"/>
    <w:rsid w:val="00014E0B"/>
    <w:rsid w:val="00014F27"/>
    <w:rsid w:val="00015D05"/>
    <w:rsid w:val="000204E9"/>
    <w:rsid w:val="0002255A"/>
    <w:rsid w:val="00023F76"/>
    <w:rsid w:val="00024126"/>
    <w:rsid w:val="000243D8"/>
    <w:rsid w:val="000272CA"/>
    <w:rsid w:val="00027B8E"/>
    <w:rsid w:val="0003166C"/>
    <w:rsid w:val="00031849"/>
    <w:rsid w:val="00032945"/>
    <w:rsid w:val="00032A61"/>
    <w:rsid w:val="00032ACA"/>
    <w:rsid w:val="00032B22"/>
    <w:rsid w:val="00034BCA"/>
    <w:rsid w:val="00034C9D"/>
    <w:rsid w:val="0003551A"/>
    <w:rsid w:val="00035624"/>
    <w:rsid w:val="000356EA"/>
    <w:rsid w:val="000362E8"/>
    <w:rsid w:val="0004025C"/>
    <w:rsid w:val="00040E2A"/>
    <w:rsid w:val="000428C2"/>
    <w:rsid w:val="00042A45"/>
    <w:rsid w:val="0004405D"/>
    <w:rsid w:val="00050A0C"/>
    <w:rsid w:val="000511C1"/>
    <w:rsid w:val="00052EB2"/>
    <w:rsid w:val="0005332E"/>
    <w:rsid w:val="000549DA"/>
    <w:rsid w:val="00054B29"/>
    <w:rsid w:val="00055FA2"/>
    <w:rsid w:val="00056CEE"/>
    <w:rsid w:val="00057A36"/>
    <w:rsid w:val="00060287"/>
    <w:rsid w:val="000603B6"/>
    <w:rsid w:val="00061000"/>
    <w:rsid w:val="00061579"/>
    <w:rsid w:val="00063E98"/>
    <w:rsid w:val="00064AC7"/>
    <w:rsid w:val="00064EC4"/>
    <w:rsid w:val="00065F3A"/>
    <w:rsid w:val="0006652A"/>
    <w:rsid w:val="00067B27"/>
    <w:rsid w:val="00070791"/>
    <w:rsid w:val="00071DE5"/>
    <w:rsid w:val="00075696"/>
    <w:rsid w:val="0007574E"/>
    <w:rsid w:val="00075B2E"/>
    <w:rsid w:val="00077B61"/>
    <w:rsid w:val="00080513"/>
    <w:rsid w:val="00081692"/>
    <w:rsid w:val="00081774"/>
    <w:rsid w:val="00081FF8"/>
    <w:rsid w:val="0008414D"/>
    <w:rsid w:val="000864FC"/>
    <w:rsid w:val="00091FBE"/>
    <w:rsid w:val="00092CAB"/>
    <w:rsid w:val="00093176"/>
    <w:rsid w:val="000935E7"/>
    <w:rsid w:val="000938AC"/>
    <w:rsid w:val="000957C4"/>
    <w:rsid w:val="000960CE"/>
    <w:rsid w:val="000A03A2"/>
    <w:rsid w:val="000A0B0F"/>
    <w:rsid w:val="000A1626"/>
    <w:rsid w:val="000A55A2"/>
    <w:rsid w:val="000B417A"/>
    <w:rsid w:val="000B4909"/>
    <w:rsid w:val="000B756A"/>
    <w:rsid w:val="000B7606"/>
    <w:rsid w:val="000C140C"/>
    <w:rsid w:val="000C16EB"/>
    <w:rsid w:val="000C55E5"/>
    <w:rsid w:val="000C5860"/>
    <w:rsid w:val="000C65B2"/>
    <w:rsid w:val="000D1161"/>
    <w:rsid w:val="000D26A4"/>
    <w:rsid w:val="000D2A12"/>
    <w:rsid w:val="000D2CB5"/>
    <w:rsid w:val="000D7F62"/>
    <w:rsid w:val="000E012B"/>
    <w:rsid w:val="000E14A6"/>
    <w:rsid w:val="000E3891"/>
    <w:rsid w:val="000E5D3C"/>
    <w:rsid w:val="000E620A"/>
    <w:rsid w:val="000E7FB3"/>
    <w:rsid w:val="000F01A0"/>
    <w:rsid w:val="000F1812"/>
    <w:rsid w:val="000F57A8"/>
    <w:rsid w:val="000F588D"/>
    <w:rsid w:val="000F69F7"/>
    <w:rsid w:val="000F738E"/>
    <w:rsid w:val="000F795B"/>
    <w:rsid w:val="00100C99"/>
    <w:rsid w:val="00104F25"/>
    <w:rsid w:val="0011030A"/>
    <w:rsid w:val="00110AA3"/>
    <w:rsid w:val="00110FD3"/>
    <w:rsid w:val="00111F45"/>
    <w:rsid w:val="001127D3"/>
    <w:rsid w:val="00112A2C"/>
    <w:rsid w:val="001139E7"/>
    <w:rsid w:val="0011426F"/>
    <w:rsid w:val="0011788E"/>
    <w:rsid w:val="001242F2"/>
    <w:rsid w:val="00125EAD"/>
    <w:rsid w:val="00126F24"/>
    <w:rsid w:val="001302BF"/>
    <w:rsid w:val="001304A2"/>
    <w:rsid w:val="001307D2"/>
    <w:rsid w:val="00130AF9"/>
    <w:rsid w:val="00130C42"/>
    <w:rsid w:val="00130EA1"/>
    <w:rsid w:val="0013230C"/>
    <w:rsid w:val="001327BD"/>
    <w:rsid w:val="00133198"/>
    <w:rsid w:val="00134DF2"/>
    <w:rsid w:val="001352C8"/>
    <w:rsid w:val="00135702"/>
    <w:rsid w:val="0013676A"/>
    <w:rsid w:val="001371E3"/>
    <w:rsid w:val="00137680"/>
    <w:rsid w:val="0013774D"/>
    <w:rsid w:val="0014024C"/>
    <w:rsid w:val="001410F2"/>
    <w:rsid w:val="00141404"/>
    <w:rsid w:val="00141F4D"/>
    <w:rsid w:val="00142EDC"/>
    <w:rsid w:val="00143170"/>
    <w:rsid w:val="00143D7E"/>
    <w:rsid w:val="00144E96"/>
    <w:rsid w:val="0014588B"/>
    <w:rsid w:val="00146645"/>
    <w:rsid w:val="0014718F"/>
    <w:rsid w:val="001477B7"/>
    <w:rsid w:val="00147EA0"/>
    <w:rsid w:val="00150823"/>
    <w:rsid w:val="0015218D"/>
    <w:rsid w:val="001525A0"/>
    <w:rsid w:val="00156C30"/>
    <w:rsid w:val="00157233"/>
    <w:rsid w:val="0015745C"/>
    <w:rsid w:val="0015791B"/>
    <w:rsid w:val="00161C47"/>
    <w:rsid w:val="00163153"/>
    <w:rsid w:val="0016658C"/>
    <w:rsid w:val="00166EF3"/>
    <w:rsid w:val="00167036"/>
    <w:rsid w:val="001673F1"/>
    <w:rsid w:val="00170215"/>
    <w:rsid w:val="00175B83"/>
    <w:rsid w:val="00176C4C"/>
    <w:rsid w:val="001806A6"/>
    <w:rsid w:val="00184B7F"/>
    <w:rsid w:val="00184F28"/>
    <w:rsid w:val="001853D3"/>
    <w:rsid w:val="00185C63"/>
    <w:rsid w:val="00187F69"/>
    <w:rsid w:val="0019284F"/>
    <w:rsid w:val="001934DB"/>
    <w:rsid w:val="00194549"/>
    <w:rsid w:val="001948E8"/>
    <w:rsid w:val="00194908"/>
    <w:rsid w:val="00197327"/>
    <w:rsid w:val="001A19AA"/>
    <w:rsid w:val="001A2560"/>
    <w:rsid w:val="001A36AF"/>
    <w:rsid w:val="001A559E"/>
    <w:rsid w:val="001A59AF"/>
    <w:rsid w:val="001A5D52"/>
    <w:rsid w:val="001A6004"/>
    <w:rsid w:val="001A6698"/>
    <w:rsid w:val="001A6B0E"/>
    <w:rsid w:val="001A7375"/>
    <w:rsid w:val="001B00FF"/>
    <w:rsid w:val="001B0544"/>
    <w:rsid w:val="001B2956"/>
    <w:rsid w:val="001B3014"/>
    <w:rsid w:val="001B329F"/>
    <w:rsid w:val="001B4484"/>
    <w:rsid w:val="001B4B02"/>
    <w:rsid w:val="001B5116"/>
    <w:rsid w:val="001B5170"/>
    <w:rsid w:val="001B6133"/>
    <w:rsid w:val="001B652C"/>
    <w:rsid w:val="001B71E5"/>
    <w:rsid w:val="001B727B"/>
    <w:rsid w:val="001B78E2"/>
    <w:rsid w:val="001C129E"/>
    <w:rsid w:val="001C1D5C"/>
    <w:rsid w:val="001C22B0"/>
    <w:rsid w:val="001C297E"/>
    <w:rsid w:val="001C2C02"/>
    <w:rsid w:val="001C2F78"/>
    <w:rsid w:val="001C51CF"/>
    <w:rsid w:val="001C5EB8"/>
    <w:rsid w:val="001D1835"/>
    <w:rsid w:val="001D23D7"/>
    <w:rsid w:val="001D254E"/>
    <w:rsid w:val="001D2C54"/>
    <w:rsid w:val="001D3CF7"/>
    <w:rsid w:val="001D4CFC"/>
    <w:rsid w:val="001D5150"/>
    <w:rsid w:val="001D5E09"/>
    <w:rsid w:val="001D7EA2"/>
    <w:rsid w:val="001E063D"/>
    <w:rsid w:val="001E0FFB"/>
    <w:rsid w:val="001E164C"/>
    <w:rsid w:val="001E19BC"/>
    <w:rsid w:val="001E389D"/>
    <w:rsid w:val="001E51DF"/>
    <w:rsid w:val="001E5F8B"/>
    <w:rsid w:val="001E6FA8"/>
    <w:rsid w:val="001F023E"/>
    <w:rsid w:val="001F4CF6"/>
    <w:rsid w:val="001F4D9A"/>
    <w:rsid w:val="001F5C9E"/>
    <w:rsid w:val="00200321"/>
    <w:rsid w:val="00200F05"/>
    <w:rsid w:val="00201C21"/>
    <w:rsid w:val="002022AC"/>
    <w:rsid w:val="0020464D"/>
    <w:rsid w:val="0020569A"/>
    <w:rsid w:val="00205CCF"/>
    <w:rsid w:val="00206C60"/>
    <w:rsid w:val="00207F10"/>
    <w:rsid w:val="00211C6F"/>
    <w:rsid w:val="002120F6"/>
    <w:rsid w:val="00213866"/>
    <w:rsid w:val="00214465"/>
    <w:rsid w:val="002160F7"/>
    <w:rsid w:val="00221A90"/>
    <w:rsid w:val="00221EDA"/>
    <w:rsid w:val="0022276A"/>
    <w:rsid w:val="00222A86"/>
    <w:rsid w:val="0022366F"/>
    <w:rsid w:val="002237E4"/>
    <w:rsid w:val="00224A7F"/>
    <w:rsid w:val="00225C8A"/>
    <w:rsid w:val="00226210"/>
    <w:rsid w:val="0022701F"/>
    <w:rsid w:val="002273CB"/>
    <w:rsid w:val="00227C85"/>
    <w:rsid w:val="00230970"/>
    <w:rsid w:val="00230B1E"/>
    <w:rsid w:val="002333A4"/>
    <w:rsid w:val="00235442"/>
    <w:rsid w:val="002360F7"/>
    <w:rsid w:val="0023638C"/>
    <w:rsid w:val="00240AD8"/>
    <w:rsid w:val="0024193E"/>
    <w:rsid w:val="00243B79"/>
    <w:rsid w:val="00243E97"/>
    <w:rsid w:val="00245B6F"/>
    <w:rsid w:val="00247296"/>
    <w:rsid w:val="002472C5"/>
    <w:rsid w:val="002509FA"/>
    <w:rsid w:val="00251041"/>
    <w:rsid w:val="00252AEB"/>
    <w:rsid w:val="0025392C"/>
    <w:rsid w:val="00254764"/>
    <w:rsid w:val="00256731"/>
    <w:rsid w:val="00256A97"/>
    <w:rsid w:val="00257338"/>
    <w:rsid w:val="00261268"/>
    <w:rsid w:val="002617D3"/>
    <w:rsid w:val="002618EA"/>
    <w:rsid w:val="00261F09"/>
    <w:rsid w:val="0026262E"/>
    <w:rsid w:val="00263BBC"/>
    <w:rsid w:val="00264B29"/>
    <w:rsid w:val="002659BD"/>
    <w:rsid w:val="00267243"/>
    <w:rsid w:val="002674AB"/>
    <w:rsid w:val="00267A5C"/>
    <w:rsid w:val="00272115"/>
    <w:rsid w:val="002722DD"/>
    <w:rsid w:val="0027295E"/>
    <w:rsid w:val="0027415E"/>
    <w:rsid w:val="00274F13"/>
    <w:rsid w:val="00275C57"/>
    <w:rsid w:val="00277830"/>
    <w:rsid w:val="00281442"/>
    <w:rsid w:val="00282762"/>
    <w:rsid w:val="00283530"/>
    <w:rsid w:val="00283A71"/>
    <w:rsid w:val="002846FC"/>
    <w:rsid w:val="002851DF"/>
    <w:rsid w:val="00285A07"/>
    <w:rsid w:val="0029093E"/>
    <w:rsid w:val="00290A3F"/>
    <w:rsid w:val="00290F98"/>
    <w:rsid w:val="0029298D"/>
    <w:rsid w:val="002961B5"/>
    <w:rsid w:val="002A23DD"/>
    <w:rsid w:val="002A2EE4"/>
    <w:rsid w:val="002A5024"/>
    <w:rsid w:val="002A63BF"/>
    <w:rsid w:val="002A7897"/>
    <w:rsid w:val="002B0333"/>
    <w:rsid w:val="002B188F"/>
    <w:rsid w:val="002B2A92"/>
    <w:rsid w:val="002B4EC0"/>
    <w:rsid w:val="002B78AC"/>
    <w:rsid w:val="002B7A14"/>
    <w:rsid w:val="002C0FCE"/>
    <w:rsid w:val="002C2FA0"/>
    <w:rsid w:val="002C3967"/>
    <w:rsid w:val="002C39A3"/>
    <w:rsid w:val="002C4D67"/>
    <w:rsid w:val="002C553D"/>
    <w:rsid w:val="002C5ABB"/>
    <w:rsid w:val="002C5D2D"/>
    <w:rsid w:val="002C7588"/>
    <w:rsid w:val="002D0D54"/>
    <w:rsid w:val="002D11A2"/>
    <w:rsid w:val="002D18BE"/>
    <w:rsid w:val="002D212C"/>
    <w:rsid w:val="002D3B15"/>
    <w:rsid w:val="002D524B"/>
    <w:rsid w:val="002E0883"/>
    <w:rsid w:val="002E24CF"/>
    <w:rsid w:val="002E470C"/>
    <w:rsid w:val="002E5238"/>
    <w:rsid w:val="002E550B"/>
    <w:rsid w:val="002F15F6"/>
    <w:rsid w:val="002F1DF7"/>
    <w:rsid w:val="002F29A9"/>
    <w:rsid w:val="002F2EED"/>
    <w:rsid w:val="002F3073"/>
    <w:rsid w:val="002F3316"/>
    <w:rsid w:val="002F36F5"/>
    <w:rsid w:val="002F4A08"/>
    <w:rsid w:val="002F4EF6"/>
    <w:rsid w:val="002F5AE5"/>
    <w:rsid w:val="002F66BE"/>
    <w:rsid w:val="002F726E"/>
    <w:rsid w:val="00300567"/>
    <w:rsid w:val="00300F81"/>
    <w:rsid w:val="003010C0"/>
    <w:rsid w:val="00301239"/>
    <w:rsid w:val="00301C93"/>
    <w:rsid w:val="0030245D"/>
    <w:rsid w:val="00305193"/>
    <w:rsid w:val="003052DF"/>
    <w:rsid w:val="00305A7B"/>
    <w:rsid w:val="003066CE"/>
    <w:rsid w:val="003070A6"/>
    <w:rsid w:val="00310317"/>
    <w:rsid w:val="0031475E"/>
    <w:rsid w:val="003164A0"/>
    <w:rsid w:val="00321CA4"/>
    <w:rsid w:val="00322F79"/>
    <w:rsid w:val="00323320"/>
    <w:rsid w:val="00323C60"/>
    <w:rsid w:val="003272E9"/>
    <w:rsid w:val="00331E9C"/>
    <w:rsid w:val="00333194"/>
    <w:rsid w:val="0033491E"/>
    <w:rsid w:val="00334EE2"/>
    <w:rsid w:val="00341EBD"/>
    <w:rsid w:val="003440C9"/>
    <w:rsid w:val="00344589"/>
    <w:rsid w:val="00344E78"/>
    <w:rsid w:val="003451F9"/>
    <w:rsid w:val="00345439"/>
    <w:rsid w:val="0034544C"/>
    <w:rsid w:val="0034792B"/>
    <w:rsid w:val="00347DA6"/>
    <w:rsid w:val="00350DD8"/>
    <w:rsid w:val="00351DDE"/>
    <w:rsid w:val="00352922"/>
    <w:rsid w:val="00352CC9"/>
    <w:rsid w:val="003546CD"/>
    <w:rsid w:val="003550B1"/>
    <w:rsid w:val="00355A32"/>
    <w:rsid w:val="0035617F"/>
    <w:rsid w:val="00356E78"/>
    <w:rsid w:val="003633A4"/>
    <w:rsid w:val="00364B21"/>
    <w:rsid w:val="003656DE"/>
    <w:rsid w:val="0036621B"/>
    <w:rsid w:val="00366CDC"/>
    <w:rsid w:val="00370B81"/>
    <w:rsid w:val="0037186B"/>
    <w:rsid w:val="003727D3"/>
    <w:rsid w:val="00372BDB"/>
    <w:rsid w:val="00373509"/>
    <w:rsid w:val="003735E8"/>
    <w:rsid w:val="00373AE1"/>
    <w:rsid w:val="00374A69"/>
    <w:rsid w:val="00376929"/>
    <w:rsid w:val="00376CA5"/>
    <w:rsid w:val="003813FE"/>
    <w:rsid w:val="00381D5C"/>
    <w:rsid w:val="00382518"/>
    <w:rsid w:val="003832BA"/>
    <w:rsid w:val="00384502"/>
    <w:rsid w:val="00385071"/>
    <w:rsid w:val="00387C46"/>
    <w:rsid w:val="003911D6"/>
    <w:rsid w:val="00392E02"/>
    <w:rsid w:val="00392E7F"/>
    <w:rsid w:val="0039371A"/>
    <w:rsid w:val="003A11D4"/>
    <w:rsid w:val="003A3EB6"/>
    <w:rsid w:val="003A4314"/>
    <w:rsid w:val="003A45B0"/>
    <w:rsid w:val="003A466C"/>
    <w:rsid w:val="003A514D"/>
    <w:rsid w:val="003A536E"/>
    <w:rsid w:val="003A55C8"/>
    <w:rsid w:val="003A5ADF"/>
    <w:rsid w:val="003A5DC4"/>
    <w:rsid w:val="003A7032"/>
    <w:rsid w:val="003B01BD"/>
    <w:rsid w:val="003B02E1"/>
    <w:rsid w:val="003B23BD"/>
    <w:rsid w:val="003B3570"/>
    <w:rsid w:val="003B4298"/>
    <w:rsid w:val="003B5077"/>
    <w:rsid w:val="003B7921"/>
    <w:rsid w:val="003C2541"/>
    <w:rsid w:val="003C2B6D"/>
    <w:rsid w:val="003C2ED2"/>
    <w:rsid w:val="003D040C"/>
    <w:rsid w:val="003D1AB6"/>
    <w:rsid w:val="003D598F"/>
    <w:rsid w:val="003D63D3"/>
    <w:rsid w:val="003E2B27"/>
    <w:rsid w:val="003E3574"/>
    <w:rsid w:val="003E4B60"/>
    <w:rsid w:val="003E4EE2"/>
    <w:rsid w:val="003E7500"/>
    <w:rsid w:val="003F0047"/>
    <w:rsid w:val="003F0A8B"/>
    <w:rsid w:val="003F2CDC"/>
    <w:rsid w:val="003F55A0"/>
    <w:rsid w:val="003F5EDE"/>
    <w:rsid w:val="003F6061"/>
    <w:rsid w:val="004016C9"/>
    <w:rsid w:val="00402D65"/>
    <w:rsid w:val="00403956"/>
    <w:rsid w:val="00404BA4"/>
    <w:rsid w:val="00407AB3"/>
    <w:rsid w:val="004102DB"/>
    <w:rsid w:val="004109D2"/>
    <w:rsid w:val="00413047"/>
    <w:rsid w:val="00413321"/>
    <w:rsid w:val="0041441C"/>
    <w:rsid w:val="00414D47"/>
    <w:rsid w:val="00414F35"/>
    <w:rsid w:val="004242CB"/>
    <w:rsid w:val="0042469E"/>
    <w:rsid w:val="00425FCE"/>
    <w:rsid w:val="004260A8"/>
    <w:rsid w:val="00427BD2"/>
    <w:rsid w:val="0043138E"/>
    <w:rsid w:val="004319F0"/>
    <w:rsid w:val="00432892"/>
    <w:rsid w:val="00440E88"/>
    <w:rsid w:val="004422DA"/>
    <w:rsid w:val="00443BE0"/>
    <w:rsid w:val="00444335"/>
    <w:rsid w:val="00444F6A"/>
    <w:rsid w:val="0044552F"/>
    <w:rsid w:val="00446A4A"/>
    <w:rsid w:val="00446CC0"/>
    <w:rsid w:val="0044701F"/>
    <w:rsid w:val="004475A6"/>
    <w:rsid w:val="00447DD1"/>
    <w:rsid w:val="00451EE3"/>
    <w:rsid w:val="00455E9D"/>
    <w:rsid w:val="00456097"/>
    <w:rsid w:val="00456DB8"/>
    <w:rsid w:val="0045705B"/>
    <w:rsid w:val="00461A69"/>
    <w:rsid w:val="00462D5B"/>
    <w:rsid w:val="00463C8C"/>
    <w:rsid w:val="00464664"/>
    <w:rsid w:val="00465309"/>
    <w:rsid w:val="00465705"/>
    <w:rsid w:val="00472C6F"/>
    <w:rsid w:val="00474DCB"/>
    <w:rsid w:val="00475B72"/>
    <w:rsid w:val="00475D70"/>
    <w:rsid w:val="004765DA"/>
    <w:rsid w:val="00477B69"/>
    <w:rsid w:val="004810CB"/>
    <w:rsid w:val="00481892"/>
    <w:rsid w:val="00481A4F"/>
    <w:rsid w:val="004825F5"/>
    <w:rsid w:val="00484DAF"/>
    <w:rsid w:val="00485FB8"/>
    <w:rsid w:val="00487886"/>
    <w:rsid w:val="0049067B"/>
    <w:rsid w:val="0049285B"/>
    <w:rsid w:val="00493281"/>
    <w:rsid w:val="00494D67"/>
    <w:rsid w:val="004979E6"/>
    <w:rsid w:val="00497B75"/>
    <w:rsid w:val="004A1AEF"/>
    <w:rsid w:val="004A389B"/>
    <w:rsid w:val="004A3C49"/>
    <w:rsid w:val="004A6838"/>
    <w:rsid w:val="004B1CED"/>
    <w:rsid w:val="004B2DC6"/>
    <w:rsid w:val="004B3D52"/>
    <w:rsid w:val="004C26FE"/>
    <w:rsid w:val="004C2CFC"/>
    <w:rsid w:val="004C39A6"/>
    <w:rsid w:val="004C4501"/>
    <w:rsid w:val="004C61A3"/>
    <w:rsid w:val="004C6326"/>
    <w:rsid w:val="004D0555"/>
    <w:rsid w:val="004D0EA0"/>
    <w:rsid w:val="004D141C"/>
    <w:rsid w:val="004D2327"/>
    <w:rsid w:val="004D3076"/>
    <w:rsid w:val="004D585B"/>
    <w:rsid w:val="004D6E89"/>
    <w:rsid w:val="004D7C67"/>
    <w:rsid w:val="004E07CF"/>
    <w:rsid w:val="004E0F6A"/>
    <w:rsid w:val="004E1220"/>
    <w:rsid w:val="004E61A8"/>
    <w:rsid w:val="004E70FF"/>
    <w:rsid w:val="004E76DF"/>
    <w:rsid w:val="004F0645"/>
    <w:rsid w:val="004F29B2"/>
    <w:rsid w:val="004F3E93"/>
    <w:rsid w:val="004F452D"/>
    <w:rsid w:val="004F5A81"/>
    <w:rsid w:val="004F64E6"/>
    <w:rsid w:val="004F73BA"/>
    <w:rsid w:val="004F77A7"/>
    <w:rsid w:val="005016B5"/>
    <w:rsid w:val="00501DFA"/>
    <w:rsid w:val="005064C2"/>
    <w:rsid w:val="00506787"/>
    <w:rsid w:val="005075B4"/>
    <w:rsid w:val="00507617"/>
    <w:rsid w:val="0051180F"/>
    <w:rsid w:val="00511D3B"/>
    <w:rsid w:val="0051259D"/>
    <w:rsid w:val="00512840"/>
    <w:rsid w:val="00520141"/>
    <w:rsid w:val="0052148C"/>
    <w:rsid w:val="0052503F"/>
    <w:rsid w:val="00526560"/>
    <w:rsid w:val="00527C97"/>
    <w:rsid w:val="00530761"/>
    <w:rsid w:val="005309B0"/>
    <w:rsid w:val="0053264F"/>
    <w:rsid w:val="00533F62"/>
    <w:rsid w:val="00534389"/>
    <w:rsid w:val="00534617"/>
    <w:rsid w:val="0053476E"/>
    <w:rsid w:val="00535CDA"/>
    <w:rsid w:val="005377CF"/>
    <w:rsid w:val="005378DF"/>
    <w:rsid w:val="00540AFB"/>
    <w:rsid w:val="0054190C"/>
    <w:rsid w:val="00542251"/>
    <w:rsid w:val="00543A56"/>
    <w:rsid w:val="005441D8"/>
    <w:rsid w:val="005448F9"/>
    <w:rsid w:val="00544A63"/>
    <w:rsid w:val="005459BD"/>
    <w:rsid w:val="00546358"/>
    <w:rsid w:val="00551266"/>
    <w:rsid w:val="00551414"/>
    <w:rsid w:val="00551F8B"/>
    <w:rsid w:val="005535D1"/>
    <w:rsid w:val="00557A1F"/>
    <w:rsid w:val="00557CD4"/>
    <w:rsid w:val="00560A8B"/>
    <w:rsid w:val="00560D55"/>
    <w:rsid w:val="005612F8"/>
    <w:rsid w:val="00561492"/>
    <w:rsid w:val="00561B7B"/>
    <w:rsid w:val="005631BC"/>
    <w:rsid w:val="0056330B"/>
    <w:rsid w:val="00564337"/>
    <w:rsid w:val="0056490E"/>
    <w:rsid w:val="00565997"/>
    <w:rsid w:val="00566810"/>
    <w:rsid w:val="00570E85"/>
    <w:rsid w:val="0057262B"/>
    <w:rsid w:val="00572960"/>
    <w:rsid w:val="00575666"/>
    <w:rsid w:val="005776E8"/>
    <w:rsid w:val="00577AEF"/>
    <w:rsid w:val="00582B0C"/>
    <w:rsid w:val="00583CAC"/>
    <w:rsid w:val="005855A4"/>
    <w:rsid w:val="00587833"/>
    <w:rsid w:val="00587E44"/>
    <w:rsid w:val="00593976"/>
    <w:rsid w:val="00593C84"/>
    <w:rsid w:val="00594EDE"/>
    <w:rsid w:val="00594FE8"/>
    <w:rsid w:val="0059610F"/>
    <w:rsid w:val="005A1470"/>
    <w:rsid w:val="005A318B"/>
    <w:rsid w:val="005A4228"/>
    <w:rsid w:val="005A43F9"/>
    <w:rsid w:val="005A6433"/>
    <w:rsid w:val="005A6D4F"/>
    <w:rsid w:val="005B08C5"/>
    <w:rsid w:val="005B2D27"/>
    <w:rsid w:val="005B3AA9"/>
    <w:rsid w:val="005B4D00"/>
    <w:rsid w:val="005B5149"/>
    <w:rsid w:val="005B6084"/>
    <w:rsid w:val="005B65AB"/>
    <w:rsid w:val="005B76BB"/>
    <w:rsid w:val="005B7AD6"/>
    <w:rsid w:val="005C0296"/>
    <w:rsid w:val="005C0569"/>
    <w:rsid w:val="005C0A7F"/>
    <w:rsid w:val="005C0C22"/>
    <w:rsid w:val="005C1082"/>
    <w:rsid w:val="005C188F"/>
    <w:rsid w:val="005C18FA"/>
    <w:rsid w:val="005C255C"/>
    <w:rsid w:val="005C38DD"/>
    <w:rsid w:val="005C523B"/>
    <w:rsid w:val="005C5758"/>
    <w:rsid w:val="005C5D95"/>
    <w:rsid w:val="005C662F"/>
    <w:rsid w:val="005D0B22"/>
    <w:rsid w:val="005D0D27"/>
    <w:rsid w:val="005D4B05"/>
    <w:rsid w:val="005D5B26"/>
    <w:rsid w:val="005D5E4F"/>
    <w:rsid w:val="005D76F7"/>
    <w:rsid w:val="005E0820"/>
    <w:rsid w:val="005E1346"/>
    <w:rsid w:val="005E1D8A"/>
    <w:rsid w:val="005E2D3E"/>
    <w:rsid w:val="005E350C"/>
    <w:rsid w:val="005E3EA5"/>
    <w:rsid w:val="005E514B"/>
    <w:rsid w:val="005E6047"/>
    <w:rsid w:val="005F1617"/>
    <w:rsid w:val="005F1950"/>
    <w:rsid w:val="005F5499"/>
    <w:rsid w:val="005F56A4"/>
    <w:rsid w:val="005F6B26"/>
    <w:rsid w:val="005F76EE"/>
    <w:rsid w:val="00603287"/>
    <w:rsid w:val="006035FF"/>
    <w:rsid w:val="00604995"/>
    <w:rsid w:val="006058B9"/>
    <w:rsid w:val="00606FA6"/>
    <w:rsid w:val="00607383"/>
    <w:rsid w:val="00607582"/>
    <w:rsid w:val="00611CB4"/>
    <w:rsid w:val="00613138"/>
    <w:rsid w:val="00614DAD"/>
    <w:rsid w:val="006156CD"/>
    <w:rsid w:val="00615BC4"/>
    <w:rsid w:val="00615BF2"/>
    <w:rsid w:val="00615E8E"/>
    <w:rsid w:val="00616D87"/>
    <w:rsid w:val="00616EC9"/>
    <w:rsid w:val="006173C7"/>
    <w:rsid w:val="00617905"/>
    <w:rsid w:val="00620055"/>
    <w:rsid w:val="00621473"/>
    <w:rsid w:val="00622D2E"/>
    <w:rsid w:val="00622D97"/>
    <w:rsid w:val="00622DBD"/>
    <w:rsid w:val="0062374C"/>
    <w:rsid w:val="00624B4E"/>
    <w:rsid w:val="00624DC1"/>
    <w:rsid w:val="00625769"/>
    <w:rsid w:val="00625A75"/>
    <w:rsid w:val="00625E96"/>
    <w:rsid w:val="00627591"/>
    <w:rsid w:val="0063055A"/>
    <w:rsid w:val="0063074D"/>
    <w:rsid w:val="0063124B"/>
    <w:rsid w:val="006314D2"/>
    <w:rsid w:val="0063170B"/>
    <w:rsid w:val="0063427F"/>
    <w:rsid w:val="00634CC0"/>
    <w:rsid w:val="00636827"/>
    <w:rsid w:val="0063744E"/>
    <w:rsid w:val="0064089C"/>
    <w:rsid w:val="006409BD"/>
    <w:rsid w:val="0064289E"/>
    <w:rsid w:val="00642B44"/>
    <w:rsid w:val="00643852"/>
    <w:rsid w:val="00643F5F"/>
    <w:rsid w:val="00644042"/>
    <w:rsid w:val="006445E3"/>
    <w:rsid w:val="00644B32"/>
    <w:rsid w:val="006476A2"/>
    <w:rsid w:val="00647D31"/>
    <w:rsid w:val="00647DE5"/>
    <w:rsid w:val="00651FC6"/>
    <w:rsid w:val="006560D9"/>
    <w:rsid w:val="0065723C"/>
    <w:rsid w:val="006576E8"/>
    <w:rsid w:val="00661D7D"/>
    <w:rsid w:val="0066265D"/>
    <w:rsid w:val="00663A02"/>
    <w:rsid w:val="00664843"/>
    <w:rsid w:val="00664ADF"/>
    <w:rsid w:val="006652C7"/>
    <w:rsid w:val="00666853"/>
    <w:rsid w:val="00666F55"/>
    <w:rsid w:val="00670842"/>
    <w:rsid w:val="00672B4F"/>
    <w:rsid w:val="00672C4E"/>
    <w:rsid w:val="00672D75"/>
    <w:rsid w:val="0067337C"/>
    <w:rsid w:val="00673CD4"/>
    <w:rsid w:val="00674602"/>
    <w:rsid w:val="00680446"/>
    <w:rsid w:val="0068312A"/>
    <w:rsid w:val="006842EA"/>
    <w:rsid w:val="0068534A"/>
    <w:rsid w:val="0068655B"/>
    <w:rsid w:val="00687B22"/>
    <w:rsid w:val="00691631"/>
    <w:rsid w:val="00691B13"/>
    <w:rsid w:val="00691B31"/>
    <w:rsid w:val="00692134"/>
    <w:rsid w:val="00692D15"/>
    <w:rsid w:val="00692FE5"/>
    <w:rsid w:val="00693D1D"/>
    <w:rsid w:val="006944FA"/>
    <w:rsid w:val="00694702"/>
    <w:rsid w:val="00696863"/>
    <w:rsid w:val="00697D88"/>
    <w:rsid w:val="006A2981"/>
    <w:rsid w:val="006A2A06"/>
    <w:rsid w:val="006A5194"/>
    <w:rsid w:val="006A51BF"/>
    <w:rsid w:val="006B060F"/>
    <w:rsid w:val="006B12FD"/>
    <w:rsid w:val="006B4121"/>
    <w:rsid w:val="006B43E3"/>
    <w:rsid w:val="006B5582"/>
    <w:rsid w:val="006B6D3D"/>
    <w:rsid w:val="006C16D7"/>
    <w:rsid w:val="006C1C89"/>
    <w:rsid w:val="006C340E"/>
    <w:rsid w:val="006C355B"/>
    <w:rsid w:val="006C57DC"/>
    <w:rsid w:val="006C61E7"/>
    <w:rsid w:val="006C74E6"/>
    <w:rsid w:val="006D157E"/>
    <w:rsid w:val="006D2EC9"/>
    <w:rsid w:val="006D3536"/>
    <w:rsid w:val="006D3EE1"/>
    <w:rsid w:val="006D6963"/>
    <w:rsid w:val="006E12E0"/>
    <w:rsid w:val="006E139F"/>
    <w:rsid w:val="006E44DB"/>
    <w:rsid w:val="006E7463"/>
    <w:rsid w:val="006F07BD"/>
    <w:rsid w:val="006F2A42"/>
    <w:rsid w:val="006F2AE0"/>
    <w:rsid w:val="006F2ED0"/>
    <w:rsid w:val="006F61A8"/>
    <w:rsid w:val="00700D40"/>
    <w:rsid w:val="00700DF1"/>
    <w:rsid w:val="00701613"/>
    <w:rsid w:val="00701D8F"/>
    <w:rsid w:val="00702567"/>
    <w:rsid w:val="007031EB"/>
    <w:rsid w:val="00703ED9"/>
    <w:rsid w:val="00704C23"/>
    <w:rsid w:val="00706390"/>
    <w:rsid w:val="00707660"/>
    <w:rsid w:val="00710852"/>
    <w:rsid w:val="0071122F"/>
    <w:rsid w:val="00711F89"/>
    <w:rsid w:val="0071307E"/>
    <w:rsid w:val="00713A03"/>
    <w:rsid w:val="00713B6B"/>
    <w:rsid w:val="00714F4D"/>
    <w:rsid w:val="00715BD9"/>
    <w:rsid w:val="007163D6"/>
    <w:rsid w:val="00716EBF"/>
    <w:rsid w:val="0071744E"/>
    <w:rsid w:val="007205ED"/>
    <w:rsid w:val="00720733"/>
    <w:rsid w:val="007210FE"/>
    <w:rsid w:val="00722907"/>
    <w:rsid w:val="00725264"/>
    <w:rsid w:val="00730E2C"/>
    <w:rsid w:val="0073167E"/>
    <w:rsid w:val="0073280C"/>
    <w:rsid w:val="00733A5C"/>
    <w:rsid w:val="00733B32"/>
    <w:rsid w:val="007375C6"/>
    <w:rsid w:val="007400B9"/>
    <w:rsid w:val="007413E3"/>
    <w:rsid w:val="00741988"/>
    <w:rsid w:val="00742593"/>
    <w:rsid w:val="0074398D"/>
    <w:rsid w:val="00744358"/>
    <w:rsid w:val="00745FB4"/>
    <w:rsid w:val="0074762F"/>
    <w:rsid w:val="007478EC"/>
    <w:rsid w:val="0075129E"/>
    <w:rsid w:val="007521E8"/>
    <w:rsid w:val="00752CE6"/>
    <w:rsid w:val="00752DB0"/>
    <w:rsid w:val="007541D5"/>
    <w:rsid w:val="00754F17"/>
    <w:rsid w:val="00755796"/>
    <w:rsid w:val="00756180"/>
    <w:rsid w:val="00756D5A"/>
    <w:rsid w:val="00756ED1"/>
    <w:rsid w:val="0075744B"/>
    <w:rsid w:val="00757A03"/>
    <w:rsid w:val="007615D1"/>
    <w:rsid w:val="00765DCA"/>
    <w:rsid w:val="00767799"/>
    <w:rsid w:val="00767A35"/>
    <w:rsid w:val="00770D27"/>
    <w:rsid w:val="00772ADB"/>
    <w:rsid w:val="00772C32"/>
    <w:rsid w:val="0077389D"/>
    <w:rsid w:val="007742EC"/>
    <w:rsid w:val="00780262"/>
    <w:rsid w:val="00781B20"/>
    <w:rsid w:val="00781C07"/>
    <w:rsid w:val="00781F85"/>
    <w:rsid w:val="0078220D"/>
    <w:rsid w:val="007832B3"/>
    <w:rsid w:val="00783EF0"/>
    <w:rsid w:val="00783FE4"/>
    <w:rsid w:val="00784DF4"/>
    <w:rsid w:val="007878FB"/>
    <w:rsid w:val="00787ABE"/>
    <w:rsid w:val="00790B5E"/>
    <w:rsid w:val="00793693"/>
    <w:rsid w:val="007943C9"/>
    <w:rsid w:val="0079568F"/>
    <w:rsid w:val="00796C1E"/>
    <w:rsid w:val="007972DC"/>
    <w:rsid w:val="007A0F26"/>
    <w:rsid w:val="007A1AFC"/>
    <w:rsid w:val="007A2559"/>
    <w:rsid w:val="007A30F2"/>
    <w:rsid w:val="007A3C31"/>
    <w:rsid w:val="007A3F1D"/>
    <w:rsid w:val="007A4620"/>
    <w:rsid w:val="007B0522"/>
    <w:rsid w:val="007B0A8E"/>
    <w:rsid w:val="007B18F5"/>
    <w:rsid w:val="007B3075"/>
    <w:rsid w:val="007B46E6"/>
    <w:rsid w:val="007B4A68"/>
    <w:rsid w:val="007B4ACA"/>
    <w:rsid w:val="007B635E"/>
    <w:rsid w:val="007B7863"/>
    <w:rsid w:val="007C0870"/>
    <w:rsid w:val="007C0A96"/>
    <w:rsid w:val="007C2B4F"/>
    <w:rsid w:val="007C3545"/>
    <w:rsid w:val="007C35E3"/>
    <w:rsid w:val="007C43CA"/>
    <w:rsid w:val="007C4CE5"/>
    <w:rsid w:val="007C7216"/>
    <w:rsid w:val="007D39E5"/>
    <w:rsid w:val="007D6691"/>
    <w:rsid w:val="007D69E2"/>
    <w:rsid w:val="007E0C69"/>
    <w:rsid w:val="007E0FDE"/>
    <w:rsid w:val="007E25AA"/>
    <w:rsid w:val="007E5C0C"/>
    <w:rsid w:val="007E63CE"/>
    <w:rsid w:val="007F02B5"/>
    <w:rsid w:val="007F07AB"/>
    <w:rsid w:val="007F0C06"/>
    <w:rsid w:val="007F1554"/>
    <w:rsid w:val="007F1812"/>
    <w:rsid w:val="007F4F6C"/>
    <w:rsid w:val="007F50D2"/>
    <w:rsid w:val="007F728F"/>
    <w:rsid w:val="007F739E"/>
    <w:rsid w:val="00800846"/>
    <w:rsid w:val="008043BF"/>
    <w:rsid w:val="0080618C"/>
    <w:rsid w:val="00810A44"/>
    <w:rsid w:val="00810D51"/>
    <w:rsid w:val="00811312"/>
    <w:rsid w:val="00811AE1"/>
    <w:rsid w:val="00811D9B"/>
    <w:rsid w:val="00812951"/>
    <w:rsid w:val="0081719A"/>
    <w:rsid w:val="00817897"/>
    <w:rsid w:val="0082113E"/>
    <w:rsid w:val="00821487"/>
    <w:rsid w:val="00821A0B"/>
    <w:rsid w:val="008229EF"/>
    <w:rsid w:val="00822B89"/>
    <w:rsid w:val="00823A5B"/>
    <w:rsid w:val="00824F34"/>
    <w:rsid w:val="008256A2"/>
    <w:rsid w:val="00825853"/>
    <w:rsid w:val="008262B1"/>
    <w:rsid w:val="008279D5"/>
    <w:rsid w:val="00830D8D"/>
    <w:rsid w:val="0083101D"/>
    <w:rsid w:val="00831AD8"/>
    <w:rsid w:val="00832459"/>
    <w:rsid w:val="00833732"/>
    <w:rsid w:val="00833E33"/>
    <w:rsid w:val="00837AB0"/>
    <w:rsid w:val="00837CD1"/>
    <w:rsid w:val="00840677"/>
    <w:rsid w:val="008415DF"/>
    <w:rsid w:val="00842642"/>
    <w:rsid w:val="00842D8C"/>
    <w:rsid w:val="00845CD4"/>
    <w:rsid w:val="00845CFA"/>
    <w:rsid w:val="00847255"/>
    <w:rsid w:val="008519D4"/>
    <w:rsid w:val="008525FC"/>
    <w:rsid w:val="00852B26"/>
    <w:rsid w:val="00852C36"/>
    <w:rsid w:val="008544DC"/>
    <w:rsid w:val="00856215"/>
    <w:rsid w:val="008601E9"/>
    <w:rsid w:val="00860938"/>
    <w:rsid w:val="008611CB"/>
    <w:rsid w:val="008627F0"/>
    <w:rsid w:val="008633B7"/>
    <w:rsid w:val="00863978"/>
    <w:rsid w:val="008643AC"/>
    <w:rsid w:val="00864893"/>
    <w:rsid w:val="00864CCD"/>
    <w:rsid w:val="00865FEA"/>
    <w:rsid w:val="00871884"/>
    <w:rsid w:val="008718EC"/>
    <w:rsid w:val="00871995"/>
    <w:rsid w:val="008726A5"/>
    <w:rsid w:val="00872BF6"/>
    <w:rsid w:val="0087340B"/>
    <w:rsid w:val="00873E17"/>
    <w:rsid w:val="008802F5"/>
    <w:rsid w:val="00882242"/>
    <w:rsid w:val="0088241A"/>
    <w:rsid w:val="00882B10"/>
    <w:rsid w:val="00882C9D"/>
    <w:rsid w:val="0088314C"/>
    <w:rsid w:val="00886664"/>
    <w:rsid w:val="00887157"/>
    <w:rsid w:val="008902EC"/>
    <w:rsid w:val="008908EB"/>
    <w:rsid w:val="00893924"/>
    <w:rsid w:val="0089693B"/>
    <w:rsid w:val="008A0EFF"/>
    <w:rsid w:val="008A557C"/>
    <w:rsid w:val="008A6731"/>
    <w:rsid w:val="008A6B9C"/>
    <w:rsid w:val="008A73AF"/>
    <w:rsid w:val="008B2370"/>
    <w:rsid w:val="008B2956"/>
    <w:rsid w:val="008B3A8E"/>
    <w:rsid w:val="008B586D"/>
    <w:rsid w:val="008B59E2"/>
    <w:rsid w:val="008C14A9"/>
    <w:rsid w:val="008C4932"/>
    <w:rsid w:val="008C68EA"/>
    <w:rsid w:val="008C7046"/>
    <w:rsid w:val="008C7388"/>
    <w:rsid w:val="008D07A9"/>
    <w:rsid w:val="008D29EB"/>
    <w:rsid w:val="008D313D"/>
    <w:rsid w:val="008D3292"/>
    <w:rsid w:val="008D3495"/>
    <w:rsid w:val="008D6079"/>
    <w:rsid w:val="008D662A"/>
    <w:rsid w:val="008D6AE7"/>
    <w:rsid w:val="008D76E5"/>
    <w:rsid w:val="008E1BEA"/>
    <w:rsid w:val="008E2FCB"/>
    <w:rsid w:val="008E34AE"/>
    <w:rsid w:val="008E452E"/>
    <w:rsid w:val="008E4897"/>
    <w:rsid w:val="008E57CA"/>
    <w:rsid w:val="008F0995"/>
    <w:rsid w:val="008F0D85"/>
    <w:rsid w:val="008F299E"/>
    <w:rsid w:val="008F3895"/>
    <w:rsid w:val="008F4B4E"/>
    <w:rsid w:val="008F5FB7"/>
    <w:rsid w:val="008F6FBD"/>
    <w:rsid w:val="00900489"/>
    <w:rsid w:val="0090396C"/>
    <w:rsid w:val="00905D04"/>
    <w:rsid w:val="00906210"/>
    <w:rsid w:val="00907005"/>
    <w:rsid w:val="009078F5"/>
    <w:rsid w:val="009101E9"/>
    <w:rsid w:val="00912C0B"/>
    <w:rsid w:val="00912D99"/>
    <w:rsid w:val="00912EBC"/>
    <w:rsid w:val="00913577"/>
    <w:rsid w:val="0091413D"/>
    <w:rsid w:val="009142E0"/>
    <w:rsid w:val="00915023"/>
    <w:rsid w:val="009211A3"/>
    <w:rsid w:val="0092279E"/>
    <w:rsid w:val="0092565F"/>
    <w:rsid w:val="009256EE"/>
    <w:rsid w:val="0093031B"/>
    <w:rsid w:val="009315F1"/>
    <w:rsid w:val="009340C0"/>
    <w:rsid w:val="00934318"/>
    <w:rsid w:val="009366E5"/>
    <w:rsid w:val="00940146"/>
    <w:rsid w:val="0094346B"/>
    <w:rsid w:val="00943DF3"/>
    <w:rsid w:val="00945C07"/>
    <w:rsid w:val="009502B1"/>
    <w:rsid w:val="009503D1"/>
    <w:rsid w:val="00951170"/>
    <w:rsid w:val="00951869"/>
    <w:rsid w:val="00952345"/>
    <w:rsid w:val="00953828"/>
    <w:rsid w:val="00954397"/>
    <w:rsid w:val="00956C6B"/>
    <w:rsid w:val="00960DE9"/>
    <w:rsid w:val="009628D0"/>
    <w:rsid w:val="00965046"/>
    <w:rsid w:val="0096514F"/>
    <w:rsid w:val="009661C8"/>
    <w:rsid w:val="00966EB6"/>
    <w:rsid w:val="0096780A"/>
    <w:rsid w:val="00967A1D"/>
    <w:rsid w:val="009702AF"/>
    <w:rsid w:val="00971136"/>
    <w:rsid w:val="00974F90"/>
    <w:rsid w:val="00975A60"/>
    <w:rsid w:val="00976CC8"/>
    <w:rsid w:val="0097791B"/>
    <w:rsid w:val="00977C6E"/>
    <w:rsid w:val="00980609"/>
    <w:rsid w:val="00982FB8"/>
    <w:rsid w:val="009836D0"/>
    <w:rsid w:val="00983D3F"/>
    <w:rsid w:val="00984C6E"/>
    <w:rsid w:val="00986057"/>
    <w:rsid w:val="009864D5"/>
    <w:rsid w:val="009869B0"/>
    <w:rsid w:val="0098723F"/>
    <w:rsid w:val="0099031E"/>
    <w:rsid w:val="00990B36"/>
    <w:rsid w:val="00991A98"/>
    <w:rsid w:val="009921B0"/>
    <w:rsid w:val="00992D5C"/>
    <w:rsid w:val="00993039"/>
    <w:rsid w:val="009939FA"/>
    <w:rsid w:val="00993B10"/>
    <w:rsid w:val="0099499F"/>
    <w:rsid w:val="00994A7B"/>
    <w:rsid w:val="009974F4"/>
    <w:rsid w:val="009A06E6"/>
    <w:rsid w:val="009A1B54"/>
    <w:rsid w:val="009A271F"/>
    <w:rsid w:val="009A277E"/>
    <w:rsid w:val="009A2FBC"/>
    <w:rsid w:val="009A3CAB"/>
    <w:rsid w:val="009A4FDD"/>
    <w:rsid w:val="009A58CB"/>
    <w:rsid w:val="009A7DC3"/>
    <w:rsid w:val="009B34DE"/>
    <w:rsid w:val="009B68A4"/>
    <w:rsid w:val="009C05A0"/>
    <w:rsid w:val="009C4DA5"/>
    <w:rsid w:val="009C657C"/>
    <w:rsid w:val="009C7943"/>
    <w:rsid w:val="009D04C3"/>
    <w:rsid w:val="009D15B6"/>
    <w:rsid w:val="009D1613"/>
    <w:rsid w:val="009D1C46"/>
    <w:rsid w:val="009D2279"/>
    <w:rsid w:val="009D35CD"/>
    <w:rsid w:val="009D44FB"/>
    <w:rsid w:val="009D6865"/>
    <w:rsid w:val="009D70AB"/>
    <w:rsid w:val="009E0881"/>
    <w:rsid w:val="009E20A6"/>
    <w:rsid w:val="009E3CF5"/>
    <w:rsid w:val="009E44CA"/>
    <w:rsid w:val="009E4B5F"/>
    <w:rsid w:val="009E502A"/>
    <w:rsid w:val="009E5C4D"/>
    <w:rsid w:val="009E6E71"/>
    <w:rsid w:val="009E6E9A"/>
    <w:rsid w:val="009E7BD1"/>
    <w:rsid w:val="009E7E43"/>
    <w:rsid w:val="009F03BB"/>
    <w:rsid w:val="009F0D78"/>
    <w:rsid w:val="009F0E10"/>
    <w:rsid w:val="009F3F37"/>
    <w:rsid w:val="009F5D4F"/>
    <w:rsid w:val="009F61C4"/>
    <w:rsid w:val="009F6BA3"/>
    <w:rsid w:val="00A00913"/>
    <w:rsid w:val="00A04650"/>
    <w:rsid w:val="00A04CB4"/>
    <w:rsid w:val="00A05ADB"/>
    <w:rsid w:val="00A068F6"/>
    <w:rsid w:val="00A10367"/>
    <w:rsid w:val="00A1097A"/>
    <w:rsid w:val="00A109AC"/>
    <w:rsid w:val="00A109C8"/>
    <w:rsid w:val="00A126E7"/>
    <w:rsid w:val="00A154D9"/>
    <w:rsid w:val="00A16814"/>
    <w:rsid w:val="00A17A0E"/>
    <w:rsid w:val="00A2065A"/>
    <w:rsid w:val="00A2557A"/>
    <w:rsid w:val="00A262C7"/>
    <w:rsid w:val="00A269EA"/>
    <w:rsid w:val="00A26A0E"/>
    <w:rsid w:val="00A27744"/>
    <w:rsid w:val="00A30190"/>
    <w:rsid w:val="00A30FBA"/>
    <w:rsid w:val="00A313A5"/>
    <w:rsid w:val="00A32312"/>
    <w:rsid w:val="00A350A8"/>
    <w:rsid w:val="00A36346"/>
    <w:rsid w:val="00A3689E"/>
    <w:rsid w:val="00A40AF7"/>
    <w:rsid w:val="00A43FCB"/>
    <w:rsid w:val="00A440BD"/>
    <w:rsid w:val="00A4414C"/>
    <w:rsid w:val="00A44D90"/>
    <w:rsid w:val="00A4580F"/>
    <w:rsid w:val="00A47069"/>
    <w:rsid w:val="00A50EFE"/>
    <w:rsid w:val="00A527AE"/>
    <w:rsid w:val="00A536ED"/>
    <w:rsid w:val="00A54EAA"/>
    <w:rsid w:val="00A55778"/>
    <w:rsid w:val="00A66596"/>
    <w:rsid w:val="00A739F0"/>
    <w:rsid w:val="00A7700B"/>
    <w:rsid w:val="00A82254"/>
    <w:rsid w:val="00A82872"/>
    <w:rsid w:val="00A915E2"/>
    <w:rsid w:val="00A934CC"/>
    <w:rsid w:val="00A96CFC"/>
    <w:rsid w:val="00A96F9B"/>
    <w:rsid w:val="00AA156F"/>
    <w:rsid w:val="00AA166A"/>
    <w:rsid w:val="00AA22D3"/>
    <w:rsid w:val="00AA3912"/>
    <w:rsid w:val="00AA42F4"/>
    <w:rsid w:val="00AA56DC"/>
    <w:rsid w:val="00AA5B0E"/>
    <w:rsid w:val="00AA5D7C"/>
    <w:rsid w:val="00AA7262"/>
    <w:rsid w:val="00AB17E9"/>
    <w:rsid w:val="00AB1FF5"/>
    <w:rsid w:val="00AB7097"/>
    <w:rsid w:val="00AB7B98"/>
    <w:rsid w:val="00AC39BE"/>
    <w:rsid w:val="00AC53C8"/>
    <w:rsid w:val="00AC5A4E"/>
    <w:rsid w:val="00AC7B3F"/>
    <w:rsid w:val="00AD0C5A"/>
    <w:rsid w:val="00AD0ECE"/>
    <w:rsid w:val="00AD16EC"/>
    <w:rsid w:val="00AD20F9"/>
    <w:rsid w:val="00AD3E29"/>
    <w:rsid w:val="00AD7060"/>
    <w:rsid w:val="00AE01E0"/>
    <w:rsid w:val="00AE196E"/>
    <w:rsid w:val="00AE3364"/>
    <w:rsid w:val="00AE6DB7"/>
    <w:rsid w:val="00AF03CA"/>
    <w:rsid w:val="00AF16A6"/>
    <w:rsid w:val="00AF3BE5"/>
    <w:rsid w:val="00AF461F"/>
    <w:rsid w:val="00AF4D2F"/>
    <w:rsid w:val="00AF529D"/>
    <w:rsid w:val="00AF5E8D"/>
    <w:rsid w:val="00AF6865"/>
    <w:rsid w:val="00AF6CDF"/>
    <w:rsid w:val="00AF7B69"/>
    <w:rsid w:val="00B00B3F"/>
    <w:rsid w:val="00B00E2C"/>
    <w:rsid w:val="00B01F67"/>
    <w:rsid w:val="00B025FC"/>
    <w:rsid w:val="00B026FD"/>
    <w:rsid w:val="00B03A4C"/>
    <w:rsid w:val="00B041FB"/>
    <w:rsid w:val="00B04290"/>
    <w:rsid w:val="00B04B44"/>
    <w:rsid w:val="00B0544A"/>
    <w:rsid w:val="00B05466"/>
    <w:rsid w:val="00B05E0F"/>
    <w:rsid w:val="00B0646F"/>
    <w:rsid w:val="00B0710D"/>
    <w:rsid w:val="00B07B3F"/>
    <w:rsid w:val="00B1068C"/>
    <w:rsid w:val="00B1097D"/>
    <w:rsid w:val="00B10FED"/>
    <w:rsid w:val="00B11699"/>
    <w:rsid w:val="00B13206"/>
    <w:rsid w:val="00B133BF"/>
    <w:rsid w:val="00B14B85"/>
    <w:rsid w:val="00B1598D"/>
    <w:rsid w:val="00B1766E"/>
    <w:rsid w:val="00B20283"/>
    <w:rsid w:val="00B23EB6"/>
    <w:rsid w:val="00B24148"/>
    <w:rsid w:val="00B24621"/>
    <w:rsid w:val="00B25364"/>
    <w:rsid w:val="00B26469"/>
    <w:rsid w:val="00B31F78"/>
    <w:rsid w:val="00B36D1C"/>
    <w:rsid w:val="00B37E6D"/>
    <w:rsid w:val="00B45FAC"/>
    <w:rsid w:val="00B46C4C"/>
    <w:rsid w:val="00B46EE7"/>
    <w:rsid w:val="00B4778D"/>
    <w:rsid w:val="00B5106B"/>
    <w:rsid w:val="00B52D7C"/>
    <w:rsid w:val="00B52ED6"/>
    <w:rsid w:val="00B5395C"/>
    <w:rsid w:val="00B54A83"/>
    <w:rsid w:val="00B558E7"/>
    <w:rsid w:val="00B562E5"/>
    <w:rsid w:val="00B56FB2"/>
    <w:rsid w:val="00B57041"/>
    <w:rsid w:val="00B60BE6"/>
    <w:rsid w:val="00B62FAC"/>
    <w:rsid w:val="00B63E9A"/>
    <w:rsid w:val="00B65CA5"/>
    <w:rsid w:val="00B660BD"/>
    <w:rsid w:val="00B67209"/>
    <w:rsid w:val="00B67520"/>
    <w:rsid w:val="00B675C5"/>
    <w:rsid w:val="00B724BA"/>
    <w:rsid w:val="00B72D52"/>
    <w:rsid w:val="00B7357D"/>
    <w:rsid w:val="00B74684"/>
    <w:rsid w:val="00B75AA7"/>
    <w:rsid w:val="00B75CA9"/>
    <w:rsid w:val="00B77179"/>
    <w:rsid w:val="00B77F8E"/>
    <w:rsid w:val="00B82592"/>
    <w:rsid w:val="00B827DF"/>
    <w:rsid w:val="00B82D15"/>
    <w:rsid w:val="00B8337C"/>
    <w:rsid w:val="00B84475"/>
    <w:rsid w:val="00B84740"/>
    <w:rsid w:val="00B84827"/>
    <w:rsid w:val="00B84C7A"/>
    <w:rsid w:val="00B85BBC"/>
    <w:rsid w:val="00B865CD"/>
    <w:rsid w:val="00B86BF9"/>
    <w:rsid w:val="00B87362"/>
    <w:rsid w:val="00B87970"/>
    <w:rsid w:val="00B9043E"/>
    <w:rsid w:val="00B92193"/>
    <w:rsid w:val="00B9247F"/>
    <w:rsid w:val="00B93267"/>
    <w:rsid w:val="00B93533"/>
    <w:rsid w:val="00B93974"/>
    <w:rsid w:val="00B93B89"/>
    <w:rsid w:val="00B9507D"/>
    <w:rsid w:val="00B96A76"/>
    <w:rsid w:val="00B973D3"/>
    <w:rsid w:val="00B9752E"/>
    <w:rsid w:val="00BA0AE2"/>
    <w:rsid w:val="00BA18FF"/>
    <w:rsid w:val="00BA274E"/>
    <w:rsid w:val="00BA2FF7"/>
    <w:rsid w:val="00BA4912"/>
    <w:rsid w:val="00BA59AA"/>
    <w:rsid w:val="00BA5AF4"/>
    <w:rsid w:val="00BA5F0C"/>
    <w:rsid w:val="00BB06B2"/>
    <w:rsid w:val="00BB0ED5"/>
    <w:rsid w:val="00BB14EE"/>
    <w:rsid w:val="00BB1CCA"/>
    <w:rsid w:val="00BB1E75"/>
    <w:rsid w:val="00BB262C"/>
    <w:rsid w:val="00BB2D82"/>
    <w:rsid w:val="00BB34A6"/>
    <w:rsid w:val="00BB4C02"/>
    <w:rsid w:val="00BB4DD5"/>
    <w:rsid w:val="00BB5574"/>
    <w:rsid w:val="00BB73C3"/>
    <w:rsid w:val="00BB7FCC"/>
    <w:rsid w:val="00BC510A"/>
    <w:rsid w:val="00BC5FB4"/>
    <w:rsid w:val="00BC651A"/>
    <w:rsid w:val="00BC65A2"/>
    <w:rsid w:val="00BC705D"/>
    <w:rsid w:val="00BD0B9B"/>
    <w:rsid w:val="00BD0C23"/>
    <w:rsid w:val="00BD2997"/>
    <w:rsid w:val="00BD3F16"/>
    <w:rsid w:val="00BD4281"/>
    <w:rsid w:val="00BD4739"/>
    <w:rsid w:val="00BD660B"/>
    <w:rsid w:val="00BE1F1B"/>
    <w:rsid w:val="00BE2323"/>
    <w:rsid w:val="00BE2AA1"/>
    <w:rsid w:val="00BE3A33"/>
    <w:rsid w:val="00BE5BD6"/>
    <w:rsid w:val="00BE5F7D"/>
    <w:rsid w:val="00BE72C2"/>
    <w:rsid w:val="00BE771F"/>
    <w:rsid w:val="00BE7742"/>
    <w:rsid w:val="00BE7849"/>
    <w:rsid w:val="00BF0033"/>
    <w:rsid w:val="00BF0986"/>
    <w:rsid w:val="00BF21AC"/>
    <w:rsid w:val="00BF2C5E"/>
    <w:rsid w:val="00BF3970"/>
    <w:rsid w:val="00BF4474"/>
    <w:rsid w:val="00BF4734"/>
    <w:rsid w:val="00BF5014"/>
    <w:rsid w:val="00BF51B8"/>
    <w:rsid w:val="00BF5CA6"/>
    <w:rsid w:val="00BF64D0"/>
    <w:rsid w:val="00C00B7C"/>
    <w:rsid w:val="00C010D5"/>
    <w:rsid w:val="00C017E3"/>
    <w:rsid w:val="00C05C8C"/>
    <w:rsid w:val="00C06AB0"/>
    <w:rsid w:val="00C071DC"/>
    <w:rsid w:val="00C07903"/>
    <w:rsid w:val="00C10487"/>
    <w:rsid w:val="00C10907"/>
    <w:rsid w:val="00C10947"/>
    <w:rsid w:val="00C10AE3"/>
    <w:rsid w:val="00C11AB8"/>
    <w:rsid w:val="00C123F3"/>
    <w:rsid w:val="00C13B67"/>
    <w:rsid w:val="00C14320"/>
    <w:rsid w:val="00C15133"/>
    <w:rsid w:val="00C24CF9"/>
    <w:rsid w:val="00C2506B"/>
    <w:rsid w:val="00C27ACD"/>
    <w:rsid w:val="00C3023A"/>
    <w:rsid w:val="00C309D2"/>
    <w:rsid w:val="00C32A84"/>
    <w:rsid w:val="00C33006"/>
    <w:rsid w:val="00C33476"/>
    <w:rsid w:val="00C33DC2"/>
    <w:rsid w:val="00C34552"/>
    <w:rsid w:val="00C37896"/>
    <w:rsid w:val="00C379D7"/>
    <w:rsid w:val="00C40A28"/>
    <w:rsid w:val="00C41443"/>
    <w:rsid w:val="00C424E9"/>
    <w:rsid w:val="00C439F3"/>
    <w:rsid w:val="00C442BE"/>
    <w:rsid w:val="00C45433"/>
    <w:rsid w:val="00C46A13"/>
    <w:rsid w:val="00C47D1E"/>
    <w:rsid w:val="00C5099E"/>
    <w:rsid w:val="00C50F8A"/>
    <w:rsid w:val="00C51346"/>
    <w:rsid w:val="00C52420"/>
    <w:rsid w:val="00C53024"/>
    <w:rsid w:val="00C53924"/>
    <w:rsid w:val="00C548D8"/>
    <w:rsid w:val="00C54EAA"/>
    <w:rsid w:val="00C55B61"/>
    <w:rsid w:val="00C5640B"/>
    <w:rsid w:val="00C57A8A"/>
    <w:rsid w:val="00C60261"/>
    <w:rsid w:val="00C61CA2"/>
    <w:rsid w:val="00C62F03"/>
    <w:rsid w:val="00C6563C"/>
    <w:rsid w:val="00C66D1B"/>
    <w:rsid w:val="00C70218"/>
    <w:rsid w:val="00C705A3"/>
    <w:rsid w:val="00C715CC"/>
    <w:rsid w:val="00C73CBE"/>
    <w:rsid w:val="00C76BA9"/>
    <w:rsid w:val="00C80703"/>
    <w:rsid w:val="00C8187F"/>
    <w:rsid w:val="00C827C5"/>
    <w:rsid w:val="00C83F9C"/>
    <w:rsid w:val="00C856C0"/>
    <w:rsid w:val="00C85832"/>
    <w:rsid w:val="00C85F08"/>
    <w:rsid w:val="00C868F5"/>
    <w:rsid w:val="00C9041E"/>
    <w:rsid w:val="00C90DA3"/>
    <w:rsid w:val="00C9321B"/>
    <w:rsid w:val="00C94026"/>
    <w:rsid w:val="00C94E41"/>
    <w:rsid w:val="00C95AA8"/>
    <w:rsid w:val="00CA1198"/>
    <w:rsid w:val="00CA125F"/>
    <w:rsid w:val="00CA1508"/>
    <w:rsid w:val="00CA3788"/>
    <w:rsid w:val="00CA516E"/>
    <w:rsid w:val="00CA554C"/>
    <w:rsid w:val="00CA7B0D"/>
    <w:rsid w:val="00CB1A28"/>
    <w:rsid w:val="00CB3B8B"/>
    <w:rsid w:val="00CB4906"/>
    <w:rsid w:val="00CB55A1"/>
    <w:rsid w:val="00CB5CEC"/>
    <w:rsid w:val="00CB62E7"/>
    <w:rsid w:val="00CC0546"/>
    <w:rsid w:val="00CC16D9"/>
    <w:rsid w:val="00CC2D38"/>
    <w:rsid w:val="00CC2ED6"/>
    <w:rsid w:val="00CC2FA9"/>
    <w:rsid w:val="00CC36EC"/>
    <w:rsid w:val="00CC552D"/>
    <w:rsid w:val="00CC5AEE"/>
    <w:rsid w:val="00CC63CC"/>
    <w:rsid w:val="00CD18F3"/>
    <w:rsid w:val="00CD20B8"/>
    <w:rsid w:val="00CD2316"/>
    <w:rsid w:val="00CD3597"/>
    <w:rsid w:val="00CD3C18"/>
    <w:rsid w:val="00CD4510"/>
    <w:rsid w:val="00CD6613"/>
    <w:rsid w:val="00CD68C6"/>
    <w:rsid w:val="00CE06AB"/>
    <w:rsid w:val="00CE1081"/>
    <w:rsid w:val="00CE3808"/>
    <w:rsid w:val="00CE3C93"/>
    <w:rsid w:val="00CE3EA1"/>
    <w:rsid w:val="00CE4281"/>
    <w:rsid w:val="00CE471F"/>
    <w:rsid w:val="00CE59F5"/>
    <w:rsid w:val="00CE6D40"/>
    <w:rsid w:val="00CF0848"/>
    <w:rsid w:val="00CF0AC6"/>
    <w:rsid w:val="00CF1143"/>
    <w:rsid w:val="00CF1713"/>
    <w:rsid w:val="00CF1983"/>
    <w:rsid w:val="00CF1AE2"/>
    <w:rsid w:val="00CF26C0"/>
    <w:rsid w:val="00CF271D"/>
    <w:rsid w:val="00CF2D55"/>
    <w:rsid w:val="00CF3BC6"/>
    <w:rsid w:val="00CF59A8"/>
    <w:rsid w:val="00CF5D08"/>
    <w:rsid w:val="00CF7A99"/>
    <w:rsid w:val="00D04578"/>
    <w:rsid w:val="00D055B8"/>
    <w:rsid w:val="00D05673"/>
    <w:rsid w:val="00D077E8"/>
    <w:rsid w:val="00D10270"/>
    <w:rsid w:val="00D11C47"/>
    <w:rsid w:val="00D12918"/>
    <w:rsid w:val="00D14D02"/>
    <w:rsid w:val="00D1764D"/>
    <w:rsid w:val="00D17953"/>
    <w:rsid w:val="00D17C53"/>
    <w:rsid w:val="00D200A7"/>
    <w:rsid w:val="00D20D7B"/>
    <w:rsid w:val="00D22C32"/>
    <w:rsid w:val="00D2309A"/>
    <w:rsid w:val="00D23D54"/>
    <w:rsid w:val="00D24557"/>
    <w:rsid w:val="00D26CB3"/>
    <w:rsid w:val="00D27959"/>
    <w:rsid w:val="00D27E89"/>
    <w:rsid w:val="00D304E3"/>
    <w:rsid w:val="00D30BD2"/>
    <w:rsid w:val="00D311C7"/>
    <w:rsid w:val="00D331A6"/>
    <w:rsid w:val="00D33F2A"/>
    <w:rsid w:val="00D350D1"/>
    <w:rsid w:val="00D353C3"/>
    <w:rsid w:val="00D36745"/>
    <w:rsid w:val="00D377B5"/>
    <w:rsid w:val="00D40E88"/>
    <w:rsid w:val="00D41389"/>
    <w:rsid w:val="00D417EA"/>
    <w:rsid w:val="00D421AF"/>
    <w:rsid w:val="00D429CF"/>
    <w:rsid w:val="00D430DA"/>
    <w:rsid w:val="00D45B74"/>
    <w:rsid w:val="00D46956"/>
    <w:rsid w:val="00D46DB3"/>
    <w:rsid w:val="00D475A0"/>
    <w:rsid w:val="00D50483"/>
    <w:rsid w:val="00D50C0C"/>
    <w:rsid w:val="00D50E45"/>
    <w:rsid w:val="00D529B7"/>
    <w:rsid w:val="00D540B9"/>
    <w:rsid w:val="00D54BFB"/>
    <w:rsid w:val="00D5701E"/>
    <w:rsid w:val="00D572C9"/>
    <w:rsid w:val="00D57BD1"/>
    <w:rsid w:val="00D60C55"/>
    <w:rsid w:val="00D60F0B"/>
    <w:rsid w:val="00D6153D"/>
    <w:rsid w:val="00D6217C"/>
    <w:rsid w:val="00D62EF3"/>
    <w:rsid w:val="00D645B5"/>
    <w:rsid w:val="00D64B58"/>
    <w:rsid w:val="00D6763C"/>
    <w:rsid w:val="00D723F7"/>
    <w:rsid w:val="00D72882"/>
    <w:rsid w:val="00D72F44"/>
    <w:rsid w:val="00D7366E"/>
    <w:rsid w:val="00D746ED"/>
    <w:rsid w:val="00D766D6"/>
    <w:rsid w:val="00D772ED"/>
    <w:rsid w:val="00D8015F"/>
    <w:rsid w:val="00D810B4"/>
    <w:rsid w:val="00D8273A"/>
    <w:rsid w:val="00D838FE"/>
    <w:rsid w:val="00D8399F"/>
    <w:rsid w:val="00D8401B"/>
    <w:rsid w:val="00D84E6E"/>
    <w:rsid w:val="00D87A66"/>
    <w:rsid w:val="00D92923"/>
    <w:rsid w:val="00D93FF0"/>
    <w:rsid w:val="00D96187"/>
    <w:rsid w:val="00D968CE"/>
    <w:rsid w:val="00DA06D1"/>
    <w:rsid w:val="00DA10EC"/>
    <w:rsid w:val="00DA1674"/>
    <w:rsid w:val="00DA2DF2"/>
    <w:rsid w:val="00DA474F"/>
    <w:rsid w:val="00DA4B8F"/>
    <w:rsid w:val="00DA5DA4"/>
    <w:rsid w:val="00DA7F8C"/>
    <w:rsid w:val="00DB228D"/>
    <w:rsid w:val="00DB40D1"/>
    <w:rsid w:val="00DB4CF2"/>
    <w:rsid w:val="00DB69C4"/>
    <w:rsid w:val="00DB6CD3"/>
    <w:rsid w:val="00DB728E"/>
    <w:rsid w:val="00DB76B6"/>
    <w:rsid w:val="00DB79DF"/>
    <w:rsid w:val="00DC5A93"/>
    <w:rsid w:val="00DD0210"/>
    <w:rsid w:val="00DD1C48"/>
    <w:rsid w:val="00DD2282"/>
    <w:rsid w:val="00DD3F80"/>
    <w:rsid w:val="00DD4BBB"/>
    <w:rsid w:val="00DD5564"/>
    <w:rsid w:val="00DD5895"/>
    <w:rsid w:val="00DD68D0"/>
    <w:rsid w:val="00DD7E7F"/>
    <w:rsid w:val="00DE0FBD"/>
    <w:rsid w:val="00DE13BD"/>
    <w:rsid w:val="00DE1D7C"/>
    <w:rsid w:val="00DE1F4A"/>
    <w:rsid w:val="00DE21E7"/>
    <w:rsid w:val="00DE2D12"/>
    <w:rsid w:val="00DE2FD7"/>
    <w:rsid w:val="00DE3885"/>
    <w:rsid w:val="00DE7E5A"/>
    <w:rsid w:val="00DF0A90"/>
    <w:rsid w:val="00DF438F"/>
    <w:rsid w:val="00DF49DC"/>
    <w:rsid w:val="00DF4ED5"/>
    <w:rsid w:val="00DF563B"/>
    <w:rsid w:val="00DF58A9"/>
    <w:rsid w:val="00DF6B10"/>
    <w:rsid w:val="00DF70CA"/>
    <w:rsid w:val="00DF7A7F"/>
    <w:rsid w:val="00DF7EE3"/>
    <w:rsid w:val="00E0019A"/>
    <w:rsid w:val="00E003AA"/>
    <w:rsid w:val="00E020D2"/>
    <w:rsid w:val="00E034CB"/>
    <w:rsid w:val="00E04D38"/>
    <w:rsid w:val="00E07B48"/>
    <w:rsid w:val="00E1024F"/>
    <w:rsid w:val="00E120B2"/>
    <w:rsid w:val="00E161E0"/>
    <w:rsid w:val="00E16E95"/>
    <w:rsid w:val="00E173E6"/>
    <w:rsid w:val="00E2189D"/>
    <w:rsid w:val="00E23322"/>
    <w:rsid w:val="00E244F2"/>
    <w:rsid w:val="00E25AA4"/>
    <w:rsid w:val="00E26C30"/>
    <w:rsid w:val="00E26E2D"/>
    <w:rsid w:val="00E33242"/>
    <w:rsid w:val="00E344FB"/>
    <w:rsid w:val="00E347FA"/>
    <w:rsid w:val="00E34CE5"/>
    <w:rsid w:val="00E3556C"/>
    <w:rsid w:val="00E35CD0"/>
    <w:rsid w:val="00E37F91"/>
    <w:rsid w:val="00E40276"/>
    <w:rsid w:val="00E419A6"/>
    <w:rsid w:val="00E430A8"/>
    <w:rsid w:val="00E43D02"/>
    <w:rsid w:val="00E4528E"/>
    <w:rsid w:val="00E466E8"/>
    <w:rsid w:val="00E5388A"/>
    <w:rsid w:val="00E53E35"/>
    <w:rsid w:val="00E60230"/>
    <w:rsid w:val="00E6137F"/>
    <w:rsid w:val="00E62381"/>
    <w:rsid w:val="00E6338E"/>
    <w:rsid w:val="00E63DA6"/>
    <w:rsid w:val="00E65D5B"/>
    <w:rsid w:val="00E70067"/>
    <w:rsid w:val="00E7173D"/>
    <w:rsid w:val="00E756AA"/>
    <w:rsid w:val="00E76B41"/>
    <w:rsid w:val="00E770B0"/>
    <w:rsid w:val="00E816EF"/>
    <w:rsid w:val="00E8252F"/>
    <w:rsid w:val="00E82D13"/>
    <w:rsid w:val="00E82ECA"/>
    <w:rsid w:val="00E832BE"/>
    <w:rsid w:val="00E845AB"/>
    <w:rsid w:val="00E849F4"/>
    <w:rsid w:val="00E85394"/>
    <w:rsid w:val="00E86207"/>
    <w:rsid w:val="00E90D7D"/>
    <w:rsid w:val="00E91FE2"/>
    <w:rsid w:val="00E9365B"/>
    <w:rsid w:val="00E95861"/>
    <w:rsid w:val="00E97418"/>
    <w:rsid w:val="00EA263A"/>
    <w:rsid w:val="00EA41EA"/>
    <w:rsid w:val="00EA530F"/>
    <w:rsid w:val="00EA5495"/>
    <w:rsid w:val="00EA56D0"/>
    <w:rsid w:val="00EA5C6D"/>
    <w:rsid w:val="00EA68A6"/>
    <w:rsid w:val="00EB03FB"/>
    <w:rsid w:val="00EB04E0"/>
    <w:rsid w:val="00EB14AA"/>
    <w:rsid w:val="00EB26EE"/>
    <w:rsid w:val="00EB5815"/>
    <w:rsid w:val="00EB6E59"/>
    <w:rsid w:val="00EB7D6A"/>
    <w:rsid w:val="00EB7ED4"/>
    <w:rsid w:val="00EC32A5"/>
    <w:rsid w:val="00EC386B"/>
    <w:rsid w:val="00EC567C"/>
    <w:rsid w:val="00EC6EAE"/>
    <w:rsid w:val="00EC7FF3"/>
    <w:rsid w:val="00ED02C3"/>
    <w:rsid w:val="00ED07BC"/>
    <w:rsid w:val="00ED08D4"/>
    <w:rsid w:val="00ED104C"/>
    <w:rsid w:val="00ED1270"/>
    <w:rsid w:val="00ED3798"/>
    <w:rsid w:val="00ED48F0"/>
    <w:rsid w:val="00ED499F"/>
    <w:rsid w:val="00ED77EA"/>
    <w:rsid w:val="00EE1D39"/>
    <w:rsid w:val="00EE2DDE"/>
    <w:rsid w:val="00EE3DC8"/>
    <w:rsid w:val="00EE5089"/>
    <w:rsid w:val="00EE6166"/>
    <w:rsid w:val="00EE6A30"/>
    <w:rsid w:val="00EE7165"/>
    <w:rsid w:val="00EE73FC"/>
    <w:rsid w:val="00EF43C3"/>
    <w:rsid w:val="00EF4E93"/>
    <w:rsid w:val="00EF58FD"/>
    <w:rsid w:val="00EF689A"/>
    <w:rsid w:val="00F008C3"/>
    <w:rsid w:val="00F00B54"/>
    <w:rsid w:val="00F02FA2"/>
    <w:rsid w:val="00F032DA"/>
    <w:rsid w:val="00F035F3"/>
    <w:rsid w:val="00F0399B"/>
    <w:rsid w:val="00F04B1A"/>
    <w:rsid w:val="00F075A3"/>
    <w:rsid w:val="00F10A58"/>
    <w:rsid w:val="00F12165"/>
    <w:rsid w:val="00F12585"/>
    <w:rsid w:val="00F131CC"/>
    <w:rsid w:val="00F13B5F"/>
    <w:rsid w:val="00F13EB8"/>
    <w:rsid w:val="00F15330"/>
    <w:rsid w:val="00F17208"/>
    <w:rsid w:val="00F17D04"/>
    <w:rsid w:val="00F2041F"/>
    <w:rsid w:val="00F21E4D"/>
    <w:rsid w:val="00F22ADE"/>
    <w:rsid w:val="00F23794"/>
    <w:rsid w:val="00F23F6D"/>
    <w:rsid w:val="00F30C06"/>
    <w:rsid w:val="00F314F6"/>
    <w:rsid w:val="00F32174"/>
    <w:rsid w:val="00F337DC"/>
    <w:rsid w:val="00F35200"/>
    <w:rsid w:val="00F35A74"/>
    <w:rsid w:val="00F35BFC"/>
    <w:rsid w:val="00F3722C"/>
    <w:rsid w:val="00F37D56"/>
    <w:rsid w:val="00F41BD7"/>
    <w:rsid w:val="00F4314E"/>
    <w:rsid w:val="00F4334C"/>
    <w:rsid w:val="00F46622"/>
    <w:rsid w:val="00F47A04"/>
    <w:rsid w:val="00F500BA"/>
    <w:rsid w:val="00F504FB"/>
    <w:rsid w:val="00F506FE"/>
    <w:rsid w:val="00F50ABA"/>
    <w:rsid w:val="00F515F9"/>
    <w:rsid w:val="00F5201B"/>
    <w:rsid w:val="00F52629"/>
    <w:rsid w:val="00F53D02"/>
    <w:rsid w:val="00F5443B"/>
    <w:rsid w:val="00F5535F"/>
    <w:rsid w:val="00F57CDA"/>
    <w:rsid w:val="00F608C2"/>
    <w:rsid w:val="00F60A0A"/>
    <w:rsid w:val="00F61174"/>
    <w:rsid w:val="00F61D6B"/>
    <w:rsid w:val="00F62078"/>
    <w:rsid w:val="00F62D09"/>
    <w:rsid w:val="00F62EB6"/>
    <w:rsid w:val="00F64AE7"/>
    <w:rsid w:val="00F65B28"/>
    <w:rsid w:val="00F668DE"/>
    <w:rsid w:val="00F6748D"/>
    <w:rsid w:val="00F70C80"/>
    <w:rsid w:val="00F7113C"/>
    <w:rsid w:val="00F72082"/>
    <w:rsid w:val="00F72998"/>
    <w:rsid w:val="00F73503"/>
    <w:rsid w:val="00F73C35"/>
    <w:rsid w:val="00F74411"/>
    <w:rsid w:val="00F75A3F"/>
    <w:rsid w:val="00F769B1"/>
    <w:rsid w:val="00F77B69"/>
    <w:rsid w:val="00F80990"/>
    <w:rsid w:val="00F80F28"/>
    <w:rsid w:val="00F8253F"/>
    <w:rsid w:val="00F829F3"/>
    <w:rsid w:val="00F83B56"/>
    <w:rsid w:val="00F843A1"/>
    <w:rsid w:val="00F84B27"/>
    <w:rsid w:val="00F851B0"/>
    <w:rsid w:val="00F8576F"/>
    <w:rsid w:val="00F8686C"/>
    <w:rsid w:val="00F8714E"/>
    <w:rsid w:val="00F872BE"/>
    <w:rsid w:val="00F916F1"/>
    <w:rsid w:val="00F91D02"/>
    <w:rsid w:val="00F92769"/>
    <w:rsid w:val="00F94DD1"/>
    <w:rsid w:val="00F971D7"/>
    <w:rsid w:val="00F978B4"/>
    <w:rsid w:val="00FA04D7"/>
    <w:rsid w:val="00FA0E18"/>
    <w:rsid w:val="00FA19AF"/>
    <w:rsid w:val="00FA4FAA"/>
    <w:rsid w:val="00FA7DE8"/>
    <w:rsid w:val="00FB0810"/>
    <w:rsid w:val="00FB1F8C"/>
    <w:rsid w:val="00FB4A41"/>
    <w:rsid w:val="00FB4CED"/>
    <w:rsid w:val="00FB5910"/>
    <w:rsid w:val="00FB662F"/>
    <w:rsid w:val="00FB686B"/>
    <w:rsid w:val="00FC154D"/>
    <w:rsid w:val="00FC1893"/>
    <w:rsid w:val="00FC198B"/>
    <w:rsid w:val="00FC6225"/>
    <w:rsid w:val="00FC6D96"/>
    <w:rsid w:val="00FD05E1"/>
    <w:rsid w:val="00FD0A2A"/>
    <w:rsid w:val="00FD0A69"/>
    <w:rsid w:val="00FD0A71"/>
    <w:rsid w:val="00FD16CD"/>
    <w:rsid w:val="00FD2AC1"/>
    <w:rsid w:val="00FD70B3"/>
    <w:rsid w:val="00FD74A6"/>
    <w:rsid w:val="00FE17C7"/>
    <w:rsid w:val="00FE2E61"/>
    <w:rsid w:val="00FE4339"/>
    <w:rsid w:val="00FE5543"/>
    <w:rsid w:val="00FE6B79"/>
    <w:rsid w:val="00FE76D8"/>
    <w:rsid w:val="00FF0E92"/>
    <w:rsid w:val="00FF12D5"/>
    <w:rsid w:val="00FF2309"/>
    <w:rsid w:val="00FF34C3"/>
    <w:rsid w:val="00FF55B7"/>
    <w:rsid w:val="00FF58CD"/>
    <w:rsid w:val="00FF59F5"/>
    <w:rsid w:val="00FF7331"/>
    <w:rsid w:val="00FF7956"/>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737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aliases w:val="Times"/>
    <w:next w:val="Geenafstand"/>
    <w:qFormat/>
    <w:rsid w:val="003832BA"/>
    <w:pPr>
      <w:spacing w:after="200" w:line="276" w:lineRule="auto"/>
      <w:jc w:val="both"/>
    </w:pPr>
    <w:rPr>
      <w:rFonts w:ascii="Times New Roman" w:hAnsi="Times New Roman"/>
      <w:sz w:val="22"/>
      <w:szCs w:val="22"/>
      <w:lang w:eastAsia="en-US"/>
    </w:rPr>
  </w:style>
  <w:style w:type="paragraph" w:styleId="Kop1">
    <w:name w:val="heading 1"/>
    <w:basedOn w:val="Standaard"/>
    <w:next w:val="Standaard"/>
    <w:link w:val="Kop1Char"/>
    <w:uiPriority w:val="9"/>
    <w:qFormat/>
    <w:rsid w:val="00B82592"/>
    <w:pPr>
      <w:keepNext/>
      <w:keepLines/>
      <w:spacing w:before="480" w:after="0"/>
      <w:outlineLvl w:val="0"/>
    </w:pPr>
    <w:rPr>
      <w:rFonts w:ascii="Cambria" w:eastAsia="Times New Roman" w:hAnsi="Cambria"/>
      <w:b/>
      <w:bCs/>
      <w:color w:val="365F91"/>
      <w:sz w:val="28"/>
      <w:szCs w:val="28"/>
    </w:rPr>
  </w:style>
  <w:style w:type="paragraph" w:styleId="Kop2">
    <w:name w:val="heading 2"/>
    <w:basedOn w:val="Standaard"/>
    <w:next w:val="Standaard"/>
    <w:link w:val="Kop2Char"/>
    <w:uiPriority w:val="9"/>
    <w:unhideWhenUsed/>
    <w:qFormat/>
    <w:rsid w:val="005E2D3E"/>
    <w:pPr>
      <w:keepNext/>
      <w:keepLines/>
      <w:spacing w:before="200" w:after="0"/>
      <w:outlineLvl w:val="1"/>
    </w:pPr>
    <w:rPr>
      <w:rFonts w:ascii="Cambria" w:eastAsia="Times New Roman" w:hAnsi="Cambria"/>
      <w:b/>
      <w:bCs/>
      <w:color w:val="4F81BD"/>
      <w:sz w:val="26"/>
      <w:szCs w:val="26"/>
    </w:rPr>
  </w:style>
  <w:style w:type="paragraph" w:styleId="Kop3">
    <w:name w:val="heading 3"/>
    <w:basedOn w:val="Standaard"/>
    <w:next w:val="Standaard"/>
    <w:link w:val="Kop3Char"/>
    <w:uiPriority w:val="9"/>
    <w:unhideWhenUsed/>
    <w:qFormat/>
    <w:rsid w:val="00DA06D1"/>
    <w:pPr>
      <w:keepNext/>
      <w:keepLines/>
      <w:spacing w:before="200" w:after="0"/>
      <w:outlineLvl w:val="2"/>
    </w:pPr>
    <w:rPr>
      <w:rFonts w:ascii="Cambria" w:eastAsia="Times New Roman" w:hAnsi="Cambria"/>
      <w:b/>
      <w:bCs/>
      <w:color w:val="4F81BD"/>
    </w:rPr>
  </w:style>
  <w:style w:type="paragraph" w:styleId="Kop4">
    <w:name w:val="heading 4"/>
    <w:basedOn w:val="Standaard"/>
    <w:next w:val="Standaard"/>
    <w:link w:val="Kop4Char"/>
    <w:uiPriority w:val="9"/>
    <w:unhideWhenUsed/>
    <w:qFormat/>
    <w:rsid w:val="00376CA5"/>
    <w:pPr>
      <w:keepNext/>
      <w:keepLines/>
      <w:spacing w:before="200" w:after="0"/>
      <w:outlineLvl w:val="3"/>
    </w:pPr>
    <w:rPr>
      <w:rFonts w:ascii="Cambria" w:eastAsia="Times New Roman" w:hAnsi="Cambria"/>
      <w:b/>
      <w:bCs/>
      <w:i/>
      <w:iCs/>
      <w:color w:val="4F81BD"/>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3832BA"/>
    <w:pPr>
      <w:jc w:val="both"/>
    </w:pPr>
    <w:rPr>
      <w:rFonts w:ascii="Times New Roman" w:hAnsi="Times New Roman"/>
      <w:sz w:val="22"/>
      <w:szCs w:val="22"/>
      <w:lang w:eastAsia="en-US"/>
    </w:rPr>
  </w:style>
  <w:style w:type="character" w:customStyle="1" w:styleId="Kop1Char">
    <w:name w:val="Kop 1 Char"/>
    <w:basedOn w:val="Standaardalinea-lettertype"/>
    <w:link w:val="Kop1"/>
    <w:uiPriority w:val="9"/>
    <w:rsid w:val="00B82592"/>
    <w:rPr>
      <w:rFonts w:ascii="Cambria" w:eastAsia="Times New Roman" w:hAnsi="Cambria" w:cs="Times New Roman"/>
      <w:b/>
      <w:bCs/>
      <w:color w:val="365F91"/>
      <w:sz w:val="28"/>
      <w:szCs w:val="28"/>
    </w:rPr>
  </w:style>
  <w:style w:type="paragraph" w:styleId="Kopvaninhoudsopgave">
    <w:name w:val="TOC Heading"/>
    <w:basedOn w:val="Kop1"/>
    <w:next w:val="Standaard"/>
    <w:uiPriority w:val="39"/>
    <w:semiHidden/>
    <w:unhideWhenUsed/>
    <w:qFormat/>
    <w:rsid w:val="00BC651A"/>
    <w:pPr>
      <w:jc w:val="left"/>
      <w:outlineLvl w:val="9"/>
    </w:pPr>
  </w:style>
  <w:style w:type="paragraph" w:styleId="Inhopg1">
    <w:name w:val="toc 1"/>
    <w:basedOn w:val="Standaard"/>
    <w:next w:val="Standaard"/>
    <w:autoRedefine/>
    <w:uiPriority w:val="39"/>
    <w:unhideWhenUsed/>
    <w:rsid w:val="00BC651A"/>
    <w:pPr>
      <w:spacing w:after="100"/>
    </w:pPr>
  </w:style>
  <w:style w:type="character" w:styleId="Hyperlink">
    <w:name w:val="Hyperlink"/>
    <w:basedOn w:val="Standaardalinea-lettertype"/>
    <w:uiPriority w:val="99"/>
    <w:unhideWhenUsed/>
    <w:rsid w:val="00BC651A"/>
    <w:rPr>
      <w:color w:val="0000FF"/>
      <w:u w:val="single"/>
    </w:rPr>
  </w:style>
  <w:style w:type="paragraph" w:styleId="Ballontekst">
    <w:name w:val="Balloon Text"/>
    <w:basedOn w:val="Standaard"/>
    <w:link w:val="BallontekstChar"/>
    <w:uiPriority w:val="99"/>
    <w:semiHidden/>
    <w:unhideWhenUsed/>
    <w:rsid w:val="00BC651A"/>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BC651A"/>
    <w:rPr>
      <w:rFonts w:ascii="Tahoma" w:hAnsi="Tahoma" w:cs="Tahoma"/>
      <w:sz w:val="16"/>
      <w:szCs w:val="16"/>
    </w:rPr>
  </w:style>
  <w:style w:type="paragraph" w:styleId="Voetnoottekst">
    <w:name w:val="footnote text"/>
    <w:basedOn w:val="Standaard"/>
    <w:link w:val="VoetnoottekstChar"/>
    <w:semiHidden/>
    <w:rsid w:val="005459BD"/>
    <w:pPr>
      <w:spacing w:after="0" w:line="240" w:lineRule="auto"/>
      <w:jc w:val="left"/>
    </w:pPr>
    <w:rPr>
      <w:rFonts w:eastAsia="Times New Roman"/>
      <w:sz w:val="20"/>
      <w:szCs w:val="20"/>
      <w:lang w:eastAsia="nl-NL"/>
    </w:rPr>
  </w:style>
  <w:style w:type="character" w:customStyle="1" w:styleId="VoetnoottekstChar">
    <w:name w:val="Voetnoottekst Char"/>
    <w:basedOn w:val="Standaardalinea-lettertype"/>
    <w:link w:val="Voetnoottekst"/>
    <w:semiHidden/>
    <w:rsid w:val="005459BD"/>
    <w:rPr>
      <w:rFonts w:ascii="Times New Roman" w:eastAsia="Times New Roman" w:hAnsi="Times New Roman" w:cs="Times New Roman"/>
      <w:sz w:val="20"/>
      <w:szCs w:val="20"/>
      <w:lang w:eastAsia="nl-NL"/>
    </w:rPr>
  </w:style>
  <w:style w:type="character" w:styleId="Voetnootmarkering">
    <w:name w:val="footnote reference"/>
    <w:basedOn w:val="Standaardalinea-lettertype"/>
    <w:semiHidden/>
    <w:rsid w:val="005459BD"/>
    <w:rPr>
      <w:vertAlign w:val="superscript"/>
    </w:rPr>
  </w:style>
  <w:style w:type="character" w:customStyle="1" w:styleId="Kop2Char">
    <w:name w:val="Kop 2 Char"/>
    <w:basedOn w:val="Standaardalinea-lettertype"/>
    <w:link w:val="Kop2"/>
    <w:uiPriority w:val="9"/>
    <w:rsid w:val="005E2D3E"/>
    <w:rPr>
      <w:rFonts w:ascii="Cambria" w:eastAsia="Times New Roman" w:hAnsi="Cambria" w:cs="Times New Roman"/>
      <w:b/>
      <w:bCs/>
      <w:color w:val="4F81BD"/>
      <w:sz w:val="26"/>
      <w:szCs w:val="26"/>
    </w:rPr>
  </w:style>
  <w:style w:type="character" w:customStyle="1" w:styleId="Kop3Char">
    <w:name w:val="Kop 3 Char"/>
    <w:basedOn w:val="Standaardalinea-lettertype"/>
    <w:link w:val="Kop3"/>
    <w:uiPriority w:val="9"/>
    <w:rsid w:val="00DA06D1"/>
    <w:rPr>
      <w:rFonts w:ascii="Cambria" w:eastAsia="Times New Roman" w:hAnsi="Cambria" w:cs="Times New Roman"/>
      <w:b/>
      <w:bCs/>
      <w:color w:val="4F81BD"/>
    </w:rPr>
  </w:style>
  <w:style w:type="paragraph" w:styleId="Inhopg2">
    <w:name w:val="toc 2"/>
    <w:basedOn w:val="Standaard"/>
    <w:next w:val="Standaard"/>
    <w:autoRedefine/>
    <w:uiPriority w:val="39"/>
    <w:unhideWhenUsed/>
    <w:rsid w:val="004E61A8"/>
    <w:pPr>
      <w:spacing w:after="100"/>
      <w:ind w:left="220"/>
    </w:pPr>
  </w:style>
  <w:style w:type="paragraph" w:styleId="Inhopg3">
    <w:name w:val="toc 3"/>
    <w:basedOn w:val="Standaard"/>
    <w:next w:val="Standaard"/>
    <w:autoRedefine/>
    <w:uiPriority w:val="39"/>
    <w:unhideWhenUsed/>
    <w:rsid w:val="004E61A8"/>
    <w:pPr>
      <w:spacing w:after="100"/>
      <w:ind w:left="440"/>
    </w:pPr>
  </w:style>
  <w:style w:type="character" w:customStyle="1" w:styleId="Kop4Char">
    <w:name w:val="Kop 4 Char"/>
    <w:basedOn w:val="Standaardalinea-lettertype"/>
    <w:link w:val="Kop4"/>
    <w:uiPriority w:val="9"/>
    <w:rsid w:val="00376CA5"/>
    <w:rPr>
      <w:rFonts w:ascii="Cambria" w:eastAsia="Times New Roman" w:hAnsi="Cambria" w:cs="Times New Roman"/>
      <w:b/>
      <w:bCs/>
      <w:i/>
      <w:iCs/>
      <w:color w:val="4F81BD"/>
    </w:rPr>
  </w:style>
  <w:style w:type="paragraph" w:styleId="Koptekst">
    <w:name w:val="header"/>
    <w:basedOn w:val="Standaard"/>
    <w:link w:val="KoptekstChar"/>
    <w:uiPriority w:val="99"/>
    <w:semiHidden/>
    <w:unhideWhenUsed/>
    <w:rsid w:val="00882C9D"/>
    <w:pPr>
      <w:tabs>
        <w:tab w:val="center" w:pos="4536"/>
        <w:tab w:val="right" w:pos="9072"/>
      </w:tabs>
      <w:spacing w:after="0" w:line="240" w:lineRule="auto"/>
    </w:pPr>
  </w:style>
  <w:style w:type="character" w:customStyle="1" w:styleId="KoptekstChar">
    <w:name w:val="Koptekst Char"/>
    <w:basedOn w:val="Standaardalinea-lettertype"/>
    <w:link w:val="Koptekst"/>
    <w:uiPriority w:val="99"/>
    <w:semiHidden/>
    <w:rsid w:val="00882C9D"/>
    <w:rPr>
      <w:rFonts w:ascii="Times New Roman" w:hAnsi="Times New Roman"/>
    </w:rPr>
  </w:style>
  <w:style w:type="paragraph" w:styleId="Voettekst">
    <w:name w:val="footer"/>
    <w:basedOn w:val="Standaard"/>
    <w:link w:val="VoettekstChar"/>
    <w:uiPriority w:val="99"/>
    <w:unhideWhenUsed/>
    <w:rsid w:val="00882C9D"/>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882C9D"/>
    <w:rPr>
      <w:rFonts w:ascii="Times New Roman" w:hAnsi="Times New Roman"/>
    </w:rPr>
  </w:style>
  <w:style w:type="paragraph" w:styleId="Lijstalinea">
    <w:name w:val="List Paragraph"/>
    <w:basedOn w:val="Standaard"/>
    <w:uiPriority w:val="34"/>
    <w:qFormat/>
    <w:rsid w:val="007615D1"/>
    <w:pPr>
      <w:ind w:left="720"/>
      <w:contextualSpacing/>
    </w:pPr>
  </w:style>
  <w:style w:type="paragraph" w:styleId="Eindnoottekst">
    <w:name w:val="endnote text"/>
    <w:basedOn w:val="Standaard"/>
    <w:link w:val="EindnoottekstChar"/>
    <w:uiPriority w:val="99"/>
    <w:semiHidden/>
    <w:unhideWhenUsed/>
    <w:rsid w:val="0019284F"/>
    <w:pPr>
      <w:spacing w:after="0" w:line="240" w:lineRule="auto"/>
    </w:pPr>
    <w:rPr>
      <w:sz w:val="20"/>
      <w:szCs w:val="20"/>
    </w:rPr>
  </w:style>
  <w:style w:type="character" w:customStyle="1" w:styleId="EindnoottekstChar">
    <w:name w:val="Eindnoottekst Char"/>
    <w:basedOn w:val="Standaardalinea-lettertype"/>
    <w:link w:val="Eindnoottekst"/>
    <w:uiPriority w:val="99"/>
    <w:semiHidden/>
    <w:rsid w:val="0019284F"/>
    <w:rPr>
      <w:rFonts w:ascii="Times New Roman" w:hAnsi="Times New Roman"/>
      <w:lang w:eastAsia="en-US"/>
    </w:rPr>
  </w:style>
  <w:style w:type="character" w:styleId="Eindnootmarkering">
    <w:name w:val="endnote reference"/>
    <w:basedOn w:val="Standaardalinea-lettertype"/>
    <w:uiPriority w:val="99"/>
    <w:semiHidden/>
    <w:unhideWhenUsed/>
    <w:rsid w:val="0019284F"/>
    <w:rPr>
      <w:vertAlign w:val="superscript"/>
    </w:rPr>
  </w:style>
  <w:style w:type="paragraph" w:styleId="Inhopg4">
    <w:name w:val="toc 4"/>
    <w:basedOn w:val="Standaard"/>
    <w:next w:val="Standaard"/>
    <w:autoRedefine/>
    <w:uiPriority w:val="39"/>
    <w:unhideWhenUsed/>
    <w:rsid w:val="009939FA"/>
    <w:pPr>
      <w:spacing w:after="100"/>
      <w:ind w:left="660"/>
      <w:jc w:val="left"/>
    </w:pPr>
    <w:rPr>
      <w:rFonts w:asciiTheme="minorHAnsi" w:eastAsiaTheme="minorEastAsia" w:hAnsiTheme="minorHAnsi" w:cstheme="minorBidi"/>
      <w:lang w:eastAsia="nl-NL"/>
    </w:rPr>
  </w:style>
  <w:style w:type="paragraph" w:styleId="Inhopg5">
    <w:name w:val="toc 5"/>
    <w:basedOn w:val="Standaard"/>
    <w:next w:val="Standaard"/>
    <w:autoRedefine/>
    <w:uiPriority w:val="39"/>
    <w:unhideWhenUsed/>
    <w:rsid w:val="009939FA"/>
    <w:pPr>
      <w:spacing w:after="100"/>
      <w:ind w:left="880"/>
      <w:jc w:val="left"/>
    </w:pPr>
    <w:rPr>
      <w:rFonts w:asciiTheme="minorHAnsi" w:eastAsiaTheme="minorEastAsia" w:hAnsiTheme="minorHAnsi" w:cstheme="minorBidi"/>
      <w:lang w:eastAsia="nl-NL"/>
    </w:rPr>
  </w:style>
  <w:style w:type="paragraph" w:styleId="Inhopg6">
    <w:name w:val="toc 6"/>
    <w:basedOn w:val="Standaard"/>
    <w:next w:val="Standaard"/>
    <w:autoRedefine/>
    <w:uiPriority w:val="39"/>
    <w:unhideWhenUsed/>
    <w:rsid w:val="009939FA"/>
    <w:pPr>
      <w:spacing w:after="100"/>
      <w:ind w:left="1100"/>
      <w:jc w:val="left"/>
    </w:pPr>
    <w:rPr>
      <w:rFonts w:asciiTheme="minorHAnsi" w:eastAsiaTheme="minorEastAsia" w:hAnsiTheme="minorHAnsi" w:cstheme="minorBidi"/>
      <w:lang w:eastAsia="nl-NL"/>
    </w:rPr>
  </w:style>
  <w:style w:type="paragraph" w:styleId="Inhopg7">
    <w:name w:val="toc 7"/>
    <w:basedOn w:val="Standaard"/>
    <w:next w:val="Standaard"/>
    <w:autoRedefine/>
    <w:uiPriority w:val="39"/>
    <w:unhideWhenUsed/>
    <w:rsid w:val="009939FA"/>
    <w:pPr>
      <w:spacing w:after="100"/>
      <w:ind w:left="1320"/>
      <w:jc w:val="left"/>
    </w:pPr>
    <w:rPr>
      <w:rFonts w:asciiTheme="minorHAnsi" w:eastAsiaTheme="minorEastAsia" w:hAnsiTheme="minorHAnsi" w:cstheme="minorBidi"/>
      <w:lang w:eastAsia="nl-NL"/>
    </w:rPr>
  </w:style>
  <w:style w:type="paragraph" w:styleId="Inhopg8">
    <w:name w:val="toc 8"/>
    <w:basedOn w:val="Standaard"/>
    <w:next w:val="Standaard"/>
    <w:autoRedefine/>
    <w:uiPriority w:val="39"/>
    <w:unhideWhenUsed/>
    <w:rsid w:val="009939FA"/>
    <w:pPr>
      <w:spacing w:after="100"/>
      <w:ind w:left="1540"/>
      <w:jc w:val="left"/>
    </w:pPr>
    <w:rPr>
      <w:rFonts w:asciiTheme="minorHAnsi" w:eastAsiaTheme="minorEastAsia" w:hAnsiTheme="minorHAnsi" w:cstheme="minorBidi"/>
      <w:lang w:eastAsia="nl-NL"/>
    </w:rPr>
  </w:style>
  <w:style w:type="paragraph" w:styleId="Inhopg9">
    <w:name w:val="toc 9"/>
    <w:basedOn w:val="Standaard"/>
    <w:next w:val="Standaard"/>
    <w:autoRedefine/>
    <w:uiPriority w:val="39"/>
    <w:unhideWhenUsed/>
    <w:rsid w:val="009939FA"/>
    <w:pPr>
      <w:spacing w:after="100"/>
      <w:ind w:left="1760"/>
      <w:jc w:val="left"/>
    </w:pPr>
    <w:rPr>
      <w:rFonts w:asciiTheme="minorHAnsi" w:eastAsiaTheme="minorEastAsia" w:hAnsiTheme="minorHAnsi" w:cstheme="minorBidi"/>
      <w:lang w:eastAsia="nl-NL"/>
    </w:rPr>
  </w:style>
  <w:style w:type="character" w:styleId="GevolgdeHyperlink">
    <w:name w:val="FollowedHyperlink"/>
    <w:basedOn w:val="Standaardalinea-lettertype"/>
    <w:uiPriority w:val="99"/>
    <w:semiHidden/>
    <w:unhideWhenUsed/>
    <w:rsid w:val="009D15B6"/>
    <w:rPr>
      <w:color w:val="800080" w:themeColor="followedHyperlink"/>
      <w:u w:val="single"/>
    </w:rPr>
  </w:style>
  <w:style w:type="table" w:styleId="Tabelraster">
    <w:name w:val="Table Grid"/>
    <w:basedOn w:val="Standaardtabel"/>
    <w:uiPriority w:val="59"/>
    <w:rsid w:val="005C029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76561891">
      <w:bodyDiv w:val="1"/>
      <w:marLeft w:val="0"/>
      <w:marRight w:val="0"/>
      <w:marTop w:val="0"/>
      <w:marBottom w:val="0"/>
      <w:divBdr>
        <w:top w:val="none" w:sz="0" w:space="0" w:color="auto"/>
        <w:left w:val="none" w:sz="0" w:space="0" w:color="auto"/>
        <w:bottom w:val="none" w:sz="0" w:space="0" w:color="auto"/>
        <w:right w:val="none" w:sz="0" w:space="0" w:color="auto"/>
      </w:divBdr>
      <w:divsChild>
        <w:div w:id="1781491689">
          <w:marLeft w:val="0"/>
          <w:marRight w:val="0"/>
          <w:marTop w:val="0"/>
          <w:marBottom w:val="0"/>
          <w:divBdr>
            <w:top w:val="none" w:sz="0" w:space="0" w:color="auto"/>
            <w:left w:val="none" w:sz="0" w:space="0" w:color="auto"/>
            <w:bottom w:val="none" w:sz="0" w:space="0" w:color="auto"/>
            <w:right w:val="none" w:sz="0" w:space="0" w:color="auto"/>
          </w:divBdr>
          <w:divsChild>
            <w:div w:id="586964554">
              <w:marLeft w:val="0"/>
              <w:marRight w:val="0"/>
              <w:marTop w:val="0"/>
              <w:marBottom w:val="0"/>
              <w:divBdr>
                <w:top w:val="none" w:sz="0" w:space="0" w:color="auto"/>
                <w:left w:val="none" w:sz="0" w:space="0" w:color="auto"/>
                <w:bottom w:val="none" w:sz="0" w:space="0" w:color="auto"/>
                <w:right w:val="none" w:sz="0" w:space="0" w:color="auto"/>
              </w:divBdr>
              <w:divsChild>
                <w:div w:id="676884582">
                  <w:marLeft w:val="0"/>
                  <w:marRight w:val="0"/>
                  <w:marTop w:val="0"/>
                  <w:marBottom w:val="0"/>
                  <w:divBdr>
                    <w:top w:val="none" w:sz="0" w:space="0" w:color="auto"/>
                    <w:left w:val="none" w:sz="0" w:space="0" w:color="auto"/>
                    <w:bottom w:val="none" w:sz="0" w:space="0" w:color="auto"/>
                    <w:right w:val="none" w:sz="0" w:space="0" w:color="auto"/>
                  </w:divBdr>
                  <w:divsChild>
                    <w:div w:id="1304240408">
                      <w:marLeft w:val="0"/>
                      <w:marRight w:val="0"/>
                      <w:marTop w:val="0"/>
                      <w:marBottom w:val="0"/>
                      <w:divBdr>
                        <w:top w:val="none" w:sz="0" w:space="0" w:color="auto"/>
                        <w:left w:val="none" w:sz="0" w:space="0" w:color="auto"/>
                        <w:bottom w:val="none" w:sz="0" w:space="0" w:color="auto"/>
                        <w:right w:val="none" w:sz="0" w:space="0" w:color="auto"/>
                      </w:divBdr>
                      <w:divsChild>
                        <w:div w:id="847408484">
                          <w:marLeft w:val="0"/>
                          <w:marRight w:val="0"/>
                          <w:marTop w:val="0"/>
                          <w:marBottom w:val="0"/>
                          <w:divBdr>
                            <w:top w:val="none" w:sz="0" w:space="0" w:color="auto"/>
                            <w:left w:val="none" w:sz="0" w:space="0" w:color="auto"/>
                            <w:bottom w:val="none" w:sz="0" w:space="0" w:color="auto"/>
                            <w:right w:val="none" w:sz="0" w:space="0" w:color="auto"/>
                          </w:divBdr>
                          <w:divsChild>
                            <w:div w:id="2022929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4974448">
      <w:bodyDiv w:val="1"/>
      <w:marLeft w:val="0"/>
      <w:marRight w:val="0"/>
      <w:marTop w:val="0"/>
      <w:marBottom w:val="0"/>
      <w:divBdr>
        <w:top w:val="none" w:sz="0" w:space="0" w:color="auto"/>
        <w:left w:val="none" w:sz="0" w:space="0" w:color="auto"/>
        <w:bottom w:val="none" w:sz="0" w:space="0" w:color="auto"/>
        <w:right w:val="none" w:sz="0" w:space="0" w:color="auto"/>
      </w:divBdr>
      <w:divsChild>
        <w:div w:id="730928837">
          <w:marLeft w:val="0"/>
          <w:marRight w:val="0"/>
          <w:marTop w:val="0"/>
          <w:marBottom w:val="0"/>
          <w:divBdr>
            <w:top w:val="none" w:sz="0" w:space="0" w:color="auto"/>
            <w:left w:val="none" w:sz="0" w:space="0" w:color="auto"/>
            <w:bottom w:val="none" w:sz="0" w:space="0" w:color="auto"/>
            <w:right w:val="none" w:sz="0" w:space="0" w:color="auto"/>
          </w:divBdr>
          <w:divsChild>
            <w:div w:id="923610690">
              <w:marLeft w:val="0"/>
              <w:marRight w:val="0"/>
              <w:marTop w:val="0"/>
              <w:marBottom w:val="0"/>
              <w:divBdr>
                <w:top w:val="none" w:sz="0" w:space="0" w:color="auto"/>
                <w:left w:val="none" w:sz="0" w:space="0" w:color="auto"/>
                <w:bottom w:val="none" w:sz="0" w:space="0" w:color="auto"/>
                <w:right w:val="none" w:sz="0" w:space="0" w:color="auto"/>
              </w:divBdr>
              <w:divsChild>
                <w:div w:id="1589339782">
                  <w:marLeft w:val="0"/>
                  <w:marRight w:val="0"/>
                  <w:marTop w:val="0"/>
                  <w:marBottom w:val="0"/>
                  <w:divBdr>
                    <w:top w:val="none" w:sz="0" w:space="0" w:color="auto"/>
                    <w:left w:val="none" w:sz="0" w:space="0" w:color="auto"/>
                    <w:bottom w:val="none" w:sz="0" w:space="0" w:color="auto"/>
                    <w:right w:val="none" w:sz="0" w:space="0" w:color="auto"/>
                  </w:divBdr>
                  <w:divsChild>
                    <w:div w:id="1289436243">
                      <w:marLeft w:val="0"/>
                      <w:marRight w:val="0"/>
                      <w:marTop w:val="0"/>
                      <w:marBottom w:val="0"/>
                      <w:divBdr>
                        <w:top w:val="none" w:sz="0" w:space="0" w:color="auto"/>
                        <w:left w:val="none" w:sz="0" w:space="0" w:color="auto"/>
                        <w:bottom w:val="none" w:sz="0" w:space="0" w:color="auto"/>
                        <w:right w:val="none" w:sz="0" w:space="0" w:color="auto"/>
                      </w:divBdr>
                      <w:divsChild>
                        <w:div w:id="648825273">
                          <w:marLeft w:val="0"/>
                          <w:marRight w:val="0"/>
                          <w:marTop w:val="0"/>
                          <w:marBottom w:val="0"/>
                          <w:divBdr>
                            <w:top w:val="none" w:sz="0" w:space="0" w:color="auto"/>
                            <w:left w:val="none" w:sz="0" w:space="0" w:color="auto"/>
                            <w:bottom w:val="none" w:sz="0" w:space="0" w:color="auto"/>
                            <w:right w:val="none" w:sz="0" w:space="0" w:color="auto"/>
                          </w:divBdr>
                          <w:divsChild>
                            <w:div w:id="15422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7902472">
      <w:bodyDiv w:val="1"/>
      <w:marLeft w:val="0"/>
      <w:marRight w:val="0"/>
      <w:marTop w:val="0"/>
      <w:marBottom w:val="0"/>
      <w:divBdr>
        <w:top w:val="none" w:sz="0" w:space="0" w:color="auto"/>
        <w:left w:val="none" w:sz="0" w:space="0" w:color="auto"/>
        <w:bottom w:val="none" w:sz="0" w:space="0" w:color="auto"/>
        <w:right w:val="none" w:sz="0" w:space="0" w:color="auto"/>
      </w:divBdr>
    </w:div>
    <w:div w:id="332807811">
      <w:bodyDiv w:val="1"/>
      <w:marLeft w:val="0"/>
      <w:marRight w:val="0"/>
      <w:marTop w:val="0"/>
      <w:marBottom w:val="0"/>
      <w:divBdr>
        <w:top w:val="none" w:sz="0" w:space="0" w:color="auto"/>
        <w:left w:val="none" w:sz="0" w:space="0" w:color="auto"/>
        <w:bottom w:val="none" w:sz="0" w:space="0" w:color="auto"/>
        <w:right w:val="none" w:sz="0" w:space="0" w:color="auto"/>
      </w:divBdr>
      <w:divsChild>
        <w:div w:id="316030514">
          <w:marLeft w:val="0"/>
          <w:marRight w:val="0"/>
          <w:marTop w:val="0"/>
          <w:marBottom w:val="0"/>
          <w:divBdr>
            <w:top w:val="none" w:sz="0" w:space="0" w:color="auto"/>
            <w:left w:val="none" w:sz="0" w:space="0" w:color="auto"/>
            <w:bottom w:val="none" w:sz="0" w:space="0" w:color="auto"/>
            <w:right w:val="none" w:sz="0" w:space="0" w:color="auto"/>
          </w:divBdr>
          <w:divsChild>
            <w:div w:id="1587379946">
              <w:marLeft w:val="0"/>
              <w:marRight w:val="0"/>
              <w:marTop w:val="0"/>
              <w:marBottom w:val="0"/>
              <w:divBdr>
                <w:top w:val="none" w:sz="0" w:space="0" w:color="auto"/>
                <w:left w:val="none" w:sz="0" w:space="0" w:color="auto"/>
                <w:bottom w:val="none" w:sz="0" w:space="0" w:color="auto"/>
                <w:right w:val="none" w:sz="0" w:space="0" w:color="auto"/>
              </w:divBdr>
              <w:divsChild>
                <w:div w:id="2135824625">
                  <w:marLeft w:val="0"/>
                  <w:marRight w:val="0"/>
                  <w:marTop w:val="0"/>
                  <w:marBottom w:val="0"/>
                  <w:divBdr>
                    <w:top w:val="none" w:sz="0" w:space="0" w:color="auto"/>
                    <w:left w:val="none" w:sz="0" w:space="0" w:color="auto"/>
                    <w:bottom w:val="none" w:sz="0" w:space="0" w:color="auto"/>
                    <w:right w:val="none" w:sz="0" w:space="0" w:color="auto"/>
                  </w:divBdr>
                  <w:divsChild>
                    <w:div w:id="1185748360">
                      <w:marLeft w:val="0"/>
                      <w:marRight w:val="0"/>
                      <w:marTop w:val="0"/>
                      <w:marBottom w:val="0"/>
                      <w:divBdr>
                        <w:top w:val="none" w:sz="0" w:space="0" w:color="auto"/>
                        <w:left w:val="none" w:sz="0" w:space="0" w:color="auto"/>
                        <w:bottom w:val="none" w:sz="0" w:space="0" w:color="auto"/>
                        <w:right w:val="none" w:sz="0" w:space="0" w:color="auto"/>
                      </w:divBdr>
                      <w:divsChild>
                        <w:div w:id="1218785398">
                          <w:marLeft w:val="0"/>
                          <w:marRight w:val="0"/>
                          <w:marTop w:val="0"/>
                          <w:marBottom w:val="0"/>
                          <w:divBdr>
                            <w:top w:val="none" w:sz="0" w:space="0" w:color="auto"/>
                            <w:left w:val="none" w:sz="0" w:space="0" w:color="auto"/>
                            <w:bottom w:val="none" w:sz="0" w:space="0" w:color="auto"/>
                            <w:right w:val="none" w:sz="0" w:space="0" w:color="auto"/>
                          </w:divBdr>
                          <w:divsChild>
                            <w:div w:id="129698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2019682">
      <w:bodyDiv w:val="1"/>
      <w:marLeft w:val="0"/>
      <w:marRight w:val="0"/>
      <w:marTop w:val="0"/>
      <w:marBottom w:val="0"/>
      <w:divBdr>
        <w:top w:val="none" w:sz="0" w:space="0" w:color="auto"/>
        <w:left w:val="none" w:sz="0" w:space="0" w:color="auto"/>
        <w:bottom w:val="none" w:sz="0" w:space="0" w:color="auto"/>
        <w:right w:val="none" w:sz="0" w:space="0" w:color="auto"/>
      </w:divBdr>
      <w:divsChild>
        <w:div w:id="1691104187">
          <w:marLeft w:val="0"/>
          <w:marRight w:val="0"/>
          <w:marTop w:val="0"/>
          <w:marBottom w:val="0"/>
          <w:divBdr>
            <w:top w:val="none" w:sz="0" w:space="0" w:color="auto"/>
            <w:left w:val="none" w:sz="0" w:space="0" w:color="auto"/>
            <w:bottom w:val="none" w:sz="0" w:space="0" w:color="auto"/>
            <w:right w:val="none" w:sz="0" w:space="0" w:color="auto"/>
          </w:divBdr>
          <w:divsChild>
            <w:div w:id="638069766">
              <w:marLeft w:val="105"/>
              <w:marRight w:val="105"/>
              <w:marTop w:val="0"/>
              <w:marBottom w:val="0"/>
              <w:divBdr>
                <w:top w:val="none" w:sz="0" w:space="0" w:color="auto"/>
                <w:left w:val="none" w:sz="0" w:space="0" w:color="auto"/>
                <w:bottom w:val="none" w:sz="0" w:space="0" w:color="auto"/>
                <w:right w:val="none" w:sz="0" w:space="0" w:color="auto"/>
              </w:divBdr>
              <w:divsChild>
                <w:div w:id="204787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775303">
      <w:bodyDiv w:val="1"/>
      <w:marLeft w:val="0"/>
      <w:marRight w:val="0"/>
      <w:marTop w:val="0"/>
      <w:marBottom w:val="0"/>
      <w:divBdr>
        <w:top w:val="none" w:sz="0" w:space="0" w:color="auto"/>
        <w:left w:val="none" w:sz="0" w:space="0" w:color="auto"/>
        <w:bottom w:val="none" w:sz="0" w:space="0" w:color="auto"/>
        <w:right w:val="none" w:sz="0" w:space="0" w:color="auto"/>
      </w:divBdr>
      <w:divsChild>
        <w:div w:id="2036223166">
          <w:marLeft w:val="0"/>
          <w:marRight w:val="0"/>
          <w:marTop w:val="0"/>
          <w:marBottom w:val="0"/>
          <w:divBdr>
            <w:top w:val="none" w:sz="0" w:space="0" w:color="auto"/>
            <w:left w:val="none" w:sz="0" w:space="0" w:color="auto"/>
            <w:bottom w:val="none" w:sz="0" w:space="0" w:color="auto"/>
            <w:right w:val="none" w:sz="0" w:space="0" w:color="auto"/>
          </w:divBdr>
          <w:divsChild>
            <w:div w:id="1460297908">
              <w:marLeft w:val="0"/>
              <w:marRight w:val="0"/>
              <w:marTop w:val="0"/>
              <w:marBottom w:val="0"/>
              <w:divBdr>
                <w:top w:val="none" w:sz="0" w:space="0" w:color="auto"/>
                <w:left w:val="none" w:sz="0" w:space="0" w:color="auto"/>
                <w:bottom w:val="none" w:sz="0" w:space="0" w:color="auto"/>
                <w:right w:val="none" w:sz="0" w:space="0" w:color="auto"/>
              </w:divBdr>
              <w:divsChild>
                <w:div w:id="67457299">
                  <w:marLeft w:val="0"/>
                  <w:marRight w:val="0"/>
                  <w:marTop w:val="0"/>
                  <w:marBottom w:val="0"/>
                  <w:divBdr>
                    <w:top w:val="none" w:sz="0" w:space="0" w:color="auto"/>
                    <w:left w:val="none" w:sz="0" w:space="0" w:color="auto"/>
                    <w:bottom w:val="none" w:sz="0" w:space="0" w:color="auto"/>
                    <w:right w:val="none" w:sz="0" w:space="0" w:color="auto"/>
                  </w:divBdr>
                  <w:divsChild>
                    <w:div w:id="739058747">
                      <w:marLeft w:val="0"/>
                      <w:marRight w:val="0"/>
                      <w:marTop w:val="0"/>
                      <w:marBottom w:val="0"/>
                      <w:divBdr>
                        <w:top w:val="none" w:sz="0" w:space="0" w:color="auto"/>
                        <w:left w:val="none" w:sz="0" w:space="0" w:color="auto"/>
                        <w:bottom w:val="none" w:sz="0" w:space="0" w:color="auto"/>
                        <w:right w:val="none" w:sz="0" w:space="0" w:color="auto"/>
                      </w:divBdr>
                      <w:divsChild>
                        <w:div w:id="68382158">
                          <w:marLeft w:val="0"/>
                          <w:marRight w:val="0"/>
                          <w:marTop w:val="0"/>
                          <w:marBottom w:val="0"/>
                          <w:divBdr>
                            <w:top w:val="none" w:sz="0" w:space="0" w:color="auto"/>
                            <w:left w:val="none" w:sz="0" w:space="0" w:color="auto"/>
                            <w:bottom w:val="none" w:sz="0" w:space="0" w:color="auto"/>
                            <w:right w:val="none" w:sz="0" w:space="0" w:color="auto"/>
                          </w:divBdr>
                          <w:divsChild>
                            <w:div w:id="61390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4680512">
      <w:bodyDiv w:val="1"/>
      <w:marLeft w:val="0"/>
      <w:marRight w:val="0"/>
      <w:marTop w:val="0"/>
      <w:marBottom w:val="0"/>
      <w:divBdr>
        <w:top w:val="none" w:sz="0" w:space="0" w:color="auto"/>
        <w:left w:val="none" w:sz="0" w:space="0" w:color="auto"/>
        <w:bottom w:val="none" w:sz="0" w:space="0" w:color="auto"/>
        <w:right w:val="none" w:sz="0" w:space="0" w:color="auto"/>
      </w:divBdr>
      <w:divsChild>
        <w:div w:id="1282035432">
          <w:marLeft w:val="0"/>
          <w:marRight w:val="0"/>
          <w:marTop w:val="0"/>
          <w:marBottom w:val="0"/>
          <w:divBdr>
            <w:top w:val="none" w:sz="0" w:space="0" w:color="auto"/>
            <w:left w:val="none" w:sz="0" w:space="0" w:color="auto"/>
            <w:bottom w:val="none" w:sz="0" w:space="0" w:color="auto"/>
            <w:right w:val="none" w:sz="0" w:space="0" w:color="auto"/>
          </w:divBdr>
          <w:divsChild>
            <w:div w:id="1726366757">
              <w:marLeft w:val="0"/>
              <w:marRight w:val="0"/>
              <w:marTop w:val="0"/>
              <w:marBottom w:val="0"/>
              <w:divBdr>
                <w:top w:val="none" w:sz="0" w:space="0" w:color="auto"/>
                <w:left w:val="none" w:sz="0" w:space="0" w:color="auto"/>
                <w:bottom w:val="none" w:sz="0" w:space="0" w:color="auto"/>
                <w:right w:val="none" w:sz="0" w:space="0" w:color="auto"/>
              </w:divBdr>
              <w:divsChild>
                <w:div w:id="983121176">
                  <w:marLeft w:val="0"/>
                  <w:marRight w:val="0"/>
                  <w:marTop w:val="0"/>
                  <w:marBottom w:val="0"/>
                  <w:divBdr>
                    <w:top w:val="none" w:sz="0" w:space="0" w:color="auto"/>
                    <w:left w:val="none" w:sz="0" w:space="0" w:color="auto"/>
                    <w:bottom w:val="none" w:sz="0" w:space="0" w:color="auto"/>
                    <w:right w:val="none" w:sz="0" w:space="0" w:color="auto"/>
                  </w:divBdr>
                  <w:divsChild>
                    <w:div w:id="878130798">
                      <w:marLeft w:val="0"/>
                      <w:marRight w:val="0"/>
                      <w:marTop w:val="0"/>
                      <w:marBottom w:val="0"/>
                      <w:divBdr>
                        <w:top w:val="none" w:sz="0" w:space="0" w:color="auto"/>
                        <w:left w:val="none" w:sz="0" w:space="0" w:color="auto"/>
                        <w:bottom w:val="none" w:sz="0" w:space="0" w:color="auto"/>
                        <w:right w:val="none" w:sz="0" w:space="0" w:color="auto"/>
                      </w:divBdr>
                      <w:divsChild>
                        <w:div w:id="306056324">
                          <w:marLeft w:val="0"/>
                          <w:marRight w:val="0"/>
                          <w:marTop w:val="0"/>
                          <w:marBottom w:val="0"/>
                          <w:divBdr>
                            <w:top w:val="none" w:sz="0" w:space="0" w:color="auto"/>
                            <w:left w:val="none" w:sz="0" w:space="0" w:color="auto"/>
                            <w:bottom w:val="none" w:sz="0" w:space="0" w:color="auto"/>
                            <w:right w:val="none" w:sz="0" w:space="0" w:color="auto"/>
                          </w:divBdr>
                          <w:divsChild>
                            <w:div w:id="392002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4269143">
      <w:bodyDiv w:val="1"/>
      <w:marLeft w:val="0"/>
      <w:marRight w:val="0"/>
      <w:marTop w:val="0"/>
      <w:marBottom w:val="0"/>
      <w:divBdr>
        <w:top w:val="none" w:sz="0" w:space="0" w:color="auto"/>
        <w:left w:val="none" w:sz="0" w:space="0" w:color="auto"/>
        <w:bottom w:val="none" w:sz="0" w:space="0" w:color="auto"/>
        <w:right w:val="none" w:sz="0" w:space="0" w:color="auto"/>
      </w:divBdr>
      <w:divsChild>
        <w:div w:id="1561206445">
          <w:marLeft w:val="0"/>
          <w:marRight w:val="0"/>
          <w:marTop w:val="0"/>
          <w:marBottom w:val="0"/>
          <w:divBdr>
            <w:top w:val="none" w:sz="0" w:space="0" w:color="auto"/>
            <w:left w:val="none" w:sz="0" w:space="0" w:color="auto"/>
            <w:bottom w:val="none" w:sz="0" w:space="0" w:color="auto"/>
            <w:right w:val="none" w:sz="0" w:space="0" w:color="auto"/>
          </w:divBdr>
          <w:divsChild>
            <w:div w:id="769353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93C89C-226C-48A4-86A2-77648C30E5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11951</TotalTime>
  <Pages>119</Pages>
  <Words>38871</Words>
  <Characters>213793</Characters>
  <Application>Microsoft Office Word</Application>
  <DocSecurity>0</DocSecurity>
  <Lines>1781</Lines>
  <Paragraphs>504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252160</CharactersWithSpaces>
  <SharedDoc>false</SharedDoc>
  <HLinks>
    <vt:vector size="108" baseType="variant">
      <vt:variant>
        <vt:i4>2031664</vt:i4>
      </vt:variant>
      <vt:variant>
        <vt:i4>104</vt:i4>
      </vt:variant>
      <vt:variant>
        <vt:i4>0</vt:i4>
      </vt:variant>
      <vt:variant>
        <vt:i4>5</vt:i4>
      </vt:variant>
      <vt:variant>
        <vt:lpwstr/>
      </vt:variant>
      <vt:variant>
        <vt:lpwstr>_Toc233971639</vt:lpwstr>
      </vt:variant>
      <vt:variant>
        <vt:i4>2031664</vt:i4>
      </vt:variant>
      <vt:variant>
        <vt:i4>98</vt:i4>
      </vt:variant>
      <vt:variant>
        <vt:i4>0</vt:i4>
      </vt:variant>
      <vt:variant>
        <vt:i4>5</vt:i4>
      </vt:variant>
      <vt:variant>
        <vt:lpwstr/>
      </vt:variant>
      <vt:variant>
        <vt:lpwstr>_Toc233971638</vt:lpwstr>
      </vt:variant>
      <vt:variant>
        <vt:i4>2031664</vt:i4>
      </vt:variant>
      <vt:variant>
        <vt:i4>92</vt:i4>
      </vt:variant>
      <vt:variant>
        <vt:i4>0</vt:i4>
      </vt:variant>
      <vt:variant>
        <vt:i4>5</vt:i4>
      </vt:variant>
      <vt:variant>
        <vt:lpwstr/>
      </vt:variant>
      <vt:variant>
        <vt:lpwstr>_Toc233971637</vt:lpwstr>
      </vt:variant>
      <vt:variant>
        <vt:i4>2031664</vt:i4>
      </vt:variant>
      <vt:variant>
        <vt:i4>86</vt:i4>
      </vt:variant>
      <vt:variant>
        <vt:i4>0</vt:i4>
      </vt:variant>
      <vt:variant>
        <vt:i4>5</vt:i4>
      </vt:variant>
      <vt:variant>
        <vt:lpwstr/>
      </vt:variant>
      <vt:variant>
        <vt:lpwstr>_Toc233971636</vt:lpwstr>
      </vt:variant>
      <vt:variant>
        <vt:i4>2031664</vt:i4>
      </vt:variant>
      <vt:variant>
        <vt:i4>80</vt:i4>
      </vt:variant>
      <vt:variant>
        <vt:i4>0</vt:i4>
      </vt:variant>
      <vt:variant>
        <vt:i4>5</vt:i4>
      </vt:variant>
      <vt:variant>
        <vt:lpwstr/>
      </vt:variant>
      <vt:variant>
        <vt:lpwstr>_Toc233971635</vt:lpwstr>
      </vt:variant>
      <vt:variant>
        <vt:i4>2031664</vt:i4>
      </vt:variant>
      <vt:variant>
        <vt:i4>74</vt:i4>
      </vt:variant>
      <vt:variant>
        <vt:i4>0</vt:i4>
      </vt:variant>
      <vt:variant>
        <vt:i4>5</vt:i4>
      </vt:variant>
      <vt:variant>
        <vt:lpwstr/>
      </vt:variant>
      <vt:variant>
        <vt:lpwstr>_Toc233971634</vt:lpwstr>
      </vt:variant>
      <vt:variant>
        <vt:i4>2031664</vt:i4>
      </vt:variant>
      <vt:variant>
        <vt:i4>68</vt:i4>
      </vt:variant>
      <vt:variant>
        <vt:i4>0</vt:i4>
      </vt:variant>
      <vt:variant>
        <vt:i4>5</vt:i4>
      </vt:variant>
      <vt:variant>
        <vt:lpwstr/>
      </vt:variant>
      <vt:variant>
        <vt:lpwstr>_Toc233971633</vt:lpwstr>
      </vt:variant>
      <vt:variant>
        <vt:i4>2031664</vt:i4>
      </vt:variant>
      <vt:variant>
        <vt:i4>62</vt:i4>
      </vt:variant>
      <vt:variant>
        <vt:i4>0</vt:i4>
      </vt:variant>
      <vt:variant>
        <vt:i4>5</vt:i4>
      </vt:variant>
      <vt:variant>
        <vt:lpwstr/>
      </vt:variant>
      <vt:variant>
        <vt:lpwstr>_Toc233971632</vt:lpwstr>
      </vt:variant>
      <vt:variant>
        <vt:i4>2031664</vt:i4>
      </vt:variant>
      <vt:variant>
        <vt:i4>56</vt:i4>
      </vt:variant>
      <vt:variant>
        <vt:i4>0</vt:i4>
      </vt:variant>
      <vt:variant>
        <vt:i4>5</vt:i4>
      </vt:variant>
      <vt:variant>
        <vt:lpwstr/>
      </vt:variant>
      <vt:variant>
        <vt:lpwstr>_Toc233971631</vt:lpwstr>
      </vt:variant>
      <vt:variant>
        <vt:i4>2031664</vt:i4>
      </vt:variant>
      <vt:variant>
        <vt:i4>50</vt:i4>
      </vt:variant>
      <vt:variant>
        <vt:i4>0</vt:i4>
      </vt:variant>
      <vt:variant>
        <vt:i4>5</vt:i4>
      </vt:variant>
      <vt:variant>
        <vt:lpwstr/>
      </vt:variant>
      <vt:variant>
        <vt:lpwstr>_Toc233971630</vt:lpwstr>
      </vt:variant>
      <vt:variant>
        <vt:i4>1966128</vt:i4>
      </vt:variant>
      <vt:variant>
        <vt:i4>44</vt:i4>
      </vt:variant>
      <vt:variant>
        <vt:i4>0</vt:i4>
      </vt:variant>
      <vt:variant>
        <vt:i4>5</vt:i4>
      </vt:variant>
      <vt:variant>
        <vt:lpwstr/>
      </vt:variant>
      <vt:variant>
        <vt:lpwstr>_Toc233971629</vt:lpwstr>
      </vt:variant>
      <vt:variant>
        <vt:i4>1966128</vt:i4>
      </vt:variant>
      <vt:variant>
        <vt:i4>38</vt:i4>
      </vt:variant>
      <vt:variant>
        <vt:i4>0</vt:i4>
      </vt:variant>
      <vt:variant>
        <vt:i4>5</vt:i4>
      </vt:variant>
      <vt:variant>
        <vt:lpwstr/>
      </vt:variant>
      <vt:variant>
        <vt:lpwstr>_Toc233971628</vt:lpwstr>
      </vt:variant>
      <vt:variant>
        <vt:i4>1966128</vt:i4>
      </vt:variant>
      <vt:variant>
        <vt:i4>32</vt:i4>
      </vt:variant>
      <vt:variant>
        <vt:i4>0</vt:i4>
      </vt:variant>
      <vt:variant>
        <vt:i4>5</vt:i4>
      </vt:variant>
      <vt:variant>
        <vt:lpwstr/>
      </vt:variant>
      <vt:variant>
        <vt:lpwstr>_Toc233971627</vt:lpwstr>
      </vt:variant>
      <vt:variant>
        <vt:i4>1966128</vt:i4>
      </vt:variant>
      <vt:variant>
        <vt:i4>26</vt:i4>
      </vt:variant>
      <vt:variant>
        <vt:i4>0</vt:i4>
      </vt:variant>
      <vt:variant>
        <vt:i4>5</vt:i4>
      </vt:variant>
      <vt:variant>
        <vt:lpwstr/>
      </vt:variant>
      <vt:variant>
        <vt:lpwstr>_Toc233971626</vt:lpwstr>
      </vt:variant>
      <vt:variant>
        <vt:i4>1966128</vt:i4>
      </vt:variant>
      <vt:variant>
        <vt:i4>20</vt:i4>
      </vt:variant>
      <vt:variant>
        <vt:i4>0</vt:i4>
      </vt:variant>
      <vt:variant>
        <vt:i4>5</vt:i4>
      </vt:variant>
      <vt:variant>
        <vt:lpwstr/>
      </vt:variant>
      <vt:variant>
        <vt:lpwstr>_Toc233971625</vt:lpwstr>
      </vt:variant>
      <vt:variant>
        <vt:i4>1966128</vt:i4>
      </vt:variant>
      <vt:variant>
        <vt:i4>14</vt:i4>
      </vt:variant>
      <vt:variant>
        <vt:i4>0</vt:i4>
      </vt:variant>
      <vt:variant>
        <vt:i4>5</vt:i4>
      </vt:variant>
      <vt:variant>
        <vt:lpwstr/>
      </vt:variant>
      <vt:variant>
        <vt:lpwstr>_Toc233971624</vt:lpwstr>
      </vt:variant>
      <vt:variant>
        <vt:i4>1966128</vt:i4>
      </vt:variant>
      <vt:variant>
        <vt:i4>8</vt:i4>
      </vt:variant>
      <vt:variant>
        <vt:i4>0</vt:i4>
      </vt:variant>
      <vt:variant>
        <vt:i4>5</vt:i4>
      </vt:variant>
      <vt:variant>
        <vt:lpwstr/>
      </vt:variant>
      <vt:variant>
        <vt:lpwstr>_Toc233971623</vt:lpwstr>
      </vt:variant>
      <vt:variant>
        <vt:i4>1966128</vt:i4>
      </vt:variant>
      <vt:variant>
        <vt:i4>2</vt:i4>
      </vt:variant>
      <vt:variant>
        <vt:i4>0</vt:i4>
      </vt:variant>
      <vt:variant>
        <vt:i4>5</vt:i4>
      </vt:variant>
      <vt:variant>
        <vt:lpwstr/>
      </vt:variant>
      <vt:variant>
        <vt:lpwstr>_Toc233971622</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Gebruiker</dc:creator>
  <cp:lastModifiedBy>Gebruiker</cp:lastModifiedBy>
  <cp:revision>269</cp:revision>
  <dcterms:created xsi:type="dcterms:W3CDTF">2009-07-30T12:53:00Z</dcterms:created>
  <dcterms:modified xsi:type="dcterms:W3CDTF">2010-02-16T00:14:00Z</dcterms:modified>
</cp:coreProperties>
</file>