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4F38" w:rsidRPr="003E7C8B" w:rsidRDefault="00334F38" w:rsidP="00DF4D3D">
      <w:pPr>
        <w:spacing w:line="360" w:lineRule="auto"/>
        <w:rPr>
          <w:b/>
          <w:lang w:val="en-US"/>
        </w:rPr>
      </w:pPr>
    </w:p>
    <w:p w:rsidR="00334F38" w:rsidRPr="003E7C8B" w:rsidRDefault="00334F38" w:rsidP="00DF4D3D">
      <w:pPr>
        <w:spacing w:line="360" w:lineRule="auto"/>
        <w:rPr>
          <w:b/>
          <w:lang w:val="en-US"/>
        </w:rPr>
      </w:pPr>
    </w:p>
    <w:p w:rsidR="00334F38" w:rsidRPr="003E7C8B" w:rsidRDefault="00334F38" w:rsidP="00DF4D3D">
      <w:pPr>
        <w:spacing w:line="360" w:lineRule="auto"/>
        <w:rPr>
          <w:b/>
          <w:lang w:val="en-US"/>
        </w:rPr>
      </w:pPr>
    </w:p>
    <w:p w:rsidR="00334F38" w:rsidRPr="003E7C8B" w:rsidRDefault="00334F38" w:rsidP="00DF4D3D">
      <w:pPr>
        <w:spacing w:line="360" w:lineRule="auto"/>
        <w:rPr>
          <w:b/>
          <w:lang w:val="en-US"/>
        </w:rPr>
      </w:pPr>
    </w:p>
    <w:p w:rsidR="00334F38" w:rsidRPr="003E7C8B" w:rsidRDefault="00334F38" w:rsidP="009F0E10">
      <w:pPr>
        <w:spacing w:line="360" w:lineRule="auto"/>
        <w:jc w:val="center"/>
        <w:rPr>
          <w:b/>
          <w:lang w:val="en-US"/>
        </w:rPr>
      </w:pPr>
    </w:p>
    <w:p w:rsidR="00334F38" w:rsidRDefault="00334F38" w:rsidP="009F0E10">
      <w:pPr>
        <w:spacing w:line="360" w:lineRule="auto"/>
        <w:jc w:val="center"/>
        <w:rPr>
          <w:sz w:val="36"/>
          <w:szCs w:val="36"/>
          <w:lang w:val="en-US"/>
        </w:rPr>
      </w:pPr>
    </w:p>
    <w:p w:rsidR="00334F38" w:rsidRDefault="00334F38" w:rsidP="009F0E10">
      <w:pPr>
        <w:spacing w:line="360" w:lineRule="auto"/>
        <w:jc w:val="center"/>
        <w:rPr>
          <w:sz w:val="36"/>
          <w:szCs w:val="36"/>
          <w:lang w:val="en-US"/>
        </w:rPr>
      </w:pPr>
      <w:r w:rsidRPr="003E7C8B">
        <w:rPr>
          <w:sz w:val="36"/>
          <w:szCs w:val="36"/>
          <w:lang w:val="en-US"/>
        </w:rPr>
        <w:t>The Impact of CEO T</w:t>
      </w:r>
      <w:r>
        <w:rPr>
          <w:sz w:val="36"/>
          <w:szCs w:val="36"/>
          <w:lang w:val="en-US"/>
        </w:rPr>
        <w:t>urnovers on Earnings Management during the Global Financial Crisis</w:t>
      </w:r>
    </w:p>
    <w:p w:rsidR="00334F38" w:rsidRPr="00A14BD5" w:rsidRDefault="00334F38" w:rsidP="009F0E10">
      <w:pPr>
        <w:spacing w:line="360" w:lineRule="auto"/>
        <w:jc w:val="center"/>
        <w:rPr>
          <w:i/>
          <w:sz w:val="28"/>
          <w:szCs w:val="28"/>
          <w:lang w:val="en-US"/>
        </w:rPr>
      </w:pPr>
      <w:r w:rsidRPr="00A14BD5">
        <w:rPr>
          <w:i/>
          <w:sz w:val="28"/>
          <w:szCs w:val="28"/>
          <w:lang w:val="en-US"/>
        </w:rPr>
        <w:t>A Cross-sectional Analysis</w:t>
      </w:r>
      <w:r>
        <w:rPr>
          <w:i/>
          <w:sz w:val="28"/>
          <w:szCs w:val="28"/>
          <w:lang w:val="en-US"/>
        </w:rPr>
        <w:t xml:space="preserve"> of North-American Firms</w:t>
      </w:r>
    </w:p>
    <w:p w:rsidR="00334F38" w:rsidRPr="003E7C8B" w:rsidRDefault="00334F38" w:rsidP="009F0E10">
      <w:pPr>
        <w:spacing w:line="360" w:lineRule="auto"/>
        <w:jc w:val="center"/>
        <w:rPr>
          <w:b/>
          <w:lang w:val="en-US"/>
        </w:rPr>
      </w:pPr>
    </w:p>
    <w:p w:rsidR="00334F38" w:rsidRPr="003E7C8B" w:rsidRDefault="00334F38" w:rsidP="009F0E10">
      <w:pPr>
        <w:spacing w:line="360" w:lineRule="auto"/>
        <w:jc w:val="center"/>
        <w:rPr>
          <w:b/>
          <w:lang w:val="en-US"/>
        </w:rPr>
      </w:pPr>
    </w:p>
    <w:p w:rsidR="00334F38" w:rsidRPr="003E7C8B" w:rsidRDefault="00334F38" w:rsidP="009F0E10">
      <w:pPr>
        <w:spacing w:line="360" w:lineRule="auto"/>
        <w:jc w:val="center"/>
        <w:rPr>
          <w:b/>
          <w:lang w:val="en-US"/>
        </w:rPr>
      </w:pPr>
    </w:p>
    <w:p w:rsidR="00334F38" w:rsidRPr="003E7C8B" w:rsidRDefault="00334F38" w:rsidP="009F0E10">
      <w:pPr>
        <w:spacing w:line="360" w:lineRule="auto"/>
        <w:jc w:val="center"/>
        <w:rPr>
          <w:b/>
          <w:lang w:val="en-US"/>
        </w:rPr>
      </w:pPr>
    </w:p>
    <w:p w:rsidR="00334F38" w:rsidRPr="003E7C8B" w:rsidRDefault="00334F38" w:rsidP="009F0E10">
      <w:pPr>
        <w:spacing w:line="360" w:lineRule="auto"/>
        <w:jc w:val="center"/>
        <w:rPr>
          <w:b/>
          <w:lang w:val="en-US"/>
        </w:rPr>
      </w:pPr>
    </w:p>
    <w:p w:rsidR="00334F38" w:rsidRPr="003E7C8B" w:rsidRDefault="00334F38" w:rsidP="009F0E10">
      <w:pPr>
        <w:spacing w:line="360" w:lineRule="auto"/>
        <w:jc w:val="center"/>
        <w:rPr>
          <w:b/>
          <w:lang w:val="en-US"/>
        </w:rPr>
      </w:pPr>
    </w:p>
    <w:p w:rsidR="00334F38" w:rsidRPr="003E7C8B" w:rsidRDefault="00334F38" w:rsidP="009F0E10">
      <w:pPr>
        <w:spacing w:line="360" w:lineRule="auto"/>
        <w:jc w:val="center"/>
        <w:rPr>
          <w:b/>
          <w:lang w:val="en-US"/>
        </w:rPr>
      </w:pPr>
    </w:p>
    <w:p w:rsidR="00334F38" w:rsidRPr="003E7C8B" w:rsidRDefault="00334F38" w:rsidP="009F0E10">
      <w:pPr>
        <w:spacing w:line="360" w:lineRule="auto"/>
        <w:jc w:val="center"/>
        <w:rPr>
          <w:b/>
          <w:lang w:val="en-US"/>
        </w:rPr>
      </w:pPr>
    </w:p>
    <w:p w:rsidR="00334F38" w:rsidRPr="003E7C8B" w:rsidRDefault="00334F38" w:rsidP="009F0E10">
      <w:pPr>
        <w:spacing w:line="360" w:lineRule="auto"/>
        <w:jc w:val="center"/>
        <w:rPr>
          <w:b/>
          <w:lang w:val="en-US"/>
        </w:rPr>
      </w:pPr>
    </w:p>
    <w:p w:rsidR="00334F38" w:rsidRPr="003E7C8B" w:rsidRDefault="00334F38" w:rsidP="009F0E10">
      <w:pPr>
        <w:spacing w:line="360" w:lineRule="auto"/>
        <w:jc w:val="center"/>
        <w:rPr>
          <w:b/>
          <w:lang w:val="en-US"/>
        </w:rPr>
      </w:pPr>
    </w:p>
    <w:p w:rsidR="00334F38" w:rsidRPr="003E7C8B" w:rsidRDefault="00334F38" w:rsidP="009F0E10">
      <w:pPr>
        <w:spacing w:line="360" w:lineRule="auto"/>
        <w:jc w:val="center"/>
        <w:rPr>
          <w:b/>
          <w:lang w:val="en-US"/>
        </w:rPr>
      </w:pPr>
    </w:p>
    <w:p w:rsidR="00334F38" w:rsidRDefault="00334F38" w:rsidP="006C3E94">
      <w:pPr>
        <w:spacing w:line="360" w:lineRule="auto"/>
        <w:rPr>
          <w:b/>
          <w:lang w:val="en-US"/>
        </w:rPr>
      </w:pPr>
    </w:p>
    <w:p w:rsidR="00334F38" w:rsidRPr="003E7C8B" w:rsidRDefault="00334F38" w:rsidP="006C3E94">
      <w:pPr>
        <w:spacing w:line="360" w:lineRule="auto"/>
        <w:rPr>
          <w:b/>
          <w:lang w:val="en-US"/>
        </w:rPr>
      </w:pPr>
    </w:p>
    <w:p w:rsidR="00334F38" w:rsidRPr="003E7C8B" w:rsidRDefault="00334F38" w:rsidP="009F0E10">
      <w:pPr>
        <w:spacing w:line="360" w:lineRule="auto"/>
        <w:jc w:val="center"/>
        <w:rPr>
          <w:b/>
          <w:lang w:val="en-US"/>
        </w:rPr>
      </w:pPr>
    </w:p>
    <w:p w:rsidR="00334F38" w:rsidRPr="003E7C8B" w:rsidRDefault="00334F38" w:rsidP="009F0E10">
      <w:pPr>
        <w:spacing w:line="360" w:lineRule="auto"/>
        <w:jc w:val="center"/>
        <w:rPr>
          <w:b/>
          <w:lang w:val="en-US"/>
        </w:rPr>
      </w:pPr>
    </w:p>
    <w:p w:rsidR="00334F38" w:rsidRPr="003E7C8B" w:rsidRDefault="00334F38" w:rsidP="009F0E10">
      <w:pPr>
        <w:spacing w:line="360" w:lineRule="auto"/>
        <w:jc w:val="center"/>
        <w:rPr>
          <w:b/>
          <w:lang w:val="en-US"/>
        </w:rPr>
      </w:pPr>
    </w:p>
    <w:p w:rsidR="00334F38" w:rsidRDefault="00334F38" w:rsidP="009F0E10">
      <w:pPr>
        <w:spacing w:line="360" w:lineRule="auto"/>
        <w:rPr>
          <w:lang w:val="en-US"/>
        </w:rPr>
      </w:pPr>
      <w:r>
        <w:rPr>
          <w:lang w:val="en-US"/>
        </w:rPr>
        <w:t>Erasmus University Rotterdam</w:t>
      </w:r>
    </w:p>
    <w:p w:rsidR="00334F38" w:rsidRDefault="00334F38" w:rsidP="009F0E10">
      <w:pPr>
        <w:spacing w:line="360" w:lineRule="auto"/>
        <w:rPr>
          <w:lang w:val="en-US"/>
        </w:rPr>
      </w:pPr>
      <w:r>
        <w:rPr>
          <w:lang w:val="en-US"/>
        </w:rPr>
        <w:t>Faculty of Economics &amp; Business</w:t>
      </w:r>
    </w:p>
    <w:p w:rsidR="00334F38" w:rsidRDefault="00334F38" w:rsidP="009F0E10">
      <w:pPr>
        <w:spacing w:line="360" w:lineRule="auto"/>
        <w:rPr>
          <w:lang w:val="en-US"/>
        </w:rPr>
      </w:pPr>
      <w:r>
        <w:rPr>
          <w:lang w:val="en-US"/>
        </w:rPr>
        <w:t>Supervisor</w:t>
      </w:r>
      <w:r w:rsidRPr="006C3E94">
        <w:rPr>
          <w:lang w:val="en-US"/>
        </w:rPr>
        <w:t xml:space="preserve"> </w:t>
      </w:r>
      <w:r>
        <w:rPr>
          <w:lang w:val="en-US"/>
        </w:rPr>
        <w:t>master thesis: Dr. Y. Wang</w:t>
      </w:r>
    </w:p>
    <w:p w:rsidR="00334F38" w:rsidRPr="003E7C8B" w:rsidRDefault="00334F38" w:rsidP="009F0E10">
      <w:pPr>
        <w:spacing w:line="360" w:lineRule="auto"/>
        <w:rPr>
          <w:lang w:val="en-US"/>
        </w:rPr>
      </w:pPr>
      <w:r>
        <w:rPr>
          <w:lang w:val="en-US"/>
        </w:rPr>
        <w:t xml:space="preserve">Name: </w:t>
      </w:r>
      <w:r w:rsidRPr="003E7C8B">
        <w:rPr>
          <w:lang w:val="en-US"/>
        </w:rPr>
        <w:t xml:space="preserve">Alex Eshuis </w:t>
      </w:r>
      <w:r w:rsidRPr="003E7C8B">
        <w:rPr>
          <w:lang w:val="en-US"/>
        </w:rPr>
        <w:tab/>
      </w:r>
      <w:r w:rsidRPr="003E7C8B">
        <w:rPr>
          <w:lang w:val="en-US"/>
        </w:rPr>
        <w:tab/>
      </w:r>
      <w:r w:rsidRPr="003E7C8B">
        <w:rPr>
          <w:lang w:val="en-US"/>
        </w:rPr>
        <w:tab/>
      </w:r>
    </w:p>
    <w:p w:rsidR="00334F38" w:rsidRDefault="00334F38" w:rsidP="00DF4D3D">
      <w:pPr>
        <w:spacing w:line="360" w:lineRule="auto"/>
        <w:rPr>
          <w:lang w:val="en-US"/>
        </w:rPr>
      </w:pPr>
      <w:r>
        <w:rPr>
          <w:lang w:val="en-US"/>
        </w:rPr>
        <w:t>Student-ID: 291598</w:t>
      </w:r>
    </w:p>
    <w:p w:rsidR="00334F38" w:rsidRPr="003E7C8B" w:rsidRDefault="00334F38" w:rsidP="00DF4D3D">
      <w:pPr>
        <w:spacing w:line="360" w:lineRule="auto"/>
        <w:rPr>
          <w:b/>
          <w:lang w:val="en-US"/>
        </w:rPr>
      </w:pPr>
      <w:r>
        <w:rPr>
          <w:lang w:val="en-US"/>
        </w:rPr>
        <w:t xml:space="preserve">Contact: </w:t>
      </w:r>
      <w:r w:rsidRPr="006C3E94">
        <w:rPr>
          <w:lang w:val="en-US"/>
        </w:rPr>
        <w:t>alexeshuis@hotmail.com</w:t>
      </w:r>
      <w:r>
        <w:rPr>
          <w:lang w:val="en-US"/>
        </w:rPr>
        <w:t xml:space="preserve"> or 291598ae@student.eur.nl</w:t>
      </w:r>
      <w:r w:rsidRPr="003E7C8B">
        <w:rPr>
          <w:b/>
          <w:lang w:val="en-US"/>
        </w:rPr>
        <w:br w:type="page"/>
      </w:r>
    </w:p>
    <w:p w:rsidR="00334F38" w:rsidRDefault="00334F38" w:rsidP="001340D0">
      <w:pPr>
        <w:pStyle w:val="TOC1"/>
        <w:rPr>
          <w:bCs/>
          <w:sz w:val="28"/>
          <w:szCs w:val="28"/>
        </w:rPr>
      </w:pPr>
      <w:r>
        <w:rPr>
          <w:bCs/>
          <w:sz w:val="28"/>
          <w:szCs w:val="28"/>
        </w:rPr>
        <w:t>Table of Contents</w:t>
      </w:r>
    </w:p>
    <w:p w:rsidR="00334F38" w:rsidRPr="001340D0" w:rsidRDefault="00334F38" w:rsidP="00622E0E">
      <w:pPr>
        <w:pStyle w:val="TOC1"/>
      </w:pPr>
    </w:p>
    <w:p w:rsidR="00334F38" w:rsidRPr="001340D0" w:rsidRDefault="00334F38" w:rsidP="00622E0E">
      <w:pPr>
        <w:pStyle w:val="TOC1"/>
      </w:pPr>
      <w:r w:rsidRPr="00622E0E">
        <w:t>Acknowledgement, Abstract</w:t>
      </w:r>
      <w:r w:rsidRPr="001340D0">
        <w:rPr>
          <w:webHidden/>
        </w:rPr>
        <w:tab/>
      </w:r>
      <w:r w:rsidRPr="001340D0">
        <w:rPr>
          <w:webHidden/>
        </w:rPr>
        <w:fldChar w:fldCharType="begin"/>
      </w:r>
      <w:r w:rsidRPr="001340D0">
        <w:rPr>
          <w:webHidden/>
        </w:rPr>
        <w:instrText xml:space="preserve"> PAGEREF _Toc258079407 \h </w:instrText>
      </w:r>
      <w:r w:rsidRPr="001340D0">
        <w:rPr>
          <w:webHidden/>
        </w:rPr>
      </w:r>
      <w:r w:rsidRPr="001340D0">
        <w:rPr>
          <w:webHidden/>
        </w:rPr>
        <w:fldChar w:fldCharType="separate"/>
      </w:r>
      <w:r>
        <w:rPr>
          <w:webHidden/>
        </w:rPr>
        <w:t>3</w:t>
      </w:r>
      <w:r w:rsidRPr="001340D0">
        <w:rPr>
          <w:webHidden/>
        </w:rPr>
        <w:fldChar w:fldCharType="end"/>
      </w:r>
      <w:r>
        <w:rPr>
          <w:bCs/>
          <w:sz w:val="28"/>
          <w:szCs w:val="28"/>
        </w:rPr>
        <w:fldChar w:fldCharType="begin"/>
      </w:r>
      <w:r>
        <w:rPr>
          <w:bCs/>
          <w:sz w:val="28"/>
          <w:szCs w:val="28"/>
        </w:rPr>
        <w:instrText xml:space="preserve"> TOC \o "1-3" \f \h \z \u </w:instrText>
      </w:r>
      <w:r>
        <w:rPr>
          <w:bCs/>
          <w:sz w:val="28"/>
          <w:szCs w:val="28"/>
        </w:rPr>
        <w:fldChar w:fldCharType="separate"/>
      </w:r>
    </w:p>
    <w:p w:rsidR="00334F38" w:rsidRPr="001340D0" w:rsidRDefault="00334F38" w:rsidP="001340D0">
      <w:pPr>
        <w:pStyle w:val="TOC1"/>
      </w:pPr>
      <w:hyperlink w:anchor="_Toc258079407" w:history="1">
        <w:r w:rsidRPr="001340D0">
          <w:rPr>
            <w:rStyle w:val="Hyperlink"/>
          </w:rPr>
          <w:t>Chapter 1</w:t>
        </w:r>
        <w:r w:rsidRPr="001340D0">
          <w:rPr>
            <w:webHidden/>
          </w:rPr>
          <w:tab/>
        </w:r>
        <w:r w:rsidRPr="001340D0">
          <w:rPr>
            <w:webHidden/>
          </w:rPr>
          <w:fldChar w:fldCharType="begin"/>
        </w:r>
        <w:r w:rsidRPr="001340D0">
          <w:rPr>
            <w:webHidden/>
          </w:rPr>
          <w:instrText xml:space="preserve"> PAGEREF _Toc258079407 \h </w:instrText>
        </w:r>
        <w:r w:rsidRPr="001340D0">
          <w:rPr>
            <w:webHidden/>
          </w:rPr>
        </w:r>
        <w:r w:rsidRPr="001340D0">
          <w:rPr>
            <w:webHidden/>
          </w:rPr>
          <w:fldChar w:fldCharType="separate"/>
        </w:r>
        <w:r>
          <w:rPr>
            <w:webHidden/>
          </w:rPr>
          <w:t>4</w:t>
        </w:r>
        <w:r w:rsidRPr="001340D0">
          <w:rPr>
            <w:webHidden/>
          </w:rPr>
          <w:fldChar w:fldCharType="end"/>
        </w:r>
      </w:hyperlink>
    </w:p>
    <w:p w:rsidR="00334F38" w:rsidRPr="001340D0" w:rsidRDefault="00334F38">
      <w:pPr>
        <w:pStyle w:val="TOC2"/>
        <w:tabs>
          <w:tab w:val="right" w:leader="dot" w:pos="9062"/>
        </w:tabs>
        <w:rPr>
          <w:noProof/>
        </w:rPr>
      </w:pPr>
      <w:hyperlink w:anchor="_Toc258079408" w:history="1">
        <w:r w:rsidRPr="001340D0">
          <w:rPr>
            <w:rStyle w:val="Hyperlink"/>
            <w:i/>
            <w:noProof/>
          </w:rPr>
          <w:t xml:space="preserve">1.1. </w:t>
        </w:r>
        <w:r w:rsidRPr="001340D0">
          <w:rPr>
            <w:rStyle w:val="Hyperlink"/>
            <w:noProof/>
          </w:rPr>
          <w:t>Introduction</w:t>
        </w:r>
        <w:r w:rsidRPr="001340D0">
          <w:rPr>
            <w:noProof/>
            <w:webHidden/>
          </w:rPr>
          <w:tab/>
        </w:r>
        <w:r w:rsidRPr="001340D0">
          <w:rPr>
            <w:noProof/>
            <w:webHidden/>
          </w:rPr>
          <w:fldChar w:fldCharType="begin"/>
        </w:r>
        <w:r w:rsidRPr="001340D0">
          <w:rPr>
            <w:noProof/>
            <w:webHidden/>
          </w:rPr>
          <w:instrText xml:space="preserve"> PAGEREF _Toc258079408 \h </w:instrText>
        </w:r>
        <w:r w:rsidRPr="001340D0">
          <w:rPr>
            <w:noProof/>
            <w:webHidden/>
          </w:rPr>
        </w:r>
        <w:r w:rsidRPr="001340D0">
          <w:rPr>
            <w:noProof/>
            <w:webHidden/>
          </w:rPr>
          <w:fldChar w:fldCharType="separate"/>
        </w:r>
        <w:r>
          <w:rPr>
            <w:noProof/>
            <w:webHidden/>
          </w:rPr>
          <w:t>4</w:t>
        </w:r>
        <w:r w:rsidRPr="001340D0">
          <w:rPr>
            <w:noProof/>
            <w:webHidden/>
          </w:rPr>
          <w:fldChar w:fldCharType="end"/>
        </w:r>
      </w:hyperlink>
    </w:p>
    <w:p w:rsidR="00334F38" w:rsidRPr="001340D0" w:rsidRDefault="00334F38" w:rsidP="001340D0">
      <w:pPr>
        <w:pStyle w:val="TOC1"/>
      </w:pPr>
      <w:hyperlink w:anchor="_Toc258079411" w:history="1">
        <w:r w:rsidRPr="001340D0">
          <w:rPr>
            <w:rStyle w:val="Hyperlink"/>
          </w:rPr>
          <w:t xml:space="preserve">Chapter 2     </w:t>
        </w:r>
        <w:r w:rsidRPr="001340D0">
          <w:rPr>
            <w:rStyle w:val="Hyperlink"/>
            <w:i/>
          </w:rPr>
          <w:t xml:space="preserve"> </w:t>
        </w:r>
        <w:r w:rsidRPr="001340D0">
          <w:rPr>
            <w:rStyle w:val="Hyperlink"/>
          </w:rPr>
          <w:t>Evidence on Earnings management</w:t>
        </w:r>
        <w:r w:rsidRPr="001340D0">
          <w:rPr>
            <w:webHidden/>
          </w:rPr>
          <w:tab/>
        </w:r>
        <w:r w:rsidRPr="001340D0">
          <w:rPr>
            <w:webHidden/>
          </w:rPr>
          <w:fldChar w:fldCharType="begin"/>
        </w:r>
        <w:r w:rsidRPr="001340D0">
          <w:rPr>
            <w:webHidden/>
          </w:rPr>
          <w:instrText xml:space="preserve"> PAGEREF _Toc258079411 \h </w:instrText>
        </w:r>
        <w:r w:rsidRPr="001340D0">
          <w:rPr>
            <w:webHidden/>
          </w:rPr>
        </w:r>
        <w:r w:rsidRPr="001340D0">
          <w:rPr>
            <w:webHidden/>
          </w:rPr>
          <w:fldChar w:fldCharType="separate"/>
        </w:r>
        <w:r>
          <w:rPr>
            <w:webHidden/>
          </w:rPr>
          <w:t>8</w:t>
        </w:r>
        <w:r w:rsidRPr="001340D0">
          <w:rPr>
            <w:webHidden/>
          </w:rPr>
          <w:fldChar w:fldCharType="end"/>
        </w:r>
      </w:hyperlink>
    </w:p>
    <w:p w:rsidR="00334F38" w:rsidRPr="001340D0" w:rsidRDefault="00334F38">
      <w:pPr>
        <w:pStyle w:val="TOC2"/>
        <w:tabs>
          <w:tab w:val="right" w:leader="dot" w:pos="9062"/>
        </w:tabs>
        <w:rPr>
          <w:noProof/>
        </w:rPr>
      </w:pPr>
      <w:hyperlink w:anchor="_Toc258079412" w:history="1">
        <w:r w:rsidRPr="001340D0">
          <w:rPr>
            <w:rStyle w:val="Hyperlink"/>
            <w:i/>
            <w:noProof/>
          </w:rPr>
          <w:t xml:space="preserve">2.1. </w:t>
        </w:r>
        <w:r w:rsidRPr="001340D0">
          <w:rPr>
            <w:rStyle w:val="Hyperlink"/>
            <w:noProof/>
          </w:rPr>
          <w:t>Introduction</w:t>
        </w:r>
        <w:r w:rsidRPr="001340D0">
          <w:rPr>
            <w:noProof/>
            <w:webHidden/>
          </w:rPr>
          <w:tab/>
        </w:r>
        <w:r w:rsidRPr="001340D0">
          <w:rPr>
            <w:noProof/>
            <w:webHidden/>
          </w:rPr>
          <w:fldChar w:fldCharType="begin"/>
        </w:r>
        <w:r w:rsidRPr="001340D0">
          <w:rPr>
            <w:noProof/>
            <w:webHidden/>
          </w:rPr>
          <w:instrText xml:space="preserve"> PAGEREF _Toc258079412 \h </w:instrText>
        </w:r>
        <w:r w:rsidRPr="001340D0">
          <w:rPr>
            <w:noProof/>
            <w:webHidden/>
          </w:rPr>
        </w:r>
        <w:r w:rsidRPr="001340D0">
          <w:rPr>
            <w:noProof/>
            <w:webHidden/>
          </w:rPr>
          <w:fldChar w:fldCharType="separate"/>
        </w:r>
        <w:r>
          <w:rPr>
            <w:noProof/>
            <w:webHidden/>
          </w:rPr>
          <w:t>8</w:t>
        </w:r>
        <w:r w:rsidRPr="001340D0">
          <w:rPr>
            <w:noProof/>
            <w:webHidden/>
          </w:rPr>
          <w:fldChar w:fldCharType="end"/>
        </w:r>
      </w:hyperlink>
    </w:p>
    <w:p w:rsidR="00334F38" w:rsidRPr="001340D0" w:rsidRDefault="00334F38">
      <w:pPr>
        <w:pStyle w:val="TOC3"/>
        <w:tabs>
          <w:tab w:val="right" w:leader="dot" w:pos="9062"/>
        </w:tabs>
        <w:rPr>
          <w:noProof/>
        </w:rPr>
      </w:pPr>
      <w:hyperlink w:anchor="_Toc258079415" w:history="1">
        <w:r w:rsidRPr="001340D0">
          <w:rPr>
            <w:rStyle w:val="Hyperlink"/>
            <w:i/>
            <w:noProof/>
          </w:rPr>
          <w:t xml:space="preserve">2.1.1. </w:t>
        </w:r>
        <w:r w:rsidRPr="001340D0">
          <w:rPr>
            <w:rStyle w:val="Hyperlink"/>
            <w:noProof/>
          </w:rPr>
          <w:t>How earnings are managed</w:t>
        </w:r>
        <w:r w:rsidRPr="001340D0">
          <w:rPr>
            <w:noProof/>
            <w:webHidden/>
          </w:rPr>
          <w:tab/>
        </w:r>
        <w:r w:rsidRPr="001340D0">
          <w:rPr>
            <w:noProof/>
            <w:webHidden/>
          </w:rPr>
          <w:fldChar w:fldCharType="begin"/>
        </w:r>
        <w:r w:rsidRPr="001340D0">
          <w:rPr>
            <w:noProof/>
            <w:webHidden/>
          </w:rPr>
          <w:instrText xml:space="preserve"> PAGEREF _Toc258079415 \h </w:instrText>
        </w:r>
        <w:r w:rsidRPr="001340D0">
          <w:rPr>
            <w:noProof/>
            <w:webHidden/>
          </w:rPr>
        </w:r>
        <w:r w:rsidRPr="001340D0">
          <w:rPr>
            <w:noProof/>
            <w:webHidden/>
          </w:rPr>
          <w:fldChar w:fldCharType="separate"/>
        </w:r>
        <w:r>
          <w:rPr>
            <w:noProof/>
            <w:webHidden/>
          </w:rPr>
          <w:t>8</w:t>
        </w:r>
        <w:r w:rsidRPr="001340D0">
          <w:rPr>
            <w:noProof/>
            <w:webHidden/>
          </w:rPr>
          <w:fldChar w:fldCharType="end"/>
        </w:r>
      </w:hyperlink>
    </w:p>
    <w:p w:rsidR="00334F38" w:rsidRPr="001340D0" w:rsidRDefault="00334F38">
      <w:pPr>
        <w:pStyle w:val="TOC3"/>
        <w:tabs>
          <w:tab w:val="right" w:leader="dot" w:pos="9062"/>
        </w:tabs>
        <w:rPr>
          <w:noProof/>
        </w:rPr>
      </w:pPr>
      <w:hyperlink w:anchor="_Toc258079416" w:history="1">
        <w:r w:rsidRPr="001340D0">
          <w:rPr>
            <w:rStyle w:val="Hyperlink"/>
            <w:noProof/>
          </w:rPr>
          <w:t>2.1.2. The Agency Theory</w:t>
        </w:r>
        <w:r w:rsidRPr="001340D0">
          <w:rPr>
            <w:noProof/>
            <w:webHidden/>
          </w:rPr>
          <w:tab/>
        </w:r>
        <w:r w:rsidRPr="001340D0">
          <w:rPr>
            <w:noProof/>
            <w:webHidden/>
          </w:rPr>
          <w:fldChar w:fldCharType="begin"/>
        </w:r>
        <w:r w:rsidRPr="001340D0">
          <w:rPr>
            <w:noProof/>
            <w:webHidden/>
          </w:rPr>
          <w:instrText xml:space="preserve"> PAGEREF _Toc258079416 \h </w:instrText>
        </w:r>
        <w:r w:rsidRPr="001340D0">
          <w:rPr>
            <w:noProof/>
            <w:webHidden/>
          </w:rPr>
        </w:r>
        <w:r w:rsidRPr="001340D0">
          <w:rPr>
            <w:noProof/>
            <w:webHidden/>
          </w:rPr>
          <w:fldChar w:fldCharType="separate"/>
        </w:r>
        <w:r>
          <w:rPr>
            <w:noProof/>
            <w:webHidden/>
          </w:rPr>
          <w:t>10</w:t>
        </w:r>
        <w:r w:rsidRPr="001340D0">
          <w:rPr>
            <w:noProof/>
            <w:webHidden/>
          </w:rPr>
          <w:fldChar w:fldCharType="end"/>
        </w:r>
      </w:hyperlink>
    </w:p>
    <w:p w:rsidR="00334F38" w:rsidRPr="001340D0" w:rsidRDefault="00334F38">
      <w:pPr>
        <w:pStyle w:val="TOC3"/>
        <w:tabs>
          <w:tab w:val="right" w:leader="dot" w:pos="9062"/>
        </w:tabs>
        <w:rPr>
          <w:noProof/>
        </w:rPr>
      </w:pPr>
      <w:hyperlink w:anchor="_Toc258079419" w:history="1">
        <w:r w:rsidRPr="001340D0">
          <w:rPr>
            <w:rStyle w:val="Hyperlink"/>
            <w:noProof/>
          </w:rPr>
          <w:t>2.1.3. Corporate Governance Mechanisms</w:t>
        </w:r>
        <w:r w:rsidRPr="001340D0">
          <w:rPr>
            <w:noProof/>
            <w:webHidden/>
          </w:rPr>
          <w:tab/>
        </w:r>
        <w:r w:rsidRPr="001340D0">
          <w:rPr>
            <w:noProof/>
            <w:webHidden/>
          </w:rPr>
          <w:fldChar w:fldCharType="begin"/>
        </w:r>
        <w:r w:rsidRPr="001340D0">
          <w:rPr>
            <w:noProof/>
            <w:webHidden/>
          </w:rPr>
          <w:instrText xml:space="preserve"> PAGEREF _Toc258079419 \h </w:instrText>
        </w:r>
        <w:r w:rsidRPr="001340D0">
          <w:rPr>
            <w:noProof/>
            <w:webHidden/>
          </w:rPr>
        </w:r>
        <w:r w:rsidRPr="001340D0">
          <w:rPr>
            <w:noProof/>
            <w:webHidden/>
          </w:rPr>
          <w:fldChar w:fldCharType="separate"/>
        </w:r>
        <w:r>
          <w:rPr>
            <w:noProof/>
            <w:webHidden/>
          </w:rPr>
          <w:t>10</w:t>
        </w:r>
        <w:r w:rsidRPr="001340D0">
          <w:rPr>
            <w:noProof/>
            <w:webHidden/>
          </w:rPr>
          <w:fldChar w:fldCharType="end"/>
        </w:r>
      </w:hyperlink>
    </w:p>
    <w:p w:rsidR="00334F38" w:rsidRPr="001340D0" w:rsidRDefault="00334F38">
      <w:pPr>
        <w:pStyle w:val="TOC3"/>
        <w:tabs>
          <w:tab w:val="right" w:leader="dot" w:pos="9062"/>
        </w:tabs>
        <w:rPr>
          <w:noProof/>
        </w:rPr>
      </w:pPr>
      <w:hyperlink w:anchor="_Toc258079421" w:history="1">
        <w:r w:rsidRPr="001340D0">
          <w:rPr>
            <w:rStyle w:val="Hyperlink"/>
            <w:i/>
            <w:noProof/>
          </w:rPr>
          <w:t xml:space="preserve">2.1.4. </w:t>
        </w:r>
        <w:r w:rsidRPr="001340D0">
          <w:rPr>
            <w:rStyle w:val="Hyperlink"/>
            <w:noProof/>
          </w:rPr>
          <w:t>Investor protection</w:t>
        </w:r>
        <w:r w:rsidRPr="001340D0">
          <w:rPr>
            <w:noProof/>
            <w:webHidden/>
          </w:rPr>
          <w:tab/>
        </w:r>
        <w:r w:rsidRPr="001340D0">
          <w:rPr>
            <w:noProof/>
            <w:webHidden/>
          </w:rPr>
          <w:fldChar w:fldCharType="begin"/>
        </w:r>
        <w:r w:rsidRPr="001340D0">
          <w:rPr>
            <w:noProof/>
            <w:webHidden/>
          </w:rPr>
          <w:instrText xml:space="preserve"> PAGEREF _Toc258079421 \h </w:instrText>
        </w:r>
        <w:r w:rsidRPr="001340D0">
          <w:rPr>
            <w:noProof/>
            <w:webHidden/>
          </w:rPr>
        </w:r>
        <w:r w:rsidRPr="001340D0">
          <w:rPr>
            <w:noProof/>
            <w:webHidden/>
          </w:rPr>
          <w:fldChar w:fldCharType="separate"/>
        </w:r>
        <w:r>
          <w:rPr>
            <w:noProof/>
            <w:webHidden/>
          </w:rPr>
          <w:t>12</w:t>
        </w:r>
        <w:r w:rsidRPr="001340D0">
          <w:rPr>
            <w:noProof/>
            <w:webHidden/>
          </w:rPr>
          <w:fldChar w:fldCharType="end"/>
        </w:r>
      </w:hyperlink>
    </w:p>
    <w:p w:rsidR="00334F38" w:rsidRPr="001340D0" w:rsidRDefault="00334F38">
      <w:pPr>
        <w:pStyle w:val="TOC2"/>
        <w:tabs>
          <w:tab w:val="right" w:leader="dot" w:pos="9062"/>
        </w:tabs>
        <w:rPr>
          <w:noProof/>
        </w:rPr>
      </w:pPr>
      <w:hyperlink w:anchor="_Toc258079423" w:history="1">
        <w:r w:rsidRPr="001340D0">
          <w:rPr>
            <w:rStyle w:val="Hyperlink"/>
            <w:i/>
            <w:noProof/>
          </w:rPr>
          <w:t>2.2. The effect of the Asian Financial Crisis of 1999 on Earnings Management</w:t>
        </w:r>
        <w:r w:rsidRPr="001340D0">
          <w:rPr>
            <w:noProof/>
            <w:webHidden/>
          </w:rPr>
          <w:tab/>
        </w:r>
        <w:r w:rsidRPr="001340D0">
          <w:rPr>
            <w:noProof/>
            <w:webHidden/>
          </w:rPr>
          <w:fldChar w:fldCharType="begin"/>
        </w:r>
        <w:r w:rsidRPr="001340D0">
          <w:rPr>
            <w:noProof/>
            <w:webHidden/>
          </w:rPr>
          <w:instrText xml:space="preserve"> PAGEREF _Toc258079423 \h </w:instrText>
        </w:r>
        <w:r w:rsidRPr="001340D0">
          <w:rPr>
            <w:noProof/>
            <w:webHidden/>
          </w:rPr>
        </w:r>
        <w:r w:rsidRPr="001340D0">
          <w:rPr>
            <w:noProof/>
            <w:webHidden/>
          </w:rPr>
          <w:fldChar w:fldCharType="separate"/>
        </w:r>
        <w:r>
          <w:rPr>
            <w:noProof/>
            <w:webHidden/>
          </w:rPr>
          <w:t>12</w:t>
        </w:r>
        <w:r w:rsidRPr="001340D0">
          <w:rPr>
            <w:noProof/>
            <w:webHidden/>
          </w:rPr>
          <w:fldChar w:fldCharType="end"/>
        </w:r>
      </w:hyperlink>
    </w:p>
    <w:p w:rsidR="00334F38" w:rsidRPr="001340D0" w:rsidRDefault="00334F38" w:rsidP="001340D0">
      <w:pPr>
        <w:pStyle w:val="TOC1"/>
      </w:pPr>
      <w:hyperlink w:anchor="_Toc258079425" w:history="1">
        <w:r w:rsidRPr="001340D0">
          <w:rPr>
            <w:rStyle w:val="Hyperlink"/>
          </w:rPr>
          <w:t>Chapter 3       Management &amp; Shareholders: Conflicting Interests</w:t>
        </w:r>
        <w:r w:rsidRPr="001340D0">
          <w:rPr>
            <w:webHidden/>
          </w:rPr>
          <w:tab/>
        </w:r>
        <w:r w:rsidRPr="001340D0">
          <w:rPr>
            <w:webHidden/>
          </w:rPr>
          <w:fldChar w:fldCharType="begin"/>
        </w:r>
        <w:r w:rsidRPr="001340D0">
          <w:rPr>
            <w:webHidden/>
          </w:rPr>
          <w:instrText xml:space="preserve"> PAGEREF _Toc258079425 \h </w:instrText>
        </w:r>
        <w:r w:rsidRPr="001340D0">
          <w:rPr>
            <w:webHidden/>
          </w:rPr>
        </w:r>
        <w:r w:rsidRPr="001340D0">
          <w:rPr>
            <w:webHidden/>
          </w:rPr>
          <w:fldChar w:fldCharType="separate"/>
        </w:r>
        <w:r>
          <w:rPr>
            <w:webHidden/>
          </w:rPr>
          <w:t>14</w:t>
        </w:r>
        <w:r w:rsidRPr="001340D0">
          <w:rPr>
            <w:webHidden/>
          </w:rPr>
          <w:fldChar w:fldCharType="end"/>
        </w:r>
      </w:hyperlink>
    </w:p>
    <w:p w:rsidR="00334F38" w:rsidRPr="001340D0" w:rsidRDefault="00334F38">
      <w:pPr>
        <w:pStyle w:val="TOC2"/>
        <w:tabs>
          <w:tab w:val="right" w:leader="dot" w:pos="9062"/>
        </w:tabs>
        <w:rPr>
          <w:noProof/>
        </w:rPr>
      </w:pPr>
      <w:hyperlink w:anchor="_Toc258079427" w:history="1">
        <w:r w:rsidRPr="001340D0">
          <w:rPr>
            <w:rStyle w:val="Hyperlink"/>
            <w:i/>
            <w:noProof/>
          </w:rPr>
          <w:t>3.1 Management’s Function in Reporting Earnings</w:t>
        </w:r>
        <w:r w:rsidRPr="001340D0">
          <w:rPr>
            <w:noProof/>
            <w:webHidden/>
          </w:rPr>
          <w:tab/>
        </w:r>
        <w:r w:rsidRPr="001340D0">
          <w:rPr>
            <w:noProof/>
            <w:webHidden/>
          </w:rPr>
          <w:fldChar w:fldCharType="begin"/>
        </w:r>
        <w:r w:rsidRPr="001340D0">
          <w:rPr>
            <w:noProof/>
            <w:webHidden/>
          </w:rPr>
          <w:instrText xml:space="preserve"> PAGEREF _Toc258079427 \h </w:instrText>
        </w:r>
        <w:r w:rsidRPr="001340D0">
          <w:rPr>
            <w:noProof/>
            <w:webHidden/>
          </w:rPr>
        </w:r>
        <w:r w:rsidRPr="001340D0">
          <w:rPr>
            <w:noProof/>
            <w:webHidden/>
          </w:rPr>
          <w:fldChar w:fldCharType="separate"/>
        </w:r>
        <w:r>
          <w:rPr>
            <w:noProof/>
            <w:webHidden/>
          </w:rPr>
          <w:t>14</w:t>
        </w:r>
        <w:r w:rsidRPr="001340D0">
          <w:rPr>
            <w:noProof/>
            <w:webHidden/>
          </w:rPr>
          <w:fldChar w:fldCharType="end"/>
        </w:r>
      </w:hyperlink>
    </w:p>
    <w:p w:rsidR="00334F38" w:rsidRPr="001340D0" w:rsidRDefault="00334F38">
      <w:pPr>
        <w:pStyle w:val="TOC2"/>
        <w:tabs>
          <w:tab w:val="right" w:leader="dot" w:pos="9062"/>
        </w:tabs>
        <w:rPr>
          <w:noProof/>
        </w:rPr>
      </w:pPr>
      <w:hyperlink w:anchor="_Toc258079428" w:history="1">
        <w:r w:rsidRPr="001340D0">
          <w:rPr>
            <w:rStyle w:val="Hyperlink"/>
            <w:i/>
            <w:noProof/>
          </w:rPr>
          <w:t>3.2. The Role of SOX on Management’s Function</w:t>
        </w:r>
        <w:r w:rsidRPr="001340D0">
          <w:rPr>
            <w:noProof/>
            <w:webHidden/>
          </w:rPr>
          <w:tab/>
        </w:r>
        <w:r w:rsidRPr="001340D0">
          <w:rPr>
            <w:noProof/>
            <w:webHidden/>
          </w:rPr>
          <w:fldChar w:fldCharType="begin"/>
        </w:r>
        <w:r w:rsidRPr="001340D0">
          <w:rPr>
            <w:noProof/>
            <w:webHidden/>
          </w:rPr>
          <w:instrText xml:space="preserve"> PAGEREF _Toc258079428 \h </w:instrText>
        </w:r>
        <w:r w:rsidRPr="001340D0">
          <w:rPr>
            <w:noProof/>
            <w:webHidden/>
          </w:rPr>
        </w:r>
        <w:r w:rsidRPr="001340D0">
          <w:rPr>
            <w:noProof/>
            <w:webHidden/>
          </w:rPr>
          <w:fldChar w:fldCharType="separate"/>
        </w:r>
        <w:r>
          <w:rPr>
            <w:noProof/>
            <w:webHidden/>
          </w:rPr>
          <w:t>14</w:t>
        </w:r>
        <w:r w:rsidRPr="001340D0">
          <w:rPr>
            <w:noProof/>
            <w:webHidden/>
          </w:rPr>
          <w:fldChar w:fldCharType="end"/>
        </w:r>
      </w:hyperlink>
    </w:p>
    <w:p w:rsidR="00334F38" w:rsidRPr="001340D0" w:rsidRDefault="00334F38">
      <w:pPr>
        <w:pStyle w:val="TOC2"/>
        <w:tabs>
          <w:tab w:val="right" w:leader="dot" w:pos="9062"/>
        </w:tabs>
        <w:rPr>
          <w:noProof/>
        </w:rPr>
      </w:pPr>
      <w:hyperlink w:anchor="_Toc258079430" w:history="1">
        <w:r w:rsidRPr="001340D0">
          <w:rPr>
            <w:rStyle w:val="Hyperlink"/>
            <w:i/>
            <w:noProof/>
          </w:rPr>
          <w:t>3.3. Attitude towards Risk</w:t>
        </w:r>
        <w:r w:rsidRPr="001340D0">
          <w:rPr>
            <w:noProof/>
            <w:webHidden/>
          </w:rPr>
          <w:tab/>
        </w:r>
        <w:r w:rsidRPr="001340D0">
          <w:rPr>
            <w:noProof/>
            <w:webHidden/>
          </w:rPr>
          <w:fldChar w:fldCharType="begin"/>
        </w:r>
        <w:r w:rsidRPr="001340D0">
          <w:rPr>
            <w:noProof/>
            <w:webHidden/>
          </w:rPr>
          <w:instrText xml:space="preserve"> PAGEREF _Toc258079430 \h </w:instrText>
        </w:r>
        <w:r w:rsidRPr="001340D0">
          <w:rPr>
            <w:noProof/>
            <w:webHidden/>
          </w:rPr>
        </w:r>
        <w:r w:rsidRPr="001340D0">
          <w:rPr>
            <w:noProof/>
            <w:webHidden/>
          </w:rPr>
          <w:fldChar w:fldCharType="separate"/>
        </w:r>
        <w:r>
          <w:rPr>
            <w:noProof/>
            <w:webHidden/>
          </w:rPr>
          <w:t>15</w:t>
        </w:r>
        <w:r w:rsidRPr="001340D0">
          <w:rPr>
            <w:noProof/>
            <w:webHidden/>
          </w:rPr>
          <w:fldChar w:fldCharType="end"/>
        </w:r>
      </w:hyperlink>
    </w:p>
    <w:p w:rsidR="00334F38" w:rsidRPr="001340D0" w:rsidRDefault="00334F38">
      <w:pPr>
        <w:pStyle w:val="TOC2"/>
        <w:tabs>
          <w:tab w:val="right" w:leader="dot" w:pos="9062"/>
        </w:tabs>
        <w:rPr>
          <w:noProof/>
        </w:rPr>
      </w:pPr>
      <w:hyperlink w:anchor="_Toc258079433" w:history="1">
        <w:r w:rsidRPr="001340D0">
          <w:rPr>
            <w:rStyle w:val="Hyperlink"/>
            <w:i/>
            <w:noProof/>
          </w:rPr>
          <w:t>3.4. The Alignment in Objectives between Management and Shareholders</w:t>
        </w:r>
        <w:r w:rsidRPr="001340D0">
          <w:rPr>
            <w:noProof/>
            <w:webHidden/>
          </w:rPr>
          <w:tab/>
        </w:r>
        <w:r w:rsidRPr="001340D0">
          <w:rPr>
            <w:noProof/>
            <w:webHidden/>
          </w:rPr>
          <w:fldChar w:fldCharType="begin"/>
        </w:r>
        <w:r w:rsidRPr="001340D0">
          <w:rPr>
            <w:noProof/>
            <w:webHidden/>
          </w:rPr>
          <w:instrText xml:space="preserve"> PAGEREF _Toc258079433 \h </w:instrText>
        </w:r>
        <w:r w:rsidRPr="001340D0">
          <w:rPr>
            <w:noProof/>
            <w:webHidden/>
          </w:rPr>
        </w:r>
        <w:r w:rsidRPr="001340D0">
          <w:rPr>
            <w:noProof/>
            <w:webHidden/>
          </w:rPr>
          <w:fldChar w:fldCharType="separate"/>
        </w:r>
        <w:r>
          <w:rPr>
            <w:noProof/>
            <w:webHidden/>
          </w:rPr>
          <w:t>16</w:t>
        </w:r>
        <w:r w:rsidRPr="001340D0">
          <w:rPr>
            <w:noProof/>
            <w:webHidden/>
          </w:rPr>
          <w:fldChar w:fldCharType="end"/>
        </w:r>
      </w:hyperlink>
    </w:p>
    <w:p w:rsidR="00334F38" w:rsidRPr="001340D0" w:rsidRDefault="00334F38">
      <w:pPr>
        <w:pStyle w:val="TOC3"/>
        <w:tabs>
          <w:tab w:val="right" w:leader="dot" w:pos="9062"/>
        </w:tabs>
        <w:rPr>
          <w:noProof/>
        </w:rPr>
      </w:pPr>
      <w:hyperlink w:anchor="_Toc258079435" w:history="1">
        <w:r w:rsidRPr="001340D0">
          <w:rPr>
            <w:rStyle w:val="Hyperlink"/>
            <w:noProof/>
          </w:rPr>
          <w:t>3.4.1. Concerns Surrounding Options</w:t>
        </w:r>
        <w:r w:rsidRPr="001340D0">
          <w:rPr>
            <w:noProof/>
            <w:webHidden/>
          </w:rPr>
          <w:tab/>
        </w:r>
        <w:r w:rsidRPr="001340D0">
          <w:rPr>
            <w:noProof/>
            <w:webHidden/>
          </w:rPr>
          <w:fldChar w:fldCharType="begin"/>
        </w:r>
        <w:r w:rsidRPr="001340D0">
          <w:rPr>
            <w:noProof/>
            <w:webHidden/>
          </w:rPr>
          <w:instrText xml:space="preserve"> PAGEREF _Toc258079435 \h </w:instrText>
        </w:r>
        <w:r w:rsidRPr="001340D0">
          <w:rPr>
            <w:noProof/>
            <w:webHidden/>
          </w:rPr>
        </w:r>
        <w:r w:rsidRPr="001340D0">
          <w:rPr>
            <w:noProof/>
            <w:webHidden/>
          </w:rPr>
          <w:fldChar w:fldCharType="separate"/>
        </w:r>
        <w:r>
          <w:rPr>
            <w:noProof/>
            <w:webHidden/>
          </w:rPr>
          <w:t>17</w:t>
        </w:r>
        <w:r w:rsidRPr="001340D0">
          <w:rPr>
            <w:noProof/>
            <w:webHidden/>
          </w:rPr>
          <w:fldChar w:fldCharType="end"/>
        </w:r>
      </w:hyperlink>
    </w:p>
    <w:p w:rsidR="00334F38" w:rsidRPr="001340D0" w:rsidRDefault="00334F38">
      <w:pPr>
        <w:pStyle w:val="TOC3"/>
        <w:tabs>
          <w:tab w:val="right" w:leader="dot" w:pos="9062"/>
        </w:tabs>
        <w:rPr>
          <w:noProof/>
        </w:rPr>
      </w:pPr>
      <w:hyperlink w:anchor="_Toc258079437" w:history="1">
        <w:r w:rsidRPr="001340D0">
          <w:rPr>
            <w:rStyle w:val="Hyperlink"/>
            <w:rFonts w:ascii="TimesNewRoman" w:hAnsi="TimesNewRoman" w:cs="TimesNewRoman"/>
            <w:noProof/>
          </w:rPr>
          <w:t>3.4.2 The Horizon Dilemma</w:t>
        </w:r>
        <w:r w:rsidRPr="001340D0">
          <w:rPr>
            <w:noProof/>
            <w:webHidden/>
          </w:rPr>
          <w:tab/>
        </w:r>
        <w:r w:rsidRPr="001340D0">
          <w:rPr>
            <w:noProof/>
            <w:webHidden/>
          </w:rPr>
          <w:fldChar w:fldCharType="begin"/>
        </w:r>
        <w:r w:rsidRPr="001340D0">
          <w:rPr>
            <w:noProof/>
            <w:webHidden/>
          </w:rPr>
          <w:instrText xml:space="preserve"> PAGEREF _Toc258079437 \h </w:instrText>
        </w:r>
        <w:r w:rsidRPr="001340D0">
          <w:rPr>
            <w:noProof/>
            <w:webHidden/>
          </w:rPr>
        </w:r>
        <w:r w:rsidRPr="001340D0">
          <w:rPr>
            <w:noProof/>
            <w:webHidden/>
          </w:rPr>
          <w:fldChar w:fldCharType="separate"/>
        </w:r>
        <w:r>
          <w:rPr>
            <w:noProof/>
            <w:webHidden/>
          </w:rPr>
          <w:t>19</w:t>
        </w:r>
        <w:r w:rsidRPr="001340D0">
          <w:rPr>
            <w:noProof/>
            <w:webHidden/>
          </w:rPr>
          <w:fldChar w:fldCharType="end"/>
        </w:r>
      </w:hyperlink>
    </w:p>
    <w:p w:rsidR="00334F38" w:rsidRPr="001340D0" w:rsidRDefault="00334F38" w:rsidP="001340D0">
      <w:pPr>
        <w:pStyle w:val="TOC1"/>
      </w:pPr>
      <w:hyperlink w:anchor="_Toc258079439" w:history="1">
        <w:r w:rsidRPr="001340D0">
          <w:rPr>
            <w:rStyle w:val="Hyperlink"/>
          </w:rPr>
          <w:t>Chapter 4      CEO Turnovers and Earnings Management</w:t>
        </w:r>
        <w:r w:rsidRPr="001340D0">
          <w:rPr>
            <w:webHidden/>
          </w:rPr>
          <w:tab/>
        </w:r>
        <w:r w:rsidRPr="001340D0">
          <w:rPr>
            <w:webHidden/>
          </w:rPr>
          <w:fldChar w:fldCharType="begin"/>
        </w:r>
        <w:r w:rsidRPr="001340D0">
          <w:rPr>
            <w:webHidden/>
          </w:rPr>
          <w:instrText xml:space="preserve"> PAGEREF _Toc258079439 \h </w:instrText>
        </w:r>
        <w:r w:rsidRPr="001340D0">
          <w:rPr>
            <w:webHidden/>
          </w:rPr>
        </w:r>
        <w:r w:rsidRPr="001340D0">
          <w:rPr>
            <w:webHidden/>
          </w:rPr>
          <w:fldChar w:fldCharType="separate"/>
        </w:r>
        <w:r>
          <w:rPr>
            <w:webHidden/>
          </w:rPr>
          <w:t>20</w:t>
        </w:r>
        <w:r w:rsidRPr="001340D0">
          <w:rPr>
            <w:webHidden/>
          </w:rPr>
          <w:fldChar w:fldCharType="end"/>
        </w:r>
      </w:hyperlink>
    </w:p>
    <w:p w:rsidR="00334F38" w:rsidRPr="001340D0" w:rsidRDefault="00334F38">
      <w:pPr>
        <w:pStyle w:val="TOC2"/>
        <w:tabs>
          <w:tab w:val="right" w:leader="dot" w:pos="9062"/>
        </w:tabs>
        <w:rPr>
          <w:noProof/>
        </w:rPr>
      </w:pPr>
      <w:hyperlink w:anchor="_Toc258079441" w:history="1">
        <w:r w:rsidRPr="001340D0">
          <w:rPr>
            <w:rStyle w:val="Hyperlink"/>
            <w:i/>
            <w:noProof/>
          </w:rPr>
          <w:t>4.1. CEO Turnovers and Earnings Management</w:t>
        </w:r>
        <w:r w:rsidRPr="001340D0">
          <w:rPr>
            <w:noProof/>
            <w:webHidden/>
          </w:rPr>
          <w:tab/>
        </w:r>
        <w:r w:rsidRPr="001340D0">
          <w:rPr>
            <w:noProof/>
            <w:webHidden/>
          </w:rPr>
          <w:fldChar w:fldCharType="begin"/>
        </w:r>
        <w:r w:rsidRPr="001340D0">
          <w:rPr>
            <w:noProof/>
            <w:webHidden/>
          </w:rPr>
          <w:instrText xml:space="preserve"> PAGEREF _Toc258079441 \h </w:instrText>
        </w:r>
        <w:r w:rsidRPr="001340D0">
          <w:rPr>
            <w:noProof/>
            <w:webHidden/>
          </w:rPr>
        </w:r>
        <w:r w:rsidRPr="001340D0">
          <w:rPr>
            <w:noProof/>
            <w:webHidden/>
          </w:rPr>
          <w:fldChar w:fldCharType="separate"/>
        </w:r>
        <w:r>
          <w:rPr>
            <w:noProof/>
            <w:webHidden/>
          </w:rPr>
          <w:t>20</w:t>
        </w:r>
        <w:r w:rsidRPr="001340D0">
          <w:rPr>
            <w:noProof/>
            <w:webHidden/>
          </w:rPr>
          <w:fldChar w:fldCharType="end"/>
        </w:r>
      </w:hyperlink>
    </w:p>
    <w:p w:rsidR="00334F38" w:rsidRPr="001340D0" w:rsidRDefault="00334F38">
      <w:pPr>
        <w:pStyle w:val="TOC2"/>
        <w:tabs>
          <w:tab w:val="right" w:leader="dot" w:pos="9062"/>
        </w:tabs>
        <w:rPr>
          <w:noProof/>
        </w:rPr>
      </w:pPr>
      <w:hyperlink w:anchor="_Toc258079442" w:history="1">
        <w:r w:rsidRPr="001340D0">
          <w:rPr>
            <w:rStyle w:val="Hyperlink"/>
            <w:i/>
            <w:noProof/>
          </w:rPr>
          <w:t>4.1.1. Routine Departures</w:t>
        </w:r>
        <w:r w:rsidRPr="001340D0">
          <w:rPr>
            <w:noProof/>
            <w:webHidden/>
          </w:rPr>
          <w:tab/>
        </w:r>
        <w:r w:rsidRPr="001340D0">
          <w:rPr>
            <w:noProof/>
            <w:webHidden/>
          </w:rPr>
          <w:fldChar w:fldCharType="begin"/>
        </w:r>
        <w:r w:rsidRPr="001340D0">
          <w:rPr>
            <w:noProof/>
            <w:webHidden/>
          </w:rPr>
          <w:instrText xml:space="preserve"> PAGEREF _Toc258079442 \h </w:instrText>
        </w:r>
        <w:r w:rsidRPr="001340D0">
          <w:rPr>
            <w:noProof/>
            <w:webHidden/>
          </w:rPr>
        </w:r>
        <w:r w:rsidRPr="001340D0">
          <w:rPr>
            <w:noProof/>
            <w:webHidden/>
          </w:rPr>
          <w:fldChar w:fldCharType="separate"/>
        </w:r>
        <w:r>
          <w:rPr>
            <w:noProof/>
            <w:webHidden/>
          </w:rPr>
          <w:t>21</w:t>
        </w:r>
        <w:r w:rsidRPr="001340D0">
          <w:rPr>
            <w:noProof/>
            <w:webHidden/>
          </w:rPr>
          <w:fldChar w:fldCharType="end"/>
        </w:r>
      </w:hyperlink>
    </w:p>
    <w:p w:rsidR="00334F38" w:rsidRPr="001340D0" w:rsidRDefault="00334F38">
      <w:pPr>
        <w:pStyle w:val="TOC3"/>
        <w:tabs>
          <w:tab w:val="right" w:leader="dot" w:pos="9062"/>
        </w:tabs>
        <w:rPr>
          <w:noProof/>
        </w:rPr>
      </w:pPr>
      <w:hyperlink w:anchor="_Toc258079443" w:history="1">
        <w:r w:rsidRPr="001340D0">
          <w:rPr>
            <w:rStyle w:val="Hyperlink"/>
            <w:i/>
            <w:noProof/>
          </w:rPr>
          <w:t>4.1.1. Routine Departures</w:t>
        </w:r>
        <w:r w:rsidRPr="001340D0">
          <w:rPr>
            <w:noProof/>
            <w:webHidden/>
          </w:rPr>
          <w:tab/>
        </w:r>
        <w:r w:rsidRPr="001340D0">
          <w:rPr>
            <w:noProof/>
            <w:webHidden/>
          </w:rPr>
          <w:fldChar w:fldCharType="begin"/>
        </w:r>
        <w:r w:rsidRPr="001340D0">
          <w:rPr>
            <w:noProof/>
            <w:webHidden/>
          </w:rPr>
          <w:instrText xml:space="preserve"> PAGEREF _Toc258079443 \h </w:instrText>
        </w:r>
        <w:r w:rsidRPr="001340D0">
          <w:rPr>
            <w:noProof/>
            <w:webHidden/>
          </w:rPr>
        </w:r>
        <w:r w:rsidRPr="001340D0">
          <w:rPr>
            <w:noProof/>
            <w:webHidden/>
          </w:rPr>
          <w:fldChar w:fldCharType="separate"/>
        </w:r>
        <w:r>
          <w:rPr>
            <w:noProof/>
            <w:webHidden/>
          </w:rPr>
          <w:t>21</w:t>
        </w:r>
        <w:r w:rsidRPr="001340D0">
          <w:rPr>
            <w:noProof/>
            <w:webHidden/>
          </w:rPr>
          <w:fldChar w:fldCharType="end"/>
        </w:r>
      </w:hyperlink>
    </w:p>
    <w:p w:rsidR="00334F38" w:rsidRPr="001340D0" w:rsidRDefault="00334F38">
      <w:pPr>
        <w:pStyle w:val="TOC3"/>
        <w:tabs>
          <w:tab w:val="right" w:leader="dot" w:pos="9062"/>
        </w:tabs>
        <w:rPr>
          <w:noProof/>
        </w:rPr>
      </w:pPr>
      <w:hyperlink w:anchor="_Toc258079445" w:history="1">
        <w:r w:rsidRPr="001340D0">
          <w:rPr>
            <w:rStyle w:val="Hyperlink"/>
            <w:noProof/>
          </w:rPr>
          <w:t>4.1.2 Non-Routine Departures</w:t>
        </w:r>
        <w:r w:rsidRPr="001340D0">
          <w:rPr>
            <w:noProof/>
            <w:webHidden/>
          </w:rPr>
          <w:tab/>
        </w:r>
        <w:r w:rsidRPr="001340D0">
          <w:rPr>
            <w:noProof/>
            <w:webHidden/>
          </w:rPr>
          <w:fldChar w:fldCharType="begin"/>
        </w:r>
        <w:r w:rsidRPr="001340D0">
          <w:rPr>
            <w:noProof/>
            <w:webHidden/>
          </w:rPr>
          <w:instrText xml:space="preserve"> PAGEREF _Toc258079445 \h </w:instrText>
        </w:r>
        <w:r w:rsidRPr="001340D0">
          <w:rPr>
            <w:noProof/>
            <w:webHidden/>
          </w:rPr>
        </w:r>
        <w:r w:rsidRPr="001340D0">
          <w:rPr>
            <w:noProof/>
            <w:webHidden/>
          </w:rPr>
          <w:fldChar w:fldCharType="separate"/>
        </w:r>
        <w:r>
          <w:rPr>
            <w:noProof/>
            <w:webHidden/>
          </w:rPr>
          <w:t>21</w:t>
        </w:r>
        <w:r w:rsidRPr="001340D0">
          <w:rPr>
            <w:noProof/>
            <w:webHidden/>
          </w:rPr>
          <w:fldChar w:fldCharType="end"/>
        </w:r>
      </w:hyperlink>
    </w:p>
    <w:p w:rsidR="00334F38" w:rsidRPr="001340D0" w:rsidRDefault="00334F38">
      <w:pPr>
        <w:pStyle w:val="TOC3"/>
        <w:tabs>
          <w:tab w:val="right" w:leader="dot" w:pos="9062"/>
        </w:tabs>
        <w:rPr>
          <w:noProof/>
        </w:rPr>
      </w:pPr>
      <w:hyperlink w:anchor="_Toc258079447" w:history="1">
        <w:r w:rsidRPr="001340D0">
          <w:rPr>
            <w:rStyle w:val="Hyperlink"/>
            <w:noProof/>
          </w:rPr>
          <w:t>4.1.3. Incoming Executives</w:t>
        </w:r>
        <w:r w:rsidRPr="001340D0">
          <w:rPr>
            <w:noProof/>
            <w:webHidden/>
          </w:rPr>
          <w:tab/>
        </w:r>
        <w:r w:rsidRPr="001340D0">
          <w:rPr>
            <w:noProof/>
            <w:webHidden/>
          </w:rPr>
          <w:fldChar w:fldCharType="begin"/>
        </w:r>
        <w:r w:rsidRPr="001340D0">
          <w:rPr>
            <w:noProof/>
            <w:webHidden/>
          </w:rPr>
          <w:instrText xml:space="preserve"> PAGEREF _Toc258079447 \h </w:instrText>
        </w:r>
        <w:r w:rsidRPr="001340D0">
          <w:rPr>
            <w:noProof/>
            <w:webHidden/>
          </w:rPr>
        </w:r>
        <w:r w:rsidRPr="001340D0">
          <w:rPr>
            <w:noProof/>
            <w:webHidden/>
          </w:rPr>
          <w:fldChar w:fldCharType="separate"/>
        </w:r>
        <w:r>
          <w:rPr>
            <w:noProof/>
            <w:webHidden/>
          </w:rPr>
          <w:t>23</w:t>
        </w:r>
        <w:r w:rsidRPr="001340D0">
          <w:rPr>
            <w:noProof/>
            <w:webHidden/>
          </w:rPr>
          <w:fldChar w:fldCharType="end"/>
        </w:r>
      </w:hyperlink>
    </w:p>
    <w:p w:rsidR="00334F38" w:rsidRPr="001340D0" w:rsidRDefault="00334F38">
      <w:pPr>
        <w:pStyle w:val="TOC2"/>
        <w:tabs>
          <w:tab w:val="right" w:leader="dot" w:pos="9062"/>
        </w:tabs>
        <w:rPr>
          <w:noProof/>
        </w:rPr>
      </w:pPr>
      <w:hyperlink w:anchor="_Toc258079449" w:history="1">
        <w:r w:rsidRPr="001340D0">
          <w:rPr>
            <w:rStyle w:val="Hyperlink"/>
            <w:i/>
            <w:noProof/>
          </w:rPr>
          <w:t>4.2. Industry specifics</w:t>
        </w:r>
        <w:r w:rsidRPr="001340D0">
          <w:rPr>
            <w:noProof/>
            <w:webHidden/>
          </w:rPr>
          <w:tab/>
        </w:r>
        <w:r w:rsidRPr="001340D0">
          <w:rPr>
            <w:noProof/>
            <w:webHidden/>
          </w:rPr>
          <w:fldChar w:fldCharType="begin"/>
        </w:r>
        <w:r w:rsidRPr="001340D0">
          <w:rPr>
            <w:noProof/>
            <w:webHidden/>
          </w:rPr>
          <w:instrText xml:space="preserve"> PAGEREF _Toc258079449 \h </w:instrText>
        </w:r>
        <w:r w:rsidRPr="001340D0">
          <w:rPr>
            <w:noProof/>
            <w:webHidden/>
          </w:rPr>
        </w:r>
        <w:r w:rsidRPr="001340D0">
          <w:rPr>
            <w:noProof/>
            <w:webHidden/>
          </w:rPr>
          <w:fldChar w:fldCharType="separate"/>
        </w:r>
        <w:r>
          <w:rPr>
            <w:noProof/>
            <w:webHidden/>
          </w:rPr>
          <w:t>24</w:t>
        </w:r>
        <w:r w:rsidRPr="001340D0">
          <w:rPr>
            <w:noProof/>
            <w:webHidden/>
          </w:rPr>
          <w:fldChar w:fldCharType="end"/>
        </w:r>
      </w:hyperlink>
    </w:p>
    <w:p w:rsidR="00334F38" w:rsidRPr="001340D0" w:rsidRDefault="00334F38">
      <w:pPr>
        <w:pStyle w:val="TOC2"/>
        <w:tabs>
          <w:tab w:val="right" w:leader="dot" w:pos="9062"/>
        </w:tabs>
        <w:rPr>
          <w:noProof/>
        </w:rPr>
      </w:pPr>
      <w:hyperlink w:anchor="_Toc258079450" w:history="1">
        <w:r w:rsidRPr="001340D0">
          <w:rPr>
            <w:rStyle w:val="Hyperlink"/>
            <w:i/>
            <w:noProof/>
          </w:rPr>
          <w:t>4.3. Impression Management</w:t>
        </w:r>
        <w:r w:rsidRPr="001340D0">
          <w:rPr>
            <w:noProof/>
            <w:webHidden/>
          </w:rPr>
          <w:tab/>
        </w:r>
        <w:r w:rsidRPr="001340D0">
          <w:rPr>
            <w:noProof/>
            <w:webHidden/>
          </w:rPr>
          <w:fldChar w:fldCharType="begin"/>
        </w:r>
        <w:r w:rsidRPr="001340D0">
          <w:rPr>
            <w:noProof/>
            <w:webHidden/>
          </w:rPr>
          <w:instrText xml:space="preserve"> PAGEREF _Toc258079450 \h </w:instrText>
        </w:r>
        <w:r w:rsidRPr="001340D0">
          <w:rPr>
            <w:noProof/>
            <w:webHidden/>
          </w:rPr>
        </w:r>
        <w:r w:rsidRPr="001340D0">
          <w:rPr>
            <w:noProof/>
            <w:webHidden/>
          </w:rPr>
          <w:fldChar w:fldCharType="separate"/>
        </w:r>
        <w:r>
          <w:rPr>
            <w:noProof/>
            <w:webHidden/>
          </w:rPr>
          <w:t>24</w:t>
        </w:r>
        <w:r w:rsidRPr="001340D0">
          <w:rPr>
            <w:noProof/>
            <w:webHidden/>
          </w:rPr>
          <w:fldChar w:fldCharType="end"/>
        </w:r>
      </w:hyperlink>
    </w:p>
    <w:p w:rsidR="00334F38" w:rsidRPr="001340D0" w:rsidRDefault="00334F38" w:rsidP="001340D0">
      <w:pPr>
        <w:pStyle w:val="TOC1"/>
      </w:pPr>
      <w:hyperlink w:anchor="_Toc258079453" w:history="1">
        <w:r w:rsidRPr="001340D0">
          <w:rPr>
            <w:rStyle w:val="Hyperlink"/>
            <w:iCs/>
          </w:rPr>
          <w:t>Chapter 5        Research Design</w:t>
        </w:r>
        <w:r w:rsidRPr="001340D0">
          <w:rPr>
            <w:webHidden/>
          </w:rPr>
          <w:tab/>
        </w:r>
        <w:r w:rsidRPr="001340D0">
          <w:rPr>
            <w:webHidden/>
          </w:rPr>
          <w:fldChar w:fldCharType="begin"/>
        </w:r>
        <w:r w:rsidRPr="001340D0">
          <w:rPr>
            <w:webHidden/>
          </w:rPr>
          <w:instrText xml:space="preserve"> PAGEREF _Toc258079453 \h </w:instrText>
        </w:r>
        <w:r w:rsidRPr="001340D0">
          <w:rPr>
            <w:webHidden/>
          </w:rPr>
        </w:r>
        <w:r w:rsidRPr="001340D0">
          <w:rPr>
            <w:webHidden/>
          </w:rPr>
          <w:fldChar w:fldCharType="separate"/>
        </w:r>
        <w:r>
          <w:rPr>
            <w:webHidden/>
          </w:rPr>
          <w:t>26</w:t>
        </w:r>
        <w:r w:rsidRPr="001340D0">
          <w:rPr>
            <w:webHidden/>
          </w:rPr>
          <w:fldChar w:fldCharType="end"/>
        </w:r>
      </w:hyperlink>
    </w:p>
    <w:p w:rsidR="00334F38" w:rsidRPr="001340D0" w:rsidRDefault="00334F38">
      <w:pPr>
        <w:pStyle w:val="TOC2"/>
        <w:tabs>
          <w:tab w:val="right" w:leader="dot" w:pos="9062"/>
        </w:tabs>
        <w:rPr>
          <w:noProof/>
        </w:rPr>
      </w:pPr>
      <w:hyperlink w:anchor="_Toc258079455" w:history="1">
        <w:r w:rsidRPr="001340D0">
          <w:rPr>
            <w:rStyle w:val="Hyperlink"/>
            <w:i/>
            <w:noProof/>
          </w:rPr>
          <w:t>5.1. Hypothesis</w:t>
        </w:r>
        <w:r w:rsidRPr="001340D0">
          <w:rPr>
            <w:noProof/>
            <w:webHidden/>
          </w:rPr>
          <w:tab/>
        </w:r>
        <w:r w:rsidRPr="001340D0">
          <w:rPr>
            <w:noProof/>
            <w:webHidden/>
          </w:rPr>
          <w:fldChar w:fldCharType="begin"/>
        </w:r>
        <w:r w:rsidRPr="001340D0">
          <w:rPr>
            <w:noProof/>
            <w:webHidden/>
          </w:rPr>
          <w:instrText xml:space="preserve"> PAGEREF _Toc258079455 \h </w:instrText>
        </w:r>
        <w:r w:rsidRPr="001340D0">
          <w:rPr>
            <w:noProof/>
            <w:webHidden/>
          </w:rPr>
        </w:r>
        <w:r w:rsidRPr="001340D0">
          <w:rPr>
            <w:noProof/>
            <w:webHidden/>
          </w:rPr>
          <w:fldChar w:fldCharType="separate"/>
        </w:r>
        <w:r>
          <w:rPr>
            <w:noProof/>
            <w:webHidden/>
          </w:rPr>
          <w:t>26</w:t>
        </w:r>
        <w:r w:rsidRPr="001340D0">
          <w:rPr>
            <w:noProof/>
            <w:webHidden/>
          </w:rPr>
          <w:fldChar w:fldCharType="end"/>
        </w:r>
      </w:hyperlink>
    </w:p>
    <w:p w:rsidR="00334F38" w:rsidRPr="001340D0" w:rsidRDefault="00334F38">
      <w:pPr>
        <w:pStyle w:val="TOC3"/>
        <w:tabs>
          <w:tab w:val="right" w:leader="dot" w:pos="9062"/>
        </w:tabs>
        <w:rPr>
          <w:noProof/>
        </w:rPr>
      </w:pPr>
      <w:hyperlink w:anchor="_Toc258079457" w:history="1">
        <w:r w:rsidRPr="001340D0">
          <w:rPr>
            <w:rStyle w:val="Hyperlink"/>
            <w:noProof/>
          </w:rPr>
          <w:t>5.2.1. Competing Models in Detecting Earnings Management</w:t>
        </w:r>
        <w:r w:rsidRPr="001340D0">
          <w:rPr>
            <w:noProof/>
            <w:webHidden/>
          </w:rPr>
          <w:tab/>
        </w:r>
        <w:r w:rsidRPr="001340D0">
          <w:rPr>
            <w:noProof/>
            <w:webHidden/>
          </w:rPr>
          <w:fldChar w:fldCharType="begin"/>
        </w:r>
        <w:r w:rsidRPr="001340D0">
          <w:rPr>
            <w:noProof/>
            <w:webHidden/>
          </w:rPr>
          <w:instrText xml:space="preserve"> PAGEREF _Toc258079457 \h </w:instrText>
        </w:r>
        <w:r w:rsidRPr="001340D0">
          <w:rPr>
            <w:noProof/>
            <w:webHidden/>
          </w:rPr>
        </w:r>
        <w:r w:rsidRPr="001340D0">
          <w:rPr>
            <w:noProof/>
            <w:webHidden/>
          </w:rPr>
          <w:fldChar w:fldCharType="separate"/>
        </w:r>
        <w:r>
          <w:rPr>
            <w:noProof/>
            <w:webHidden/>
          </w:rPr>
          <w:t>27</w:t>
        </w:r>
        <w:r w:rsidRPr="001340D0">
          <w:rPr>
            <w:noProof/>
            <w:webHidden/>
          </w:rPr>
          <w:fldChar w:fldCharType="end"/>
        </w:r>
      </w:hyperlink>
    </w:p>
    <w:p w:rsidR="00334F38" w:rsidRPr="001340D0" w:rsidRDefault="00334F38">
      <w:pPr>
        <w:pStyle w:val="TOC3"/>
        <w:tabs>
          <w:tab w:val="right" w:leader="dot" w:pos="9062"/>
        </w:tabs>
        <w:rPr>
          <w:noProof/>
        </w:rPr>
      </w:pPr>
      <w:hyperlink w:anchor="_Toc258079459" w:history="1">
        <w:r w:rsidRPr="001340D0">
          <w:rPr>
            <w:rStyle w:val="Hyperlink"/>
            <w:noProof/>
          </w:rPr>
          <w:t>5.2.2. Difference in Procedures</w:t>
        </w:r>
        <w:r w:rsidRPr="001340D0">
          <w:rPr>
            <w:noProof/>
            <w:webHidden/>
          </w:rPr>
          <w:tab/>
        </w:r>
        <w:r w:rsidRPr="001340D0">
          <w:rPr>
            <w:noProof/>
            <w:webHidden/>
          </w:rPr>
          <w:fldChar w:fldCharType="begin"/>
        </w:r>
        <w:r w:rsidRPr="001340D0">
          <w:rPr>
            <w:noProof/>
            <w:webHidden/>
          </w:rPr>
          <w:instrText xml:space="preserve"> PAGEREF _Toc258079459 \h </w:instrText>
        </w:r>
        <w:r w:rsidRPr="001340D0">
          <w:rPr>
            <w:noProof/>
            <w:webHidden/>
          </w:rPr>
        </w:r>
        <w:r w:rsidRPr="001340D0">
          <w:rPr>
            <w:noProof/>
            <w:webHidden/>
          </w:rPr>
          <w:fldChar w:fldCharType="separate"/>
        </w:r>
        <w:r>
          <w:rPr>
            <w:noProof/>
            <w:webHidden/>
          </w:rPr>
          <w:t>28</w:t>
        </w:r>
        <w:r w:rsidRPr="001340D0">
          <w:rPr>
            <w:noProof/>
            <w:webHidden/>
          </w:rPr>
          <w:fldChar w:fldCharType="end"/>
        </w:r>
      </w:hyperlink>
    </w:p>
    <w:p w:rsidR="00334F38" w:rsidRPr="001340D0" w:rsidRDefault="00334F38">
      <w:pPr>
        <w:pStyle w:val="TOC3"/>
        <w:tabs>
          <w:tab w:val="right" w:leader="dot" w:pos="9062"/>
        </w:tabs>
        <w:rPr>
          <w:noProof/>
        </w:rPr>
      </w:pPr>
      <w:hyperlink w:anchor="_Toc258079461" w:history="1">
        <w:r w:rsidRPr="001340D0">
          <w:rPr>
            <w:rStyle w:val="Hyperlink"/>
            <w:noProof/>
          </w:rPr>
          <w:t>5.2.3. Accounting for firm performance</w:t>
        </w:r>
        <w:r w:rsidRPr="001340D0">
          <w:rPr>
            <w:noProof/>
            <w:webHidden/>
          </w:rPr>
          <w:tab/>
        </w:r>
        <w:r w:rsidRPr="001340D0">
          <w:rPr>
            <w:noProof/>
            <w:webHidden/>
          </w:rPr>
          <w:fldChar w:fldCharType="begin"/>
        </w:r>
        <w:r w:rsidRPr="001340D0">
          <w:rPr>
            <w:noProof/>
            <w:webHidden/>
          </w:rPr>
          <w:instrText xml:space="preserve"> PAGEREF _Toc258079461 \h </w:instrText>
        </w:r>
        <w:r w:rsidRPr="001340D0">
          <w:rPr>
            <w:noProof/>
            <w:webHidden/>
          </w:rPr>
        </w:r>
        <w:r w:rsidRPr="001340D0">
          <w:rPr>
            <w:noProof/>
            <w:webHidden/>
          </w:rPr>
          <w:fldChar w:fldCharType="separate"/>
        </w:r>
        <w:r>
          <w:rPr>
            <w:noProof/>
            <w:webHidden/>
          </w:rPr>
          <w:t>29</w:t>
        </w:r>
        <w:r w:rsidRPr="001340D0">
          <w:rPr>
            <w:noProof/>
            <w:webHidden/>
          </w:rPr>
          <w:fldChar w:fldCharType="end"/>
        </w:r>
      </w:hyperlink>
    </w:p>
    <w:p w:rsidR="00334F38" w:rsidRPr="001340D0" w:rsidRDefault="00334F38">
      <w:pPr>
        <w:pStyle w:val="TOC2"/>
        <w:tabs>
          <w:tab w:val="right" w:leader="dot" w:pos="9062"/>
        </w:tabs>
        <w:rPr>
          <w:noProof/>
        </w:rPr>
      </w:pPr>
      <w:hyperlink w:anchor="_Toc258079463" w:history="1">
        <w:r w:rsidRPr="001340D0">
          <w:rPr>
            <w:rStyle w:val="Hyperlink"/>
            <w:i/>
            <w:noProof/>
          </w:rPr>
          <w:t>5.3. Sample</w:t>
        </w:r>
        <w:r w:rsidRPr="001340D0">
          <w:rPr>
            <w:noProof/>
            <w:webHidden/>
          </w:rPr>
          <w:tab/>
        </w:r>
        <w:r w:rsidRPr="001340D0">
          <w:rPr>
            <w:noProof/>
            <w:webHidden/>
          </w:rPr>
          <w:fldChar w:fldCharType="begin"/>
        </w:r>
        <w:r w:rsidRPr="001340D0">
          <w:rPr>
            <w:noProof/>
            <w:webHidden/>
          </w:rPr>
          <w:instrText xml:space="preserve"> PAGEREF _Toc258079463 \h </w:instrText>
        </w:r>
        <w:r w:rsidRPr="001340D0">
          <w:rPr>
            <w:noProof/>
            <w:webHidden/>
          </w:rPr>
        </w:r>
        <w:r w:rsidRPr="001340D0">
          <w:rPr>
            <w:noProof/>
            <w:webHidden/>
          </w:rPr>
          <w:fldChar w:fldCharType="separate"/>
        </w:r>
        <w:r>
          <w:rPr>
            <w:noProof/>
            <w:webHidden/>
          </w:rPr>
          <w:t>30</w:t>
        </w:r>
        <w:r w:rsidRPr="001340D0">
          <w:rPr>
            <w:noProof/>
            <w:webHidden/>
          </w:rPr>
          <w:fldChar w:fldCharType="end"/>
        </w:r>
      </w:hyperlink>
    </w:p>
    <w:p w:rsidR="00334F38" w:rsidRPr="001340D0" w:rsidRDefault="00334F38">
      <w:pPr>
        <w:pStyle w:val="TOC2"/>
        <w:tabs>
          <w:tab w:val="right" w:leader="dot" w:pos="9062"/>
        </w:tabs>
        <w:rPr>
          <w:noProof/>
        </w:rPr>
      </w:pPr>
      <w:hyperlink w:anchor="_Toc258079465" w:history="1">
        <w:r w:rsidRPr="001340D0">
          <w:rPr>
            <w:rStyle w:val="Hyperlink"/>
            <w:i/>
            <w:noProof/>
          </w:rPr>
          <w:t>5.4. Methodology</w:t>
        </w:r>
        <w:r w:rsidRPr="001340D0">
          <w:rPr>
            <w:noProof/>
            <w:webHidden/>
          </w:rPr>
          <w:tab/>
        </w:r>
        <w:r w:rsidRPr="001340D0">
          <w:rPr>
            <w:noProof/>
            <w:webHidden/>
          </w:rPr>
          <w:fldChar w:fldCharType="begin"/>
        </w:r>
        <w:r w:rsidRPr="001340D0">
          <w:rPr>
            <w:noProof/>
            <w:webHidden/>
          </w:rPr>
          <w:instrText xml:space="preserve"> PAGEREF _Toc258079465 \h </w:instrText>
        </w:r>
        <w:r w:rsidRPr="001340D0">
          <w:rPr>
            <w:noProof/>
            <w:webHidden/>
          </w:rPr>
        </w:r>
        <w:r w:rsidRPr="001340D0">
          <w:rPr>
            <w:noProof/>
            <w:webHidden/>
          </w:rPr>
          <w:fldChar w:fldCharType="separate"/>
        </w:r>
        <w:r>
          <w:rPr>
            <w:noProof/>
            <w:webHidden/>
          </w:rPr>
          <w:t>31</w:t>
        </w:r>
        <w:r w:rsidRPr="001340D0">
          <w:rPr>
            <w:noProof/>
            <w:webHidden/>
          </w:rPr>
          <w:fldChar w:fldCharType="end"/>
        </w:r>
      </w:hyperlink>
    </w:p>
    <w:p w:rsidR="00334F38" w:rsidRPr="001340D0" w:rsidRDefault="00334F38">
      <w:pPr>
        <w:pStyle w:val="TOC2"/>
        <w:tabs>
          <w:tab w:val="right" w:leader="dot" w:pos="9062"/>
        </w:tabs>
        <w:rPr>
          <w:noProof/>
        </w:rPr>
      </w:pPr>
      <w:hyperlink w:anchor="_Toc258079466" w:history="1">
        <w:r w:rsidRPr="001340D0">
          <w:rPr>
            <w:rStyle w:val="Hyperlink"/>
            <w:i/>
            <w:noProof/>
          </w:rPr>
          <w:t>5.5 Estimating Performance Matched Discretionary Accruals</w:t>
        </w:r>
        <w:r w:rsidRPr="001340D0">
          <w:rPr>
            <w:noProof/>
            <w:webHidden/>
          </w:rPr>
          <w:tab/>
        </w:r>
        <w:r w:rsidRPr="001340D0">
          <w:rPr>
            <w:noProof/>
            <w:webHidden/>
          </w:rPr>
          <w:fldChar w:fldCharType="begin"/>
        </w:r>
        <w:r w:rsidRPr="001340D0">
          <w:rPr>
            <w:noProof/>
            <w:webHidden/>
          </w:rPr>
          <w:instrText xml:space="preserve"> PAGEREF _Toc258079466 \h </w:instrText>
        </w:r>
        <w:r w:rsidRPr="001340D0">
          <w:rPr>
            <w:noProof/>
            <w:webHidden/>
          </w:rPr>
        </w:r>
        <w:r w:rsidRPr="001340D0">
          <w:rPr>
            <w:noProof/>
            <w:webHidden/>
          </w:rPr>
          <w:fldChar w:fldCharType="separate"/>
        </w:r>
        <w:r>
          <w:rPr>
            <w:noProof/>
            <w:webHidden/>
          </w:rPr>
          <w:t>32</w:t>
        </w:r>
        <w:r w:rsidRPr="001340D0">
          <w:rPr>
            <w:noProof/>
            <w:webHidden/>
          </w:rPr>
          <w:fldChar w:fldCharType="end"/>
        </w:r>
      </w:hyperlink>
    </w:p>
    <w:p w:rsidR="00334F38" w:rsidRPr="001340D0" w:rsidRDefault="00334F38">
      <w:pPr>
        <w:pStyle w:val="TOC2"/>
        <w:tabs>
          <w:tab w:val="right" w:leader="dot" w:pos="9062"/>
        </w:tabs>
        <w:rPr>
          <w:noProof/>
        </w:rPr>
      </w:pPr>
      <w:hyperlink w:anchor="_Toc258079467" w:history="1">
        <w:r w:rsidRPr="001340D0">
          <w:rPr>
            <w:rStyle w:val="Hyperlink"/>
            <w:i/>
            <w:noProof/>
          </w:rPr>
          <w:t>5.6 Expectations</w:t>
        </w:r>
        <w:r w:rsidRPr="001340D0">
          <w:rPr>
            <w:noProof/>
            <w:webHidden/>
          </w:rPr>
          <w:tab/>
        </w:r>
        <w:r w:rsidRPr="001340D0">
          <w:rPr>
            <w:noProof/>
            <w:webHidden/>
          </w:rPr>
          <w:fldChar w:fldCharType="begin"/>
        </w:r>
        <w:r w:rsidRPr="001340D0">
          <w:rPr>
            <w:noProof/>
            <w:webHidden/>
          </w:rPr>
          <w:instrText xml:space="preserve"> PAGEREF _Toc258079467 \h </w:instrText>
        </w:r>
        <w:r w:rsidRPr="001340D0">
          <w:rPr>
            <w:noProof/>
            <w:webHidden/>
          </w:rPr>
        </w:r>
        <w:r w:rsidRPr="001340D0">
          <w:rPr>
            <w:noProof/>
            <w:webHidden/>
          </w:rPr>
          <w:fldChar w:fldCharType="separate"/>
        </w:r>
        <w:r>
          <w:rPr>
            <w:noProof/>
            <w:webHidden/>
          </w:rPr>
          <w:t>34</w:t>
        </w:r>
        <w:r w:rsidRPr="001340D0">
          <w:rPr>
            <w:noProof/>
            <w:webHidden/>
          </w:rPr>
          <w:fldChar w:fldCharType="end"/>
        </w:r>
      </w:hyperlink>
    </w:p>
    <w:p w:rsidR="00334F38" w:rsidRDefault="00334F38" w:rsidP="001340D0">
      <w:pPr>
        <w:pStyle w:val="TOC1"/>
      </w:pPr>
      <w:hyperlink w:anchor="_Toc258079468" w:history="1">
        <w:r w:rsidRPr="001340D0">
          <w:rPr>
            <w:rStyle w:val="Hyperlink"/>
          </w:rPr>
          <w:t xml:space="preserve">Chapter 6     </w:t>
        </w:r>
        <w:r>
          <w:rPr>
            <w:rStyle w:val="Hyperlink"/>
          </w:rPr>
          <w:t xml:space="preserve"> Results</w:t>
        </w:r>
        <w:r w:rsidRPr="001340D0">
          <w:rPr>
            <w:webHidden/>
          </w:rPr>
          <w:tab/>
        </w:r>
        <w:r w:rsidRPr="001340D0">
          <w:rPr>
            <w:webHidden/>
          </w:rPr>
          <w:fldChar w:fldCharType="begin"/>
        </w:r>
        <w:r w:rsidRPr="001340D0">
          <w:rPr>
            <w:webHidden/>
          </w:rPr>
          <w:instrText xml:space="preserve"> PAGEREF _Toc258079468 \h </w:instrText>
        </w:r>
        <w:r w:rsidRPr="001340D0">
          <w:rPr>
            <w:webHidden/>
          </w:rPr>
        </w:r>
        <w:r w:rsidRPr="001340D0">
          <w:rPr>
            <w:webHidden/>
          </w:rPr>
          <w:fldChar w:fldCharType="separate"/>
        </w:r>
        <w:r>
          <w:rPr>
            <w:webHidden/>
          </w:rPr>
          <w:t>36</w:t>
        </w:r>
        <w:r w:rsidRPr="001340D0">
          <w:rPr>
            <w:webHidden/>
          </w:rPr>
          <w:fldChar w:fldCharType="end"/>
        </w:r>
      </w:hyperlink>
    </w:p>
    <w:p w:rsidR="00334F38" w:rsidRDefault="00334F38">
      <w:pPr>
        <w:pStyle w:val="TOC2"/>
        <w:tabs>
          <w:tab w:val="right" w:leader="dot" w:pos="9062"/>
        </w:tabs>
        <w:rPr>
          <w:noProof/>
        </w:rPr>
      </w:pPr>
      <w:hyperlink w:anchor="_Toc258079469" w:history="1">
        <w:r w:rsidRPr="00A823FC">
          <w:rPr>
            <w:rStyle w:val="Hyperlink"/>
            <w:i/>
            <w:noProof/>
          </w:rPr>
          <w:t>6.1 Descriptive Statistics of the Model Coefficients</w:t>
        </w:r>
        <w:r>
          <w:rPr>
            <w:noProof/>
            <w:webHidden/>
          </w:rPr>
          <w:tab/>
        </w:r>
        <w:r>
          <w:rPr>
            <w:noProof/>
            <w:webHidden/>
          </w:rPr>
          <w:fldChar w:fldCharType="begin"/>
        </w:r>
        <w:r>
          <w:rPr>
            <w:noProof/>
            <w:webHidden/>
          </w:rPr>
          <w:instrText xml:space="preserve"> PAGEREF _Toc258079469 \h </w:instrText>
        </w:r>
        <w:r>
          <w:rPr>
            <w:noProof/>
            <w:webHidden/>
          </w:rPr>
        </w:r>
        <w:r>
          <w:rPr>
            <w:noProof/>
            <w:webHidden/>
          </w:rPr>
          <w:fldChar w:fldCharType="separate"/>
        </w:r>
        <w:r>
          <w:rPr>
            <w:noProof/>
            <w:webHidden/>
          </w:rPr>
          <w:t>36</w:t>
        </w:r>
        <w:r>
          <w:rPr>
            <w:noProof/>
            <w:webHidden/>
          </w:rPr>
          <w:fldChar w:fldCharType="end"/>
        </w:r>
      </w:hyperlink>
    </w:p>
    <w:p w:rsidR="00334F38" w:rsidRDefault="00334F38">
      <w:pPr>
        <w:pStyle w:val="TOC3"/>
        <w:tabs>
          <w:tab w:val="right" w:leader="dot" w:pos="9062"/>
        </w:tabs>
        <w:rPr>
          <w:noProof/>
        </w:rPr>
      </w:pPr>
      <w:hyperlink w:anchor="_Toc258079470" w:history="1">
        <w:r w:rsidRPr="00A823FC">
          <w:rPr>
            <w:rStyle w:val="Hyperlink"/>
            <w:i/>
            <w:noProof/>
          </w:rPr>
          <w:t>6.2.1 Descriptive Statistics for Discretionary Accrual Measures</w:t>
        </w:r>
        <w:r>
          <w:rPr>
            <w:noProof/>
            <w:webHidden/>
          </w:rPr>
          <w:tab/>
        </w:r>
        <w:r>
          <w:rPr>
            <w:noProof/>
            <w:webHidden/>
          </w:rPr>
          <w:fldChar w:fldCharType="begin"/>
        </w:r>
        <w:r>
          <w:rPr>
            <w:noProof/>
            <w:webHidden/>
          </w:rPr>
          <w:instrText xml:space="preserve"> PAGEREF _Toc258079470 \h </w:instrText>
        </w:r>
        <w:r>
          <w:rPr>
            <w:noProof/>
            <w:webHidden/>
          </w:rPr>
        </w:r>
        <w:r>
          <w:rPr>
            <w:noProof/>
            <w:webHidden/>
          </w:rPr>
          <w:fldChar w:fldCharType="separate"/>
        </w:r>
        <w:r>
          <w:rPr>
            <w:noProof/>
            <w:webHidden/>
          </w:rPr>
          <w:t>37</w:t>
        </w:r>
        <w:r>
          <w:rPr>
            <w:noProof/>
            <w:webHidden/>
          </w:rPr>
          <w:fldChar w:fldCharType="end"/>
        </w:r>
      </w:hyperlink>
    </w:p>
    <w:p w:rsidR="00334F38" w:rsidRDefault="00334F38">
      <w:pPr>
        <w:pStyle w:val="TOC3"/>
        <w:tabs>
          <w:tab w:val="right" w:leader="dot" w:pos="9062"/>
        </w:tabs>
        <w:rPr>
          <w:noProof/>
        </w:rPr>
      </w:pPr>
      <w:hyperlink w:anchor="_Toc258079471" w:history="1">
        <w:r w:rsidRPr="00A823FC">
          <w:rPr>
            <w:rStyle w:val="Hyperlink"/>
            <w:i/>
            <w:noProof/>
          </w:rPr>
          <w:t>6.2.2 Correcting for firm performance</w:t>
        </w:r>
        <w:r>
          <w:rPr>
            <w:noProof/>
            <w:webHidden/>
          </w:rPr>
          <w:tab/>
        </w:r>
        <w:r>
          <w:rPr>
            <w:noProof/>
            <w:webHidden/>
          </w:rPr>
          <w:fldChar w:fldCharType="begin"/>
        </w:r>
        <w:r>
          <w:rPr>
            <w:noProof/>
            <w:webHidden/>
          </w:rPr>
          <w:instrText xml:space="preserve"> PAGEREF _Toc258079471 \h </w:instrText>
        </w:r>
        <w:r>
          <w:rPr>
            <w:noProof/>
            <w:webHidden/>
          </w:rPr>
        </w:r>
        <w:r>
          <w:rPr>
            <w:noProof/>
            <w:webHidden/>
          </w:rPr>
          <w:fldChar w:fldCharType="separate"/>
        </w:r>
        <w:r>
          <w:rPr>
            <w:noProof/>
            <w:webHidden/>
          </w:rPr>
          <w:t>39</w:t>
        </w:r>
        <w:r>
          <w:rPr>
            <w:noProof/>
            <w:webHidden/>
          </w:rPr>
          <w:fldChar w:fldCharType="end"/>
        </w:r>
      </w:hyperlink>
    </w:p>
    <w:p w:rsidR="00334F38" w:rsidRDefault="00334F38" w:rsidP="00162759">
      <w:pPr>
        <w:pStyle w:val="TOC3"/>
        <w:tabs>
          <w:tab w:val="right" w:leader="dot" w:pos="9062"/>
        </w:tabs>
        <w:rPr>
          <w:noProof/>
        </w:rPr>
      </w:pPr>
      <w:hyperlink w:anchor="_Toc258079471" w:history="1">
        <w:r>
          <w:rPr>
            <w:rStyle w:val="Hyperlink"/>
            <w:i/>
            <w:noProof/>
          </w:rPr>
          <w:t>6.2.3 Sensitivity Analysis</w:t>
        </w:r>
        <w:r>
          <w:rPr>
            <w:noProof/>
            <w:webHidden/>
          </w:rPr>
          <w:tab/>
          <w:t>40</w:t>
        </w:r>
      </w:hyperlink>
    </w:p>
    <w:p w:rsidR="00334F38" w:rsidRDefault="00334F38" w:rsidP="00162759">
      <w:pPr>
        <w:pStyle w:val="TOC3"/>
        <w:tabs>
          <w:tab w:val="right" w:leader="dot" w:pos="9062"/>
        </w:tabs>
        <w:rPr>
          <w:noProof/>
        </w:rPr>
      </w:pPr>
      <w:hyperlink w:anchor="_Toc258079471" w:history="1">
        <w:r>
          <w:rPr>
            <w:rStyle w:val="Hyperlink"/>
            <w:i/>
            <w:noProof/>
          </w:rPr>
          <w:t>6.2.4 Motivation for Decreased Earnings Management</w:t>
        </w:r>
        <w:r>
          <w:rPr>
            <w:noProof/>
            <w:webHidden/>
          </w:rPr>
          <w:tab/>
        </w:r>
      </w:hyperlink>
      <w:r>
        <w:rPr>
          <w:noProof/>
        </w:rPr>
        <w:t>41</w:t>
      </w:r>
    </w:p>
    <w:p w:rsidR="00334F38" w:rsidRDefault="00334F38" w:rsidP="001340D0">
      <w:pPr>
        <w:pStyle w:val="TOC1"/>
      </w:pPr>
      <w:hyperlink w:anchor="_Toc258079472" w:history="1">
        <w:r w:rsidRPr="001340D0">
          <w:rPr>
            <w:rStyle w:val="Hyperlink"/>
          </w:rPr>
          <w:t>Chapter 7      Conclusion</w:t>
        </w:r>
        <w:r>
          <w:rPr>
            <w:webHidden/>
          </w:rPr>
          <w:tab/>
        </w:r>
        <w:r>
          <w:rPr>
            <w:webHidden/>
          </w:rPr>
          <w:fldChar w:fldCharType="begin"/>
        </w:r>
        <w:r>
          <w:rPr>
            <w:webHidden/>
          </w:rPr>
          <w:instrText xml:space="preserve"> PAGEREF _Toc258079472 \h </w:instrText>
        </w:r>
        <w:r>
          <w:rPr>
            <w:webHidden/>
          </w:rPr>
        </w:r>
        <w:r>
          <w:rPr>
            <w:webHidden/>
          </w:rPr>
          <w:fldChar w:fldCharType="separate"/>
        </w:r>
        <w:r>
          <w:rPr>
            <w:webHidden/>
          </w:rPr>
          <w:t>45</w:t>
        </w:r>
        <w:r>
          <w:rPr>
            <w:webHidden/>
          </w:rPr>
          <w:fldChar w:fldCharType="end"/>
        </w:r>
      </w:hyperlink>
    </w:p>
    <w:p w:rsidR="00334F38" w:rsidRDefault="00334F38">
      <w:pPr>
        <w:pStyle w:val="TOC2"/>
        <w:tabs>
          <w:tab w:val="right" w:leader="dot" w:pos="9062"/>
        </w:tabs>
        <w:rPr>
          <w:noProof/>
        </w:rPr>
      </w:pPr>
      <w:hyperlink w:anchor="_Toc258079473" w:history="1">
        <w:r w:rsidRPr="00A823FC">
          <w:rPr>
            <w:rStyle w:val="Hyperlink"/>
            <w:i/>
            <w:noProof/>
          </w:rPr>
          <w:t>7.1 Conclusion</w:t>
        </w:r>
        <w:r>
          <w:rPr>
            <w:noProof/>
            <w:webHidden/>
          </w:rPr>
          <w:tab/>
        </w:r>
        <w:r>
          <w:rPr>
            <w:noProof/>
            <w:webHidden/>
          </w:rPr>
          <w:fldChar w:fldCharType="begin"/>
        </w:r>
        <w:r>
          <w:rPr>
            <w:noProof/>
            <w:webHidden/>
          </w:rPr>
          <w:instrText xml:space="preserve"> PAGEREF _Toc258079473 \h </w:instrText>
        </w:r>
        <w:r>
          <w:rPr>
            <w:noProof/>
            <w:webHidden/>
          </w:rPr>
        </w:r>
        <w:r>
          <w:rPr>
            <w:noProof/>
            <w:webHidden/>
          </w:rPr>
          <w:fldChar w:fldCharType="separate"/>
        </w:r>
        <w:r>
          <w:rPr>
            <w:noProof/>
            <w:webHidden/>
          </w:rPr>
          <w:t>45</w:t>
        </w:r>
        <w:r>
          <w:rPr>
            <w:noProof/>
            <w:webHidden/>
          </w:rPr>
          <w:fldChar w:fldCharType="end"/>
        </w:r>
      </w:hyperlink>
    </w:p>
    <w:p w:rsidR="00334F38" w:rsidRDefault="00334F38">
      <w:pPr>
        <w:pStyle w:val="TOC2"/>
        <w:tabs>
          <w:tab w:val="right" w:leader="dot" w:pos="9062"/>
        </w:tabs>
        <w:rPr>
          <w:noProof/>
        </w:rPr>
      </w:pPr>
      <w:hyperlink w:anchor="_Toc258079474" w:history="1">
        <w:r w:rsidRPr="00A823FC">
          <w:rPr>
            <w:rStyle w:val="Hyperlink"/>
            <w:i/>
            <w:noProof/>
          </w:rPr>
          <w:t>7.2 Measurement errors</w:t>
        </w:r>
        <w:r>
          <w:rPr>
            <w:noProof/>
            <w:webHidden/>
          </w:rPr>
          <w:tab/>
        </w:r>
        <w:r>
          <w:rPr>
            <w:noProof/>
            <w:webHidden/>
          </w:rPr>
          <w:fldChar w:fldCharType="begin"/>
        </w:r>
        <w:r>
          <w:rPr>
            <w:noProof/>
            <w:webHidden/>
          </w:rPr>
          <w:instrText xml:space="preserve"> PAGEREF _Toc258079474 \h </w:instrText>
        </w:r>
        <w:r>
          <w:rPr>
            <w:noProof/>
            <w:webHidden/>
          </w:rPr>
        </w:r>
        <w:r>
          <w:rPr>
            <w:noProof/>
            <w:webHidden/>
          </w:rPr>
          <w:fldChar w:fldCharType="separate"/>
        </w:r>
        <w:r>
          <w:rPr>
            <w:noProof/>
            <w:webHidden/>
          </w:rPr>
          <w:t>48</w:t>
        </w:r>
        <w:r>
          <w:rPr>
            <w:noProof/>
            <w:webHidden/>
          </w:rPr>
          <w:fldChar w:fldCharType="end"/>
        </w:r>
      </w:hyperlink>
    </w:p>
    <w:p w:rsidR="00334F38" w:rsidRDefault="00334F38" w:rsidP="001340D0">
      <w:pPr>
        <w:pStyle w:val="TOC1"/>
      </w:pPr>
      <w:hyperlink w:anchor="_Toc258079475" w:history="1">
        <w:r w:rsidRPr="00A823FC">
          <w:rPr>
            <w:rStyle w:val="Hyperlink"/>
          </w:rPr>
          <w:t>Table of Literature</w:t>
        </w:r>
        <w:r>
          <w:rPr>
            <w:webHidden/>
          </w:rPr>
          <w:tab/>
        </w:r>
        <w:r>
          <w:rPr>
            <w:webHidden/>
          </w:rPr>
          <w:fldChar w:fldCharType="begin"/>
        </w:r>
        <w:r>
          <w:rPr>
            <w:webHidden/>
          </w:rPr>
          <w:instrText xml:space="preserve"> PAGEREF _Toc258079475 \h </w:instrText>
        </w:r>
        <w:r>
          <w:rPr>
            <w:webHidden/>
          </w:rPr>
        </w:r>
        <w:r>
          <w:rPr>
            <w:webHidden/>
          </w:rPr>
          <w:fldChar w:fldCharType="separate"/>
        </w:r>
        <w:r>
          <w:rPr>
            <w:webHidden/>
          </w:rPr>
          <w:t>49</w:t>
        </w:r>
        <w:r>
          <w:rPr>
            <w:webHidden/>
          </w:rPr>
          <w:fldChar w:fldCharType="end"/>
        </w:r>
      </w:hyperlink>
    </w:p>
    <w:p w:rsidR="00334F38" w:rsidRPr="00610188" w:rsidRDefault="00334F38" w:rsidP="001340D0">
      <w:pPr>
        <w:pStyle w:val="TOC1"/>
        <w:rPr>
          <w:color w:val="0000FF"/>
          <w:u w:val="single"/>
        </w:rPr>
      </w:pPr>
      <w:hyperlink w:anchor="_Toc258079476" w:history="1">
        <w:r w:rsidRPr="00A823FC">
          <w:rPr>
            <w:rStyle w:val="Hyperlink"/>
          </w:rPr>
          <w:t>References</w:t>
        </w:r>
        <w:r>
          <w:rPr>
            <w:webHidden/>
          </w:rPr>
          <w:tab/>
        </w:r>
        <w:r>
          <w:rPr>
            <w:webHidden/>
          </w:rPr>
          <w:fldChar w:fldCharType="begin"/>
        </w:r>
        <w:r>
          <w:rPr>
            <w:webHidden/>
          </w:rPr>
          <w:instrText xml:space="preserve"> PAGEREF _Toc258079476 \h </w:instrText>
        </w:r>
        <w:r>
          <w:rPr>
            <w:webHidden/>
          </w:rPr>
        </w:r>
        <w:r>
          <w:rPr>
            <w:webHidden/>
          </w:rPr>
          <w:fldChar w:fldCharType="separate"/>
        </w:r>
        <w:r>
          <w:rPr>
            <w:webHidden/>
          </w:rPr>
          <w:t>53</w:t>
        </w:r>
        <w:r>
          <w:rPr>
            <w:webHidden/>
          </w:rPr>
          <w:fldChar w:fldCharType="end"/>
        </w:r>
      </w:hyperlink>
    </w:p>
    <w:p w:rsidR="00334F38" w:rsidRDefault="00334F38">
      <w:pPr>
        <w:rPr>
          <w:b/>
          <w:bCs/>
          <w:color w:val="365F91"/>
          <w:sz w:val="28"/>
          <w:szCs w:val="28"/>
          <w:lang w:val="en-US" w:eastAsia="en-US"/>
        </w:rPr>
      </w:pPr>
      <w:r>
        <w:rPr>
          <w:bCs/>
          <w:sz w:val="28"/>
          <w:szCs w:val="28"/>
        </w:rPr>
        <w:fldChar w:fldCharType="end"/>
      </w:r>
    </w:p>
    <w:p w:rsidR="00334F38" w:rsidRDefault="00334F38">
      <w:pPr>
        <w:rPr>
          <w:b/>
          <w:bCs/>
          <w:color w:val="365F91"/>
          <w:sz w:val="28"/>
          <w:szCs w:val="28"/>
          <w:lang w:val="en-US" w:eastAsia="en-US"/>
        </w:rPr>
      </w:pPr>
    </w:p>
    <w:p w:rsidR="00334F38" w:rsidRDefault="00334F38">
      <w:pPr>
        <w:rPr>
          <w:b/>
          <w:bCs/>
          <w:color w:val="365F91"/>
          <w:sz w:val="28"/>
          <w:szCs w:val="28"/>
          <w:lang w:val="en-US" w:eastAsia="en-US"/>
        </w:rPr>
      </w:pPr>
    </w:p>
    <w:p w:rsidR="00334F38" w:rsidRDefault="00334F38">
      <w:pPr>
        <w:rPr>
          <w:b/>
          <w:bCs/>
          <w:color w:val="365F91"/>
          <w:sz w:val="28"/>
          <w:szCs w:val="28"/>
          <w:lang w:val="en-US" w:eastAsia="en-US"/>
        </w:rPr>
      </w:pPr>
    </w:p>
    <w:p w:rsidR="00334F38" w:rsidRDefault="00334F38">
      <w:pPr>
        <w:rPr>
          <w:b/>
          <w:bCs/>
          <w:color w:val="365F91"/>
          <w:sz w:val="28"/>
          <w:szCs w:val="28"/>
          <w:lang w:val="en-US" w:eastAsia="en-US"/>
        </w:rPr>
      </w:pPr>
    </w:p>
    <w:p w:rsidR="00334F38" w:rsidRDefault="00334F38">
      <w:pPr>
        <w:rPr>
          <w:b/>
          <w:bCs/>
          <w:color w:val="365F91"/>
          <w:sz w:val="28"/>
          <w:szCs w:val="28"/>
          <w:lang w:val="en-US" w:eastAsia="en-US"/>
        </w:rPr>
      </w:pPr>
    </w:p>
    <w:p w:rsidR="00334F38" w:rsidRDefault="00334F38">
      <w:pPr>
        <w:rPr>
          <w:b/>
          <w:bCs/>
          <w:color w:val="365F91"/>
          <w:sz w:val="28"/>
          <w:szCs w:val="28"/>
          <w:lang w:val="en-US" w:eastAsia="en-US"/>
        </w:rPr>
      </w:pPr>
    </w:p>
    <w:p w:rsidR="00334F38" w:rsidRDefault="00334F38">
      <w:pPr>
        <w:rPr>
          <w:b/>
          <w:bCs/>
          <w:color w:val="365F91"/>
          <w:sz w:val="28"/>
          <w:szCs w:val="28"/>
          <w:lang w:val="en-US" w:eastAsia="en-US"/>
        </w:rPr>
      </w:pPr>
    </w:p>
    <w:p w:rsidR="00334F38" w:rsidRDefault="00334F38">
      <w:pPr>
        <w:rPr>
          <w:b/>
          <w:bCs/>
          <w:color w:val="365F91"/>
          <w:sz w:val="28"/>
          <w:szCs w:val="28"/>
          <w:lang w:val="en-US" w:eastAsia="en-US"/>
        </w:rPr>
      </w:pPr>
    </w:p>
    <w:p w:rsidR="00334F38" w:rsidRDefault="00334F38">
      <w:pPr>
        <w:rPr>
          <w:b/>
          <w:bCs/>
          <w:color w:val="365F91"/>
          <w:sz w:val="28"/>
          <w:szCs w:val="28"/>
          <w:lang w:val="en-US" w:eastAsia="en-US"/>
        </w:rPr>
      </w:pPr>
    </w:p>
    <w:p w:rsidR="00334F38" w:rsidRDefault="00334F38">
      <w:pPr>
        <w:rPr>
          <w:b/>
          <w:bCs/>
          <w:color w:val="365F91"/>
          <w:sz w:val="28"/>
          <w:szCs w:val="28"/>
          <w:lang w:val="en-US" w:eastAsia="en-US"/>
        </w:rPr>
      </w:pPr>
    </w:p>
    <w:p w:rsidR="00334F38" w:rsidRDefault="00334F38">
      <w:pPr>
        <w:rPr>
          <w:b/>
          <w:bCs/>
          <w:color w:val="365F91"/>
          <w:sz w:val="28"/>
          <w:szCs w:val="28"/>
          <w:lang w:val="en-US" w:eastAsia="en-US"/>
        </w:rPr>
      </w:pPr>
    </w:p>
    <w:p w:rsidR="00334F38" w:rsidRDefault="00334F38">
      <w:pPr>
        <w:rPr>
          <w:b/>
          <w:bCs/>
          <w:color w:val="365F91"/>
          <w:sz w:val="28"/>
          <w:szCs w:val="28"/>
          <w:lang w:val="en-US" w:eastAsia="en-US"/>
        </w:rPr>
      </w:pPr>
    </w:p>
    <w:p w:rsidR="00334F38" w:rsidRDefault="00334F38">
      <w:pPr>
        <w:rPr>
          <w:b/>
          <w:bCs/>
          <w:color w:val="365F91"/>
          <w:sz w:val="28"/>
          <w:szCs w:val="28"/>
          <w:lang w:val="en-US" w:eastAsia="en-US"/>
        </w:rPr>
      </w:pPr>
    </w:p>
    <w:p w:rsidR="00334F38" w:rsidRDefault="00334F38">
      <w:pPr>
        <w:rPr>
          <w:b/>
          <w:bCs/>
          <w:color w:val="365F91"/>
          <w:sz w:val="28"/>
          <w:szCs w:val="28"/>
          <w:lang w:val="en-US" w:eastAsia="en-US"/>
        </w:rPr>
      </w:pPr>
    </w:p>
    <w:p w:rsidR="00334F38" w:rsidRDefault="00334F38">
      <w:pPr>
        <w:rPr>
          <w:b/>
          <w:bCs/>
          <w:color w:val="365F91"/>
          <w:sz w:val="28"/>
          <w:szCs w:val="28"/>
          <w:lang w:val="en-US" w:eastAsia="en-US"/>
        </w:rPr>
      </w:pPr>
    </w:p>
    <w:p w:rsidR="00334F38" w:rsidRDefault="00334F38">
      <w:pPr>
        <w:rPr>
          <w:b/>
          <w:bCs/>
          <w:color w:val="365F91"/>
          <w:sz w:val="28"/>
          <w:szCs w:val="28"/>
          <w:lang w:val="en-US" w:eastAsia="en-US"/>
        </w:rPr>
      </w:pPr>
    </w:p>
    <w:p w:rsidR="00334F38" w:rsidRDefault="00334F38">
      <w:pPr>
        <w:rPr>
          <w:b/>
          <w:bCs/>
          <w:color w:val="365F91"/>
          <w:sz w:val="28"/>
          <w:szCs w:val="28"/>
          <w:lang w:val="en-US" w:eastAsia="en-US"/>
        </w:rPr>
      </w:pPr>
    </w:p>
    <w:p w:rsidR="00334F38" w:rsidRDefault="00334F38">
      <w:pPr>
        <w:rPr>
          <w:b/>
          <w:bCs/>
          <w:color w:val="365F91"/>
          <w:sz w:val="28"/>
          <w:szCs w:val="28"/>
          <w:lang w:val="en-US" w:eastAsia="en-US"/>
        </w:rPr>
      </w:pPr>
    </w:p>
    <w:p w:rsidR="00334F38" w:rsidRDefault="00334F38">
      <w:pPr>
        <w:rPr>
          <w:b/>
          <w:bCs/>
          <w:color w:val="365F91"/>
          <w:sz w:val="28"/>
          <w:szCs w:val="28"/>
          <w:lang w:val="en-US" w:eastAsia="en-US"/>
        </w:rPr>
      </w:pPr>
    </w:p>
    <w:p w:rsidR="00334F38" w:rsidRDefault="00334F38">
      <w:pPr>
        <w:rPr>
          <w:b/>
          <w:bCs/>
          <w:color w:val="365F91"/>
          <w:sz w:val="28"/>
          <w:szCs w:val="28"/>
          <w:lang w:val="en-US" w:eastAsia="en-US"/>
        </w:rPr>
      </w:pPr>
    </w:p>
    <w:p w:rsidR="00334F38" w:rsidRDefault="00334F38">
      <w:pPr>
        <w:rPr>
          <w:b/>
          <w:bCs/>
          <w:color w:val="365F91"/>
          <w:sz w:val="28"/>
          <w:szCs w:val="28"/>
          <w:lang w:val="en-US" w:eastAsia="en-US"/>
        </w:rPr>
      </w:pPr>
    </w:p>
    <w:p w:rsidR="00334F38" w:rsidRDefault="00334F38">
      <w:pPr>
        <w:rPr>
          <w:b/>
          <w:bCs/>
          <w:color w:val="365F91"/>
          <w:sz w:val="28"/>
          <w:szCs w:val="28"/>
          <w:lang w:val="en-US" w:eastAsia="en-US"/>
        </w:rPr>
      </w:pPr>
    </w:p>
    <w:p w:rsidR="00334F38" w:rsidRDefault="00334F38">
      <w:pPr>
        <w:rPr>
          <w:b/>
          <w:bCs/>
          <w:color w:val="365F91"/>
          <w:sz w:val="28"/>
          <w:szCs w:val="28"/>
          <w:lang w:val="en-US" w:eastAsia="en-US"/>
        </w:rPr>
      </w:pPr>
    </w:p>
    <w:p w:rsidR="00334F38" w:rsidRDefault="00334F38">
      <w:pPr>
        <w:rPr>
          <w:b/>
          <w:bCs/>
          <w:color w:val="365F91"/>
          <w:sz w:val="28"/>
          <w:szCs w:val="28"/>
          <w:lang w:val="en-US" w:eastAsia="en-US"/>
        </w:rPr>
      </w:pPr>
    </w:p>
    <w:p w:rsidR="00334F38" w:rsidRDefault="00334F38" w:rsidP="006C3E94">
      <w:pPr>
        <w:rPr>
          <w:lang w:val="en-US" w:eastAsia="en-US"/>
        </w:rPr>
      </w:pPr>
      <w:bookmarkStart w:id="0" w:name="_Toc223368922"/>
      <w:bookmarkStart w:id="1" w:name="_Toc258079406"/>
    </w:p>
    <w:p w:rsidR="00334F38" w:rsidRDefault="00334F38" w:rsidP="006C3E94">
      <w:pPr>
        <w:rPr>
          <w:lang w:val="en-US" w:eastAsia="en-US"/>
        </w:rPr>
      </w:pPr>
    </w:p>
    <w:p w:rsidR="00334F38" w:rsidRDefault="00334F38" w:rsidP="006C3E94">
      <w:pPr>
        <w:rPr>
          <w:lang w:val="en-US" w:eastAsia="en-US"/>
        </w:rPr>
      </w:pPr>
    </w:p>
    <w:p w:rsidR="00334F38" w:rsidRDefault="00334F38" w:rsidP="006C3E94">
      <w:pPr>
        <w:rPr>
          <w:lang w:val="en-US" w:eastAsia="en-US"/>
        </w:rPr>
      </w:pPr>
    </w:p>
    <w:p w:rsidR="00334F38" w:rsidRDefault="00334F38" w:rsidP="006C3E94">
      <w:pPr>
        <w:rPr>
          <w:lang w:val="en-US" w:eastAsia="en-US"/>
        </w:rPr>
      </w:pPr>
    </w:p>
    <w:p w:rsidR="00334F38" w:rsidRDefault="00334F38" w:rsidP="006C3E94">
      <w:pPr>
        <w:rPr>
          <w:lang w:val="en-US" w:eastAsia="en-US"/>
        </w:rPr>
      </w:pPr>
    </w:p>
    <w:p w:rsidR="00334F38" w:rsidRDefault="00334F38" w:rsidP="006C3E94">
      <w:pPr>
        <w:rPr>
          <w:lang w:val="en-US" w:eastAsia="en-US"/>
        </w:rPr>
      </w:pPr>
      <w:r>
        <w:rPr>
          <w:lang w:val="en-US" w:eastAsia="en-US"/>
        </w:rPr>
        <w:t>___________________________________________________________________________</w:t>
      </w:r>
    </w:p>
    <w:p w:rsidR="00334F38" w:rsidRDefault="00334F38" w:rsidP="006C3E94">
      <w:pPr>
        <w:rPr>
          <w:lang w:val="en-US" w:eastAsia="en-US"/>
        </w:rPr>
      </w:pPr>
    </w:p>
    <w:p w:rsidR="00334F38" w:rsidRDefault="00334F38" w:rsidP="006C3E94">
      <w:pPr>
        <w:rPr>
          <w:lang w:val="en-US" w:eastAsia="en-US"/>
        </w:rPr>
      </w:pPr>
    </w:p>
    <w:p w:rsidR="00334F38" w:rsidRPr="006C3E94" w:rsidRDefault="00334F38" w:rsidP="006C3E94">
      <w:pPr>
        <w:rPr>
          <w:lang w:val="en-US" w:eastAsia="en-US"/>
        </w:rPr>
      </w:pPr>
    </w:p>
    <w:p w:rsidR="00334F38" w:rsidRPr="00DA507A" w:rsidRDefault="00334F38" w:rsidP="00B42961">
      <w:pPr>
        <w:pStyle w:val="TOC1"/>
        <w:rPr>
          <w:bCs/>
        </w:rPr>
      </w:pPr>
      <w:r w:rsidRPr="00DA507A">
        <w:rPr>
          <w:bCs/>
        </w:rPr>
        <w:t>Acknowledgement</w:t>
      </w:r>
    </w:p>
    <w:p w:rsidR="00334F38" w:rsidRPr="00DA507A" w:rsidRDefault="00334F38" w:rsidP="00B42961">
      <w:pPr>
        <w:rPr>
          <w:sz w:val="22"/>
          <w:szCs w:val="22"/>
          <w:lang w:val="en-US" w:eastAsia="en-US"/>
        </w:rPr>
      </w:pPr>
    </w:p>
    <w:p w:rsidR="00334F38" w:rsidRPr="00DA507A" w:rsidRDefault="00334F38" w:rsidP="00B42961">
      <w:pPr>
        <w:spacing w:line="360" w:lineRule="auto"/>
        <w:rPr>
          <w:sz w:val="22"/>
          <w:szCs w:val="22"/>
          <w:lang w:val="en-US" w:eastAsia="en-US"/>
        </w:rPr>
      </w:pPr>
      <w:r w:rsidRPr="00DA507A">
        <w:rPr>
          <w:sz w:val="22"/>
          <w:szCs w:val="22"/>
          <w:lang w:val="en-US" w:eastAsia="en-US"/>
        </w:rPr>
        <w:t xml:space="preserve">I would like to express my truthful gratitude to my supervisor, Dr. Yue Wang, for providing suggestions and valuable advices that allowed me to realize this thesis. I would also like to thank my parents for all of their continuous support during the writing process. </w:t>
      </w:r>
    </w:p>
    <w:p w:rsidR="00334F38" w:rsidRPr="00DA507A" w:rsidRDefault="00334F38" w:rsidP="00B42961">
      <w:pPr>
        <w:spacing w:line="360" w:lineRule="auto"/>
        <w:rPr>
          <w:sz w:val="22"/>
          <w:szCs w:val="22"/>
          <w:lang w:val="en-US" w:eastAsia="en-US"/>
        </w:rPr>
      </w:pPr>
    </w:p>
    <w:p w:rsidR="00334F38" w:rsidRPr="00DA507A" w:rsidRDefault="00334F38" w:rsidP="00B42961">
      <w:pPr>
        <w:spacing w:line="360" w:lineRule="auto"/>
        <w:rPr>
          <w:rFonts w:ascii="Calibri" w:hAnsi="Calibri"/>
          <w:b/>
          <w:sz w:val="22"/>
          <w:szCs w:val="22"/>
          <w:lang w:val="en-US" w:eastAsia="en-US"/>
        </w:rPr>
      </w:pPr>
      <w:r w:rsidRPr="00DA507A">
        <w:rPr>
          <w:rFonts w:ascii="Calibri" w:hAnsi="Calibri"/>
          <w:b/>
          <w:sz w:val="22"/>
          <w:szCs w:val="22"/>
          <w:lang w:val="en-US" w:eastAsia="en-US"/>
        </w:rPr>
        <w:t>Abstract</w:t>
      </w:r>
    </w:p>
    <w:p w:rsidR="00334F38" w:rsidRPr="00DA507A" w:rsidRDefault="00334F38" w:rsidP="00B42961">
      <w:pPr>
        <w:spacing w:line="360" w:lineRule="auto"/>
        <w:rPr>
          <w:sz w:val="22"/>
          <w:szCs w:val="22"/>
          <w:lang w:val="en-US" w:eastAsia="en-US"/>
        </w:rPr>
      </w:pPr>
    </w:p>
    <w:p w:rsidR="00334F38" w:rsidRPr="00DA507A" w:rsidRDefault="00334F38" w:rsidP="00B42961">
      <w:pPr>
        <w:spacing w:line="360" w:lineRule="auto"/>
        <w:rPr>
          <w:sz w:val="22"/>
          <w:szCs w:val="22"/>
          <w:lang w:val="en-US" w:eastAsia="en-US"/>
        </w:rPr>
      </w:pPr>
      <w:r w:rsidRPr="00DA507A">
        <w:rPr>
          <w:sz w:val="22"/>
          <w:szCs w:val="22"/>
          <w:lang w:val="en-US" w:eastAsia="en-US"/>
        </w:rPr>
        <w:t xml:space="preserve">This paper attempts to add to the small body of existing literature concerning the effect of different economic environments on earnings management. In this case research is done on the relation between non-routine CEO turnovers and income decreasing earnings management (‘big bath’) during the Global Financial Crisis that started towards the end of 2007. By using (discretionary)accruals as a proxy for earnings management, I use Kothari et al.’s (2005) cross-sectional modified Jones model for detecting signs of negative earnings management during the 2008 (crisis) period. The research sample consists of 194 observations of non-routine CEO turnovers that occurred during the 2008 period in the United States of America. Additionally, this sample is controlled for firm performance by subtracting the discretionary accruals of the matched firms from the discretionary accruals of the original sample. Matching is done on basis of a near-similar level of ROA and Market Capitalization. In this paper evidence is found of negative discretionary accruals during the year of the non-routine CEO turnover. Thereby implying that during times of crisis newly appointed CEOs also partake in negative earnings management or ‘big bath’ practices. </w:t>
      </w:r>
    </w:p>
    <w:p w:rsidR="00334F38" w:rsidRDefault="00334F38" w:rsidP="00B42961">
      <w:pPr>
        <w:pStyle w:val="TOC1"/>
        <w:rPr>
          <w:bCs/>
          <w:sz w:val="28"/>
          <w:szCs w:val="28"/>
        </w:rPr>
      </w:pPr>
    </w:p>
    <w:p w:rsidR="00334F38" w:rsidRPr="006C3E94" w:rsidRDefault="00334F38" w:rsidP="006C3E94">
      <w:pPr>
        <w:rPr>
          <w:lang w:val="en-US" w:eastAsia="en-US"/>
        </w:rPr>
      </w:pPr>
      <w:r>
        <w:rPr>
          <w:lang w:val="en-US" w:eastAsia="en-US"/>
        </w:rPr>
        <w:t>___________________________________________________________________________</w:t>
      </w:r>
    </w:p>
    <w:p w:rsidR="00334F38" w:rsidRDefault="00334F38" w:rsidP="00B42961">
      <w:pPr>
        <w:pStyle w:val="TOC1"/>
        <w:rPr>
          <w:bCs/>
          <w:sz w:val="28"/>
          <w:szCs w:val="28"/>
        </w:rPr>
      </w:pPr>
    </w:p>
    <w:p w:rsidR="00334F38" w:rsidRDefault="00334F38" w:rsidP="00B42961">
      <w:pPr>
        <w:pStyle w:val="TOC1"/>
        <w:rPr>
          <w:bCs/>
          <w:sz w:val="28"/>
          <w:szCs w:val="28"/>
        </w:rPr>
      </w:pPr>
    </w:p>
    <w:p w:rsidR="00334F38" w:rsidRDefault="00334F38" w:rsidP="00B42961">
      <w:pPr>
        <w:pStyle w:val="TOC1"/>
        <w:rPr>
          <w:bCs/>
          <w:sz w:val="28"/>
          <w:szCs w:val="28"/>
        </w:rPr>
      </w:pPr>
    </w:p>
    <w:p w:rsidR="00334F38" w:rsidRDefault="00334F38" w:rsidP="00B42961">
      <w:pPr>
        <w:pStyle w:val="TOC1"/>
        <w:rPr>
          <w:bCs/>
          <w:sz w:val="28"/>
          <w:szCs w:val="28"/>
        </w:rPr>
      </w:pPr>
    </w:p>
    <w:p w:rsidR="00334F38" w:rsidRPr="00B42961" w:rsidRDefault="00334F38" w:rsidP="003E7C8B">
      <w:pPr>
        <w:pStyle w:val="Heading1"/>
        <w:spacing w:line="360" w:lineRule="auto"/>
        <w:rPr>
          <w:rFonts w:ascii="Calibri" w:hAnsi="Calibri"/>
          <w:lang w:val="en-US"/>
        </w:rPr>
      </w:pPr>
      <w:r w:rsidRPr="00B42961">
        <w:rPr>
          <w:rFonts w:ascii="Calibri" w:hAnsi="Calibri"/>
          <w:lang w:val="en-US"/>
        </w:rPr>
        <w:t>Chapter 1</w:t>
      </w:r>
      <w:bookmarkEnd w:id="0"/>
      <w:bookmarkEnd w:id="1"/>
      <w:r>
        <w:rPr>
          <w:rFonts w:ascii="Calibri" w:hAnsi="Calibri"/>
          <w:lang w:val="en-US"/>
        </w:rPr>
        <w:fldChar w:fldCharType="begin"/>
      </w:r>
      <w:r w:rsidRPr="00B42961">
        <w:rPr>
          <w:rFonts w:ascii="Calibri" w:hAnsi="Calibri"/>
          <w:lang w:val="en-US"/>
        </w:rPr>
        <w:instrText>tc "</w:instrText>
      </w:r>
      <w:bookmarkStart w:id="2" w:name="_Toc258079407"/>
      <w:r w:rsidRPr="00B42961">
        <w:rPr>
          <w:rFonts w:ascii="Calibri" w:hAnsi="Calibri"/>
          <w:lang w:val="en-US"/>
        </w:rPr>
        <w:instrText>Chapter 1</w:instrText>
      </w:r>
      <w:bookmarkEnd w:id="2"/>
      <w:r w:rsidRPr="00B42961">
        <w:rPr>
          <w:rFonts w:ascii="Calibri" w:hAnsi="Calibri"/>
          <w:lang w:val="en-US"/>
        </w:rPr>
        <w:instrText>" \f C \l 1</w:instrText>
      </w:r>
      <w:r>
        <w:rPr>
          <w:rFonts w:ascii="Calibri" w:hAnsi="Calibri"/>
          <w:lang w:val="en-US"/>
        </w:rPr>
        <w:fldChar w:fldCharType="end"/>
      </w:r>
      <w:r w:rsidRPr="00B42961">
        <w:rPr>
          <w:rFonts w:ascii="Calibri" w:hAnsi="Calibri"/>
          <w:lang w:val="en-US"/>
        </w:rPr>
        <w:t xml:space="preserve"> </w:t>
      </w:r>
    </w:p>
    <w:p w:rsidR="00334F38" w:rsidRPr="00532D4C" w:rsidRDefault="00334F38" w:rsidP="006720A9">
      <w:pPr>
        <w:pStyle w:val="Heading2"/>
        <w:spacing w:line="360" w:lineRule="auto"/>
        <w:rPr>
          <w:lang w:val="en-US"/>
        </w:rPr>
      </w:pPr>
      <w:bookmarkStart w:id="3" w:name="_Toc223368923"/>
      <w:bookmarkStart w:id="4" w:name="_Toc258079408"/>
      <w:r w:rsidRPr="00EA75E7">
        <w:rPr>
          <w:i/>
          <w:u w:val="none"/>
          <w:lang w:val="en-US"/>
        </w:rPr>
        <w:t>1.1. Introduction</w:t>
      </w:r>
      <w:bookmarkEnd w:id="3"/>
      <w:bookmarkEnd w:id="4"/>
      <w:r>
        <w:rPr>
          <w:i/>
          <w:u w:val="none"/>
          <w:lang w:val="en-US"/>
        </w:rPr>
        <w:fldChar w:fldCharType="begin"/>
      </w:r>
      <w:r w:rsidRPr="00436804">
        <w:rPr>
          <w:lang w:val="en-US"/>
        </w:rPr>
        <w:instrText>tc "</w:instrText>
      </w:r>
      <w:bookmarkStart w:id="5" w:name="_Toc258079409"/>
      <w:r w:rsidRPr="00B74842">
        <w:rPr>
          <w:i/>
          <w:u w:val="none"/>
          <w:lang w:val="en-US"/>
        </w:rPr>
        <w:instrText>1.1. Introduction</w:instrText>
      </w:r>
      <w:bookmarkEnd w:id="5"/>
      <w:r w:rsidRPr="00436804">
        <w:rPr>
          <w:lang w:val="en-US"/>
        </w:rPr>
        <w:instrText>" \f C \l 2</w:instrText>
      </w:r>
      <w:r>
        <w:rPr>
          <w:i/>
          <w:u w:val="none"/>
          <w:lang w:val="en-US"/>
        </w:rPr>
        <w:fldChar w:fldCharType="end"/>
      </w:r>
    </w:p>
    <w:p w:rsidR="00334F38" w:rsidRDefault="00334F38" w:rsidP="000C5C48">
      <w:pPr>
        <w:spacing w:line="360" w:lineRule="auto"/>
        <w:jc w:val="both"/>
        <w:rPr>
          <w:lang w:val="en-US"/>
        </w:rPr>
      </w:pPr>
      <w:r w:rsidRPr="003E7C8B">
        <w:rPr>
          <w:lang w:val="en-US"/>
        </w:rPr>
        <w:t>Throughout the years a number of studies have touched on the existence of earnings management by executives in the business world. The importance of fair -and adequate accounting has had an increasing focus due to the large multitude of corporate scandals that has occurred aro</w:t>
      </w:r>
      <w:r>
        <w:rPr>
          <w:lang w:val="en-US"/>
        </w:rPr>
        <w:t xml:space="preserve">und the globe. The most notable </w:t>
      </w:r>
      <w:r w:rsidRPr="003E7C8B">
        <w:rPr>
          <w:lang w:val="en-US"/>
        </w:rPr>
        <w:t>being the World Com and Enron scandals</w:t>
      </w:r>
      <w:r>
        <w:rPr>
          <w:lang w:val="en-US"/>
        </w:rPr>
        <w:t xml:space="preserve"> in 2002 and 2001 respectively. </w:t>
      </w:r>
      <w:r w:rsidRPr="003E7C8B">
        <w:rPr>
          <w:lang w:val="en-US"/>
        </w:rPr>
        <w:t xml:space="preserve">Deliberately manipulating the companies’ earnings so that the figures match a </w:t>
      </w:r>
      <w:r>
        <w:rPr>
          <w:lang w:val="en-US"/>
        </w:rPr>
        <w:t xml:space="preserve">predetermined target certainly seems conceivable </w:t>
      </w:r>
      <w:r w:rsidRPr="003E7C8B">
        <w:rPr>
          <w:lang w:val="en-US"/>
        </w:rPr>
        <w:t xml:space="preserve">in times of economic flourishing. But how does this </w:t>
      </w:r>
      <w:r>
        <w:rPr>
          <w:lang w:val="en-US"/>
        </w:rPr>
        <w:t>change during different economic climates?</w:t>
      </w:r>
      <w:r w:rsidRPr="003E7C8B">
        <w:rPr>
          <w:lang w:val="en-US"/>
        </w:rPr>
        <w:t xml:space="preserve"> More specifically,</w:t>
      </w:r>
      <w:r>
        <w:rPr>
          <w:lang w:val="en-US"/>
        </w:rPr>
        <w:t xml:space="preserve"> how has the </w:t>
      </w:r>
      <w:r w:rsidRPr="003E7C8B">
        <w:rPr>
          <w:lang w:val="en-US"/>
        </w:rPr>
        <w:t>Global Finan</w:t>
      </w:r>
      <w:r>
        <w:rPr>
          <w:lang w:val="en-US"/>
        </w:rPr>
        <w:t>cial Crisis (that started mid 2007)</w:t>
      </w:r>
      <w:r w:rsidRPr="003E7C8B">
        <w:rPr>
          <w:lang w:val="en-US"/>
        </w:rPr>
        <w:t xml:space="preserve"> impact</w:t>
      </w:r>
      <w:r>
        <w:rPr>
          <w:lang w:val="en-US"/>
        </w:rPr>
        <w:t xml:space="preserve">ed </w:t>
      </w:r>
      <w:r w:rsidRPr="003E7C8B">
        <w:rPr>
          <w:lang w:val="en-US"/>
        </w:rPr>
        <w:t>management</w:t>
      </w:r>
      <w:r>
        <w:rPr>
          <w:lang w:val="en-US"/>
        </w:rPr>
        <w:t>’s incentive to manage earnings?</w:t>
      </w:r>
    </w:p>
    <w:p w:rsidR="00334F38" w:rsidRDefault="00334F38" w:rsidP="000C5C48">
      <w:pPr>
        <w:spacing w:line="360" w:lineRule="auto"/>
        <w:jc w:val="both"/>
        <w:rPr>
          <w:lang w:val="en-US"/>
        </w:rPr>
      </w:pPr>
      <w:r>
        <w:rPr>
          <w:lang w:val="en-US"/>
        </w:rPr>
        <w:t xml:space="preserve">It became apparent in August 2007 that the subprime crisis could not be solved by the financial markets, resulting in problems spreading beyond U.S. borders. According to the National Bureau of Economic Research (NBER) the U.S. has ‘officially’ been in a recession since December 2007. Their conclusion was formed by using real personal income, industrial production as well as wholesale and retail sales as economic measures. These measures reached a peak during the 2008 period. </w:t>
      </w:r>
    </w:p>
    <w:p w:rsidR="00334F38" w:rsidRPr="003E7C8B" w:rsidRDefault="00334F38" w:rsidP="000C5C48">
      <w:pPr>
        <w:spacing w:line="360" w:lineRule="auto"/>
        <w:jc w:val="both"/>
        <w:rPr>
          <w:lang w:val="en-US"/>
        </w:rPr>
      </w:pPr>
      <w:r w:rsidRPr="003E7C8B">
        <w:rPr>
          <w:lang w:val="en-US"/>
        </w:rPr>
        <w:t>Challenger, Gray, and Christmas Inc</w:t>
      </w:r>
      <w:r w:rsidRPr="003E7C8B">
        <w:rPr>
          <w:rStyle w:val="FootnoteReference"/>
          <w:lang w:val="en-US"/>
        </w:rPr>
        <w:footnoteReference w:id="2"/>
      </w:r>
      <w:r>
        <w:rPr>
          <w:lang w:val="en-US"/>
        </w:rPr>
        <w:t xml:space="preserve"> reported that the </w:t>
      </w:r>
      <w:r w:rsidRPr="003E7C8B">
        <w:rPr>
          <w:lang w:val="en-US"/>
        </w:rPr>
        <w:t>20</w:t>
      </w:r>
      <w:r>
        <w:rPr>
          <w:lang w:val="en-US"/>
        </w:rPr>
        <w:t>08 period has seen the number of executives leaving their jobs in North America at its highest for a decade (1484</w:t>
      </w:r>
      <w:r w:rsidRPr="003E7C8B">
        <w:rPr>
          <w:lang w:val="en-US"/>
        </w:rPr>
        <w:t xml:space="preserve"> executives). </w:t>
      </w:r>
      <w:r>
        <w:rPr>
          <w:lang w:val="en-US"/>
        </w:rPr>
        <w:t xml:space="preserve">That tallies up to circa 6 CEOs giving up their position every working day of the year. These numbers show that amidst the massive job cuts the individuals at the top are also feeling the pressure. </w:t>
      </w:r>
      <w:r w:rsidRPr="003E7C8B">
        <w:rPr>
          <w:lang w:val="en-US"/>
        </w:rPr>
        <w:t>The economic crisis contributes to CEO turnovers</w:t>
      </w:r>
      <w:r>
        <w:rPr>
          <w:rStyle w:val="FootnoteReference"/>
          <w:lang w:val="en-US"/>
        </w:rPr>
        <w:footnoteReference w:id="3"/>
      </w:r>
      <w:r>
        <w:rPr>
          <w:lang w:val="en-US"/>
        </w:rPr>
        <w:t xml:space="preserve"> by making the CEO</w:t>
      </w:r>
      <w:r w:rsidRPr="003E7C8B">
        <w:rPr>
          <w:lang w:val="en-US"/>
        </w:rPr>
        <w:t>s more vulnerable</w:t>
      </w:r>
      <w:r>
        <w:rPr>
          <w:lang w:val="en-US"/>
        </w:rPr>
        <w:t xml:space="preserve"> with little room for error</w:t>
      </w:r>
      <w:r w:rsidRPr="003E7C8B">
        <w:rPr>
          <w:lang w:val="en-US"/>
        </w:rPr>
        <w:t>. Their firms and markets are in crisis, and in most cases firm stocks are significantly down</w:t>
      </w:r>
      <w:r>
        <w:rPr>
          <w:lang w:val="en-US"/>
        </w:rPr>
        <w:t>.  In these harsh times the CEO</w:t>
      </w:r>
      <w:r w:rsidRPr="003E7C8B">
        <w:rPr>
          <w:lang w:val="en-US"/>
        </w:rPr>
        <w:t xml:space="preserve">s are under increased pressure from employees and shareholders to improve performance. Boards are also increasingly looking at whether they have the right </w:t>
      </w:r>
      <w:r>
        <w:rPr>
          <w:lang w:val="en-US"/>
        </w:rPr>
        <w:t>man at the top</w:t>
      </w:r>
      <w:r w:rsidRPr="003E7C8B">
        <w:rPr>
          <w:lang w:val="en-US"/>
        </w:rPr>
        <w:t xml:space="preserve"> during these times. </w:t>
      </w:r>
      <w:r>
        <w:rPr>
          <w:lang w:val="en-US"/>
        </w:rPr>
        <w:t xml:space="preserve">Reason for this </w:t>
      </w:r>
      <w:r w:rsidRPr="003E7C8B">
        <w:rPr>
          <w:lang w:val="en-US"/>
        </w:rPr>
        <w:t>is that the skills necessary for running a company in a rising market is often different than operating and maintaining a prominent company in a down market</w:t>
      </w:r>
      <w:r>
        <w:rPr>
          <w:lang w:val="en-US"/>
        </w:rPr>
        <w:t xml:space="preserve">. However, the main purpose of this paper is not to evaluate whether the financial crisis contributes to the number of CEO turnovers. Instead I would like to determine through research how (if at all) the financial crisis changes the relationship between turnovers and the CEOs’ incentive to manage earnings, when compared with CEO turnovers under normal market circumstances.  </w:t>
      </w:r>
    </w:p>
    <w:p w:rsidR="00334F38" w:rsidRPr="003E7C8B" w:rsidRDefault="00334F38" w:rsidP="003E7C8B">
      <w:pPr>
        <w:spacing w:line="360" w:lineRule="auto"/>
        <w:jc w:val="both"/>
        <w:rPr>
          <w:lang w:val="en-US"/>
        </w:rPr>
      </w:pPr>
    </w:p>
    <w:p w:rsidR="00334F38" w:rsidRPr="003E7C8B" w:rsidRDefault="00334F38" w:rsidP="003E7C8B">
      <w:pPr>
        <w:autoSpaceDE w:val="0"/>
        <w:autoSpaceDN w:val="0"/>
        <w:adjustRightInd w:val="0"/>
        <w:spacing w:line="360" w:lineRule="auto"/>
        <w:jc w:val="both"/>
        <w:rPr>
          <w:lang w:val="en-US"/>
        </w:rPr>
      </w:pPr>
      <w:r w:rsidRPr="003E7C8B">
        <w:rPr>
          <w:lang w:val="en-US"/>
        </w:rPr>
        <w:t xml:space="preserve">Earnings or ‘net income’ is arguably the most important item on a financial statement. They give an indication as to what extent the firm has been pursuing its value-adding activities. Given the importance of earnings, it is no surprise that executives have a large interest in how earnings are reported. </w:t>
      </w:r>
      <w:r>
        <w:rPr>
          <w:lang w:val="en-US"/>
        </w:rPr>
        <w:t>E</w:t>
      </w:r>
      <w:r w:rsidRPr="003E7C8B">
        <w:rPr>
          <w:lang w:val="en-US"/>
        </w:rPr>
        <w:t>xecutives make accounting choices within the framework of generally accepted accounting principles. However, even though the accounting regulations that firms experience are extensive, they include a certain amount of flexibility in a sense that it often permits a choice or policy</w:t>
      </w:r>
      <w:r w:rsidRPr="003E7C8B">
        <w:rPr>
          <w:rStyle w:val="FootnoteReference"/>
          <w:lang w:val="en-US"/>
        </w:rPr>
        <w:footnoteReference w:id="4"/>
      </w:r>
      <w:r w:rsidRPr="003E7C8B">
        <w:rPr>
          <w:lang w:val="en-US"/>
        </w:rPr>
        <w:t xml:space="preserve">. There are also certain areas in accounting that are not yet fully regulated. These regulations therefore provide executives with some leeway to manage earnings.  And as evidence </w:t>
      </w:r>
      <w:r>
        <w:rPr>
          <w:lang w:val="en-US"/>
        </w:rPr>
        <w:t>shows, executives</w:t>
      </w:r>
      <w:r w:rsidRPr="003E7C8B">
        <w:rPr>
          <w:lang w:val="en-US"/>
        </w:rPr>
        <w:t xml:space="preserve"> ten</w:t>
      </w:r>
      <w:r>
        <w:rPr>
          <w:lang w:val="en-US"/>
        </w:rPr>
        <w:t>d to use this to their advantage.</w:t>
      </w:r>
      <w:r w:rsidRPr="003E7C8B">
        <w:rPr>
          <w:lang w:val="en-US"/>
        </w:rPr>
        <w:t xml:space="preserve"> Like during CEO turnovers; Empirical evidence suggests downwards earnings management in the year of an</w:t>
      </w:r>
      <w:r>
        <w:rPr>
          <w:lang w:val="en-US"/>
        </w:rPr>
        <w:t xml:space="preserve"> executive change</w:t>
      </w:r>
      <w:r w:rsidRPr="003E7C8B">
        <w:rPr>
          <w:lang w:val="en-US"/>
        </w:rPr>
        <w:t xml:space="preserve"> and upward earnings management in the preceding year (Murphy and Zimmerman</w:t>
      </w:r>
      <w:r>
        <w:rPr>
          <w:lang w:val="en-US"/>
        </w:rPr>
        <w:t xml:space="preserve">, </w:t>
      </w:r>
      <w:r w:rsidRPr="003E7C8B">
        <w:rPr>
          <w:lang w:val="en-US"/>
        </w:rPr>
        <w:t>1993; Pourciau</w:t>
      </w:r>
      <w:r>
        <w:rPr>
          <w:lang w:val="en-US"/>
        </w:rPr>
        <w:t xml:space="preserve">, </w:t>
      </w:r>
      <w:r w:rsidRPr="003E7C8B">
        <w:rPr>
          <w:lang w:val="en-US"/>
        </w:rPr>
        <w:t xml:space="preserve">1993).  </w:t>
      </w:r>
    </w:p>
    <w:p w:rsidR="00334F38" w:rsidRPr="003E7C8B" w:rsidRDefault="00334F38" w:rsidP="003E7C8B">
      <w:pPr>
        <w:autoSpaceDE w:val="0"/>
        <w:autoSpaceDN w:val="0"/>
        <w:adjustRightInd w:val="0"/>
        <w:spacing w:line="360" w:lineRule="auto"/>
        <w:jc w:val="both"/>
        <w:rPr>
          <w:lang w:val="en-US"/>
        </w:rPr>
      </w:pPr>
    </w:p>
    <w:p w:rsidR="00334F38" w:rsidRPr="00B57007" w:rsidRDefault="00334F38" w:rsidP="003E7C8B">
      <w:pPr>
        <w:autoSpaceDE w:val="0"/>
        <w:autoSpaceDN w:val="0"/>
        <w:adjustRightInd w:val="0"/>
        <w:spacing w:line="360" w:lineRule="auto"/>
        <w:jc w:val="both"/>
        <w:rPr>
          <w:lang w:val="en-US"/>
        </w:rPr>
      </w:pPr>
      <w:r w:rsidRPr="003E7C8B">
        <w:rPr>
          <w:lang w:val="en-US"/>
        </w:rPr>
        <w:t>While it might seem arguable that firms which experience unforeseen accounting variations during a CEO turnover are likely to be involved in some kind of fi</w:t>
      </w:r>
      <w:r>
        <w:rPr>
          <w:lang w:val="en-US"/>
        </w:rPr>
        <w:t>nancial reporting manipulation, it can be challenging</w:t>
      </w:r>
      <w:r w:rsidRPr="003E7C8B">
        <w:rPr>
          <w:lang w:val="en-US"/>
        </w:rPr>
        <w:t xml:space="preserve"> to determine. This lies with the difficulty to verify whether the unforeseen accounting variations associated with a CEO turnover are due to executives acting resourcefully at the expense of shareholders or by correct reporting of the overall (poor)</w:t>
      </w:r>
      <w:r w:rsidRPr="003E7C8B">
        <w:rPr>
          <w:rStyle w:val="FootnoteReference"/>
          <w:lang w:val="en-US"/>
        </w:rPr>
        <w:footnoteReference w:id="5"/>
      </w:r>
      <w:r w:rsidRPr="003E7C8B">
        <w:rPr>
          <w:lang w:val="en-US"/>
        </w:rPr>
        <w:t xml:space="preserve"> firm performance. Other papers have taken this into account by use of ‘impression management’ (Godfrey et al. 2003). Contrary to focusing on the accounting numbers, impression management puts the spotlight on the graphical presentation of financial figures in financial reports</w:t>
      </w:r>
      <w:r>
        <w:rPr>
          <w:lang w:val="en-US"/>
        </w:rPr>
        <w:t>, where these graphs are manipulated to create a different impression of company performance</w:t>
      </w:r>
      <w:r w:rsidRPr="003E7C8B">
        <w:rPr>
          <w:lang w:val="en-US"/>
        </w:rPr>
        <w:t>.</w:t>
      </w:r>
      <w:r>
        <w:rPr>
          <w:lang w:val="en-US"/>
        </w:rPr>
        <w:t xml:space="preserve"> </w:t>
      </w:r>
      <w:r w:rsidRPr="003E7C8B">
        <w:rPr>
          <w:lang w:val="en-US"/>
        </w:rPr>
        <w:t xml:space="preserve"> If symptoms of earnings management as well as impression management arise during a CEO turnover, it is more likely to point towards deliberate resourceful behavior rather than the necessary changes due to economic changes in firm performance</w:t>
      </w:r>
      <w:r>
        <w:rPr>
          <w:lang w:val="en-US"/>
        </w:rPr>
        <w:t xml:space="preserve"> (Godfrey et al. 2003)</w:t>
      </w:r>
      <w:r w:rsidRPr="003E7C8B">
        <w:rPr>
          <w:lang w:val="en-US"/>
        </w:rPr>
        <w:t xml:space="preserve">. Al though Godfrey (2003) finds evidence of impression management during CEO turnovers, these results are merely limited. </w:t>
      </w:r>
      <w:r>
        <w:rPr>
          <w:lang w:val="en-US"/>
        </w:rPr>
        <w:t xml:space="preserve">This is the reason why I have decided to take a different approach. Here </w:t>
      </w:r>
      <w:r w:rsidRPr="003E7C8B">
        <w:rPr>
          <w:lang w:val="en-US"/>
        </w:rPr>
        <w:t xml:space="preserve">Kothari et al.’s research (2005) </w:t>
      </w:r>
      <w:r>
        <w:rPr>
          <w:lang w:val="en-US"/>
        </w:rPr>
        <w:t xml:space="preserve">will be used </w:t>
      </w:r>
      <w:r w:rsidRPr="003E7C8B">
        <w:rPr>
          <w:lang w:val="en-US"/>
        </w:rPr>
        <w:t>as an example to distinguish between earnings management and firm performance. In their research they’ve augmented popular models for detecting earnings management by taking firm performance into account, and found that the augmented models generated enhanced reliability in earnings management research. More information on this method can</w:t>
      </w:r>
      <w:r>
        <w:rPr>
          <w:lang w:val="en-US"/>
        </w:rPr>
        <w:t xml:space="preserve"> be found in chapter Four. </w:t>
      </w:r>
    </w:p>
    <w:p w:rsidR="00334F38" w:rsidRPr="005F0B71" w:rsidRDefault="00334F38" w:rsidP="003E7C8B">
      <w:pPr>
        <w:spacing w:line="360" w:lineRule="auto"/>
        <w:jc w:val="both"/>
        <w:rPr>
          <w:lang w:val="en-US"/>
        </w:rPr>
      </w:pPr>
      <w:r w:rsidRPr="005F0B71">
        <w:rPr>
          <w:lang w:val="en-US"/>
        </w:rPr>
        <w:t xml:space="preserve"> </w:t>
      </w:r>
    </w:p>
    <w:p w:rsidR="00334F38" w:rsidRDefault="00334F38" w:rsidP="006A73DA">
      <w:pPr>
        <w:spacing w:line="360" w:lineRule="auto"/>
        <w:jc w:val="both"/>
        <w:rPr>
          <w:lang w:val="en-US"/>
        </w:rPr>
      </w:pPr>
      <w:r>
        <w:rPr>
          <w:lang w:val="en-US"/>
        </w:rPr>
        <w:t xml:space="preserve">Past research has shown how earnings management tendencies get affected through times of crisis (Chia et al. </w:t>
      </w:r>
      <w:r w:rsidRPr="003E7C8B">
        <w:rPr>
          <w:lang w:val="en-US"/>
        </w:rPr>
        <w:t>2007)</w:t>
      </w:r>
      <w:r>
        <w:rPr>
          <w:lang w:val="en-US"/>
        </w:rPr>
        <w:t>. This tendency</w:t>
      </w:r>
      <w:r w:rsidRPr="003E7C8B">
        <w:rPr>
          <w:lang w:val="en-US"/>
        </w:rPr>
        <w:t xml:space="preserve"> to manage earnings is especially visible during unplanned or non-routine</w:t>
      </w:r>
      <w:r w:rsidRPr="003E7C8B">
        <w:rPr>
          <w:rStyle w:val="FootnoteReference"/>
          <w:lang w:val="en-US"/>
        </w:rPr>
        <w:footnoteReference w:id="6"/>
      </w:r>
      <w:r w:rsidRPr="003E7C8B">
        <w:rPr>
          <w:lang w:val="en-US"/>
        </w:rPr>
        <w:t xml:space="preserve"> CEO turnovers (Wells 2002). Since CEO turnovers during times of poor firm performan</w:t>
      </w:r>
      <w:r>
        <w:rPr>
          <w:lang w:val="en-US"/>
        </w:rPr>
        <w:t>ce contain relatively more non-routine turnovers than during prominent times, one might conclude that there will be clear signs of increased</w:t>
      </w:r>
      <w:r w:rsidRPr="003E7C8B">
        <w:rPr>
          <w:lang w:val="en-US"/>
        </w:rPr>
        <w:t xml:space="preserve"> earnings management during the </w:t>
      </w:r>
      <w:r>
        <w:rPr>
          <w:lang w:val="en-US"/>
        </w:rPr>
        <w:t xml:space="preserve">ongoing global financial crisis. </w:t>
      </w:r>
    </w:p>
    <w:p w:rsidR="00334F38" w:rsidRDefault="00334F38" w:rsidP="003E7C8B">
      <w:pPr>
        <w:spacing w:line="360" w:lineRule="auto"/>
        <w:rPr>
          <w:lang w:val="en-US"/>
        </w:rPr>
      </w:pPr>
      <w:r>
        <w:rPr>
          <w:lang w:val="en-US"/>
        </w:rPr>
        <w:t xml:space="preserve">This paper will focus primarily on turnovers that took place in North-America. When considering the failure and merging of a number of American financial firms (Fannie Mae, Freddie Mac) following the subprime mortgage crisis I believe this crisis is more deeply interwoven on US soil, allowing for more data to be gathered during research. Since the whole of 2008 was characterized by a recession my research will mainly focus on this year. </w:t>
      </w:r>
    </w:p>
    <w:p w:rsidR="00334F38" w:rsidRPr="00532D4C" w:rsidRDefault="00334F38" w:rsidP="003E7C8B">
      <w:pPr>
        <w:spacing w:line="360" w:lineRule="auto"/>
        <w:rPr>
          <w:lang w:val="en-US"/>
        </w:rPr>
      </w:pPr>
    </w:p>
    <w:p w:rsidR="00334F38" w:rsidRPr="003E7C8B" w:rsidRDefault="00334F38" w:rsidP="003E7C8B">
      <w:pPr>
        <w:spacing w:line="360" w:lineRule="auto"/>
        <w:jc w:val="both"/>
        <w:rPr>
          <w:lang w:val="en-US"/>
        </w:rPr>
      </w:pPr>
      <w:r>
        <w:rPr>
          <w:lang w:val="en-US"/>
        </w:rPr>
        <w:t>In this thesis I’d</w:t>
      </w:r>
      <w:r w:rsidRPr="003E7C8B">
        <w:rPr>
          <w:lang w:val="en-US"/>
        </w:rPr>
        <w:t xml:space="preserve"> like to add to the feeble existing body of literature concerning the effects of different economic environments on earnings management by means of the following research question;</w:t>
      </w:r>
    </w:p>
    <w:p w:rsidR="00334F38" w:rsidRPr="003E7C8B" w:rsidRDefault="00334F38" w:rsidP="003E7C8B">
      <w:pPr>
        <w:numPr>
          <w:ilvl w:val="0"/>
          <w:numId w:val="9"/>
        </w:numPr>
        <w:spacing w:line="360" w:lineRule="auto"/>
        <w:rPr>
          <w:i/>
          <w:lang w:val="en-US"/>
        </w:rPr>
      </w:pPr>
      <w:r>
        <w:rPr>
          <w:i/>
          <w:lang w:val="en-US"/>
        </w:rPr>
        <w:t>How has the effect of non-routine</w:t>
      </w:r>
      <w:r w:rsidRPr="003E7C8B">
        <w:rPr>
          <w:i/>
          <w:lang w:val="en-US"/>
        </w:rPr>
        <w:t xml:space="preserve"> CEO turnovers</w:t>
      </w:r>
      <w:r>
        <w:rPr>
          <w:i/>
          <w:lang w:val="en-US"/>
        </w:rPr>
        <w:t xml:space="preserve"> </w:t>
      </w:r>
      <w:r w:rsidRPr="003E7C8B">
        <w:rPr>
          <w:i/>
          <w:lang w:val="en-US"/>
        </w:rPr>
        <w:t>on earnings management in the United States of America changed due to</w:t>
      </w:r>
      <w:r>
        <w:rPr>
          <w:i/>
          <w:lang w:val="en-US"/>
        </w:rPr>
        <w:t xml:space="preserve"> the Global Financial Crisis in 2008?</w:t>
      </w:r>
    </w:p>
    <w:p w:rsidR="00334F38" w:rsidRPr="003E7C8B" w:rsidRDefault="00334F38" w:rsidP="003E7C8B">
      <w:pPr>
        <w:spacing w:line="360" w:lineRule="auto"/>
        <w:rPr>
          <w:lang w:val="en-US"/>
        </w:rPr>
      </w:pPr>
    </w:p>
    <w:p w:rsidR="00334F38" w:rsidRPr="003E7C8B" w:rsidRDefault="00334F38" w:rsidP="003E7C8B">
      <w:pPr>
        <w:spacing w:line="360" w:lineRule="auto"/>
        <w:jc w:val="both"/>
        <w:rPr>
          <w:lang w:val="en-US"/>
        </w:rPr>
      </w:pPr>
      <w:r>
        <w:rPr>
          <w:lang w:val="en-US"/>
        </w:rPr>
        <w:t>The following sub questions were formulated to aid in answering the research question:</w:t>
      </w:r>
    </w:p>
    <w:p w:rsidR="00334F38" w:rsidRPr="003E7C8B" w:rsidRDefault="00334F38" w:rsidP="003E7C8B">
      <w:pPr>
        <w:numPr>
          <w:ilvl w:val="1"/>
          <w:numId w:val="9"/>
        </w:numPr>
        <w:spacing w:line="360" w:lineRule="auto"/>
        <w:rPr>
          <w:lang w:val="en-US"/>
        </w:rPr>
      </w:pPr>
      <w:r w:rsidRPr="003E7C8B">
        <w:rPr>
          <w:lang w:val="en-US"/>
        </w:rPr>
        <w:t>What are the different factors tha</w:t>
      </w:r>
      <w:r>
        <w:rPr>
          <w:lang w:val="en-US"/>
        </w:rPr>
        <w:t>t e</w:t>
      </w:r>
      <w:r w:rsidRPr="003E7C8B">
        <w:rPr>
          <w:lang w:val="en-US"/>
        </w:rPr>
        <w:t>ffect management’s incentive to manage earnings?</w:t>
      </w:r>
    </w:p>
    <w:p w:rsidR="00334F38" w:rsidRPr="003E7C8B" w:rsidRDefault="00334F38" w:rsidP="003E7C8B">
      <w:pPr>
        <w:numPr>
          <w:ilvl w:val="1"/>
          <w:numId w:val="9"/>
        </w:numPr>
        <w:spacing w:line="360" w:lineRule="auto"/>
        <w:rPr>
          <w:lang w:val="en-US"/>
        </w:rPr>
      </w:pPr>
      <w:r w:rsidRPr="003E7C8B">
        <w:rPr>
          <w:lang w:val="en-US"/>
        </w:rPr>
        <w:t xml:space="preserve">What </w:t>
      </w:r>
      <w:r>
        <w:rPr>
          <w:lang w:val="en-US"/>
        </w:rPr>
        <w:t>are the proven models and procedures in detecting earnings management?</w:t>
      </w:r>
    </w:p>
    <w:p w:rsidR="00334F38" w:rsidRDefault="00334F38" w:rsidP="003E7C8B">
      <w:pPr>
        <w:numPr>
          <w:ilvl w:val="1"/>
          <w:numId w:val="9"/>
        </w:numPr>
        <w:spacing w:line="360" w:lineRule="auto"/>
        <w:rPr>
          <w:lang w:val="en-US"/>
        </w:rPr>
      </w:pPr>
      <w:r>
        <w:rPr>
          <w:lang w:val="en-US"/>
        </w:rPr>
        <w:t>How do</w:t>
      </w:r>
      <w:r w:rsidRPr="003E7C8B">
        <w:rPr>
          <w:lang w:val="en-US"/>
        </w:rPr>
        <w:t xml:space="preserve"> these models control for firm performance?</w:t>
      </w:r>
    </w:p>
    <w:p w:rsidR="00334F38" w:rsidRPr="003E7C8B" w:rsidRDefault="00334F38" w:rsidP="003E7C8B">
      <w:pPr>
        <w:numPr>
          <w:ilvl w:val="1"/>
          <w:numId w:val="9"/>
        </w:numPr>
        <w:spacing w:line="360" w:lineRule="auto"/>
        <w:rPr>
          <w:lang w:val="en-US"/>
        </w:rPr>
      </w:pPr>
      <w:r>
        <w:rPr>
          <w:lang w:val="en-US"/>
        </w:rPr>
        <w:t>How do managements objectives contribute to earnings management?</w:t>
      </w:r>
    </w:p>
    <w:p w:rsidR="00334F38" w:rsidRPr="003E7C8B" w:rsidRDefault="00334F38" w:rsidP="003E7C8B">
      <w:pPr>
        <w:numPr>
          <w:ilvl w:val="1"/>
          <w:numId w:val="9"/>
        </w:numPr>
        <w:spacing w:line="360" w:lineRule="auto"/>
        <w:rPr>
          <w:lang w:val="en-US"/>
        </w:rPr>
      </w:pPr>
      <w:r w:rsidRPr="003E7C8B">
        <w:rPr>
          <w:lang w:val="en-US"/>
        </w:rPr>
        <w:t>What are the d</w:t>
      </w:r>
      <w:r>
        <w:rPr>
          <w:lang w:val="en-US"/>
        </w:rPr>
        <w:t>ifferent types of CEO turnovers and how to these turnovers take place?</w:t>
      </w:r>
    </w:p>
    <w:p w:rsidR="00334F38" w:rsidRPr="003E7C8B" w:rsidRDefault="00334F38" w:rsidP="003E7C8B">
      <w:pPr>
        <w:numPr>
          <w:ilvl w:val="1"/>
          <w:numId w:val="9"/>
        </w:numPr>
        <w:spacing w:line="360" w:lineRule="auto"/>
        <w:rPr>
          <w:lang w:val="en-US"/>
        </w:rPr>
      </w:pPr>
      <w:r>
        <w:rPr>
          <w:lang w:val="en-US"/>
        </w:rPr>
        <w:t>What is the e</w:t>
      </w:r>
      <w:r w:rsidRPr="003E7C8B">
        <w:rPr>
          <w:lang w:val="en-US"/>
        </w:rPr>
        <w:t>ffect of</w:t>
      </w:r>
      <w:r>
        <w:rPr>
          <w:lang w:val="en-US"/>
        </w:rPr>
        <w:t xml:space="preserve"> non-routine</w:t>
      </w:r>
      <w:r w:rsidRPr="003E7C8B">
        <w:rPr>
          <w:lang w:val="en-US"/>
        </w:rPr>
        <w:t xml:space="preserve"> CEO turnovers on earnings management?</w:t>
      </w:r>
    </w:p>
    <w:p w:rsidR="00334F38" w:rsidRPr="003E7C8B" w:rsidRDefault="00334F38" w:rsidP="003E7C8B">
      <w:pPr>
        <w:spacing w:line="360" w:lineRule="auto"/>
        <w:ind w:left="720"/>
        <w:rPr>
          <w:lang w:val="en-US"/>
        </w:rPr>
      </w:pPr>
    </w:p>
    <w:p w:rsidR="00334F38" w:rsidRPr="003E7C8B" w:rsidRDefault="00334F38" w:rsidP="003E7C8B">
      <w:pPr>
        <w:spacing w:line="360" w:lineRule="auto"/>
        <w:jc w:val="both"/>
        <w:rPr>
          <w:lang w:val="en-US"/>
        </w:rPr>
      </w:pPr>
      <w:r w:rsidRPr="003E7C8B">
        <w:rPr>
          <w:lang w:val="en-US"/>
        </w:rPr>
        <w:t>The second chapter encompasses extensive scientific literature necessary to understand ‘earnings management’ and the methodologies used in detecting this form of management. A broad understanding of</w:t>
      </w:r>
      <w:r>
        <w:rPr>
          <w:lang w:val="en-US"/>
        </w:rPr>
        <w:t xml:space="preserve"> this phenomenon is essential</w:t>
      </w:r>
      <w:r w:rsidRPr="003E7C8B">
        <w:rPr>
          <w:lang w:val="en-US"/>
        </w:rPr>
        <w:t xml:space="preserve"> in </w:t>
      </w:r>
      <w:r>
        <w:rPr>
          <w:lang w:val="en-US"/>
        </w:rPr>
        <w:t>aiding my</w:t>
      </w:r>
      <w:r w:rsidRPr="003E7C8B">
        <w:rPr>
          <w:lang w:val="en-US"/>
        </w:rPr>
        <w:t xml:space="preserve"> research. Chapter Two </w:t>
      </w:r>
      <w:r>
        <w:rPr>
          <w:lang w:val="en-US"/>
        </w:rPr>
        <w:t>will aim at answering the</w:t>
      </w:r>
      <w:r w:rsidRPr="003E7C8B">
        <w:rPr>
          <w:lang w:val="en-US"/>
        </w:rPr>
        <w:t xml:space="preserve"> first three sub-question</w:t>
      </w:r>
      <w:r>
        <w:rPr>
          <w:lang w:val="en-US"/>
        </w:rPr>
        <w:t>s, whereas Chapter Four will feature empirical</w:t>
      </w:r>
      <w:r w:rsidRPr="003E7C8B">
        <w:rPr>
          <w:lang w:val="en-US"/>
        </w:rPr>
        <w:t xml:space="preserve"> literature more closely related to our research question (</w:t>
      </w:r>
      <w:r>
        <w:rPr>
          <w:lang w:val="en-US"/>
        </w:rPr>
        <w:t>which also aims at</w:t>
      </w:r>
      <w:r w:rsidRPr="003E7C8B">
        <w:rPr>
          <w:lang w:val="en-US"/>
        </w:rPr>
        <w:t xml:space="preserve"> answering our fourth and fifth sub-question). </w:t>
      </w:r>
      <w:r>
        <w:rPr>
          <w:lang w:val="en-US"/>
        </w:rPr>
        <w:t xml:space="preserve">Chapter Three will provide the reader with background information regarding management’s objectives within the firm and its contribution to earnings management (thereby answering the fourth sub question). </w:t>
      </w:r>
      <w:r w:rsidRPr="003E7C8B">
        <w:rPr>
          <w:lang w:val="en-US"/>
        </w:rPr>
        <w:t>Finally,</w:t>
      </w:r>
      <w:r>
        <w:rPr>
          <w:lang w:val="en-US"/>
        </w:rPr>
        <w:t xml:space="preserve"> chapter five</w:t>
      </w:r>
      <w:r w:rsidRPr="003E7C8B">
        <w:rPr>
          <w:lang w:val="en-US"/>
        </w:rPr>
        <w:t xml:space="preserve"> will </w:t>
      </w:r>
      <w:r>
        <w:rPr>
          <w:lang w:val="en-US"/>
        </w:rPr>
        <w:t>reveal the</w:t>
      </w:r>
      <w:r w:rsidRPr="003E7C8B">
        <w:rPr>
          <w:lang w:val="en-US"/>
        </w:rPr>
        <w:t xml:space="preserve"> research design. </w:t>
      </w:r>
    </w:p>
    <w:p w:rsidR="00334F38" w:rsidRPr="00622E0E" w:rsidRDefault="00334F38" w:rsidP="006E6BA5">
      <w:pPr>
        <w:pStyle w:val="Heading1"/>
        <w:rPr>
          <w:rFonts w:ascii="Calibri" w:hAnsi="Calibri"/>
          <w:lang w:val="en-US"/>
        </w:rPr>
      </w:pPr>
      <w:r w:rsidRPr="00CD1D59">
        <w:rPr>
          <w:lang w:val="en-US"/>
        </w:rPr>
        <w:br w:type="page"/>
      </w:r>
      <w:bookmarkStart w:id="6" w:name="_Toc223368924"/>
      <w:bookmarkStart w:id="7" w:name="_Toc258079410"/>
      <w:r w:rsidRPr="00622E0E">
        <w:rPr>
          <w:rFonts w:ascii="Calibri" w:hAnsi="Calibri"/>
          <w:lang w:val="en-US"/>
        </w:rPr>
        <w:t>Chapter 2</w:t>
      </w:r>
      <w:bookmarkEnd w:id="6"/>
      <w:r w:rsidRPr="00622E0E">
        <w:rPr>
          <w:rFonts w:ascii="Calibri" w:hAnsi="Calibri"/>
          <w:lang w:val="en-US"/>
        </w:rPr>
        <w:t xml:space="preserve">                                         </w:t>
      </w:r>
      <w:r>
        <w:rPr>
          <w:rFonts w:ascii="Calibri" w:hAnsi="Calibri"/>
          <w:lang w:val="en-US"/>
        </w:rPr>
        <w:t xml:space="preserve">         </w:t>
      </w:r>
      <w:r w:rsidRPr="00622E0E">
        <w:rPr>
          <w:rFonts w:ascii="Calibri" w:hAnsi="Calibri"/>
          <w:lang w:val="en-US"/>
        </w:rPr>
        <w:t xml:space="preserve">         </w:t>
      </w:r>
      <w:r w:rsidRPr="00622E0E">
        <w:rPr>
          <w:rFonts w:ascii="Calibri" w:hAnsi="Calibri"/>
          <w:i/>
          <w:lang w:val="en-US"/>
        </w:rPr>
        <w:t xml:space="preserve"> </w:t>
      </w:r>
      <w:r w:rsidRPr="00622E0E">
        <w:rPr>
          <w:rFonts w:ascii="Calibri" w:hAnsi="Calibri"/>
          <w:lang w:val="en-US"/>
        </w:rPr>
        <w:t>Evidence on Earnings management</w:t>
      </w:r>
      <w:bookmarkEnd w:id="7"/>
      <w:r>
        <w:rPr>
          <w:rFonts w:ascii="Calibri" w:hAnsi="Calibri"/>
          <w:lang w:val="en-US"/>
        </w:rPr>
        <w:fldChar w:fldCharType="begin"/>
      </w:r>
      <w:r w:rsidRPr="00622E0E">
        <w:rPr>
          <w:rFonts w:ascii="Calibri" w:hAnsi="Calibri"/>
          <w:lang w:val="en-US"/>
        </w:rPr>
        <w:instrText>tc "</w:instrText>
      </w:r>
      <w:bookmarkStart w:id="8" w:name="_Toc258079411"/>
      <w:r w:rsidRPr="00622E0E">
        <w:rPr>
          <w:rFonts w:ascii="Calibri" w:hAnsi="Calibri"/>
          <w:lang w:val="en-US"/>
        </w:rPr>
        <w:instrText xml:space="preserve">Chapter 2                                                  </w:instrText>
      </w:r>
      <w:r w:rsidRPr="00622E0E">
        <w:rPr>
          <w:rFonts w:ascii="Calibri" w:hAnsi="Calibri"/>
          <w:i/>
          <w:lang w:val="en-US"/>
        </w:rPr>
        <w:instrText xml:space="preserve"> </w:instrText>
      </w:r>
      <w:r w:rsidRPr="00622E0E">
        <w:rPr>
          <w:rFonts w:ascii="Calibri" w:hAnsi="Calibri"/>
          <w:lang w:val="en-US"/>
        </w:rPr>
        <w:instrText>Evidence on Earnings management</w:instrText>
      </w:r>
      <w:bookmarkEnd w:id="8"/>
      <w:r w:rsidRPr="00622E0E">
        <w:rPr>
          <w:rFonts w:ascii="Calibri" w:hAnsi="Calibri"/>
          <w:lang w:val="en-US"/>
        </w:rPr>
        <w:instrText>" \f C \l 1</w:instrText>
      </w:r>
      <w:r>
        <w:rPr>
          <w:rFonts w:ascii="Calibri" w:hAnsi="Calibri"/>
          <w:lang w:val="en-US"/>
        </w:rPr>
        <w:fldChar w:fldCharType="end"/>
      </w:r>
    </w:p>
    <w:p w:rsidR="00334F38" w:rsidRPr="003E7C8B" w:rsidRDefault="00334F38" w:rsidP="00014C6F">
      <w:pPr>
        <w:spacing w:line="360" w:lineRule="auto"/>
        <w:rPr>
          <w:sz w:val="32"/>
          <w:szCs w:val="32"/>
          <w:u w:val="single"/>
          <w:lang w:val="en-US"/>
        </w:rPr>
      </w:pPr>
    </w:p>
    <w:p w:rsidR="00334F38" w:rsidRPr="009D684E" w:rsidRDefault="00334F38" w:rsidP="009A0D63">
      <w:pPr>
        <w:pStyle w:val="Heading2"/>
        <w:spacing w:line="360" w:lineRule="auto"/>
        <w:rPr>
          <w:i/>
          <w:u w:val="none"/>
          <w:lang w:val="en-US"/>
        </w:rPr>
      </w:pPr>
      <w:bookmarkStart w:id="9" w:name="_Toc223368925"/>
      <w:bookmarkStart w:id="10" w:name="_Toc258079412"/>
      <w:r w:rsidRPr="009D684E">
        <w:rPr>
          <w:i/>
          <w:u w:val="none"/>
          <w:lang w:val="en-US"/>
        </w:rPr>
        <w:t xml:space="preserve">2.1. </w:t>
      </w:r>
      <w:bookmarkEnd w:id="9"/>
      <w:r>
        <w:rPr>
          <w:i/>
          <w:u w:val="none"/>
          <w:lang w:val="en-US"/>
        </w:rPr>
        <w:t>Introduction</w:t>
      </w:r>
      <w:bookmarkEnd w:id="10"/>
      <w:r>
        <w:rPr>
          <w:i/>
          <w:u w:val="none"/>
          <w:lang w:val="en-US"/>
        </w:rPr>
        <w:fldChar w:fldCharType="begin"/>
      </w:r>
      <w:r w:rsidRPr="00436804">
        <w:rPr>
          <w:lang w:val="en-US"/>
        </w:rPr>
        <w:instrText>tc "</w:instrText>
      </w:r>
      <w:bookmarkStart w:id="11" w:name="_Toc258079413"/>
      <w:r w:rsidRPr="00B74842">
        <w:rPr>
          <w:i/>
          <w:u w:val="none"/>
          <w:lang w:val="en-US"/>
        </w:rPr>
        <w:instrText>2.1. Introduction</w:instrText>
      </w:r>
      <w:bookmarkEnd w:id="11"/>
      <w:r w:rsidRPr="00436804">
        <w:rPr>
          <w:lang w:val="en-US"/>
        </w:rPr>
        <w:instrText>" \f C \l 2</w:instrText>
      </w:r>
      <w:r>
        <w:rPr>
          <w:i/>
          <w:u w:val="none"/>
          <w:lang w:val="en-US"/>
        </w:rPr>
        <w:fldChar w:fldCharType="end"/>
      </w:r>
      <w:r>
        <w:rPr>
          <w:i/>
          <w:u w:val="none"/>
          <w:lang w:val="en-US"/>
        </w:rPr>
        <w:fldChar w:fldCharType="begin"/>
      </w:r>
      <w:r w:rsidRPr="00436804">
        <w:rPr>
          <w:lang w:val="en-US"/>
        </w:rPr>
        <w:instrText>tc "</w:instrText>
      </w:r>
      <w:bookmarkStart w:id="12" w:name="_Toc258079414"/>
      <w:r w:rsidRPr="00B74842">
        <w:rPr>
          <w:i/>
          <w:u w:val="none"/>
          <w:lang w:val="en-US"/>
        </w:rPr>
        <w:instrText>2.1. Introduction</w:instrText>
      </w:r>
      <w:bookmarkEnd w:id="12"/>
      <w:r w:rsidRPr="00436804">
        <w:rPr>
          <w:lang w:val="en-US"/>
        </w:rPr>
        <w:instrText>" \f C \l 2</w:instrText>
      </w:r>
      <w:r>
        <w:rPr>
          <w:i/>
          <w:u w:val="none"/>
          <w:lang w:val="en-US"/>
        </w:rPr>
        <w:fldChar w:fldCharType="end"/>
      </w:r>
    </w:p>
    <w:p w:rsidR="00334F38" w:rsidRDefault="00334F38" w:rsidP="009A0D63">
      <w:pPr>
        <w:spacing w:line="360" w:lineRule="auto"/>
        <w:jc w:val="both"/>
        <w:rPr>
          <w:lang w:val="en-US"/>
        </w:rPr>
      </w:pPr>
      <w:r>
        <w:rPr>
          <w:lang w:val="en-US"/>
        </w:rPr>
        <w:t>H</w:t>
      </w:r>
      <w:r w:rsidRPr="003E7C8B">
        <w:rPr>
          <w:lang w:val="en-US"/>
        </w:rPr>
        <w:t xml:space="preserve">ealy and Wahlen (1999) provide us with the following description for earnings management; </w:t>
      </w:r>
      <w:r w:rsidRPr="00B214A3">
        <w:rPr>
          <w:i/>
          <w:lang w:val="en-US"/>
        </w:rPr>
        <w:t>Earnings management is the alteration of reported economic performance by insiders to mislead some stakeholders or to influence contractual outcomes</w:t>
      </w:r>
      <w:r w:rsidRPr="003E7C8B">
        <w:rPr>
          <w:lang w:val="en-US"/>
        </w:rPr>
        <w:t>. In this sense Burgstahler and Dichev (1997)</w:t>
      </w:r>
      <w:r w:rsidRPr="003E7C8B">
        <w:rPr>
          <w:b/>
          <w:lang w:val="en-US"/>
        </w:rPr>
        <w:t xml:space="preserve"> </w:t>
      </w:r>
      <w:r w:rsidRPr="003E7C8B">
        <w:rPr>
          <w:lang w:val="en-US"/>
        </w:rPr>
        <w:t>provide extensive systematic evidence about whether (how and why) firms avoid earnings decreases and losses. The authors find evidence that both cash flow from operations and changes in working capital have been manipulated in order to increase earnings. The reasoning behind this apparent earnings management has two explanations. Firstly, managers opportunistically avoid reporting earnings decreases and losses to decrease the cost imposed in transactions with stakeholders. The second explanation is derived from the prospect theory (Kahneman and Tversky 1979) which states that the largest gain in utility (hence the largest incentive to manage earnings) occurs when moving from a relative or absolute loss to a gain. Burgstahler and Dichev (1997)</w:t>
      </w:r>
      <w:r w:rsidRPr="003E7C8B">
        <w:rPr>
          <w:b/>
          <w:lang w:val="en-US"/>
        </w:rPr>
        <w:t xml:space="preserve"> </w:t>
      </w:r>
      <w:r w:rsidRPr="003E7C8B">
        <w:rPr>
          <w:lang w:val="en-US"/>
        </w:rPr>
        <w:t xml:space="preserve">provide empirical evidence that earnings losses and decreases are often managed away. In fact, 8% to 12% of firms with small pre-managed earnings </w:t>
      </w:r>
      <w:r w:rsidRPr="00F531F2">
        <w:rPr>
          <w:i/>
          <w:lang w:val="en-US"/>
        </w:rPr>
        <w:t>decreases</w:t>
      </w:r>
      <w:r w:rsidRPr="003E7C8B">
        <w:rPr>
          <w:lang w:val="en-US"/>
        </w:rPr>
        <w:t xml:space="preserve"> exercise discretion in reporting earnings </w:t>
      </w:r>
      <w:r w:rsidRPr="00F531F2">
        <w:rPr>
          <w:i/>
          <w:lang w:val="en-US"/>
        </w:rPr>
        <w:t>increases</w:t>
      </w:r>
      <w:r w:rsidRPr="003E7C8B">
        <w:rPr>
          <w:lang w:val="en-US"/>
        </w:rPr>
        <w:t xml:space="preserve">. Also, 30% to 44% of firms with slightly negative pre-managed earnings use discretion in order to report positive earnings. </w:t>
      </w:r>
    </w:p>
    <w:p w:rsidR="00334F38" w:rsidRDefault="00334F38" w:rsidP="009A0D63">
      <w:pPr>
        <w:spacing w:line="360" w:lineRule="auto"/>
        <w:jc w:val="both"/>
        <w:rPr>
          <w:lang w:val="en-US"/>
        </w:rPr>
      </w:pPr>
    </w:p>
    <w:p w:rsidR="00334F38" w:rsidRDefault="00334F38" w:rsidP="009A0D63">
      <w:pPr>
        <w:spacing w:line="360" w:lineRule="auto"/>
        <w:jc w:val="both"/>
        <w:rPr>
          <w:i/>
          <w:lang w:val="en-US"/>
        </w:rPr>
      </w:pPr>
      <w:r w:rsidRPr="00FA12EF">
        <w:rPr>
          <w:i/>
          <w:lang w:val="en-US"/>
        </w:rPr>
        <w:t>2.1.1. How earnings are managed</w:t>
      </w:r>
      <w:r>
        <w:rPr>
          <w:i/>
          <w:lang w:val="en-US"/>
        </w:rPr>
        <w:fldChar w:fldCharType="begin"/>
      </w:r>
      <w:r w:rsidRPr="00436804">
        <w:rPr>
          <w:lang w:val="en-US"/>
        </w:rPr>
        <w:instrText>tc "</w:instrText>
      </w:r>
      <w:bookmarkStart w:id="13" w:name="_Toc258079415"/>
      <w:r w:rsidRPr="00B74842">
        <w:rPr>
          <w:i/>
          <w:lang w:val="en-US"/>
        </w:rPr>
        <w:instrText>2.1.1. How earnings are managed</w:instrText>
      </w:r>
      <w:bookmarkEnd w:id="13"/>
      <w:r w:rsidRPr="00436804">
        <w:rPr>
          <w:lang w:val="en-US"/>
        </w:rPr>
        <w:instrText>" \f C \l 3</w:instrText>
      </w:r>
      <w:r>
        <w:rPr>
          <w:i/>
          <w:lang w:val="en-US"/>
        </w:rPr>
        <w:fldChar w:fldCharType="end"/>
      </w:r>
    </w:p>
    <w:p w:rsidR="00334F38" w:rsidRDefault="00334F38" w:rsidP="009A0D63">
      <w:pPr>
        <w:spacing w:line="360" w:lineRule="auto"/>
        <w:jc w:val="both"/>
        <w:rPr>
          <w:lang w:val="en-US"/>
        </w:rPr>
      </w:pPr>
      <w:r>
        <w:rPr>
          <w:lang w:val="en-US"/>
        </w:rPr>
        <w:t>This ‘how’ section includes many variations to manage earnings. All though the main scope of this thesis is not the reveal all methods, it is certainly relevant to include the most notable of variations; Earnings are known to be managed through the following:</w:t>
      </w:r>
    </w:p>
    <w:p w:rsidR="00334F38" w:rsidRDefault="00334F38" w:rsidP="009E73C8">
      <w:pPr>
        <w:pStyle w:val="ListParagraph"/>
        <w:numPr>
          <w:ilvl w:val="0"/>
          <w:numId w:val="10"/>
        </w:numPr>
        <w:spacing w:line="360" w:lineRule="auto"/>
        <w:jc w:val="both"/>
        <w:rPr>
          <w:lang w:val="en-US"/>
        </w:rPr>
      </w:pPr>
      <w:r>
        <w:rPr>
          <w:lang w:val="en-US"/>
        </w:rPr>
        <w:t>A choice from treatments that are accepted under GAAP, such as LIFO versus FIFO for inventory valuation (Hughes, Schwartz, and Fellingham, 1988)</w:t>
      </w:r>
    </w:p>
    <w:p w:rsidR="00334F38" w:rsidRDefault="00334F38" w:rsidP="009E73C8">
      <w:pPr>
        <w:pStyle w:val="ListParagraph"/>
        <w:numPr>
          <w:ilvl w:val="0"/>
          <w:numId w:val="10"/>
        </w:numPr>
        <w:spacing w:line="360" w:lineRule="auto"/>
        <w:jc w:val="both"/>
        <w:rPr>
          <w:lang w:val="en-US"/>
        </w:rPr>
      </w:pPr>
      <w:r>
        <w:rPr>
          <w:lang w:val="en-US"/>
        </w:rPr>
        <w:t>A decision on the timing of the adoption of a new standard or whether to write the transition effect of the new standard on the income statement or as a retroactive adjustment to stockholders’ equity on the balance sheet (Balsam, Haw, and Lilien, 1995)</w:t>
      </w:r>
    </w:p>
    <w:p w:rsidR="00334F38" w:rsidRDefault="00334F38" w:rsidP="009E73C8">
      <w:pPr>
        <w:pStyle w:val="ListParagraph"/>
        <w:numPr>
          <w:ilvl w:val="0"/>
          <w:numId w:val="10"/>
        </w:numPr>
        <w:spacing w:line="360" w:lineRule="auto"/>
        <w:jc w:val="both"/>
        <w:rPr>
          <w:lang w:val="en-US"/>
        </w:rPr>
      </w:pPr>
      <w:r>
        <w:rPr>
          <w:lang w:val="en-US"/>
        </w:rPr>
        <w:t>A point of view when GAAP requires estimates, such as asset valuation (Easton, Eddy and Harris, 1993), asset write offs (Strong &amp; Meyer, 1987) and the allowance for bad debt (McNichols &amp; Wilson, 1988)</w:t>
      </w:r>
    </w:p>
    <w:p w:rsidR="00334F38" w:rsidRDefault="00334F38" w:rsidP="009E73C8">
      <w:pPr>
        <w:pStyle w:val="ListParagraph"/>
        <w:numPr>
          <w:ilvl w:val="0"/>
          <w:numId w:val="10"/>
        </w:numPr>
        <w:spacing w:line="360" w:lineRule="auto"/>
        <w:jc w:val="both"/>
        <w:rPr>
          <w:lang w:val="en-US"/>
        </w:rPr>
      </w:pPr>
      <w:r>
        <w:rPr>
          <w:lang w:val="en-US"/>
        </w:rPr>
        <w:t>Classifying items as above or below the line of earnings from continuing operations in order to separate persistent earnings from transitory ones (e.g., Godfrey and Jones, 1999)</w:t>
      </w:r>
    </w:p>
    <w:p w:rsidR="00334F38" w:rsidRDefault="00334F38" w:rsidP="009E73C8">
      <w:pPr>
        <w:pStyle w:val="ListParagraph"/>
        <w:numPr>
          <w:ilvl w:val="0"/>
          <w:numId w:val="10"/>
        </w:numPr>
        <w:spacing w:line="360" w:lineRule="auto"/>
        <w:jc w:val="both"/>
        <w:rPr>
          <w:lang w:val="en-US"/>
        </w:rPr>
      </w:pPr>
      <w:r>
        <w:rPr>
          <w:lang w:val="en-US"/>
        </w:rPr>
        <w:t>Timing the recognition of expenses and revenues through for example, timing the sales of certain assets in order to smooth earnings (Bartov, 1993) and concluding whether or not to capitalize expenses, such as brand name costs (Muller, 1999)</w:t>
      </w:r>
    </w:p>
    <w:p w:rsidR="00334F38" w:rsidRDefault="00334F38" w:rsidP="009E73C8">
      <w:pPr>
        <w:pStyle w:val="ListParagraph"/>
        <w:numPr>
          <w:ilvl w:val="0"/>
          <w:numId w:val="10"/>
        </w:numPr>
        <w:spacing w:line="360" w:lineRule="auto"/>
        <w:jc w:val="both"/>
        <w:rPr>
          <w:lang w:val="en-US"/>
        </w:rPr>
      </w:pPr>
      <w:r>
        <w:rPr>
          <w:lang w:val="en-US"/>
        </w:rPr>
        <w:t>By making production and investment decisions, such as reducing R&amp;D expenditures (Baber, Fairfield, and Hagard, 1991) or manipulating selling and administrative expenses (Gunny, 2005)</w:t>
      </w:r>
    </w:p>
    <w:p w:rsidR="00334F38" w:rsidRDefault="00334F38" w:rsidP="00EF38A5">
      <w:pPr>
        <w:spacing w:line="360" w:lineRule="auto"/>
        <w:jc w:val="both"/>
        <w:rPr>
          <w:lang w:val="en-US"/>
        </w:rPr>
      </w:pPr>
    </w:p>
    <w:p w:rsidR="00334F38" w:rsidRDefault="00334F38" w:rsidP="00EF38A5">
      <w:pPr>
        <w:spacing w:line="360" w:lineRule="auto"/>
        <w:jc w:val="both"/>
        <w:rPr>
          <w:lang w:val="en-US"/>
        </w:rPr>
      </w:pPr>
      <w:r>
        <w:rPr>
          <w:lang w:val="en-US"/>
        </w:rPr>
        <w:t xml:space="preserve">It should however be noted that evidence gained by an examination of restatements and of enforcements cases of the Security and Exchange Commission (Dechow, Sloan, and Sweeney, 1996) suggest </w:t>
      </w:r>
      <w:r w:rsidRPr="00E33339">
        <w:rPr>
          <w:i/>
          <w:lang w:val="en-US"/>
        </w:rPr>
        <w:t>revenue recognition</w:t>
      </w:r>
      <w:r>
        <w:rPr>
          <w:lang w:val="en-US"/>
        </w:rPr>
        <w:t xml:space="preserve"> as the largest single account subjected to earnings management. Coffee (2005, p.10), for example, reports that in the SEC study of all its enforcements proceedings over the 1997-2002 periods more than half (126 out of 227 matters) were deemed to entail improper revenue recognition. </w:t>
      </w:r>
    </w:p>
    <w:p w:rsidR="00334F38" w:rsidRDefault="00334F38" w:rsidP="00EF38A5">
      <w:pPr>
        <w:spacing w:line="360" w:lineRule="auto"/>
        <w:jc w:val="both"/>
        <w:rPr>
          <w:lang w:val="en-US"/>
        </w:rPr>
      </w:pPr>
      <w:r>
        <w:rPr>
          <w:lang w:val="en-US"/>
        </w:rPr>
        <w:t>Revenues are generally managed (to inflate earnings) using (amongst others) the following approaches:</w:t>
      </w:r>
    </w:p>
    <w:p w:rsidR="00334F38" w:rsidRDefault="00334F38" w:rsidP="00362AEE">
      <w:pPr>
        <w:pStyle w:val="ListParagraph"/>
        <w:numPr>
          <w:ilvl w:val="0"/>
          <w:numId w:val="11"/>
        </w:numPr>
        <w:spacing w:line="360" w:lineRule="auto"/>
        <w:jc w:val="both"/>
        <w:rPr>
          <w:lang w:val="en-US"/>
        </w:rPr>
      </w:pPr>
      <w:r w:rsidRPr="00B0474A">
        <w:rPr>
          <w:lang w:val="en-US"/>
        </w:rPr>
        <w:t xml:space="preserve">Channel stuffing; this is an example of rearranging transactions. </w:t>
      </w:r>
      <w:r>
        <w:rPr>
          <w:lang w:val="en-US"/>
        </w:rPr>
        <w:t xml:space="preserve">The company inflates its sales and earnings (accounts receivables) figures by consciously sending retailers more merchandise then they are able to sell to the public market. These inflated figures are usually very short lived as retailers generally send the excess items back to the distributor (who must in turn re-adjust its accounts receivables). </w:t>
      </w:r>
    </w:p>
    <w:p w:rsidR="00334F38" w:rsidRDefault="00334F38" w:rsidP="00362AEE">
      <w:pPr>
        <w:pStyle w:val="ListParagraph"/>
        <w:numPr>
          <w:ilvl w:val="0"/>
          <w:numId w:val="11"/>
        </w:numPr>
        <w:spacing w:line="360" w:lineRule="auto"/>
        <w:jc w:val="both"/>
        <w:rPr>
          <w:lang w:val="en-US"/>
        </w:rPr>
      </w:pPr>
      <w:r>
        <w:rPr>
          <w:lang w:val="en-US"/>
        </w:rPr>
        <w:t xml:space="preserve">Bill-and-hold transactions; these transactions allow a company to bill the customer on the same day the transaction occurs, whilst delivering the goods on a later date. Bill-and-hold transactions can be considered mere virtual transactions as nothing much happens besides the recording of a bill of sale. By allowing the seller to receive payments now, but making them wait a certain period before transferring, the finished goods could be used to inflate revenues meant for forthcoming quarters. </w:t>
      </w:r>
    </w:p>
    <w:p w:rsidR="00334F38" w:rsidRPr="00B014C7" w:rsidRDefault="00334F38" w:rsidP="00725FDF">
      <w:pPr>
        <w:pStyle w:val="Heading3"/>
        <w:rPr>
          <w:lang w:val="en-US"/>
        </w:rPr>
      </w:pPr>
      <w:bookmarkStart w:id="14" w:name="_Toc223368927"/>
      <w:bookmarkStart w:id="15" w:name="_Toc258079416"/>
      <w:bookmarkStart w:id="16" w:name="_Toc223368926"/>
      <w:r>
        <w:rPr>
          <w:lang w:val="en-US"/>
        </w:rPr>
        <w:t>2.1.2.</w:t>
      </w:r>
      <w:r w:rsidRPr="00B014C7">
        <w:rPr>
          <w:lang w:val="en-US"/>
        </w:rPr>
        <w:t xml:space="preserve"> The Agency Theory</w:t>
      </w:r>
      <w:bookmarkEnd w:id="14"/>
      <w:bookmarkEnd w:id="15"/>
      <w:r>
        <w:rPr>
          <w:lang w:val="en-US"/>
        </w:rPr>
        <w:fldChar w:fldCharType="begin"/>
      </w:r>
      <w:r w:rsidRPr="00436804">
        <w:rPr>
          <w:lang w:val="en-US"/>
        </w:rPr>
        <w:instrText>tc "</w:instrText>
      </w:r>
      <w:bookmarkStart w:id="17" w:name="_Toc258079417"/>
      <w:r w:rsidRPr="00B74842">
        <w:rPr>
          <w:lang w:val="en-US"/>
        </w:rPr>
        <w:instrText>2.1.2. The Agency Theory</w:instrText>
      </w:r>
      <w:bookmarkEnd w:id="17"/>
      <w:r w:rsidRPr="00436804">
        <w:rPr>
          <w:lang w:val="en-US"/>
        </w:rPr>
        <w:instrText>" \f C \l 3</w:instrText>
      </w:r>
      <w:r>
        <w:rPr>
          <w:lang w:val="en-US"/>
        </w:rPr>
        <w:fldChar w:fldCharType="end"/>
      </w:r>
    </w:p>
    <w:p w:rsidR="00334F38" w:rsidRDefault="00334F38" w:rsidP="00725FDF">
      <w:pPr>
        <w:spacing w:line="360" w:lineRule="auto"/>
        <w:jc w:val="both"/>
        <w:rPr>
          <w:lang w:val="en-US"/>
        </w:rPr>
      </w:pPr>
      <w:r>
        <w:rPr>
          <w:lang w:val="en-US"/>
        </w:rPr>
        <w:t xml:space="preserve">A key subject related to insider’s incentive to manage earnings can be found in the principal-agent relationship depicted in the </w:t>
      </w:r>
      <w:r w:rsidRPr="003F10C2">
        <w:rPr>
          <w:i/>
          <w:lang w:val="en-US"/>
        </w:rPr>
        <w:t>agency theory</w:t>
      </w:r>
      <w:r>
        <w:rPr>
          <w:lang w:val="en-US"/>
        </w:rPr>
        <w:t xml:space="preserve">. This theory is a relationship, in which one party (the principal) assigns work to another (agent), who executes that work (Eisenhardt 1989). A problem arises due to a twofold of reasons: (i) the agent and principal have divergent goals and risk preferences and (ii) it is very difficult for the principal to determine whether the agent has performed appropriately. The principal-agent relationship can be governed by means of an efficient contract. In this light we can separate the contracts between behavior-oriented (e.g. hourly wage) and outcome-oriented (stock options, commissions) contracts. Jensen and Meckling (1976) find that when the contract between the agent and the principal is of the ‘outcome’ variety, the agent is more likely to act in the interest of the principal. This might suggest that executives would have less incentive to manage earnings when their contracts are outcome-oriented. </w:t>
      </w:r>
    </w:p>
    <w:p w:rsidR="00334F38" w:rsidRDefault="00334F38" w:rsidP="00725FDF">
      <w:pPr>
        <w:spacing w:line="360" w:lineRule="auto"/>
        <w:jc w:val="both"/>
        <w:rPr>
          <w:lang w:val="en-US"/>
        </w:rPr>
      </w:pPr>
    </w:p>
    <w:p w:rsidR="00334F38" w:rsidRDefault="00334F38" w:rsidP="00725FDF">
      <w:pPr>
        <w:spacing w:line="360" w:lineRule="auto"/>
        <w:jc w:val="both"/>
        <w:rPr>
          <w:lang w:val="en-US"/>
        </w:rPr>
      </w:pPr>
      <w:r>
        <w:rPr>
          <w:lang w:val="en-US"/>
        </w:rPr>
        <w:t xml:space="preserve">Another measure to control for management opportunism relies on the information systems. Since information systems advise the principal about what the agent is actually doing, the agent realizes that the principal cannot be deceived. In this line Fama and Jensen (1983) suggest that the information role that board of directors play can have a significant impact on controlling for managerial behavior. In other words, when the board of directors can verify managerial behavior, management is more likely to behave in the interest of the board. Therefore it is safe to assume that companies that invest in their information systems (effective board of directors, strong reporting procedures), reveal the agent’s behavior and in turn decrease management’s incentive for opportunism. </w:t>
      </w:r>
    </w:p>
    <w:p w:rsidR="00334F38" w:rsidRPr="00310A06" w:rsidRDefault="00334F38" w:rsidP="00725FDF">
      <w:pPr>
        <w:pStyle w:val="Heading3"/>
        <w:rPr>
          <w:i w:val="0"/>
          <w:lang w:val="en-US"/>
        </w:rPr>
      </w:pPr>
      <w:bookmarkStart w:id="18" w:name="_Toc258079418"/>
      <w:r w:rsidRPr="00310A06">
        <w:rPr>
          <w:i w:val="0"/>
          <w:lang w:val="en-US"/>
        </w:rPr>
        <w:t>A last adage to consid</w:t>
      </w:r>
      <w:r>
        <w:rPr>
          <w:i w:val="0"/>
          <w:lang w:val="en-US"/>
        </w:rPr>
        <w:t xml:space="preserve">er is that </w:t>
      </w:r>
      <w:r w:rsidRPr="00310A06">
        <w:rPr>
          <w:i w:val="0"/>
          <w:lang w:val="en-US"/>
        </w:rPr>
        <w:t>the information system is affected by the type of task that the agent is responsible for. It is much harder for the principal to monitor the agent’s behavior if its task lacks programmability (Eisenhardt, 1985, 1988). In her research Eisenhardt defines programmability as the degree to which appropriate behavior by the agent can be specified in advance. For example, the job of a truck driver is much more programmed than that of a CEO. Therefore it will be significantly more difficult for the principal to monitor the CEOs behavior in comparison with that of the truck driver.</w:t>
      </w:r>
      <w:bookmarkEnd w:id="18"/>
      <w:r w:rsidRPr="00310A06">
        <w:rPr>
          <w:i w:val="0"/>
          <w:lang w:val="en-US"/>
        </w:rPr>
        <w:t xml:space="preserve"> </w:t>
      </w:r>
    </w:p>
    <w:p w:rsidR="00334F38" w:rsidRDefault="00334F38" w:rsidP="00725FDF">
      <w:pPr>
        <w:pStyle w:val="Heading3"/>
        <w:rPr>
          <w:lang w:val="en-US"/>
        </w:rPr>
      </w:pPr>
    </w:p>
    <w:p w:rsidR="00334F38" w:rsidRPr="00532D4C" w:rsidRDefault="00334F38" w:rsidP="00725FDF">
      <w:pPr>
        <w:pStyle w:val="Heading3"/>
        <w:rPr>
          <w:lang w:val="en-US"/>
        </w:rPr>
      </w:pPr>
      <w:bookmarkStart w:id="19" w:name="_Toc258079419"/>
      <w:r>
        <w:rPr>
          <w:lang w:val="en-US"/>
        </w:rPr>
        <w:t>2.1.3</w:t>
      </w:r>
      <w:r w:rsidRPr="00395ABD">
        <w:rPr>
          <w:lang w:val="en-US"/>
        </w:rPr>
        <w:t xml:space="preserve">. </w:t>
      </w:r>
      <w:r w:rsidRPr="00532D4C">
        <w:rPr>
          <w:lang w:val="en-US"/>
        </w:rPr>
        <w:t>Corporate Governance Mechanisms</w:t>
      </w:r>
      <w:bookmarkEnd w:id="16"/>
      <w:bookmarkEnd w:id="19"/>
      <w:r>
        <w:rPr>
          <w:lang w:val="en-US"/>
        </w:rPr>
        <w:fldChar w:fldCharType="begin"/>
      </w:r>
      <w:r w:rsidRPr="00436804">
        <w:rPr>
          <w:lang w:val="en-US"/>
        </w:rPr>
        <w:instrText>tc "</w:instrText>
      </w:r>
      <w:bookmarkStart w:id="20" w:name="_Toc258079420"/>
      <w:r w:rsidRPr="00B74842">
        <w:rPr>
          <w:lang w:val="en-US"/>
        </w:rPr>
        <w:instrText>2.1.3. Corporate Governance Mechanisms</w:instrText>
      </w:r>
      <w:bookmarkEnd w:id="20"/>
      <w:r w:rsidRPr="00436804">
        <w:rPr>
          <w:lang w:val="en-US"/>
        </w:rPr>
        <w:instrText>" \f C \l 3</w:instrText>
      </w:r>
      <w:r>
        <w:rPr>
          <w:lang w:val="en-US"/>
        </w:rPr>
        <w:fldChar w:fldCharType="end"/>
      </w:r>
      <w:r w:rsidRPr="00532D4C">
        <w:rPr>
          <w:lang w:val="en-US"/>
        </w:rPr>
        <w:t xml:space="preserve"> </w:t>
      </w:r>
    </w:p>
    <w:p w:rsidR="00334F38" w:rsidRDefault="00334F38" w:rsidP="006E6BA5">
      <w:pPr>
        <w:spacing w:line="360" w:lineRule="auto"/>
        <w:jc w:val="both"/>
        <w:rPr>
          <w:lang w:val="en-US"/>
        </w:rPr>
      </w:pPr>
      <w:r w:rsidRPr="003E7C8B">
        <w:rPr>
          <w:lang w:val="en-US"/>
        </w:rPr>
        <w:t>There are a number o</w:t>
      </w:r>
      <w:r>
        <w:rPr>
          <w:lang w:val="en-US"/>
        </w:rPr>
        <w:t>f factors that influence insiders’</w:t>
      </w:r>
      <w:r w:rsidRPr="003E7C8B">
        <w:rPr>
          <w:lang w:val="en-US"/>
        </w:rPr>
        <w:t xml:space="preserve"> incentives pertaining to earnings management. The influence of different co</w:t>
      </w:r>
      <w:r>
        <w:rPr>
          <w:lang w:val="en-US"/>
        </w:rPr>
        <w:t>rporate governance mechanisms can be considered as</w:t>
      </w:r>
      <w:r w:rsidRPr="003E7C8B">
        <w:rPr>
          <w:lang w:val="en-US"/>
        </w:rPr>
        <w:t xml:space="preserve"> one of these factors. Yu (2006)</w:t>
      </w:r>
      <w:r w:rsidRPr="003E7C8B">
        <w:rPr>
          <w:b/>
          <w:lang w:val="en-US"/>
        </w:rPr>
        <w:t xml:space="preserve"> </w:t>
      </w:r>
      <w:r w:rsidRPr="003E7C8B">
        <w:rPr>
          <w:lang w:val="en-US"/>
        </w:rPr>
        <w:t xml:space="preserve">examines two categories of governance devices, one being internal (board structure and ownership concentration) and the other external (takeover pressure and institutional ownership) in nature. The general consensus for internal governance devices is that large shareholders play a more active role in monitoring and disciplining managers than small shareholders. The type of board structure is also believed to effect firm performance in that a small and independent board is more effective at making prompt decisions and outside directors tend to be better monitors of management. On the other hand institutional investors (external governance devices) have stronger incentives to discipline managers than smaller investors. </w:t>
      </w:r>
    </w:p>
    <w:p w:rsidR="00334F38" w:rsidRDefault="00334F38" w:rsidP="006E6BA5">
      <w:pPr>
        <w:spacing w:line="360" w:lineRule="auto"/>
        <w:jc w:val="both"/>
        <w:rPr>
          <w:lang w:val="en-US"/>
        </w:rPr>
      </w:pPr>
      <w:r w:rsidRPr="003E7C8B">
        <w:rPr>
          <w:lang w:val="en-US"/>
        </w:rPr>
        <w:t xml:space="preserve">The pressure of corporate takeovers is also a powerful form of governance to discipline managers. However the understanding on the effectiveness of these </w:t>
      </w:r>
      <w:r w:rsidRPr="00420D39">
        <w:rPr>
          <w:i/>
          <w:lang w:val="en-US"/>
        </w:rPr>
        <w:t>corporate governance devices</w:t>
      </w:r>
      <w:r w:rsidRPr="003E7C8B">
        <w:rPr>
          <w:lang w:val="en-US"/>
        </w:rPr>
        <w:t xml:space="preserve"> on earnings management is still limited.</w:t>
      </w:r>
    </w:p>
    <w:p w:rsidR="00334F38" w:rsidRDefault="00334F38" w:rsidP="006E6BA5">
      <w:pPr>
        <w:spacing w:line="360" w:lineRule="auto"/>
        <w:jc w:val="both"/>
        <w:rPr>
          <w:lang w:val="en-US"/>
        </w:rPr>
      </w:pPr>
      <w:r>
        <w:rPr>
          <w:lang w:val="en-US"/>
        </w:rPr>
        <w:t>Y</w:t>
      </w:r>
      <w:r w:rsidRPr="003E7C8B">
        <w:rPr>
          <w:lang w:val="en-US"/>
        </w:rPr>
        <w:t>u</w:t>
      </w:r>
      <w:r>
        <w:rPr>
          <w:lang w:val="en-US"/>
        </w:rPr>
        <w:t xml:space="preserve"> </w:t>
      </w:r>
      <w:r w:rsidRPr="003E7C8B">
        <w:rPr>
          <w:lang w:val="en-US"/>
        </w:rPr>
        <w:t>(2006) attempts to find a relationship between the two</w:t>
      </w:r>
      <w:r>
        <w:rPr>
          <w:lang w:val="en-US"/>
        </w:rPr>
        <w:t xml:space="preserve"> </w:t>
      </w:r>
      <w:r w:rsidRPr="003E7C8B">
        <w:rPr>
          <w:lang w:val="en-US"/>
        </w:rPr>
        <w:t>using accruals</w:t>
      </w:r>
      <w:r>
        <w:rPr>
          <w:lang w:val="en-US"/>
        </w:rPr>
        <w:t xml:space="preserve"> </w:t>
      </w:r>
      <w:r w:rsidRPr="003E7C8B">
        <w:rPr>
          <w:lang w:val="en-US"/>
        </w:rPr>
        <w:t>(accounting adjustments)</w:t>
      </w:r>
      <w:r>
        <w:rPr>
          <w:lang w:val="en-US"/>
        </w:rPr>
        <w:t>, b</w:t>
      </w:r>
      <w:r w:rsidRPr="003E7C8B">
        <w:rPr>
          <w:lang w:val="en-US"/>
        </w:rPr>
        <w:t>ut not all accruals are the result of earnings manipulation. They can be split into discretionary</w:t>
      </w:r>
      <w:r w:rsidRPr="003E7C8B">
        <w:rPr>
          <w:rStyle w:val="FootnoteReference"/>
          <w:lang w:val="en-US"/>
        </w:rPr>
        <w:footnoteReference w:id="7"/>
      </w:r>
      <w:r w:rsidRPr="003E7C8B">
        <w:rPr>
          <w:lang w:val="en-US"/>
        </w:rPr>
        <w:t xml:space="preserve"> (DA) -and non-discretionary</w:t>
      </w:r>
      <w:r w:rsidRPr="003E7C8B">
        <w:rPr>
          <w:rStyle w:val="FootnoteReference"/>
          <w:lang w:val="en-US"/>
        </w:rPr>
        <w:footnoteReference w:id="8"/>
      </w:r>
      <w:r w:rsidRPr="003E7C8B">
        <w:rPr>
          <w:lang w:val="en-US"/>
        </w:rPr>
        <w:t xml:space="preserve"> accruals (NDA). A number of studies have used DA’s as a proxy for earnings management. Yu (2006) concludes that firms with a significantly high level of internal governance (e.g. higher ownership concentration and smaller boards) manage earnings more, while firms with a higher level of external governance (e.g. higher institutional holdings and higher takeover pressure) manage earnings less. These results demonstrate that EM is mainly driven by conflict between insiders and outsiders</w:t>
      </w:r>
      <w:r>
        <w:rPr>
          <w:lang w:val="en-US"/>
        </w:rPr>
        <w:t xml:space="preserve">. April Klein (2002) lays claim to these findings by researching the relation between the composition of the board or audit committee and apparent signs of EM. The primary function of the audit committee is to oversee the firm’s financial reporting process to prevent fraudulent accounting statements. It does so by meeting regularly with the firm’s outside auditors and internal financial managers to review the business firm’s financial statements, internal accounting controls and audit process. Klein finds a negative association between audit committee or board independence and abnormal accruals. Most notably, strong results are found when either the audit committee or the board has less than a majority of independent directors. Thereby, suggesting that boards tailored to be more independent of the CEO are more effective in monitoring the corporate financial accounting process. </w:t>
      </w:r>
    </w:p>
    <w:p w:rsidR="00334F38" w:rsidRDefault="00334F38" w:rsidP="00B014C7">
      <w:pPr>
        <w:spacing w:line="360" w:lineRule="auto"/>
        <w:rPr>
          <w:lang w:val="en-US"/>
        </w:rPr>
      </w:pPr>
    </w:p>
    <w:p w:rsidR="00334F38" w:rsidRDefault="00334F38" w:rsidP="00725FDF">
      <w:pPr>
        <w:spacing w:line="360" w:lineRule="auto"/>
        <w:jc w:val="both"/>
        <w:rPr>
          <w:lang w:val="en-US"/>
        </w:rPr>
      </w:pPr>
    </w:p>
    <w:p w:rsidR="00334F38" w:rsidRPr="00725FDF" w:rsidRDefault="00334F38" w:rsidP="00725FDF">
      <w:pPr>
        <w:spacing w:line="360" w:lineRule="auto"/>
        <w:jc w:val="both"/>
        <w:rPr>
          <w:i/>
          <w:lang w:val="en-US"/>
        </w:rPr>
      </w:pPr>
      <w:r>
        <w:rPr>
          <w:lang w:val="en-US"/>
        </w:rPr>
        <w:t xml:space="preserve"> </w:t>
      </w:r>
      <w:bookmarkStart w:id="21" w:name="_Toc223368928"/>
      <w:r w:rsidRPr="00725FDF">
        <w:rPr>
          <w:i/>
          <w:lang w:val="en-US"/>
        </w:rPr>
        <w:t>2.1.4. Investor protection</w:t>
      </w:r>
      <w:bookmarkEnd w:id="21"/>
      <w:r>
        <w:rPr>
          <w:i/>
          <w:lang w:val="en-US"/>
        </w:rPr>
        <w:fldChar w:fldCharType="begin"/>
      </w:r>
      <w:r w:rsidRPr="00436804">
        <w:rPr>
          <w:lang w:val="en-US"/>
        </w:rPr>
        <w:instrText>tc "</w:instrText>
      </w:r>
      <w:bookmarkStart w:id="22" w:name="_Toc258079421"/>
      <w:r w:rsidRPr="00B74842">
        <w:rPr>
          <w:i/>
          <w:lang w:val="en-US"/>
        </w:rPr>
        <w:instrText>2.1.4. Investor protection</w:instrText>
      </w:r>
      <w:bookmarkEnd w:id="22"/>
      <w:r w:rsidRPr="00436804">
        <w:rPr>
          <w:lang w:val="en-US"/>
        </w:rPr>
        <w:instrText>" \f C \l 3</w:instrText>
      </w:r>
      <w:r>
        <w:rPr>
          <w:i/>
          <w:lang w:val="en-US"/>
        </w:rPr>
        <w:fldChar w:fldCharType="end"/>
      </w:r>
    </w:p>
    <w:p w:rsidR="00334F38" w:rsidRDefault="00334F38" w:rsidP="00BB6C2C">
      <w:pPr>
        <w:spacing w:line="360" w:lineRule="auto"/>
        <w:jc w:val="both"/>
        <w:rPr>
          <w:lang w:val="en-US"/>
        </w:rPr>
      </w:pPr>
      <w:r w:rsidRPr="003E7C8B">
        <w:rPr>
          <w:lang w:val="en-US"/>
        </w:rPr>
        <w:t xml:space="preserve">While touching on the possible effects of the different corporate governance mechanisms on earnings management, </w:t>
      </w:r>
      <w:r>
        <w:rPr>
          <w:lang w:val="en-US"/>
        </w:rPr>
        <w:t>we mustn’t forget t</w:t>
      </w:r>
      <w:r w:rsidRPr="003E7C8B">
        <w:rPr>
          <w:lang w:val="en-US"/>
        </w:rPr>
        <w:t>he presence of the protection of society from insiders (management or controlling owners), better known as; investor protection. It is well known that insiders conceal their private control benefits from outsiders (stakeholders) to prevent any disciplinary action against them (Zingales 1994; Shleifer and Vishny 1997). In this light, legal systems serve a purpose in protecting investors by conferring on the rights to discipline (e.g. replace managers), as well as by enforcing contracts designed to limit ins</w:t>
      </w:r>
      <w:r>
        <w:rPr>
          <w:lang w:val="en-US"/>
        </w:rPr>
        <w:t>ider’s</w:t>
      </w:r>
      <w:r w:rsidRPr="003E7C8B">
        <w:rPr>
          <w:lang w:val="en-US"/>
        </w:rPr>
        <w:t xml:space="preserve"> private control benefits.</w:t>
      </w:r>
    </w:p>
    <w:p w:rsidR="00334F38" w:rsidRPr="003E7C8B" w:rsidRDefault="00334F38" w:rsidP="00BB6C2C">
      <w:pPr>
        <w:spacing w:line="360" w:lineRule="auto"/>
        <w:jc w:val="both"/>
        <w:rPr>
          <w:lang w:val="en-US"/>
        </w:rPr>
      </w:pPr>
    </w:p>
    <w:p w:rsidR="00334F38" w:rsidRPr="003E7C8B" w:rsidRDefault="00334F38" w:rsidP="00BB6C2C">
      <w:pPr>
        <w:autoSpaceDE w:val="0"/>
        <w:autoSpaceDN w:val="0"/>
        <w:adjustRightInd w:val="0"/>
        <w:spacing w:line="360" w:lineRule="auto"/>
        <w:jc w:val="both"/>
        <w:rPr>
          <w:lang w:val="en-US"/>
        </w:rPr>
      </w:pPr>
      <w:r w:rsidRPr="003E7C8B">
        <w:rPr>
          <w:lang w:val="en-US"/>
        </w:rPr>
        <w:t xml:space="preserve">Relatively strong legal systems that protect outsiders result in a reduction of managers’ need to conceal their activities. Hence, Leuz et al. (2002) propose that earnings management is more pervasive in countries where the legal protection of outside investors is weak, because in these countries insiders enjoy greater private control benefits resulting in stronger incentives to obscure firm performance.  These firms are allocated into three different clusters based on their countries characteristics: (1) outsider economies consisting of large stock markets, strong investor rights, dispersed ownership, and strong legal enforcement (such as the United States or United Kingdom); (2) insider economies with less developed stock markets, weak investor rights, concentrated ownership but a strong legal enforcement (such as Sweden and Germany); and (3) insider economies with weak legal enforcement (such as India and Spain). </w:t>
      </w:r>
    </w:p>
    <w:p w:rsidR="00334F38" w:rsidRPr="003E7C8B" w:rsidRDefault="00334F38" w:rsidP="00BB6C2C">
      <w:pPr>
        <w:autoSpaceDE w:val="0"/>
        <w:autoSpaceDN w:val="0"/>
        <w:adjustRightInd w:val="0"/>
        <w:spacing w:line="360" w:lineRule="auto"/>
        <w:jc w:val="both"/>
        <w:rPr>
          <w:lang w:val="en-US"/>
        </w:rPr>
      </w:pPr>
      <w:r w:rsidRPr="003E7C8B">
        <w:rPr>
          <w:lang w:val="en-US"/>
        </w:rPr>
        <w:t xml:space="preserve">These clusters are derived from prior work in the field (e.g., La Porta, Lopez-de-Silanes, Shleifer and Vishny 1997; Ball, Kothari, and Robin, 2000). Leuz et al. (2002) find that outsider economies with a relatively dispersed ownership, strong investor protection and large stock markets exhibit lower levels of EM than insider economies with concentrated ownerships, weak investor protection and less developed stock markets. </w:t>
      </w:r>
    </w:p>
    <w:p w:rsidR="00334F38" w:rsidRPr="003E7C8B" w:rsidRDefault="00334F38" w:rsidP="009A0D63">
      <w:pPr>
        <w:autoSpaceDE w:val="0"/>
        <w:autoSpaceDN w:val="0"/>
        <w:adjustRightInd w:val="0"/>
        <w:spacing w:line="360" w:lineRule="auto"/>
        <w:rPr>
          <w:lang w:val="en-US"/>
        </w:rPr>
      </w:pPr>
    </w:p>
    <w:p w:rsidR="00334F38" w:rsidRPr="00534430" w:rsidRDefault="00334F38" w:rsidP="00EA75E7">
      <w:pPr>
        <w:pStyle w:val="Heading2"/>
        <w:rPr>
          <w:lang w:val="en-US"/>
        </w:rPr>
      </w:pPr>
      <w:bookmarkStart w:id="23" w:name="_Toc223368929"/>
      <w:bookmarkStart w:id="24" w:name="_Toc258079422"/>
      <w:r w:rsidRPr="00EA75E7">
        <w:rPr>
          <w:i/>
          <w:u w:val="none"/>
          <w:lang w:val="en-US"/>
        </w:rPr>
        <w:t>2.2. The effect of the Asi</w:t>
      </w:r>
      <w:r>
        <w:rPr>
          <w:i/>
          <w:u w:val="none"/>
          <w:lang w:val="en-US"/>
        </w:rPr>
        <w:t>an Financial Crisis of 1999 on Earnings M</w:t>
      </w:r>
      <w:r w:rsidRPr="00EA75E7">
        <w:rPr>
          <w:i/>
          <w:u w:val="none"/>
          <w:lang w:val="en-US"/>
        </w:rPr>
        <w:t>anagement</w:t>
      </w:r>
      <w:bookmarkEnd w:id="23"/>
      <w:bookmarkEnd w:id="24"/>
      <w:r>
        <w:rPr>
          <w:i/>
          <w:u w:val="none"/>
          <w:lang w:val="en-US"/>
        </w:rPr>
        <w:fldChar w:fldCharType="begin"/>
      </w:r>
      <w:r w:rsidRPr="004B1DBF">
        <w:rPr>
          <w:lang w:val="en-US"/>
        </w:rPr>
        <w:instrText>tc "</w:instrText>
      </w:r>
      <w:bookmarkStart w:id="25" w:name="_Toc258079423"/>
      <w:r w:rsidRPr="00B74842">
        <w:rPr>
          <w:i/>
          <w:u w:val="none"/>
          <w:lang w:val="en-US"/>
        </w:rPr>
        <w:instrText>2.2. The effect of the Asian Financial Crisis of 1999 on Earnings Management</w:instrText>
      </w:r>
      <w:bookmarkEnd w:id="25"/>
      <w:r w:rsidRPr="00436804">
        <w:rPr>
          <w:lang w:val="en-US"/>
        </w:rPr>
        <w:instrText>" \f C \l 2</w:instrText>
      </w:r>
      <w:r>
        <w:rPr>
          <w:i/>
          <w:u w:val="none"/>
          <w:lang w:val="en-US"/>
        </w:rPr>
        <w:fldChar w:fldCharType="end"/>
      </w:r>
    </w:p>
    <w:p w:rsidR="00334F38" w:rsidRDefault="00334F38" w:rsidP="009A0D63">
      <w:pPr>
        <w:autoSpaceDE w:val="0"/>
        <w:autoSpaceDN w:val="0"/>
        <w:adjustRightInd w:val="0"/>
        <w:spacing w:line="360" w:lineRule="auto"/>
        <w:jc w:val="both"/>
        <w:rPr>
          <w:lang w:val="en-US"/>
        </w:rPr>
      </w:pPr>
      <w:r w:rsidRPr="003E7C8B">
        <w:rPr>
          <w:lang w:val="en-US"/>
        </w:rPr>
        <w:t>In light of the recent financial crisis one might wonder what the effects of different economic environments are on the existence of earnings management. Chia et al. (2007) determine these effects by using the Asian financial crisis of 1999 as an example. Gilson and Vetsuypens (1993) propose that earnings management tends to decrease due to the fact that management’s incentive shift from maximizing their accounting-based bonuses to saving their companies to preserve their jobs. On the other hand, management might also have an incentive to manage earnings downwards to maximize financial support from the government as we have seen happen in the United States and Europe recently. Chia et al. (2007) use the modified version of the Jones cross-sectional model (1991) in detecting earnings management</w:t>
      </w:r>
      <w:r w:rsidRPr="003E7C8B">
        <w:rPr>
          <w:rStyle w:val="FootnoteReference"/>
          <w:lang w:val="en-US"/>
        </w:rPr>
        <w:footnoteReference w:id="9"/>
      </w:r>
      <w:r w:rsidRPr="003E7C8B">
        <w:rPr>
          <w:lang w:val="en-US"/>
        </w:rPr>
        <w:t>. This model for detecting earnings management will be explained in greater detail later in the chapter. Chia et al. (2007)</w:t>
      </w:r>
      <w:r w:rsidRPr="003E7C8B">
        <w:rPr>
          <w:b/>
          <w:lang w:val="en-US"/>
        </w:rPr>
        <w:t xml:space="preserve"> </w:t>
      </w:r>
      <w:r>
        <w:rPr>
          <w:lang w:val="en-US"/>
        </w:rPr>
        <w:t>find</w:t>
      </w:r>
      <w:r w:rsidRPr="003E7C8B">
        <w:rPr>
          <w:lang w:val="en-US"/>
        </w:rPr>
        <w:t xml:space="preserve"> evidence that there is a significant decrease in the use of </w:t>
      </w:r>
      <w:r>
        <w:rPr>
          <w:lang w:val="en-US"/>
        </w:rPr>
        <w:t xml:space="preserve">increased </w:t>
      </w:r>
      <w:r w:rsidRPr="003E7C8B">
        <w:rPr>
          <w:lang w:val="en-US"/>
        </w:rPr>
        <w:t>earnings management during a financial crisis. During the financial crisis, managers have expectations of temporary poor earnings. When faced with such a situation, the managers’ incentives would be to save their companies and preserve their jobs instead of attempting to maximize their accounting-based bonuses.</w:t>
      </w:r>
      <w:r>
        <w:rPr>
          <w:lang w:val="en-US"/>
        </w:rPr>
        <w:t xml:space="preserve"> However, since this thesis centers on earnings management tendencies with regards to incoming CEOs during 2008 the focus will lie more on the extent of decreased earnings management (big bath) which is explained further in Chapter Four. </w:t>
      </w:r>
    </w:p>
    <w:p w:rsidR="00334F38" w:rsidRDefault="00334F38" w:rsidP="009A0D63">
      <w:pPr>
        <w:autoSpaceDE w:val="0"/>
        <w:autoSpaceDN w:val="0"/>
        <w:adjustRightInd w:val="0"/>
        <w:spacing w:line="360" w:lineRule="auto"/>
        <w:jc w:val="both"/>
        <w:rPr>
          <w:lang w:val="en-US"/>
        </w:rPr>
      </w:pPr>
    </w:p>
    <w:p w:rsidR="00334F38" w:rsidRDefault="00334F38" w:rsidP="009A0D63">
      <w:pPr>
        <w:autoSpaceDE w:val="0"/>
        <w:autoSpaceDN w:val="0"/>
        <w:adjustRightInd w:val="0"/>
        <w:spacing w:line="360" w:lineRule="auto"/>
        <w:jc w:val="both"/>
        <w:rPr>
          <w:lang w:val="en-US"/>
        </w:rPr>
      </w:pPr>
    </w:p>
    <w:p w:rsidR="00334F38" w:rsidRDefault="00334F38" w:rsidP="009A0D63">
      <w:pPr>
        <w:autoSpaceDE w:val="0"/>
        <w:autoSpaceDN w:val="0"/>
        <w:adjustRightInd w:val="0"/>
        <w:spacing w:line="360" w:lineRule="auto"/>
        <w:jc w:val="both"/>
        <w:rPr>
          <w:lang w:val="en-US"/>
        </w:rPr>
      </w:pPr>
    </w:p>
    <w:p w:rsidR="00334F38" w:rsidRPr="009A0D63" w:rsidRDefault="00334F38" w:rsidP="009A0D63">
      <w:pPr>
        <w:autoSpaceDE w:val="0"/>
        <w:autoSpaceDN w:val="0"/>
        <w:adjustRightInd w:val="0"/>
        <w:spacing w:line="360" w:lineRule="auto"/>
        <w:jc w:val="both"/>
        <w:rPr>
          <w:lang w:val="en-US"/>
        </w:rPr>
      </w:pPr>
    </w:p>
    <w:p w:rsidR="00334F38" w:rsidRPr="00532D4C" w:rsidRDefault="00334F38" w:rsidP="009A0D63">
      <w:pPr>
        <w:pStyle w:val="Heading2"/>
        <w:rPr>
          <w:lang w:val="en-US"/>
        </w:rPr>
      </w:pPr>
    </w:p>
    <w:p w:rsidR="00334F38" w:rsidRDefault="00334F38" w:rsidP="009A0D63">
      <w:pPr>
        <w:pStyle w:val="Heading2"/>
        <w:rPr>
          <w:lang w:val="en-US"/>
        </w:rPr>
      </w:pPr>
    </w:p>
    <w:p w:rsidR="00334F38" w:rsidRDefault="00334F38" w:rsidP="009A0D63">
      <w:pPr>
        <w:pStyle w:val="Heading2"/>
        <w:rPr>
          <w:lang w:val="en-US"/>
        </w:rPr>
      </w:pPr>
    </w:p>
    <w:p w:rsidR="00334F38" w:rsidRDefault="00334F38" w:rsidP="009A0D63">
      <w:pPr>
        <w:pStyle w:val="Heading2"/>
        <w:rPr>
          <w:lang w:val="en-US"/>
        </w:rPr>
      </w:pPr>
    </w:p>
    <w:p w:rsidR="00334F38" w:rsidRDefault="00334F38">
      <w:pPr>
        <w:rPr>
          <w:b/>
          <w:bCs/>
          <w:kern w:val="32"/>
          <w:sz w:val="28"/>
          <w:szCs w:val="32"/>
          <w:lang w:val="en-US"/>
        </w:rPr>
      </w:pPr>
      <w:r>
        <w:rPr>
          <w:lang w:val="en-US"/>
        </w:rPr>
        <w:br w:type="page"/>
      </w:r>
    </w:p>
    <w:p w:rsidR="00334F38" w:rsidRPr="00622E0E" w:rsidRDefault="00334F38" w:rsidP="009A0D63">
      <w:pPr>
        <w:pStyle w:val="Heading1"/>
        <w:rPr>
          <w:rFonts w:ascii="Calibri" w:hAnsi="Calibri"/>
          <w:b w:val="0"/>
          <w:lang w:val="en-US"/>
        </w:rPr>
      </w:pPr>
      <w:bookmarkStart w:id="26" w:name="_Toc223368930"/>
      <w:bookmarkStart w:id="27" w:name="_Toc258079424"/>
      <w:r w:rsidRPr="00622E0E">
        <w:rPr>
          <w:rFonts w:ascii="Calibri" w:hAnsi="Calibri"/>
          <w:lang w:val="en-US"/>
        </w:rPr>
        <w:t>Chapter 3</w:t>
      </w:r>
      <w:bookmarkEnd w:id="26"/>
      <w:r w:rsidRPr="00622E0E">
        <w:rPr>
          <w:rFonts w:ascii="Calibri" w:hAnsi="Calibri"/>
          <w:lang w:val="en-US"/>
        </w:rPr>
        <w:t xml:space="preserve">                    </w:t>
      </w:r>
      <w:r>
        <w:rPr>
          <w:rFonts w:ascii="Calibri" w:hAnsi="Calibri"/>
          <w:lang w:val="en-US"/>
        </w:rPr>
        <w:t xml:space="preserve">        </w:t>
      </w:r>
      <w:r w:rsidRPr="00622E0E">
        <w:rPr>
          <w:rFonts w:ascii="Calibri" w:hAnsi="Calibri"/>
          <w:lang w:val="en-US"/>
        </w:rPr>
        <w:t xml:space="preserve">    Management &amp; Shareholders: Conflicting Interests</w:t>
      </w:r>
      <w:bookmarkEnd w:id="27"/>
      <w:r>
        <w:rPr>
          <w:rFonts w:ascii="Calibri" w:hAnsi="Calibri"/>
          <w:lang w:val="en-US"/>
        </w:rPr>
        <w:fldChar w:fldCharType="begin"/>
      </w:r>
      <w:r w:rsidRPr="00622E0E">
        <w:rPr>
          <w:rFonts w:ascii="Calibri" w:hAnsi="Calibri"/>
          <w:lang w:val="en-US"/>
        </w:rPr>
        <w:instrText>tc "</w:instrText>
      </w:r>
      <w:bookmarkStart w:id="28" w:name="_Toc258079425"/>
      <w:r w:rsidRPr="00622E0E">
        <w:rPr>
          <w:rFonts w:ascii="Calibri" w:hAnsi="Calibri"/>
          <w:lang w:val="en-US"/>
        </w:rPr>
        <w:instrText>Chapter 3                        Management &amp; Shareholders: Conflicting Interests</w:instrText>
      </w:r>
      <w:bookmarkEnd w:id="28"/>
      <w:r w:rsidRPr="00622E0E">
        <w:rPr>
          <w:rFonts w:ascii="Calibri" w:hAnsi="Calibri"/>
          <w:lang w:val="en-US"/>
        </w:rPr>
        <w:instrText>" \f C \l 1</w:instrText>
      </w:r>
      <w:r>
        <w:rPr>
          <w:rFonts w:ascii="Calibri" w:hAnsi="Calibri"/>
          <w:lang w:val="en-US"/>
        </w:rPr>
        <w:fldChar w:fldCharType="end"/>
      </w:r>
    </w:p>
    <w:p w:rsidR="00334F38" w:rsidRPr="003E7C8B" w:rsidRDefault="00334F38" w:rsidP="009A0D63">
      <w:pPr>
        <w:spacing w:line="360" w:lineRule="auto"/>
        <w:rPr>
          <w:b/>
          <w:lang w:val="en-US"/>
        </w:rPr>
      </w:pPr>
    </w:p>
    <w:p w:rsidR="00334F38" w:rsidRPr="005A1587" w:rsidRDefault="00334F38" w:rsidP="009A50C2">
      <w:pPr>
        <w:pStyle w:val="Heading2"/>
        <w:spacing w:line="360" w:lineRule="auto"/>
        <w:rPr>
          <w:i/>
          <w:u w:val="none"/>
          <w:lang w:val="en-US"/>
        </w:rPr>
      </w:pPr>
      <w:bookmarkStart w:id="29" w:name="_Toc258079426"/>
      <w:bookmarkStart w:id="30" w:name="_Toc223368931"/>
      <w:r w:rsidRPr="005A1587">
        <w:rPr>
          <w:i/>
          <w:u w:val="none"/>
          <w:lang w:val="en-US"/>
        </w:rPr>
        <w:t>3.1 Management’s Function in Reporting Earnings</w:t>
      </w:r>
      <w:r>
        <w:rPr>
          <w:i/>
          <w:u w:val="none"/>
          <w:lang w:val="en-US"/>
        </w:rPr>
        <w:fldChar w:fldCharType="begin"/>
      </w:r>
      <w:r w:rsidRPr="004B1DBF">
        <w:rPr>
          <w:lang w:val="en-US"/>
        </w:rPr>
        <w:instrText>tc "</w:instrText>
      </w:r>
      <w:bookmarkStart w:id="31" w:name="_Toc258079427"/>
      <w:r w:rsidRPr="00B74842">
        <w:rPr>
          <w:i/>
          <w:u w:val="none"/>
          <w:lang w:val="en-US"/>
        </w:rPr>
        <w:instrText>3.1 Management’s Function in Reporting Earnings</w:instrText>
      </w:r>
      <w:bookmarkEnd w:id="31"/>
      <w:r w:rsidRPr="004B1DBF">
        <w:rPr>
          <w:lang w:val="en-US"/>
        </w:rPr>
        <w:instrText>" \f C \l 2</w:instrText>
      </w:r>
      <w:r>
        <w:rPr>
          <w:i/>
          <w:u w:val="none"/>
          <w:lang w:val="en-US"/>
        </w:rPr>
        <w:fldChar w:fldCharType="end"/>
      </w:r>
      <w:r>
        <w:rPr>
          <w:i/>
          <w:u w:val="none"/>
          <w:lang w:val="en-US"/>
        </w:rPr>
        <w:t xml:space="preserve">                                                               </w:t>
      </w:r>
      <w:r>
        <w:rPr>
          <w:u w:val="none"/>
          <w:lang w:val="en-US"/>
        </w:rPr>
        <w:t>This chapter will provide the reader with background information regarding management’s objectives within the firm and its contribution to earnings management.</w:t>
      </w:r>
      <w:bookmarkEnd w:id="29"/>
      <w:r>
        <w:rPr>
          <w:u w:val="none"/>
          <w:lang w:val="en-US"/>
        </w:rPr>
        <w:t xml:space="preserve"> </w:t>
      </w:r>
    </w:p>
    <w:p w:rsidR="00334F38" w:rsidRDefault="00334F38" w:rsidP="00473257">
      <w:pPr>
        <w:spacing w:line="360" w:lineRule="auto"/>
        <w:rPr>
          <w:lang w:val="en-US"/>
        </w:rPr>
      </w:pPr>
      <w:r>
        <w:rPr>
          <w:lang w:val="en-US"/>
        </w:rPr>
        <w:t xml:space="preserve">As mentioned by Desai, Hogan, and Wilkins (2006) senior management exhibit a leadership role in producing and reporting earnings. Despite the fact that approving key managerial decisions is mostly left to the board of directors, the reality is that executives make decisions on a number of terrains concerning financing, operations and investments (such as capital investments, designing and executing new business strategies, acquisition of securities, the issuance of dividends etc.). To be able to make just decisions regarding these terrains executives acquire superior knowledge of the firm and its economics. An example thereof can be found in studies on insider trading (Beneish &amp; Vargus, 2002), where insiders show a tendency to buy stock when its undervalued and sell stock when its overvalued. With this superior knowledge executives can use earnings management in two different ways. They can either take advantage of the flexibility in accounting methods to enhance the transparency of financial reports, or attempt to hide unfavorable news by misrepresenting or diminishing the transparency of the financial reports. </w:t>
      </w:r>
    </w:p>
    <w:p w:rsidR="00334F38" w:rsidRDefault="00334F38" w:rsidP="00473257">
      <w:pPr>
        <w:spacing w:line="360" w:lineRule="auto"/>
        <w:rPr>
          <w:lang w:val="en-US"/>
        </w:rPr>
      </w:pPr>
    </w:p>
    <w:p w:rsidR="00334F38" w:rsidRPr="009F7098" w:rsidRDefault="00334F38" w:rsidP="00A83806">
      <w:pPr>
        <w:pStyle w:val="Heading2"/>
        <w:rPr>
          <w:i/>
          <w:u w:val="none"/>
          <w:lang w:val="en-US"/>
        </w:rPr>
      </w:pPr>
      <w:bookmarkStart w:id="32" w:name="_Toc258079428"/>
      <w:r w:rsidRPr="009F7098">
        <w:rPr>
          <w:i/>
          <w:u w:val="none"/>
          <w:lang w:val="en-US"/>
        </w:rPr>
        <w:t>3.2. The Role of SOX on Management’s Function</w:t>
      </w:r>
      <w:bookmarkEnd w:id="32"/>
      <w:r>
        <w:rPr>
          <w:i/>
          <w:u w:val="none"/>
          <w:lang w:val="en-US"/>
        </w:rPr>
        <w:fldChar w:fldCharType="begin"/>
      </w:r>
      <w:r w:rsidRPr="004B1DBF">
        <w:rPr>
          <w:lang w:val="en-US"/>
        </w:rPr>
        <w:instrText>tc "</w:instrText>
      </w:r>
      <w:bookmarkStart w:id="33" w:name="_Toc258079429"/>
      <w:r w:rsidRPr="00B74842">
        <w:rPr>
          <w:i/>
          <w:u w:val="none"/>
          <w:lang w:val="en-US"/>
        </w:rPr>
        <w:instrText>3.2. The Role of SOX on Management’s Function</w:instrText>
      </w:r>
      <w:bookmarkEnd w:id="33"/>
      <w:r w:rsidRPr="00436804">
        <w:rPr>
          <w:lang w:val="en-US"/>
        </w:rPr>
        <w:instrText>" \f C \l 2</w:instrText>
      </w:r>
      <w:r>
        <w:rPr>
          <w:i/>
          <w:u w:val="none"/>
          <w:lang w:val="en-US"/>
        </w:rPr>
        <w:fldChar w:fldCharType="end"/>
      </w:r>
    </w:p>
    <w:p w:rsidR="00334F38" w:rsidRDefault="00334F38" w:rsidP="00473257">
      <w:pPr>
        <w:spacing w:line="360" w:lineRule="auto"/>
        <w:rPr>
          <w:lang w:val="en-US"/>
        </w:rPr>
      </w:pPr>
      <w:r>
        <w:rPr>
          <w:lang w:val="en-US"/>
        </w:rPr>
        <w:t xml:space="preserve">The introduction of the Sarbanes-Oxley Act (SOX) in 2002 has redefined management’s reporting duties. The increased financial reporting responsibility bestowed upon management can be found in sections 302 and 404 of the Act. </w:t>
      </w:r>
    </w:p>
    <w:p w:rsidR="00334F38" w:rsidRDefault="00334F38" w:rsidP="006054D9">
      <w:pPr>
        <w:pStyle w:val="ListParagraph"/>
        <w:numPr>
          <w:ilvl w:val="0"/>
          <w:numId w:val="12"/>
        </w:numPr>
        <w:spacing w:line="360" w:lineRule="auto"/>
        <w:rPr>
          <w:lang w:val="en-US"/>
        </w:rPr>
      </w:pPr>
      <w:r>
        <w:rPr>
          <w:lang w:val="en-US"/>
        </w:rPr>
        <w:t xml:space="preserve">Section 302(a): This section requires that the principal executive officer and the principal financial officer (or individuals performing similar functions) certify in each quarterly or annual report. With this certification the individual is attesting to the following: (1) He or she has reviewed the report; </w:t>
      </w:r>
    </w:p>
    <w:p w:rsidR="00334F38" w:rsidRDefault="00334F38" w:rsidP="00EE1DEA">
      <w:pPr>
        <w:pStyle w:val="ListParagraph"/>
        <w:spacing w:line="360" w:lineRule="auto"/>
        <w:rPr>
          <w:lang w:val="en-US"/>
        </w:rPr>
      </w:pPr>
      <w:r>
        <w:rPr>
          <w:lang w:val="en-US"/>
        </w:rPr>
        <w:t>(2) Based on the individuals’ knowledge, the reviewed report does not consist of any fallacious statement of material fact or omit to state a material fact in order to make the created statements non-misleading;</w:t>
      </w:r>
    </w:p>
    <w:p w:rsidR="00334F38" w:rsidRDefault="00334F38" w:rsidP="00EE1DEA">
      <w:pPr>
        <w:pStyle w:val="ListParagraph"/>
        <w:spacing w:line="360" w:lineRule="auto"/>
        <w:rPr>
          <w:lang w:val="en-US"/>
        </w:rPr>
      </w:pPr>
      <w:r>
        <w:rPr>
          <w:lang w:val="en-US"/>
        </w:rPr>
        <w:t xml:space="preserve">(3) The financial statements and all other financial data included in the financial report fairly present in all material respect the results of operations and the financial condition of the issuing firm for the period applicable to the report (again based on the individuals’ knowledge). </w:t>
      </w:r>
    </w:p>
    <w:p w:rsidR="00334F38" w:rsidRDefault="00334F38" w:rsidP="00BB39EC">
      <w:pPr>
        <w:pStyle w:val="ListParagraph"/>
        <w:numPr>
          <w:ilvl w:val="0"/>
          <w:numId w:val="12"/>
        </w:numPr>
        <w:spacing w:line="360" w:lineRule="auto"/>
        <w:rPr>
          <w:lang w:val="en-US"/>
        </w:rPr>
      </w:pPr>
      <w:r>
        <w:rPr>
          <w:lang w:val="en-US"/>
        </w:rPr>
        <w:t xml:space="preserve">Section 404: This section requires issuers to publish information in the annual statement concerning the scope and adequacy of the internal control procedures and structures for financial reporting. The effectiveness of internal controls shall also be assessed in the declaration. </w:t>
      </w:r>
    </w:p>
    <w:p w:rsidR="00334F38" w:rsidRDefault="00334F38" w:rsidP="008A1EE7">
      <w:pPr>
        <w:spacing w:line="360" w:lineRule="auto"/>
        <w:rPr>
          <w:lang w:val="en-US"/>
        </w:rPr>
      </w:pPr>
    </w:p>
    <w:p w:rsidR="00334F38" w:rsidRDefault="00334F38" w:rsidP="00280CE7">
      <w:pPr>
        <w:spacing w:line="360" w:lineRule="auto"/>
        <w:rPr>
          <w:lang w:val="en-US"/>
        </w:rPr>
      </w:pPr>
      <w:r>
        <w:rPr>
          <w:lang w:val="en-US"/>
        </w:rPr>
        <w:t>So how do we assure that the officer in question ascertains sufficient knowledge to justify certification?  Section 302(a)-4 of the Act requires certifying officers to be accountable for establishing and maintaining internal controls. In doing so they should provide specific requirements for an evaluation and for bringing internal control deficiencies (including means to correct these measures) to the attention of the auditor and audit committee.</w:t>
      </w:r>
      <w:r>
        <w:rPr>
          <w:rStyle w:val="FootnoteReference"/>
          <w:lang w:val="en-US"/>
        </w:rPr>
        <w:footnoteReference w:id="10"/>
      </w:r>
      <w:r>
        <w:rPr>
          <w:lang w:val="en-US"/>
        </w:rPr>
        <w:t xml:space="preserve"> In addition, failure to comply with section 404 of the Act will result in the manager not being allowed to certify the financial report. The cost of failing to comply with honest reporting and disclosure have become significantly more severe, often involving both fines and incarceration. So it seems that the introduction of the Sarbanes-Oxley Act has increased the cost executives bare for managing earnings for personal gain. </w:t>
      </w:r>
    </w:p>
    <w:p w:rsidR="00334F38" w:rsidRDefault="00334F38" w:rsidP="00280CE7">
      <w:pPr>
        <w:spacing w:line="360" w:lineRule="auto"/>
        <w:rPr>
          <w:lang w:val="en-US"/>
        </w:rPr>
      </w:pPr>
    </w:p>
    <w:p w:rsidR="00334F38" w:rsidRDefault="00334F38" w:rsidP="00280CE7">
      <w:pPr>
        <w:spacing w:line="360" w:lineRule="auto"/>
        <w:rPr>
          <w:lang w:val="en-US"/>
        </w:rPr>
      </w:pPr>
      <w:r>
        <w:rPr>
          <w:lang w:val="en-US"/>
        </w:rPr>
        <w:t>One must wonder however to what extent the implementation of SOX would have even been necessary if the goals of the managers would have been aligned, or existing mechanisms would have been able to align, with the goals of the shareholders. More on the difference between management and the shareholders objective function will be brought forward in paragraph 3.4.</w:t>
      </w:r>
    </w:p>
    <w:p w:rsidR="00334F38" w:rsidRDefault="00334F38" w:rsidP="00062C37">
      <w:pPr>
        <w:pStyle w:val="Heading2"/>
        <w:rPr>
          <w:i/>
          <w:u w:val="none"/>
          <w:lang w:val="en-US"/>
        </w:rPr>
      </w:pPr>
      <w:bookmarkStart w:id="34" w:name="_Toc258079430"/>
      <w:r>
        <w:rPr>
          <w:i/>
          <w:u w:val="none"/>
          <w:lang w:val="en-US"/>
        </w:rPr>
        <w:t>3.3</w:t>
      </w:r>
      <w:r w:rsidRPr="00D43C6D">
        <w:rPr>
          <w:i/>
          <w:u w:val="none"/>
          <w:lang w:val="en-US"/>
        </w:rPr>
        <w:t>. Attitude towards Risk</w:t>
      </w:r>
      <w:bookmarkEnd w:id="34"/>
      <w:r>
        <w:rPr>
          <w:i/>
          <w:u w:val="none"/>
          <w:lang w:val="en-US"/>
        </w:rPr>
        <w:fldChar w:fldCharType="begin"/>
      </w:r>
      <w:r w:rsidRPr="00436804">
        <w:rPr>
          <w:lang w:val="en-US"/>
        </w:rPr>
        <w:instrText>tc "</w:instrText>
      </w:r>
      <w:bookmarkStart w:id="35" w:name="_Toc258079431"/>
      <w:r w:rsidRPr="00B74842">
        <w:rPr>
          <w:i/>
          <w:u w:val="none"/>
          <w:lang w:val="en-US"/>
        </w:rPr>
        <w:instrText>3.3. Attitude towards Risk</w:instrText>
      </w:r>
      <w:bookmarkEnd w:id="35"/>
      <w:r w:rsidRPr="00436804">
        <w:rPr>
          <w:lang w:val="en-US"/>
        </w:rPr>
        <w:instrText>" \f C \l 2</w:instrText>
      </w:r>
      <w:r>
        <w:rPr>
          <w:i/>
          <w:u w:val="none"/>
          <w:lang w:val="en-US"/>
        </w:rPr>
        <w:fldChar w:fldCharType="end"/>
      </w:r>
    </w:p>
    <w:p w:rsidR="00334F38" w:rsidRDefault="00334F38" w:rsidP="00062C37">
      <w:pPr>
        <w:autoSpaceDE w:val="0"/>
        <w:autoSpaceDN w:val="0"/>
        <w:adjustRightInd w:val="0"/>
        <w:spacing w:line="360" w:lineRule="auto"/>
        <w:rPr>
          <w:rFonts w:ascii="TimesNewRoman" w:hAnsi="TimesNewRoman" w:cs="TimesNewRoman"/>
          <w:lang w:val="en-US" w:eastAsia="en-US"/>
        </w:rPr>
      </w:pPr>
      <w:r w:rsidRPr="00062C37">
        <w:rPr>
          <w:lang w:val="en-US"/>
        </w:rPr>
        <w:t xml:space="preserve">Basically, management’s wealth comprises three different areas: the firm’s financial capital, other capital not related to the firm and human capital. More often than not a manager’s human capital is firm specific and can therefore not be diversified away. Unlike general human capital that can be leveraged in other employment, firm specific human capital hinders management from diversifying away the risk involved in this portion of capital </w:t>
      </w:r>
      <w:r w:rsidRPr="00062C37">
        <w:rPr>
          <w:i/>
          <w:lang w:val="en-US"/>
        </w:rPr>
        <w:t>optimally</w:t>
      </w:r>
      <w:r w:rsidRPr="00062C37">
        <w:rPr>
          <w:lang w:val="en-US"/>
        </w:rPr>
        <w:t xml:space="preserve"> (</w:t>
      </w:r>
      <w:r w:rsidRPr="00062C37">
        <w:rPr>
          <w:rFonts w:ascii="TimesNewRoman" w:hAnsi="TimesNewRoman" w:cs="TimesNewRoman"/>
          <w:lang w:val="en-US" w:eastAsia="en-US"/>
        </w:rPr>
        <w:t xml:space="preserve">e.g., Agrawal and Mandelker, 1987). This suggests that the average executive’s tolerance of risk is likely to be lower than that of the shareholder, which often leads to investment decisions that are too conservative for the shareholders’ liking (Nohel and Todd, 2002). </w:t>
      </w:r>
    </w:p>
    <w:p w:rsidR="00334F38" w:rsidRDefault="00334F38" w:rsidP="00062C37">
      <w:pPr>
        <w:autoSpaceDE w:val="0"/>
        <w:autoSpaceDN w:val="0"/>
        <w:adjustRightInd w:val="0"/>
        <w:spacing w:line="360" w:lineRule="auto"/>
        <w:rPr>
          <w:rFonts w:ascii="TimesNewRoman" w:hAnsi="TimesNewRoman" w:cs="TimesNewRoman"/>
          <w:lang w:val="en-US" w:eastAsia="en-US"/>
        </w:rPr>
      </w:pPr>
    </w:p>
    <w:p w:rsidR="00334F38" w:rsidRPr="00062C37" w:rsidRDefault="00334F38" w:rsidP="00062C37">
      <w:pPr>
        <w:autoSpaceDE w:val="0"/>
        <w:autoSpaceDN w:val="0"/>
        <w:adjustRightInd w:val="0"/>
        <w:spacing w:line="360" w:lineRule="auto"/>
        <w:rPr>
          <w:rFonts w:ascii="TimesNewRoman" w:hAnsi="TimesNewRoman" w:cs="TimesNewRoman"/>
          <w:lang w:val="en-US" w:eastAsia="en-US"/>
        </w:rPr>
      </w:pPr>
      <w:r w:rsidRPr="00062C37">
        <w:rPr>
          <w:rFonts w:ascii="TimesNewRoman" w:hAnsi="TimesNewRoman" w:cs="TimesNewRoman"/>
          <w:lang w:val="en-US" w:eastAsia="en-US"/>
        </w:rPr>
        <w:t>To induce management into being more risk-taking requires designing a compensation package that enables a convex payoff (which is riskier that a concave or linear payoff). The idea behind a convex payoff schedule is that it has a marginally escalating reward. Hence, the concave compensation formula gives the manager more for low outcomes and less for high outcomes than a convex schedule, thus making it less risky (Yaari, 1991, 1993). In this light, options can be used to alternate manager’s risk-taking behavior (Rajgopal and</w:t>
      </w:r>
    </w:p>
    <w:p w:rsidR="00334F38" w:rsidRPr="00062C37" w:rsidRDefault="00334F38" w:rsidP="00062C37">
      <w:pPr>
        <w:spacing w:line="360" w:lineRule="auto"/>
        <w:rPr>
          <w:rFonts w:ascii="TimesNewRoman" w:hAnsi="TimesNewRoman" w:cs="TimesNewRoman"/>
          <w:lang w:val="en-US" w:eastAsia="en-US"/>
        </w:rPr>
      </w:pPr>
      <w:r w:rsidRPr="00062C37">
        <w:rPr>
          <w:rFonts w:ascii="TimesNewRoman" w:hAnsi="TimesNewRoman" w:cs="TimesNewRoman"/>
          <w:lang w:val="en-US" w:eastAsia="en-US"/>
        </w:rPr>
        <w:t>Shevlin, 2002)</w:t>
      </w:r>
      <w:r>
        <w:rPr>
          <w:rFonts w:ascii="TimesNewRoman" w:hAnsi="TimesNewRoman" w:cs="TimesNewRoman"/>
          <w:lang w:val="en-US" w:eastAsia="en-US"/>
        </w:rPr>
        <w:t>.</w:t>
      </w:r>
    </w:p>
    <w:p w:rsidR="00334F38" w:rsidRDefault="00334F38" w:rsidP="00062C37">
      <w:pPr>
        <w:spacing w:line="360" w:lineRule="auto"/>
        <w:rPr>
          <w:rFonts w:ascii="TimesNewRoman" w:hAnsi="TimesNewRoman" w:cs="TimesNewRoman"/>
          <w:lang w:val="en-US" w:eastAsia="en-US"/>
        </w:rPr>
      </w:pPr>
    </w:p>
    <w:p w:rsidR="00334F38" w:rsidRPr="00A83806" w:rsidRDefault="00334F38" w:rsidP="00A83806">
      <w:pPr>
        <w:pStyle w:val="Heading2"/>
        <w:rPr>
          <w:i/>
          <w:u w:val="none"/>
          <w:lang w:val="en-US"/>
        </w:rPr>
      </w:pPr>
      <w:bookmarkStart w:id="36" w:name="_Toc258079432"/>
      <w:r w:rsidRPr="00A83806">
        <w:rPr>
          <w:i/>
          <w:u w:val="none"/>
          <w:lang w:val="en-US"/>
        </w:rPr>
        <w:t>3.4. The Alignment in Objectives between Management and Shareholders</w:t>
      </w:r>
      <w:bookmarkEnd w:id="36"/>
      <w:r>
        <w:rPr>
          <w:i/>
          <w:u w:val="none"/>
          <w:lang w:val="en-US"/>
        </w:rPr>
        <w:fldChar w:fldCharType="begin"/>
      </w:r>
      <w:r w:rsidRPr="004B1DBF">
        <w:rPr>
          <w:lang w:val="en-US"/>
        </w:rPr>
        <w:instrText>tc "</w:instrText>
      </w:r>
      <w:bookmarkStart w:id="37" w:name="_Toc258079433"/>
      <w:r w:rsidRPr="00B74842">
        <w:rPr>
          <w:i/>
          <w:u w:val="none"/>
          <w:lang w:val="en-US"/>
        </w:rPr>
        <w:instrText>3.4. The Alignment in Objectives between Management and Shareholders</w:instrText>
      </w:r>
      <w:bookmarkEnd w:id="37"/>
      <w:r w:rsidRPr="00436804">
        <w:rPr>
          <w:lang w:val="en-US"/>
        </w:rPr>
        <w:instrText>" \f C \l 2</w:instrText>
      </w:r>
      <w:r>
        <w:rPr>
          <w:i/>
          <w:u w:val="none"/>
          <w:lang w:val="en-US"/>
        </w:rPr>
        <w:fldChar w:fldCharType="end"/>
      </w:r>
    </w:p>
    <w:p w:rsidR="00334F38" w:rsidRDefault="00334F38" w:rsidP="00280CE7">
      <w:pPr>
        <w:spacing w:line="360" w:lineRule="auto"/>
        <w:rPr>
          <w:lang w:val="en-US"/>
        </w:rPr>
      </w:pPr>
      <w:r>
        <w:rPr>
          <w:lang w:val="en-US"/>
        </w:rPr>
        <w:t xml:space="preserve">The most noted difference between managements’ and shareholders’ objectives is that unlike management, shareholders are not a </w:t>
      </w:r>
      <w:r w:rsidRPr="00835825">
        <w:rPr>
          <w:i/>
          <w:lang w:val="en-US"/>
        </w:rPr>
        <w:t>homogeneous</w:t>
      </w:r>
      <w:r>
        <w:rPr>
          <w:lang w:val="en-US"/>
        </w:rPr>
        <w:t xml:space="preserve"> group. As the following cite from Richard Olson (Swiss fund manager) posted in </w:t>
      </w:r>
      <w:r w:rsidRPr="00897DAE">
        <w:rPr>
          <w:i/>
          <w:lang w:val="en-US"/>
        </w:rPr>
        <w:t xml:space="preserve">The </w:t>
      </w:r>
      <w:r>
        <w:rPr>
          <w:i/>
          <w:lang w:val="en-US"/>
        </w:rPr>
        <w:t>Wall S</w:t>
      </w:r>
      <w:r w:rsidRPr="00897DAE">
        <w:rPr>
          <w:i/>
          <w:lang w:val="en-US"/>
        </w:rPr>
        <w:t>treet Journal</w:t>
      </w:r>
      <w:r>
        <w:rPr>
          <w:rStyle w:val="FootnoteReference"/>
          <w:i/>
          <w:lang w:val="en-US"/>
        </w:rPr>
        <w:footnoteReference w:id="11"/>
      </w:r>
      <w:r>
        <w:rPr>
          <w:lang w:val="en-US"/>
        </w:rPr>
        <w:t xml:space="preserve"> further clarifies:</w:t>
      </w:r>
    </w:p>
    <w:p w:rsidR="00334F38" w:rsidRDefault="00334F38" w:rsidP="00280CE7">
      <w:pPr>
        <w:autoSpaceDE w:val="0"/>
        <w:autoSpaceDN w:val="0"/>
        <w:adjustRightInd w:val="0"/>
        <w:spacing w:line="360" w:lineRule="auto"/>
        <w:rPr>
          <w:rFonts w:ascii="TimesNewRoman" w:hAnsi="TimesNewRoman" w:cs="TimesNewRoman"/>
          <w:i/>
          <w:sz w:val="22"/>
          <w:szCs w:val="22"/>
          <w:lang w:val="en-US" w:eastAsia="en-US"/>
        </w:rPr>
      </w:pPr>
      <w:r w:rsidRPr="00897DAE">
        <w:rPr>
          <w:rFonts w:ascii="TimesNewRoman" w:hAnsi="TimesNewRoman" w:cs="TimesNewRoman"/>
          <w:i/>
          <w:sz w:val="22"/>
          <w:szCs w:val="22"/>
          <w:lang w:val="en-US" w:eastAsia="en-US"/>
        </w:rPr>
        <w:t>People aren’t rational, and they don’t all think alike. Some are quick-trigger speculators who pop in and out of the market hundreds of times a day. Some are corporate treasurers, deliberately buying or selling big contracts to fund a merger or hedge an export risk. Some are central bankers, who trade only occasionally, and at critical moments. Others are long-term investors who buy and hold for months or years.</w:t>
      </w:r>
    </w:p>
    <w:p w:rsidR="00334F38" w:rsidRDefault="00334F38" w:rsidP="00280CE7">
      <w:pPr>
        <w:autoSpaceDE w:val="0"/>
        <w:autoSpaceDN w:val="0"/>
        <w:adjustRightInd w:val="0"/>
        <w:spacing w:line="360" w:lineRule="auto"/>
        <w:rPr>
          <w:rFonts w:ascii="TimesNewRoman" w:hAnsi="TimesNewRoman" w:cs="TimesNewRoman"/>
          <w:lang w:val="en-US" w:eastAsia="en-US"/>
        </w:rPr>
      </w:pPr>
    </w:p>
    <w:p w:rsidR="00334F38" w:rsidRDefault="00334F38" w:rsidP="00280CE7">
      <w:pPr>
        <w:autoSpaceDE w:val="0"/>
        <w:autoSpaceDN w:val="0"/>
        <w:adjustRightInd w:val="0"/>
        <w:spacing w:line="360" w:lineRule="auto"/>
        <w:rPr>
          <w:rFonts w:ascii="TimesNewRoman" w:hAnsi="TimesNewRoman" w:cs="TimesNewRoman"/>
          <w:lang w:val="en-US" w:eastAsia="en-US"/>
        </w:rPr>
      </w:pPr>
      <w:r>
        <w:rPr>
          <w:rFonts w:ascii="TimesNewRoman" w:hAnsi="TimesNewRoman" w:cs="TimesNewRoman"/>
          <w:lang w:val="en-US" w:eastAsia="en-US"/>
        </w:rPr>
        <w:t xml:space="preserve">In their research Hart (1995) and Ronen et al (2002) find that shareholders tend towards two objectives. Some want the firm to maximize long-term value, while others lean more towards maximizing the short-term value because they plan to sell their shares in the near future. Evidence suggests a number of reasons for the differing in objectives between management and shareholders: </w:t>
      </w:r>
    </w:p>
    <w:p w:rsidR="00334F38" w:rsidRDefault="00334F38" w:rsidP="002C3940">
      <w:pPr>
        <w:pStyle w:val="ListParagraph"/>
        <w:numPr>
          <w:ilvl w:val="0"/>
          <w:numId w:val="12"/>
        </w:numPr>
        <w:autoSpaceDE w:val="0"/>
        <w:autoSpaceDN w:val="0"/>
        <w:adjustRightInd w:val="0"/>
        <w:spacing w:line="360" w:lineRule="auto"/>
        <w:rPr>
          <w:rFonts w:ascii="TimesNewRoman" w:hAnsi="TimesNewRoman" w:cs="TimesNewRoman"/>
          <w:lang w:val="en-US" w:eastAsia="en-US"/>
        </w:rPr>
      </w:pPr>
      <w:r>
        <w:rPr>
          <w:rFonts w:ascii="TimesNewRoman" w:hAnsi="TimesNewRoman" w:cs="TimesNewRoman"/>
          <w:lang w:val="en-US" w:eastAsia="en-US"/>
        </w:rPr>
        <w:t>As mentioned management’s portfolio consists of firm-specific human capital that, unlike shareholders capital, cannot be diversified away;</w:t>
      </w:r>
    </w:p>
    <w:p w:rsidR="00334F38" w:rsidRDefault="00334F38" w:rsidP="00062C37">
      <w:pPr>
        <w:pStyle w:val="ListParagraph"/>
        <w:numPr>
          <w:ilvl w:val="0"/>
          <w:numId w:val="12"/>
        </w:numPr>
        <w:autoSpaceDE w:val="0"/>
        <w:autoSpaceDN w:val="0"/>
        <w:adjustRightInd w:val="0"/>
        <w:spacing w:line="360" w:lineRule="auto"/>
        <w:rPr>
          <w:rFonts w:ascii="TimesNewRoman" w:hAnsi="TimesNewRoman" w:cs="TimesNewRoman"/>
          <w:lang w:val="en-US" w:eastAsia="en-US"/>
        </w:rPr>
      </w:pPr>
      <w:r>
        <w:rPr>
          <w:rFonts w:ascii="TimesNewRoman" w:hAnsi="TimesNewRoman" w:cs="TimesNewRoman"/>
          <w:lang w:val="en-US" w:eastAsia="en-US"/>
        </w:rPr>
        <w:t>Management has access to different company perks than shareholders. Additionally some production and investment decisions the firm makes induces personal costs on management alone;</w:t>
      </w:r>
    </w:p>
    <w:p w:rsidR="00334F38" w:rsidRDefault="00334F38" w:rsidP="00062C37">
      <w:pPr>
        <w:pStyle w:val="ListParagraph"/>
        <w:numPr>
          <w:ilvl w:val="0"/>
          <w:numId w:val="12"/>
        </w:numPr>
        <w:autoSpaceDE w:val="0"/>
        <w:autoSpaceDN w:val="0"/>
        <w:adjustRightInd w:val="0"/>
        <w:spacing w:line="360" w:lineRule="auto"/>
        <w:rPr>
          <w:rFonts w:ascii="TimesNewRoman" w:hAnsi="TimesNewRoman" w:cs="TimesNewRoman"/>
          <w:lang w:val="en-US" w:eastAsia="en-US"/>
        </w:rPr>
      </w:pPr>
      <w:r>
        <w:rPr>
          <w:rFonts w:ascii="TimesNewRoman" w:hAnsi="TimesNewRoman" w:cs="TimesNewRoman"/>
          <w:lang w:val="en-US" w:eastAsia="en-US"/>
        </w:rPr>
        <w:t>The decision making horizon of the manager is different from that of the investor and the firm.</w:t>
      </w:r>
    </w:p>
    <w:p w:rsidR="00334F38" w:rsidRPr="00540663" w:rsidRDefault="00334F38" w:rsidP="00540663">
      <w:pPr>
        <w:autoSpaceDE w:val="0"/>
        <w:autoSpaceDN w:val="0"/>
        <w:adjustRightInd w:val="0"/>
        <w:spacing w:line="360" w:lineRule="auto"/>
        <w:rPr>
          <w:rFonts w:ascii="TimesNewRoman" w:hAnsi="TimesNewRoman" w:cs="TimesNewRoman"/>
          <w:lang w:val="en-US" w:eastAsia="en-US"/>
        </w:rPr>
      </w:pPr>
      <w:r>
        <w:rPr>
          <w:rFonts w:ascii="TimesNewRoman" w:hAnsi="TimesNewRoman" w:cs="TimesNewRoman"/>
          <w:lang w:val="en-US" w:eastAsia="en-US"/>
        </w:rPr>
        <w:t xml:space="preserve">These points will be explained in more detail during the rest of this chapter. </w:t>
      </w:r>
    </w:p>
    <w:p w:rsidR="00334F38" w:rsidRDefault="00334F38" w:rsidP="000E7715">
      <w:pPr>
        <w:autoSpaceDE w:val="0"/>
        <w:autoSpaceDN w:val="0"/>
        <w:adjustRightInd w:val="0"/>
        <w:spacing w:line="360" w:lineRule="auto"/>
        <w:rPr>
          <w:rFonts w:ascii="TimesNewRoman" w:hAnsi="TimesNewRoman" w:cs="TimesNewRoman"/>
          <w:lang w:val="en-US" w:eastAsia="en-US"/>
        </w:rPr>
      </w:pPr>
    </w:p>
    <w:p w:rsidR="00334F38" w:rsidRDefault="00334F38" w:rsidP="000E7715">
      <w:pPr>
        <w:autoSpaceDE w:val="0"/>
        <w:autoSpaceDN w:val="0"/>
        <w:adjustRightInd w:val="0"/>
        <w:spacing w:line="360" w:lineRule="auto"/>
        <w:rPr>
          <w:rFonts w:ascii="TimesNewRoman" w:hAnsi="TimesNewRoman" w:cs="TimesNewRoman"/>
          <w:lang w:val="en-US" w:eastAsia="en-US"/>
        </w:rPr>
      </w:pPr>
      <w:r>
        <w:rPr>
          <w:rFonts w:ascii="TimesNewRoman" w:hAnsi="TimesNewRoman" w:cs="TimesNewRoman"/>
          <w:lang w:val="en-US" w:eastAsia="en-US"/>
        </w:rPr>
        <w:t xml:space="preserve">Jensen &amp; Meckling (1976) mention manager’s consumption of a company’s resources under the name </w:t>
      </w:r>
      <w:r w:rsidRPr="00653FD9">
        <w:rPr>
          <w:rFonts w:ascii="TimesNewRoman" w:hAnsi="TimesNewRoman" w:cs="TimesNewRoman"/>
          <w:i/>
          <w:lang w:val="en-US" w:eastAsia="en-US"/>
        </w:rPr>
        <w:t>agency costs</w:t>
      </w:r>
      <w:r>
        <w:rPr>
          <w:rFonts w:ascii="TimesNewRoman" w:hAnsi="TimesNewRoman" w:cs="TimesNewRoman"/>
          <w:lang w:val="en-US" w:eastAsia="en-US"/>
        </w:rPr>
        <w:t xml:space="preserve">. Some examples of these perks are; the use of company airplanes, membership in clubs and medical coverage. The problem here lies with the fact that management enjoys every dollar of every perk while only bearing a fraction (relatively much lower equity holding) of the costs. A possible solution for buffering management’s private consumption can be found in designing compensation based on equity (Balsam, 2002): stocks, options, and/or an added requirement that managers hold a minimum number of shares. </w:t>
      </w:r>
    </w:p>
    <w:p w:rsidR="00334F38" w:rsidRDefault="00334F38" w:rsidP="000E7715">
      <w:pPr>
        <w:autoSpaceDE w:val="0"/>
        <w:autoSpaceDN w:val="0"/>
        <w:adjustRightInd w:val="0"/>
        <w:spacing w:line="360" w:lineRule="auto"/>
        <w:rPr>
          <w:rFonts w:ascii="TimesNewRoman" w:hAnsi="TimesNewRoman" w:cs="TimesNewRoman"/>
          <w:lang w:val="en-US" w:eastAsia="en-US"/>
        </w:rPr>
      </w:pPr>
      <w:r>
        <w:rPr>
          <w:rFonts w:ascii="TimesNewRoman" w:hAnsi="TimesNewRoman" w:cs="TimesNewRoman"/>
          <w:lang w:val="en-US" w:eastAsia="en-US"/>
        </w:rPr>
        <w:t xml:space="preserve">However, equity based contracts isn’t the perfect solution. Leone, Wu and Zimmerman (2006) mention for example the presence of limited liability, which protects management’s compensation from downward risk. In other words, </w:t>
      </w:r>
      <w:r w:rsidRPr="00757F49">
        <w:rPr>
          <w:rFonts w:ascii="TimesNewRoman" w:hAnsi="TimesNewRoman" w:cs="TimesNewRoman"/>
          <w:i/>
          <w:lang w:val="en-US" w:eastAsia="en-US"/>
        </w:rPr>
        <w:t>firms</w:t>
      </w:r>
      <w:r>
        <w:rPr>
          <w:rFonts w:ascii="TimesNewRoman" w:hAnsi="TimesNewRoman" w:cs="TimesNewRoman"/>
          <w:lang w:val="en-US" w:eastAsia="en-US"/>
        </w:rPr>
        <w:t xml:space="preserve"> and </w:t>
      </w:r>
      <w:r w:rsidRPr="00757F49">
        <w:rPr>
          <w:rFonts w:ascii="TimesNewRoman" w:hAnsi="TimesNewRoman" w:cs="TimesNewRoman"/>
          <w:i/>
          <w:lang w:val="en-US" w:eastAsia="en-US"/>
        </w:rPr>
        <w:t>shareholders</w:t>
      </w:r>
      <w:r>
        <w:rPr>
          <w:rFonts w:ascii="TimesNewRoman" w:hAnsi="TimesNewRoman" w:cs="TimesNewRoman"/>
          <w:lang w:val="en-US" w:eastAsia="en-US"/>
        </w:rPr>
        <w:t xml:space="preserve"> may experience losses on bad investments, but the losses from these investments aren’t reflected in management’s compensation. </w:t>
      </w:r>
    </w:p>
    <w:p w:rsidR="00334F38" w:rsidRDefault="00334F38" w:rsidP="000E7715">
      <w:pPr>
        <w:autoSpaceDE w:val="0"/>
        <w:autoSpaceDN w:val="0"/>
        <w:adjustRightInd w:val="0"/>
        <w:spacing w:line="360" w:lineRule="auto"/>
        <w:rPr>
          <w:rFonts w:ascii="TimesNewRoman" w:hAnsi="TimesNewRoman" w:cs="TimesNewRoman"/>
          <w:lang w:val="en-US" w:eastAsia="en-US"/>
        </w:rPr>
      </w:pPr>
    </w:p>
    <w:p w:rsidR="00334F38" w:rsidRDefault="00334F38" w:rsidP="000E7715">
      <w:pPr>
        <w:autoSpaceDE w:val="0"/>
        <w:autoSpaceDN w:val="0"/>
        <w:adjustRightInd w:val="0"/>
        <w:spacing w:line="360" w:lineRule="auto"/>
        <w:rPr>
          <w:rFonts w:ascii="TimesNewRoman" w:hAnsi="TimesNewRoman" w:cs="TimesNewRoman"/>
          <w:lang w:val="en-US" w:eastAsia="en-US"/>
        </w:rPr>
      </w:pPr>
      <w:r>
        <w:rPr>
          <w:rFonts w:ascii="TimesNewRoman" w:hAnsi="TimesNewRoman" w:cs="TimesNewRoman"/>
          <w:lang w:val="en-US" w:eastAsia="en-US"/>
        </w:rPr>
        <w:t xml:space="preserve">Another notable problem is that management’s compensation does not get designed by shareholders directly. This task is left up to the board of directors. The situation can arise that the board is captured by the CEO. In this case the executive might get paid beyond the maximum level. In case options are a part of the executives’ compensation, he/she can reduce risk by smoothing earnings (Huang, 2005) or take unexpected actions that inflate the market price of his/her options by increasing the volatility of the firm’s performance (Grant, Markarian, and Parbonetti, 2007). </w:t>
      </w:r>
    </w:p>
    <w:p w:rsidR="00334F38" w:rsidRDefault="00334F38" w:rsidP="000E7715">
      <w:pPr>
        <w:autoSpaceDE w:val="0"/>
        <w:autoSpaceDN w:val="0"/>
        <w:adjustRightInd w:val="0"/>
        <w:spacing w:line="360" w:lineRule="auto"/>
        <w:rPr>
          <w:rFonts w:ascii="TimesNewRoman" w:hAnsi="TimesNewRoman" w:cs="TimesNewRoman"/>
          <w:lang w:val="en-US" w:eastAsia="en-US"/>
        </w:rPr>
      </w:pPr>
    </w:p>
    <w:p w:rsidR="00334F38" w:rsidRPr="00A83806" w:rsidRDefault="00334F38" w:rsidP="00A83806">
      <w:pPr>
        <w:pStyle w:val="Heading3"/>
        <w:rPr>
          <w:lang w:val="en-US" w:eastAsia="en-US"/>
        </w:rPr>
      </w:pPr>
      <w:bookmarkStart w:id="38" w:name="_Toc258079434"/>
      <w:r w:rsidRPr="00A83806">
        <w:rPr>
          <w:lang w:val="en-US" w:eastAsia="en-US"/>
        </w:rPr>
        <w:t>3.4.1. Concerns Surrounding Options</w:t>
      </w:r>
      <w:bookmarkEnd w:id="38"/>
      <w:r>
        <w:rPr>
          <w:lang w:val="en-US" w:eastAsia="en-US"/>
        </w:rPr>
        <w:fldChar w:fldCharType="begin"/>
      </w:r>
      <w:r w:rsidRPr="00436804">
        <w:rPr>
          <w:lang w:val="en-US"/>
        </w:rPr>
        <w:instrText>tc "</w:instrText>
      </w:r>
      <w:bookmarkStart w:id="39" w:name="_Toc258079435"/>
      <w:r w:rsidRPr="00B74842">
        <w:rPr>
          <w:lang w:val="en-US" w:eastAsia="en-US"/>
        </w:rPr>
        <w:instrText>3.4.1. Concerns Surrounding Options</w:instrText>
      </w:r>
      <w:bookmarkEnd w:id="39"/>
      <w:r w:rsidRPr="00436804">
        <w:rPr>
          <w:lang w:val="en-US"/>
        </w:rPr>
        <w:instrText>" \f C \l 3</w:instrText>
      </w:r>
      <w:r>
        <w:rPr>
          <w:lang w:val="en-US" w:eastAsia="en-US"/>
        </w:rPr>
        <w:fldChar w:fldCharType="end"/>
      </w:r>
    </w:p>
    <w:p w:rsidR="00334F38" w:rsidRDefault="00334F38" w:rsidP="000E7715">
      <w:pPr>
        <w:autoSpaceDE w:val="0"/>
        <w:autoSpaceDN w:val="0"/>
        <w:adjustRightInd w:val="0"/>
        <w:spacing w:line="360" w:lineRule="auto"/>
        <w:rPr>
          <w:rFonts w:ascii="TimesNewRoman" w:hAnsi="TimesNewRoman" w:cs="TimesNewRoman"/>
          <w:lang w:val="en-US" w:eastAsia="en-US"/>
        </w:rPr>
      </w:pPr>
      <w:r>
        <w:rPr>
          <w:rFonts w:ascii="TimesNewRoman" w:hAnsi="TimesNewRoman" w:cs="TimesNewRoman"/>
          <w:lang w:val="en-US" w:eastAsia="en-US"/>
        </w:rPr>
        <w:t xml:space="preserve">There are several concerns revolving around options as compensation means in modern research. The first concern involves around whether incentives should increase or decrease with the riskiness of the firms performance. Since the outcome of a firm’s performance is already risky by itself, why should management get relatively riskier incentives in order to encourage the executive into taking the desirable action? On the other hand, since the shareholder-management relationship is characterized by </w:t>
      </w:r>
      <w:r w:rsidRPr="00A77186">
        <w:rPr>
          <w:rFonts w:ascii="TimesNewRoman" w:hAnsi="TimesNewRoman" w:cs="TimesNewRoman"/>
          <w:i/>
          <w:lang w:val="en-US" w:eastAsia="en-US"/>
        </w:rPr>
        <w:t>moral hazard</w:t>
      </w:r>
      <w:r>
        <w:rPr>
          <w:rStyle w:val="FootnoteReference"/>
          <w:rFonts w:ascii="TimesNewRoman" w:hAnsi="TimesNewRoman" w:cs="TimesNewRoman"/>
          <w:i/>
          <w:lang w:val="en-US" w:eastAsia="en-US"/>
        </w:rPr>
        <w:footnoteReference w:id="12"/>
      </w:r>
      <w:r>
        <w:rPr>
          <w:rFonts w:ascii="TimesNewRoman" w:hAnsi="TimesNewRoman" w:cs="TimesNewRoman"/>
          <w:lang w:val="en-US" w:eastAsia="en-US"/>
        </w:rPr>
        <w:t xml:space="preserve">, the shareholder needs to impose risk to induce the manager to exercise effort instead of shirking his/her duty. Guay (1999) proposes that options are good at imposing risk due to the fact that they are only valuable if the market price has risen when they are exercised. Hence, to enrich him/herself the manager has to take appropriate actions in order to increase the company’s value. However, since these incentives are affected by earnings, compensation might cause the executive to manage earnings instead of taking the appropriate action (Bushman &amp; Smith, 2001). </w:t>
      </w:r>
    </w:p>
    <w:p w:rsidR="00334F38" w:rsidRDefault="00334F38" w:rsidP="000E7715">
      <w:pPr>
        <w:autoSpaceDE w:val="0"/>
        <w:autoSpaceDN w:val="0"/>
        <w:adjustRightInd w:val="0"/>
        <w:spacing w:line="360" w:lineRule="auto"/>
        <w:rPr>
          <w:rFonts w:ascii="TimesNewRoman" w:hAnsi="TimesNewRoman" w:cs="TimesNewRoman"/>
          <w:lang w:val="en-US" w:eastAsia="en-US"/>
        </w:rPr>
      </w:pPr>
    </w:p>
    <w:p w:rsidR="00334F38" w:rsidRDefault="00334F38" w:rsidP="000E7715">
      <w:pPr>
        <w:autoSpaceDE w:val="0"/>
        <w:autoSpaceDN w:val="0"/>
        <w:adjustRightInd w:val="0"/>
        <w:spacing w:line="360" w:lineRule="auto"/>
        <w:rPr>
          <w:rFonts w:ascii="TimesNewRoman" w:hAnsi="TimesNewRoman" w:cs="TimesNewRoman"/>
          <w:lang w:val="en-US" w:eastAsia="en-US"/>
        </w:rPr>
      </w:pPr>
      <w:r>
        <w:rPr>
          <w:rFonts w:ascii="TimesNewRoman" w:hAnsi="TimesNewRoman" w:cs="TimesNewRoman"/>
          <w:lang w:val="en-US" w:eastAsia="en-US"/>
        </w:rPr>
        <w:t>Another point in question concerns the efficiency of options in aligning shareholder objectives with managements’ incentives. Several studies argue that this efficiency is driven by economic dynamics. Here empirical literature (</w:t>
      </w:r>
      <w:r>
        <w:rPr>
          <w:rFonts w:ascii="TimesNewRoman" w:hAnsi="TimesNewRoman" w:cs="TimesNewRoman"/>
          <w:sz w:val="22"/>
          <w:szCs w:val="22"/>
          <w:lang w:val="en-US" w:eastAsia="en-US"/>
        </w:rPr>
        <w:t xml:space="preserve">Himmelberg, Hubbard, and Palia, 1999) </w:t>
      </w:r>
      <w:r>
        <w:rPr>
          <w:rFonts w:ascii="TimesNewRoman" w:hAnsi="TimesNewRoman" w:cs="TimesNewRoman"/>
          <w:lang w:val="en-US" w:eastAsia="en-US"/>
        </w:rPr>
        <w:t xml:space="preserve">attempts to determine variables related to moral hazard, these being: R&amp;D intensity, advertising intensity, investment rate, cash flow, capital intensity and size. Further research lead Himmelberg et al (1999) to conclude that management ownership and firm performance are determined by commonplace firm-specific factors. Thus, an incentive contract can be made uncomplicated without sacrificing much efficiency. </w:t>
      </w:r>
    </w:p>
    <w:p w:rsidR="00334F38" w:rsidRDefault="00334F38" w:rsidP="000E7715">
      <w:pPr>
        <w:autoSpaceDE w:val="0"/>
        <w:autoSpaceDN w:val="0"/>
        <w:adjustRightInd w:val="0"/>
        <w:spacing w:line="360" w:lineRule="auto"/>
        <w:rPr>
          <w:rFonts w:ascii="TimesNewRoman" w:hAnsi="TimesNewRoman" w:cs="TimesNewRoman"/>
          <w:lang w:val="en-US" w:eastAsia="en-US"/>
        </w:rPr>
      </w:pPr>
      <w:r>
        <w:rPr>
          <w:rFonts w:ascii="TimesNewRoman" w:hAnsi="TimesNewRoman" w:cs="TimesNewRoman"/>
          <w:lang w:val="en-US" w:eastAsia="en-US"/>
        </w:rPr>
        <w:t xml:space="preserve">However the extensive use of stocks/options for incentive purposes does have its consequences. That is, managers sell most of their exercised options immediately after exercise (Lakonishok &amp; Lee, 2001). On these grounds Ofek and Yermack (2000) state the following: </w:t>
      </w:r>
      <w:r w:rsidRPr="00062C37">
        <w:rPr>
          <w:rFonts w:ascii="TimesNewRoman" w:hAnsi="TimesNewRoman" w:cs="TimesNewRoman"/>
          <w:i/>
          <w:sz w:val="22"/>
          <w:szCs w:val="22"/>
          <w:lang w:val="en-US" w:eastAsia="en-US"/>
        </w:rPr>
        <w:t>When keeping the modern portfolio theory in mind, managers that receive additional stock should sell these shares or do so similarly with other shares they already own. This should be done in order to diversify away the unsystematic risk related to concentrating wealth into a single asset. Managers undergo a higher risk</w:t>
      </w:r>
      <w:r>
        <w:rPr>
          <w:rFonts w:ascii="TimesNewRoman" w:hAnsi="TimesNewRoman" w:cs="TimesNewRoman"/>
          <w:i/>
          <w:sz w:val="22"/>
          <w:szCs w:val="22"/>
          <w:lang w:val="en-US" w:eastAsia="en-US"/>
        </w:rPr>
        <w:t xml:space="preserve"> than investors due to the </w:t>
      </w:r>
      <w:r w:rsidRPr="00062C37">
        <w:rPr>
          <w:rFonts w:ascii="TimesNewRoman" w:hAnsi="TimesNewRoman" w:cs="TimesNewRoman"/>
          <w:i/>
          <w:sz w:val="22"/>
          <w:szCs w:val="22"/>
          <w:lang w:val="en-US" w:eastAsia="en-US"/>
        </w:rPr>
        <w:t>correlation between human capital value and firm pe</w:t>
      </w:r>
      <w:r>
        <w:rPr>
          <w:rFonts w:ascii="TimesNewRoman" w:hAnsi="TimesNewRoman" w:cs="TimesNewRoman"/>
          <w:i/>
          <w:sz w:val="22"/>
          <w:szCs w:val="22"/>
          <w:lang w:val="en-US" w:eastAsia="en-US"/>
        </w:rPr>
        <w:t>rformance the executive inherits</w:t>
      </w:r>
      <w:r w:rsidRPr="00062C37">
        <w:rPr>
          <w:rFonts w:ascii="TimesNewRoman" w:hAnsi="TimesNewRoman" w:cs="TimesNewRoman"/>
          <w:i/>
          <w:sz w:val="22"/>
          <w:szCs w:val="22"/>
          <w:lang w:val="en-US" w:eastAsia="en-US"/>
        </w:rPr>
        <w:t xml:space="preserve"> </w:t>
      </w:r>
      <w:r>
        <w:rPr>
          <w:rFonts w:ascii="TimesNewRoman" w:hAnsi="TimesNewRoman" w:cs="TimesNewRoman"/>
          <w:lang w:val="en-US" w:eastAsia="en-US"/>
        </w:rPr>
        <w:t>(mentioned in section 3.3.</w:t>
      </w:r>
      <w:r w:rsidRPr="00062C37">
        <w:rPr>
          <w:rFonts w:ascii="TimesNewRoman" w:hAnsi="TimesNewRoman" w:cs="TimesNewRoman"/>
          <w:lang w:val="en-US" w:eastAsia="en-US"/>
        </w:rPr>
        <w:t xml:space="preserve"> Attitude towards Risk).</w:t>
      </w:r>
      <w:r>
        <w:rPr>
          <w:rFonts w:ascii="TimesNewRoman" w:hAnsi="TimesNewRoman" w:cs="TimesNewRoman"/>
          <w:lang w:val="en-US" w:eastAsia="en-US"/>
        </w:rPr>
        <w:t xml:space="preserve"> In their study Ofek and Yermack (2000) segmented their data into subsamples based on whether executives are in possession of as many shares as those awarded in new grants of stock options. They found, for higher-ownership executives, active selling during years with new option awards. Much of the incentive impact of these executives’ stock based pay is nullified due to the existence of these sales. </w:t>
      </w:r>
    </w:p>
    <w:p w:rsidR="00334F38" w:rsidRDefault="00334F38" w:rsidP="000E7715">
      <w:pPr>
        <w:autoSpaceDE w:val="0"/>
        <w:autoSpaceDN w:val="0"/>
        <w:adjustRightInd w:val="0"/>
        <w:spacing w:line="360" w:lineRule="auto"/>
        <w:rPr>
          <w:rFonts w:ascii="TimesNewRoman" w:hAnsi="TimesNewRoman" w:cs="TimesNewRoman"/>
          <w:lang w:val="en-US" w:eastAsia="en-US"/>
        </w:rPr>
      </w:pPr>
    </w:p>
    <w:p w:rsidR="00334F38" w:rsidRPr="000E7715" w:rsidRDefault="00334F38" w:rsidP="000E7715">
      <w:pPr>
        <w:autoSpaceDE w:val="0"/>
        <w:autoSpaceDN w:val="0"/>
        <w:adjustRightInd w:val="0"/>
        <w:spacing w:line="360" w:lineRule="auto"/>
        <w:rPr>
          <w:rFonts w:ascii="TimesNewRoman" w:hAnsi="TimesNewRoman" w:cs="TimesNewRoman"/>
          <w:lang w:val="en-US" w:eastAsia="en-US"/>
        </w:rPr>
      </w:pPr>
      <w:r>
        <w:rPr>
          <w:rFonts w:ascii="TimesNewRoman" w:hAnsi="TimesNewRoman" w:cs="TimesNewRoman"/>
          <w:lang w:val="en-US" w:eastAsia="en-US"/>
        </w:rPr>
        <w:t>A related question concerns the affects of SOX on executive compensation. Despite the fact that several researchers (Cohen, Dey, and Lys, 2005; Carter, Lynch, and Zechman, 2006) find that SOX made compensation less risky (due to a decrease in the bonus component and an increase in the fixed salary component), practitioners believe the effects of SOX on compensation to be minimal. Despite much public criticism concerning abnormal executive compensation and the fact that the typical board structure for setting executive pay is seldom effective, minute systematic changes appear to have occurred (</w:t>
      </w:r>
      <w:r>
        <w:rPr>
          <w:rFonts w:ascii="TimesNewRoman" w:hAnsi="TimesNewRoman" w:cs="TimesNewRoman"/>
          <w:sz w:val="22"/>
          <w:szCs w:val="22"/>
          <w:lang w:val="en-US" w:eastAsia="en-US"/>
        </w:rPr>
        <w:t>Coglianese and Michael, 2006).</w:t>
      </w:r>
    </w:p>
    <w:p w:rsidR="00334F38" w:rsidRDefault="00334F38" w:rsidP="00905D7F">
      <w:pPr>
        <w:tabs>
          <w:tab w:val="left" w:pos="6855"/>
        </w:tabs>
        <w:autoSpaceDE w:val="0"/>
        <w:autoSpaceDN w:val="0"/>
        <w:adjustRightInd w:val="0"/>
        <w:spacing w:line="360" w:lineRule="auto"/>
        <w:rPr>
          <w:rFonts w:ascii="TimesNewRoman" w:hAnsi="TimesNewRoman" w:cs="TimesNewRoman"/>
          <w:i/>
          <w:lang w:val="en-US" w:eastAsia="en-US"/>
        </w:rPr>
      </w:pPr>
    </w:p>
    <w:p w:rsidR="00334F38" w:rsidRPr="00A83806" w:rsidRDefault="00334F38" w:rsidP="00A83806">
      <w:pPr>
        <w:pStyle w:val="Heading3"/>
        <w:rPr>
          <w:rFonts w:ascii="TimesNewRoman" w:hAnsi="TimesNewRoman" w:cs="TimesNewRoman"/>
          <w:lang w:val="en-US" w:eastAsia="en-US"/>
        </w:rPr>
      </w:pPr>
      <w:bookmarkStart w:id="40" w:name="_Toc258079436"/>
      <w:r w:rsidRPr="00A83806">
        <w:rPr>
          <w:rFonts w:ascii="TimesNewRoman" w:hAnsi="TimesNewRoman" w:cs="TimesNewRoman"/>
          <w:lang w:val="en-US" w:eastAsia="en-US"/>
        </w:rPr>
        <w:t>3.4.2 The Horizon Dilemma</w:t>
      </w:r>
      <w:bookmarkEnd w:id="40"/>
      <w:r>
        <w:rPr>
          <w:rFonts w:ascii="TimesNewRoman" w:hAnsi="TimesNewRoman" w:cs="TimesNewRoman"/>
          <w:lang w:val="en-US" w:eastAsia="en-US"/>
        </w:rPr>
        <w:fldChar w:fldCharType="begin"/>
      </w:r>
      <w:r w:rsidRPr="00436804">
        <w:rPr>
          <w:lang w:val="en-US"/>
        </w:rPr>
        <w:instrText>tc "</w:instrText>
      </w:r>
      <w:bookmarkStart w:id="41" w:name="_Toc258079437"/>
      <w:r w:rsidRPr="00B74842">
        <w:rPr>
          <w:rFonts w:ascii="TimesNewRoman" w:hAnsi="TimesNewRoman" w:cs="TimesNewRoman"/>
          <w:lang w:val="en-US" w:eastAsia="en-US"/>
        </w:rPr>
        <w:instrText>3.4.2 The Horizon Dilemma</w:instrText>
      </w:r>
      <w:bookmarkEnd w:id="41"/>
      <w:r w:rsidRPr="00436804">
        <w:rPr>
          <w:lang w:val="en-US"/>
        </w:rPr>
        <w:instrText>" \f C \l 3</w:instrText>
      </w:r>
      <w:r>
        <w:rPr>
          <w:rFonts w:ascii="TimesNewRoman" w:hAnsi="TimesNewRoman" w:cs="TimesNewRoman"/>
          <w:lang w:val="en-US" w:eastAsia="en-US"/>
        </w:rPr>
        <w:fldChar w:fldCharType="end"/>
      </w:r>
    </w:p>
    <w:p w:rsidR="00334F38" w:rsidRDefault="00334F38" w:rsidP="002C61F8">
      <w:pPr>
        <w:autoSpaceDE w:val="0"/>
        <w:autoSpaceDN w:val="0"/>
        <w:adjustRightInd w:val="0"/>
        <w:spacing w:line="360" w:lineRule="auto"/>
        <w:rPr>
          <w:rFonts w:ascii="TimesNewRoman" w:hAnsi="TimesNewRoman" w:cs="TimesNewRoman"/>
          <w:lang w:val="en-US" w:eastAsia="en-US"/>
        </w:rPr>
      </w:pPr>
      <w:r>
        <w:rPr>
          <w:rFonts w:ascii="TimesNewRoman" w:hAnsi="TimesNewRoman" w:cs="TimesNewRoman"/>
          <w:lang w:val="en-US" w:eastAsia="en-US"/>
        </w:rPr>
        <w:t xml:space="preserve">A distinct reason for the incongruence in objectives between managers and shareholders can be found in the differing of their decision-making horizon. Executives have to cope with concerns that last their entire working career. A crucial part of his/her career consists out of building a good reputation by realizing positive performances during their tenure at past firms (Gibbons &amp; Murphy, 1992). Narayanan (1985) believes that this reputation building encourages managers to sacrifice shareholder’s value. The logic here lies with the fact that managers who are recognized as having a high ability tend to reap a higher compensation. Hence, they invest in short-term projects that yield a higher short-term output in order to be perceived as having a higher ability. This however does not necessarily have to apply to all executives. It is more likely to apply to managers at the beginning of their tenure. In their research Allgood and Farrell (2003) show that during the five years of his/her tenure the probability of the CEO leaving the firm increases, and declines from there on. </w:t>
      </w:r>
    </w:p>
    <w:p w:rsidR="00334F38" w:rsidRDefault="00334F38" w:rsidP="002C61F8">
      <w:pPr>
        <w:autoSpaceDE w:val="0"/>
        <w:autoSpaceDN w:val="0"/>
        <w:adjustRightInd w:val="0"/>
        <w:spacing w:line="360" w:lineRule="auto"/>
        <w:rPr>
          <w:rFonts w:ascii="TimesNewRoman" w:hAnsi="TimesNewRoman" w:cs="TimesNewRoman"/>
          <w:lang w:val="en-US" w:eastAsia="en-US"/>
        </w:rPr>
      </w:pPr>
    </w:p>
    <w:p w:rsidR="00334F38" w:rsidRDefault="00334F38" w:rsidP="00D165D4">
      <w:pPr>
        <w:autoSpaceDE w:val="0"/>
        <w:autoSpaceDN w:val="0"/>
        <w:adjustRightInd w:val="0"/>
        <w:spacing w:line="360" w:lineRule="auto"/>
        <w:rPr>
          <w:rFonts w:ascii="TimesNewRoman" w:hAnsi="TimesNewRoman" w:cs="TimesNewRoman"/>
          <w:lang w:val="en-US" w:eastAsia="en-US"/>
        </w:rPr>
      </w:pPr>
      <w:r>
        <w:rPr>
          <w:rFonts w:ascii="TimesNewRoman" w:hAnsi="TimesNewRoman" w:cs="TimesNewRoman"/>
          <w:lang w:val="en-US" w:eastAsia="en-US"/>
        </w:rPr>
        <w:t xml:space="preserve">Another aspect to take into account is that of relatively older executives. These executives have shorter working horizons, and will therefore experience a smaller impact on their reputation. When nearing the end of his/her tenure, the manager’s investment horizon may be longer than his/her remaining tenure with the firm. This will likely induce the manager to take actions that increase short-term earning at the cost of the firm’s long-term value.  Gibbons and Murphy (1992b) put further emphasis on the importance of tenure in the conflict of interest between shareholders and managers. They find that (on average) an increase of 10% of shareholders wealth accounts for a 1.7% change in monetary compensation for CEO’s less than three years from retirement. In contrast, CEO’s that are more than three years from retirement experience a 1.3% change in monetary compensation. </w:t>
      </w:r>
    </w:p>
    <w:p w:rsidR="00334F38" w:rsidRDefault="00334F38" w:rsidP="00D165D4">
      <w:pPr>
        <w:autoSpaceDE w:val="0"/>
        <w:autoSpaceDN w:val="0"/>
        <w:adjustRightInd w:val="0"/>
        <w:spacing w:line="360" w:lineRule="auto"/>
        <w:rPr>
          <w:rFonts w:ascii="TimesNewRoman" w:hAnsi="TimesNewRoman" w:cs="TimesNewRoman"/>
          <w:lang w:val="en-US" w:eastAsia="en-US"/>
        </w:rPr>
      </w:pPr>
    </w:p>
    <w:p w:rsidR="00334F38" w:rsidRDefault="00334F38" w:rsidP="00A02B90">
      <w:pPr>
        <w:autoSpaceDE w:val="0"/>
        <w:autoSpaceDN w:val="0"/>
        <w:adjustRightInd w:val="0"/>
        <w:spacing w:line="360" w:lineRule="auto"/>
        <w:rPr>
          <w:rFonts w:ascii="TimesNewRoman" w:hAnsi="TimesNewRoman" w:cs="TimesNewRoman"/>
          <w:lang w:val="en-US" w:eastAsia="en-US"/>
        </w:rPr>
      </w:pPr>
      <w:r>
        <w:rPr>
          <w:rFonts w:ascii="TimesNewRoman" w:hAnsi="TimesNewRoman" w:cs="TimesNewRoman"/>
          <w:lang w:val="en-US" w:eastAsia="en-US"/>
        </w:rPr>
        <w:t>The horizon dilemma, in particular</w:t>
      </w:r>
      <w:r w:rsidRPr="002A3918">
        <w:rPr>
          <w:rFonts w:ascii="TimesNewRoman" w:hAnsi="TimesNewRoman" w:cs="TimesNewRoman"/>
          <w:i/>
          <w:lang w:val="en-US" w:eastAsia="en-US"/>
        </w:rPr>
        <w:t xml:space="preserve"> turnovers</w:t>
      </w:r>
      <w:r>
        <w:rPr>
          <w:rFonts w:ascii="TimesNewRoman" w:hAnsi="TimesNewRoman" w:cs="TimesNewRoman"/>
          <w:lang w:val="en-US" w:eastAsia="en-US"/>
        </w:rPr>
        <w:t xml:space="preserve">, has important implications on earnings management. Namely, an approaching departure decides the remaining horizon of the departing CEO, while the CEO vacancy starts the clock for the incoming CEO. </w:t>
      </w:r>
    </w:p>
    <w:p w:rsidR="00334F38" w:rsidRDefault="00334F38" w:rsidP="00A02B90">
      <w:pPr>
        <w:autoSpaceDE w:val="0"/>
        <w:autoSpaceDN w:val="0"/>
        <w:adjustRightInd w:val="0"/>
        <w:spacing w:line="360" w:lineRule="auto"/>
        <w:rPr>
          <w:rFonts w:ascii="TimesNewRoman" w:hAnsi="TimesNewRoman" w:cs="TimesNewRoman"/>
          <w:lang w:val="en-US" w:eastAsia="en-US"/>
        </w:rPr>
      </w:pPr>
      <w:r>
        <w:rPr>
          <w:rFonts w:ascii="TimesNewRoman" w:hAnsi="TimesNewRoman" w:cs="TimesNewRoman"/>
          <w:lang w:val="en-US" w:eastAsia="en-US"/>
        </w:rPr>
        <w:t xml:space="preserve">With this in mind, the following chapter will focus on </w:t>
      </w:r>
      <w:r>
        <w:rPr>
          <w:lang w:val="en-US"/>
        </w:rPr>
        <w:t xml:space="preserve">the presence of earnings management particularly surrounding CEO turnovers. </w:t>
      </w:r>
    </w:p>
    <w:p w:rsidR="00334F38" w:rsidRPr="00622E0E" w:rsidRDefault="00334F38" w:rsidP="009A0D63">
      <w:pPr>
        <w:pStyle w:val="Heading2"/>
        <w:rPr>
          <w:rFonts w:ascii="Calibri" w:hAnsi="Calibri"/>
          <w:b/>
          <w:sz w:val="28"/>
          <w:u w:val="none"/>
          <w:lang w:val="en-US"/>
        </w:rPr>
      </w:pPr>
      <w:bookmarkStart w:id="42" w:name="_Toc258079438"/>
      <w:r w:rsidRPr="00622E0E">
        <w:rPr>
          <w:rFonts w:ascii="Calibri" w:hAnsi="Calibri"/>
          <w:b/>
          <w:sz w:val="28"/>
          <w:u w:val="none"/>
          <w:lang w:val="en-US"/>
        </w:rPr>
        <w:t xml:space="preserve">Chapter 4                                  </w:t>
      </w:r>
      <w:r>
        <w:rPr>
          <w:rFonts w:ascii="Calibri" w:hAnsi="Calibri"/>
          <w:b/>
          <w:sz w:val="28"/>
          <w:u w:val="none"/>
          <w:lang w:val="en-US"/>
        </w:rPr>
        <w:t xml:space="preserve">            </w:t>
      </w:r>
      <w:r w:rsidRPr="00622E0E">
        <w:rPr>
          <w:rFonts w:ascii="Calibri" w:hAnsi="Calibri"/>
          <w:b/>
          <w:sz w:val="28"/>
          <w:u w:val="none"/>
          <w:lang w:val="en-US"/>
        </w:rPr>
        <w:t xml:space="preserve">  CEO Turnovers and Earnings Management</w:t>
      </w:r>
      <w:bookmarkEnd w:id="42"/>
      <w:r>
        <w:rPr>
          <w:rFonts w:ascii="Calibri" w:hAnsi="Calibri"/>
          <w:b/>
          <w:sz w:val="28"/>
          <w:u w:val="none"/>
          <w:lang w:val="en-US"/>
        </w:rPr>
        <w:fldChar w:fldCharType="begin"/>
      </w:r>
      <w:r w:rsidRPr="00622E0E">
        <w:rPr>
          <w:rFonts w:ascii="Calibri" w:hAnsi="Calibri"/>
          <w:lang w:val="en-US"/>
        </w:rPr>
        <w:instrText>tc "</w:instrText>
      </w:r>
      <w:bookmarkStart w:id="43" w:name="_Toc258079439"/>
      <w:r w:rsidRPr="00622E0E">
        <w:rPr>
          <w:rFonts w:ascii="Calibri" w:hAnsi="Calibri"/>
          <w:b/>
          <w:sz w:val="28"/>
          <w:u w:val="none"/>
          <w:lang w:val="en-US"/>
        </w:rPr>
        <w:instrText>Chapter 4                                    CEO Turnovers and Earnings Management</w:instrText>
      </w:r>
      <w:bookmarkEnd w:id="43"/>
      <w:r w:rsidRPr="00622E0E">
        <w:rPr>
          <w:rFonts w:ascii="Calibri" w:hAnsi="Calibri"/>
          <w:lang w:val="en-US"/>
        </w:rPr>
        <w:instrText>" \f C \l 1</w:instrText>
      </w:r>
      <w:r>
        <w:rPr>
          <w:rFonts w:ascii="Calibri" w:hAnsi="Calibri"/>
          <w:b/>
          <w:sz w:val="28"/>
          <w:u w:val="none"/>
          <w:lang w:val="en-US"/>
        </w:rPr>
        <w:fldChar w:fldCharType="end"/>
      </w:r>
    </w:p>
    <w:p w:rsidR="00334F38" w:rsidRDefault="00334F38" w:rsidP="009A0D63">
      <w:pPr>
        <w:pStyle w:val="Heading2"/>
        <w:rPr>
          <w:i/>
          <w:u w:val="none"/>
          <w:lang w:val="en-US"/>
        </w:rPr>
      </w:pPr>
    </w:p>
    <w:p w:rsidR="00334F38" w:rsidRPr="00FE7122" w:rsidRDefault="00334F38" w:rsidP="009A0D63">
      <w:pPr>
        <w:pStyle w:val="Heading2"/>
        <w:rPr>
          <w:i/>
          <w:u w:val="none"/>
          <w:lang w:val="en-US"/>
        </w:rPr>
      </w:pPr>
      <w:bookmarkStart w:id="44" w:name="_Toc258079440"/>
      <w:r>
        <w:rPr>
          <w:i/>
          <w:u w:val="none"/>
          <w:lang w:val="en-US"/>
        </w:rPr>
        <w:t>4</w:t>
      </w:r>
      <w:r w:rsidRPr="00FE7122">
        <w:rPr>
          <w:i/>
          <w:u w:val="none"/>
          <w:lang w:val="en-US"/>
        </w:rPr>
        <w:t>.1 CEO Turnovers and Earnings Management</w:t>
      </w:r>
      <w:bookmarkEnd w:id="30"/>
      <w:bookmarkEnd w:id="44"/>
      <w:r>
        <w:rPr>
          <w:i/>
          <w:u w:val="none"/>
          <w:lang w:val="en-US"/>
        </w:rPr>
        <w:fldChar w:fldCharType="begin"/>
      </w:r>
      <w:r w:rsidRPr="004B1DBF">
        <w:rPr>
          <w:lang w:val="en-US"/>
        </w:rPr>
        <w:instrText>tc "</w:instrText>
      </w:r>
      <w:bookmarkStart w:id="45" w:name="_Toc258079441"/>
      <w:r w:rsidRPr="00B74842">
        <w:rPr>
          <w:i/>
          <w:u w:val="none"/>
          <w:lang w:val="en-US"/>
        </w:rPr>
        <w:instrText>4.1. CEO Turnovers and Earnings Management</w:instrText>
      </w:r>
      <w:bookmarkEnd w:id="45"/>
      <w:r w:rsidRPr="00436804">
        <w:rPr>
          <w:lang w:val="en-US"/>
        </w:rPr>
        <w:instrText>" \f C \l 2</w:instrText>
      </w:r>
      <w:r>
        <w:rPr>
          <w:i/>
          <w:u w:val="none"/>
          <w:lang w:val="en-US"/>
        </w:rPr>
        <w:fldChar w:fldCharType="end"/>
      </w:r>
    </w:p>
    <w:p w:rsidR="00334F38" w:rsidRDefault="00334F38" w:rsidP="009A0D63">
      <w:pPr>
        <w:spacing w:line="360" w:lineRule="auto"/>
        <w:jc w:val="both"/>
        <w:rPr>
          <w:lang w:val="en-US"/>
        </w:rPr>
      </w:pPr>
      <w:r>
        <w:rPr>
          <w:lang w:val="en-US"/>
        </w:rPr>
        <w:t>Since a CEO turnover involves two phases (namely the departing CEO-</w:t>
      </w:r>
      <w:r w:rsidRPr="00B801B9">
        <w:rPr>
          <w:i/>
          <w:lang w:val="en-US"/>
        </w:rPr>
        <w:t>the predecessor</w:t>
      </w:r>
      <w:r>
        <w:rPr>
          <w:lang w:val="en-US"/>
        </w:rPr>
        <w:t>- and the incoming CEO-</w:t>
      </w:r>
      <w:r w:rsidRPr="00B801B9">
        <w:rPr>
          <w:i/>
          <w:lang w:val="en-US"/>
        </w:rPr>
        <w:t>the successor</w:t>
      </w:r>
      <w:r>
        <w:rPr>
          <w:lang w:val="en-US"/>
        </w:rPr>
        <w:t>), it presents two distinct decision making opportunities and therefore two independent earnings management issues. In theory the departing CEO may attempt to inflate earnings for the following reasons: - disguise poor firm performance to avoid forced separation, - to collect a higher bonus in the last year of the job (assuming his/her bonus is performance based), - or to obtain better employment after stepping down. The incoming CEO on the other hand will undertake in earnings deflating (“earnings bath” or “big bath”) measures. Here the</w:t>
      </w:r>
      <w:r w:rsidRPr="003E7C8B">
        <w:rPr>
          <w:lang w:val="en-US"/>
        </w:rPr>
        <w:t xml:space="preserve"> incoming CEO lowers the earnings in the </w:t>
      </w:r>
      <w:r>
        <w:rPr>
          <w:lang w:val="en-US"/>
        </w:rPr>
        <w:t>year of his/her introduction with the opportunity to blame the poor performance on the predecessor. This also</w:t>
      </w:r>
      <w:r w:rsidRPr="003E7C8B">
        <w:rPr>
          <w:lang w:val="en-US"/>
        </w:rPr>
        <w:t xml:space="preserve"> </w:t>
      </w:r>
      <w:r>
        <w:rPr>
          <w:lang w:val="en-US"/>
        </w:rPr>
        <w:t>gives a good plateau for the incoming</w:t>
      </w:r>
      <w:r w:rsidRPr="003E7C8B">
        <w:rPr>
          <w:lang w:val="en-US"/>
        </w:rPr>
        <w:t xml:space="preserve"> CEO </w:t>
      </w:r>
      <w:r>
        <w:rPr>
          <w:lang w:val="en-US"/>
        </w:rPr>
        <w:t>to base his future earnings on.</w:t>
      </w:r>
      <w:r>
        <w:rPr>
          <w:rStyle w:val="FootnoteReference"/>
          <w:lang w:val="en-US"/>
        </w:rPr>
        <w:footnoteReference w:id="13"/>
      </w:r>
      <w:r>
        <w:rPr>
          <w:lang w:val="en-US"/>
        </w:rPr>
        <w:t xml:space="preserve"> </w:t>
      </w:r>
    </w:p>
    <w:p w:rsidR="00334F38" w:rsidRDefault="00334F38" w:rsidP="009A0D63">
      <w:pPr>
        <w:spacing w:line="360" w:lineRule="auto"/>
        <w:jc w:val="both"/>
        <w:rPr>
          <w:lang w:val="en-US"/>
        </w:rPr>
      </w:pPr>
      <w:r w:rsidRPr="003E7C8B">
        <w:rPr>
          <w:lang w:val="en-US"/>
        </w:rPr>
        <w:t xml:space="preserve">Wells (2002) investigates if and to what extent earnings management occurs around the time of a CEO change in Australian firms using a modified Jones model to estimate unmanaged or expected accruals. Evidence is presented of incoming CEO’s reducing income in the year of the CEO change which is consistent with the term ‘earnings bath’. This is achieved by the manipulation of abnormal and extraordinary items. </w:t>
      </w:r>
    </w:p>
    <w:p w:rsidR="00334F38" w:rsidRDefault="00334F38" w:rsidP="009A0D63">
      <w:pPr>
        <w:spacing w:line="360" w:lineRule="auto"/>
        <w:jc w:val="both"/>
        <w:rPr>
          <w:lang w:val="en-US"/>
        </w:rPr>
      </w:pPr>
      <w:r w:rsidRPr="003E7C8B">
        <w:rPr>
          <w:lang w:val="en-US"/>
        </w:rPr>
        <w:t xml:space="preserve">Besides using the accruals to investigate </w:t>
      </w:r>
      <w:r>
        <w:rPr>
          <w:lang w:val="en-US"/>
        </w:rPr>
        <w:t>earnings management</w:t>
      </w:r>
      <w:r w:rsidRPr="003E7C8B">
        <w:rPr>
          <w:lang w:val="en-US"/>
        </w:rPr>
        <w:t>, one can use a set of different financial variables to get an insight on the subject. Murphy (1992</w:t>
      </w:r>
      <w:r>
        <w:rPr>
          <w:lang w:val="en-US"/>
        </w:rPr>
        <w:t>) achieves</w:t>
      </w:r>
      <w:r w:rsidRPr="003E7C8B">
        <w:rPr>
          <w:lang w:val="en-US"/>
        </w:rPr>
        <w:t xml:space="preserve"> this by describing the behavior of financial variables </w:t>
      </w:r>
      <w:r>
        <w:rPr>
          <w:lang w:val="en-US"/>
        </w:rPr>
        <w:t xml:space="preserve">surrounding CEO turnovers. The following </w:t>
      </w:r>
      <w:r w:rsidRPr="003E7C8B">
        <w:rPr>
          <w:lang w:val="en-US"/>
        </w:rPr>
        <w:t xml:space="preserve">financial variables were </w:t>
      </w:r>
      <w:r>
        <w:rPr>
          <w:lang w:val="en-US"/>
        </w:rPr>
        <w:t>mentioned in his paper</w:t>
      </w:r>
      <w:r w:rsidRPr="003E7C8B">
        <w:rPr>
          <w:lang w:val="en-US"/>
        </w:rPr>
        <w:t xml:space="preserve">: Research &amp; Development, Advertising, Capital Expenditures, Accounting Accruals, Accounting Earnings, Sales, Assets and Stock Prices. </w:t>
      </w:r>
      <w:r>
        <w:rPr>
          <w:lang w:val="en-US"/>
        </w:rPr>
        <w:t>L</w:t>
      </w:r>
      <w:r w:rsidRPr="003E7C8B">
        <w:rPr>
          <w:lang w:val="en-US"/>
        </w:rPr>
        <w:t>ittle evidence is found to support the hypothesis that outgoing CEOs exercise their discretion over financial variables to increase their earnings based compensation prior to their departure. The decline of R&amp;D, Advertising, Capital Expenditures and Accounting Accruals are mostly explained by poor firm performance rather that financial discretion. On the other hand there is evidence of incoming CEOs taking an earnings bath similar to Wells</w:t>
      </w:r>
      <w:r>
        <w:rPr>
          <w:lang w:val="en-US"/>
        </w:rPr>
        <w:t>’</w:t>
      </w:r>
      <w:r w:rsidRPr="003E7C8B">
        <w:rPr>
          <w:lang w:val="en-US"/>
        </w:rPr>
        <w:t xml:space="preserve"> (2002)</w:t>
      </w:r>
      <w:r>
        <w:rPr>
          <w:lang w:val="en-US"/>
        </w:rPr>
        <w:t xml:space="preserve"> investigation</w:t>
      </w:r>
      <w:r w:rsidRPr="003E7C8B">
        <w:rPr>
          <w:lang w:val="en-US"/>
        </w:rPr>
        <w:t>.</w:t>
      </w:r>
    </w:p>
    <w:p w:rsidR="00334F38" w:rsidRDefault="00334F38" w:rsidP="009A0D63">
      <w:pPr>
        <w:pStyle w:val="Heading2"/>
        <w:rPr>
          <w:bCs w:val="0"/>
          <w:iCs w:val="0"/>
          <w:szCs w:val="24"/>
          <w:u w:val="none"/>
          <w:lang w:val="en-US"/>
        </w:rPr>
      </w:pPr>
      <w:bookmarkStart w:id="46" w:name="_Toc223368932"/>
    </w:p>
    <w:p w:rsidR="00334F38" w:rsidRPr="00C60C63" w:rsidRDefault="00334F38" w:rsidP="009A0D63">
      <w:pPr>
        <w:pStyle w:val="Heading2"/>
        <w:rPr>
          <w:i/>
          <w:u w:val="none"/>
          <w:lang w:val="en-US"/>
        </w:rPr>
      </w:pPr>
      <w:bookmarkStart w:id="47" w:name="_Toc258079442"/>
      <w:r>
        <w:rPr>
          <w:i/>
          <w:u w:val="none"/>
          <w:lang w:val="en-US"/>
        </w:rPr>
        <w:t>4.1</w:t>
      </w:r>
      <w:r w:rsidRPr="00C60C63">
        <w:rPr>
          <w:i/>
          <w:u w:val="none"/>
          <w:lang w:val="en-US"/>
        </w:rPr>
        <w:t>.1</w:t>
      </w:r>
      <w:r>
        <w:rPr>
          <w:i/>
          <w:u w:val="none"/>
          <w:lang w:val="en-US"/>
        </w:rPr>
        <w:t>.</w:t>
      </w:r>
      <w:r w:rsidRPr="00C60C63">
        <w:rPr>
          <w:i/>
          <w:u w:val="none"/>
          <w:lang w:val="en-US"/>
        </w:rPr>
        <w:t xml:space="preserve"> Routine </w:t>
      </w:r>
      <w:bookmarkEnd w:id="46"/>
      <w:r w:rsidRPr="00C60C63">
        <w:rPr>
          <w:i/>
          <w:u w:val="none"/>
          <w:lang w:val="en-US"/>
        </w:rPr>
        <w:t>Departures</w:t>
      </w:r>
      <w:bookmarkEnd w:id="47"/>
      <w:r>
        <w:rPr>
          <w:i/>
          <w:u w:val="none"/>
          <w:lang w:val="en-US"/>
        </w:rPr>
        <w:fldChar w:fldCharType="begin"/>
      </w:r>
      <w:r w:rsidRPr="00436804">
        <w:rPr>
          <w:lang w:val="en-US"/>
        </w:rPr>
        <w:instrText>tc "</w:instrText>
      </w:r>
      <w:bookmarkStart w:id="48" w:name="_Toc258079443"/>
      <w:r w:rsidRPr="00B74842">
        <w:rPr>
          <w:i/>
          <w:u w:val="none"/>
          <w:lang w:val="en-US"/>
        </w:rPr>
        <w:instrText>4.1.1. Routine Departures</w:instrText>
      </w:r>
      <w:bookmarkEnd w:id="48"/>
      <w:r w:rsidRPr="00436804">
        <w:rPr>
          <w:lang w:val="en-US"/>
        </w:rPr>
        <w:instrText>" \f C \l 3</w:instrText>
      </w:r>
      <w:r>
        <w:rPr>
          <w:i/>
          <w:u w:val="none"/>
          <w:lang w:val="en-US"/>
        </w:rPr>
        <w:fldChar w:fldCharType="end"/>
      </w:r>
    </w:p>
    <w:p w:rsidR="00334F38" w:rsidRDefault="00334F38" w:rsidP="009A0D63">
      <w:pPr>
        <w:spacing w:line="360" w:lineRule="auto"/>
        <w:jc w:val="both"/>
        <w:rPr>
          <w:lang w:val="en-US"/>
        </w:rPr>
      </w:pPr>
      <w:r>
        <w:rPr>
          <w:lang w:val="en-US"/>
        </w:rPr>
        <w:t xml:space="preserve">As prior study show (e.g. Denis and Kruse, 2000; McNeil, Niehaus, and Powers, 2004) the average annual CEO turnover rate is between 5% and 15%. This rate is significantly related to performance, where poor firm performance shows a higher turnover rate than firms which exhibit good performance.  </w:t>
      </w:r>
      <w:r w:rsidRPr="003E7C8B">
        <w:rPr>
          <w:lang w:val="en-US"/>
        </w:rPr>
        <w:t>A CEO change can happen under dif</w:t>
      </w:r>
      <w:r>
        <w:rPr>
          <w:lang w:val="en-US"/>
        </w:rPr>
        <w:t xml:space="preserve">ferent circumstances. It can </w:t>
      </w:r>
      <w:r w:rsidRPr="003E7C8B">
        <w:rPr>
          <w:lang w:val="en-US"/>
        </w:rPr>
        <w:t xml:space="preserve">either </w:t>
      </w:r>
      <w:r>
        <w:rPr>
          <w:lang w:val="en-US"/>
        </w:rPr>
        <w:t xml:space="preserve">be a </w:t>
      </w:r>
      <w:r w:rsidRPr="003E7C8B">
        <w:rPr>
          <w:lang w:val="en-US"/>
        </w:rPr>
        <w:t>routine</w:t>
      </w:r>
      <w:r>
        <w:rPr>
          <w:lang w:val="en-US"/>
        </w:rPr>
        <w:t xml:space="preserve"> (peaceful and orderly) </w:t>
      </w:r>
      <w:r w:rsidRPr="003E7C8B">
        <w:rPr>
          <w:lang w:val="en-US"/>
        </w:rPr>
        <w:t xml:space="preserve">or a non-routine </w:t>
      </w:r>
      <w:r>
        <w:rPr>
          <w:lang w:val="en-US"/>
        </w:rPr>
        <w:t>(all remaining cases) departure</w:t>
      </w:r>
      <w:r w:rsidRPr="003E7C8B">
        <w:rPr>
          <w:lang w:val="en-US"/>
        </w:rPr>
        <w:t xml:space="preserve">. </w:t>
      </w:r>
      <w:r>
        <w:rPr>
          <w:lang w:val="en-US"/>
        </w:rPr>
        <w:t>In case of an orderly departure the CEO is finishing his/her term and will</w:t>
      </w:r>
      <w:r w:rsidRPr="003E7C8B">
        <w:rPr>
          <w:lang w:val="en-US"/>
        </w:rPr>
        <w:t xml:space="preserve"> terminate the employment with the company. The company usually has a well planned tur</w:t>
      </w:r>
      <w:r>
        <w:rPr>
          <w:lang w:val="en-US"/>
        </w:rPr>
        <w:t>nover strategy and a successor</w:t>
      </w:r>
      <w:r w:rsidRPr="003E7C8B">
        <w:rPr>
          <w:lang w:val="en-US"/>
        </w:rPr>
        <w:t xml:space="preserve"> that is groomed to follow the outgoing CEO. </w:t>
      </w:r>
      <w:r>
        <w:rPr>
          <w:lang w:val="en-US"/>
        </w:rPr>
        <w:t>More often than not</w:t>
      </w:r>
      <w:r w:rsidRPr="003E7C8B">
        <w:rPr>
          <w:lang w:val="en-US"/>
        </w:rPr>
        <w:t xml:space="preserve"> an outgoing CEO will remain in the board of directors, meaning that he/she is in a position to monitor the actions of the incoming CEO</w:t>
      </w:r>
      <w:r>
        <w:rPr>
          <w:lang w:val="en-US"/>
        </w:rPr>
        <w:t>,</w:t>
      </w:r>
      <w:r w:rsidRPr="003E7C8B">
        <w:rPr>
          <w:lang w:val="en-US"/>
        </w:rPr>
        <w:t xml:space="preserve"> </w:t>
      </w:r>
      <w:r>
        <w:rPr>
          <w:lang w:val="en-US"/>
        </w:rPr>
        <w:t xml:space="preserve">thereby </w:t>
      </w:r>
      <w:r w:rsidRPr="003E7C8B">
        <w:rPr>
          <w:lang w:val="en-US"/>
        </w:rPr>
        <w:t>decreasing the chances of earnings management</w:t>
      </w:r>
      <w:r>
        <w:rPr>
          <w:lang w:val="en-US"/>
        </w:rPr>
        <w:t xml:space="preserve"> (Vancil, 1987). </w:t>
      </w:r>
    </w:p>
    <w:p w:rsidR="00334F38" w:rsidRDefault="00334F38" w:rsidP="009A0D63">
      <w:pPr>
        <w:spacing w:line="360" w:lineRule="auto"/>
        <w:jc w:val="both"/>
        <w:rPr>
          <w:lang w:val="en-US"/>
        </w:rPr>
      </w:pPr>
    </w:p>
    <w:p w:rsidR="00334F38" w:rsidRDefault="00334F38" w:rsidP="009A0D63">
      <w:pPr>
        <w:spacing w:line="360" w:lineRule="auto"/>
        <w:jc w:val="both"/>
        <w:rPr>
          <w:lang w:val="en-US"/>
        </w:rPr>
      </w:pPr>
      <w:r>
        <w:rPr>
          <w:lang w:val="en-US"/>
        </w:rPr>
        <w:t>Because past CEOs often find themselves becoming directors (Brickley, Coles and Linck, 1999) it is understandable they tend to lean towards earnings management. They do this in their final years in order to increase the probability of being hired as directors. Brickley et al. find that the performance in the departing CEO’s final four years is positively related to the following; (1) the probability of the CEO maintaining his/her board seat after departure, and (2) a chance at securing other post departure board seats. Reitenga and Tearney (2003) extend their research by examining CEO turnovers during a four year time span before departure. These examined CEO turnovers are only the result of a routine turnover and are controlled for CEO stock ownership, corporate governance factors and the retention of a board seat after retirement. Reitenga and Tearney find evidence of earnings management in the departing CEOs’ final two years. This evidence was found to be more substantial when the CEO retained his/her board seat after retirement. They also find that earnings management in the last year of the job tend to be mitigated by independent directors and CEO stockholdings. These findings lay emphasis on the importance of corporate governance</w:t>
      </w:r>
      <w:r>
        <w:rPr>
          <w:rStyle w:val="FootnoteReference"/>
          <w:lang w:val="en-US"/>
        </w:rPr>
        <w:footnoteReference w:id="14"/>
      </w:r>
      <w:r>
        <w:rPr>
          <w:lang w:val="en-US"/>
        </w:rPr>
        <w:t xml:space="preserve">. </w:t>
      </w:r>
    </w:p>
    <w:p w:rsidR="00334F38" w:rsidRDefault="00334F38" w:rsidP="009A0D63">
      <w:pPr>
        <w:spacing w:line="360" w:lineRule="auto"/>
        <w:jc w:val="both"/>
        <w:rPr>
          <w:lang w:val="en-US"/>
        </w:rPr>
      </w:pPr>
    </w:p>
    <w:p w:rsidR="00334F38" w:rsidRPr="00A83806" w:rsidRDefault="00334F38" w:rsidP="00A83806">
      <w:pPr>
        <w:pStyle w:val="Heading3"/>
        <w:rPr>
          <w:lang w:val="en-US"/>
        </w:rPr>
      </w:pPr>
      <w:bookmarkStart w:id="49" w:name="_Toc258079444"/>
      <w:r w:rsidRPr="00A83806">
        <w:rPr>
          <w:lang w:val="en-US"/>
        </w:rPr>
        <w:t>4.1.2 Non-Routine Departures</w:t>
      </w:r>
      <w:bookmarkEnd w:id="49"/>
      <w:r>
        <w:rPr>
          <w:lang w:val="en-US"/>
        </w:rPr>
        <w:fldChar w:fldCharType="begin"/>
      </w:r>
      <w:r w:rsidRPr="00436804">
        <w:rPr>
          <w:lang w:val="en-US"/>
        </w:rPr>
        <w:instrText>tc "</w:instrText>
      </w:r>
      <w:bookmarkStart w:id="50" w:name="_Toc258079445"/>
      <w:r w:rsidRPr="00B74842">
        <w:rPr>
          <w:lang w:val="en-US"/>
        </w:rPr>
        <w:instrText>4.1.2 Non-Routine Departures</w:instrText>
      </w:r>
      <w:bookmarkEnd w:id="50"/>
      <w:r w:rsidRPr="00436804">
        <w:rPr>
          <w:lang w:val="en-US"/>
        </w:rPr>
        <w:instrText>" \f C \l 3</w:instrText>
      </w:r>
      <w:r>
        <w:rPr>
          <w:lang w:val="en-US"/>
        </w:rPr>
        <w:fldChar w:fldCharType="end"/>
      </w:r>
    </w:p>
    <w:p w:rsidR="00334F38" w:rsidRDefault="00334F38" w:rsidP="009A0D63">
      <w:pPr>
        <w:spacing w:line="360" w:lineRule="auto"/>
        <w:jc w:val="both"/>
        <w:rPr>
          <w:lang w:val="en-US"/>
        </w:rPr>
      </w:pPr>
      <w:r>
        <w:rPr>
          <w:lang w:val="en-US"/>
        </w:rPr>
        <w:t xml:space="preserve">Non-routine departures are largely associated with poor firm performance (Murphy and Zimmerman, 1993; Defond and Park, 1999; Huson, Parrino and Starks, 2001). Since sudden departure has no association with performance by a precise formula, researchers have developed several metrics. Puffer and Weintrop (1991) for example, examine earnings that have failed to meet analysts’ forecasts. Defond and Park (1999) link performance to competition in the industry by adjusting earnings to median industry performance. Yet some link turnover to events that are traumatic to the company. Gilson (1989) examines senior management changes at firms experiencing bankruptcy, default, or privately restructuring debt to avoid bankruptcy (financially distressed firms). He finds that in any given year 52% of these financially distressed firms experience turnover in senior management, as oppose to 19% for firms that are extremely unprofitable, but are not under financial distress. </w:t>
      </w:r>
    </w:p>
    <w:p w:rsidR="00334F38" w:rsidRDefault="00334F38" w:rsidP="009A0D63">
      <w:pPr>
        <w:spacing w:line="360" w:lineRule="auto"/>
        <w:jc w:val="both"/>
        <w:rPr>
          <w:lang w:val="en-US"/>
        </w:rPr>
      </w:pPr>
    </w:p>
    <w:p w:rsidR="00334F38" w:rsidRDefault="00334F38" w:rsidP="009A0D63">
      <w:pPr>
        <w:spacing w:line="360" w:lineRule="auto"/>
        <w:jc w:val="both"/>
        <w:rPr>
          <w:lang w:val="en-US"/>
        </w:rPr>
      </w:pPr>
      <w:r>
        <w:rPr>
          <w:lang w:val="en-US"/>
        </w:rPr>
        <w:t xml:space="preserve">From detecting poor firm performance to taking action for forced departure is a process that usually takes about 2-3 years (Denis and Kruse, 2000). It is not easy to ask an executive to leave due to poor performance. The manager is generally given some time to prove him- or herself. In addition, proper information must be gathered, feedback must be obtained, and so on, until the majority of the board opts for resignation. This leaves the CEO with ample time to </w:t>
      </w:r>
      <w:r w:rsidRPr="005F13B1">
        <w:rPr>
          <w:lang w:val="en-US"/>
        </w:rPr>
        <w:t>manage earnings</w:t>
      </w:r>
      <w:r>
        <w:rPr>
          <w:lang w:val="en-US"/>
        </w:rPr>
        <w:t xml:space="preserve"> in order to slow down the leak of disadvantageous information. To compensate for his/her performance he/she might</w:t>
      </w:r>
      <w:r w:rsidRPr="003E7C8B">
        <w:rPr>
          <w:lang w:val="en-US"/>
        </w:rPr>
        <w:t xml:space="preserve"> try to increase earnings giving a better image of his</w:t>
      </w:r>
      <w:r>
        <w:rPr>
          <w:lang w:val="en-US"/>
        </w:rPr>
        <w:t xml:space="preserve">/her performance. </w:t>
      </w:r>
      <w:r w:rsidRPr="003E7C8B">
        <w:rPr>
          <w:lang w:val="en-US"/>
        </w:rPr>
        <w:t xml:space="preserve">Pourciau (1993) investigates the relation between non-routine executive turnovers and discretionary accounting choices. </w:t>
      </w:r>
      <w:r>
        <w:rPr>
          <w:lang w:val="en-US"/>
        </w:rPr>
        <w:t>In her investigation she tests</w:t>
      </w:r>
      <w:r w:rsidRPr="003E7C8B">
        <w:rPr>
          <w:lang w:val="en-US"/>
        </w:rPr>
        <w:t xml:space="preserve"> the hypothesis of whether in certain situations managers make discretionary accounting choices to benefit their own interest in the case of non-routine CEO changes. </w:t>
      </w:r>
      <w:r>
        <w:rPr>
          <w:lang w:val="en-US"/>
        </w:rPr>
        <w:t xml:space="preserve">Contrary to belief, her research shows that departing CEO’s record accruals and write-offs to </w:t>
      </w:r>
      <w:r w:rsidRPr="00AB417C">
        <w:rPr>
          <w:i/>
          <w:lang w:val="en-US"/>
        </w:rPr>
        <w:t>decrease</w:t>
      </w:r>
      <w:r>
        <w:rPr>
          <w:lang w:val="en-US"/>
        </w:rPr>
        <w:t xml:space="preserve"> earnings in the year of their departure. She gave the following alternative explanations for her</w:t>
      </w:r>
      <w:r w:rsidRPr="003E7C8B">
        <w:rPr>
          <w:lang w:val="en-US"/>
        </w:rPr>
        <w:t xml:space="preserve"> results: 1) Misspecification of the time horizon in the research, 2) </w:t>
      </w:r>
      <w:r>
        <w:rPr>
          <w:lang w:val="en-US"/>
        </w:rPr>
        <w:t>there was i</w:t>
      </w:r>
      <w:r w:rsidRPr="003E7C8B">
        <w:rPr>
          <w:lang w:val="en-US"/>
        </w:rPr>
        <w:t>nadequate control for firm pe</w:t>
      </w:r>
      <w:r>
        <w:rPr>
          <w:lang w:val="en-US"/>
        </w:rPr>
        <w:t>rformance</w:t>
      </w:r>
      <w:r w:rsidRPr="003E7C8B">
        <w:rPr>
          <w:lang w:val="en-US"/>
        </w:rPr>
        <w:t xml:space="preserve"> so the results may also be caused by poor firm performance</w:t>
      </w:r>
      <w:r>
        <w:rPr>
          <w:lang w:val="en-US"/>
        </w:rPr>
        <w:t>, 3) Managers were unable</w:t>
      </w:r>
      <w:r w:rsidRPr="003E7C8B">
        <w:rPr>
          <w:lang w:val="en-US"/>
        </w:rPr>
        <w:t xml:space="preserve"> to predict his/her termination, </w:t>
      </w:r>
      <w:r>
        <w:rPr>
          <w:lang w:val="en-US"/>
        </w:rPr>
        <w:t>4</w:t>
      </w:r>
      <w:r w:rsidRPr="003E7C8B">
        <w:rPr>
          <w:lang w:val="en-US"/>
        </w:rPr>
        <w:t xml:space="preserve">) </w:t>
      </w:r>
      <w:r>
        <w:rPr>
          <w:lang w:val="en-US"/>
        </w:rPr>
        <w:t>and t</w:t>
      </w:r>
      <w:r w:rsidRPr="003E7C8B">
        <w:rPr>
          <w:lang w:val="en-US"/>
        </w:rPr>
        <w:t>he increase in monitoring due to poor firm performance.</w:t>
      </w:r>
      <w:r>
        <w:rPr>
          <w:lang w:val="en-US"/>
        </w:rPr>
        <w:t xml:space="preserve"> </w:t>
      </w:r>
    </w:p>
    <w:p w:rsidR="00334F38" w:rsidRDefault="00334F38" w:rsidP="009A0D63">
      <w:pPr>
        <w:spacing w:line="360" w:lineRule="auto"/>
        <w:jc w:val="both"/>
        <w:rPr>
          <w:lang w:val="en-US"/>
        </w:rPr>
      </w:pPr>
    </w:p>
    <w:p w:rsidR="00334F38" w:rsidRDefault="00334F38" w:rsidP="009A0D63">
      <w:pPr>
        <w:spacing w:line="360" w:lineRule="auto"/>
        <w:jc w:val="both"/>
        <w:rPr>
          <w:lang w:val="en-US"/>
        </w:rPr>
      </w:pPr>
      <w:r>
        <w:rPr>
          <w:lang w:val="en-US"/>
        </w:rPr>
        <w:t xml:space="preserve">In covering up poor firm performance through means of earnings management, one might wonder to what extent taking this risk is worth it. That is, on the one hand, covering up bad performance has the benefit of delaying a forced departure. The downfall on the other hand, when fraud is discovered, may be more damaging than involuntary departure when the executive faces the possibility of monetary penalties and/or incarceration. Desai, Hogan, and Wilkins (2006) observe a sample of 146 firms that experience turnover whilst restating earnings in the 1997-1998 periods. They found that 59.6% of restating companies experience turnover in a top managerial position within 2 years of restatement, in contrast to only 34.9% of age-, size- and industry-matched companies. Additionally, only 15% of discharged executives were able to secure a similar position at another firm, in contrast to 21% of discharged executives at the control firms. Through these findings Desai et al. suggest that displaced managers of restatement firms endure significant losses in reputation. </w:t>
      </w:r>
    </w:p>
    <w:p w:rsidR="00334F38" w:rsidRDefault="00334F38" w:rsidP="009A0D63">
      <w:pPr>
        <w:spacing w:line="360" w:lineRule="auto"/>
        <w:jc w:val="both"/>
        <w:rPr>
          <w:lang w:val="en-US"/>
        </w:rPr>
      </w:pPr>
    </w:p>
    <w:p w:rsidR="00334F38" w:rsidRPr="00A83806" w:rsidRDefault="00334F38" w:rsidP="00A83806">
      <w:pPr>
        <w:pStyle w:val="Heading3"/>
        <w:rPr>
          <w:lang w:val="en-US"/>
        </w:rPr>
      </w:pPr>
      <w:bookmarkStart w:id="51" w:name="_Toc258079446"/>
      <w:r w:rsidRPr="00A83806">
        <w:rPr>
          <w:lang w:val="en-US"/>
        </w:rPr>
        <w:t>4.1.3. Incoming Executives</w:t>
      </w:r>
      <w:bookmarkEnd w:id="51"/>
      <w:r>
        <w:rPr>
          <w:lang w:val="en-US"/>
        </w:rPr>
        <w:fldChar w:fldCharType="begin"/>
      </w:r>
      <w:r w:rsidRPr="00436804">
        <w:rPr>
          <w:lang w:val="en-US"/>
        </w:rPr>
        <w:instrText>tc "</w:instrText>
      </w:r>
      <w:bookmarkStart w:id="52" w:name="_Toc258079447"/>
      <w:r w:rsidRPr="00B74842">
        <w:rPr>
          <w:lang w:val="en-US"/>
        </w:rPr>
        <w:instrText>4.1.3. Incoming Executives</w:instrText>
      </w:r>
      <w:bookmarkEnd w:id="52"/>
      <w:r w:rsidRPr="00436804">
        <w:rPr>
          <w:lang w:val="en-US"/>
        </w:rPr>
        <w:instrText>" \f C \l 3</w:instrText>
      </w:r>
      <w:r>
        <w:rPr>
          <w:lang w:val="en-US"/>
        </w:rPr>
        <w:fldChar w:fldCharType="end"/>
      </w:r>
    </w:p>
    <w:p w:rsidR="00334F38" w:rsidRDefault="00334F38" w:rsidP="009A0D63">
      <w:pPr>
        <w:spacing w:line="360" w:lineRule="auto"/>
        <w:jc w:val="both"/>
        <w:rPr>
          <w:lang w:val="en-US"/>
        </w:rPr>
      </w:pPr>
      <w:r>
        <w:rPr>
          <w:lang w:val="en-US"/>
        </w:rPr>
        <w:t xml:space="preserve">A CEO change should not be taken likely. It may be followed by a number of occurrences, some being the following: restructuring that effect the composition and level of assets (Nam and Ronen, 2008), divesture of poorly performing assets (Weisbach, 1995), an alteration in business strategy (Bloningen &amp; Wooster, 2003), and the departure of other key individuals in the management team (Hayes, Oyer and Schaefer, 2002). From the beginning the incoming executive is put under a lot of pressure to show results. During his/hers tenure he/hers is, among other things, responsible for creating a benchmark in the first term of his performance given the fact that he has control over the reported earnings. Thus, it should come as no surprise that an abundance of studies find incoming CEO’s taking a bath by recording big charges in their first term, followed by an increase in earnings in the ensuing year. As briefly mentioned before in section 3.1.1 (Vancil, 1987) this theory tends to hold providing the departing CEO does not remain in the firm as a director. </w:t>
      </w:r>
    </w:p>
    <w:p w:rsidR="00334F38" w:rsidRDefault="00334F38" w:rsidP="009A0D63">
      <w:pPr>
        <w:spacing w:line="360" w:lineRule="auto"/>
        <w:jc w:val="both"/>
        <w:rPr>
          <w:lang w:val="en-US"/>
        </w:rPr>
      </w:pPr>
    </w:p>
    <w:p w:rsidR="00334F38" w:rsidRDefault="00334F38" w:rsidP="002E5796">
      <w:pPr>
        <w:spacing w:line="360" w:lineRule="auto"/>
        <w:jc w:val="both"/>
        <w:rPr>
          <w:lang w:val="en-US"/>
        </w:rPr>
      </w:pPr>
      <w:r>
        <w:rPr>
          <w:lang w:val="en-US"/>
        </w:rPr>
        <w:t>With respect to Pourciau’s (1993) investigation, she finds i</w:t>
      </w:r>
      <w:r w:rsidRPr="003E7C8B">
        <w:rPr>
          <w:lang w:val="en-US"/>
        </w:rPr>
        <w:t>ncoming executives record</w:t>
      </w:r>
      <w:r>
        <w:rPr>
          <w:lang w:val="en-US"/>
        </w:rPr>
        <w:t>ing</w:t>
      </w:r>
      <w:r w:rsidRPr="003E7C8B">
        <w:rPr>
          <w:lang w:val="en-US"/>
        </w:rPr>
        <w:t xml:space="preserve"> accruals and write-offs to decrease the earnings in the year of the turnover and increase earnings</w:t>
      </w:r>
      <w:r>
        <w:rPr>
          <w:lang w:val="en-US"/>
        </w:rPr>
        <w:t xml:space="preserve"> the following year. However her</w:t>
      </w:r>
      <w:r w:rsidRPr="003E7C8B">
        <w:rPr>
          <w:lang w:val="en-US"/>
        </w:rPr>
        <w:t xml:space="preserve"> results are not corrected for firm performance so the results may also be caused by </w:t>
      </w:r>
      <w:r>
        <w:rPr>
          <w:lang w:val="en-US"/>
        </w:rPr>
        <w:t>this.</w:t>
      </w:r>
      <w:r w:rsidRPr="003E7C8B">
        <w:rPr>
          <w:lang w:val="en-US"/>
        </w:rPr>
        <w:t xml:space="preserve"> In line with the findings of Pourciau (1993) are the results of Wells (2002) where “earnings baths” seemed to occur especially in the case of non-routine CEO turnovers. </w:t>
      </w:r>
    </w:p>
    <w:p w:rsidR="00334F38" w:rsidRDefault="00334F38" w:rsidP="002E5796">
      <w:pPr>
        <w:spacing w:line="360" w:lineRule="auto"/>
        <w:jc w:val="both"/>
        <w:rPr>
          <w:lang w:val="en-US"/>
        </w:rPr>
      </w:pPr>
    </w:p>
    <w:p w:rsidR="00334F38" w:rsidRDefault="00334F38" w:rsidP="002E5796">
      <w:pPr>
        <w:spacing w:line="360" w:lineRule="auto"/>
        <w:jc w:val="both"/>
        <w:rPr>
          <w:lang w:val="en-US"/>
        </w:rPr>
      </w:pPr>
      <w:r>
        <w:rPr>
          <w:lang w:val="en-US"/>
        </w:rPr>
        <w:t xml:space="preserve">The question is however whether the large write-offs to decrease earnings should be attributed to earnings management or actions more closely related to efficiency-enhancement. Nam and Ronen (2008) examine the market response to the incoming executive and the announcement of the write-off by the firm experiencing the CEO turnover. They find that markets differentiate between EM and efficiency-enhancing actions. Specifically, the market’s reaction seems to be sensitive to; whether the write-offs are due to restructuring, the manager’s performance in previous engagements (reputation) and the incoming CEO’s expertise concerning the industry in which the firm operates. </w:t>
      </w:r>
    </w:p>
    <w:p w:rsidR="00334F38" w:rsidRPr="00840E49" w:rsidRDefault="00334F38" w:rsidP="009A0D63">
      <w:pPr>
        <w:pStyle w:val="Heading2"/>
        <w:rPr>
          <w:i/>
          <w:u w:val="none"/>
          <w:lang w:val="en-US"/>
        </w:rPr>
      </w:pPr>
      <w:bookmarkStart w:id="53" w:name="_Toc223368933"/>
      <w:bookmarkStart w:id="54" w:name="_Toc258079448"/>
      <w:r w:rsidRPr="00840E49">
        <w:rPr>
          <w:i/>
          <w:u w:val="none"/>
          <w:lang w:val="en-US"/>
        </w:rPr>
        <w:t>4.</w:t>
      </w:r>
      <w:r>
        <w:rPr>
          <w:i/>
          <w:u w:val="none"/>
          <w:lang w:val="en-US"/>
        </w:rPr>
        <w:t>2.</w:t>
      </w:r>
      <w:r w:rsidRPr="00840E49">
        <w:rPr>
          <w:i/>
          <w:u w:val="none"/>
          <w:lang w:val="en-US"/>
        </w:rPr>
        <w:t xml:space="preserve"> Industry specifics</w:t>
      </w:r>
      <w:bookmarkEnd w:id="53"/>
      <w:bookmarkEnd w:id="54"/>
      <w:r>
        <w:rPr>
          <w:i/>
          <w:u w:val="none"/>
          <w:lang w:val="en-US"/>
        </w:rPr>
        <w:fldChar w:fldCharType="begin"/>
      </w:r>
      <w:r w:rsidRPr="00436804">
        <w:rPr>
          <w:lang w:val="en-US"/>
        </w:rPr>
        <w:instrText>tc "</w:instrText>
      </w:r>
      <w:bookmarkStart w:id="55" w:name="_Toc258079449"/>
      <w:r w:rsidRPr="00B74842">
        <w:rPr>
          <w:i/>
          <w:u w:val="none"/>
          <w:lang w:val="en-US"/>
        </w:rPr>
        <w:instrText>4.2. Industry specifics</w:instrText>
      </w:r>
      <w:bookmarkEnd w:id="55"/>
      <w:r w:rsidRPr="00436804">
        <w:rPr>
          <w:lang w:val="en-US"/>
        </w:rPr>
        <w:instrText>" \f C \l 2</w:instrText>
      </w:r>
      <w:r>
        <w:rPr>
          <w:i/>
          <w:u w:val="none"/>
          <w:lang w:val="en-US"/>
        </w:rPr>
        <w:fldChar w:fldCharType="end"/>
      </w:r>
    </w:p>
    <w:p w:rsidR="00334F38" w:rsidRPr="003E7C8B" w:rsidRDefault="00334F38" w:rsidP="009A0D63">
      <w:pPr>
        <w:spacing w:line="360" w:lineRule="auto"/>
        <w:jc w:val="both"/>
        <w:rPr>
          <w:lang w:val="en-US"/>
        </w:rPr>
      </w:pPr>
      <w:r w:rsidRPr="003E7C8B">
        <w:rPr>
          <w:lang w:val="en-US"/>
        </w:rPr>
        <w:t xml:space="preserve">Besides the </w:t>
      </w:r>
      <w:r>
        <w:rPr>
          <w:lang w:val="en-US"/>
        </w:rPr>
        <w:t xml:space="preserve">usual circumstances (poor performance, ending tenure) that cause a </w:t>
      </w:r>
      <w:r w:rsidRPr="003E7C8B">
        <w:rPr>
          <w:lang w:val="en-US"/>
        </w:rPr>
        <w:t xml:space="preserve">CEO change, there </w:t>
      </w:r>
      <w:r>
        <w:rPr>
          <w:lang w:val="en-US"/>
        </w:rPr>
        <w:t>are also o</w:t>
      </w:r>
      <w:r w:rsidRPr="003E7C8B">
        <w:rPr>
          <w:lang w:val="en-US"/>
        </w:rPr>
        <w:t xml:space="preserve">ther factors </w:t>
      </w:r>
      <w:r>
        <w:rPr>
          <w:lang w:val="en-US"/>
        </w:rPr>
        <w:t>that are of influence. In this section I will</w:t>
      </w:r>
      <w:r w:rsidRPr="003E7C8B">
        <w:rPr>
          <w:lang w:val="en-US"/>
        </w:rPr>
        <w:t xml:space="preserve"> discuss how the type of industry the firm</w:t>
      </w:r>
      <w:r>
        <w:rPr>
          <w:lang w:val="en-US"/>
        </w:rPr>
        <w:t xml:space="preserve"> is operating in, influences</w:t>
      </w:r>
      <w:r w:rsidRPr="003E7C8B">
        <w:rPr>
          <w:lang w:val="en-US"/>
        </w:rPr>
        <w:t xml:space="preserve"> CEO turnovers. </w:t>
      </w:r>
      <w:r>
        <w:rPr>
          <w:lang w:val="en-US"/>
        </w:rPr>
        <w:t>With this in mind there can be two possible cases</w:t>
      </w:r>
      <w:r w:rsidRPr="003E7C8B">
        <w:rPr>
          <w:lang w:val="en-US"/>
        </w:rPr>
        <w:t xml:space="preserve">. The first </w:t>
      </w:r>
      <w:r>
        <w:rPr>
          <w:lang w:val="en-US"/>
        </w:rPr>
        <w:t>one being that a</w:t>
      </w:r>
      <w:r w:rsidRPr="003E7C8B">
        <w:rPr>
          <w:lang w:val="en-US"/>
        </w:rPr>
        <w:t xml:space="preserve"> firm operates in a </w:t>
      </w:r>
      <w:r w:rsidRPr="002E5796">
        <w:rPr>
          <w:i/>
          <w:lang w:val="en-US"/>
        </w:rPr>
        <w:t>homogeneous</w:t>
      </w:r>
      <w:r w:rsidRPr="003E7C8B">
        <w:rPr>
          <w:lang w:val="en-US"/>
        </w:rPr>
        <w:t xml:space="preserve"> industry, where there are a large number of similar firms operating. The second </w:t>
      </w:r>
      <w:r>
        <w:rPr>
          <w:lang w:val="en-US"/>
        </w:rPr>
        <w:t>case involves a</w:t>
      </w:r>
      <w:r w:rsidRPr="003E7C8B">
        <w:rPr>
          <w:lang w:val="en-US"/>
        </w:rPr>
        <w:t xml:space="preserve"> </w:t>
      </w:r>
      <w:r w:rsidRPr="002E5796">
        <w:rPr>
          <w:i/>
          <w:lang w:val="en-US"/>
        </w:rPr>
        <w:t>heterogeneous</w:t>
      </w:r>
      <w:r w:rsidRPr="003E7C8B">
        <w:rPr>
          <w:lang w:val="en-US"/>
        </w:rPr>
        <w:t xml:space="preserve"> industry where there a</w:t>
      </w:r>
      <w:r>
        <w:rPr>
          <w:lang w:val="en-US"/>
        </w:rPr>
        <w:t>re a</w:t>
      </w:r>
      <w:r w:rsidRPr="003E7C8B">
        <w:rPr>
          <w:lang w:val="en-US"/>
        </w:rPr>
        <w:t xml:space="preserve"> small amount of similar firms operating in that industry.</w:t>
      </w:r>
    </w:p>
    <w:p w:rsidR="00334F38" w:rsidRPr="003E7C8B" w:rsidRDefault="00334F38" w:rsidP="009A0D63">
      <w:pPr>
        <w:spacing w:line="360" w:lineRule="auto"/>
        <w:jc w:val="both"/>
        <w:rPr>
          <w:lang w:val="en-US"/>
        </w:rPr>
      </w:pPr>
      <w:r w:rsidRPr="003E7C8B">
        <w:rPr>
          <w:lang w:val="en-US"/>
        </w:rPr>
        <w:t>Parrino</w:t>
      </w:r>
      <w:r>
        <w:rPr>
          <w:lang w:val="en-US"/>
        </w:rPr>
        <w:t>’s study</w:t>
      </w:r>
      <w:r w:rsidRPr="003E7C8B">
        <w:rPr>
          <w:lang w:val="en-US"/>
        </w:rPr>
        <w:t xml:space="preserve"> (1997) concludes that in homogeneous industries, poor</w:t>
      </w:r>
      <w:r>
        <w:rPr>
          <w:lang w:val="en-US"/>
        </w:rPr>
        <w:t>ly performing</w:t>
      </w:r>
      <w:r w:rsidRPr="003E7C8B">
        <w:rPr>
          <w:lang w:val="en-US"/>
        </w:rPr>
        <w:t xml:space="preserve"> CEOs are easier to identify and cheaper to replace than in heterogeneous industries. The lik</w:t>
      </w:r>
      <w:r>
        <w:rPr>
          <w:lang w:val="en-US"/>
        </w:rPr>
        <w:t>elihood of a forced turnover followed by the</w:t>
      </w:r>
      <w:r w:rsidRPr="003E7C8B">
        <w:rPr>
          <w:lang w:val="en-US"/>
        </w:rPr>
        <w:t xml:space="preserve"> appointment of a CEO from the same industry increase</w:t>
      </w:r>
      <w:r>
        <w:rPr>
          <w:lang w:val="en-US"/>
        </w:rPr>
        <w:t>s in a homogeneous industry. This</w:t>
      </w:r>
      <w:r w:rsidRPr="003E7C8B">
        <w:rPr>
          <w:lang w:val="en-US"/>
        </w:rPr>
        <w:t xml:space="preserve"> implicate</w:t>
      </w:r>
      <w:r>
        <w:rPr>
          <w:lang w:val="en-US"/>
        </w:rPr>
        <w:t>s</w:t>
      </w:r>
      <w:r w:rsidRPr="003E7C8B">
        <w:rPr>
          <w:lang w:val="en-US"/>
        </w:rPr>
        <w:t xml:space="preserve"> that in an industry with similar firms, the chances of a non-routine turnover are greater than in a heterogeneous industry</w:t>
      </w:r>
      <w:r>
        <w:rPr>
          <w:lang w:val="en-US"/>
        </w:rPr>
        <w:t>.</w:t>
      </w:r>
    </w:p>
    <w:p w:rsidR="00334F38" w:rsidRPr="003E7C8B" w:rsidRDefault="00334F38" w:rsidP="00AB122C">
      <w:pPr>
        <w:spacing w:line="360" w:lineRule="auto"/>
        <w:rPr>
          <w:lang w:val="en-US"/>
        </w:rPr>
      </w:pPr>
    </w:p>
    <w:p w:rsidR="00334F38" w:rsidRPr="00840E49" w:rsidRDefault="00334F38" w:rsidP="00BB6C2C">
      <w:pPr>
        <w:pStyle w:val="Heading2"/>
        <w:rPr>
          <w:i/>
          <w:u w:val="none"/>
          <w:lang w:val="en-US"/>
        </w:rPr>
      </w:pPr>
      <w:bookmarkStart w:id="56" w:name="_Toc223368934"/>
      <w:bookmarkStart w:id="57" w:name="_Toc258079450"/>
      <w:r>
        <w:rPr>
          <w:i/>
          <w:u w:val="none"/>
          <w:lang w:val="en-US"/>
        </w:rPr>
        <w:t>4.3</w:t>
      </w:r>
      <w:r w:rsidRPr="00840E49">
        <w:rPr>
          <w:i/>
          <w:u w:val="none"/>
          <w:lang w:val="en-US"/>
        </w:rPr>
        <w:t>. Impression Management</w:t>
      </w:r>
      <w:bookmarkEnd w:id="56"/>
      <w:bookmarkEnd w:id="57"/>
      <w:r>
        <w:rPr>
          <w:i/>
          <w:u w:val="none"/>
          <w:lang w:val="en-US"/>
        </w:rPr>
        <w:fldChar w:fldCharType="begin"/>
      </w:r>
      <w:r w:rsidRPr="00436804">
        <w:rPr>
          <w:lang w:val="en-US"/>
        </w:rPr>
        <w:instrText>tc "</w:instrText>
      </w:r>
      <w:bookmarkStart w:id="58" w:name="_Toc258079451"/>
      <w:r w:rsidRPr="00B74842">
        <w:rPr>
          <w:i/>
          <w:u w:val="none"/>
          <w:lang w:val="en-US"/>
        </w:rPr>
        <w:instrText>4.3. Impression Management</w:instrText>
      </w:r>
      <w:bookmarkEnd w:id="58"/>
      <w:r w:rsidRPr="00436804">
        <w:rPr>
          <w:lang w:val="en-US"/>
        </w:rPr>
        <w:instrText>" \f C \l 2</w:instrText>
      </w:r>
      <w:r>
        <w:rPr>
          <w:i/>
          <w:u w:val="none"/>
          <w:lang w:val="en-US"/>
        </w:rPr>
        <w:fldChar w:fldCharType="end"/>
      </w:r>
    </w:p>
    <w:p w:rsidR="00334F38" w:rsidRPr="00863439" w:rsidRDefault="00334F38" w:rsidP="00532D4C">
      <w:pPr>
        <w:spacing w:line="360" w:lineRule="auto"/>
        <w:jc w:val="both"/>
        <w:rPr>
          <w:rStyle w:val="Emphasis"/>
          <w:i w:val="0"/>
          <w:lang w:val="en-US"/>
        </w:rPr>
      </w:pPr>
      <w:r w:rsidRPr="00863439">
        <w:rPr>
          <w:rStyle w:val="Emphasis"/>
          <w:i w:val="0"/>
          <w:lang w:val="en-US"/>
        </w:rPr>
        <w:t xml:space="preserve">In the case of </w:t>
      </w:r>
      <w:r w:rsidRPr="00E57BC3">
        <w:rPr>
          <w:rStyle w:val="Emphasis"/>
          <w:lang w:val="en-US"/>
        </w:rPr>
        <w:t>Impression Management</w:t>
      </w:r>
      <w:r w:rsidRPr="00863439">
        <w:rPr>
          <w:rStyle w:val="Emphasis"/>
          <w:i w:val="0"/>
          <w:lang w:val="en-US"/>
        </w:rPr>
        <w:t xml:space="preserve"> the focus lies on the manipulation of graphs to give the stakeholders a more favorable impression of the performance of the managers. Although this paper will not focus on impression management, it is important to </w:t>
      </w:r>
      <w:r>
        <w:rPr>
          <w:rStyle w:val="Emphasis"/>
          <w:i w:val="0"/>
          <w:lang w:val="en-US"/>
        </w:rPr>
        <w:t>bring to light, s</w:t>
      </w:r>
      <w:r w:rsidRPr="00863439">
        <w:rPr>
          <w:rStyle w:val="Emphasis"/>
          <w:i w:val="0"/>
          <w:lang w:val="en-US"/>
        </w:rPr>
        <w:t xml:space="preserve">ince research shows that earnings management and impression management </w:t>
      </w:r>
      <w:r>
        <w:rPr>
          <w:rStyle w:val="Emphasis"/>
          <w:i w:val="0"/>
          <w:lang w:val="en-US"/>
        </w:rPr>
        <w:t>do not</w:t>
      </w:r>
      <w:r w:rsidRPr="00863439">
        <w:rPr>
          <w:rStyle w:val="Emphasis"/>
          <w:i w:val="0"/>
          <w:lang w:val="en-US"/>
        </w:rPr>
        <w:t xml:space="preserve"> occur simultaneously</w:t>
      </w:r>
      <w:r>
        <w:rPr>
          <w:rStyle w:val="Emphasis"/>
          <w:i w:val="0"/>
          <w:lang w:val="en-US"/>
        </w:rPr>
        <w:t>. Managers may also have the incentives to manage both earnings</w:t>
      </w:r>
      <w:r w:rsidRPr="00863439">
        <w:rPr>
          <w:rStyle w:val="Emphasis"/>
          <w:i w:val="0"/>
          <w:lang w:val="en-US"/>
        </w:rPr>
        <w:t xml:space="preserve"> and impressions (Godfrey et al. 2003). Godfrey et al. (2003) investigate earnings management and the presentational format of graphs around the change of CEOs. </w:t>
      </w:r>
      <w:r>
        <w:rPr>
          <w:rStyle w:val="Emphasis"/>
          <w:i w:val="0"/>
          <w:lang w:val="en-US"/>
        </w:rPr>
        <w:t>Here the presentational format of graphs is seen as impression management.</w:t>
      </w:r>
      <w:r w:rsidRPr="00863439">
        <w:rPr>
          <w:rStyle w:val="Emphasis"/>
          <w:i w:val="0"/>
          <w:lang w:val="en-US"/>
        </w:rPr>
        <w:t xml:space="preserve"> The authors argue that incoming managers have incentives to manage earnings and also to manipulate the graphs in financial reports in a favorable way. The benefit about observing earnings management and impression management at the same time is that it allows distinguishing between alternative explanations for any case of earnings management. Evidence is found to support the hypothesis of downward earnings management in the year of a CEO turnover. Also limited evidence is found of unfavorable impression management of key financial variable graphs. In the year following the CEO turnover, evidence is found to support upward earnings management. </w:t>
      </w:r>
      <w:r>
        <w:rPr>
          <w:rStyle w:val="Emphasis"/>
          <w:i w:val="0"/>
          <w:lang w:val="en-US"/>
        </w:rPr>
        <w:t xml:space="preserve">In turn some evidence is found supporting </w:t>
      </w:r>
      <w:r w:rsidRPr="00863439">
        <w:rPr>
          <w:rStyle w:val="Emphasis"/>
          <w:i w:val="0"/>
          <w:lang w:val="en-US"/>
        </w:rPr>
        <w:t>favorable impression management in the year following a CEO turnover. These results appear to be strongest in the case of an executive resignation instead of a retirement.</w:t>
      </w:r>
    </w:p>
    <w:p w:rsidR="00334F38" w:rsidRDefault="00334F38" w:rsidP="00532D4C">
      <w:pPr>
        <w:pStyle w:val="Heading1"/>
        <w:rPr>
          <w:rStyle w:val="Emphasis"/>
          <w:i w:val="0"/>
          <w:lang w:val="en-US"/>
        </w:rPr>
      </w:pPr>
      <w:bookmarkStart w:id="59" w:name="_Toc223368935"/>
    </w:p>
    <w:p w:rsidR="00334F38" w:rsidRDefault="00334F38" w:rsidP="00532D4C">
      <w:pPr>
        <w:pStyle w:val="Heading1"/>
        <w:rPr>
          <w:rStyle w:val="Emphasis"/>
          <w:i w:val="0"/>
          <w:lang w:val="en-US"/>
        </w:rPr>
      </w:pPr>
    </w:p>
    <w:p w:rsidR="00334F38" w:rsidRDefault="00334F38" w:rsidP="00532D4C">
      <w:pPr>
        <w:pStyle w:val="Heading1"/>
        <w:rPr>
          <w:rStyle w:val="Emphasis"/>
          <w:i w:val="0"/>
          <w:lang w:val="en-US"/>
        </w:rPr>
      </w:pPr>
    </w:p>
    <w:p w:rsidR="00334F38" w:rsidRDefault="00334F38" w:rsidP="00532D4C">
      <w:pPr>
        <w:pStyle w:val="Heading1"/>
        <w:rPr>
          <w:rStyle w:val="Emphasis"/>
          <w:i w:val="0"/>
          <w:lang w:val="en-US"/>
        </w:rPr>
      </w:pPr>
    </w:p>
    <w:p w:rsidR="00334F38" w:rsidRDefault="00334F38" w:rsidP="00532D4C">
      <w:pPr>
        <w:pStyle w:val="Heading1"/>
        <w:rPr>
          <w:rStyle w:val="Emphasis"/>
          <w:i w:val="0"/>
          <w:lang w:val="en-US"/>
        </w:rPr>
      </w:pPr>
    </w:p>
    <w:p w:rsidR="00334F38" w:rsidRDefault="00334F38" w:rsidP="00532D4C">
      <w:pPr>
        <w:pStyle w:val="Heading1"/>
        <w:rPr>
          <w:rStyle w:val="Emphasis"/>
          <w:i w:val="0"/>
          <w:lang w:val="en-US"/>
        </w:rPr>
      </w:pPr>
    </w:p>
    <w:p w:rsidR="00334F38" w:rsidRDefault="00334F38" w:rsidP="00532D4C">
      <w:pPr>
        <w:pStyle w:val="Heading1"/>
        <w:rPr>
          <w:rStyle w:val="Emphasis"/>
          <w:i w:val="0"/>
          <w:lang w:val="en-US"/>
        </w:rPr>
      </w:pPr>
    </w:p>
    <w:p w:rsidR="00334F38" w:rsidRDefault="00334F38" w:rsidP="00532D4C">
      <w:pPr>
        <w:pStyle w:val="Heading1"/>
        <w:rPr>
          <w:rStyle w:val="Emphasis"/>
          <w:i w:val="0"/>
          <w:lang w:val="en-US"/>
        </w:rPr>
      </w:pPr>
    </w:p>
    <w:p w:rsidR="00334F38" w:rsidRDefault="00334F38" w:rsidP="00532D4C">
      <w:pPr>
        <w:pStyle w:val="Heading1"/>
        <w:rPr>
          <w:rStyle w:val="Emphasis"/>
          <w:i w:val="0"/>
          <w:lang w:val="en-US"/>
        </w:rPr>
      </w:pPr>
    </w:p>
    <w:p w:rsidR="00334F38" w:rsidRDefault="00334F38" w:rsidP="00532D4C">
      <w:pPr>
        <w:pStyle w:val="Heading1"/>
        <w:rPr>
          <w:rStyle w:val="Emphasis"/>
          <w:i w:val="0"/>
          <w:lang w:val="en-US"/>
        </w:rPr>
      </w:pPr>
    </w:p>
    <w:p w:rsidR="00334F38" w:rsidRDefault="00334F38" w:rsidP="00532D4C">
      <w:pPr>
        <w:pStyle w:val="Heading1"/>
        <w:rPr>
          <w:rStyle w:val="Emphasis"/>
          <w:i w:val="0"/>
          <w:lang w:val="en-US"/>
        </w:rPr>
      </w:pPr>
    </w:p>
    <w:p w:rsidR="00334F38" w:rsidRDefault="00334F38" w:rsidP="00532D4C">
      <w:pPr>
        <w:pStyle w:val="Heading1"/>
        <w:rPr>
          <w:rStyle w:val="Emphasis"/>
          <w:i w:val="0"/>
          <w:lang w:val="en-US"/>
        </w:rPr>
      </w:pPr>
    </w:p>
    <w:p w:rsidR="00334F38" w:rsidRDefault="00334F38" w:rsidP="00532D4C">
      <w:pPr>
        <w:pStyle w:val="Heading1"/>
        <w:rPr>
          <w:rStyle w:val="Emphasis"/>
          <w:i w:val="0"/>
          <w:lang w:val="en-US"/>
        </w:rPr>
      </w:pPr>
    </w:p>
    <w:p w:rsidR="00334F38" w:rsidRDefault="00334F38" w:rsidP="00532D4C">
      <w:pPr>
        <w:pStyle w:val="Heading1"/>
        <w:rPr>
          <w:rStyle w:val="Emphasis"/>
          <w:i w:val="0"/>
          <w:lang w:val="en-US"/>
        </w:rPr>
      </w:pPr>
    </w:p>
    <w:p w:rsidR="00334F38" w:rsidRDefault="00334F38" w:rsidP="00532D4C">
      <w:pPr>
        <w:pStyle w:val="Heading1"/>
        <w:rPr>
          <w:rStyle w:val="Emphasis"/>
          <w:i w:val="0"/>
          <w:lang w:val="en-US"/>
        </w:rPr>
      </w:pPr>
    </w:p>
    <w:p w:rsidR="00334F38" w:rsidRDefault="00334F38" w:rsidP="00532D4C">
      <w:pPr>
        <w:pStyle w:val="Heading1"/>
        <w:rPr>
          <w:rStyle w:val="Emphasis"/>
          <w:i w:val="0"/>
          <w:lang w:val="en-US"/>
        </w:rPr>
      </w:pPr>
    </w:p>
    <w:p w:rsidR="00334F38" w:rsidRDefault="00334F38" w:rsidP="00532D4C">
      <w:pPr>
        <w:pStyle w:val="Heading1"/>
        <w:rPr>
          <w:rStyle w:val="Emphasis"/>
          <w:i w:val="0"/>
          <w:lang w:val="en-US"/>
        </w:rPr>
      </w:pPr>
    </w:p>
    <w:p w:rsidR="00334F38" w:rsidRDefault="00334F38" w:rsidP="00532D4C">
      <w:pPr>
        <w:pStyle w:val="Heading1"/>
        <w:rPr>
          <w:rStyle w:val="Emphasis"/>
          <w:i w:val="0"/>
          <w:lang w:val="en-US"/>
        </w:rPr>
      </w:pPr>
    </w:p>
    <w:p w:rsidR="00334F38" w:rsidRDefault="00334F38" w:rsidP="00532D4C">
      <w:pPr>
        <w:pStyle w:val="Heading1"/>
        <w:rPr>
          <w:rStyle w:val="Emphasis"/>
          <w:i w:val="0"/>
          <w:lang w:val="en-US"/>
        </w:rPr>
      </w:pPr>
    </w:p>
    <w:p w:rsidR="00334F38" w:rsidRDefault="00334F38" w:rsidP="00532D4C">
      <w:pPr>
        <w:pStyle w:val="Heading1"/>
        <w:rPr>
          <w:rStyle w:val="Emphasis"/>
          <w:i w:val="0"/>
          <w:lang w:val="en-US"/>
        </w:rPr>
      </w:pPr>
    </w:p>
    <w:p w:rsidR="00334F38" w:rsidRDefault="00334F38" w:rsidP="00B25421">
      <w:pPr>
        <w:rPr>
          <w:lang w:val="en-US"/>
        </w:rPr>
      </w:pPr>
    </w:p>
    <w:p w:rsidR="00334F38" w:rsidRPr="00B25421" w:rsidRDefault="00334F38" w:rsidP="00B25421">
      <w:pPr>
        <w:rPr>
          <w:lang w:val="en-US"/>
        </w:rPr>
      </w:pPr>
    </w:p>
    <w:p w:rsidR="00334F38" w:rsidRDefault="00334F38" w:rsidP="00532D4C">
      <w:pPr>
        <w:pStyle w:val="Heading1"/>
        <w:rPr>
          <w:rStyle w:val="Emphasis"/>
          <w:i w:val="0"/>
          <w:lang w:val="en-US"/>
        </w:rPr>
      </w:pPr>
    </w:p>
    <w:p w:rsidR="00334F38" w:rsidRPr="00622E0E" w:rsidRDefault="00334F38" w:rsidP="00532D4C">
      <w:pPr>
        <w:pStyle w:val="Heading1"/>
        <w:rPr>
          <w:rStyle w:val="Emphasis"/>
          <w:rFonts w:ascii="Calibri" w:hAnsi="Calibri"/>
          <w:b w:val="0"/>
          <w:i w:val="0"/>
          <w:sz w:val="24"/>
          <w:szCs w:val="24"/>
          <w:lang w:val="en-US"/>
        </w:rPr>
      </w:pPr>
      <w:bookmarkStart w:id="60" w:name="_Toc258079452"/>
      <w:r w:rsidRPr="00622E0E">
        <w:rPr>
          <w:rStyle w:val="Emphasis"/>
          <w:rFonts w:ascii="Calibri" w:hAnsi="Calibri"/>
          <w:i w:val="0"/>
          <w:lang w:val="en-US"/>
        </w:rPr>
        <w:t xml:space="preserve">Chapter </w:t>
      </w:r>
      <w:bookmarkEnd w:id="59"/>
      <w:r w:rsidRPr="00622E0E">
        <w:rPr>
          <w:rStyle w:val="Emphasis"/>
          <w:rFonts w:ascii="Calibri" w:hAnsi="Calibri"/>
          <w:i w:val="0"/>
          <w:lang w:val="en-US"/>
        </w:rPr>
        <w:t xml:space="preserve">5                                                                                </w:t>
      </w:r>
      <w:r>
        <w:rPr>
          <w:rStyle w:val="Emphasis"/>
          <w:rFonts w:ascii="Calibri" w:hAnsi="Calibri"/>
          <w:i w:val="0"/>
          <w:lang w:val="en-US"/>
        </w:rPr>
        <w:t xml:space="preserve">             </w:t>
      </w:r>
      <w:r w:rsidRPr="00622E0E">
        <w:rPr>
          <w:rStyle w:val="Emphasis"/>
          <w:rFonts w:ascii="Calibri" w:hAnsi="Calibri"/>
          <w:i w:val="0"/>
          <w:lang w:val="en-US"/>
        </w:rPr>
        <w:t xml:space="preserve">  Research Design</w:t>
      </w:r>
      <w:bookmarkEnd w:id="60"/>
      <w:r>
        <w:rPr>
          <w:rStyle w:val="Emphasis"/>
          <w:rFonts w:ascii="Calibri" w:hAnsi="Calibri"/>
          <w:i w:val="0"/>
          <w:lang w:val="en-US"/>
        </w:rPr>
        <w:fldChar w:fldCharType="begin"/>
      </w:r>
      <w:r w:rsidRPr="00622E0E">
        <w:rPr>
          <w:rFonts w:ascii="Calibri" w:hAnsi="Calibri"/>
          <w:lang w:val="en-US"/>
        </w:rPr>
        <w:instrText>tc "</w:instrText>
      </w:r>
      <w:bookmarkStart w:id="61" w:name="_Toc258079453"/>
      <w:r w:rsidRPr="00622E0E">
        <w:rPr>
          <w:rStyle w:val="Emphasis"/>
          <w:rFonts w:ascii="Calibri" w:hAnsi="Calibri"/>
          <w:i w:val="0"/>
          <w:lang w:val="en-US"/>
        </w:rPr>
        <w:instrText>Chapter 5                                                                                    Research Design</w:instrText>
      </w:r>
      <w:bookmarkEnd w:id="61"/>
      <w:r w:rsidRPr="00622E0E">
        <w:rPr>
          <w:rFonts w:ascii="Calibri" w:hAnsi="Calibri"/>
          <w:lang w:val="en-US"/>
        </w:rPr>
        <w:instrText>" \f C \l 1</w:instrText>
      </w:r>
      <w:r>
        <w:rPr>
          <w:rStyle w:val="Emphasis"/>
          <w:rFonts w:ascii="Calibri" w:hAnsi="Calibri"/>
          <w:i w:val="0"/>
          <w:lang w:val="en-US"/>
        </w:rPr>
        <w:fldChar w:fldCharType="end"/>
      </w:r>
    </w:p>
    <w:p w:rsidR="00334F38" w:rsidRPr="00532D4C" w:rsidRDefault="00334F38" w:rsidP="00532D4C">
      <w:pPr>
        <w:rPr>
          <w:lang w:val="en-US"/>
        </w:rPr>
      </w:pPr>
    </w:p>
    <w:p w:rsidR="00334F38" w:rsidRPr="00532D4C" w:rsidRDefault="00334F38" w:rsidP="00C13963">
      <w:pPr>
        <w:rPr>
          <w:lang w:val="en-US"/>
        </w:rPr>
      </w:pPr>
    </w:p>
    <w:p w:rsidR="00334F38" w:rsidRPr="00B5565A" w:rsidRDefault="00334F38" w:rsidP="007B230B">
      <w:pPr>
        <w:pStyle w:val="Heading2"/>
        <w:rPr>
          <w:i/>
          <w:u w:val="none"/>
          <w:lang w:val="en-US"/>
        </w:rPr>
      </w:pPr>
      <w:bookmarkStart w:id="62" w:name="_Toc223368936"/>
      <w:bookmarkStart w:id="63" w:name="_Toc258079454"/>
      <w:r w:rsidRPr="00B5565A">
        <w:rPr>
          <w:i/>
          <w:u w:val="none"/>
          <w:lang w:val="en-US"/>
        </w:rPr>
        <w:t>5.1. Hypothesis</w:t>
      </w:r>
      <w:bookmarkEnd w:id="62"/>
      <w:bookmarkEnd w:id="63"/>
      <w:r>
        <w:rPr>
          <w:i/>
          <w:u w:val="none"/>
          <w:lang w:val="en-US"/>
        </w:rPr>
        <w:fldChar w:fldCharType="begin"/>
      </w:r>
      <w:r w:rsidRPr="00436804">
        <w:rPr>
          <w:lang w:val="en-US"/>
        </w:rPr>
        <w:instrText>tc "</w:instrText>
      </w:r>
      <w:bookmarkStart w:id="64" w:name="_Toc258079455"/>
      <w:r w:rsidRPr="00B74842">
        <w:rPr>
          <w:i/>
          <w:u w:val="none"/>
          <w:lang w:val="en-US"/>
        </w:rPr>
        <w:instrText>5.1. Hypothesis</w:instrText>
      </w:r>
      <w:bookmarkEnd w:id="64"/>
      <w:r w:rsidRPr="00436804">
        <w:rPr>
          <w:lang w:val="en-US"/>
        </w:rPr>
        <w:instrText>" \f C \l 2</w:instrText>
      </w:r>
      <w:r>
        <w:rPr>
          <w:i/>
          <w:u w:val="none"/>
          <w:lang w:val="en-US"/>
        </w:rPr>
        <w:fldChar w:fldCharType="end"/>
      </w:r>
    </w:p>
    <w:p w:rsidR="00334F38" w:rsidRDefault="00334F38" w:rsidP="007B230B">
      <w:pPr>
        <w:autoSpaceDE w:val="0"/>
        <w:autoSpaceDN w:val="0"/>
        <w:adjustRightInd w:val="0"/>
        <w:spacing w:line="360" w:lineRule="auto"/>
        <w:jc w:val="both"/>
        <w:rPr>
          <w:lang w:val="en-US"/>
        </w:rPr>
      </w:pPr>
      <w:r w:rsidRPr="003E7C8B">
        <w:rPr>
          <w:lang w:val="en-US"/>
        </w:rPr>
        <w:t xml:space="preserve">When confronted with a CEO turnover, the incoming CEO manages the financial reports by attributing poor performance to his/her predecessors while also creating a plateau to increase future performance based compensation based on accounting data (e.g. big bath, earnings bath). This will create a more desirable plateau </w:t>
      </w:r>
      <w:r>
        <w:rPr>
          <w:lang w:val="en-US"/>
        </w:rPr>
        <w:t xml:space="preserve">from </w:t>
      </w:r>
      <w:r w:rsidRPr="003E7C8B">
        <w:rPr>
          <w:lang w:val="en-US"/>
        </w:rPr>
        <w:t>which future</w:t>
      </w:r>
      <w:r>
        <w:rPr>
          <w:lang w:val="en-US"/>
        </w:rPr>
        <w:t xml:space="preserve"> earnings can be compared. Different researches share the same results where the incoming CEO takes a big bath which is usually followed by an increase in earnings in the following year (Godfrey et al. 2003; Murphy 1992; Pourciau 1993; Wells 2002).</w:t>
      </w:r>
    </w:p>
    <w:p w:rsidR="00334F38" w:rsidRDefault="00334F38" w:rsidP="007B230B">
      <w:pPr>
        <w:autoSpaceDE w:val="0"/>
        <w:autoSpaceDN w:val="0"/>
        <w:adjustRightInd w:val="0"/>
        <w:spacing w:line="360" w:lineRule="auto"/>
        <w:jc w:val="both"/>
        <w:rPr>
          <w:lang w:val="en-US"/>
        </w:rPr>
      </w:pPr>
      <w:r>
        <w:rPr>
          <w:lang w:val="en-US"/>
        </w:rPr>
        <w:t xml:space="preserve">Pourciau (1993) and Godfrey et al. (2003) show evidence that the outgoing CEOs decrease earnings in the year of the CEO change. These results seem to be contradicting the results of Wells (2002) and Murphy (1992) which state that the outgoing CEOs increase the earnings in the year of their departure. Most likely this is done with the intention to acquire a larger bonus right before the departure, which can be a clear example of the difference in goals between the principle and agent (agency theory). It seems that there is not a common ground in whether the outgoing CEO increases or decreases the earnings in the year of the CEO change. Therefore this paper will focus primarily on the possible big bath event that different researchers share the same results on. Based on the evidence pertaining to incoming CEOs in the United States (Godfrey et al. 2003; Murphy 1992; Pourciau 1993), this thesis assumes that the pre-crisis period in the United States (before 2007) shows signs of decreased earnings management in the year of the CEO turnover. </w:t>
      </w:r>
    </w:p>
    <w:p w:rsidR="00334F38" w:rsidRDefault="00334F38" w:rsidP="00426640">
      <w:pPr>
        <w:autoSpaceDE w:val="0"/>
        <w:autoSpaceDN w:val="0"/>
        <w:adjustRightInd w:val="0"/>
        <w:spacing w:line="360" w:lineRule="auto"/>
        <w:jc w:val="both"/>
        <w:rPr>
          <w:lang w:val="en-US"/>
        </w:rPr>
      </w:pPr>
      <w:r>
        <w:rPr>
          <w:lang w:val="en-US"/>
        </w:rPr>
        <w:t>The goal here is to figure out whether signs of earnings bath are still as notable through times of financial crisis as they are through times of economic flourishing or otherwise. Kothari et al.’s (2005) research controlled for firm performance by use of a control sample, which is created by matching the sampled firms on the ground of performance in the same industry. I will use the same method to control for firm performance during 2008</w:t>
      </w:r>
      <w:r>
        <w:rPr>
          <w:rStyle w:val="FootnoteReference"/>
          <w:lang w:val="en-US"/>
        </w:rPr>
        <w:footnoteReference w:id="15"/>
      </w:r>
      <w:r>
        <w:rPr>
          <w:lang w:val="en-US"/>
        </w:rPr>
        <w:t xml:space="preserve">. </w:t>
      </w:r>
      <w:r>
        <w:rPr>
          <w:lang w:val="en-US"/>
        </w:rPr>
        <w:tab/>
      </w:r>
    </w:p>
    <w:p w:rsidR="00334F38" w:rsidRDefault="00334F38" w:rsidP="00616289">
      <w:pPr>
        <w:autoSpaceDE w:val="0"/>
        <w:autoSpaceDN w:val="0"/>
        <w:adjustRightInd w:val="0"/>
        <w:spacing w:line="360" w:lineRule="auto"/>
        <w:jc w:val="both"/>
        <w:rPr>
          <w:lang w:val="en-US"/>
        </w:rPr>
      </w:pPr>
      <w:r w:rsidRPr="003E7C8B">
        <w:rPr>
          <w:lang w:val="en-US"/>
        </w:rPr>
        <w:t>Recently the world has been confronted with the Global Financial Crisis. The effects of this crisis cannot only be felt in the financial world but also in other industries. This brings an interesting opportunit</w:t>
      </w:r>
      <w:r>
        <w:rPr>
          <w:lang w:val="en-US"/>
        </w:rPr>
        <w:t>y to investigate how these troubling times affect</w:t>
      </w:r>
      <w:r w:rsidRPr="003E7C8B">
        <w:rPr>
          <w:lang w:val="en-US"/>
        </w:rPr>
        <w:t xml:space="preserve"> th</w:t>
      </w:r>
      <w:r>
        <w:rPr>
          <w:lang w:val="en-US"/>
        </w:rPr>
        <w:t>e accounting world in relation to earnings management. Research</w:t>
      </w:r>
      <w:r w:rsidRPr="003E7C8B">
        <w:rPr>
          <w:lang w:val="en-US"/>
        </w:rPr>
        <w:t xml:space="preserve"> will </w:t>
      </w:r>
      <w:r>
        <w:rPr>
          <w:lang w:val="en-US"/>
        </w:rPr>
        <w:t>take place in the period where the financial crisis was most apparent, namely in 2008. This paper acknowledges that during the financial crisis firms will endure a limit in earnings performance. Managers will feel a growing pressure from external stakeholders (by means of increased monitoring and scrutiny activities) to produce credible earning reports, which would inescapably imply a decrease in the level of earnings management. However, these external stakeholders are also highly aware of the chance that during times of crisis firms exhibit lower earnings performance. At the same time management also knows that any drop in reported earnings will be accepted or tolerated in light of the financial crisis. In line with this and the above mentioned evidence pertaining to incoming CEOs in the United States, I have created the following hypothesis:</w:t>
      </w:r>
    </w:p>
    <w:p w:rsidR="00334F38" w:rsidRDefault="00334F38" w:rsidP="00616289">
      <w:pPr>
        <w:autoSpaceDE w:val="0"/>
        <w:autoSpaceDN w:val="0"/>
        <w:adjustRightInd w:val="0"/>
        <w:spacing w:line="360" w:lineRule="auto"/>
        <w:jc w:val="both"/>
        <w:rPr>
          <w:lang w:val="en-US"/>
        </w:rPr>
      </w:pPr>
    </w:p>
    <w:p w:rsidR="00334F38" w:rsidRPr="003E7C8B" w:rsidRDefault="00334F38" w:rsidP="00616289">
      <w:pPr>
        <w:autoSpaceDE w:val="0"/>
        <w:autoSpaceDN w:val="0"/>
        <w:adjustRightInd w:val="0"/>
        <w:spacing w:line="360" w:lineRule="auto"/>
        <w:jc w:val="both"/>
        <w:rPr>
          <w:i/>
          <w:lang w:val="en-US"/>
        </w:rPr>
      </w:pPr>
      <w:r>
        <w:rPr>
          <w:i/>
          <w:lang w:val="en-US"/>
        </w:rPr>
        <w:t xml:space="preserve">H1: during the 2008 crisis period firms experiencing a CEO turnover increase the level of negative discretionary accruals, thereby reducing the earnings. </w:t>
      </w:r>
    </w:p>
    <w:p w:rsidR="00334F38" w:rsidRDefault="00334F38" w:rsidP="00B95FF5">
      <w:pPr>
        <w:autoSpaceDE w:val="0"/>
        <w:autoSpaceDN w:val="0"/>
        <w:adjustRightInd w:val="0"/>
        <w:spacing w:line="360" w:lineRule="auto"/>
        <w:rPr>
          <w:lang w:val="en-US"/>
        </w:rPr>
      </w:pPr>
    </w:p>
    <w:p w:rsidR="00334F38" w:rsidRPr="00B014C7" w:rsidRDefault="00334F38" w:rsidP="00182D6E">
      <w:pPr>
        <w:pStyle w:val="Heading3"/>
        <w:rPr>
          <w:lang w:val="en-US"/>
        </w:rPr>
      </w:pPr>
      <w:bookmarkStart w:id="65" w:name="_Toc223368938"/>
      <w:bookmarkStart w:id="66" w:name="_Toc258079456"/>
      <w:r>
        <w:rPr>
          <w:lang w:val="en-US"/>
        </w:rPr>
        <w:t>5.2</w:t>
      </w:r>
      <w:r w:rsidRPr="00B014C7">
        <w:rPr>
          <w:lang w:val="en-US"/>
        </w:rPr>
        <w:t>.1. Competing Models</w:t>
      </w:r>
      <w:r>
        <w:rPr>
          <w:lang w:val="en-US"/>
        </w:rPr>
        <w:t xml:space="preserve"> in Detecting Earnings Management</w:t>
      </w:r>
      <w:bookmarkEnd w:id="65"/>
      <w:bookmarkEnd w:id="66"/>
      <w:r>
        <w:rPr>
          <w:lang w:val="en-US"/>
        </w:rPr>
        <w:fldChar w:fldCharType="begin"/>
      </w:r>
      <w:r w:rsidRPr="004B1DBF">
        <w:rPr>
          <w:lang w:val="en-US"/>
        </w:rPr>
        <w:instrText>tc "</w:instrText>
      </w:r>
      <w:bookmarkStart w:id="67" w:name="_Toc258079457"/>
      <w:r w:rsidRPr="00B74842">
        <w:rPr>
          <w:lang w:val="en-US"/>
        </w:rPr>
        <w:instrText>5.2.1. Competing Models in Detecting Earnings Management</w:instrText>
      </w:r>
      <w:bookmarkEnd w:id="67"/>
      <w:r w:rsidRPr="00436804">
        <w:rPr>
          <w:lang w:val="en-US"/>
        </w:rPr>
        <w:instrText>" \f C \l 3</w:instrText>
      </w:r>
      <w:r>
        <w:rPr>
          <w:lang w:val="en-US"/>
        </w:rPr>
        <w:fldChar w:fldCharType="end"/>
      </w:r>
    </w:p>
    <w:p w:rsidR="00334F38" w:rsidRPr="003E7C8B" w:rsidRDefault="00334F38" w:rsidP="00182D6E">
      <w:pPr>
        <w:autoSpaceDE w:val="0"/>
        <w:autoSpaceDN w:val="0"/>
        <w:adjustRightInd w:val="0"/>
        <w:spacing w:line="360" w:lineRule="auto"/>
        <w:jc w:val="both"/>
        <w:rPr>
          <w:lang w:val="en-US"/>
        </w:rPr>
      </w:pPr>
      <w:r>
        <w:rPr>
          <w:lang w:val="en-US"/>
        </w:rPr>
        <w:t>T</w:t>
      </w:r>
      <w:r w:rsidRPr="003E7C8B">
        <w:rPr>
          <w:lang w:val="en-US"/>
        </w:rPr>
        <w:t>he analysis of earnings management focuses on the insiders’ use of discretionary accruals as was briefly mentioned by Yu (2006). Such research requires a model for estimating the discretionary components embedded in reported income. Dechow et al. (1995)</w:t>
      </w:r>
      <w:r w:rsidRPr="003E7C8B">
        <w:rPr>
          <w:b/>
          <w:lang w:val="en-US"/>
        </w:rPr>
        <w:t xml:space="preserve"> </w:t>
      </w:r>
      <w:r w:rsidRPr="003E7C8B">
        <w:rPr>
          <w:lang w:val="en-US"/>
        </w:rPr>
        <w:t xml:space="preserve">evaluate the relative performance of competing models by comparing the specification and power of commonly used test statistics. The </w:t>
      </w:r>
      <w:r w:rsidRPr="003E7C8B">
        <w:rPr>
          <w:i/>
          <w:lang w:val="en-US"/>
        </w:rPr>
        <w:t>specification</w:t>
      </w:r>
      <w:r w:rsidRPr="003E7C8B">
        <w:rPr>
          <w:lang w:val="en-US"/>
        </w:rPr>
        <w:t xml:space="preserve"> quality of the test statistic is measured by the frequency in which they generate Type I errors</w:t>
      </w:r>
      <w:r w:rsidRPr="003E7C8B">
        <w:rPr>
          <w:rStyle w:val="FootnoteReference"/>
          <w:lang w:val="en-US"/>
        </w:rPr>
        <w:footnoteReference w:id="16"/>
      </w:r>
      <w:r w:rsidRPr="003E7C8B">
        <w:rPr>
          <w:lang w:val="en-US"/>
        </w:rPr>
        <w:t>. Type II errors</w:t>
      </w:r>
      <w:r w:rsidRPr="003E7C8B">
        <w:rPr>
          <w:rStyle w:val="FootnoteReference"/>
          <w:lang w:val="en-US"/>
        </w:rPr>
        <w:footnoteReference w:id="17"/>
      </w:r>
      <w:r w:rsidRPr="003E7C8B">
        <w:rPr>
          <w:lang w:val="en-US"/>
        </w:rPr>
        <w:t xml:space="preserve"> are also measured in determining the </w:t>
      </w:r>
      <w:r w:rsidRPr="003E7C8B">
        <w:rPr>
          <w:i/>
          <w:lang w:val="en-US"/>
        </w:rPr>
        <w:t xml:space="preserve">power </w:t>
      </w:r>
      <w:r w:rsidRPr="003E7C8B">
        <w:rPr>
          <w:lang w:val="en-US"/>
        </w:rPr>
        <w:t>of the model used. Dechow et al. (1995) consider five models that have been used in extant earnings management literature. Firstly, they consider the Healy (1985) model. Healy tests for earnings management by comparing the mean total accruals</w:t>
      </w:r>
      <w:r w:rsidRPr="003E7C8B">
        <w:rPr>
          <w:rStyle w:val="FootnoteReference"/>
          <w:lang w:val="en-US"/>
        </w:rPr>
        <w:footnoteReference w:id="18"/>
      </w:r>
      <w:r w:rsidRPr="003E7C8B">
        <w:rPr>
          <w:lang w:val="en-US"/>
        </w:rPr>
        <w:t xml:space="preserve"> across the earnings management partitioning variable. DeAngelo’s model (1986) tests for earnings management by calculating first </w:t>
      </w:r>
      <w:r>
        <w:rPr>
          <w:lang w:val="en-US"/>
        </w:rPr>
        <w:t xml:space="preserve">the </w:t>
      </w:r>
      <w:r w:rsidRPr="003E7C8B">
        <w:rPr>
          <w:lang w:val="en-US"/>
        </w:rPr>
        <w:t xml:space="preserve">differences in total accruals under the assumption that the expected value of these first differences are zero when there is no earnings management present. </w:t>
      </w:r>
    </w:p>
    <w:p w:rsidR="00334F38" w:rsidRPr="003E7C8B" w:rsidRDefault="00334F38" w:rsidP="00182D6E">
      <w:pPr>
        <w:autoSpaceDE w:val="0"/>
        <w:autoSpaceDN w:val="0"/>
        <w:adjustRightInd w:val="0"/>
        <w:spacing w:line="360" w:lineRule="auto"/>
        <w:jc w:val="both"/>
        <w:rPr>
          <w:lang w:val="en-US"/>
        </w:rPr>
      </w:pPr>
      <w:r w:rsidRPr="003E7C8B">
        <w:rPr>
          <w:lang w:val="en-US"/>
        </w:rPr>
        <w:t xml:space="preserve">Both these models rely on the assumption that NDA’s are constant. Jones (1991) relaxes this assumption in introducing the Jones model. In her model she attempts to control the effect of changes in a firm’s economic circumstances on NDA’s. In doing so her model estimates about one quarter of the variation in total accruals. The only downfall lies in her assumption that revenues are non-discretionary. Imagine a situation where an insider accrues revenues that have not yet been received and it is unlikely whether the revenues have been earned. Through an increase in account receivables this will result in an increase of total accruals. Although the Jones model allocates this as being a NDA, clearly it is discretionary in nature. This was reason enough to introduce the modified Jones model which eliminates the tendency of the standard model in measuring discretionary accruals with errors when discretion is exercised over revenues. The last model used by Dechow et al. (1995) is known as the Industry model. Similar to the Jones model this model also relaxes the constant NDA assumption. As an adage this model assumes that the variations in determinants of NDA are common across firms in the same industry. </w:t>
      </w:r>
    </w:p>
    <w:p w:rsidR="00334F38" w:rsidRPr="003E7C8B" w:rsidRDefault="00334F38" w:rsidP="00182D6E">
      <w:pPr>
        <w:autoSpaceDE w:val="0"/>
        <w:autoSpaceDN w:val="0"/>
        <w:adjustRightInd w:val="0"/>
        <w:spacing w:line="360" w:lineRule="auto"/>
        <w:jc w:val="both"/>
        <w:rPr>
          <w:lang w:val="en-US"/>
        </w:rPr>
      </w:pPr>
      <w:r w:rsidRPr="003E7C8B">
        <w:rPr>
          <w:lang w:val="en-US"/>
        </w:rPr>
        <w:t>Dechow et al. (1995</w:t>
      </w:r>
      <w:r w:rsidRPr="003E7C8B">
        <w:rPr>
          <w:b/>
          <w:lang w:val="en-US"/>
        </w:rPr>
        <w:t xml:space="preserve">) </w:t>
      </w:r>
      <w:r w:rsidRPr="003E7C8B">
        <w:rPr>
          <w:lang w:val="en-US"/>
        </w:rPr>
        <w:t>find that all</w:t>
      </w:r>
      <w:r w:rsidRPr="003E7C8B">
        <w:rPr>
          <w:rStyle w:val="FootnoteReference"/>
          <w:lang w:val="en-US"/>
        </w:rPr>
        <w:footnoteReference w:id="19"/>
      </w:r>
      <w:r w:rsidRPr="003E7C8B">
        <w:rPr>
          <w:lang w:val="en-US"/>
        </w:rPr>
        <w:t xml:space="preserve"> models appear well specified when applied to a random sample of firm years. However, all of the models generate tests of low power for earnings management of economically plausible magnitudes. They also concluded that all models reject the null hypothesis of no earnings management at rates exceeding the specified test levels when applied to the samples of firms experiencing extreme financial performance. Although the results are modest, they deem the modified Jones model to be the best at detecting EM. </w:t>
      </w:r>
    </w:p>
    <w:p w:rsidR="00334F38" w:rsidRPr="003E7C8B" w:rsidRDefault="00334F38" w:rsidP="00182D6E">
      <w:pPr>
        <w:autoSpaceDE w:val="0"/>
        <w:autoSpaceDN w:val="0"/>
        <w:adjustRightInd w:val="0"/>
        <w:spacing w:line="360" w:lineRule="auto"/>
        <w:rPr>
          <w:lang w:val="en-US"/>
        </w:rPr>
      </w:pPr>
    </w:p>
    <w:p w:rsidR="00334F38" w:rsidRPr="003E7C8B" w:rsidRDefault="00334F38" w:rsidP="00182D6E">
      <w:pPr>
        <w:pStyle w:val="Heading3"/>
        <w:rPr>
          <w:lang w:val="en-US"/>
        </w:rPr>
      </w:pPr>
      <w:bookmarkStart w:id="68" w:name="_Toc223368939"/>
      <w:bookmarkStart w:id="69" w:name="_Toc258079458"/>
      <w:r>
        <w:rPr>
          <w:lang w:val="en-US"/>
        </w:rPr>
        <w:t>5.2.2. Difference in P</w:t>
      </w:r>
      <w:r w:rsidRPr="003E7C8B">
        <w:rPr>
          <w:lang w:val="en-US"/>
        </w:rPr>
        <w:t>rocedures</w:t>
      </w:r>
      <w:bookmarkEnd w:id="68"/>
      <w:bookmarkEnd w:id="69"/>
      <w:r>
        <w:rPr>
          <w:lang w:val="en-US"/>
        </w:rPr>
        <w:fldChar w:fldCharType="begin"/>
      </w:r>
      <w:r w:rsidRPr="00436804">
        <w:rPr>
          <w:lang w:val="en-US"/>
        </w:rPr>
        <w:instrText>tc "</w:instrText>
      </w:r>
      <w:bookmarkStart w:id="70" w:name="_Toc258079459"/>
      <w:r w:rsidRPr="00B74842">
        <w:rPr>
          <w:lang w:val="en-US"/>
        </w:rPr>
        <w:instrText>5.2.2. Difference in Procedures</w:instrText>
      </w:r>
      <w:bookmarkEnd w:id="70"/>
      <w:r w:rsidRPr="00436804">
        <w:rPr>
          <w:lang w:val="en-US"/>
        </w:rPr>
        <w:instrText>" \f C \l 3</w:instrText>
      </w:r>
      <w:r>
        <w:rPr>
          <w:lang w:val="en-US"/>
        </w:rPr>
        <w:fldChar w:fldCharType="end"/>
      </w:r>
    </w:p>
    <w:p w:rsidR="00334F38" w:rsidRPr="003E7C8B" w:rsidRDefault="00334F38" w:rsidP="00182D6E">
      <w:pPr>
        <w:autoSpaceDE w:val="0"/>
        <w:autoSpaceDN w:val="0"/>
        <w:adjustRightInd w:val="0"/>
        <w:spacing w:line="360" w:lineRule="auto"/>
        <w:jc w:val="both"/>
        <w:rPr>
          <w:lang w:val="en-US"/>
        </w:rPr>
      </w:pPr>
      <w:r w:rsidRPr="003E7C8B">
        <w:rPr>
          <w:lang w:val="en-US"/>
        </w:rPr>
        <w:t>What the above mentioned models have in common is that they are assessed on the basis of time series analysis. Recent evidence reported by Guay et al. (1996), Dechow et al. (1995) and Kang and Shivaramakrishan (1995) suggest however that time series version of the sJones and mJones models estimate discretionary accruals with considerable imprecision. In lieu of time series models, cross-sectional procedures</w:t>
      </w:r>
      <w:r w:rsidRPr="003E7C8B">
        <w:rPr>
          <w:rStyle w:val="FootnoteReference"/>
          <w:lang w:val="en-US"/>
        </w:rPr>
        <w:footnoteReference w:id="20"/>
      </w:r>
      <w:r w:rsidRPr="003E7C8B">
        <w:rPr>
          <w:lang w:val="en-US"/>
        </w:rPr>
        <w:t xml:space="preserve"> are now more widely employed in earnings management research (Peasnell et al. 2000). Peasnell et al. (2000)</w:t>
      </w:r>
      <w:r w:rsidRPr="003E7C8B">
        <w:rPr>
          <w:b/>
          <w:lang w:val="en-US"/>
        </w:rPr>
        <w:t xml:space="preserve"> </w:t>
      </w:r>
      <w:r w:rsidRPr="003E7C8B">
        <w:rPr>
          <w:lang w:val="en-US"/>
        </w:rPr>
        <w:t>attempt to add to the existing body of work in this area by providing evidence on the performance of three alternative cross-sectional procedures for estimating the managed components of working capital accruals. In addition to evaluating the performance of standard- and modified cross-sectional Jones models, they also develop and test a new cross-sectional model classified as the ‘margin model’. The upside to this model is its improved economic intuition, which in turn should lead to a better estimate of normal accruals. The downside however is that discretionary accruals are determined using ‘revenue’ as a variab</w:t>
      </w:r>
      <w:r>
        <w:rPr>
          <w:lang w:val="en-US"/>
        </w:rPr>
        <w:t>le. This variable may already be</w:t>
      </w:r>
      <w:r w:rsidRPr="003E7C8B">
        <w:rPr>
          <w:lang w:val="en-US"/>
        </w:rPr>
        <w:t xml:space="preserve"> contaminated by earnings management as was discussed in the explanation of the standard Jones model above. To generate tests of higher power Peasnell et al. (2000) find that their tested models (in addition to having a high specification) generate relatively powerful tests for economically plausible levels of accruals management when using the cross-sectional instead of time-series procedures. They conclude that the standard- and modified Jones models are found to be more powerful for revenue and bad debts manipulations. In contrast, the margin model appears to be more powerful at detecting non-bad debt expense manipulations. </w:t>
      </w:r>
    </w:p>
    <w:p w:rsidR="00334F38" w:rsidRPr="003E7C8B" w:rsidRDefault="00334F38" w:rsidP="00182D6E">
      <w:pPr>
        <w:autoSpaceDE w:val="0"/>
        <w:autoSpaceDN w:val="0"/>
        <w:adjustRightInd w:val="0"/>
        <w:spacing w:line="360" w:lineRule="auto"/>
        <w:rPr>
          <w:lang w:val="en-US"/>
        </w:rPr>
      </w:pPr>
    </w:p>
    <w:p w:rsidR="00334F38" w:rsidRPr="003E7C8B" w:rsidRDefault="00334F38" w:rsidP="00182D6E">
      <w:pPr>
        <w:pStyle w:val="Heading3"/>
        <w:rPr>
          <w:i w:val="0"/>
          <w:lang w:val="en-US"/>
        </w:rPr>
      </w:pPr>
      <w:bookmarkStart w:id="71" w:name="_Toc223368940"/>
      <w:bookmarkStart w:id="72" w:name="_Toc258079460"/>
      <w:r>
        <w:rPr>
          <w:lang w:val="en-US"/>
        </w:rPr>
        <w:t>5.2.3.</w:t>
      </w:r>
      <w:r w:rsidRPr="003E7C8B">
        <w:rPr>
          <w:lang w:val="en-US"/>
        </w:rPr>
        <w:t xml:space="preserve"> Accounting for firm performance</w:t>
      </w:r>
      <w:bookmarkEnd w:id="71"/>
      <w:bookmarkEnd w:id="72"/>
      <w:r>
        <w:rPr>
          <w:lang w:val="en-US"/>
        </w:rPr>
        <w:fldChar w:fldCharType="begin"/>
      </w:r>
      <w:r w:rsidRPr="00436804">
        <w:rPr>
          <w:lang w:val="en-US"/>
        </w:rPr>
        <w:instrText>tc "</w:instrText>
      </w:r>
      <w:bookmarkStart w:id="73" w:name="_Toc258079461"/>
      <w:r w:rsidRPr="00B74842">
        <w:rPr>
          <w:lang w:val="en-US"/>
        </w:rPr>
        <w:instrText>5.2.3. Accounting for firm performance</w:instrText>
      </w:r>
      <w:bookmarkEnd w:id="73"/>
      <w:r w:rsidRPr="00436804">
        <w:rPr>
          <w:lang w:val="en-US"/>
        </w:rPr>
        <w:instrText>" \f C \l 3</w:instrText>
      </w:r>
      <w:r>
        <w:rPr>
          <w:lang w:val="en-US"/>
        </w:rPr>
        <w:fldChar w:fldCharType="end"/>
      </w:r>
    </w:p>
    <w:p w:rsidR="00334F38" w:rsidRPr="003E7C8B" w:rsidRDefault="00334F38" w:rsidP="00182D6E">
      <w:pPr>
        <w:autoSpaceDE w:val="0"/>
        <w:autoSpaceDN w:val="0"/>
        <w:adjustRightInd w:val="0"/>
        <w:spacing w:line="360" w:lineRule="auto"/>
        <w:jc w:val="both"/>
        <w:rPr>
          <w:lang w:val="en-US"/>
        </w:rPr>
      </w:pPr>
      <w:r w:rsidRPr="003E7C8B">
        <w:rPr>
          <w:lang w:val="en-US"/>
        </w:rPr>
        <w:t xml:space="preserve">If we were to make use of the competing models for detecting earnings management, our conclusions would rely critically on our ability to accurately measure the discretionary accruals. The existing models however are not known for being able to generate highly accurate estimations. What these models lack is the ability to distinguish between executive opportunism and the truthful reporting of a firm’s underlying economic performance, as already mentioned in the introduction. Kothari et al. (2005) adjust for earnings management by using a control sample, which is created by matching the sampled firms on the grounds of performance in the same industry. In other words, firms are believed to be using earnings management when these firms appear to be manipulating earnings at a rate higher </w:t>
      </w:r>
      <w:r>
        <w:rPr>
          <w:lang w:val="en-US"/>
        </w:rPr>
        <w:t xml:space="preserve">(lower) </w:t>
      </w:r>
      <w:r w:rsidRPr="003E7C8B">
        <w:rPr>
          <w:lang w:val="en-US"/>
        </w:rPr>
        <w:t xml:space="preserve">than the comparison sample. So what performance measure should be used in finding the ‘performance matched’ discretionary accruals? Kothari et al. (2005) recommend using the return on assets (ROA) performance measure. Their recommendation are based on the fact that prior research (see, for example, Barber and Lyon 1996, 1997; Lyon et al. 1999; Ikenberryet al. 1995) finds matching based on ROA to yield better specified and more powerful tests compared to other measures. </w:t>
      </w:r>
    </w:p>
    <w:p w:rsidR="00334F38" w:rsidRDefault="00334F38" w:rsidP="00182D6E">
      <w:pPr>
        <w:autoSpaceDE w:val="0"/>
        <w:autoSpaceDN w:val="0"/>
        <w:adjustRightInd w:val="0"/>
        <w:spacing w:line="360" w:lineRule="auto"/>
        <w:jc w:val="both"/>
        <w:rPr>
          <w:lang w:val="en-US"/>
        </w:rPr>
      </w:pPr>
      <w:r w:rsidRPr="003E7C8B">
        <w:rPr>
          <w:lang w:val="en-US"/>
        </w:rPr>
        <w:t xml:space="preserve">In their research Kothari et al. (2005) perform an analysis on the discretionary accrual estimations by comparing the specification and power of the Jones and mJones model to their </w:t>
      </w:r>
    </w:p>
    <w:p w:rsidR="00334F38" w:rsidRPr="003E7C8B" w:rsidRDefault="00334F38" w:rsidP="00182D6E">
      <w:pPr>
        <w:autoSpaceDE w:val="0"/>
        <w:autoSpaceDN w:val="0"/>
        <w:adjustRightInd w:val="0"/>
        <w:spacing w:line="360" w:lineRule="auto"/>
        <w:jc w:val="both"/>
        <w:rPr>
          <w:lang w:val="en-US"/>
        </w:rPr>
      </w:pPr>
      <w:r>
        <w:rPr>
          <w:lang w:val="en-US"/>
        </w:rPr>
        <w:t>a</w:t>
      </w:r>
      <w:r w:rsidRPr="003E7C8B">
        <w:rPr>
          <w:lang w:val="en-US"/>
        </w:rPr>
        <w:t xml:space="preserve">ugmented counterpart. They find that under most circumstances the performance matched discretionary accruals are relatively powerful and tend to be the best specified measure of discretionary accruals. </w:t>
      </w:r>
    </w:p>
    <w:p w:rsidR="00334F38" w:rsidRPr="00B5565A" w:rsidRDefault="00334F38" w:rsidP="00A83806">
      <w:pPr>
        <w:pStyle w:val="Heading2"/>
        <w:rPr>
          <w:i/>
          <w:u w:val="none"/>
          <w:lang w:val="en-US"/>
        </w:rPr>
      </w:pPr>
      <w:bookmarkStart w:id="74" w:name="_Toc223368941"/>
      <w:bookmarkStart w:id="75" w:name="_Toc258079462"/>
      <w:r w:rsidRPr="00B5565A">
        <w:rPr>
          <w:i/>
          <w:u w:val="none"/>
          <w:lang w:val="en-US"/>
        </w:rPr>
        <w:t>5.3. Sample</w:t>
      </w:r>
      <w:bookmarkEnd w:id="74"/>
      <w:bookmarkEnd w:id="75"/>
      <w:r>
        <w:rPr>
          <w:i/>
          <w:u w:val="none"/>
          <w:lang w:val="en-US"/>
        </w:rPr>
        <w:fldChar w:fldCharType="begin"/>
      </w:r>
      <w:r w:rsidRPr="00436804">
        <w:rPr>
          <w:lang w:val="en-US"/>
        </w:rPr>
        <w:instrText>tc "</w:instrText>
      </w:r>
      <w:bookmarkStart w:id="76" w:name="_Toc258079463"/>
      <w:r w:rsidRPr="00B74842">
        <w:rPr>
          <w:i/>
          <w:u w:val="none"/>
          <w:lang w:val="en-US"/>
        </w:rPr>
        <w:instrText>5.3. Sample</w:instrText>
      </w:r>
      <w:bookmarkEnd w:id="76"/>
      <w:r w:rsidRPr="00436804">
        <w:rPr>
          <w:lang w:val="en-US"/>
        </w:rPr>
        <w:instrText>" \f C \l 2</w:instrText>
      </w:r>
      <w:r>
        <w:rPr>
          <w:i/>
          <w:u w:val="none"/>
          <w:lang w:val="en-US"/>
        </w:rPr>
        <w:fldChar w:fldCharType="end"/>
      </w:r>
    </w:p>
    <w:p w:rsidR="00334F38" w:rsidRDefault="00334F38" w:rsidP="009D6CCF">
      <w:pPr>
        <w:autoSpaceDE w:val="0"/>
        <w:autoSpaceDN w:val="0"/>
        <w:adjustRightInd w:val="0"/>
        <w:spacing w:line="360" w:lineRule="auto"/>
        <w:jc w:val="both"/>
        <w:rPr>
          <w:lang w:val="en-US"/>
        </w:rPr>
      </w:pPr>
      <w:r>
        <w:rPr>
          <w:lang w:val="en-US"/>
        </w:rPr>
        <w:t>The sample of this study consists of non-routine CEO changes that</w:t>
      </w:r>
      <w:r w:rsidRPr="003E7C8B">
        <w:rPr>
          <w:lang w:val="en-US"/>
        </w:rPr>
        <w:t xml:space="preserve"> occurred during 2008. </w:t>
      </w:r>
      <w:r>
        <w:rPr>
          <w:lang w:val="en-US"/>
        </w:rPr>
        <w:t>These observations are extracted by use of the Executive Compensation product provided by COMPUSTAT North America. This service allows one to select specific variables surrounding CEOs, including information regarding their date left as CEO and the CEOs reason for leaving its position. C</w:t>
      </w:r>
      <w:r w:rsidRPr="003E7C8B">
        <w:rPr>
          <w:lang w:val="en-US"/>
        </w:rPr>
        <w:t>onsistent with prior discretionary accrual research (Dichev et al. 1997 and Luez et al. 2002)</w:t>
      </w:r>
      <w:r>
        <w:rPr>
          <w:lang w:val="en-US"/>
        </w:rPr>
        <w:t xml:space="preserve"> </w:t>
      </w:r>
      <w:r w:rsidRPr="003E7C8B">
        <w:rPr>
          <w:lang w:val="en-US"/>
        </w:rPr>
        <w:t xml:space="preserve">firms lacking sufficient data </w:t>
      </w:r>
      <w:r>
        <w:rPr>
          <w:lang w:val="en-US"/>
        </w:rPr>
        <w:t xml:space="preserve">to compute total accruals </w:t>
      </w:r>
      <w:r w:rsidRPr="003E7C8B">
        <w:rPr>
          <w:lang w:val="en-US"/>
        </w:rPr>
        <w:t>wi</w:t>
      </w:r>
      <w:r>
        <w:rPr>
          <w:lang w:val="en-US"/>
        </w:rPr>
        <w:t>ll be excluded from the sample. Since I am using OLS regression in order to determine the relevant coefficients I am obliged to exclude all industries lacking sufficient observations for the control sample. The minimum amount of observations allowed in this thesis is set at 50. In order to negate imprecise regression-model-based discretionary accrual estimates I also exclude all firm year observations with less than ten observations per 2-digit SIC industry. Furthermore, similar to prior research, I</w:t>
      </w:r>
      <w:r w:rsidRPr="003E7C8B">
        <w:rPr>
          <w:lang w:val="en-US"/>
        </w:rPr>
        <w:t xml:space="preserve"> exclude regulated firms (e.g. financial institutions</w:t>
      </w:r>
      <w:r>
        <w:rPr>
          <w:lang w:val="en-US"/>
        </w:rPr>
        <w:t>, SIC 6000 to 6999</w:t>
      </w:r>
      <w:r w:rsidRPr="003E7C8B">
        <w:rPr>
          <w:lang w:val="en-US"/>
        </w:rPr>
        <w:t>) because of the fact that they have different earnings reporting incentives than their non-regulated counterparts.</w:t>
      </w:r>
      <w:r>
        <w:rPr>
          <w:lang w:val="en-US"/>
        </w:rPr>
        <w:t xml:space="preserve"> The available sample of firm year observations experiencing CEO turnovers during 2008 is 8359. Since I am only interested in firms experiencing non-routine CEO turnovers I also exclude observations where the CEO turnovers are deemed to be routine in nature (i.e. firms where the CEO </w:t>
      </w:r>
      <w:r w:rsidRPr="00E2511A">
        <w:rPr>
          <w:i/>
          <w:lang w:val="en-US"/>
        </w:rPr>
        <w:t>retires</w:t>
      </w:r>
      <w:r>
        <w:rPr>
          <w:lang w:val="en-US"/>
        </w:rPr>
        <w:t xml:space="preserve"> from his/her post). Since re</w:t>
      </w:r>
      <w:r w:rsidRPr="003E7C8B">
        <w:rPr>
          <w:lang w:val="en-US"/>
        </w:rPr>
        <w:t>search</w:t>
      </w:r>
      <w:r>
        <w:rPr>
          <w:lang w:val="en-US"/>
        </w:rPr>
        <w:t xml:space="preserve"> is done</w:t>
      </w:r>
      <w:r w:rsidRPr="003E7C8B">
        <w:rPr>
          <w:lang w:val="en-US"/>
        </w:rPr>
        <w:t xml:space="preserve"> </w:t>
      </w:r>
      <w:r>
        <w:rPr>
          <w:lang w:val="en-US"/>
        </w:rPr>
        <w:t xml:space="preserve">here </w:t>
      </w:r>
      <w:r w:rsidRPr="003E7C8B">
        <w:rPr>
          <w:lang w:val="en-US"/>
        </w:rPr>
        <w:t>by matching firms based on perform</w:t>
      </w:r>
      <w:r>
        <w:rPr>
          <w:lang w:val="en-US"/>
        </w:rPr>
        <w:t>ance and industry membership, I</w:t>
      </w:r>
      <w:r w:rsidRPr="003E7C8B">
        <w:rPr>
          <w:lang w:val="en-US"/>
        </w:rPr>
        <w:t xml:space="preserve"> will use stra</w:t>
      </w:r>
      <w:r>
        <w:rPr>
          <w:lang w:val="en-US"/>
        </w:rPr>
        <w:t>tification to group firm</w:t>
      </w:r>
      <w:r w:rsidRPr="003E7C8B">
        <w:rPr>
          <w:lang w:val="en-US"/>
        </w:rPr>
        <w:t xml:space="preserve"> population into relatively homogenous sub-samples (stratified sampling)</w:t>
      </w:r>
      <w:r w:rsidRPr="003E7C8B">
        <w:rPr>
          <w:rStyle w:val="FootnoteReference"/>
          <w:lang w:val="en-US"/>
        </w:rPr>
        <w:footnoteReference w:id="21"/>
      </w:r>
      <w:r w:rsidRPr="003E7C8B">
        <w:rPr>
          <w:lang w:val="en-US"/>
        </w:rPr>
        <w:t xml:space="preserve">. </w:t>
      </w:r>
      <w:r>
        <w:rPr>
          <w:lang w:val="en-US"/>
        </w:rPr>
        <w:t xml:space="preserve">After excluding all of the abovementioned observations I am left with a sample of 194 non-routine CEO turnovers spread over 8 SIC industries (sub-samples). See table 1 on the next page for an overview of the non-routine turnovers per industry as illustrated on the next page. Furthermore, these 8 industries amount to a control sample size of 482 observations with at least 50 observations per 2-digit SIC industry. </w:t>
      </w:r>
    </w:p>
    <w:p w:rsidR="00334F38" w:rsidRDefault="00334F38" w:rsidP="009D6CCF">
      <w:pPr>
        <w:autoSpaceDE w:val="0"/>
        <w:autoSpaceDN w:val="0"/>
        <w:adjustRightInd w:val="0"/>
        <w:spacing w:line="360" w:lineRule="auto"/>
        <w:jc w:val="both"/>
        <w:rPr>
          <w:lang w:val="en-US"/>
        </w:rPr>
      </w:pPr>
    </w:p>
    <w:p w:rsidR="00334F38" w:rsidRDefault="00334F38" w:rsidP="009D6CCF">
      <w:pPr>
        <w:autoSpaceDE w:val="0"/>
        <w:autoSpaceDN w:val="0"/>
        <w:adjustRightInd w:val="0"/>
        <w:spacing w:line="360" w:lineRule="auto"/>
        <w:jc w:val="both"/>
        <w:rPr>
          <w:lang w:val="en-US"/>
        </w:rPr>
      </w:pPr>
    </w:p>
    <w:p w:rsidR="00334F38" w:rsidRDefault="00334F38" w:rsidP="009D6CCF">
      <w:pPr>
        <w:autoSpaceDE w:val="0"/>
        <w:autoSpaceDN w:val="0"/>
        <w:adjustRightInd w:val="0"/>
        <w:spacing w:line="360" w:lineRule="auto"/>
        <w:jc w:val="both"/>
        <w:rPr>
          <w:lang w:val="en-US"/>
        </w:rPr>
      </w:pPr>
    </w:p>
    <w:p w:rsidR="00334F38" w:rsidRDefault="00334F38" w:rsidP="009D6CCF">
      <w:pPr>
        <w:autoSpaceDE w:val="0"/>
        <w:autoSpaceDN w:val="0"/>
        <w:adjustRightInd w:val="0"/>
        <w:spacing w:line="360" w:lineRule="auto"/>
        <w:jc w:val="both"/>
        <w:rPr>
          <w:lang w:val="en-US"/>
        </w:rPr>
      </w:pPr>
    </w:p>
    <w:p w:rsidR="00334F38" w:rsidRDefault="00334F38" w:rsidP="009D6CCF">
      <w:pPr>
        <w:autoSpaceDE w:val="0"/>
        <w:autoSpaceDN w:val="0"/>
        <w:adjustRightInd w:val="0"/>
        <w:spacing w:line="360" w:lineRule="auto"/>
        <w:jc w:val="both"/>
        <w:rPr>
          <w:lang w:val="en-US"/>
        </w:rPr>
      </w:pPr>
    </w:p>
    <w:p w:rsidR="00334F38" w:rsidRDefault="00334F38" w:rsidP="009D6CCF">
      <w:pPr>
        <w:autoSpaceDE w:val="0"/>
        <w:autoSpaceDN w:val="0"/>
        <w:adjustRightInd w:val="0"/>
        <w:spacing w:line="360" w:lineRule="auto"/>
        <w:jc w:val="both"/>
        <w:rPr>
          <w:lang w:val="en-US"/>
        </w:rPr>
      </w:pPr>
    </w:p>
    <w:p w:rsidR="00334F38" w:rsidRDefault="00334F38" w:rsidP="009D6CCF">
      <w:pPr>
        <w:autoSpaceDE w:val="0"/>
        <w:autoSpaceDN w:val="0"/>
        <w:adjustRightInd w:val="0"/>
        <w:spacing w:line="360" w:lineRule="auto"/>
        <w:jc w:val="both"/>
        <w:rPr>
          <w:lang w:val="en-US"/>
        </w:rPr>
      </w:pPr>
    </w:p>
    <w:p w:rsidR="00334F38" w:rsidRDefault="00334F38" w:rsidP="009D6CCF">
      <w:pPr>
        <w:autoSpaceDE w:val="0"/>
        <w:autoSpaceDN w:val="0"/>
        <w:adjustRightInd w:val="0"/>
        <w:spacing w:line="360" w:lineRule="auto"/>
        <w:jc w:val="both"/>
        <w:rPr>
          <w:lang w:val="en-US"/>
        </w:rPr>
      </w:pPr>
    </w:p>
    <w:p w:rsidR="00334F38" w:rsidRDefault="00334F38" w:rsidP="009D6CCF">
      <w:pPr>
        <w:autoSpaceDE w:val="0"/>
        <w:autoSpaceDN w:val="0"/>
        <w:adjustRightInd w:val="0"/>
        <w:spacing w:line="360" w:lineRule="auto"/>
        <w:jc w:val="both"/>
        <w:rPr>
          <w:lang w:val="en-US"/>
        </w:rPr>
      </w:pPr>
    </w:p>
    <w:p w:rsidR="00334F38" w:rsidRDefault="00334F38" w:rsidP="009D6CCF">
      <w:pPr>
        <w:autoSpaceDE w:val="0"/>
        <w:autoSpaceDN w:val="0"/>
        <w:adjustRightInd w:val="0"/>
        <w:spacing w:line="360" w:lineRule="auto"/>
        <w:jc w:val="both"/>
        <w:rPr>
          <w:lang w:val="en-US"/>
        </w:rPr>
      </w:pPr>
    </w:p>
    <w:p w:rsidR="00334F38" w:rsidRDefault="00334F38" w:rsidP="009D6CCF">
      <w:pPr>
        <w:autoSpaceDE w:val="0"/>
        <w:autoSpaceDN w:val="0"/>
        <w:adjustRightInd w:val="0"/>
        <w:spacing w:line="360" w:lineRule="auto"/>
        <w:jc w:val="both"/>
        <w:rPr>
          <w:lang w:val="en-US"/>
        </w:rPr>
      </w:pPr>
    </w:p>
    <w:p w:rsidR="00334F38" w:rsidRDefault="00334F38" w:rsidP="009D6CCF">
      <w:pPr>
        <w:autoSpaceDE w:val="0"/>
        <w:autoSpaceDN w:val="0"/>
        <w:adjustRightInd w:val="0"/>
        <w:spacing w:line="360" w:lineRule="auto"/>
        <w:jc w:val="both"/>
        <w:rPr>
          <w:lang w:val="en-US"/>
        </w:rPr>
      </w:pPr>
    </w:p>
    <w:p w:rsidR="00334F38" w:rsidRDefault="00334F38" w:rsidP="009D6CCF">
      <w:pPr>
        <w:autoSpaceDE w:val="0"/>
        <w:autoSpaceDN w:val="0"/>
        <w:adjustRightInd w:val="0"/>
        <w:spacing w:line="360" w:lineRule="auto"/>
        <w:jc w:val="both"/>
        <w:rPr>
          <w:lang w:val="en-US"/>
        </w:rPr>
      </w:pPr>
    </w:p>
    <w:p w:rsidR="00334F38" w:rsidRDefault="00334F38" w:rsidP="009D6CCF">
      <w:pPr>
        <w:autoSpaceDE w:val="0"/>
        <w:autoSpaceDN w:val="0"/>
        <w:adjustRightInd w:val="0"/>
        <w:spacing w:line="360" w:lineRule="auto"/>
        <w:jc w:val="both"/>
        <w:rPr>
          <w:lang w:val="en-US"/>
        </w:rPr>
      </w:pPr>
    </w:p>
    <w:p w:rsidR="00334F38" w:rsidRDefault="00334F38" w:rsidP="009D6CCF">
      <w:pPr>
        <w:autoSpaceDE w:val="0"/>
        <w:autoSpaceDN w:val="0"/>
        <w:adjustRightInd w:val="0"/>
        <w:spacing w:line="360" w:lineRule="auto"/>
        <w:jc w:val="both"/>
        <w:rPr>
          <w:lang w:val="en-US"/>
        </w:rPr>
      </w:pPr>
    </w:p>
    <w:p w:rsidR="00334F38" w:rsidRDefault="00334F38" w:rsidP="009D6CCF">
      <w:pPr>
        <w:autoSpaceDE w:val="0"/>
        <w:autoSpaceDN w:val="0"/>
        <w:adjustRightInd w:val="0"/>
        <w:spacing w:line="360" w:lineRule="auto"/>
        <w:jc w:val="both"/>
        <w:rPr>
          <w:lang w:val="en-US"/>
        </w:rPr>
      </w:pPr>
    </w:p>
    <w:p w:rsidR="00334F38" w:rsidRDefault="00334F38" w:rsidP="009D6CCF">
      <w:pPr>
        <w:autoSpaceDE w:val="0"/>
        <w:autoSpaceDN w:val="0"/>
        <w:adjustRightInd w:val="0"/>
        <w:spacing w:line="360" w:lineRule="auto"/>
        <w:jc w:val="both"/>
        <w:rPr>
          <w:lang w:val="en-US"/>
        </w:rPr>
      </w:pPr>
    </w:p>
    <w:tbl>
      <w:tblPr>
        <w:tblpPr w:leftFromText="180" w:rightFromText="180" w:vertAnchor="page" w:horzAnchor="margin" w:tblpY="1776"/>
        <w:tblW w:w="8455" w:type="dxa"/>
        <w:tblLook w:val="00A0"/>
      </w:tblPr>
      <w:tblGrid>
        <w:gridCol w:w="862"/>
        <w:gridCol w:w="5096"/>
        <w:gridCol w:w="1890"/>
        <w:gridCol w:w="607"/>
      </w:tblGrid>
      <w:tr w:rsidR="00334F38" w:rsidRPr="003E4E4B" w:rsidTr="006E06F2">
        <w:trPr>
          <w:trHeight w:val="305"/>
        </w:trPr>
        <w:tc>
          <w:tcPr>
            <w:tcW w:w="862" w:type="dxa"/>
            <w:tcBorders>
              <w:right w:val="single" w:sz="6" w:space="0" w:color="808080"/>
            </w:tcBorders>
            <w:noWrap/>
          </w:tcPr>
          <w:p w:rsidR="00334F38" w:rsidRPr="006E06F2" w:rsidRDefault="00334F38" w:rsidP="006E06F2">
            <w:pPr>
              <w:rPr>
                <w:rFonts w:ascii="Calibri" w:hAnsi="Calibri"/>
                <w:b/>
                <w:bCs/>
                <w:color w:val="000000"/>
                <w:sz w:val="22"/>
                <w:szCs w:val="22"/>
              </w:rPr>
            </w:pPr>
            <w:r w:rsidRPr="006E06F2">
              <w:rPr>
                <w:rFonts w:ascii="Calibri" w:hAnsi="Calibri"/>
                <w:b/>
                <w:bCs/>
                <w:color w:val="000000"/>
                <w:sz w:val="22"/>
                <w:szCs w:val="22"/>
              </w:rPr>
              <w:t>2-Digit SIC</w:t>
            </w:r>
          </w:p>
        </w:tc>
        <w:tc>
          <w:tcPr>
            <w:tcW w:w="5096" w:type="dxa"/>
            <w:noWrap/>
          </w:tcPr>
          <w:p w:rsidR="00334F38" w:rsidRPr="006E06F2" w:rsidRDefault="00334F38" w:rsidP="006E06F2">
            <w:pPr>
              <w:rPr>
                <w:rFonts w:ascii="Calibri" w:hAnsi="Calibri"/>
                <w:b/>
                <w:bCs/>
                <w:color w:val="000000"/>
                <w:sz w:val="22"/>
                <w:szCs w:val="22"/>
              </w:rPr>
            </w:pPr>
            <w:r w:rsidRPr="006E06F2">
              <w:rPr>
                <w:rFonts w:ascii="Calibri" w:hAnsi="Calibri"/>
                <w:b/>
                <w:bCs/>
                <w:color w:val="000000"/>
                <w:sz w:val="22"/>
                <w:szCs w:val="22"/>
              </w:rPr>
              <w:t xml:space="preserve">Industry Sector                                                                                                          </w:t>
            </w:r>
          </w:p>
        </w:tc>
        <w:tc>
          <w:tcPr>
            <w:tcW w:w="1890" w:type="dxa"/>
            <w:noWrap/>
          </w:tcPr>
          <w:p w:rsidR="00334F38" w:rsidRPr="006E06F2" w:rsidRDefault="00334F38" w:rsidP="006E06F2">
            <w:pPr>
              <w:ind w:left="432"/>
              <w:rPr>
                <w:rFonts w:ascii="Calibri" w:hAnsi="Calibri"/>
                <w:b/>
                <w:bCs/>
                <w:color w:val="000000"/>
                <w:sz w:val="22"/>
                <w:szCs w:val="22"/>
                <w:lang w:val="en-US"/>
              </w:rPr>
            </w:pPr>
            <w:r w:rsidRPr="006E06F2">
              <w:rPr>
                <w:rFonts w:ascii="Calibri" w:hAnsi="Calibri"/>
                <w:b/>
                <w:bCs/>
                <w:color w:val="000000"/>
                <w:sz w:val="22"/>
                <w:szCs w:val="22"/>
                <w:lang w:val="en-US"/>
              </w:rPr>
              <w:t xml:space="preserve">No. of non-routine CEO changes            </w:t>
            </w:r>
          </w:p>
        </w:tc>
        <w:tc>
          <w:tcPr>
            <w:tcW w:w="607" w:type="dxa"/>
            <w:noWrap/>
          </w:tcPr>
          <w:p w:rsidR="00334F38" w:rsidRPr="006E06F2" w:rsidRDefault="00334F38" w:rsidP="006E06F2">
            <w:pPr>
              <w:rPr>
                <w:rFonts w:ascii="Calibri" w:hAnsi="Calibri"/>
                <w:b/>
                <w:bCs/>
                <w:color w:val="000000"/>
                <w:sz w:val="22"/>
                <w:szCs w:val="22"/>
                <w:lang w:val="en-US"/>
              </w:rPr>
            </w:pPr>
            <w:r w:rsidRPr="006E06F2">
              <w:rPr>
                <w:rFonts w:ascii="Calibri" w:hAnsi="Calibri"/>
                <w:b/>
                <w:bCs/>
                <w:color w:val="000000"/>
                <w:sz w:val="22"/>
                <w:szCs w:val="22"/>
                <w:lang w:val="en-US"/>
              </w:rPr>
              <w:t xml:space="preserve">        </w:t>
            </w:r>
          </w:p>
          <w:p w:rsidR="00334F38" w:rsidRPr="006E06F2" w:rsidRDefault="00334F38" w:rsidP="006E06F2">
            <w:pPr>
              <w:rPr>
                <w:rFonts w:ascii="Calibri" w:hAnsi="Calibri"/>
                <w:b/>
                <w:bCs/>
                <w:color w:val="000000"/>
                <w:sz w:val="22"/>
                <w:szCs w:val="22"/>
                <w:lang w:val="en-US"/>
              </w:rPr>
            </w:pPr>
            <w:r w:rsidRPr="006E06F2">
              <w:rPr>
                <w:rFonts w:ascii="Calibri" w:hAnsi="Calibri"/>
                <w:b/>
                <w:bCs/>
                <w:color w:val="000000"/>
                <w:sz w:val="22"/>
                <w:szCs w:val="22"/>
                <w:lang w:val="en-US"/>
              </w:rPr>
              <w:t xml:space="preserve">     %    </w:t>
            </w:r>
          </w:p>
        </w:tc>
      </w:tr>
      <w:tr w:rsidR="00334F38" w:rsidRPr="003E4E4B" w:rsidTr="006E06F2">
        <w:trPr>
          <w:trHeight w:val="305"/>
        </w:trPr>
        <w:tc>
          <w:tcPr>
            <w:tcW w:w="862" w:type="dxa"/>
            <w:tcBorders>
              <w:top w:val="single" w:sz="6" w:space="0" w:color="808080"/>
              <w:bottom w:val="single" w:sz="6" w:space="0" w:color="FFFFFF"/>
              <w:right w:val="single" w:sz="6" w:space="0" w:color="808080"/>
            </w:tcBorders>
            <w:noWrap/>
          </w:tcPr>
          <w:p w:rsidR="00334F38" w:rsidRPr="006E06F2" w:rsidRDefault="00334F38" w:rsidP="006E06F2">
            <w:pPr>
              <w:jc w:val="right"/>
              <w:rPr>
                <w:rFonts w:ascii="Calibri" w:hAnsi="Calibri"/>
                <w:color w:val="000000"/>
                <w:sz w:val="22"/>
                <w:szCs w:val="22"/>
                <w:lang w:val="en-US"/>
              </w:rPr>
            </w:pPr>
            <w:r w:rsidRPr="006E06F2">
              <w:rPr>
                <w:rFonts w:ascii="Calibri" w:hAnsi="Calibri"/>
                <w:color w:val="000000"/>
                <w:sz w:val="22"/>
                <w:szCs w:val="22"/>
                <w:lang w:val="en-US"/>
              </w:rPr>
              <w:t>13</w:t>
            </w:r>
          </w:p>
        </w:tc>
        <w:tc>
          <w:tcPr>
            <w:tcW w:w="5096" w:type="dxa"/>
            <w:tcBorders>
              <w:top w:val="single" w:sz="6" w:space="0" w:color="808080"/>
              <w:bottom w:val="single" w:sz="6" w:space="0" w:color="FFFFFF"/>
            </w:tcBorders>
            <w:noWrap/>
          </w:tcPr>
          <w:p w:rsidR="00334F38" w:rsidRPr="006E06F2" w:rsidRDefault="00334F38" w:rsidP="006E06F2">
            <w:pPr>
              <w:rPr>
                <w:rFonts w:ascii="Calibri" w:hAnsi="Calibri"/>
                <w:color w:val="000000"/>
                <w:sz w:val="22"/>
                <w:szCs w:val="22"/>
                <w:lang w:val="en-US"/>
              </w:rPr>
            </w:pPr>
            <w:r w:rsidRPr="006E06F2">
              <w:rPr>
                <w:rFonts w:ascii="Calibri" w:hAnsi="Calibri"/>
                <w:color w:val="000000"/>
                <w:sz w:val="22"/>
                <w:szCs w:val="22"/>
                <w:lang w:val="en-US"/>
              </w:rPr>
              <w:t>Oil &amp; Gas Extraction</w:t>
            </w:r>
          </w:p>
        </w:tc>
        <w:tc>
          <w:tcPr>
            <w:tcW w:w="1890"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rPr>
            </w:pPr>
            <w:r w:rsidRPr="006E06F2">
              <w:rPr>
                <w:rFonts w:ascii="Calibri" w:hAnsi="Calibri"/>
                <w:color w:val="000000"/>
                <w:sz w:val="22"/>
                <w:szCs w:val="22"/>
                <w:lang w:val="en-US"/>
              </w:rPr>
              <w:t>10</w:t>
            </w:r>
          </w:p>
        </w:tc>
        <w:tc>
          <w:tcPr>
            <w:tcW w:w="607"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rPr>
            </w:pPr>
            <w:r w:rsidRPr="006E06F2">
              <w:rPr>
                <w:rFonts w:ascii="Calibri" w:hAnsi="Calibri"/>
                <w:color w:val="000000"/>
                <w:sz w:val="22"/>
                <w:szCs w:val="22"/>
                <w:lang w:val="en-US"/>
              </w:rPr>
              <w:t>5.2</w:t>
            </w:r>
          </w:p>
        </w:tc>
      </w:tr>
      <w:tr w:rsidR="00334F38" w:rsidRPr="00661141" w:rsidTr="006E06F2">
        <w:trPr>
          <w:trHeight w:val="305"/>
        </w:trPr>
        <w:tc>
          <w:tcPr>
            <w:tcW w:w="862" w:type="dxa"/>
            <w:tcBorders>
              <w:right w:val="single" w:sz="6" w:space="0" w:color="808080"/>
            </w:tcBorders>
            <w:noWrap/>
          </w:tcPr>
          <w:p w:rsidR="00334F38" w:rsidRPr="006E06F2" w:rsidRDefault="00334F38" w:rsidP="006E06F2">
            <w:pPr>
              <w:jc w:val="right"/>
              <w:rPr>
                <w:rFonts w:ascii="Calibri" w:hAnsi="Calibri"/>
                <w:color w:val="000000"/>
                <w:sz w:val="22"/>
                <w:szCs w:val="22"/>
              </w:rPr>
            </w:pPr>
            <w:r w:rsidRPr="006E06F2">
              <w:rPr>
                <w:rFonts w:ascii="Calibri" w:hAnsi="Calibri"/>
                <w:color w:val="000000"/>
                <w:sz w:val="22"/>
                <w:szCs w:val="22"/>
              </w:rPr>
              <w:t>35</w:t>
            </w:r>
          </w:p>
        </w:tc>
        <w:tc>
          <w:tcPr>
            <w:tcW w:w="5096" w:type="dxa"/>
            <w:noWrap/>
          </w:tcPr>
          <w:p w:rsidR="00334F38" w:rsidRPr="006E06F2" w:rsidRDefault="00334F38" w:rsidP="006E06F2">
            <w:pPr>
              <w:rPr>
                <w:rFonts w:ascii="Calibri" w:hAnsi="Calibri"/>
                <w:color w:val="000000"/>
                <w:sz w:val="22"/>
                <w:szCs w:val="22"/>
                <w:lang w:val="en-US"/>
              </w:rPr>
            </w:pPr>
            <w:r w:rsidRPr="006E06F2">
              <w:rPr>
                <w:rFonts w:ascii="Calibri" w:hAnsi="Calibri"/>
                <w:color w:val="000000"/>
                <w:sz w:val="22"/>
                <w:szCs w:val="22"/>
                <w:lang w:val="en-US"/>
              </w:rPr>
              <w:t>Industrial &amp; Commercial Machinery &amp; Computer Equipment</w:t>
            </w:r>
          </w:p>
        </w:tc>
        <w:tc>
          <w:tcPr>
            <w:tcW w:w="1890" w:type="dxa"/>
            <w:noWrap/>
          </w:tcPr>
          <w:p w:rsidR="00334F38" w:rsidRPr="006E06F2" w:rsidRDefault="00334F38" w:rsidP="006E06F2">
            <w:pPr>
              <w:jc w:val="right"/>
              <w:rPr>
                <w:rFonts w:ascii="Calibri" w:hAnsi="Calibri"/>
                <w:color w:val="000000"/>
                <w:sz w:val="22"/>
                <w:szCs w:val="22"/>
              </w:rPr>
            </w:pPr>
            <w:r w:rsidRPr="006E06F2">
              <w:rPr>
                <w:rFonts w:ascii="Calibri" w:hAnsi="Calibri"/>
                <w:color w:val="000000"/>
                <w:sz w:val="22"/>
                <w:szCs w:val="22"/>
              </w:rPr>
              <w:t>32</w:t>
            </w:r>
          </w:p>
        </w:tc>
        <w:tc>
          <w:tcPr>
            <w:tcW w:w="607" w:type="dxa"/>
            <w:noWrap/>
          </w:tcPr>
          <w:p w:rsidR="00334F38" w:rsidRPr="006E06F2" w:rsidRDefault="00334F38" w:rsidP="006E06F2">
            <w:pPr>
              <w:jc w:val="right"/>
              <w:rPr>
                <w:rFonts w:ascii="Calibri" w:hAnsi="Calibri"/>
                <w:color w:val="000000"/>
                <w:sz w:val="22"/>
                <w:szCs w:val="22"/>
              </w:rPr>
            </w:pPr>
            <w:r w:rsidRPr="006E06F2">
              <w:rPr>
                <w:rFonts w:ascii="Calibri" w:hAnsi="Calibri"/>
                <w:color w:val="000000"/>
                <w:sz w:val="22"/>
                <w:szCs w:val="22"/>
              </w:rPr>
              <w:t>16.5</w:t>
            </w:r>
          </w:p>
        </w:tc>
      </w:tr>
      <w:tr w:rsidR="00334F38" w:rsidRPr="00661141" w:rsidTr="006E06F2">
        <w:trPr>
          <w:trHeight w:val="305"/>
        </w:trPr>
        <w:tc>
          <w:tcPr>
            <w:tcW w:w="862" w:type="dxa"/>
            <w:tcBorders>
              <w:top w:val="single" w:sz="6" w:space="0" w:color="808080"/>
              <w:bottom w:val="single" w:sz="6" w:space="0" w:color="FFFFFF"/>
              <w:right w:val="single" w:sz="6" w:space="0" w:color="808080"/>
            </w:tcBorders>
            <w:noWrap/>
          </w:tcPr>
          <w:p w:rsidR="00334F38" w:rsidRPr="006E06F2" w:rsidRDefault="00334F38" w:rsidP="006E06F2">
            <w:pPr>
              <w:jc w:val="right"/>
              <w:rPr>
                <w:rFonts w:ascii="Calibri" w:hAnsi="Calibri"/>
                <w:color w:val="000000"/>
                <w:sz w:val="22"/>
                <w:szCs w:val="22"/>
              </w:rPr>
            </w:pPr>
            <w:r w:rsidRPr="006E06F2">
              <w:rPr>
                <w:rFonts w:ascii="Calibri" w:hAnsi="Calibri"/>
                <w:color w:val="000000"/>
                <w:sz w:val="22"/>
                <w:szCs w:val="22"/>
              </w:rPr>
              <w:t>36</w:t>
            </w:r>
          </w:p>
        </w:tc>
        <w:tc>
          <w:tcPr>
            <w:tcW w:w="5096" w:type="dxa"/>
            <w:tcBorders>
              <w:top w:val="single" w:sz="6" w:space="0" w:color="808080"/>
              <w:bottom w:val="single" w:sz="6" w:space="0" w:color="FFFFFF"/>
            </w:tcBorders>
            <w:noWrap/>
          </w:tcPr>
          <w:p w:rsidR="00334F38" w:rsidRPr="006E06F2" w:rsidRDefault="00334F38" w:rsidP="006E06F2">
            <w:pPr>
              <w:rPr>
                <w:rFonts w:ascii="Calibri" w:hAnsi="Calibri"/>
                <w:color w:val="000000"/>
                <w:sz w:val="22"/>
                <w:szCs w:val="22"/>
                <w:lang w:val="en-US"/>
              </w:rPr>
            </w:pPr>
            <w:r w:rsidRPr="006E06F2">
              <w:rPr>
                <w:rFonts w:ascii="Calibri" w:hAnsi="Calibri"/>
                <w:color w:val="000000"/>
                <w:sz w:val="22"/>
                <w:szCs w:val="22"/>
                <w:lang w:val="en-US"/>
              </w:rPr>
              <w:t>Electronic &amp; Other Electrical Equipment &amp; Components</w:t>
            </w:r>
          </w:p>
        </w:tc>
        <w:tc>
          <w:tcPr>
            <w:tcW w:w="1890"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rPr>
            </w:pPr>
            <w:r w:rsidRPr="006E06F2">
              <w:rPr>
                <w:rFonts w:ascii="Calibri" w:hAnsi="Calibri"/>
                <w:color w:val="000000"/>
                <w:sz w:val="22"/>
                <w:szCs w:val="22"/>
              </w:rPr>
              <w:t>37</w:t>
            </w:r>
          </w:p>
        </w:tc>
        <w:tc>
          <w:tcPr>
            <w:tcW w:w="607"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rPr>
            </w:pPr>
            <w:r w:rsidRPr="006E06F2">
              <w:rPr>
                <w:rFonts w:ascii="Calibri" w:hAnsi="Calibri"/>
                <w:color w:val="000000"/>
                <w:sz w:val="22"/>
                <w:szCs w:val="22"/>
              </w:rPr>
              <w:t>19.1</w:t>
            </w:r>
          </w:p>
        </w:tc>
      </w:tr>
      <w:tr w:rsidR="00334F38" w:rsidRPr="00661141" w:rsidTr="006E06F2">
        <w:trPr>
          <w:trHeight w:val="305"/>
        </w:trPr>
        <w:tc>
          <w:tcPr>
            <w:tcW w:w="862" w:type="dxa"/>
            <w:tcBorders>
              <w:right w:val="single" w:sz="6" w:space="0" w:color="808080"/>
            </w:tcBorders>
            <w:noWrap/>
          </w:tcPr>
          <w:p w:rsidR="00334F38" w:rsidRPr="006E06F2" w:rsidRDefault="00334F38" w:rsidP="006E06F2">
            <w:pPr>
              <w:jc w:val="right"/>
              <w:rPr>
                <w:rFonts w:ascii="Calibri" w:hAnsi="Calibri"/>
                <w:color w:val="000000"/>
                <w:sz w:val="22"/>
                <w:szCs w:val="22"/>
              </w:rPr>
            </w:pPr>
            <w:r w:rsidRPr="006E06F2">
              <w:rPr>
                <w:rFonts w:ascii="Calibri" w:hAnsi="Calibri"/>
                <w:color w:val="000000"/>
                <w:sz w:val="22"/>
                <w:szCs w:val="22"/>
              </w:rPr>
              <w:t>37</w:t>
            </w:r>
          </w:p>
        </w:tc>
        <w:tc>
          <w:tcPr>
            <w:tcW w:w="5096" w:type="dxa"/>
            <w:noWrap/>
          </w:tcPr>
          <w:p w:rsidR="00334F38" w:rsidRPr="006E06F2" w:rsidRDefault="00334F38" w:rsidP="006E06F2">
            <w:pPr>
              <w:rPr>
                <w:rFonts w:ascii="Calibri" w:hAnsi="Calibri"/>
                <w:color w:val="000000"/>
                <w:sz w:val="22"/>
                <w:szCs w:val="22"/>
              </w:rPr>
            </w:pPr>
            <w:r w:rsidRPr="006E06F2">
              <w:rPr>
                <w:rFonts w:ascii="Calibri" w:hAnsi="Calibri"/>
                <w:color w:val="000000"/>
                <w:sz w:val="22"/>
                <w:szCs w:val="22"/>
              </w:rPr>
              <w:t>Transportation Equipment</w:t>
            </w:r>
          </w:p>
        </w:tc>
        <w:tc>
          <w:tcPr>
            <w:tcW w:w="1890" w:type="dxa"/>
            <w:noWrap/>
          </w:tcPr>
          <w:p w:rsidR="00334F38" w:rsidRPr="006E06F2" w:rsidRDefault="00334F38" w:rsidP="006E06F2">
            <w:pPr>
              <w:jc w:val="right"/>
              <w:rPr>
                <w:rFonts w:ascii="Calibri" w:hAnsi="Calibri"/>
                <w:color w:val="000000"/>
                <w:sz w:val="22"/>
                <w:szCs w:val="22"/>
              </w:rPr>
            </w:pPr>
            <w:r w:rsidRPr="006E06F2">
              <w:rPr>
                <w:rFonts w:ascii="Calibri" w:hAnsi="Calibri"/>
                <w:color w:val="000000"/>
                <w:sz w:val="22"/>
                <w:szCs w:val="22"/>
              </w:rPr>
              <w:t>11</w:t>
            </w:r>
          </w:p>
        </w:tc>
        <w:tc>
          <w:tcPr>
            <w:tcW w:w="607" w:type="dxa"/>
            <w:noWrap/>
          </w:tcPr>
          <w:p w:rsidR="00334F38" w:rsidRPr="006E06F2" w:rsidRDefault="00334F38" w:rsidP="006E06F2">
            <w:pPr>
              <w:jc w:val="right"/>
              <w:rPr>
                <w:rFonts w:ascii="Calibri" w:hAnsi="Calibri"/>
                <w:color w:val="000000"/>
                <w:sz w:val="22"/>
                <w:szCs w:val="22"/>
              </w:rPr>
            </w:pPr>
            <w:r w:rsidRPr="006E06F2">
              <w:rPr>
                <w:rFonts w:ascii="Calibri" w:hAnsi="Calibri"/>
                <w:color w:val="000000"/>
                <w:sz w:val="22"/>
                <w:szCs w:val="22"/>
              </w:rPr>
              <w:t>5.7</w:t>
            </w:r>
          </w:p>
        </w:tc>
      </w:tr>
      <w:tr w:rsidR="00334F38" w:rsidRPr="00661141" w:rsidTr="006E06F2">
        <w:trPr>
          <w:trHeight w:val="305"/>
        </w:trPr>
        <w:tc>
          <w:tcPr>
            <w:tcW w:w="862" w:type="dxa"/>
            <w:tcBorders>
              <w:top w:val="single" w:sz="6" w:space="0" w:color="808080"/>
              <w:bottom w:val="single" w:sz="6" w:space="0" w:color="FFFFFF"/>
              <w:right w:val="single" w:sz="6" w:space="0" w:color="808080"/>
            </w:tcBorders>
            <w:noWrap/>
          </w:tcPr>
          <w:p w:rsidR="00334F38" w:rsidRPr="006E06F2" w:rsidRDefault="00334F38" w:rsidP="006E06F2">
            <w:pPr>
              <w:jc w:val="right"/>
              <w:rPr>
                <w:rFonts w:ascii="Calibri" w:hAnsi="Calibri"/>
                <w:color w:val="000000"/>
                <w:sz w:val="22"/>
                <w:szCs w:val="22"/>
              </w:rPr>
            </w:pPr>
            <w:r w:rsidRPr="006E06F2">
              <w:rPr>
                <w:rFonts w:ascii="Calibri" w:hAnsi="Calibri"/>
                <w:color w:val="000000"/>
                <w:sz w:val="22"/>
                <w:szCs w:val="22"/>
              </w:rPr>
              <w:t>38</w:t>
            </w:r>
          </w:p>
        </w:tc>
        <w:tc>
          <w:tcPr>
            <w:tcW w:w="5096" w:type="dxa"/>
            <w:tcBorders>
              <w:top w:val="single" w:sz="6" w:space="0" w:color="808080"/>
              <w:bottom w:val="single" w:sz="6" w:space="0" w:color="FFFFFF"/>
            </w:tcBorders>
            <w:noWrap/>
          </w:tcPr>
          <w:p w:rsidR="00334F38" w:rsidRPr="006E06F2" w:rsidRDefault="00334F38" w:rsidP="006E06F2">
            <w:pPr>
              <w:rPr>
                <w:rFonts w:ascii="Calibri" w:hAnsi="Calibri"/>
                <w:color w:val="000000"/>
                <w:sz w:val="22"/>
                <w:szCs w:val="22"/>
              </w:rPr>
            </w:pPr>
            <w:r w:rsidRPr="006E06F2">
              <w:rPr>
                <w:rFonts w:ascii="Calibri" w:hAnsi="Calibri"/>
                <w:color w:val="000000"/>
                <w:sz w:val="22"/>
                <w:szCs w:val="22"/>
              </w:rPr>
              <w:t>Measuring, Analyzing &amp; Controlling Instruments</w:t>
            </w:r>
          </w:p>
        </w:tc>
        <w:tc>
          <w:tcPr>
            <w:tcW w:w="1890"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rPr>
            </w:pPr>
            <w:r w:rsidRPr="006E06F2">
              <w:rPr>
                <w:rFonts w:ascii="Calibri" w:hAnsi="Calibri"/>
                <w:color w:val="000000"/>
                <w:sz w:val="22"/>
                <w:szCs w:val="22"/>
              </w:rPr>
              <w:t>17</w:t>
            </w:r>
          </w:p>
        </w:tc>
        <w:tc>
          <w:tcPr>
            <w:tcW w:w="607"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rPr>
            </w:pPr>
            <w:r w:rsidRPr="006E06F2">
              <w:rPr>
                <w:rFonts w:ascii="Calibri" w:hAnsi="Calibri"/>
                <w:color w:val="000000"/>
                <w:sz w:val="22"/>
                <w:szCs w:val="22"/>
              </w:rPr>
              <w:t>8.7</w:t>
            </w:r>
          </w:p>
        </w:tc>
      </w:tr>
      <w:tr w:rsidR="00334F38" w:rsidRPr="00661141" w:rsidTr="006E06F2">
        <w:trPr>
          <w:trHeight w:val="305"/>
        </w:trPr>
        <w:tc>
          <w:tcPr>
            <w:tcW w:w="862" w:type="dxa"/>
            <w:tcBorders>
              <w:right w:val="single" w:sz="6" w:space="0" w:color="808080"/>
            </w:tcBorders>
            <w:noWrap/>
          </w:tcPr>
          <w:p w:rsidR="00334F38" w:rsidRPr="006E06F2" w:rsidRDefault="00334F38" w:rsidP="006E06F2">
            <w:pPr>
              <w:jc w:val="right"/>
              <w:rPr>
                <w:rFonts w:ascii="Calibri" w:hAnsi="Calibri"/>
                <w:color w:val="000000"/>
                <w:sz w:val="22"/>
                <w:szCs w:val="22"/>
              </w:rPr>
            </w:pPr>
            <w:r w:rsidRPr="006E06F2">
              <w:rPr>
                <w:rFonts w:ascii="Calibri" w:hAnsi="Calibri"/>
                <w:color w:val="000000"/>
                <w:sz w:val="22"/>
                <w:szCs w:val="22"/>
              </w:rPr>
              <w:t>49</w:t>
            </w:r>
          </w:p>
        </w:tc>
        <w:tc>
          <w:tcPr>
            <w:tcW w:w="5096" w:type="dxa"/>
            <w:noWrap/>
          </w:tcPr>
          <w:p w:rsidR="00334F38" w:rsidRPr="006E06F2" w:rsidRDefault="00334F38" w:rsidP="006E06F2">
            <w:pPr>
              <w:rPr>
                <w:rFonts w:ascii="Calibri" w:hAnsi="Calibri"/>
                <w:color w:val="000000"/>
                <w:sz w:val="22"/>
                <w:szCs w:val="22"/>
              </w:rPr>
            </w:pPr>
            <w:r w:rsidRPr="006E06F2">
              <w:rPr>
                <w:rFonts w:ascii="Calibri" w:hAnsi="Calibri"/>
                <w:color w:val="000000"/>
                <w:sz w:val="22"/>
                <w:szCs w:val="22"/>
              </w:rPr>
              <w:t>Electric, Gas, &amp; Sanitary Services</w:t>
            </w:r>
          </w:p>
        </w:tc>
        <w:tc>
          <w:tcPr>
            <w:tcW w:w="1890" w:type="dxa"/>
            <w:noWrap/>
          </w:tcPr>
          <w:p w:rsidR="00334F38" w:rsidRPr="006E06F2" w:rsidRDefault="00334F38" w:rsidP="006E06F2">
            <w:pPr>
              <w:jc w:val="right"/>
              <w:rPr>
                <w:rFonts w:ascii="Calibri" w:hAnsi="Calibri"/>
                <w:color w:val="000000"/>
                <w:sz w:val="22"/>
                <w:szCs w:val="22"/>
              </w:rPr>
            </w:pPr>
            <w:r w:rsidRPr="006E06F2">
              <w:rPr>
                <w:rFonts w:ascii="Calibri" w:hAnsi="Calibri"/>
                <w:color w:val="000000"/>
                <w:sz w:val="22"/>
                <w:szCs w:val="22"/>
              </w:rPr>
              <w:t>23</w:t>
            </w:r>
          </w:p>
        </w:tc>
        <w:tc>
          <w:tcPr>
            <w:tcW w:w="607" w:type="dxa"/>
            <w:noWrap/>
          </w:tcPr>
          <w:p w:rsidR="00334F38" w:rsidRPr="006E06F2" w:rsidRDefault="00334F38" w:rsidP="006E06F2">
            <w:pPr>
              <w:jc w:val="right"/>
              <w:rPr>
                <w:rFonts w:ascii="Calibri" w:hAnsi="Calibri"/>
                <w:color w:val="000000"/>
                <w:sz w:val="22"/>
                <w:szCs w:val="22"/>
              </w:rPr>
            </w:pPr>
            <w:r w:rsidRPr="006E06F2">
              <w:rPr>
                <w:rFonts w:ascii="Calibri" w:hAnsi="Calibri"/>
                <w:color w:val="000000"/>
                <w:sz w:val="22"/>
                <w:szCs w:val="22"/>
              </w:rPr>
              <w:t>11.8</w:t>
            </w:r>
          </w:p>
        </w:tc>
      </w:tr>
      <w:tr w:rsidR="00334F38" w:rsidRPr="00661141" w:rsidTr="006E06F2">
        <w:trPr>
          <w:trHeight w:val="305"/>
        </w:trPr>
        <w:tc>
          <w:tcPr>
            <w:tcW w:w="862" w:type="dxa"/>
            <w:tcBorders>
              <w:top w:val="single" w:sz="6" w:space="0" w:color="808080"/>
              <w:bottom w:val="single" w:sz="6" w:space="0" w:color="FFFFFF"/>
              <w:right w:val="single" w:sz="6" w:space="0" w:color="808080"/>
            </w:tcBorders>
            <w:noWrap/>
          </w:tcPr>
          <w:p w:rsidR="00334F38" w:rsidRPr="006E06F2" w:rsidRDefault="00334F38" w:rsidP="006E06F2">
            <w:pPr>
              <w:jc w:val="right"/>
              <w:rPr>
                <w:rFonts w:ascii="Calibri" w:hAnsi="Calibri"/>
                <w:color w:val="000000"/>
                <w:sz w:val="22"/>
                <w:szCs w:val="22"/>
              </w:rPr>
            </w:pPr>
            <w:r w:rsidRPr="006E06F2">
              <w:rPr>
                <w:rFonts w:ascii="Calibri" w:hAnsi="Calibri"/>
                <w:color w:val="000000"/>
                <w:sz w:val="22"/>
                <w:szCs w:val="22"/>
              </w:rPr>
              <w:t>56</w:t>
            </w:r>
          </w:p>
        </w:tc>
        <w:tc>
          <w:tcPr>
            <w:tcW w:w="5096" w:type="dxa"/>
            <w:tcBorders>
              <w:top w:val="single" w:sz="6" w:space="0" w:color="808080"/>
              <w:bottom w:val="single" w:sz="6" w:space="0" w:color="FFFFFF"/>
            </w:tcBorders>
            <w:noWrap/>
          </w:tcPr>
          <w:p w:rsidR="00334F38" w:rsidRPr="006E06F2" w:rsidRDefault="00334F38" w:rsidP="006E06F2">
            <w:pPr>
              <w:rPr>
                <w:rFonts w:ascii="Calibri" w:hAnsi="Calibri"/>
                <w:color w:val="000000"/>
                <w:sz w:val="22"/>
                <w:szCs w:val="22"/>
              </w:rPr>
            </w:pPr>
            <w:r w:rsidRPr="006E06F2">
              <w:rPr>
                <w:rFonts w:ascii="Calibri" w:hAnsi="Calibri"/>
                <w:color w:val="000000"/>
                <w:sz w:val="22"/>
                <w:szCs w:val="22"/>
              </w:rPr>
              <w:t>Apparel &amp; Accessory Stores</w:t>
            </w:r>
          </w:p>
        </w:tc>
        <w:tc>
          <w:tcPr>
            <w:tcW w:w="1890"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rPr>
            </w:pPr>
            <w:r w:rsidRPr="006E06F2">
              <w:rPr>
                <w:rFonts w:ascii="Calibri" w:hAnsi="Calibri"/>
                <w:color w:val="000000"/>
                <w:sz w:val="22"/>
                <w:szCs w:val="22"/>
              </w:rPr>
              <w:t>12</w:t>
            </w:r>
          </w:p>
        </w:tc>
        <w:tc>
          <w:tcPr>
            <w:tcW w:w="607"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rPr>
            </w:pPr>
            <w:r w:rsidRPr="006E06F2">
              <w:rPr>
                <w:rFonts w:ascii="Calibri" w:hAnsi="Calibri"/>
                <w:color w:val="000000"/>
                <w:sz w:val="22"/>
                <w:szCs w:val="22"/>
              </w:rPr>
              <w:t>6.2</w:t>
            </w:r>
          </w:p>
        </w:tc>
      </w:tr>
      <w:tr w:rsidR="00334F38" w:rsidRPr="00661141" w:rsidTr="006E06F2">
        <w:trPr>
          <w:trHeight w:val="305"/>
        </w:trPr>
        <w:tc>
          <w:tcPr>
            <w:tcW w:w="862" w:type="dxa"/>
            <w:tcBorders>
              <w:right w:val="single" w:sz="6" w:space="0" w:color="808080"/>
            </w:tcBorders>
            <w:noWrap/>
          </w:tcPr>
          <w:p w:rsidR="00334F38" w:rsidRPr="006E06F2" w:rsidRDefault="00334F38" w:rsidP="006E06F2">
            <w:pPr>
              <w:jc w:val="right"/>
              <w:rPr>
                <w:rFonts w:ascii="Calibri" w:hAnsi="Calibri"/>
                <w:color w:val="000000"/>
                <w:sz w:val="22"/>
                <w:szCs w:val="22"/>
              </w:rPr>
            </w:pPr>
            <w:r w:rsidRPr="006E06F2">
              <w:rPr>
                <w:rFonts w:ascii="Calibri" w:hAnsi="Calibri"/>
                <w:color w:val="000000"/>
                <w:sz w:val="22"/>
                <w:szCs w:val="22"/>
              </w:rPr>
              <w:t>73</w:t>
            </w:r>
          </w:p>
        </w:tc>
        <w:tc>
          <w:tcPr>
            <w:tcW w:w="5096" w:type="dxa"/>
            <w:noWrap/>
          </w:tcPr>
          <w:p w:rsidR="00334F38" w:rsidRPr="006E06F2" w:rsidRDefault="00334F38" w:rsidP="006E06F2">
            <w:pPr>
              <w:rPr>
                <w:rFonts w:ascii="Calibri" w:hAnsi="Calibri"/>
                <w:color w:val="000000"/>
                <w:sz w:val="22"/>
                <w:szCs w:val="22"/>
              </w:rPr>
            </w:pPr>
            <w:r w:rsidRPr="006E06F2">
              <w:rPr>
                <w:rFonts w:ascii="Calibri" w:hAnsi="Calibri"/>
                <w:color w:val="000000"/>
                <w:sz w:val="22"/>
                <w:szCs w:val="22"/>
              </w:rPr>
              <w:t>Business Services</w:t>
            </w:r>
          </w:p>
        </w:tc>
        <w:tc>
          <w:tcPr>
            <w:tcW w:w="1890" w:type="dxa"/>
            <w:noWrap/>
          </w:tcPr>
          <w:p w:rsidR="00334F38" w:rsidRPr="006E06F2" w:rsidRDefault="00334F38" w:rsidP="006E06F2">
            <w:pPr>
              <w:jc w:val="right"/>
              <w:rPr>
                <w:rFonts w:ascii="Calibri" w:hAnsi="Calibri"/>
                <w:color w:val="000000"/>
                <w:sz w:val="22"/>
                <w:szCs w:val="22"/>
              </w:rPr>
            </w:pPr>
            <w:r w:rsidRPr="006E06F2">
              <w:rPr>
                <w:rFonts w:ascii="Calibri" w:hAnsi="Calibri"/>
                <w:color w:val="000000"/>
                <w:sz w:val="22"/>
                <w:szCs w:val="22"/>
              </w:rPr>
              <w:t>52</w:t>
            </w:r>
          </w:p>
        </w:tc>
        <w:tc>
          <w:tcPr>
            <w:tcW w:w="607" w:type="dxa"/>
            <w:noWrap/>
          </w:tcPr>
          <w:p w:rsidR="00334F38" w:rsidRPr="006E06F2" w:rsidRDefault="00334F38" w:rsidP="006E06F2">
            <w:pPr>
              <w:jc w:val="right"/>
              <w:rPr>
                <w:rFonts w:ascii="Calibri" w:hAnsi="Calibri"/>
                <w:color w:val="000000"/>
                <w:sz w:val="22"/>
                <w:szCs w:val="22"/>
              </w:rPr>
            </w:pPr>
            <w:r w:rsidRPr="006E06F2">
              <w:rPr>
                <w:rFonts w:ascii="Calibri" w:hAnsi="Calibri"/>
                <w:color w:val="000000"/>
                <w:sz w:val="22"/>
                <w:szCs w:val="22"/>
              </w:rPr>
              <w:t>26.8</w:t>
            </w:r>
          </w:p>
        </w:tc>
      </w:tr>
      <w:tr w:rsidR="00334F38" w:rsidRPr="00661141" w:rsidTr="006E06F2">
        <w:trPr>
          <w:trHeight w:val="82"/>
        </w:trPr>
        <w:tc>
          <w:tcPr>
            <w:tcW w:w="862" w:type="dxa"/>
            <w:tcBorders>
              <w:top w:val="single" w:sz="6" w:space="0" w:color="808080"/>
              <w:right w:val="single" w:sz="6" w:space="0" w:color="808080"/>
            </w:tcBorders>
            <w:noWrap/>
          </w:tcPr>
          <w:p w:rsidR="00334F38" w:rsidRPr="006E06F2" w:rsidRDefault="00334F38" w:rsidP="006E06F2">
            <w:pPr>
              <w:rPr>
                <w:rFonts w:ascii="Calibri" w:hAnsi="Calibri"/>
                <w:color w:val="000000"/>
                <w:sz w:val="22"/>
                <w:szCs w:val="22"/>
              </w:rPr>
            </w:pPr>
          </w:p>
        </w:tc>
        <w:tc>
          <w:tcPr>
            <w:tcW w:w="5096" w:type="dxa"/>
            <w:tcBorders>
              <w:top w:val="single" w:sz="6" w:space="0" w:color="808080"/>
              <w:bottom w:val="single" w:sz="6" w:space="0" w:color="FFFFFF"/>
            </w:tcBorders>
            <w:noWrap/>
          </w:tcPr>
          <w:p w:rsidR="00334F38" w:rsidRPr="006E06F2" w:rsidRDefault="00334F38" w:rsidP="006E06F2">
            <w:pPr>
              <w:rPr>
                <w:rFonts w:ascii="Calibri" w:hAnsi="Calibri"/>
                <w:b/>
                <w:bCs/>
                <w:color w:val="000000"/>
                <w:sz w:val="22"/>
                <w:szCs w:val="22"/>
              </w:rPr>
            </w:pPr>
            <w:r w:rsidRPr="006E06F2">
              <w:rPr>
                <w:rFonts w:ascii="Calibri" w:hAnsi="Calibri"/>
                <w:b/>
                <w:bCs/>
                <w:color w:val="000000"/>
                <w:sz w:val="22"/>
                <w:szCs w:val="22"/>
              </w:rPr>
              <w:t>Total</w:t>
            </w:r>
          </w:p>
        </w:tc>
        <w:tc>
          <w:tcPr>
            <w:tcW w:w="1890" w:type="dxa"/>
            <w:tcBorders>
              <w:top w:val="single" w:sz="6" w:space="0" w:color="808080"/>
              <w:bottom w:val="single" w:sz="6" w:space="0" w:color="FFFFFF"/>
            </w:tcBorders>
            <w:noWrap/>
          </w:tcPr>
          <w:p w:rsidR="00334F38" w:rsidRPr="006E06F2" w:rsidRDefault="00334F38" w:rsidP="006E06F2">
            <w:pPr>
              <w:jc w:val="right"/>
              <w:rPr>
                <w:rFonts w:ascii="Calibri" w:hAnsi="Calibri"/>
                <w:b/>
                <w:bCs/>
                <w:color w:val="000000"/>
                <w:sz w:val="22"/>
                <w:szCs w:val="22"/>
              </w:rPr>
            </w:pPr>
            <w:r w:rsidRPr="006E06F2">
              <w:rPr>
                <w:rFonts w:ascii="Calibri" w:hAnsi="Calibri"/>
                <w:b/>
                <w:bCs/>
                <w:color w:val="000000"/>
                <w:sz w:val="22"/>
                <w:szCs w:val="22"/>
              </w:rPr>
              <w:t>194</w:t>
            </w:r>
          </w:p>
        </w:tc>
        <w:tc>
          <w:tcPr>
            <w:tcW w:w="607" w:type="dxa"/>
            <w:tcBorders>
              <w:top w:val="single" w:sz="6" w:space="0" w:color="808080"/>
              <w:bottom w:val="single" w:sz="6" w:space="0" w:color="FFFFFF"/>
            </w:tcBorders>
            <w:noWrap/>
          </w:tcPr>
          <w:p w:rsidR="00334F38" w:rsidRPr="006E06F2" w:rsidRDefault="00334F38" w:rsidP="006E06F2">
            <w:pPr>
              <w:jc w:val="right"/>
              <w:rPr>
                <w:rFonts w:ascii="Calibri" w:hAnsi="Calibri"/>
                <w:b/>
                <w:bCs/>
                <w:color w:val="000000"/>
                <w:sz w:val="22"/>
                <w:szCs w:val="22"/>
              </w:rPr>
            </w:pPr>
            <w:r w:rsidRPr="006E06F2">
              <w:rPr>
                <w:rFonts w:ascii="Calibri" w:hAnsi="Calibri"/>
                <w:b/>
                <w:bCs/>
                <w:color w:val="000000"/>
                <w:sz w:val="22"/>
                <w:szCs w:val="22"/>
              </w:rPr>
              <w:t>100</w:t>
            </w:r>
          </w:p>
        </w:tc>
      </w:tr>
    </w:tbl>
    <w:p w:rsidR="00334F38" w:rsidRDefault="00334F38" w:rsidP="009D6CCF">
      <w:pPr>
        <w:autoSpaceDE w:val="0"/>
        <w:autoSpaceDN w:val="0"/>
        <w:adjustRightInd w:val="0"/>
        <w:spacing w:line="360" w:lineRule="auto"/>
        <w:jc w:val="both"/>
        <w:rPr>
          <w:b/>
          <w:i/>
          <w:sz w:val="20"/>
          <w:szCs w:val="20"/>
          <w:lang w:val="en-US"/>
        </w:rPr>
      </w:pPr>
    </w:p>
    <w:p w:rsidR="00334F38" w:rsidRDefault="00334F38" w:rsidP="009D6CCF">
      <w:pPr>
        <w:autoSpaceDE w:val="0"/>
        <w:autoSpaceDN w:val="0"/>
        <w:adjustRightInd w:val="0"/>
        <w:spacing w:line="360" w:lineRule="auto"/>
        <w:jc w:val="both"/>
        <w:rPr>
          <w:b/>
          <w:i/>
          <w:sz w:val="20"/>
          <w:szCs w:val="20"/>
          <w:lang w:val="en-US"/>
        </w:rPr>
      </w:pPr>
    </w:p>
    <w:p w:rsidR="00334F38" w:rsidRDefault="00334F38" w:rsidP="009D6CCF">
      <w:pPr>
        <w:autoSpaceDE w:val="0"/>
        <w:autoSpaceDN w:val="0"/>
        <w:adjustRightInd w:val="0"/>
        <w:spacing w:line="360" w:lineRule="auto"/>
        <w:jc w:val="both"/>
        <w:rPr>
          <w:b/>
          <w:i/>
          <w:sz w:val="20"/>
          <w:szCs w:val="20"/>
          <w:lang w:val="en-US"/>
        </w:rPr>
      </w:pPr>
    </w:p>
    <w:p w:rsidR="00334F38" w:rsidRDefault="00334F38" w:rsidP="009D6CCF">
      <w:pPr>
        <w:autoSpaceDE w:val="0"/>
        <w:autoSpaceDN w:val="0"/>
        <w:adjustRightInd w:val="0"/>
        <w:spacing w:line="360" w:lineRule="auto"/>
        <w:jc w:val="both"/>
        <w:rPr>
          <w:lang w:val="en-US"/>
        </w:rPr>
      </w:pPr>
      <w:r>
        <w:rPr>
          <w:b/>
          <w:i/>
          <w:sz w:val="20"/>
          <w:szCs w:val="20"/>
          <w:lang w:val="en-US"/>
        </w:rPr>
        <w:t>Table 1</w:t>
      </w:r>
      <w:r w:rsidRPr="006C4EFF">
        <w:rPr>
          <w:i/>
          <w:sz w:val="20"/>
          <w:szCs w:val="20"/>
          <w:lang w:val="en-US"/>
        </w:rPr>
        <w:t>: Non-routine CEO turnovers segmented by SIC industry classification</w:t>
      </w:r>
    </w:p>
    <w:p w:rsidR="00334F38" w:rsidRDefault="00334F38" w:rsidP="009D6CCF">
      <w:pPr>
        <w:autoSpaceDE w:val="0"/>
        <w:autoSpaceDN w:val="0"/>
        <w:adjustRightInd w:val="0"/>
        <w:spacing w:line="360" w:lineRule="auto"/>
        <w:jc w:val="both"/>
        <w:rPr>
          <w:lang w:val="en-US"/>
        </w:rPr>
      </w:pPr>
    </w:p>
    <w:p w:rsidR="00334F38" w:rsidRPr="003E7C8B" w:rsidRDefault="00334F38" w:rsidP="009D6CCF">
      <w:pPr>
        <w:autoSpaceDE w:val="0"/>
        <w:autoSpaceDN w:val="0"/>
        <w:adjustRightInd w:val="0"/>
        <w:spacing w:line="360" w:lineRule="auto"/>
        <w:jc w:val="both"/>
        <w:rPr>
          <w:lang w:val="en-US"/>
        </w:rPr>
      </w:pPr>
      <w:r>
        <w:rPr>
          <w:lang w:val="en-US"/>
        </w:rPr>
        <w:t>Once I’ve</w:t>
      </w:r>
      <w:r w:rsidRPr="003E7C8B">
        <w:rPr>
          <w:lang w:val="en-US"/>
        </w:rPr>
        <w:t xml:space="preserve"> identified the </w:t>
      </w:r>
      <w:r>
        <w:rPr>
          <w:lang w:val="en-US"/>
        </w:rPr>
        <w:t xml:space="preserve">U.S. </w:t>
      </w:r>
      <w:r w:rsidRPr="003E7C8B">
        <w:rPr>
          <w:lang w:val="en-US"/>
        </w:rPr>
        <w:t>fi</w:t>
      </w:r>
      <w:r>
        <w:rPr>
          <w:lang w:val="en-US"/>
        </w:rPr>
        <w:t>rms that will be included in the sample, I</w:t>
      </w:r>
      <w:r w:rsidRPr="003E7C8B">
        <w:rPr>
          <w:lang w:val="en-US"/>
        </w:rPr>
        <w:t xml:space="preserve"> can use the COMPUSTAT Industrial Annual and Research files to determine whether these firms have sufficient data to compute the relevant accruals needed to estimate the performance matched modified Jones model.</w:t>
      </w:r>
      <w:r>
        <w:rPr>
          <w:lang w:val="en-US"/>
        </w:rPr>
        <w:t xml:space="preserve"> The fact that the Global Financial Crisis is fairly recent makes data availability a concern. The large number of firms in the United States of America will provide more information on the crisis which will help to improve the test results and aid the problem of data availability.</w:t>
      </w:r>
    </w:p>
    <w:p w:rsidR="00334F38" w:rsidRPr="00B5565A" w:rsidRDefault="00334F38" w:rsidP="002C3F4E">
      <w:pPr>
        <w:pStyle w:val="Heading2"/>
        <w:rPr>
          <w:i/>
          <w:u w:val="none"/>
          <w:lang w:val="en-US"/>
        </w:rPr>
      </w:pPr>
      <w:bookmarkStart w:id="77" w:name="_Toc223368942"/>
      <w:bookmarkStart w:id="78" w:name="_Toc258079464"/>
      <w:r>
        <w:rPr>
          <w:i/>
          <w:u w:val="none"/>
          <w:lang w:val="en-US"/>
        </w:rPr>
        <w:t>5</w:t>
      </w:r>
      <w:r w:rsidRPr="00B5565A">
        <w:rPr>
          <w:i/>
          <w:u w:val="none"/>
          <w:lang w:val="en-US"/>
        </w:rPr>
        <w:t>.4. Methodology</w:t>
      </w:r>
      <w:bookmarkEnd w:id="77"/>
      <w:bookmarkEnd w:id="78"/>
      <w:r>
        <w:rPr>
          <w:i/>
          <w:u w:val="none"/>
          <w:lang w:val="en-US"/>
        </w:rPr>
        <w:fldChar w:fldCharType="begin"/>
      </w:r>
      <w:r w:rsidRPr="00436804">
        <w:rPr>
          <w:lang w:val="en-US"/>
        </w:rPr>
        <w:instrText>tc "</w:instrText>
      </w:r>
      <w:bookmarkStart w:id="79" w:name="_Toc258079465"/>
      <w:r w:rsidRPr="00B74842">
        <w:rPr>
          <w:i/>
          <w:u w:val="none"/>
          <w:lang w:val="en-US"/>
        </w:rPr>
        <w:instrText>5.4. Methodology</w:instrText>
      </w:r>
      <w:bookmarkEnd w:id="79"/>
      <w:r w:rsidRPr="00436804">
        <w:rPr>
          <w:lang w:val="en-US"/>
        </w:rPr>
        <w:instrText>" \f C \l 2</w:instrText>
      </w:r>
      <w:r>
        <w:rPr>
          <w:i/>
          <w:u w:val="none"/>
          <w:lang w:val="en-US"/>
        </w:rPr>
        <w:fldChar w:fldCharType="end"/>
      </w:r>
    </w:p>
    <w:p w:rsidR="00334F38" w:rsidRPr="003E7C8B" w:rsidRDefault="00334F38" w:rsidP="00182D6E">
      <w:pPr>
        <w:autoSpaceDE w:val="0"/>
        <w:autoSpaceDN w:val="0"/>
        <w:adjustRightInd w:val="0"/>
        <w:spacing w:line="360" w:lineRule="auto"/>
        <w:jc w:val="both"/>
        <w:rPr>
          <w:lang w:val="en-US"/>
        </w:rPr>
      </w:pPr>
      <w:r w:rsidRPr="003E7C8B">
        <w:rPr>
          <w:lang w:val="en-US"/>
        </w:rPr>
        <w:t>Th</w:t>
      </w:r>
      <w:r>
        <w:rPr>
          <w:lang w:val="en-US"/>
        </w:rPr>
        <w:t>e first thing to consider in the</w:t>
      </w:r>
      <w:r w:rsidRPr="003E7C8B">
        <w:rPr>
          <w:lang w:val="en-US"/>
        </w:rPr>
        <w:t xml:space="preserve"> methodological approach is defining a method for detecting earnings management. In this light ‘accruals’ are a tool often used for moving profit and losses between the different accounting periods and are probably the m</w:t>
      </w:r>
      <w:r>
        <w:rPr>
          <w:lang w:val="en-US"/>
        </w:rPr>
        <w:t>ost frequently used means for earnings management</w:t>
      </w:r>
      <w:r w:rsidRPr="003E7C8B">
        <w:rPr>
          <w:lang w:val="en-US"/>
        </w:rPr>
        <w:t xml:space="preserve"> (McNichols, 2000). But as a</w:t>
      </w:r>
      <w:r>
        <w:rPr>
          <w:lang w:val="en-US"/>
        </w:rPr>
        <w:t>lready mentioned (in section 5.1</w:t>
      </w:r>
      <w:r w:rsidRPr="003E7C8B">
        <w:rPr>
          <w:lang w:val="en-US"/>
        </w:rPr>
        <w:t xml:space="preserve">) only the discretionary accruals (DA) are a result of earnings manipulation and these </w:t>
      </w:r>
      <w:r>
        <w:rPr>
          <w:lang w:val="en-US"/>
        </w:rPr>
        <w:t>have been used as a proxy for earnings management</w:t>
      </w:r>
      <w:r w:rsidRPr="003E7C8B">
        <w:rPr>
          <w:lang w:val="en-US"/>
        </w:rPr>
        <w:t xml:space="preserve"> in a number of studies.  Ergo this thesis will use the discreti</w:t>
      </w:r>
      <w:r>
        <w:rPr>
          <w:lang w:val="en-US"/>
        </w:rPr>
        <w:t>onary accruals as a proxy for earnings management</w:t>
      </w:r>
      <w:r w:rsidRPr="003E7C8B">
        <w:rPr>
          <w:lang w:val="en-US"/>
        </w:rPr>
        <w:t>. There are several competing models used in detecting discretionary accruals. Dechow et al. (1995) compare the efficiency of these models and conclude (although the results are modest) that the modified Jones model is the best for detecting EM. Hence, we will determine the level of DA us</w:t>
      </w:r>
      <w:r>
        <w:rPr>
          <w:lang w:val="en-US"/>
        </w:rPr>
        <w:t>ing the modified Jones model. I’ve decided to conduct</w:t>
      </w:r>
      <w:r w:rsidRPr="003E7C8B">
        <w:rPr>
          <w:lang w:val="en-US"/>
        </w:rPr>
        <w:t xml:space="preserve"> research using</w:t>
      </w:r>
      <w:r>
        <w:rPr>
          <w:lang w:val="en-US"/>
        </w:rPr>
        <w:t xml:space="preserve"> the cross-sectional procedure, </w:t>
      </w:r>
      <w:r w:rsidRPr="003E7C8B">
        <w:rPr>
          <w:lang w:val="en-US"/>
        </w:rPr>
        <w:t>due to the evidence gained by Peasnell et al. (2000) that accruals models when estimated in a cross-sectional setting have a tendency to yield more powerful tests than their time series equivalent.</w:t>
      </w:r>
      <w:r>
        <w:rPr>
          <w:lang w:val="en-US"/>
        </w:rPr>
        <w:t xml:space="preserve"> As an adage I should also mention that using the time series equivalent would make it difficult to compare the findings, since it is difficult to filter out result biases due to the introduction of IFRS in 2005</w:t>
      </w:r>
      <w:r>
        <w:rPr>
          <w:rStyle w:val="FootnoteReference"/>
          <w:lang w:val="en-US"/>
        </w:rPr>
        <w:footnoteReference w:id="22"/>
      </w:r>
      <w:r>
        <w:rPr>
          <w:lang w:val="en-US"/>
        </w:rPr>
        <w:t xml:space="preserve"> and the financial crisis that already started to show effects in the middle of 2007</w:t>
      </w:r>
      <w:r>
        <w:rPr>
          <w:rStyle w:val="FootnoteReference"/>
          <w:lang w:val="en-US"/>
        </w:rPr>
        <w:footnoteReference w:id="23"/>
      </w:r>
      <w:r>
        <w:rPr>
          <w:lang w:val="en-US"/>
        </w:rPr>
        <w:t xml:space="preserve">. </w:t>
      </w:r>
    </w:p>
    <w:p w:rsidR="00334F38" w:rsidRPr="003E7C8B" w:rsidRDefault="00334F38" w:rsidP="00182D6E">
      <w:pPr>
        <w:autoSpaceDE w:val="0"/>
        <w:autoSpaceDN w:val="0"/>
        <w:adjustRightInd w:val="0"/>
        <w:spacing w:line="360" w:lineRule="auto"/>
        <w:jc w:val="both"/>
        <w:rPr>
          <w:lang w:val="en-US"/>
        </w:rPr>
      </w:pPr>
    </w:p>
    <w:p w:rsidR="00334F38" w:rsidRPr="003E7C8B" w:rsidRDefault="00334F38" w:rsidP="00182D6E">
      <w:pPr>
        <w:autoSpaceDE w:val="0"/>
        <w:autoSpaceDN w:val="0"/>
        <w:adjustRightInd w:val="0"/>
        <w:spacing w:line="360" w:lineRule="auto"/>
        <w:jc w:val="both"/>
        <w:rPr>
          <w:lang w:val="en-US"/>
        </w:rPr>
      </w:pPr>
      <w:r w:rsidRPr="003E7C8B">
        <w:rPr>
          <w:lang w:val="en-US"/>
        </w:rPr>
        <w:t xml:space="preserve">To estimate the discretionary accruals we characterize the total accruals (TA) as follows; </w:t>
      </w:r>
    </w:p>
    <w:p w:rsidR="00334F38" w:rsidRPr="003E7C8B" w:rsidRDefault="00334F38" w:rsidP="00182D6E">
      <w:pPr>
        <w:autoSpaceDE w:val="0"/>
        <w:autoSpaceDN w:val="0"/>
        <w:adjustRightInd w:val="0"/>
        <w:spacing w:line="360" w:lineRule="auto"/>
        <w:jc w:val="both"/>
        <w:rPr>
          <w:lang w:val="en-US"/>
        </w:rPr>
      </w:pPr>
    </w:p>
    <w:p w:rsidR="00334F38" w:rsidRPr="003E7C8B" w:rsidRDefault="00334F38" w:rsidP="00182D6E">
      <w:pPr>
        <w:autoSpaceDE w:val="0"/>
        <w:autoSpaceDN w:val="0"/>
        <w:adjustRightInd w:val="0"/>
        <w:spacing w:line="360" w:lineRule="auto"/>
        <w:jc w:val="both"/>
        <w:rPr>
          <w:lang w:val="en-US"/>
        </w:rPr>
      </w:pPr>
      <w:r w:rsidRPr="006E06F2">
        <w:rPr>
          <w:lang w:val="en-US"/>
        </w:rPr>
        <w:fldChar w:fldCharType="begin"/>
      </w:r>
      <w:r w:rsidRPr="006E06F2">
        <w:rPr>
          <w:lang w:val="en-US"/>
        </w:rPr>
        <w:instrText xml:space="preserve"> QUOTE </w:instrText>
      </w:r>
      <w:r w:rsidRPr="006E06F2">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27pt;height:26.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3E40&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503E40&quot;&gt;&lt;m:oMathPara&gt;&lt;m:oMath&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TA&lt;/m:t&gt;&lt;/m:r&gt;&lt;/m:e&gt;&lt;m:sub&gt;&lt;m:r&gt;&lt;w:rPr&gt;&lt;w:rFonts w:ascii=&quot;Cambria Math&quot; w:h-ansi=&quot;Cambria Math&quot;/&gt;&lt;wx:font wx:val=&quot;Cambria Math&quot;/&gt;&lt;w:i/&gt;&lt;w:lang w:val=&quot;EN-US&quot;/&gt;&lt;/w:rPr&gt;&lt;m:t&gt;it&lt;/m:t&gt;&lt;/m:r&gt;&lt;/m:sub&gt;&lt;/m:sSub&gt;&lt;m:r&gt;&lt;w:rPr&gt;&lt;w:rFonts w:ascii=&quot;Cambria Math&quot;/&gt;&lt;wx:font wx:val=&quot;Cambria Math&quot;/&gt;&lt;w:i/&gt;&lt;w:lang w:val=&quot;EN-US&quot;/&gt;&lt;/w:rPr&gt;&lt;m:t&gt;= &lt;/m:t&gt;&lt;/m:r&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Î²&lt;/m:t&gt;&lt;/m:r&gt;&lt;/m:e&gt;&lt;m:sub&gt;&lt;m:r&gt;&lt;w:rPr&gt;&lt;w:rFonts w:ascii=&quot;Cambria Math&quot;/&gt;&lt;wx:font wx:val=&quot;Cambria Math&quot;/&gt;&lt;w:i/&gt;&lt;w:lang w:val=&quot;EN-US&quot;/&gt;&lt;/w:rPr&gt;&lt;m:t&gt;0&lt;/m:t&gt;&lt;/m:r&gt;&lt;/m:sub&gt;&lt;/m:sSub&gt;&lt;m:r&gt;&lt;w:rPr&gt;&lt;w:rFonts w:ascii=&quot;Cambria Math&quot;/&gt;&lt;wx:font wx:val=&quot;Cambria Math&quot;/&gt;&lt;w:i/&gt;&lt;w:lang w:val=&quot;EN-US&quot;/&gt;&lt;/w:rPr&gt;&lt;m:t&gt; &lt;/m:t&gt;&lt;/m:r&gt;&lt;m:d&gt;&lt;m:dPr&gt;&lt;m:ctrlPr&gt;&lt;w:rPr&gt;&lt;w:rFonts w:ascii=&quot;Cambria Math&quot; w:h-ansi=&quot;Cambria Math&quot;/&gt;&lt;wx:font wx:val=&quot;Cambria Math&quot;/&gt;&lt;w:i/&gt;&lt;w:lang w:val=&quot;EN-US&quot;/&gt;&lt;/w:rPr&gt;&lt;/m:ctrlPr&gt;&lt;/m:dPr&gt;&lt;m:e&gt;&lt;m:f&gt;&lt;m:fPr&gt;&lt;m:ctrlPr&gt;&lt;w:rPr&gt;&lt;w:rFonts w:ascii=&quot;Cambria Math&quot; w:h-ansi=&quot;Cambria Math&quot;/&gt;&lt;wx:font wx:val=&quot;Cambria Math&quot;/&gt;&lt;w:i/&gt;&lt;w:lang w:val=&quot;EN-US&quot;/&gt;&lt;/w:rPr&gt;&lt;/m:ctrlPr&gt;&lt;/m:fPr&gt;&lt;m:num&gt;&lt;m:r&gt;&lt;w:rPr&gt;&lt;w:rFonts w:ascii=&quot;Cambria Math&quot;/&gt;&lt;wx:font wx:val=&quot;Cambria Math&quot;/&gt;&lt;w:i/&gt;&lt;w:lang w:val=&quot;EN-US&quot;/&gt;&lt;/w:rPr&gt;&lt;m:t&gt;1&lt;/m:t&gt;&lt;/m:r&gt;&lt;/m:num&gt;&lt;m:den&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Assets&lt;/m:t&gt;&lt;/m:r&gt;&lt;/m:e&gt;&lt;m:sub&gt;&lt;m:r&gt;&lt;w:rPr&gt;&lt;w:rFonts w:ascii=&quot;Cambria Math&quot; w:h-ansi=&quot;Cambria Math&quot;/&gt;&lt;wx:font wx:val=&quot;Cambria Math&quot;/&gt;&lt;w:i/&gt;&lt;w:lang w:val=&quot;EN-US&quot;/&gt;&lt;/w:rPr&gt;&lt;m:t&gt;it&lt;/m:t&gt;&lt;/m:r&gt;&lt;m:r&gt;&lt;w:rPr&gt;&lt;w:rFonts w:ascii=&quot;Cambria Math&quot;/&gt;&lt;w:i/&gt;&lt;w:lang w:val=&quot;EN-US&quot;/&gt;&lt;/w:rPr&gt;&lt;m:t&gt;-&lt;/m:t&gt;&lt;/m:r&gt;&lt;m:r&gt;&lt;w:rPr&gt;&lt;w:rFonts w:ascii=&quot;Cambria Math&quot;/&gt;&lt;wx:font wx:val=&quot;Cambria Math&quot;/&gt;&lt;w:i/&gt;&lt;w:lang w:val=&quot;EN-US&quot;/&gt;&lt;/w:rPr&gt;&lt;m:t&gt;1&lt;/m:t&gt;&lt;/m:r&gt;&lt;/m:sub&gt;&lt;/m:sSub&gt;&lt;/m:den&gt;&lt;/m:f&gt;&lt;/m:e&gt;&lt;/m:d&gt;&lt;m:r&gt;&lt;w:rPr&gt;&lt;w:rFonts w:ascii=&quot;Cambria Math&quot;/&gt;&lt;wx:font wx:val=&quot;Cambria Math&quot;/&gt;&lt;w:i/&gt;&lt;w:lang w:val=&quot;EN-US&quot;/&gt;&lt;/w:rPr&gt;&lt;m:t&gt;+ &lt;/m:t&gt;&lt;/m:r&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Î²&lt;/m:t&gt;&lt;/m:r&gt;&lt;/m:e&gt;&lt;m:sub&gt;&lt;m:r&gt;&lt;w:rPr&gt;&lt;w:rFonts w:ascii=&quot;Cambria Math&quot;/&gt;&lt;wx:font wx:val=&quot;Cambria Math&quot;/&gt;&lt;w:i/&gt;&lt;w:lang w:val=&quot;EN-US&quot;/&gt;&lt;/w:rPr&gt;&lt;m:t&gt;1&lt;/m:t&gt;&lt;/m:r&gt;&lt;/m:sub&gt;&lt;/m:sSub&gt;&lt;m:r&gt;&lt;w:rPr&gt;&lt;w:rFonts w:ascii=&quot;Cambria Math&quot;/&gt;&lt;wx:font wx:val=&quot;Cambria Math&quot;/&gt;&lt;w:i/&gt;&lt;w:lang w:val=&quot;EN-US&quot;/&gt;&lt;/w:rPr&gt;&lt;m:t&gt; &lt;/m:t&gt;&lt;/m:r&gt;&lt;m:d&gt;&lt;m:dPr&gt;&lt;m:ctrlPr&gt;&lt;w:rPr&gt;&lt;w:rFonts w:ascii=&quot;Cambria Math&quot; w:h-ansi=&quot;Cambria Math&quot;/&gt;&lt;wx:font wx:val=&quot;Cambria Math&quot;/&gt;&lt;w:i/&gt;&lt;w:lang w:val=&quot;EN-US&quot;/&gt;&lt;/w:rPr&gt;&lt;/m:ctrlPr&gt;&lt;/m:dPr&gt;&lt;m:e&gt;&lt;m:sSub&gt;&lt;m:sSubPr&gt;&lt;m:ctrlPr&gt;&lt;w:rPr&gt;&lt;w:rFonts w:ascii=&quot;Cambria Math&quot; w:h-ansi=&quot;Cambria Math&quot;/&gt;&lt;wx:font wx:val=&quot;Cambria Math&quot;/&gt;&lt;w:i/&gt;&lt;w:lang w:val=&quot;EN-US&quot;/&gt;&lt;/w:rPr&gt;&lt;/m:ctrlPr&gt;&lt;/m:sSubPr&gt;&lt;m:e&gt;&lt;m:r&gt;&lt;w:rPr&gt;&lt;w:rFonts w:ascii=&quot;Cambria Math&quot;/&gt;&lt;w:i/&gt;&lt;w:lang w:val=&quot;EN-US&quot;/&gt;&lt;/w:rPr&gt;&lt;m:t&gt;âˆ†&lt;/m:t&gt;&lt;/m:r&gt;&lt;m:r&gt;&lt;w:rPr&gt;&lt;w:rFonts w:ascii=&quot;Cambria Math&quot;/&gt;&lt;wx:font wx:val=&quot;Cambria Math&quot;/&gt;&lt;w:i/&gt;&lt;w:lang w:val=&quot;EN-US&quot;/&gt;&lt;/w:rPr&gt;&lt;m:t&gt; &lt;/m:t&gt;&lt;/m:r&gt;&lt;m:r&gt;&lt;w:rPr&gt;&lt;w:rFonts w:ascii=&quot;Cambria Math&quot; w:h-ansi=&quot;Cambria Math&quot;/&gt;&lt;wx:font wx:val=&quot;Cambria Math&quot;/&gt;&lt;w:i/&gt;&lt;w:lang w:val=&quot;EN-US&quot;/&gt;&lt;/w:rPr&gt;&lt;m:t&gt;REV&lt;/m:t&gt;&lt;/m:r&gt;&lt;/m:e&gt;&lt;m:sub&gt;&lt;m:r&gt;&lt;w:rPr&gt;&lt;w:rFonts w:ascii=&quot;Cambria Math&quot; w:h-ansi=&quot;Cambria Math&quot;/&gt;&lt;wx:font wx:val=&quot;Cambria Math&quot;/&gt;&lt;w:i/&gt;&lt;w:lang w:val=&quot;EN-US&quot;/&gt;&lt;/w:rPr&gt;&lt;m:t&gt;it&lt;/m:t&gt;&lt;/m:r&gt;&lt;/m:sub&gt;&lt;/m:sSub&gt;&lt;m:r&gt;&lt;w:rPr&gt;&lt;w:rFonts w:ascii=&quot;Cambria Math&quot;/&gt;&lt;w:i/&gt;&lt;w:lang w:val=&quot;EN-US&quot;/&gt;&lt;/w:rPr&gt;&lt;m:t&gt;-&lt;/m:t&gt;&lt;/m:r&gt;&lt;m:sSub&gt;&lt;m:sSubPr&gt;&lt;m:ctrlPr&gt;&lt;w:rPr&gt;&lt;w:rFonts w:ascii=&quot;Cambria Math&quot; w:h-ansi=&quot;Cambria Math&quot;/&gt;&lt;wx:font wx:val=&quot;Cambria Math&quot;/&gt;&lt;w:i/&gt;&lt;w:lang w:val=&quot;EN-US&quot;/&gt;&lt;/w:rPr&gt;&lt;/m:ctrlPr&gt;&lt;/m:sSubPr&gt;&lt;m:e&gt;&lt;m:r&gt;&lt;w:rPr&gt;&lt;w:rFonts w:ascii=&quot;Cambria Math&quot;/&gt;&lt;w:i/&gt;&lt;w:lang w:val=&quot;EN-US&quot;/&gt;&lt;/w:rPr&gt;&lt;m:t&gt;âˆ†&lt;/m:t&gt;&lt;/m:r&gt;&lt;m:r&gt;&lt;w:rPr&gt;&lt;w:rFonts w:ascii=&quot;Cambria Math&quot; w:h-ansi=&quot;Cambria Math&quot;/&gt;&lt;wx:font wx:val=&quot;Cambria Math&quot;/&gt;&lt;w:i/&gt;&lt;w:lang w:val=&quot;EN-US&quot;/&gt;&lt;/w:rPr&gt;&lt;m:t&gt;REC&lt;/m:t&gt;&lt;/m:r&gt;&lt;/m:e&gt;&lt;m:sub&gt;&lt;m:r&gt;&lt;w:rPr&gt;&lt;w:rFonts w:ascii=&quot;Cambria Math&quot; w:h-ansi=&quot;Cambria Math&quot;/&gt;&lt;wx:font wx:val=&quot;Cambria Math&quot;/&gt;&lt;w:i/&gt;&lt;w:lang w:val=&quot;EN-US&quot;/&gt;&lt;/w:rPr&gt;&lt;m:t&gt;it&lt;/m:t&gt;&lt;/m:r&gt;&lt;/m:sub&gt;&lt;/m:sSub&gt;&lt;/m:e&gt;&lt;/m:d&gt;&lt;m:r&gt;&lt;w:rPr&gt;&lt;w:rFonts w:ascii=&quot;Cambria Math&quot;/&gt;&lt;wx:font wx:val=&quot;Cambria Math&quot;/&gt;&lt;w:i/&gt;&lt;w:lang w:val=&quot;EN-US&quot;/&gt;&lt;/w:rPr&gt;&lt;m:t&gt;+ &lt;/m:t&gt;&lt;/m:r&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Î²&lt;/m:t&gt;&lt;/m:r&gt;&lt;/m:e&gt;&lt;m:sub&gt;&lt;m:r&gt;&lt;w:rPr&gt;&lt;w:rFonts w:ascii=&quot;Cambria Math&quot; w:h-ansi=&quot;Cambria Math&quot;/&gt;&lt;wx:font wx:val=&quot;Cambria Math&quot;/&gt;&lt;w:i/&gt;&lt;w:lang w:val=&quot;EN-US&quot;/&gt;&lt;/w:rPr&gt;&lt;m:t&gt;2&lt;/m:t&gt;&lt;/m:r&gt;&lt;/m:sub&gt;&lt;/m:sSub&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PPE&lt;/m:t&gt;&lt;/m:r&gt;&lt;/m:e&gt;&lt;m:sub&gt;&lt;m:r&gt;&lt;w:rPr&gt;&lt;w:rFonts w:ascii=&quot;Cambria Math&quot; w:h-ansi=&quot;Cambria Math&quot;/&gt;&lt;wx:font wx:val=&quot;Cambria Math&quot;/&gt;&lt;w:i/&gt;&lt;w:lang w:val=&quot;EN-US&quot;/&gt;&lt;/w:rPr&gt;&lt;m:t&gt;it&lt;/m:t&gt;&lt;/m:r&gt;&lt;/m:sub&gt;&lt;/m:sSub&gt;&lt;m:r&gt;&lt;w:rPr&gt;&lt;w:rFonts w:ascii=&quot;Cambria Math&quot;/&gt;&lt;wx:font wx:val=&quot;Cambria Math&quot;/&gt;&lt;w:i/&gt;&lt;w:lang w:val=&quot;EN-US&quot;/&gt;&lt;/w:rPr&gt;&lt;m:t&gt;+ &lt;/m:t&gt;&lt;/m:r&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Îµ&lt;/m:t&gt;&lt;/m:r&gt;&lt;/m:e&gt;&lt;m:sub&gt;&lt;m:r&gt;&lt;w:rPr&gt;&lt;w:rFonts w:ascii=&quot;Cambria Math&quot; w:h-ansi=&quot;Cambria Math&quot;/&gt;&lt;wx:font wx:val=&quot;Cambria Math&quot;/&gt;&lt;w:i/&gt;&lt;w:lang w:val=&quot;EN-US&quot;/&gt;&lt;/w:rPr&gt;&lt;m:t&gt;it&lt;/m:t&gt;&lt;/m:r&gt;&lt;/m:sub&gt;&lt;/m:sSub&gt;&lt;m:r&gt;&lt;w:rPr&gt;&lt;w:rFonts w:ascii=&quot;Cambria Math&quot;/&gt;&lt;wx:font wx:val=&quot;Cambria Math&quot;/&gt;&lt;w:i/&gt;&lt;w:lang w:val=&quot;EN-US&quot;/&gt;&lt;/w:rPr&gt;&lt;m:t&gt; &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7" o:title="" chromakey="white"/>
          </v:shape>
        </w:pict>
      </w:r>
      <w:r w:rsidRPr="006E06F2">
        <w:rPr>
          <w:lang w:val="en-US"/>
        </w:rPr>
        <w:instrText xml:space="preserve"> </w:instrText>
      </w:r>
      <w:r w:rsidRPr="006E06F2">
        <w:rPr>
          <w:lang w:val="en-US"/>
        </w:rPr>
        <w:fldChar w:fldCharType="separate"/>
      </w:r>
      <w:r w:rsidRPr="006E06F2">
        <w:pict>
          <v:shape id="_x0000_i1026" type="#_x0000_t75" style="width:327pt;height:26.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3E40&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503E40&quot;&gt;&lt;m:oMathPara&gt;&lt;m:oMath&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TA&lt;/m:t&gt;&lt;/m:r&gt;&lt;/m:e&gt;&lt;m:sub&gt;&lt;m:r&gt;&lt;w:rPr&gt;&lt;w:rFonts w:ascii=&quot;Cambria Math&quot; w:h-ansi=&quot;Cambria Math&quot;/&gt;&lt;wx:font wx:val=&quot;Cambria Math&quot;/&gt;&lt;w:i/&gt;&lt;w:lang w:val=&quot;EN-US&quot;/&gt;&lt;/w:rPr&gt;&lt;m:t&gt;it&lt;/m:t&gt;&lt;/m:r&gt;&lt;/m:sub&gt;&lt;/m:sSub&gt;&lt;m:r&gt;&lt;w:rPr&gt;&lt;w:rFonts w:ascii=&quot;Cambria Math&quot;/&gt;&lt;wx:font wx:val=&quot;Cambria Math&quot;/&gt;&lt;w:i/&gt;&lt;w:lang w:val=&quot;EN-US&quot;/&gt;&lt;/w:rPr&gt;&lt;m:t&gt;= &lt;/m:t&gt;&lt;/m:r&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Î²&lt;/m:t&gt;&lt;/m:r&gt;&lt;/m:e&gt;&lt;m:sub&gt;&lt;m:r&gt;&lt;w:rPr&gt;&lt;w:rFonts w:ascii=&quot;Cambria Math&quot;/&gt;&lt;wx:font wx:val=&quot;Cambria Math&quot;/&gt;&lt;w:i/&gt;&lt;w:lang w:val=&quot;EN-US&quot;/&gt;&lt;/w:rPr&gt;&lt;m:t&gt;0&lt;/m:t&gt;&lt;/m:r&gt;&lt;/m:sub&gt;&lt;/m:sSub&gt;&lt;m:r&gt;&lt;w:rPr&gt;&lt;w:rFonts w:ascii=&quot;Cambria Math&quot;/&gt;&lt;wx:font wx:val=&quot;Cambria Math&quot;/&gt;&lt;w:i/&gt;&lt;w:lang w:val=&quot;EN-US&quot;/&gt;&lt;/w:rPr&gt;&lt;m:t&gt; &lt;/m:t&gt;&lt;/m:r&gt;&lt;m:d&gt;&lt;m:dPr&gt;&lt;m:ctrlPr&gt;&lt;w:rPr&gt;&lt;w:rFonts w:ascii=&quot;Cambria Math&quot; w:h-ansi=&quot;Cambria Math&quot;/&gt;&lt;wx:font wx:val=&quot;Cambria Math&quot;/&gt;&lt;w:i/&gt;&lt;w:lang w:val=&quot;EN-US&quot;/&gt;&lt;/w:rPr&gt;&lt;/m:ctrlPr&gt;&lt;/m:dPr&gt;&lt;m:e&gt;&lt;m:f&gt;&lt;m:fPr&gt;&lt;m:ctrlPr&gt;&lt;w:rPr&gt;&lt;w:rFonts w:ascii=&quot;Cambria Math&quot; w:h-ansi=&quot;Cambria Math&quot;/&gt;&lt;wx:font wx:val=&quot;Cambria Math&quot;/&gt;&lt;w:i/&gt;&lt;w:lang w:val=&quot;EN-US&quot;/&gt;&lt;/w:rPr&gt;&lt;/m:ctrlPr&gt;&lt;/m:fPr&gt;&lt;m:num&gt;&lt;m:r&gt;&lt;w:rPr&gt;&lt;w:rFonts w:ascii=&quot;Cambria Math&quot;/&gt;&lt;wx:font wx:val=&quot;Cambria Math&quot;/&gt;&lt;w:i/&gt;&lt;w:lang w:val=&quot;EN-US&quot;/&gt;&lt;/w:rPr&gt;&lt;m:t&gt;1&lt;/m:t&gt;&lt;/m:r&gt;&lt;/m:num&gt;&lt;m:den&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Assets&lt;/m:t&gt;&lt;/m:r&gt;&lt;/m:e&gt;&lt;m:sub&gt;&lt;m:r&gt;&lt;w:rPr&gt;&lt;w:rFonts w:ascii=&quot;Cambria Math&quot; w:h-ansi=&quot;Cambria Math&quot;/&gt;&lt;wx:font wx:val=&quot;Cambria Math&quot;/&gt;&lt;w:i/&gt;&lt;w:lang w:val=&quot;EN-US&quot;/&gt;&lt;/w:rPr&gt;&lt;m:t&gt;it&lt;/m:t&gt;&lt;/m:r&gt;&lt;m:r&gt;&lt;w:rPr&gt;&lt;w:rFonts w:ascii=&quot;Cambria Math&quot;/&gt;&lt;w:i/&gt;&lt;w:lang w:val=&quot;EN-US&quot;/&gt;&lt;/w:rPr&gt;&lt;m:t&gt;-&lt;/m:t&gt;&lt;/m:r&gt;&lt;m:r&gt;&lt;w:rPr&gt;&lt;w:rFonts w:ascii=&quot;Cambria Math&quot;/&gt;&lt;wx:font wx:val=&quot;Cambria Math&quot;/&gt;&lt;w:i/&gt;&lt;w:lang w:val=&quot;EN-US&quot;/&gt;&lt;/w:rPr&gt;&lt;m:t&gt;1&lt;/m:t&gt;&lt;/m:r&gt;&lt;/m:sub&gt;&lt;/m:sSub&gt;&lt;/m:den&gt;&lt;/m:f&gt;&lt;/m:e&gt;&lt;/m:d&gt;&lt;m:r&gt;&lt;w:rPr&gt;&lt;w:rFonts w:ascii=&quot;Cambria Math&quot;/&gt;&lt;wx:font wx:val=&quot;Cambria Math&quot;/&gt;&lt;w:i/&gt;&lt;w:lang w:val=&quot;EN-US&quot;/&gt;&lt;/w:rPr&gt;&lt;m:t&gt;+ &lt;/m:t&gt;&lt;/m:r&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Î²&lt;/m:t&gt;&lt;/m:r&gt;&lt;/m:e&gt;&lt;m:sub&gt;&lt;m:r&gt;&lt;w:rPr&gt;&lt;w:rFonts w:ascii=&quot;Cambria Math&quot;/&gt;&lt;wx:font wx:val=&quot;Cambria Math&quot;/&gt;&lt;w:i/&gt;&lt;w:lang w:val=&quot;EN-US&quot;/&gt;&lt;/w:rPr&gt;&lt;m:t&gt;1&lt;/m:t&gt;&lt;/m:r&gt;&lt;/m:sub&gt;&lt;/m:sSub&gt;&lt;m:r&gt;&lt;w:rPr&gt;&lt;w:rFonts w:ascii=&quot;Cambria Math&quot;/&gt;&lt;wx:font wx:val=&quot;Cambria Math&quot;/&gt;&lt;w:i/&gt;&lt;w:lang w:val=&quot;EN-US&quot;/&gt;&lt;/w:rPr&gt;&lt;m:t&gt; &lt;/m:t&gt;&lt;/m:r&gt;&lt;m:d&gt;&lt;m:dPr&gt;&lt;m:ctrlPr&gt;&lt;w:rPr&gt;&lt;w:rFonts w:ascii=&quot;Cambria Math&quot; w:h-ansi=&quot;Cambria Math&quot;/&gt;&lt;wx:font wx:val=&quot;Cambria Math&quot;/&gt;&lt;w:i/&gt;&lt;w:lang w:val=&quot;EN-US&quot;/&gt;&lt;/w:rPr&gt;&lt;/m:ctrlPr&gt;&lt;/m:dPr&gt;&lt;m:e&gt;&lt;m:sSub&gt;&lt;m:sSubPr&gt;&lt;m:ctrlPr&gt;&lt;w:rPr&gt;&lt;w:rFonts w:ascii=&quot;Cambria Math&quot; w:h-ansi=&quot;Cambria Math&quot;/&gt;&lt;wx:font wx:val=&quot;Cambria Math&quot;/&gt;&lt;w:i/&gt;&lt;w:lang w:val=&quot;EN-US&quot;/&gt;&lt;/w:rPr&gt;&lt;/m:ctrlPr&gt;&lt;/m:sSubPr&gt;&lt;m:e&gt;&lt;m:r&gt;&lt;w:rPr&gt;&lt;w:rFonts w:ascii=&quot;Cambria Math&quot;/&gt;&lt;w:i/&gt;&lt;w:lang w:val=&quot;EN-US&quot;/&gt;&lt;/w:rPr&gt;&lt;m:t&gt;âˆ†&lt;/m:t&gt;&lt;/m:r&gt;&lt;m:r&gt;&lt;w:rPr&gt;&lt;w:rFonts w:ascii=&quot;Cambria Math&quot;/&gt;&lt;wx:font wx:val=&quot;Cambria Math&quot;/&gt;&lt;w:i/&gt;&lt;w:lang w:val=&quot;EN-US&quot;/&gt;&lt;/w:rPr&gt;&lt;m:t&gt; &lt;/m:t&gt;&lt;/m:r&gt;&lt;m:r&gt;&lt;w:rPr&gt;&lt;w:rFonts w:ascii=&quot;Cambria Math&quot; w:h-ansi=&quot;Cambria Math&quot;/&gt;&lt;wx:font wx:val=&quot;Cambria Math&quot;/&gt;&lt;w:i/&gt;&lt;w:lang w:val=&quot;EN-US&quot;/&gt;&lt;/w:rPr&gt;&lt;m:t&gt;REV&lt;/m:t&gt;&lt;/m:r&gt;&lt;/m:e&gt;&lt;m:sub&gt;&lt;m:r&gt;&lt;w:rPr&gt;&lt;w:rFonts w:ascii=&quot;Cambria Math&quot; w:h-ansi=&quot;Cambria Math&quot;/&gt;&lt;wx:font wx:val=&quot;Cambria Math&quot;/&gt;&lt;w:i/&gt;&lt;w:lang w:val=&quot;EN-US&quot;/&gt;&lt;/w:rPr&gt;&lt;m:t&gt;it&lt;/m:t&gt;&lt;/m:r&gt;&lt;/m:sub&gt;&lt;/m:sSub&gt;&lt;m:r&gt;&lt;w:rPr&gt;&lt;w:rFonts w:ascii=&quot;Cambria Math&quot;/&gt;&lt;w:i/&gt;&lt;w:lang w:val=&quot;EN-US&quot;/&gt;&lt;/w:rPr&gt;&lt;m:t&gt;-&lt;/m:t&gt;&lt;/m:r&gt;&lt;m:sSub&gt;&lt;m:sSubPr&gt;&lt;m:ctrlPr&gt;&lt;w:rPr&gt;&lt;w:rFonts w:ascii=&quot;Cambria Math&quot; w:h-ansi=&quot;Cambria Math&quot;/&gt;&lt;wx:font wx:val=&quot;Cambria Math&quot;/&gt;&lt;w:i/&gt;&lt;w:lang w:val=&quot;EN-US&quot;/&gt;&lt;/w:rPr&gt;&lt;/m:ctrlPr&gt;&lt;/m:sSubPr&gt;&lt;m:e&gt;&lt;m:r&gt;&lt;w:rPr&gt;&lt;w:rFonts w:ascii=&quot;Cambria Math&quot;/&gt;&lt;w:i/&gt;&lt;w:lang w:val=&quot;EN-US&quot;/&gt;&lt;/w:rPr&gt;&lt;m:t&gt;âˆ†&lt;/m:t&gt;&lt;/m:r&gt;&lt;m:r&gt;&lt;w:rPr&gt;&lt;w:rFonts w:ascii=&quot;Cambria Math&quot; w:h-ansi=&quot;Cambria Math&quot;/&gt;&lt;wx:font wx:val=&quot;Cambria Math&quot;/&gt;&lt;w:i/&gt;&lt;w:lang w:val=&quot;EN-US&quot;/&gt;&lt;/w:rPr&gt;&lt;m:t&gt;REC&lt;/m:t&gt;&lt;/m:r&gt;&lt;/m:e&gt;&lt;m:sub&gt;&lt;m:r&gt;&lt;w:rPr&gt;&lt;w:rFonts w:ascii=&quot;Cambria Math&quot; w:h-ansi=&quot;Cambria Math&quot;/&gt;&lt;wx:font wx:val=&quot;Cambria Math&quot;/&gt;&lt;w:i/&gt;&lt;w:lang w:val=&quot;EN-US&quot;/&gt;&lt;/w:rPr&gt;&lt;m:t&gt;it&lt;/m:t&gt;&lt;/m:r&gt;&lt;/m:sub&gt;&lt;/m:sSub&gt;&lt;/m:e&gt;&lt;/m:d&gt;&lt;m:r&gt;&lt;w:rPr&gt;&lt;w:rFonts w:ascii=&quot;Cambria Math&quot;/&gt;&lt;wx:font wx:val=&quot;Cambria Math&quot;/&gt;&lt;w:i/&gt;&lt;w:lang w:val=&quot;EN-US&quot;/&gt;&lt;/w:rPr&gt;&lt;m:t&gt;+ &lt;/m:t&gt;&lt;/m:r&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Î²&lt;/m:t&gt;&lt;/m:r&gt;&lt;/m:e&gt;&lt;m:sub&gt;&lt;m:r&gt;&lt;w:rPr&gt;&lt;w:rFonts w:ascii=&quot;Cambria Math&quot; w:h-ansi=&quot;Cambria Math&quot;/&gt;&lt;wx:font wx:val=&quot;Cambria Math&quot;/&gt;&lt;w:i/&gt;&lt;w:lang w:val=&quot;EN-US&quot;/&gt;&lt;/w:rPr&gt;&lt;m:t&gt;2&lt;/m:t&gt;&lt;/m:r&gt;&lt;/m:sub&gt;&lt;/m:sSub&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PPE&lt;/m:t&gt;&lt;/m:r&gt;&lt;/m:e&gt;&lt;m:sub&gt;&lt;m:r&gt;&lt;w:rPr&gt;&lt;w:rFonts w:ascii=&quot;Cambria Math&quot; w:h-ansi=&quot;Cambria Math&quot;/&gt;&lt;wx:font wx:val=&quot;Cambria Math&quot;/&gt;&lt;w:i/&gt;&lt;w:lang w:val=&quot;EN-US&quot;/&gt;&lt;/w:rPr&gt;&lt;m:t&gt;it&lt;/m:t&gt;&lt;/m:r&gt;&lt;/m:sub&gt;&lt;/m:sSub&gt;&lt;m:r&gt;&lt;w:rPr&gt;&lt;w:rFonts w:ascii=&quot;Cambria Math&quot;/&gt;&lt;wx:font wx:val=&quot;Cambria Math&quot;/&gt;&lt;w:i/&gt;&lt;w:lang w:val=&quot;EN-US&quot;/&gt;&lt;/w:rPr&gt;&lt;m:t&gt;+ &lt;/m:t&gt;&lt;/m:r&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Îµ&lt;/m:t&gt;&lt;/m:r&gt;&lt;/m:e&gt;&lt;m:sub&gt;&lt;m:r&gt;&lt;w:rPr&gt;&lt;w:rFonts w:ascii=&quot;Cambria Math&quot; w:h-ansi=&quot;Cambria Math&quot;/&gt;&lt;wx:font wx:val=&quot;Cambria Math&quot;/&gt;&lt;w:i/&gt;&lt;w:lang w:val=&quot;EN-US&quot;/&gt;&lt;/w:rPr&gt;&lt;m:t&gt;it&lt;/m:t&gt;&lt;/m:r&gt;&lt;/m:sub&gt;&lt;/m:sSub&gt;&lt;m:r&gt;&lt;w:rPr&gt;&lt;w:rFonts w:ascii=&quot;Cambria Math&quot;/&gt;&lt;wx:font wx:val=&quot;Cambria Math&quot;/&gt;&lt;w:i/&gt;&lt;w:lang w:val=&quot;EN-US&quot;/&gt;&lt;/w:rPr&gt;&lt;m:t&gt; &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7" o:title="" chromakey="white"/>
          </v:shape>
        </w:pict>
      </w:r>
      <w:r w:rsidRPr="006E06F2">
        <w:rPr>
          <w:lang w:val="en-US"/>
        </w:rPr>
        <w:fldChar w:fldCharType="end"/>
      </w:r>
      <w:r w:rsidRPr="003E7C8B">
        <w:rPr>
          <w:lang w:val="en-US"/>
        </w:rPr>
        <w:tab/>
      </w:r>
      <w:r>
        <w:rPr>
          <w:lang w:val="en-US"/>
        </w:rPr>
        <w:t xml:space="preserve">                          </w:t>
      </w:r>
      <w:r w:rsidRPr="003E7C8B">
        <w:rPr>
          <w:lang w:val="en-US"/>
        </w:rPr>
        <w:t>(1)</w:t>
      </w:r>
    </w:p>
    <w:p w:rsidR="00334F38" w:rsidRPr="003E7C8B" w:rsidRDefault="00334F38" w:rsidP="00182D6E">
      <w:pPr>
        <w:autoSpaceDE w:val="0"/>
        <w:autoSpaceDN w:val="0"/>
        <w:adjustRightInd w:val="0"/>
        <w:spacing w:line="360" w:lineRule="auto"/>
        <w:jc w:val="both"/>
        <w:rPr>
          <w:lang w:val="en-US"/>
        </w:rPr>
      </w:pPr>
      <w:r w:rsidRPr="003E7C8B">
        <w:rPr>
          <w:lang w:val="en-US"/>
        </w:rPr>
        <w:t xml:space="preserve">where </w:t>
      </w:r>
    </w:p>
    <w:p w:rsidR="00334F38" w:rsidRPr="004F42C2" w:rsidRDefault="00334F38" w:rsidP="00182D6E">
      <w:pPr>
        <w:autoSpaceDE w:val="0"/>
        <w:autoSpaceDN w:val="0"/>
        <w:adjustRightInd w:val="0"/>
        <w:spacing w:line="360" w:lineRule="auto"/>
        <w:jc w:val="both"/>
        <w:rPr>
          <w:rFonts w:ascii="Cambria" w:hAnsi="Cambria"/>
          <w:sz w:val="20"/>
          <w:szCs w:val="20"/>
          <w:lang w:val="en-US"/>
        </w:rPr>
      </w:pPr>
      <w:r w:rsidRPr="006E06F2">
        <w:rPr>
          <w:rFonts w:ascii="Cambria" w:hAnsi="Cambria"/>
          <w:sz w:val="20"/>
          <w:szCs w:val="20"/>
          <w:lang w:val="en-US"/>
        </w:rPr>
        <w:fldChar w:fldCharType="begin"/>
      </w:r>
      <w:r w:rsidRPr="006E06F2">
        <w:rPr>
          <w:rFonts w:ascii="Cambria" w:hAnsi="Cambria"/>
          <w:sz w:val="20"/>
          <w:szCs w:val="20"/>
          <w:lang w:val="en-US"/>
        </w:rPr>
        <w:instrText xml:space="preserve"> QUOTE </w:instrText>
      </w:r>
      <w:r w:rsidRPr="006E06F2">
        <w:pict>
          <v:shape id="_x0000_i1027" type="#_x0000_t75" style="width:57pt;height:26.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1A99&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C51A99&quot;&gt;&lt;m:oMathPara&gt;&lt;m:oMath&gt;&lt;m:d&gt;&lt;m:dPr&gt;&lt;m:ctrlPr&gt;&lt;w:rPr&gt;&lt;w:rFonts w:ascii=&quot;Cambria Math&quot; w:h-ansi=&quot;Cambria&quot;/&gt;&lt;wx:font wx:val=&quot;Cambria Math&quot;/&gt;&lt;w:i/&gt;&lt;w:sz w:val=&quot;20&quot;/&gt;&lt;w:sz-cs w:val=&quot;20&quot;/&gt;&lt;w:lang w:val=&quot;EN-US&quot;/&gt;&lt;/w:rPr&gt;&lt;/m:ctrlPr&gt;&lt;/m:dPr&gt;&lt;m:e&gt;&lt;m:f&gt;&lt;m:fPr&gt;&lt;m:ctrlPr&gt;&lt;w:rPr&gt;&lt;w:rFonts w:ascii=&quot;Cambria Math&quot; w:h-ansi=&quot;Cambria&quot;/&gt;&lt;wx:font wx:val=&quot;Cambria Math&quot;/&gt;&lt;w:i/&gt;&lt;w:sz w:val=&quot;20&quot;/&gt;&lt;w:sz-cs w:val=&quot;20&quot;/&gt;&lt;w:lang w:val=&quot;EN-US&quot;/&gt;&lt;/w:rPr&gt;&lt;/m:ctrlPr&gt;&lt;/m:fPr&gt;&lt;m:num&gt;&lt;m:r&gt;&lt;w:rPr&gt;&lt;w:rFonts w:ascii=&quot;Cambria Math&quot; w:h-ansi=&quot;Cambria&quot;/&gt;&lt;wx:font wx:val=&quot;Cambria Math&quot;/&gt;&lt;w:i/&gt;&lt;w:sz w:val=&quot;20&quot;/&gt;&lt;w:sz-cs w:val=&quot;20&quot;/&gt;&lt;w:lang w:val=&quot;EN-US&quot;/&gt;&lt;/w:rPr&gt;&lt;m:t&gt;1&lt;/m:t&gt;&lt;/m:r&gt;&lt;/m:num&gt;&lt;m:den&gt;&lt;m:sSub&gt;&lt;m:sSubPr&gt;&lt;m:ctrlPr&gt;&lt;w:rPr&gt;&lt;w:rFonts w:ascii=&quot;Cambria Math&quot; w:h-ansi=&quot;Cambria&quot;/&gt;&lt;wx:font wx:val=&quot;Cambria Math&quot;/&gt;&lt;w:i/&gt;&lt;w:sz w:val=&quot;20&quot;/&gt;&lt;w:sz-cs w:val=&quot;20&quot;/&gt;&lt;w:lang w:val=&quot;EN-US&quot;/&gt;&lt;/w:rPr&gt;&lt;/m:ctrlPr&gt;&lt;/m:sSubPr&gt;&lt;m:e&gt;&lt;m:r&gt;&lt;w:rPr&gt;&lt;w:rFonts w:ascii=&quot;Cambria Math&quot; w:h-ansi=&quot;Cambria Math&quot;/&gt;&lt;wx:font wx:val=&quot;Cambria Math&quot;/&gt;&lt;w:i/&gt;&lt;w:sz w:val=&quot;20&quot;/&gt;&lt;w:sz-cs w:val=&quot;20&quot;/&gt;&lt;w:lang w:val=&quot;EN-US&quot;/&gt;&lt;/w:rPr&gt;&lt;m:t&gt;Assets&lt;/m:t&gt;&lt;/m:r&gt;&lt;/m:e&gt;&lt;m:sub&gt;&lt;m:r&gt;&lt;w:rPr&gt;&lt;w:rFonts w:ascii=&quot;Cambria Math&quot; w:h-ansi=&quot;Cambria Math&quot;/&gt;&lt;wx:font wx:val=&quot;Cambria Math&quot;/&gt;&lt;w:i/&gt;&lt;w:sz w:val=&quot;20&quot;/&gt;&lt;w:sz-cs w:val=&quot;20&quot;/&gt;&lt;w:lang w:val=&quot;EN-US&quot;/&gt;&lt;/w:rPr&gt;&lt;m:t&gt;it&lt;/m:t&gt;&lt;/m:r&gt;&lt;m:r&gt;&lt;w:rPr&gt;&lt;w:rFonts w:ascii=&quot;Cambria&quot; w:h-ansi=&quot;Cambria&quot;/&gt;&lt;wx:font wx:val=&quot;Cambria&quot;/&gt;&lt;w:i/&gt;&lt;w:sz w:val=&quot;20&quot;/&gt;&lt;w:sz-cs w:val=&quot;20&quot;/&gt;&lt;w:lang w:val=&quot;EN-US&quot;/&gt;&lt;/w:rPr&gt;&lt;m:t&gt;-&lt;/m:t&gt;&lt;/m:r&gt;&lt;m:r&gt;&lt;w:rPr&gt;&lt;w:rFonts w:ascii=&quot;Cambria Math&quot; w:h-ansi=&quot;Cambria&quot;/&gt;&lt;wx:font wx:val=&quot;Cambria Math&quot;/&gt;&lt;w:i/&gt;&lt;w:sz w:val=&quot;20&quot;/&gt;&lt;w:sz-cs w:val=&quot;20&quot;/&gt;&lt;w:lang w:val=&quot;EN-US&quot;/&gt;&lt;/w:rPr&gt;&lt;m:t&gt;1&lt;/m:t&gt;&lt;/m:r&gt;&lt;/m:sub&gt;&lt;/m:sSub&gt;&lt;/m:den&gt;&lt;/m:f&gt;&lt;/m:e&gt;&lt;/m:d&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8" o:title="" chromakey="white"/>
          </v:shape>
        </w:pict>
      </w:r>
      <w:r w:rsidRPr="006E06F2">
        <w:rPr>
          <w:rFonts w:ascii="Cambria" w:hAnsi="Cambria"/>
          <w:sz w:val="20"/>
          <w:szCs w:val="20"/>
          <w:lang w:val="en-US"/>
        </w:rPr>
        <w:instrText xml:space="preserve"> </w:instrText>
      </w:r>
      <w:r w:rsidRPr="006E06F2">
        <w:rPr>
          <w:rFonts w:ascii="Cambria" w:hAnsi="Cambria"/>
          <w:sz w:val="20"/>
          <w:szCs w:val="20"/>
          <w:lang w:val="en-US"/>
        </w:rPr>
        <w:fldChar w:fldCharType="separate"/>
      </w:r>
      <w:r w:rsidRPr="006E06F2">
        <w:pict>
          <v:shape id="_x0000_i1028" type="#_x0000_t75" style="width:57pt;height:26.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1A99&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C51A99&quot;&gt;&lt;m:oMathPara&gt;&lt;m:oMath&gt;&lt;m:d&gt;&lt;m:dPr&gt;&lt;m:ctrlPr&gt;&lt;w:rPr&gt;&lt;w:rFonts w:ascii=&quot;Cambria Math&quot; w:h-ansi=&quot;Cambria&quot;/&gt;&lt;wx:font wx:val=&quot;Cambria Math&quot;/&gt;&lt;w:i/&gt;&lt;w:sz w:val=&quot;20&quot;/&gt;&lt;w:sz-cs w:val=&quot;20&quot;/&gt;&lt;w:lang w:val=&quot;EN-US&quot;/&gt;&lt;/w:rPr&gt;&lt;/m:ctrlPr&gt;&lt;/m:dPr&gt;&lt;m:e&gt;&lt;m:f&gt;&lt;m:fPr&gt;&lt;m:ctrlPr&gt;&lt;w:rPr&gt;&lt;w:rFonts w:ascii=&quot;Cambria Math&quot; w:h-ansi=&quot;Cambria&quot;/&gt;&lt;wx:font wx:val=&quot;Cambria Math&quot;/&gt;&lt;w:i/&gt;&lt;w:sz w:val=&quot;20&quot;/&gt;&lt;w:sz-cs w:val=&quot;20&quot;/&gt;&lt;w:lang w:val=&quot;EN-US&quot;/&gt;&lt;/w:rPr&gt;&lt;/m:ctrlPr&gt;&lt;/m:fPr&gt;&lt;m:num&gt;&lt;m:r&gt;&lt;w:rPr&gt;&lt;w:rFonts w:ascii=&quot;Cambria Math&quot; w:h-ansi=&quot;Cambria&quot;/&gt;&lt;wx:font wx:val=&quot;Cambria Math&quot;/&gt;&lt;w:i/&gt;&lt;w:sz w:val=&quot;20&quot;/&gt;&lt;w:sz-cs w:val=&quot;20&quot;/&gt;&lt;w:lang w:val=&quot;EN-US&quot;/&gt;&lt;/w:rPr&gt;&lt;m:t&gt;1&lt;/m:t&gt;&lt;/m:r&gt;&lt;/m:num&gt;&lt;m:den&gt;&lt;m:sSub&gt;&lt;m:sSubPr&gt;&lt;m:ctrlPr&gt;&lt;w:rPr&gt;&lt;w:rFonts w:ascii=&quot;Cambria Math&quot; w:h-ansi=&quot;Cambria&quot;/&gt;&lt;wx:font wx:val=&quot;Cambria Math&quot;/&gt;&lt;w:i/&gt;&lt;w:sz w:val=&quot;20&quot;/&gt;&lt;w:sz-cs w:val=&quot;20&quot;/&gt;&lt;w:lang w:val=&quot;EN-US&quot;/&gt;&lt;/w:rPr&gt;&lt;/m:ctrlPr&gt;&lt;/m:sSubPr&gt;&lt;m:e&gt;&lt;m:r&gt;&lt;w:rPr&gt;&lt;w:rFonts w:ascii=&quot;Cambria Math&quot; w:h-ansi=&quot;Cambria Math&quot;/&gt;&lt;wx:font wx:val=&quot;Cambria Math&quot;/&gt;&lt;w:i/&gt;&lt;w:sz w:val=&quot;20&quot;/&gt;&lt;w:sz-cs w:val=&quot;20&quot;/&gt;&lt;w:lang w:val=&quot;EN-US&quot;/&gt;&lt;/w:rPr&gt;&lt;m:t&gt;Assets&lt;/m:t&gt;&lt;/m:r&gt;&lt;/m:e&gt;&lt;m:sub&gt;&lt;m:r&gt;&lt;w:rPr&gt;&lt;w:rFonts w:ascii=&quot;Cambria Math&quot; w:h-ansi=&quot;Cambria Math&quot;/&gt;&lt;wx:font wx:val=&quot;Cambria Math&quot;/&gt;&lt;w:i/&gt;&lt;w:sz w:val=&quot;20&quot;/&gt;&lt;w:sz-cs w:val=&quot;20&quot;/&gt;&lt;w:lang w:val=&quot;EN-US&quot;/&gt;&lt;/w:rPr&gt;&lt;m:t&gt;it&lt;/m:t&gt;&lt;/m:r&gt;&lt;m:r&gt;&lt;w:rPr&gt;&lt;w:rFonts w:ascii=&quot;Cambria&quot; w:h-ansi=&quot;Cambria&quot;/&gt;&lt;wx:font wx:val=&quot;Cambria&quot;/&gt;&lt;w:i/&gt;&lt;w:sz w:val=&quot;20&quot;/&gt;&lt;w:sz-cs w:val=&quot;20&quot;/&gt;&lt;w:lang w:val=&quot;EN-US&quot;/&gt;&lt;/w:rPr&gt;&lt;m:t&gt;-&lt;/m:t&gt;&lt;/m:r&gt;&lt;m:r&gt;&lt;w:rPr&gt;&lt;w:rFonts w:ascii=&quot;Cambria Math&quot; w:h-ansi=&quot;Cambria&quot;/&gt;&lt;wx:font wx:val=&quot;Cambria Math&quot;/&gt;&lt;w:i/&gt;&lt;w:sz w:val=&quot;20&quot;/&gt;&lt;w:sz-cs w:val=&quot;20&quot;/&gt;&lt;w:lang w:val=&quot;EN-US&quot;/&gt;&lt;/w:rPr&gt;&lt;m:t&gt;1&lt;/m:t&gt;&lt;/m:r&gt;&lt;/m:sub&gt;&lt;/m:sSub&gt;&lt;/m:den&gt;&lt;/m:f&gt;&lt;/m:e&gt;&lt;/m:d&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8" o:title="" chromakey="white"/>
          </v:shape>
        </w:pict>
      </w:r>
      <w:r w:rsidRPr="006E06F2">
        <w:rPr>
          <w:rFonts w:ascii="Cambria" w:hAnsi="Cambria"/>
          <w:sz w:val="20"/>
          <w:szCs w:val="20"/>
          <w:lang w:val="en-US"/>
        </w:rPr>
        <w:fldChar w:fldCharType="end"/>
      </w:r>
      <w:r w:rsidRPr="004F42C2">
        <w:rPr>
          <w:rFonts w:ascii="Cambria" w:hAnsi="Cambria"/>
          <w:sz w:val="20"/>
          <w:szCs w:val="20"/>
          <w:lang w:val="en-US"/>
        </w:rPr>
        <w:t xml:space="preserve"> = all the independent variables are scaled by lagged assets to correct for firm size.  </w:t>
      </w:r>
    </w:p>
    <w:p w:rsidR="00334F38" w:rsidRPr="004F42C2" w:rsidRDefault="00334F38" w:rsidP="00182D6E">
      <w:pPr>
        <w:autoSpaceDE w:val="0"/>
        <w:autoSpaceDN w:val="0"/>
        <w:adjustRightInd w:val="0"/>
        <w:spacing w:line="360" w:lineRule="auto"/>
        <w:jc w:val="both"/>
        <w:rPr>
          <w:rFonts w:ascii="Cambria" w:hAnsi="Cambria"/>
          <w:sz w:val="20"/>
          <w:szCs w:val="20"/>
          <w:lang w:val="en-US"/>
        </w:rPr>
      </w:pPr>
      <w:r w:rsidRPr="006E06F2">
        <w:rPr>
          <w:rFonts w:ascii="Cambria" w:hAnsi="Cambria"/>
          <w:sz w:val="20"/>
          <w:szCs w:val="20"/>
          <w:lang w:val="en-US"/>
        </w:rPr>
        <w:fldChar w:fldCharType="begin"/>
      </w:r>
      <w:r w:rsidRPr="006E06F2">
        <w:rPr>
          <w:rFonts w:ascii="Cambria" w:hAnsi="Cambria"/>
          <w:sz w:val="20"/>
          <w:szCs w:val="20"/>
          <w:lang w:val="en-US"/>
        </w:rPr>
        <w:instrText xml:space="preserve"> QUOTE </w:instrText>
      </w:r>
      <w:r w:rsidRPr="006E06F2">
        <w:pict>
          <v:shape id="_x0000_i1029" type="#_x0000_t75" style="width:33.75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48FD&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9948FD&quot;&gt;&lt;m:oMathPara&gt;&lt;m:oMath&gt;&lt;m:sSub&gt;&lt;m:sSubPr&gt;&lt;m:ctrlPr&gt;&lt;w:rPr&gt;&lt;w:rFonts w:ascii=&quot;Cambria Math&quot; w:h-ansi=&quot;Cambria&quot;/&gt;&lt;wx:font wx:val=&quot;Cambria Math&quot;/&gt;&lt;w:i/&gt;&lt;w:sz w:val=&quot;20&quot;/&gt;&lt;w:sz-cs w:val=&quot;20&quot;/&gt;&lt;w:lang w:val=&quot;EN-US&quot;/&gt;&lt;/w:rPr&gt;&lt;/m:ctrlPr&gt;&lt;/m:sSubPr&gt;&lt;m:e&gt;&lt;m:r&gt;&lt;w:rPr&gt;&lt;w:rFonts w:ascii=&quot;Cambria&quot; w:h-ansi=&quot;Cambria&quot;/&gt;&lt;wx:font wx:val=&quot;Cambria&quot;/&gt;&lt;w:i/&gt;&lt;w:sz w:val=&quot;20&quot;/&gt;&lt;w:sz-cs w:val=&quot;20&quot;/&gt;&lt;w:lang w:val=&quot;EN-US&quot;/&gt;&lt;/w:rPr&gt;&lt;m:t&gt;âˆ†&lt;/m:t&gt;&lt;/m:r&gt;&lt;m:r&gt;&lt;w:rPr&gt;&lt;w:rFonts w:ascii=&quot;Cambria Math&quot; w:h-ansi=&quot;Cambria&quot;/&gt;&lt;wx:font wx:val=&quot;Cambria Math&quot;/&gt;&lt;w:i/&gt;&lt;w:sz w:val=&quot;20&quot;/&gt;&lt;w:sz-cs w:val=&quot;20&quot;/&gt;&lt;w:lang w:val=&quot;EN-US&quot;/&gt;&lt;/w:rPr&gt;&lt;m:t&gt; &lt;/m:t&gt;&lt;/m:r&gt;&lt;m:r&gt;&lt;w:rPr&gt;&lt;w:rFonts w:ascii=&quot;Cambria Math&quot; w:h-ansi=&quot;Cambria Math&quot;/&gt;&lt;wx:font wx:val=&quot;Cambria Math&quot;/&gt;&lt;w:i/&gt;&lt;w:sz w:val=&quot;20&quot;/&gt;&lt;w:sz-cs w:val=&quot;20&quot;/&gt;&lt;w:lang w:val=&quot;EN-US&quot;/&gt;&lt;/w:rPr&gt;&lt;m:t&gt;REV&lt;/m:t&gt;&lt;/m:r&gt;&lt;/m:e&gt;&lt;m:sub&gt;&lt;m:r&gt;&lt;w:rPr&gt;&lt;w:rFonts w:ascii=&quot;Cambria Math&quot; w:h-ansi=&quot;Cambria Math&quot;/&gt;&lt;wx:font wx:val=&quot;Cambria Math&quot;/&gt;&lt;w:i/&gt;&lt;w:sz w:val=&quot;20&quot;/&gt;&lt;w:sz-cs w:val=&quot;20&quot;/&gt;&lt;w:lang w:val=&quot;EN-US&quot;/&gt;&lt;/w:rPr&gt;&lt;m:t&gt;it&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9" o:title="" chromakey="white"/>
          </v:shape>
        </w:pict>
      </w:r>
      <w:r w:rsidRPr="006E06F2">
        <w:rPr>
          <w:rFonts w:ascii="Cambria" w:hAnsi="Cambria"/>
          <w:sz w:val="20"/>
          <w:szCs w:val="20"/>
          <w:lang w:val="en-US"/>
        </w:rPr>
        <w:instrText xml:space="preserve"> </w:instrText>
      </w:r>
      <w:r w:rsidRPr="006E06F2">
        <w:rPr>
          <w:rFonts w:ascii="Cambria" w:hAnsi="Cambria"/>
          <w:sz w:val="20"/>
          <w:szCs w:val="20"/>
          <w:lang w:val="en-US"/>
        </w:rPr>
        <w:fldChar w:fldCharType="separate"/>
      </w:r>
      <w:r w:rsidRPr="006E06F2">
        <w:pict>
          <v:shape id="_x0000_i1030" type="#_x0000_t75" style="width:33.75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48FD&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9948FD&quot;&gt;&lt;m:oMathPara&gt;&lt;m:oMath&gt;&lt;m:sSub&gt;&lt;m:sSubPr&gt;&lt;m:ctrlPr&gt;&lt;w:rPr&gt;&lt;w:rFonts w:ascii=&quot;Cambria Math&quot; w:h-ansi=&quot;Cambria&quot;/&gt;&lt;wx:font wx:val=&quot;Cambria Math&quot;/&gt;&lt;w:i/&gt;&lt;w:sz w:val=&quot;20&quot;/&gt;&lt;w:sz-cs w:val=&quot;20&quot;/&gt;&lt;w:lang w:val=&quot;EN-US&quot;/&gt;&lt;/w:rPr&gt;&lt;/m:ctrlPr&gt;&lt;/m:sSubPr&gt;&lt;m:e&gt;&lt;m:r&gt;&lt;w:rPr&gt;&lt;w:rFonts w:ascii=&quot;Cambria&quot; w:h-ansi=&quot;Cambria&quot;/&gt;&lt;wx:font wx:val=&quot;Cambria&quot;/&gt;&lt;w:i/&gt;&lt;w:sz w:val=&quot;20&quot;/&gt;&lt;w:sz-cs w:val=&quot;20&quot;/&gt;&lt;w:lang w:val=&quot;EN-US&quot;/&gt;&lt;/w:rPr&gt;&lt;m:t&gt;âˆ†&lt;/m:t&gt;&lt;/m:r&gt;&lt;m:r&gt;&lt;w:rPr&gt;&lt;w:rFonts w:ascii=&quot;Cambria Math&quot; w:h-ansi=&quot;Cambria&quot;/&gt;&lt;wx:font wx:val=&quot;Cambria Math&quot;/&gt;&lt;w:i/&gt;&lt;w:sz w:val=&quot;20&quot;/&gt;&lt;w:sz-cs w:val=&quot;20&quot;/&gt;&lt;w:lang w:val=&quot;EN-US&quot;/&gt;&lt;/w:rPr&gt;&lt;m:t&gt; &lt;/m:t&gt;&lt;/m:r&gt;&lt;m:r&gt;&lt;w:rPr&gt;&lt;w:rFonts w:ascii=&quot;Cambria Math&quot; w:h-ansi=&quot;Cambria Math&quot;/&gt;&lt;wx:font wx:val=&quot;Cambria Math&quot;/&gt;&lt;w:i/&gt;&lt;w:sz w:val=&quot;20&quot;/&gt;&lt;w:sz-cs w:val=&quot;20&quot;/&gt;&lt;w:lang w:val=&quot;EN-US&quot;/&gt;&lt;/w:rPr&gt;&lt;m:t&gt;REV&lt;/m:t&gt;&lt;/m:r&gt;&lt;/m:e&gt;&lt;m:sub&gt;&lt;m:r&gt;&lt;w:rPr&gt;&lt;w:rFonts w:ascii=&quot;Cambria Math&quot; w:h-ansi=&quot;Cambria Math&quot;/&gt;&lt;wx:font wx:val=&quot;Cambria Math&quot;/&gt;&lt;w:i/&gt;&lt;w:sz w:val=&quot;20&quot;/&gt;&lt;w:sz-cs w:val=&quot;20&quot;/&gt;&lt;w:lang w:val=&quot;EN-US&quot;/&gt;&lt;/w:rPr&gt;&lt;m:t&gt;it&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9" o:title="" chromakey="white"/>
          </v:shape>
        </w:pict>
      </w:r>
      <w:r w:rsidRPr="006E06F2">
        <w:rPr>
          <w:rFonts w:ascii="Cambria" w:hAnsi="Cambria"/>
          <w:sz w:val="20"/>
          <w:szCs w:val="20"/>
          <w:lang w:val="en-US"/>
        </w:rPr>
        <w:fldChar w:fldCharType="end"/>
      </w:r>
      <w:r w:rsidRPr="004F42C2">
        <w:rPr>
          <w:rFonts w:ascii="Cambria" w:hAnsi="Cambria"/>
          <w:sz w:val="20"/>
          <w:szCs w:val="20"/>
          <w:lang w:val="en-US"/>
        </w:rPr>
        <w:t xml:space="preserve"> = the revenues in year (t) less the revenues in year (t-1). </w:t>
      </w:r>
    </w:p>
    <w:p w:rsidR="00334F38" w:rsidRPr="004F42C2" w:rsidRDefault="00334F38" w:rsidP="00182D6E">
      <w:pPr>
        <w:autoSpaceDE w:val="0"/>
        <w:autoSpaceDN w:val="0"/>
        <w:adjustRightInd w:val="0"/>
        <w:spacing w:line="360" w:lineRule="auto"/>
        <w:jc w:val="both"/>
        <w:rPr>
          <w:rFonts w:ascii="Cambria" w:hAnsi="Cambria"/>
          <w:sz w:val="20"/>
          <w:szCs w:val="20"/>
          <w:lang w:val="en-US"/>
        </w:rPr>
      </w:pPr>
      <w:r w:rsidRPr="006E06F2">
        <w:rPr>
          <w:rFonts w:ascii="Cambria" w:hAnsi="Cambria"/>
          <w:sz w:val="20"/>
          <w:szCs w:val="20"/>
          <w:lang w:val="en-US"/>
        </w:rPr>
        <w:fldChar w:fldCharType="begin"/>
      </w:r>
      <w:r w:rsidRPr="006E06F2">
        <w:rPr>
          <w:rFonts w:ascii="Cambria" w:hAnsi="Cambria"/>
          <w:sz w:val="20"/>
          <w:szCs w:val="20"/>
          <w:lang w:val="en-US"/>
        </w:rPr>
        <w:instrText xml:space="preserve"> QUOTE </w:instrText>
      </w:r>
      <w:r w:rsidRPr="006E06F2">
        <w:pict>
          <v:shape id="_x0000_i1031" type="#_x0000_t75" style="width:32.25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A2D80&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3A2D80&quot;&gt;&lt;m:oMathPara&gt;&lt;m:oMath&gt;&lt;m:sSub&gt;&lt;m:sSubPr&gt;&lt;m:ctrlPr&gt;&lt;w:rPr&gt;&lt;w:rFonts w:ascii=&quot;Cambria Math&quot; w:h-ansi=&quot;Cambria&quot;/&gt;&lt;wx:font wx:val=&quot;Cambria Math&quot;/&gt;&lt;w:i/&gt;&lt;w:sz w:val=&quot;20&quot;/&gt;&lt;w:sz-cs w:val=&quot;20&quot;/&gt;&lt;w:lang w:val=&quot;EN-US&quot;/&gt;&lt;/w:rPr&gt;&lt;/m:ctrlPr&gt;&lt;/m:sSubPr&gt;&lt;m:e&gt;&lt;m:r&gt;&lt;w:rPr&gt;&lt;w:rFonts w:ascii=&quot;Cambria&quot; w:h-ansi=&quot;Cambria&quot;/&gt;&lt;wx:font wx:val=&quot;Cambria&quot;/&gt;&lt;w:i/&gt;&lt;w:sz w:val=&quot;20&quot;/&gt;&lt;w:sz-cs w:val=&quot;20&quot;/&gt;&lt;w:lang w:val=&quot;EN-US&quot;/&gt;&lt;/w:rPr&gt;&lt;m:t&gt;âˆ†&lt;/m:t&gt;&lt;/m:r&gt;&lt;m:r&gt;&lt;w:rPr&gt;&lt;w:rFonts w:ascii=&quot;Cambria Math&quot; w:h-ansi=&quot;Cambria Math&quot;/&gt;&lt;wx:font wx:val=&quot;Cambria Math&quot;/&gt;&lt;w:i/&gt;&lt;w:sz w:val=&quot;20&quot;/&gt;&lt;w:sz-cs w:val=&quot;20&quot;/&gt;&lt;w:lang w:val=&quot;EN-US&quot;/&gt;&lt;/w:rPr&gt;&lt;m:t&gt;REC&lt;/m:t&gt;&lt;/m:r&gt;&lt;/m:e&gt;&lt;m:sub&gt;&lt;m:r&gt;&lt;w:rPr&gt;&lt;w:rFonts w:ascii=&quot;Cambria Math&quot; w:h-ansi=&quot;Cambria Math&quot;/&gt;&lt;wx:font wx:val=&quot;Cambria Math&quot;/&gt;&lt;w:i/&gt;&lt;w:sz w:val=&quot;20&quot;/&gt;&lt;w:sz-cs w:val=&quot;20&quot;/&gt;&lt;w:lang w:val=&quot;EN-US&quot;/&gt;&lt;/w:rPr&gt;&lt;m:t&gt;it&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0" o:title="" chromakey="white"/>
          </v:shape>
        </w:pict>
      </w:r>
      <w:r w:rsidRPr="006E06F2">
        <w:rPr>
          <w:rFonts w:ascii="Cambria" w:hAnsi="Cambria"/>
          <w:sz w:val="20"/>
          <w:szCs w:val="20"/>
          <w:lang w:val="en-US"/>
        </w:rPr>
        <w:instrText xml:space="preserve"> </w:instrText>
      </w:r>
      <w:r w:rsidRPr="006E06F2">
        <w:rPr>
          <w:rFonts w:ascii="Cambria" w:hAnsi="Cambria"/>
          <w:sz w:val="20"/>
          <w:szCs w:val="20"/>
          <w:lang w:val="en-US"/>
        </w:rPr>
        <w:fldChar w:fldCharType="separate"/>
      </w:r>
      <w:r w:rsidRPr="006E06F2">
        <w:pict>
          <v:shape id="_x0000_i1032" type="#_x0000_t75" style="width:32.25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A2D80&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3A2D80&quot;&gt;&lt;m:oMathPara&gt;&lt;m:oMath&gt;&lt;m:sSub&gt;&lt;m:sSubPr&gt;&lt;m:ctrlPr&gt;&lt;w:rPr&gt;&lt;w:rFonts w:ascii=&quot;Cambria Math&quot; w:h-ansi=&quot;Cambria&quot;/&gt;&lt;wx:font wx:val=&quot;Cambria Math&quot;/&gt;&lt;w:i/&gt;&lt;w:sz w:val=&quot;20&quot;/&gt;&lt;w:sz-cs w:val=&quot;20&quot;/&gt;&lt;w:lang w:val=&quot;EN-US&quot;/&gt;&lt;/w:rPr&gt;&lt;/m:ctrlPr&gt;&lt;/m:sSubPr&gt;&lt;m:e&gt;&lt;m:r&gt;&lt;w:rPr&gt;&lt;w:rFonts w:ascii=&quot;Cambria&quot; w:h-ansi=&quot;Cambria&quot;/&gt;&lt;wx:font wx:val=&quot;Cambria&quot;/&gt;&lt;w:i/&gt;&lt;w:sz w:val=&quot;20&quot;/&gt;&lt;w:sz-cs w:val=&quot;20&quot;/&gt;&lt;w:lang w:val=&quot;EN-US&quot;/&gt;&lt;/w:rPr&gt;&lt;m:t&gt;âˆ†&lt;/m:t&gt;&lt;/m:r&gt;&lt;m:r&gt;&lt;w:rPr&gt;&lt;w:rFonts w:ascii=&quot;Cambria Math&quot; w:h-ansi=&quot;Cambria Math&quot;/&gt;&lt;wx:font wx:val=&quot;Cambria Math&quot;/&gt;&lt;w:i/&gt;&lt;w:sz w:val=&quot;20&quot;/&gt;&lt;w:sz-cs w:val=&quot;20&quot;/&gt;&lt;w:lang w:val=&quot;EN-US&quot;/&gt;&lt;/w:rPr&gt;&lt;m:t&gt;REC&lt;/m:t&gt;&lt;/m:r&gt;&lt;/m:e&gt;&lt;m:sub&gt;&lt;m:r&gt;&lt;w:rPr&gt;&lt;w:rFonts w:ascii=&quot;Cambria Math&quot; w:h-ansi=&quot;Cambria Math&quot;/&gt;&lt;wx:font wx:val=&quot;Cambria Math&quot;/&gt;&lt;w:i/&gt;&lt;w:sz w:val=&quot;20&quot;/&gt;&lt;w:sz-cs w:val=&quot;20&quot;/&gt;&lt;w:lang w:val=&quot;EN-US&quot;/&gt;&lt;/w:rPr&gt;&lt;m:t&gt;it&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0" o:title="" chromakey="white"/>
          </v:shape>
        </w:pict>
      </w:r>
      <w:r w:rsidRPr="006E06F2">
        <w:rPr>
          <w:rFonts w:ascii="Cambria" w:hAnsi="Cambria"/>
          <w:sz w:val="20"/>
          <w:szCs w:val="20"/>
          <w:lang w:val="en-US"/>
        </w:rPr>
        <w:fldChar w:fldCharType="end"/>
      </w:r>
      <w:r w:rsidRPr="004F42C2">
        <w:rPr>
          <w:rFonts w:ascii="Cambria" w:hAnsi="Cambria"/>
          <w:sz w:val="20"/>
          <w:szCs w:val="20"/>
          <w:lang w:val="en-US"/>
        </w:rPr>
        <w:t xml:space="preserve"> = net receivables in year (t) less net receivables in year (t-1).</w:t>
      </w:r>
    </w:p>
    <w:p w:rsidR="00334F38" w:rsidRPr="004F42C2" w:rsidRDefault="00334F38" w:rsidP="00182D6E">
      <w:pPr>
        <w:autoSpaceDE w:val="0"/>
        <w:autoSpaceDN w:val="0"/>
        <w:adjustRightInd w:val="0"/>
        <w:spacing w:line="360" w:lineRule="auto"/>
        <w:jc w:val="both"/>
        <w:rPr>
          <w:rFonts w:ascii="Cambria" w:hAnsi="Cambria"/>
          <w:sz w:val="20"/>
          <w:szCs w:val="20"/>
          <w:lang w:val="en-US"/>
        </w:rPr>
      </w:pPr>
      <w:r w:rsidRPr="006E06F2">
        <w:rPr>
          <w:rFonts w:ascii="Cambria" w:hAnsi="Cambria"/>
          <w:sz w:val="20"/>
          <w:szCs w:val="20"/>
          <w:lang w:val="en-US"/>
        </w:rPr>
        <w:fldChar w:fldCharType="begin"/>
      </w:r>
      <w:r w:rsidRPr="006E06F2">
        <w:rPr>
          <w:rFonts w:ascii="Cambria" w:hAnsi="Cambria"/>
          <w:sz w:val="20"/>
          <w:szCs w:val="20"/>
          <w:lang w:val="en-US"/>
        </w:rPr>
        <w:instrText xml:space="preserve"> QUOTE </w:instrText>
      </w:r>
      <w:r w:rsidRPr="006E06F2">
        <w:pict>
          <v:shape id="_x0000_i1033" type="#_x0000_t75" style="width:25.5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45F1C&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645F1C&quot;&gt;&lt;m:oMathPara&gt;&lt;m:oMath&gt;&lt;m:sSub&gt;&lt;m:sSubPr&gt;&lt;m:ctrlPr&gt;&lt;w:rPr&gt;&lt;w:rFonts w:ascii=&quot;Cambria Math&quot; w:h-ansi=&quot;Cambria&quot;/&gt;&lt;wx:font wx:val=&quot;Cambria Math&quot;/&gt;&lt;w:i/&gt;&lt;w:sz w:val=&quot;20&quot;/&gt;&lt;w:sz-cs w:val=&quot;20&quot;/&gt;&lt;w:lang w:val=&quot;EN-US&quot;/&gt;&lt;/w:rPr&gt;&lt;/m:ctrlPr&gt;&lt;/m:sSubPr&gt;&lt;m:e&gt;&lt;m:r&gt;&lt;w:rPr&gt;&lt;w:rFonts w:ascii=&quot;Cambria Math&quot; w:h-ansi=&quot;Cambria Math&quot;/&gt;&lt;wx:font wx:val=&quot;Cambria Math&quot;/&gt;&lt;w:i/&gt;&lt;w:sz w:val=&quot;20&quot;/&gt;&lt;w:sz-cs w:val=&quot;20&quot;/&gt;&lt;w:lang w:val=&quot;EN-US&quot;/&gt;&lt;/w:rPr&gt;&lt;m:t&gt;PPE&lt;/m:t&gt;&lt;/m:r&gt;&lt;/m:e&gt;&lt;m:sub&gt;&lt;m:r&gt;&lt;w:rPr&gt;&lt;w:rFonts w:ascii=&quot;Cambria Math&quot; w:h-ansi=&quot;Cambria Math&quot;/&gt;&lt;wx:font wx:val=&quot;Cambria Math&quot;/&gt;&lt;w:i/&gt;&lt;w:sz w:val=&quot;20&quot;/&gt;&lt;w:sz-cs w:val=&quot;20&quot;/&gt;&lt;w:lang w:val=&quot;EN-US&quot;/&gt;&lt;/w:rPr&gt;&lt;m:t&gt;it&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1" o:title="" chromakey="white"/>
          </v:shape>
        </w:pict>
      </w:r>
      <w:r w:rsidRPr="006E06F2">
        <w:rPr>
          <w:rFonts w:ascii="Cambria" w:hAnsi="Cambria"/>
          <w:sz w:val="20"/>
          <w:szCs w:val="20"/>
          <w:lang w:val="en-US"/>
        </w:rPr>
        <w:instrText xml:space="preserve"> </w:instrText>
      </w:r>
      <w:r w:rsidRPr="006E06F2">
        <w:rPr>
          <w:rFonts w:ascii="Cambria" w:hAnsi="Cambria"/>
          <w:sz w:val="20"/>
          <w:szCs w:val="20"/>
          <w:lang w:val="en-US"/>
        </w:rPr>
        <w:fldChar w:fldCharType="separate"/>
      </w:r>
      <w:r w:rsidRPr="006E06F2">
        <w:pict>
          <v:shape id="_x0000_i1034" type="#_x0000_t75" style="width:25.5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45F1C&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645F1C&quot;&gt;&lt;m:oMathPara&gt;&lt;m:oMath&gt;&lt;m:sSub&gt;&lt;m:sSubPr&gt;&lt;m:ctrlPr&gt;&lt;w:rPr&gt;&lt;w:rFonts w:ascii=&quot;Cambria Math&quot; w:h-ansi=&quot;Cambria&quot;/&gt;&lt;wx:font wx:val=&quot;Cambria Math&quot;/&gt;&lt;w:i/&gt;&lt;w:sz w:val=&quot;20&quot;/&gt;&lt;w:sz-cs w:val=&quot;20&quot;/&gt;&lt;w:lang w:val=&quot;EN-US&quot;/&gt;&lt;/w:rPr&gt;&lt;/m:ctrlPr&gt;&lt;/m:sSubPr&gt;&lt;m:e&gt;&lt;m:r&gt;&lt;w:rPr&gt;&lt;w:rFonts w:ascii=&quot;Cambria Math&quot; w:h-ansi=&quot;Cambria Math&quot;/&gt;&lt;wx:font wx:val=&quot;Cambria Math&quot;/&gt;&lt;w:i/&gt;&lt;w:sz w:val=&quot;20&quot;/&gt;&lt;w:sz-cs w:val=&quot;20&quot;/&gt;&lt;w:lang w:val=&quot;EN-US&quot;/&gt;&lt;/w:rPr&gt;&lt;m:t&gt;PPE&lt;/m:t&gt;&lt;/m:r&gt;&lt;/m:e&gt;&lt;m:sub&gt;&lt;m:r&gt;&lt;w:rPr&gt;&lt;w:rFonts w:ascii=&quot;Cambria Math&quot; w:h-ansi=&quot;Cambria Math&quot;/&gt;&lt;wx:font wx:val=&quot;Cambria Math&quot;/&gt;&lt;w:i/&gt;&lt;w:sz w:val=&quot;20&quot;/&gt;&lt;w:sz-cs w:val=&quot;20&quot;/&gt;&lt;w:lang w:val=&quot;EN-US&quot;/&gt;&lt;/w:rPr&gt;&lt;m:t&gt;it&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1" o:title="" chromakey="white"/>
          </v:shape>
        </w:pict>
      </w:r>
      <w:r w:rsidRPr="006E06F2">
        <w:rPr>
          <w:rFonts w:ascii="Cambria" w:hAnsi="Cambria"/>
          <w:sz w:val="20"/>
          <w:szCs w:val="20"/>
          <w:lang w:val="en-US"/>
        </w:rPr>
        <w:fldChar w:fldCharType="end"/>
      </w:r>
      <w:r w:rsidRPr="004F42C2">
        <w:rPr>
          <w:rFonts w:ascii="Cambria" w:hAnsi="Cambria"/>
          <w:sz w:val="20"/>
          <w:szCs w:val="20"/>
          <w:lang w:val="en-US"/>
        </w:rPr>
        <w:t xml:space="preserve"> = gross of property, plants and equipment in (t). </w:t>
      </w:r>
    </w:p>
    <w:p w:rsidR="00334F38" w:rsidRPr="004F42C2" w:rsidRDefault="00334F38" w:rsidP="00182D6E">
      <w:pPr>
        <w:autoSpaceDE w:val="0"/>
        <w:autoSpaceDN w:val="0"/>
        <w:adjustRightInd w:val="0"/>
        <w:spacing w:line="360" w:lineRule="auto"/>
        <w:jc w:val="both"/>
        <w:rPr>
          <w:rFonts w:ascii="Cambria" w:hAnsi="Cambria"/>
          <w:sz w:val="20"/>
          <w:szCs w:val="20"/>
          <w:lang w:val="en-US"/>
        </w:rPr>
      </w:pPr>
      <w:r w:rsidRPr="006E06F2">
        <w:rPr>
          <w:rFonts w:ascii="Cambria" w:hAnsi="Cambria"/>
          <w:sz w:val="20"/>
          <w:szCs w:val="20"/>
          <w:lang w:val="en-US"/>
        </w:rPr>
        <w:fldChar w:fldCharType="begin"/>
      </w:r>
      <w:r w:rsidRPr="006E06F2">
        <w:rPr>
          <w:rFonts w:ascii="Cambria" w:hAnsi="Cambria"/>
          <w:sz w:val="20"/>
          <w:szCs w:val="20"/>
          <w:lang w:val="en-US"/>
        </w:rPr>
        <w:instrText xml:space="preserve"> QUOTE </w:instrText>
      </w:r>
      <w:r w:rsidRPr="006E06F2">
        <w:pict>
          <v:shape id="_x0000_i1035" type="#_x0000_t75" style="width:12.75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46A&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14046A&quot;&gt;&lt;m:oMathPara&gt;&lt;m:oMath&gt;&lt;m:sSub&gt;&lt;m:sSubPr&gt;&lt;m:ctrlPr&gt;&lt;w:rPr&gt;&lt;w:rFonts w:ascii=&quot;Cambria Math&quot; w:h-ansi=&quot;Cambria&quot;/&gt;&lt;wx:font wx:val=&quot;Cambria Math&quot;/&gt;&lt;w:i/&gt;&lt;w:sz w:val=&quot;20&quot;/&gt;&lt;w:sz-cs w:val=&quot;20&quot;/&gt;&lt;w:lang w:val=&quot;EN-US&quot;/&gt;&lt;/w:rPr&gt;&lt;/m:ctrlPr&gt;&lt;/m:sSubPr&gt;&lt;m:e&gt;&lt;m:r&gt;&lt;w:rPr&gt;&lt;w:rFonts w:ascii=&quot;Cambria Math&quot; w:h-ansi=&quot;Cambria Math&quot;/&gt;&lt;wx:font wx:val=&quot;Cambria Math&quot;/&gt;&lt;w:i/&gt;&lt;w:sz w:val=&quot;20&quot;/&gt;&lt;w:sz-cs w:val=&quot;20&quot;/&gt;&lt;w:lang w:val=&quot;EN-US&quot;/&gt;&lt;/w:rPr&gt;&lt;m:t&gt;Îµ&lt;/m:t&gt;&lt;/m:r&gt;&lt;/m:e&gt;&lt;m:sub&gt;&lt;m:r&gt;&lt;w:rPr&gt;&lt;w:rFonts w:ascii=&quot;Cambria Math&quot; w:h-ansi=&quot;Cambria Math&quot;/&gt;&lt;wx:font wx:val=&quot;Cambria Math&quot;/&gt;&lt;w:i/&gt;&lt;w:sz w:val=&quot;20&quot;/&gt;&lt;w:sz-cs w:val=&quot;20&quot;/&gt;&lt;w:lang w:val=&quot;EN-US&quot;/&gt;&lt;/w:rPr&gt;&lt;m:t&gt;it&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2" o:title="" chromakey="white"/>
          </v:shape>
        </w:pict>
      </w:r>
      <w:r w:rsidRPr="006E06F2">
        <w:rPr>
          <w:rFonts w:ascii="Cambria" w:hAnsi="Cambria"/>
          <w:sz w:val="20"/>
          <w:szCs w:val="20"/>
          <w:lang w:val="en-US"/>
        </w:rPr>
        <w:instrText xml:space="preserve"> </w:instrText>
      </w:r>
      <w:r w:rsidRPr="006E06F2">
        <w:rPr>
          <w:rFonts w:ascii="Cambria" w:hAnsi="Cambria"/>
          <w:sz w:val="20"/>
          <w:szCs w:val="20"/>
          <w:lang w:val="en-US"/>
        </w:rPr>
        <w:fldChar w:fldCharType="separate"/>
      </w:r>
      <w:r w:rsidRPr="006E06F2">
        <w:pict>
          <v:shape id="_x0000_i1036" type="#_x0000_t75" style="width:12.75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46A&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14046A&quot;&gt;&lt;m:oMathPara&gt;&lt;m:oMath&gt;&lt;m:sSub&gt;&lt;m:sSubPr&gt;&lt;m:ctrlPr&gt;&lt;w:rPr&gt;&lt;w:rFonts w:ascii=&quot;Cambria Math&quot; w:h-ansi=&quot;Cambria&quot;/&gt;&lt;wx:font wx:val=&quot;Cambria Math&quot;/&gt;&lt;w:i/&gt;&lt;w:sz w:val=&quot;20&quot;/&gt;&lt;w:sz-cs w:val=&quot;20&quot;/&gt;&lt;w:lang w:val=&quot;EN-US&quot;/&gt;&lt;/w:rPr&gt;&lt;/m:ctrlPr&gt;&lt;/m:sSubPr&gt;&lt;m:e&gt;&lt;m:r&gt;&lt;w:rPr&gt;&lt;w:rFonts w:ascii=&quot;Cambria Math&quot; w:h-ansi=&quot;Cambria Math&quot;/&gt;&lt;wx:font wx:val=&quot;Cambria Math&quot;/&gt;&lt;w:i/&gt;&lt;w:sz w:val=&quot;20&quot;/&gt;&lt;w:sz-cs w:val=&quot;20&quot;/&gt;&lt;w:lang w:val=&quot;EN-US&quot;/&gt;&lt;/w:rPr&gt;&lt;m:t&gt;Îµ&lt;/m:t&gt;&lt;/m:r&gt;&lt;/m:e&gt;&lt;m:sub&gt;&lt;m:r&gt;&lt;w:rPr&gt;&lt;w:rFonts w:ascii=&quot;Cambria Math&quot; w:h-ansi=&quot;Cambria Math&quot;/&gt;&lt;wx:font wx:val=&quot;Cambria Math&quot;/&gt;&lt;w:i/&gt;&lt;w:sz w:val=&quot;20&quot;/&gt;&lt;w:sz-cs w:val=&quot;20&quot;/&gt;&lt;w:lang w:val=&quot;EN-US&quot;/&gt;&lt;/w:rPr&gt;&lt;m:t&gt;it&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2" o:title="" chromakey="white"/>
          </v:shape>
        </w:pict>
      </w:r>
      <w:r w:rsidRPr="006E06F2">
        <w:rPr>
          <w:rFonts w:ascii="Cambria" w:hAnsi="Cambria"/>
          <w:sz w:val="20"/>
          <w:szCs w:val="20"/>
          <w:lang w:val="en-US"/>
        </w:rPr>
        <w:fldChar w:fldCharType="end"/>
      </w:r>
      <w:r w:rsidRPr="004F42C2">
        <w:rPr>
          <w:rFonts w:ascii="Cambria" w:hAnsi="Cambria"/>
          <w:sz w:val="20"/>
          <w:szCs w:val="20"/>
          <w:lang w:val="en-US"/>
        </w:rPr>
        <w:t xml:space="preserve"> = the residuals from the mJones model are considered as the discretionary accruals since </w:t>
      </w:r>
      <w:r w:rsidRPr="006E06F2">
        <w:rPr>
          <w:rFonts w:ascii="Cambria" w:hAnsi="Cambria"/>
          <w:sz w:val="20"/>
          <w:szCs w:val="20"/>
          <w:lang w:val="en-US"/>
        </w:rPr>
        <w:fldChar w:fldCharType="begin"/>
      </w:r>
      <w:r w:rsidRPr="006E06F2">
        <w:rPr>
          <w:rFonts w:ascii="Cambria" w:hAnsi="Cambria"/>
          <w:sz w:val="20"/>
          <w:szCs w:val="20"/>
          <w:lang w:val="en-US"/>
        </w:rPr>
        <w:instrText xml:space="preserve"> QUOTE </w:instrText>
      </w:r>
      <w:r w:rsidRPr="006E06F2">
        <w:pict>
          <v:shape id="_x0000_i1037" type="#_x0000_t75" style="width:233.25pt;height:26.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9670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096708&quot;&gt;&lt;m:oMathPara&gt;&lt;m:oMath&gt;&lt;m:sSub&gt;&lt;m:sSubPr&gt;&lt;m:ctrlPr&gt;&lt;w:rPr&gt;&lt;w:rFonts w:ascii=&quot;Cambria Math&quot; w:h-ansi=&quot;Cambria&quot;/&gt;&lt;wx:font wx:val=&quot;Cambria Math&quot;/&gt;&lt;w:i/&gt;&lt;w:sz w:val=&quot;20&quot;/&gt;&lt;w:sz-cs w:val=&quot;20&quot;/&gt;&lt;w:lang w:val=&quot;EN-US&quot;/&gt;&lt;/w:rPr&gt;&lt;/m:ctrlPr&gt;&lt;/m:sSubPr&gt;&lt;m:e&gt;&lt;m:r&gt;&lt;w:rPr&gt;&lt;w:rFonts w:ascii=&quot;Cambria Math&quot; w:h-ansi=&quot;Cambria Math&quot;/&gt;&lt;wx:font wx:val=&quot;Cambria Math&quot;/&gt;&lt;w:i/&gt;&lt;w:sz w:val=&quot;20&quot;/&gt;&lt;w:sz-cs w:val=&quot;20&quot;/&gt;&lt;w:lang w:val=&quot;EN-US&quot;/&gt;&lt;/w:rPr&gt;&lt;m:t&gt;Î²&lt;/m:t&gt;&lt;/m:r&gt;&lt;/m:e&gt;&lt;m:sub&gt;&lt;m:r&gt;&lt;w:rPr&gt;&lt;w:rFonts w:ascii=&quot;Cambria Math&quot; w:h-ansi=&quot;Cambria&quot;/&gt;&lt;wx:font wx:val=&quot;Cambria Math&quot;/&gt;&lt;w:i/&gt;&lt;w:sz w:val=&quot;20&quot;/&gt;&lt;w:sz-cs w:val=&quot;20&quot;/&gt;&lt;w:lang w:val=&quot;EN-US&quot;/&gt;&lt;/w:rPr&gt;&lt;m:t&gt;0&lt;/m:t&gt;&lt;/m:r&gt;&lt;/m:sub&gt;&lt;/m:sSub&gt;&lt;m:r&gt;&lt;w:rPr&gt;&lt;w:rFonts w:ascii=&quot;Cambria Math&quot; w:h-ansi=&quot;Cambria&quot;/&gt;&lt;wx:font wx:val=&quot;Cambria Math&quot;/&gt;&lt;w:i/&gt;&lt;w:sz w:val=&quot;20&quot;/&gt;&lt;w:sz-cs w:val=&quot;20&quot;/&gt;&lt;w:lang w:val=&quot;EN-US&quot;/&gt;&lt;/w:rPr&gt;&lt;m:t&gt; &lt;/m:t&gt;&lt;/m:r&gt;&lt;m:d&gt;&lt;m:dPr&gt;&lt;m:ctrlPr&gt;&lt;w:rPr&gt;&lt;w:rFonts w:ascii=&quot;Cambria Math&quot; w:h-ansi=&quot;Cambria&quot;/&gt;&lt;wx:font wx:val=&quot;Cambria Math&quot;/&gt;&lt;w:i/&gt;&lt;w:sz w:val=&quot;20&quot;/&gt;&lt;w:sz-cs w:val=&quot;20&quot;/&gt;&lt;w:lang w:val=&quot;EN-US&quot;/&gt;&lt;/w:rPr&gt;&lt;/m:ctrlPr&gt;&lt;/m:dPr&gt;&lt;m:e&gt;&lt;m:f&gt;&lt;m:fPr&gt;&lt;m:ctrlPr&gt;&lt;w:rPr&gt;&lt;w:rFonts w:ascii=&quot;Cambria Math&quot; w:h-ansi=&quot;Cambria&quot;/&gt;&lt;wx:font wx:val=&quot;Cambria Math&quot;/&gt;&lt;w:i/&gt;&lt;w:sz w:val=&quot;20&quot;/&gt;&lt;w:sz-cs w:val=&quot;20&quot;/&gt;&lt;w:lang w:val=&quot;EN-US&quot;/&gt;&lt;/w:rPr&gt;&lt;/m:ctrlPr&gt;&lt;/m:fPr&gt;&lt;m:num&gt;&lt;m:r&gt;&lt;w:rPr&gt;&lt;w:rFonts w:ascii=&quot;Cambria Math&quot; w:h-ansi=&quot;Cambria&quot;/&gt;&lt;wx:font wx:val=&quot;Cambria Math&quot;/&gt;&lt;w:i/&gt;&lt;w:sz w:val=&quot;20&quot;/&gt;&lt;w:sz-cs w:val=&quot;20&quot;/&gt;&lt;w:lang w:val=&quot;EN-US&quot;/&gt;&lt;/w:rPr&gt;&lt;m:t&gt;1&lt;/m:t&gt;&lt;/m:r&gt;&lt;/m:num&gt;&lt;m:den&gt;&lt;m:sSub&gt;&lt;m:sSubPr&gt;&lt;m:ctrlPr&gt;&lt;w:rPr&gt;&lt;w:rFonts w:ascii=&quot;Cambria Math&quot; w:h-ansi=&quot;Cambria&quot;/&gt;&lt;wx:font wx:val=&quot;Cambria Math&quot;/&gt;&lt;w:i/&gt;&lt;w:sz w:val=&quot;20&quot;/&gt;&lt;w:sz-cs w:val=&quot;20&quot;/&gt;&lt;w:lang w:val=&quot;EN-US&quot;/&gt;&lt;/w:rPr&gt;&lt;/m:ctrlPr&gt;&lt;/m:sSubPr&gt;&lt;m:e&gt;&lt;m:r&gt;&lt;w:rPr&gt;&lt;w:rFonts w:ascii=&quot;Cambria Math&quot; w:h-ansi=&quot;Cambria Math&quot;/&gt;&lt;wx:font wx:val=&quot;Cambria Math&quot;/&gt;&lt;w:i/&gt;&lt;w:sz w:val=&quot;20&quot;/&gt;&lt;w:sz-cs w:val=&quot;20&quot;/&gt;&lt;w:lang w:val=&quot;EN-US&quot;/&gt;&lt;/w:rPr&gt;&lt;m:t&gt;Assets&lt;/m:t&gt;&lt;/m:r&gt;&lt;/m:e&gt;&lt;m:sub&gt;&lt;m:r&gt;&lt;w:rPr&gt;&lt;w:rFonts w:ascii=&quot;Cambria Math&quot; w:h-ansi=&quot;Cambria Math&quot;/&gt;&lt;wx:font wx:val=&quot;Cambria Math&quot;/&gt;&lt;w:i/&gt;&lt;w:sz w:val=&quot;20&quot;/&gt;&lt;w:sz-cs w:val=&quot;20&quot;/&gt;&lt;w:lang w:val=&quot;EN-US&quot;/&gt;&lt;/w:rPr&gt;&lt;m:t&gt;it&lt;/m:t&gt;&lt;/m:r&gt;&lt;m:r&gt;&lt;w:rPr&gt;&lt;w:rFonts w:ascii=&quot;Cambria&quot; w:h-ansi=&quot;Cambria&quot;/&gt;&lt;wx:font wx:val=&quot;Cambria&quot;/&gt;&lt;w:i/&gt;&lt;w:sz w:val=&quot;20&quot;/&gt;&lt;w:sz-cs w:val=&quot;20&quot;/&gt;&lt;w:lang w:val=&quot;EN-US&quot;/&gt;&lt;/w:rPr&gt;&lt;m:t&gt;-&lt;/m:t&gt;&lt;/m:r&gt;&lt;m:r&gt;&lt;w:rPr&gt;&lt;w:rFonts w:ascii=&quot;Cambria Math&quot; w:h-ansi=&quot;Cambria&quot;/&gt;&lt;wx:font wx:val=&quot;Cambria Math&quot;/&gt;&lt;w:i/&gt;&lt;w:sz w:val=&quot;20&quot;/&gt;&lt;w:sz-cs w:val=&quot;20&quot;/&gt;&lt;w:lang w:val=&quot;EN-US&quot;/&gt;&lt;/w:rPr&gt;&lt;m:t&gt;1&lt;/m:t&gt;&lt;/m:r&gt;&lt;/m:sub&gt;&lt;/m:sSub&gt;&lt;/m:den&gt;&lt;/m:f&gt;&lt;/m:e&gt;&lt;/m:d&gt;&lt;m:r&gt;&lt;w:rPr&gt;&lt;w:rFonts w:ascii=&quot;Cambria Math&quot; w:h-ansi=&quot;Cambria&quot;/&gt;&lt;wx:font wx:val=&quot;Cambria Math&quot;/&gt;&lt;w:i/&gt;&lt;w:sz w:val=&quot;20&quot;/&gt;&lt;w:sz-cs w:val=&quot;20&quot;/&gt;&lt;w:lang w:val=&quot;EN-US&quot;/&gt;&lt;/w:rPr&gt;&lt;m:t&gt;+ &lt;/m:t&gt;&lt;/m:r&gt;&lt;m:sSub&gt;&lt;m:sSubPr&gt;&lt;m:ctrlPr&gt;&lt;w:rPr&gt;&lt;w:rFonts w:ascii=&quot;Cambria Math&quot; w:h-ansi=&quot;Cambria&quot;/&gt;&lt;wx:font wx:val=&quot;Cambria Math&quot;/&gt;&lt;w:i/&gt;&lt;w:sz w:val=&quot;20&quot;/&gt;&lt;w:sz-cs w:val=&quot;20&quot;/&gt;&lt;w:lang w:val=&quot;EN-US&quot;/&gt;&lt;/w:rPr&gt;&lt;/m:ctrlPr&gt;&lt;/m:sSubPr&gt;&lt;m:e&gt;&lt;m:r&gt;&lt;w:rPr&gt;&lt;w:rFonts w:ascii=&quot;Cambria Math&quot; w:h-ansi=&quot;Cambria Math&quot;/&gt;&lt;wx:font wx:val=&quot;Cambria Math&quot;/&gt;&lt;w:i/&gt;&lt;w:sz w:val=&quot;20&quot;/&gt;&lt;w:sz-cs w:val=&quot;20&quot;/&gt;&lt;w:lang w:val=&quot;EN-US&quot;/&gt;&lt;/w:rPr&gt;&lt;m:t&gt;Î²&lt;/m:t&gt;&lt;/m:r&gt;&lt;/m:e&gt;&lt;m:sub&gt;&lt;m:r&gt;&lt;w:rPr&gt;&lt;w:rFonts w:ascii=&quot;Cambria Math&quot; w:h-ansi=&quot;Cambria&quot;/&gt;&lt;wx:font wx:val=&quot;Cambria Math&quot;/&gt;&lt;w:i/&gt;&lt;w:sz w:val=&quot;20&quot;/&gt;&lt;w:sz-cs w:val=&quot;20&quot;/&gt;&lt;w:lang w:val=&quot;EN-US&quot;/&gt;&lt;/w:rPr&gt;&lt;m:t&gt;1&lt;/m:t&gt;&lt;/m:r&gt;&lt;/m:sub&gt;&lt;/m:sSub&gt;&lt;m:r&gt;&lt;w:rPr&gt;&lt;w:rFonts w:ascii=&quot;Cambria Math&quot; w:h-ansi=&quot;Cambria&quot;/&gt;&lt;wx:font wx:val=&quot;Cambria Math&quot;/&gt;&lt;w:i/&gt;&lt;w:sz w:val=&quot;20&quot;/&gt;&lt;w:sz-cs w:val=&quot;20&quot;/&gt;&lt;w:lang w:val=&quot;EN-US&quot;/&gt;&lt;/w:rPr&gt;&lt;m:t&gt; &lt;/m:t&gt;&lt;/m:r&gt;&lt;m:d&gt;&lt;m:dPr&gt;&lt;m:ctrlPr&gt;&lt;w:rPr&gt;&lt;w:rFonts w:ascii=&quot;Cambria Math&quot; w:h-ansi=&quot;Cambria&quot;/&gt;&lt;wx:font wx:val=&quot;Cambria Math&quot;/&gt;&lt;w:i/&gt;&lt;w:sz w:val=&quot;20&quot;/&gt;&lt;w:sz-cs w:val=&quot;20&quot;/&gt;&lt;w:lang w:val=&quot;EN-US&quot;/&gt;&lt;/w:rPr&gt;&lt;/m:ctrlPr&gt;&lt;/m:dPr&gt;&lt;m:e&gt;&lt;m:sSub&gt;&lt;m:sSubPr&gt;&lt;m:ctrlPr&gt;&lt;w:rPr&gt;&lt;w:rFonts w:ascii=&quot;Cambria Math&quot; w:h-ansi=&quot;Cambria&quot;/&gt;&lt;wx:font wx:val=&quot;Cambria Math&quot;/&gt;&lt;w:i/&gt;&lt;w:sz w:val=&quot;20&quot;/&gt;&lt;w:sz-cs w:val=&quot;20&quot;/&gt;&lt;w:lang w:val=&quot;EN-US&quot;/&gt;&lt;/w:rPr&gt;&lt;/m:ctrlPr&gt;&lt;/m:sSubPr&gt;&lt;m:e&gt;&lt;m:r&gt;&lt;w:rPr&gt;&lt;w:rFonts w:ascii=&quot;Cambria&quot; w:h-ansi=&quot;Cambria&quot;/&gt;&lt;wx:font wx:val=&quot;Cambria&quot;/&gt;&lt;w:i/&gt;&lt;w:sz w:val=&quot;20&quot;/&gt;&lt;w:sz-cs w:val=&quot;20&quot;/&gt;&lt;w:lang w:val=&quot;EN-US&quot;/&gt;&lt;/w:rPr&gt;&lt;m:t&gt;âˆ†&lt;/m:t&gt;&lt;/m:r&gt;&lt;m:r&gt;&lt;w:rPr&gt;&lt;w:rFonts w:ascii=&quot;Cambria Math&quot; w:h-ansi=&quot;Cambria&quot;/&gt;&lt;wx:font wx:val=&quot;Cambria Math&quot;/&gt;&lt;w:i/&gt;&lt;w:sz w:val=&quot;20&quot;/&gt;&lt;w:sz-cs w:val=&quot;20&quot;/&gt;&lt;w:lang w:val=&quot;EN-US&quot;/&gt;&lt;/w:rPr&gt;&lt;m:t&gt; &lt;/m:t&gt;&lt;/m:r&gt;&lt;m:r&gt;&lt;w:rPr&gt;&lt;w:rFonts w:ascii=&quot;Cambria Math&quot; w:h-ansi=&quot;Cambria Math&quot;/&gt;&lt;wx:font wx:val=&quot;Cambria Math&quot;/&gt;&lt;w:i/&gt;&lt;w:sz w:val=&quot;20&quot;/&gt;&lt;w:sz-cs w:val=&quot;20&quot;/&gt;&lt;w:lang w:val=&quot;EN-US&quot;/&gt;&lt;/w:rPr&gt;&lt;m:t&gt;REV&lt;/m:t&gt;&lt;/m:r&gt;&lt;/m:e&gt;&lt;m:sub&gt;&lt;m:r&gt;&lt;w:rPr&gt;&lt;w:rFonts w:ascii=&quot;Cambria Math&quot; w:h-ansi=&quot;Cambria Math&quot;/&gt;&lt;wx:font wx:val=&quot;Cambria Math&quot;/&gt;&lt;w:i/&gt;&lt;w:sz w:val=&quot;20&quot;/&gt;&lt;w:sz-cs w:val=&quot;20&quot;/&gt;&lt;w:lang w:val=&quot;EN-US&quot;/&gt;&lt;/w:rPr&gt;&lt;m:t&gt;it&lt;/m:t&gt;&lt;/m:r&gt;&lt;/m:sub&gt;&lt;/m:sSub&gt;&lt;m:r&gt;&lt;w:rPr&gt;&lt;w:rFonts w:ascii=&quot;Cambria&quot; w:h-ansi=&quot;Cambria&quot;/&gt;&lt;wx:font wx:val=&quot;Cambria&quot;/&gt;&lt;w:i/&gt;&lt;w:sz w:val=&quot;20&quot;/&gt;&lt;w:sz-cs w:val=&quot;20&quot;/&gt;&lt;w:lang w:val=&quot;EN-US&quot;/&gt;&lt;/w:rPr&gt;&lt;m:t&gt;-&lt;/m:t&gt;&lt;/m:r&gt;&lt;m:sSub&gt;&lt;m:sSubPr&gt;&lt;m:ctrlPr&gt;&lt;w:rPr&gt;&lt;w:rFonts w:ascii=&quot;Cambria Math&quot; w:h-ansi=&quot;Cambria&quot;/&gt;&lt;wx:font wx:val=&quot;Cambria Math&quot;/&gt;&lt;w:i/&gt;&lt;w:sz w:val=&quot;20&quot;/&gt;&lt;w:sz-cs w:val=&quot;20&quot;/&gt;&lt;w:lang w:val=&quot;EN-US&quot;/&gt;&lt;/w:rPr&gt;&lt;/m:ctrlPr&gt;&lt;/m:sSubPr&gt;&lt;m:e&gt;&lt;m:r&gt;&lt;w:rPr&gt;&lt;w:rFonts w:ascii=&quot;Cambria&quot; w:h-ansi=&quot;Cambria&quot;/&gt;&lt;wx:font wx:val=&quot;Cambria&quot;/&gt;&lt;w:i/&gt;&lt;w:sz w:val=&quot;20&quot;/&gt;&lt;w:sz-cs w:val=&quot;20&quot;/&gt;&lt;w:lang w:val=&quot;EN-US&quot;/&gt;&lt;/w:rPr&gt;&lt;m:t&gt;âˆ†&lt;/m:t&gt;&lt;/m:r&gt;&lt;m:r&gt;&lt;w:rPr&gt;&lt;w:rFonts w:ascii=&quot;Cambria Math&quot; w:h-ansi=&quot;Cambria Math&quot;/&gt;&lt;wx:font wx:val=&quot;Cambria Math&quot;/&gt;&lt;w:i/&gt;&lt;w:sz w:val=&quot;20&quot;/&gt;&lt;w:sz-cs w:val=&quot;20&quot;/&gt;&lt;w:lang w:val=&quot;EN-US&quot;/&gt;&lt;/w:rPr&gt;&lt;m:t&gt;REC&lt;/m:t&gt;&lt;/m:r&gt;&lt;/m:e&gt;&lt;m:sub&gt;&lt;m:r&gt;&lt;w:rPr&gt;&lt;w:rFonts w:ascii=&quot;Cambria Math&quot; w:h-ansi=&quot;Cambria Math&quot;/&gt;&lt;wx:font wx:val=&quot;Cambria Math&quot;/&gt;&lt;w:i/&gt;&lt;w:sz w:val=&quot;20&quot;/&gt;&lt;w:sz-cs w:val=&quot;20&quot;/&gt;&lt;w:lang w:val=&quot;EN-US&quot;/&gt;&lt;/w:rPr&gt;&lt;m:t&gt;it&lt;/m:t&gt;&lt;/m:r&gt;&lt;/m:sub&gt;&lt;/m:sSub&gt;&lt;/m:e&gt;&lt;/m:d&gt;&lt;m:r&gt;&lt;w:rPr&gt;&lt;w:rFonts w:ascii=&quot;Cambria Math&quot; w:h-ansi=&quot;Cambria&quot;/&gt;&lt;wx:font wx:val=&quot;Cambria Math&quot;/&gt;&lt;w:i/&gt;&lt;w:sz w:val=&quot;20&quot;/&gt;&lt;w:sz-cs w:val=&quot;20&quot;/&gt;&lt;w:lang w:val=&quot;EN-US&quot;/&gt;&lt;/w:rPr&gt;&lt;m:t&gt;+ &lt;/m:t&gt;&lt;/m:r&gt;&lt;m:sSub&gt;&lt;m:sSubPr&gt;&lt;m:ctrlPr&gt;&lt;w:rPr&gt;&lt;w:rFonts w:ascii=&quot;Cambria Math&quot; w:h-ansi=&quot;Cambria&quot;/&gt;&lt;wx:font wx:val=&quot;Cambria Math&quot;/&gt;&lt;w:i/&gt;&lt;w:sz w:val=&quot;20&quot;/&gt;&lt;w:sz-cs w:val=&quot;20&quot;/&gt;&lt;w:lang w:val=&quot;EN-US&quot;/&gt;&lt;/w:rPr&gt;&lt;/m:ctrlPr&gt;&lt;/m:sSubPr&gt;&lt;m:e&gt;&lt;m:r&gt;&lt;w:rPr&gt;&lt;w:rFonts w:ascii=&quot;Cambria Math&quot; w:h-ansi=&quot;Cambria Math&quot;/&gt;&lt;wx:font wx:val=&quot;Cambria Math&quot;/&gt;&lt;w:i/&gt;&lt;w:sz w:val=&quot;20&quot;/&gt;&lt;w:sz-cs w:val=&quot;20&quot;/&gt;&lt;w:lang w:val=&quot;EN-US&quot;/&gt;&lt;/w:rPr&gt;&lt;m:t&gt;Î²&lt;/m:t&gt;&lt;/m:r&gt;&lt;/m:e&gt;&lt;m:sub&gt;&lt;m:r&gt;&lt;w:rPr&gt;&lt;w:rFonts w:ascii=&quot;Cambria Math&quot; w:h-ansi=&quot;Cambria&quot;/&gt;&lt;wx:font wx:val=&quot;Cambria Math&quot;/&gt;&lt;w:i/&gt;&lt;w:sz w:val=&quot;20&quot;/&gt;&lt;w:sz-cs w:val=&quot;20&quot;/&gt;&lt;w:lang w:val=&quot;EN-US&quot;/&gt;&lt;/w:rPr&gt;&lt;m:t&gt;2&lt;/m:t&gt;&lt;/m:r&gt;&lt;/m:sub&gt;&lt;/m:sSub&gt;&lt;m:sSub&gt;&lt;m:sSubPr&gt;&lt;m:ctrlPr&gt;&lt;w:rPr&gt;&lt;w:rFonts w:ascii=&quot;Cambria Math&quot; w:h-ansi=&quot;Cambria&quot;/&gt;&lt;wx:font wx:val=&quot;Cambria Math&quot;/&gt;&lt;w:i/&gt;&lt;w:sz w:val=&quot;20&quot;/&gt;&lt;w:sz-cs w:val=&quot;20&quot;/&gt;&lt;w:lang w:val=&quot;EN-US&quot;/&gt;&lt;/w:rPr&gt;&lt;/m:ctrlPr&gt;&lt;/m:sSubPr&gt;&lt;m:e&gt;&lt;m:r&gt;&lt;w:rPr&gt;&lt;w:rFonts w:ascii=&quot;Cambria Math&quot; w:h-ansi=&quot;Cambria Math&quot;/&gt;&lt;wx:font wx:val=&quot;Cambria Math&quot;/&gt;&lt;w:i/&gt;&lt;w:sz w:val=&quot;20&quot;/&gt;&lt;w:sz-cs w:val=&quot;20&quot;/&gt;&lt;w:lang w:val=&quot;EN-US&quot;/&gt;&lt;/w:rPr&gt;&lt;m:t&gt;PPE&lt;/m:t&gt;&lt;/m:r&gt;&lt;/m:e&gt;&lt;m:sub&gt;&lt;m:r&gt;&lt;w:rPr&gt;&lt;w:rFonts w:ascii=&quot;Cambria Math&quot; w:h-ansi=&quot;Cambria Math&quot;/&gt;&lt;wx:font wx:val=&quot;Cambria Math&quot;/&gt;&lt;w:i/&gt;&lt;w:sz w:val=&quot;20&quot;/&gt;&lt;w:sz-cs w:val=&quot;20&quot;/&gt;&lt;w:lang w:val=&quot;EN-US&quot;/&gt;&lt;/w:rPr&gt;&lt;m:t&gt;it&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3" o:title="" chromakey="white"/>
          </v:shape>
        </w:pict>
      </w:r>
      <w:r w:rsidRPr="006E06F2">
        <w:rPr>
          <w:rFonts w:ascii="Cambria" w:hAnsi="Cambria"/>
          <w:sz w:val="20"/>
          <w:szCs w:val="20"/>
          <w:lang w:val="en-US"/>
        </w:rPr>
        <w:instrText xml:space="preserve"> </w:instrText>
      </w:r>
      <w:r w:rsidRPr="006E06F2">
        <w:rPr>
          <w:rFonts w:ascii="Cambria" w:hAnsi="Cambria"/>
          <w:sz w:val="20"/>
          <w:szCs w:val="20"/>
          <w:lang w:val="en-US"/>
        </w:rPr>
        <w:fldChar w:fldCharType="separate"/>
      </w:r>
      <w:r w:rsidRPr="006E06F2">
        <w:pict>
          <v:shape id="_x0000_i1038" type="#_x0000_t75" style="width:233.25pt;height:26.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9670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096708&quot;&gt;&lt;m:oMathPara&gt;&lt;m:oMath&gt;&lt;m:sSub&gt;&lt;m:sSubPr&gt;&lt;m:ctrlPr&gt;&lt;w:rPr&gt;&lt;w:rFonts w:ascii=&quot;Cambria Math&quot; w:h-ansi=&quot;Cambria&quot;/&gt;&lt;wx:font wx:val=&quot;Cambria Math&quot;/&gt;&lt;w:i/&gt;&lt;w:sz w:val=&quot;20&quot;/&gt;&lt;w:sz-cs w:val=&quot;20&quot;/&gt;&lt;w:lang w:val=&quot;EN-US&quot;/&gt;&lt;/w:rPr&gt;&lt;/m:ctrlPr&gt;&lt;/m:sSubPr&gt;&lt;m:e&gt;&lt;m:r&gt;&lt;w:rPr&gt;&lt;w:rFonts w:ascii=&quot;Cambria Math&quot; w:h-ansi=&quot;Cambria Math&quot;/&gt;&lt;wx:font wx:val=&quot;Cambria Math&quot;/&gt;&lt;w:i/&gt;&lt;w:sz w:val=&quot;20&quot;/&gt;&lt;w:sz-cs w:val=&quot;20&quot;/&gt;&lt;w:lang w:val=&quot;EN-US&quot;/&gt;&lt;/w:rPr&gt;&lt;m:t&gt;Î²&lt;/m:t&gt;&lt;/m:r&gt;&lt;/m:e&gt;&lt;m:sub&gt;&lt;m:r&gt;&lt;w:rPr&gt;&lt;w:rFonts w:ascii=&quot;Cambria Math&quot; w:h-ansi=&quot;Cambria&quot;/&gt;&lt;wx:font wx:val=&quot;Cambria Math&quot;/&gt;&lt;w:i/&gt;&lt;w:sz w:val=&quot;20&quot;/&gt;&lt;w:sz-cs w:val=&quot;20&quot;/&gt;&lt;w:lang w:val=&quot;EN-US&quot;/&gt;&lt;/w:rPr&gt;&lt;m:t&gt;0&lt;/m:t&gt;&lt;/m:r&gt;&lt;/m:sub&gt;&lt;/m:sSub&gt;&lt;m:r&gt;&lt;w:rPr&gt;&lt;w:rFonts w:ascii=&quot;Cambria Math&quot; w:h-ansi=&quot;Cambria&quot;/&gt;&lt;wx:font wx:val=&quot;Cambria Math&quot;/&gt;&lt;w:i/&gt;&lt;w:sz w:val=&quot;20&quot;/&gt;&lt;w:sz-cs w:val=&quot;20&quot;/&gt;&lt;w:lang w:val=&quot;EN-US&quot;/&gt;&lt;/w:rPr&gt;&lt;m:t&gt; &lt;/m:t&gt;&lt;/m:r&gt;&lt;m:d&gt;&lt;m:dPr&gt;&lt;m:ctrlPr&gt;&lt;w:rPr&gt;&lt;w:rFonts w:ascii=&quot;Cambria Math&quot; w:h-ansi=&quot;Cambria&quot;/&gt;&lt;wx:font wx:val=&quot;Cambria Math&quot;/&gt;&lt;w:i/&gt;&lt;w:sz w:val=&quot;20&quot;/&gt;&lt;w:sz-cs w:val=&quot;20&quot;/&gt;&lt;w:lang w:val=&quot;EN-US&quot;/&gt;&lt;/w:rPr&gt;&lt;/m:ctrlPr&gt;&lt;/m:dPr&gt;&lt;m:e&gt;&lt;m:f&gt;&lt;m:fPr&gt;&lt;m:ctrlPr&gt;&lt;w:rPr&gt;&lt;w:rFonts w:ascii=&quot;Cambria Math&quot; w:h-ansi=&quot;Cambria&quot;/&gt;&lt;wx:font wx:val=&quot;Cambria Math&quot;/&gt;&lt;w:i/&gt;&lt;w:sz w:val=&quot;20&quot;/&gt;&lt;w:sz-cs w:val=&quot;20&quot;/&gt;&lt;w:lang w:val=&quot;EN-US&quot;/&gt;&lt;/w:rPr&gt;&lt;/m:ctrlPr&gt;&lt;/m:fPr&gt;&lt;m:num&gt;&lt;m:r&gt;&lt;w:rPr&gt;&lt;w:rFonts w:ascii=&quot;Cambria Math&quot; w:h-ansi=&quot;Cambria&quot;/&gt;&lt;wx:font wx:val=&quot;Cambria Math&quot;/&gt;&lt;w:i/&gt;&lt;w:sz w:val=&quot;20&quot;/&gt;&lt;w:sz-cs w:val=&quot;20&quot;/&gt;&lt;w:lang w:val=&quot;EN-US&quot;/&gt;&lt;/w:rPr&gt;&lt;m:t&gt;1&lt;/m:t&gt;&lt;/m:r&gt;&lt;/m:num&gt;&lt;m:den&gt;&lt;m:sSub&gt;&lt;m:sSubPr&gt;&lt;m:ctrlPr&gt;&lt;w:rPr&gt;&lt;w:rFonts w:ascii=&quot;Cambria Math&quot; w:h-ansi=&quot;Cambria&quot;/&gt;&lt;wx:font wx:val=&quot;Cambria Math&quot;/&gt;&lt;w:i/&gt;&lt;w:sz w:val=&quot;20&quot;/&gt;&lt;w:sz-cs w:val=&quot;20&quot;/&gt;&lt;w:lang w:val=&quot;EN-US&quot;/&gt;&lt;/w:rPr&gt;&lt;/m:ctrlPr&gt;&lt;/m:sSubPr&gt;&lt;m:e&gt;&lt;m:r&gt;&lt;w:rPr&gt;&lt;w:rFonts w:ascii=&quot;Cambria Math&quot; w:h-ansi=&quot;Cambria Math&quot;/&gt;&lt;wx:font wx:val=&quot;Cambria Math&quot;/&gt;&lt;w:i/&gt;&lt;w:sz w:val=&quot;20&quot;/&gt;&lt;w:sz-cs w:val=&quot;20&quot;/&gt;&lt;w:lang w:val=&quot;EN-US&quot;/&gt;&lt;/w:rPr&gt;&lt;m:t&gt;Assets&lt;/m:t&gt;&lt;/m:r&gt;&lt;/m:e&gt;&lt;m:sub&gt;&lt;m:r&gt;&lt;w:rPr&gt;&lt;w:rFonts w:ascii=&quot;Cambria Math&quot; w:h-ansi=&quot;Cambria Math&quot;/&gt;&lt;wx:font wx:val=&quot;Cambria Math&quot;/&gt;&lt;w:i/&gt;&lt;w:sz w:val=&quot;20&quot;/&gt;&lt;w:sz-cs w:val=&quot;20&quot;/&gt;&lt;w:lang w:val=&quot;EN-US&quot;/&gt;&lt;/w:rPr&gt;&lt;m:t&gt;it&lt;/m:t&gt;&lt;/m:r&gt;&lt;m:r&gt;&lt;w:rPr&gt;&lt;w:rFonts w:ascii=&quot;Cambria&quot; w:h-ansi=&quot;Cambria&quot;/&gt;&lt;wx:font wx:val=&quot;Cambria&quot;/&gt;&lt;w:i/&gt;&lt;w:sz w:val=&quot;20&quot;/&gt;&lt;w:sz-cs w:val=&quot;20&quot;/&gt;&lt;w:lang w:val=&quot;EN-US&quot;/&gt;&lt;/w:rPr&gt;&lt;m:t&gt;-&lt;/m:t&gt;&lt;/m:r&gt;&lt;m:r&gt;&lt;w:rPr&gt;&lt;w:rFonts w:ascii=&quot;Cambria Math&quot; w:h-ansi=&quot;Cambria&quot;/&gt;&lt;wx:font wx:val=&quot;Cambria Math&quot;/&gt;&lt;w:i/&gt;&lt;w:sz w:val=&quot;20&quot;/&gt;&lt;w:sz-cs w:val=&quot;20&quot;/&gt;&lt;w:lang w:val=&quot;EN-US&quot;/&gt;&lt;/w:rPr&gt;&lt;m:t&gt;1&lt;/m:t&gt;&lt;/m:r&gt;&lt;/m:sub&gt;&lt;/m:sSub&gt;&lt;/m:den&gt;&lt;/m:f&gt;&lt;/m:e&gt;&lt;/m:d&gt;&lt;m:r&gt;&lt;w:rPr&gt;&lt;w:rFonts w:ascii=&quot;Cambria Math&quot; w:h-ansi=&quot;Cambria&quot;/&gt;&lt;wx:font wx:val=&quot;Cambria Math&quot;/&gt;&lt;w:i/&gt;&lt;w:sz w:val=&quot;20&quot;/&gt;&lt;w:sz-cs w:val=&quot;20&quot;/&gt;&lt;w:lang w:val=&quot;EN-US&quot;/&gt;&lt;/w:rPr&gt;&lt;m:t&gt;+ &lt;/m:t&gt;&lt;/m:r&gt;&lt;m:sSub&gt;&lt;m:sSubPr&gt;&lt;m:ctrlPr&gt;&lt;w:rPr&gt;&lt;w:rFonts w:ascii=&quot;Cambria Math&quot; w:h-ansi=&quot;Cambria&quot;/&gt;&lt;wx:font wx:val=&quot;Cambria Math&quot;/&gt;&lt;w:i/&gt;&lt;w:sz w:val=&quot;20&quot;/&gt;&lt;w:sz-cs w:val=&quot;20&quot;/&gt;&lt;w:lang w:val=&quot;EN-US&quot;/&gt;&lt;/w:rPr&gt;&lt;/m:ctrlPr&gt;&lt;/m:sSubPr&gt;&lt;m:e&gt;&lt;m:r&gt;&lt;w:rPr&gt;&lt;w:rFonts w:ascii=&quot;Cambria Math&quot; w:h-ansi=&quot;Cambria Math&quot;/&gt;&lt;wx:font wx:val=&quot;Cambria Math&quot;/&gt;&lt;w:i/&gt;&lt;w:sz w:val=&quot;20&quot;/&gt;&lt;w:sz-cs w:val=&quot;20&quot;/&gt;&lt;w:lang w:val=&quot;EN-US&quot;/&gt;&lt;/w:rPr&gt;&lt;m:t&gt;Î²&lt;/m:t&gt;&lt;/m:r&gt;&lt;/m:e&gt;&lt;m:sub&gt;&lt;m:r&gt;&lt;w:rPr&gt;&lt;w:rFonts w:ascii=&quot;Cambria Math&quot; w:h-ansi=&quot;Cambria&quot;/&gt;&lt;wx:font wx:val=&quot;Cambria Math&quot;/&gt;&lt;w:i/&gt;&lt;w:sz w:val=&quot;20&quot;/&gt;&lt;w:sz-cs w:val=&quot;20&quot;/&gt;&lt;w:lang w:val=&quot;EN-US&quot;/&gt;&lt;/w:rPr&gt;&lt;m:t&gt;1&lt;/m:t&gt;&lt;/m:r&gt;&lt;/m:sub&gt;&lt;/m:sSub&gt;&lt;m:r&gt;&lt;w:rPr&gt;&lt;w:rFonts w:ascii=&quot;Cambria Math&quot; w:h-ansi=&quot;Cambria&quot;/&gt;&lt;wx:font wx:val=&quot;Cambria Math&quot;/&gt;&lt;w:i/&gt;&lt;w:sz w:val=&quot;20&quot;/&gt;&lt;w:sz-cs w:val=&quot;20&quot;/&gt;&lt;w:lang w:val=&quot;EN-US&quot;/&gt;&lt;/w:rPr&gt;&lt;m:t&gt; &lt;/m:t&gt;&lt;/m:r&gt;&lt;m:d&gt;&lt;m:dPr&gt;&lt;m:ctrlPr&gt;&lt;w:rPr&gt;&lt;w:rFonts w:ascii=&quot;Cambria Math&quot; w:h-ansi=&quot;Cambria&quot;/&gt;&lt;wx:font wx:val=&quot;Cambria Math&quot;/&gt;&lt;w:i/&gt;&lt;w:sz w:val=&quot;20&quot;/&gt;&lt;w:sz-cs w:val=&quot;20&quot;/&gt;&lt;w:lang w:val=&quot;EN-US&quot;/&gt;&lt;/w:rPr&gt;&lt;/m:ctrlPr&gt;&lt;/m:dPr&gt;&lt;m:e&gt;&lt;m:sSub&gt;&lt;m:sSubPr&gt;&lt;m:ctrlPr&gt;&lt;w:rPr&gt;&lt;w:rFonts w:ascii=&quot;Cambria Math&quot; w:h-ansi=&quot;Cambria&quot;/&gt;&lt;wx:font wx:val=&quot;Cambria Math&quot;/&gt;&lt;w:i/&gt;&lt;w:sz w:val=&quot;20&quot;/&gt;&lt;w:sz-cs w:val=&quot;20&quot;/&gt;&lt;w:lang w:val=&quot;EN-US&quot;/&gt;&lt;/w:rPr&gt;&lt;/m:ctrlPr&gt;&lt;/m:sSubPr&gt;&lt;m:e&gt;&lt;m:r&gt;&lt;w:rPr&gt;&lt;w:rFonts w:ascii=&quot;Cambria&quot; w:h-ansi=&quot;Cambria&quot;/&gt;&lt;wx:font wx:val=&quot;Cambria&quot;/&gt;&lt;w:i/&gt;&lt;w:sz w:val=&quot;20&quot;/&gt;&lt;w:sz-cs w:val=&quot;20&quot;/&gt;&lt;w:lang w:val=&quot;EN-US&quot;/&gt;&lt;/w:rPr&gt;&lt;m:t&gt;âˆ†&lt;/m:t&gt;&lt;/m:r&gt;&lt;m:r&gt;&lt;w:rPr&gt;&lt;w:rFonts w:ascii=&quot;Cambria Math&quot; w:h-ansi=&quot;Cambria&quot;/&gt;&lt;wx:font wx:val=&quot;Cambria Math&quot;/&gt;&lt;w:i/&gt;&lt;w:sz w:val=&quot;20&quot;/&gt;&lt;w:sz-cs w:val=&quot;20&quot;/&gt;&lt;w:lang w:val=&quot;EN-US&quot;/&gt;&lt;/w:rPr&gt;&lt;m:t&gt; &lt;/m:t&gt;&lt;/m:r&gt;&lt;m:r&gt;&lt;w:rPr&gt;&lt;w:rFonts w:ascii=&quot;Cambria Math&quot; w:h-ansi=&quot;Cambria Math&quot;/&gt;&lt;wx:font wx:val=&quot;Cambria Math&quot;/&gt;&lt;w:i/&gt;&lt;w:sz w:val=&quot;20&quot;/&gt;&lt;w:sz-cs w:val=&quot;20&quot;/&gt;&lt;w:lang w:val=&quot;EN-US&quot;/&gt;&lt;/w:rPr&gt;&lt;m:t&gt;REV&lt;/m:t&gt;&lt;/m:r&gt;&lt;/m:e&gt;&lt;m:sub&gt;&lt;m:r&gt;&lt;w:rPr&gt;&lt;w:rFonts w:ascii=&quot;Cambria Math&quot; w:h-ansi=&quot;Cambria Math&quot;/&gt;&lt;wx:font wx:val=&quot;Cambria Math&quot;/&gt;&lt;w:i/&gt;&lt;w:sz w:val=&quot;20&quot;/&gt;&lt;w:sz-cs w:val=&quot;20&quot;/&gt;&lt;w:lang w:val=&quot;EN-US&quot;/&gt;&lt;/w:rPr&gt;&lt;m:t&gt;it&lt;/m:t&gt;&lt;/m:r&gt;&lt;/m:sub&gt;&lt;/m:sSub&gt;&lt;m:r&gt;&lt;w:rPr&gt;&lt;w:rFonts w:ascii=&quot;Cambria&quot; w:h-ansi=&quot;Cambria&quot;/&gt;&lt;wx:font wx:val=&quot;Cambria&quot;/&gt;&lt;w:i/&gt;&lt;w:sz w:val=&quot;20&quot;/&gt;&lt;w:sz-cs w:val=&quot;20&quot;/&gt;&lt;w:lang w:val=&quot;EN-US&quot;/&gt;&lt;/w:rPr&gt;&lt;m:t&gt;-&lt;/m:t&gt;&lt;/m:r&gt;&lt;m:sSub&gt;&lt;m:sSubPr&gt;&lt;m:ctrlPr&gt;&lt;w:rPr&gt;&lt;w:rFonts w:ascii=&quot;Cambria Math&quot; w:h-ansi=&quot;Cambria&quot;/&gt;&lt;wx:font wx:val=&quot;Cambria Math&quot;/&gt;&lt;w:i/&gt;&lt;w:sz w:val=&quot;20&quot;/&gt;&lt;w:sz-cs w:val=&quot;20&quot;/&gt;&lt;w:lang w:val=&quot;EN-US&quot;/&gt;&lt;/w:rPr&gt;&lt;/m:ctrlPr&gt;&lt;/m:sSubPr&gt;&lt;m:e&gt;&lt;m:r&gt;&lt;w:rPr&gt;&lt;w:rFonts w:ascii=&quot;Cambria&quot; w:h-ansi=&quot;Cambria&quot;/&gt;&lt;wx:font wx:val=&quot;Cambria&quot;/&gt;&lt;w:i/&gt;&lt;w:sz w:val=&quot;20&quot;/&gt;&lt;w:sz-cs w:val=&quot;20&quot;/&gt;&lt;w:lang w:val=&quot;EN-US&quot;/&gt;&lt;/w:rPr&gt;&lt;m:t&gt;âˆ†&lt;/m:t&gt;&lt;/m:r&gt;&lt;m:r&gt;&lt;w:rPr&gt;&lt;w:rFonts w:ascii=&quot;Cambria Math&quot; w:h-ansi=&quot;Cambria Math&quot;/&gt;&lt;wx:font wx:val=&quot;Cambria Math&quot;/&gt;&lt;w:i/&gt;&lt;w:sz w:val=&quot;20&quot;/&gt;&lt;w:sz-cs w:val=&quot;20&quot;/&gt;&lt;w:lang w:val=&quot;EN-US&quot;/&gt;&lt;/w:rPr&gt;&lt;m:t&gt;REC&lt;/m:t&gt;&lt;/m:r&gt;&lt;/m:e&gt;&lt;m:sub&gt;&lt;m:r&gt;&lt;w:rPr&gt;&lt;w:rFonts w:ascii=&quot;Cambria Math&quot; w:h-ansi=&quot;Cambria Math&quot;/&gt;&lt;wx:font wx:val=&quot;Cambria Math&quot;/&gt;&lt;w:i/&gt;&lt;w:sz w:val=&quot;20&quot;/&gt;&lt;w:sz-cs w:val=&quot;20&quot;/&gt;&lt;w:lang w:val=&quot;EN-US&quot;/&gt;&lt;/w:rPr&gt;&lt;m:t&gt;it&lt;/m:t&gt;&lt;/m:r&gt;&lt;/m:sub&gt;&lt;/m:sSub&gt;&lt;/m:e&gt;&lt;/m:d&gt;&lt;m:r&gt;&lt;w:rPr&gt;&lt;w:rFonts w:ascii=&quot;Cambria Math&quot; w:h-ansi=&quot;Cambria&quot;/&gt;&lt;wx:font wx:val=&quot;Cambria Math&quot;/&gt;&lt;w:i/&gt;&lt;w:sz w:val=&quot;20&quot;/&gt;&lt;w:sz-cs w:val=&quot;20&quot;/&gt;&lt;w:lang w:val=&quot;EN-US&quot;/&gt;&lt;/w:rPr&gt;&lt;m:t&gt;+ &lt;/m:t&gt;&lt;/m:r&gt;&lt;m:sSub&gt;&lt;m:sSubPr&gt;&lt;m:ctrlPr&gt;&lt;w:rPr&gt;&lt;w:rFonts w:ascii=&quot;Cambria Math&quot; w:h-ansi=&quot;Cambria&quot;/&gt;&lt;wx:font wx:val=&quot;Cambria Math&quot;/&gt;&lt;w:i/&gt;&lt;w:sz w:val=&quot;20&quot;/&gt;&lt;w:sz-cs w:val=&quot;20&quot;/&gt;&lt;w:lang w:val=&quot;EN-US&quot;/&gt;&lt;/w:rPr&gt;&lt;/m:ctrlPr&gt;&lt;/m:sSubPr&gt;&lt;m:e&gt;&lt;m:r&gt;&lt;w:rPr&gt;&lt;w:rFonts w:ascii=&quot;Cambria Math&quot; w:h-ansi=&quot;Cambria Math&quot;/&gt;&lt;wx:font wx:val=&quot;Cambria Math&quot;/&gt;&lt;w:i/&gt;&lt;w:sz w:val=&quot;20&quot;/&gt;&lt;w:sz-cs w:val=&quot;20&quot;/&gt;&lt;w:lang w:val=&quot;EN-US&quot;/&gt;&lt;/w:rPr&gt;&lt;m:t&gt;Î²&lt;/m:t&gt;&lt;/m:r&gt;&lt;/m:e&gt;&lt;m:sub&gt;&lt;m:r&gt;&lt;w:rPr&gt;&lt;w:rFonts w:ascii=&quot;Cambria Math&quot; w:h-ansi=&quot;Cambria&quot;/&gt;&lt;wx:font wx:val=&quot;Cambria Math&quot;/&gt;&lt;w:i/&gt;&lt;w:sz w:val=&quot;20&quot;/&gt;&lt;w:sz-cs w:val=&quot;20&quot;/&gt;&lt;w:lang w:val=&quot;EN-US&quot;/&gt;&lt;/w:rPr&gt;&lt;m:t&gt;2&lt;/m:t&gt;&lt;/m:r&gt;&lt;/m:sub&gt;&lt;/m:sSub&gt;&lt;m:sSub&gt;&lt;m:sSubPr&gt;&lt;m:ctrlPr&gt;&lt;w:rPr&gt;&lt;w:rFonts w:ascii=&quot;Cambria Math&quot; w:h-ansi=&quot;Cambria&quot;/&gt;&lt;wx:font wx:val=&quot;Cambria Math&quot;/&gt;&lt;w:i/&gt;&lt;w:sz w:val=&quot;20&quot;/&gt;&lt;w:sz-cs w:val=&quot;20&quot;/&gt;&lt;w:lang w:val=&quot;EN-US&quot;/&gt;&lt;/w:rPr&gt;&lt;/m:ctrlPr&gt;&lt;/m:sSubPr&gt;&lt;m:e&gt;&lt;m:r&gt;&lt;w:rPr&gt;&lt;w:rFonts w:ascii=&quot;Cambria Math&quot; w:h-ansi=&quot;Cambria Math&quot;/&gt;&lt;wx:font wx:val=&quot;Cambria Math&quot;/&gt;&lt;w:i/&gt;&lt;w:sz w:val=&quot;20&quot;/&gt;&lt;w:sz-cs w:val=&quot;20&quot;/&gt;&lt;w:lang w:val=&quot;EN-US&quot;/&gt;&lt;/w:rPr&gt;&lt;m:t&gt;PPE&lt;/m:t&gt;&lt;/m:r&gt;&lt;/m:e&gt;&lt;m:sub&gt;&lt;m:r&gt;&lt;w:rPr&gt;&lt;w:rFonts w:ascii=&quot;Cambria Math&quot; w:h-ansi=&quot;Cambria Math&quot;/&gt;&lt;wx:font wx:val=&quot;Cambria Math&quot;/&gt;&lt;w:i/&gt;&lt;w:sz w:val=&quot;20&quot;/&gt;&lt;w:sz-cs w:val=&quot;20&quot;/&gt;&lt;w:lang w:val=&quot;EN-US&quot;/&gt;&lt;/w:rPr&gt;&lt;m:t&gt;it&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3" o:title="" chromakey="white"/>
          </v:shape>
        </w:pict>
      </w:r>
      <w:r w:rsidRPr="006E06F2">
        <w:rPr>
          <w:rFonts w:ascii="Cambria" w:hAnsi="Cambria"/>
          <w:sz w:val="20"/>
          <w:szCs w:val="20"/>
          <w:lang w:val="en-US"/>
        </w:rPr>
        <w:fldChar w:fldCharType="end"/>
      </w:r>
      <w:r w:rsidRPr="004F42C2">
        <w:rPr>
          <w:rFonts w:ascii="Cambria" w:hAnsi="Cambria"/>
          <w:sz w:val="20"/>
          <w:szCs w:val="20"/>
          <w:lang w:val="en-US"/>
        </w:rPr>
        <w:t xml:space="preserve"> is a proxy for non-discretionary accruals. </w:t>
      </w:r>
    </w:p>
    <w:p w:rsidR="00334F38" w:rsidRPr="003E7C8B" w:rsidRDefault="00334F38" w:rsidP="00182D6E">
      <w:pPr>
        <w:autoSpaceDE w:val="0"/>
        <w:autoSpaceDN w:val="0"/>
        <w:adjustRightInd w:val="0"/>
        <w:spacing w:line="360" w:lineRule="auto"/>
        <w:jc w:val="both"/>
        <w:rPr>
          <w:lang w:val="en-US"/>
        </w:rPr>
      </w:pPr>
    </w:p>
    <w:p w:rsidR="00334F38" w:rsidRPr="003E7C8B" w:rsidRDefault="00334F38" w:rsidP="00182D6E">
      <w:pPr>
        <w:autoSpaceDE w:val="0"/>
        <w:autoSpaceDN w:val="0"/>
        <w:adjustRightInd w:val="0"/>
        <w:spacing w:line="360" w:lineRule="auto"/>
        <w:jc w:val="both"/>
        <w:rPr>
          <w:lang w:val="en-US"/>
        </w:rPr>
      </w:pPr>
      <w:r w:rsidRPr="003E7C8B">
        <w:rPr>
          <w:lang w:val="en-US"/>
        </w:rPr>
        <w:t xml:space="preserve">However Kothari et al. (2005) remind us that the original Jones and mJones model fail to completely </w:t>
      </w:r>
      <w:r>
        <w:rPr>
          <w:lang w:val="en-US"/>
        </w:rPr>
        <w:t>control for firm performance. I</w:t>
      </w:r>
      <w:r w:rsidRPr="003E7C8B">
        <w:rPr>
          <w:lang w:val="en-US"/>
        </w:rPr>
        <w:t xml:space="preserve"> control for the influence of prior firm performance on discretionary accruals by use of matching the performance on the basis of a firms return on assets. The reason for using ROA for performance matching has been addressed earlier in the paper. Taking this into account we add an additional independent variable to the mix, thereby augmenting the mJones model as follows;</w:t>
      </w:r>
    </w:p>
    <w:p w:rsidR="00334F38" w:rsidRPr="003E7C8B" w:rsidRDefault="00334F38" w:rsidP="00182D6E">
      <w:pPr>
        <w:autoSpaceDE w:val="0"/>
        <w:autoSpaceDN w:val="0"/>
        <w:adjustRightInd w:val="0"/>
        <w:spacing w:line="360" w:lineRule="auto"/>
        <w:jc w:val="both"/>
        <w:rPr>
          <w:lang w:val="en-US"/>
        </w:rPr>
      </w:pPr>
    </w:p>
    <w:p w:rsidR="00334F38" w:rsidRPr="003E7C8B" w:rsidRDefault="00334F38" w:rsidP="00182D6E">
      <w:pPr>
        <w:autoSpaceDE w:val="0"/>
        <w:autoSpaceDN w:val="0"/>
        <w:adjustRightInd w:val="0"/>
        <w:spacing w:line="360" w:lineRule="auto"/>
        <w:jc w:val="both"/>
        <w:rPr>
          <w:lang w:val="en-US"/>
        </w:rPr>
      </w:pPr>
      <w:r w:rsidRPr="006E06F2">
        <w:rPr>
          <w:lang w:val="en-US"/>
        </w:rPr>
        <w:fldChar w:fldCharType="begin"/>
      </w:r>
      <w:r w:rsidRPr="006E06F2">
        <w:rPr>
          <w:lang w:val="en-US"/>
        </w:rPr>
        <w:instrText xml:space="preserve"> QUOTE </w:instrText>
      </w:r>
      <w:r w:rsidRPr="006E06F2">
        <w:pict>
          <v:shape id="_x0000_i1039" type="#_x0000_t75" style="width:408pt;height:26.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11C&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07611C&quot;&gt;&lt;m:oMathPara&gt;&lt;m:oMath&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TA&lt;/m:t&gt;&lt;/m:r&gt;&lt;/m:e&gt;&lt;m:sub&gt;&lt;m:r&gt;&lt;w:rPr&gt;&lt;w:rFonts w:ascii=&quot;Cambria Math&quot; w:h-ansi=&quot;Cambria Math&quot;/&gt;&lt;wx:font wx:val=&quot;Cambria Math&quot;/&gt;&lt;w:i/&gt;&lt;w:lang w:val=&quot;EN-US&quot;/&gt;&lt;/w:rPr&gt;&lt;m:t&gt;it&lt;/m:t&gt;&lt;/m:r&gt;&lt;/m:sub&gt;&lt;/m:sSub&gt;&lt;m:r&gt;&lt;w:rPr&gt;&lt;w:rFonts w:ascii=&quot;Cambria Math&quot;/&gt;&lt;wx:font wx:val=&quot;Cambria Math&quot;/&gt;&lt;w:i/&gt;&lt;w:lang w:val=&quot;EN-US&quot;/&gt;&lt;/w:rPr&gt;&lt;m:t&gt;= &lt;/m:t&gt;&lt;/m:r&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Î²&lt;/m:t&gt;&lt;/m:r&gt;&lt;/m:e&gt;&lt;m:sub&gt;&lt;m:r&gt;&lt;w:rPr&gt;&lt;w:rFonts w:ascii=&quot;Cambria Math&quot;/&gt;&lt;wx:font wx:val=&quot;Cambria Math&quot;/&gt;&lt;w:i/&gt;&lt;w:lang w:val=&quot;EN-US&quot;/&gt;&lt;/w:rPr&gt;&lt;m:t&gt;0&lt;/m:t&gt;&lt;/m:r&gt;&lt;/m:sub&gt;&lt;/m:sSub&gt;&lt;m:r&gt;&lt;w:rPr&gt;&lt;w:rFonts w:ascii=&quot;Cambria Math&quot;/&gt;&lt;wx:font wx:val=&quot;Cambria Math&quot;/&gt;&lt;w:i/&gt;&lt;w:lang w:val=&quot;EN-US&quot;/&gt;&lt;/w:rPr&gt;&lt;m:t&gt;+&lt;/m:t&gt;&lt;/m:r&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Î²&lt;/m:t&gt;&lt;/m:r&gt;&lt;/m:e&gt;&lt;m:sub&gt;&lt;m:r&gt;&lt;w:rPr&gt;&lt;w:rFonts w:ascii=&quot;Cambria Math&quot;/&gt;&lt;wx:font wx:val=&quot;Cambria Math&quot;/&gt;&lt;w:i/&gt;&lt;w:lang w:val=&quot;EN-US&quot;/&gt;&lt;/w:rPr&gt;&lt;m:t&gt;1&lt;/m:t&gt;&lt;/m:r&gt;&lt;/m:sub&gt;&lt;/m:sSub&gt;&lt;m:r&gt;&lt;w:rPr&gt;&lt;w:rFonts w:ascii=&quot;Cambria Math&quot;/&gt;&lt;wx:font wx:val=&quot;Cambria Math&quot;/&gt;&lt;w:i/&gt;&lt;w:lang w:val=&quot;EN-US&quot;/&gt;&lt;/w:rPr&gt;&lt;m:t&gt; &lt;/m:t&gt;&lt;/m:r&gt;&lt;m:d&gt;&lt;m:dPr&gt;&lt;m:ctrlPr&gt;&lt;w:rPr&gt;&lt;w:rFonts w:ascii=&quot;Cambria Math&quot; w:h-ansi=&quot;Cambria Math&quot;/&gt;&lt;wx:font wx:val=&quot;Cambria Math&quot;/&gt;&lt;w:i/&gt;&lt;w:lang w:val=&quot;EN-US&quot;/&gt;&lt;/w:rPr&gt;&lt;/m:ctrlPr&gt;&lt;/m:dPr&gt;&lt;m:e&gt;&lt;m:f&gt;&lt;m:fPr&gt;&lt;m:ctrlPr&gt;&lt;w:rPr&gt;&lt;w:rFonts w:ascii=&quot;Cambria Math&quot; w:h-ansi=&quot;Cambria Math&quot;/&gt;&lt;wx:font wx:val=&quot;Cambria Math&quot;/&gt;&lt;w:i/&gt;&lt;w:lang w:val=&quot;EN-US&quot;/&gt;&lt;/w:rPr&gt;&lt;/m:ctrlPr&gt;&lt;/m:fPr&gt;&lt;m:num&gt;&lt;m:r&gt;&lt;w:rPr&gt;&lt;w:rFonts w:ascii=&quot;Cambria Math&quot;/&gt;&lt;wx:font wx:val=&quot;Cambria Math&quot;/&gt;&lt;w:i/&gt;&lt;w:lang w:val=&quot;EN-US&quot;/&gt;&lt;/w:rPr&gt;&lt;m:t&gt;1&lt;/m:t&gt;&lt;/m:r&gt;&lt;/m:num&gt;&lt;m:den&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Assets&lt;/m:t&gt;&lt;/m:r&gt;&lt;/m:e&gt;&lt;m:sub&gt;&lt;m:r&gt;&lt;w:rPr&gt;&lt;w:rFonts w:ascii=&quot;Cambria Math&quot; w:h-ansi=&quot;Cambria Math&quot;/&gt;&lt;wx:font wx:val=&quot;Cambria Math&quot;/&gt;&lt;w:i/&gt;&lt;w:lang w:val=&quot;EN-US&quot;/&gt;&lt;/w:rPr&gt;&lt;m:t&gt;it&lt;/m:t&gt;&lt;/m:r&gt;&lt;m:r&gt;&lt;w:rPr&gt;&lt;w:rFonts w:ascii=&quot;Cambria Math&quot;/&gt;&lt;w:i/&gt;&lt;w:lang w:val=&quot;EN-US&quot;/&gt;&lt;/w:rPr&gt;&lt;m:t&gt;-&lt;/m:t&gt;&lt;/m:r&gt;&lt;m:r&gt;&lt;w:rPr&gt;&lt;w:rFonts w:ascii=&quot;Cambria Math&quot;/&gt;&lt;wx:font wx:val=&quot;Cambria Math&quot;/&gt;&lt;w:i/&gt;&lt;w:lang w:val=&quot;EN-US&quot;/&gt;&lt;/w:rPr&gt;&lt;m:t&gt;1&lt;/m:t&gt;&lt;/m:r&gt;&lt;/m:sub&gt;&lt;/m:sSub&gt;&lt;/m:den&gt;&lt;/m:f&gt;&lt;/m:e&gt;&lt;/m:d&gt;&lt;m:r&gt;&lt;w:rPr&gt;&lt;w:rFonts w:ascii=&quot;Cambria Math&quot;/&gt;&lt;wx:font wx:val=&quot;Cambria Math&quot;/&gt;&lt;w:i/&gt;&lt;w:lang w:val=&quot;EN-US&quot;/&gt;&lt;/w:rPr&gt;&lt;m:t&gt;+ &lt;/m:t&gt;&lt;/m:r&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Î²&lt;/m:t&gt;&lt;/m:r&gt;&lt;/m:e&gt;&lt;m:sub&gt;&lt;m:r&gt;&lt;w:rPr&gt;&lt;w:rFonts w:ascii=&quot;Cambria Math&quot;/&gt;&lt;wx:font wx:val=&quot;Cambria Math&quot;/&gt;&lt;w:i/&gt;&lt;w:lang w:val=&quot;EN-US&quot;/&gt;&lt;/w:rPr&gt;&lt;m:t&gt;2&lt;/m:t&gt;&lt;/m:r&gt;&lt;/m:sub&gt;&lt;/m:sSub&gt;&lt;m:r&gt;&lt;w:rPr&gt;&lt;w:rFonts w:ascii=&quot;Cambria Math&quot;/&gt;&lt;wx:font wx:val=&quot;Cambria Math&quot;/&gt;&lt;w:i/&gt;&lt;w:lang w:val=&quot;EN-US&quot;/&gt;&lt;/w:rPr&gt;&lt;m:t&gt; &lt;/m:t&gt;&lt;/m:r&gt;&lt;m:d&gt;&lt;m:dPr&gt;&lt;m:ctrlPr&gt;&lt;w:rPr&gt;&lt;w:rFonts w:ascii=&quot;Cambria Math&quot; w:h-ansi=&quot;Cambria Math&quot;/&gt;&lt;wx:font wx:val=&quot;Cambria Math&quot;/&gt;&lt;w:i/&gt;&lt;w:lang w:val=&quot;EN-US&quot;/&gt;&lt;/w:rPr&gt;&lt;/m:ctrlPr&gt;&lt;/m:dPr&gt;&lt;m:e&gt;&lt;m:sSub&gt;&lt;m:sSubPr&gt;&lt;m:ctrlPr&gt;&lt;w:rPr&gt;&lt;w:rFonts w:ascii=&quot;Cambria Math&quot; w:h-ansi=&quot;Cambria Math&quot;/&gt;&lt;wx:font wx:val=&quot;Cambria Math&quot;/&gt;&lt;w:i/&gt;&lt;w:lang w:val=&quot;EN-US&quot;/&gt;&lt;/w:rPr&gt;&lt;/m:ctrlPr&gt;&lt;/m:sSubPr&gt;&lt;m:e&gt;&lt;m:r&gt;&lt;w:rPr&gt;&lt;w:rFonts w:ascii=&quot;Cambria Math&quot;/&gt;&lt;w:i/&gt;&lt;w:lang w:val=&quot;EN-US&quot;/&gt;&lt;/w:rPr&gt;&lt;m:t&gt;âˆ†&lt;/m:t&gt;&lt;/m:r&gt;&lt;m:r&gt;&lt;w:rPr&gt;&lt;w:rFonts w:ascii=&quot;Cambria Math&quot;/&gt;&lt;wx:font wx:val=&quot;Cambria Math&quot;/&gt;&lt;w:i/&gt;&lt;w:lang w:val=&quot;EN-US&quot;/&gt;&lt;/w:rPr&gt;&lt;m:t&gt; &lt;/m:t&gt;&lt;/m:r&gt;&lt;m:r&gt;&lt;w:rPr&gt;&lt;w:rFonts w:ascii=&quot;Cambria Math&quot; w:h-ansi=&quot;Cambria Math&quot;/&gt;&lt;wx:font wx:val=&quot;Cambria Math&quot;/&gt;&lt;w:i/&gt;&lt;w:lang w:val=&quot;EN-US&quot;/&gt;&lt;/w:rPr&gt;&lt;m:t&gt;REV&lt;/m:t&gt;&lt;/m:r&gt;&lt;/m:e&gt;&lt;m:sub&gt;&lt;m:r&gt;&lt;w:rPr&gt;&lt;w:rFonts w:ascii=&quot;Cambria Math&quot; w:h-ansi=&quot;Cambria Math&quot;/&gt;&lt;wx:font wx:val=&quot;Cambria Math&quot;/&gt;&lt;w:i/&gt;&lt;w:lang w:val=&quot;EN-US&quot;/&gt;&lt;/w:rPr&gt;&lt;m:t&gt;it&lt;/m:t&gt;&lt;/m:r&gt;&lt;/m:sub&gt;&lt;/m:sSub&gt;&lt;m:r&gt;&lt;w:rPr&gt;&lt;w:rFonts w:ascii=&quot;Cambria Math&quot;/&gt;&lt;w:i/&gt;&lt;w:lang w:val=&quot;EN-US&quot;/&gt;&lt;/w:rPr&gt;&lt;m:t&gt;-&lt;/m:t&gt;&lt;/m:r&gt;&lt;m:sSub&gt;&lt;m:sSubPr&gt;&lt;m:ctrlPr&gt;&lt;w:rPr&gt;&lt;w:rFonts w:ascii=&quot;Cambria Math&quot; w:h-ansi=&quot;Cambria Math&quot;/&gt;&lt;wx:font wx:val=&quot;Cambria Math&quot;/&gt;&lt;w:i/&gt;&lt;w:lang w:val=&quot;EN-US&quot;/&gt;&lt;/w:rPr&gt;&lt;/m:ctrlPr&gt;&lt;/m:sSubPr&gt;&lt;m:e&gt;&lt;m:r&gt;&lt;w:rPr&gt;&lt;w:rFonts w:ascii=&quot;Cambria Math&quot;/&gt;&lt;w:i/&gt;&lt;w:lang w:val=&quot;EN-US&quot;/&gt;&lt;/w:rPr&gt;&lt;m:t&gt;âˆ†&lt;/m:t&gt;&lt;/m:r&gt;&lt;m:r&gt;&lt;w:rPr&gt;&lt;w:rFonts w:ascii=&quot;Cambria Math&quot; w:h-ansi=&quot;Cambria Math&quot;/&gt;&lt;wx:font wx:val=&quot;Cambria Math&quot;/&gt;&lt;w:i/&gt;&lt;w:lang w:val=&quot;EN-US&quot;/&gt;&lt;/w:rPr&gt;&lt;m:t&gt;REC&lt;/m:t&gt;&lt;/m:r&gt;&lt;/m:e&gt;&lt;m:sub&gt;&lt;m:r&gt;&lt;w:rPr&gt;&lt;w:rFonts w:ascii=&quot;Cambria Math&quot; w:h-ansi=&quot;Cambria Math&quot;/&gt;&lt;wx:font wx:val=&quot;Cambria Math&quot;/&gt;&lt;w:i/&gt;&lt;w:lang w:val=&quot;EN-US&quot;/&gt;&lt;/w:rPr&gt;&lt;m:t&gt;it&lt;/m:t&gt;&lt;/m:r&gt;&lt;/m:sub&gt;&lt;/m:sSub&gt;&lt;/m:e&gt;&lt;/m:d&gt;&lt;m:r&gt;&lt;w:rPr&gt;&lt;w:rFonts w:ascii=&quot;Cambria Math&quot;/&gt;&lt;wx:font wx:val=&quot;Cambria Math&quot;/&gt;&lt;w:i/&gt;&lt;w:lang w:val=&quot;EN-US&quot;/&gt;&lt;/w:rPr&gt;&lt;m:t&gt;+ &lt;/m:t&gt;&lt;/m:r&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Î²&lt;/m:t&gt;&lt;/m:r&gt;&lt;/m:e&gt;&lt;m:sub&gt;&lt;m:r&gt;&lt;w:rPr&gt;&lt;w:rFonts w:ascii=&quot;Cambria Math&quot;/&gt;&lt;wx:font wx:val=&quot;Cambria Math&quot;/&gt;&lt;w:i/&gt;&lt;w:lang w:val=&quot;EN-US&quot;/&gt;&lt;/w:rPr&gt;&lt;m:t&gt;3&lt;/m:t&gt;&lt;/m:r&gt;&lt;/m:sub&gt;&lt;/m:sSub&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PPE&lt;/m:t&gt;&lt;/m:r&gt;&lt;/m:e&gt;&lt;m:sub&gt;&lt;m:r&gt;&lt;w:rPr&gt;&lt;w:rFonts w:ascii=&quot;Cambria Math&quot; w:h-ansi=&quot;Cambria Math&quot;/&gt;&lt;wx:font wx:val=&quot;Cambria Math&quot;/&gt;&lt;w:i/&gt;&lt;w:lang w:val=&quot;EN-US&quot;/&gt;&lt;/w:rPr&gt;&lt;m:t&gt;it&lt;/m:t&gt;&lt;/m:r&gt;&lt;/m:sub&gt;&lt;/m:sSub&gt;&lt;m:r&gt;&lt;w:rPr&gt;&lt;w:rFonts w:ascii=&quot;Cambria Math&quot;/&gt;&lt;wx:font wx:val=&quot;Cambria Math&quot;/&gt;&lt;w:i/&gt;&lt;w:lang w:val=&quot;EN-US&quot;/&gt;&lt;/w:rPr&gt;&lt;m:t&gt;+ &lt;/m:t&gt;&lt;/m:r&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Î²&lt;/m:t&gt;&lt;/m:r&gt;&lt;/m:e&gt;&lt;m:sub&gt;&lt;m:r&gt;&lt;w:rPr&gt;&lt;w:rFonts w:ascii=&quot;Cambria Math&quot;/&gt;&lt;wx:font wx:val=&quot;Cambria Math&quot;/&gt;&lt;w:i/&gt;&lt;w:lang w:val=&quot;EN-US&quot;/&gt;&lt;/w:rPr&gt;&lt;m:t&gt;4&lt;/m:t&gt;&lt;/m:r&gt;&lt;/m:sub&gt;&lt;/m:sSub&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ROA&lt;/m:t&gt;&lt;/m:r&gt;&lt;/m:e&gt;&lt;m:sub&gt;&lt;m:r&gt;&lt;w:rPr&gt;&lt;w:rFonts w:ascii=&quot;Cambria Math&quot; w:h-ansi=&quot;Cambria Math&quot;/&gt;&lt;wx:font wx:val=&quot;Cambria Math&quot;/&gt;&lt;w:i/&gt;&lt;w:lang w:val=&quot;EN-US&quot;/&gt;&lt;/w:rPr&gt;&lt;m:t&gt;it&lt;/m:t&gt;&lt;/m:r&gt;&lt;/m:sub&gt;&lt;/m:sSub&gt;&lt;m:r&gt;&lt;w:rPr&gt;&lt;w:rFonts w:ascii=&quot;Cambria Math&quot;/&gt;&lt;wx:font wx:val=&quot;Cambria Math&quot;/&gt;&lt;w:i/&gt;&lt;w:lang w:val=&quot;EN-US&quot;/&gt;&lt;/w:rPr&gt;&lt;m:t&gt;+ &lt;/m:t&gt;&lt;/m:r&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Îµ&lt;/m:t&gt;&lt;/m:r&gt;&lt;/m:e&gt;&lt;m:sub&gt;&lt;m:r&gt;&lt;w:rPr&gt;&lt;w:rFonts w:ascii=&quot;Cambria Math&quot; w:h-ansi=&quot;Cambria Math&quot;/&gt;&lt;wx:font wx:val=&quot;Cambria Math&quot;/&gt;&lt;w:i/&gt;&lt;w:lang w:val=&quot;EN-US&quot;/&gt;&lt;/w:rPr&gt;&lt;m:t&gt;it&lt;/m:t&gt;&lt;/m:r&gt;&lt;/m:sub&gt;&lt;/m:sSub&gt;&lt;m:r&gt;&lt;w:rPr&gt;&lt;w:rFonts w:ascii=&quot;Cambria Math&quot;/&gt;&lt;wx:font wx:val=&quot;Cambria Math&quot;/&gt;&lt;w:i/&gt;&lt;w:lang w:val=&quot;EN-US&quot;/&gt;&lt;/w:rPr&gt;&lt;m:t&gt; &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4" o:title="" chromakey="white"/>
          </v:shape>
        </w:pict>
      </w:r>
      <w:r w:rsidRPr="006E06F2">
        <w:rPr>
          <w:lang w:val="en-US"/>
        </w:rPr>
        <w:instrText xml:space="preserve"> </w:instrText>
      </w:r>
      <w:r w:rsidRPr="006E06F2">
        <w:rPr>
          <w:lang w:val="en-US"/>
        </w:rPr>
        <w:fldChar w:fldCharType="separate"/>
      </w:r>
      <w:r w:rsidRPr="006E06F2">
        <w:pict>
          <v:shape id="_x0000_i1040" type="#_x0000_t75" style="width:408pt;height:26.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11C&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07611C&quot;&gt;&lt;m:oMathPara&gt;&lt;m:oMath&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TA&lt;/m:t&gt;&lt;/m:r&gt;&lt;/m:e&gt;&lt;m:sub&gt;&lt;m:r&gt;&lt;w:rPr&gt;&lt;w:rFonts w:ascii=&quot;Cambria Math&quot; w:h-ansi=&quot;Cambria Math&quot;/&gt;&lt;wx:font wx:val=&quot;Cambria Math&quot;/&gt;&lt;w:i/&gt;&lt;w:lang w:val=&quot;EN-US&quot;/&gt;&lt;/w:rPr&gt;&lt;m:t&gt;it&lt;/m:t&gt;&lt;/m:r&gt;&lt;/m:sub&gt;&lt;/m:sSub&gt;&lt;m:r&gt;&lt;w:rPr&gt;&lt;w:rFonts w:ascii=&quot;Cambria Math&quot;/&gt;&lt;wx:font wx:val=&quot;Cambria Math&quot;/&gt;&lt;w:i/&gt;&lt;w:lang w:val=&quot;EN-US&quot;/&gt;&lt;/w:rPr&gt;&lt;m:t&gt;= &lt;/m:t&gt;&lt;/m:r&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Î²&lt;/m:t&gt;&lt;/m:r&gt;&lt;/m:e&gt;&lt;m:sub&gt;&lt;m:r&gt;&lt;w:rPr&gt;&lt;w:rFonts w:ascii=&quot;Cambria Math&quot;/&gt;&lt;wx:font wx:val=&quot;Cambria Math&quot;/&gt;&lt;w:i/&gt;&lt;w:lang w:val=&quot;EN-US&quot;/&gt;&lt;/w:rPr&gt;&lt;m:t&gt;0&lt;/m:t&gt;&lt;/m:r&gt;&lt;/m:sub&gt;&lt;/m:sSub&gt;&lt;m:r&gt;&lt;w:rPr&gt;&lt;w:rFonts w:ascii=&quot;Cambria Math&quot;/&gt;&lt;wx:font wx:val=&quot;Cambria Math&quot;/&gt;&lt;w:i/&gt;&lt;w:lang w:val=&quot;EN-US&quot;/&gt;&lt;/w:rPr&gt;&lt;m:t&gt;+&lt;/m:t&gt;&lt;/m:r&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Î²&lt;/m:t&gt;&lt;/m:r&gt;&lt;/m:e&gt;&lt;m:sub&gt;&lt;m:r&gt;&lt;w:rPr&gt;&lt;w:rFonts w:ascii=&quot;Cambria Math&quot;/&gt;&lt;wx:font wx:val=&quot;Cambria Math&quot;/&gt;&lt;w:i/&gt;&lt;w:lang w:val=&quot;EN-US&quot;/&gt;&lt;/w:rPr&gt;&lt;m:t&gt;1&lt;/m:t&gt;&lt;/m:r&gt;&lt;/m:sub&gt;&lt;/m:sSub&gt;&lt;m:r&gt;&lt;w:rPr&gt;&lt;w:rFonts w:ascii=&quot;Cambria Math&quot;/&gt;&lt;wx:font wx:val=&quot;Cambria Math&quot;/&gt;&lt;w:i/&gt;&lt;w:lang w:val=&quot;EN-US&quot;/&gt;&lt;/w:rPr&gt;&lt;m:t&gt; &lt;/m:t&gt;&lt;/m:r&gt;&lt;m:d&gt;&lt;m:dPr&gt;&lt;m:ctrlPr&gt;&lt;w:rPr&gt;&lt;w:rFonts w:ascii=&quot;Cambria Math&quot; w:h-ansi=&quot;Cambria Math&quot;/&gt;&lt;wx:font wx:val=&quot;Cambria Math&quot;/&gt;&lt;w:i/&gt;&lt;w:lang w:val=&quot;EN-US&quot;/&gt;&lt;/w:rPr&gt;&lt;/m:ctrlPr&gt;&lt;/m:dPr&gt;&lt;m:e&gt;&lt;m:f&gt;&lt;m:fPr&gt;&lt;m:ctrlPr&gt;&lt;w:rPr&gt;&lt;w:rFonts w:ascii=&quot;Cambria Math&quot; w:h-ansi=&quot;Cambria Math&quot;/&gt;&lt;wx:font wx:val=&quot;Cambria Math&quot;/&gt;&lt;w:i/&gt;&lt;w:lang w:val=&quot;EN-US&quot;/&gt;&lt;/w:rPr&gt;&lt;/m:ctrlPr&gt;&lt;/m:fPr&gt;&lt;m:num&gt;&lt;m:r&gt;&lt;w:rPr&gt;&lt;w:rFonts w:ascii=&quot;Cambria Math&quot;/&gt;&lt;wx:font wx:val=&quot;Cambria Math&quot;/&gt;&lt;w:i/&gt;&lt;w:lang w:val=&quot;EN-US&quot;/&gt;&lt;/w:rPr&gt;&lt;m:t&gt;1&lt;/m:t&gt;&lt;/m:r&gt;&lt;/m:num&gt;&lt;m:den&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Assets&lt;/m:t&gt;&lt;/m:r&gt;&lt;/m:e&gt;&lt;m:sub&gt;&lt;m:r&gt;&lt;w:rPr&gt;&lt;w:rFonts w:ascii=&quot;Cambria Math&quot; w:h-ansi=&quot;Cambria Math&quot;/&gt;&lt;wx:font wx:val=&quot;Cambria Math&quot;/&gt;&lt;w:i/&gt;&lt;w:lang w:val=&quot;EN-US&quot;/&gt;&lt;/w:rPr&gt;&lt;m:t&gt;it&lt;/m:t&gt;&lt;/m:r&gt;&lt;m:r&gt;&lt;w:rPr&gt;&lt;w:rFonts w:ascii=&quot;Cambria Math&quot;/&gt;&lt;w:i/&gt;&lt;w:lang w:val=&quot;EN-US&quot;/&gt;&lt;/w:rPr&gt;&lt;m:t&gt;-&lt;/m:t&gt;&lt;/m:r&gt;&lt;m:r&gt;&lt;w:rPr&gt;&lt;w:rFonts w:ascii=&quot;Cambria Math&quot;/&gt;&lt;wx:font wx:val=&quot;Cambria Math&quot;/&gt;&lt;w:i/&gt;&lt;w:lang w:val=&quot;EN-US&quot;/&gt;&lt;/w:rPr&gt;&lt;m:t&gt;1&lt;/m:t&gt;&lt;/m:r&gt;&lt;/m:sub&gt;&lt;/m:sSub&gt;&lt;/m:den&gt;&lt;/m:f&gt;&lt;/m:e&gt;&lt;/m:d&gt;&lt;m:r&gt;&lt;w:rPr&gt;&lt;w:rFonts w:ascii=&quot;Cambria Math&quot;/&gt;&lt;wx:font wx:val=&quot;Cambria Math&quot;/&gt;&lt;w:i/&gt;&lt;w:lang w:val=&quot;EN-US&quot;/&gt;&lt;/w:rPr&gt;&lt;m:t&gt;+ &lt;/m:t&gt;&lt;/m:r&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Î²&lt;/m:t&gt;&lt;/m:r&gt;&lt;/m:e&gt;&lt;m:sub&gt;&lt;m:r&gt;&lt;w:rPr&gt;&lt;w:rFonts w:ascii=&quot;Cambria Math&quot;/&gt;&lt;wx:font wx:val=&quot;Cambria Math&quot;/&gt;&lt;w:i/&gt;&lt;w:lang w:val=&quot;EN-US&quot;/&gt;&lt;/w:rPr&gt;&lt;m:t&gt;2&lt;/m:t&gt;&lt;/m:r&gt;&lt;/m:sub&gt;&lt;/m:sSub&gt;&lt;m:r&gt;&lt;w:rPr&gt;&lt;w:rFonts w:ascii=&quot;Cambria Math&quot;/&gt;&lt;wx:font wx:val=&quot;Cambria Math&quot;/&gt;&lt;w:i/&gt;&lt;w:lang w:val=&quot;EN-US&quot;/&gt;&lt;/w:rPr&gt;&lt;m:t&gt; &lt;/m:t&gt;&lt;/m:r&gt;&lt;m:d&gt;&lt;m:dPr&gt;&lt;m:ctrlPr&gt;&lt;w:rPr&gt;&lt;w:rFonts w:ascii=&quot;Cambria Math&quot; w:h-ansi=&quot;Cambria Math&quot;/&gt;&lt;wx:font wx:val=&quot;Cambria Math&quot;/&gt;&lt;w:i/&gt;&lt;w:lang w:val=&quot;EN-US&quot;/&gt;&lt;/w:rPr&gt;&lt;/m:ctrlPr&gt;&lt;/m:dPr&gt;&lt;m:e&gt;&lt;m:sSub&gt;&lt;m:sSubPr&gt;&lt;m:ctrlPr&gt;&lt;w:rPr&gt;&lt;w:rFonts w:ascii=&quot;Cambria Math&quot; w:h-ansi=&quot;Cambria Math&quot;/&gt;&lt;wx:font wx:val=&quot;Cambria Math&quot;/&gt;&lt;w:i/&gt;&lt;w:lang w:val=&quot;EN-US&quot;/&gt;&lt;/w:rPr&gt;&lt;/m:ctrlPr&gt;&lt;/m:sSubPr&gt;&lt;m:e&gt;&lt;m:r&gt;&lt;w:rPr&gt;&lt;w:rFonts w:ascii=&quot;Cambria Math&quot;/&gt;&lt;w:i/&gt;&lt;w:lang w:val=&quot;EN-US&quot;/&gt;&lt;/w:rPr&gt;&lt;m:t&gt;âˆ†&lt;/m:t&gt;&lt;/m:r&gt;&lt;m:r&gt;&lt;w:rPr&gt;&lt;w:rFonts w:ascii=&quot;Cambria Math&quot;/&gt;&lt;wx:font wx:val=&quot;Cambria Math&quot;/&gt;&lt;w:i/&gt;&lt;w:lang w:val=&quot;EN-US&quot;/&gt;&lt;/w:rPr&gt;&lt;m:t&gt; &lt;/m:t&gt;&lt;/m:r&gt;&lt;m:r&gt;&lt;w:rPr&gt;&lt;w:rFonts w:ascii=&quot;Cambria Math&quot; w:h-ansi=&quot;Cambria Math&quot;/&gt;&lt;wx:font wx:val=&quot;Cambria Math&quot;/&gt;&lt;w:i/&gt;&lt;w:lang w:val=&quot;EN-US&quot;/&gt;&lt;/w:rPr&gt;&lt;m:t&gt;REV&lt;/m:t&gt;&lt;/m:r&gt;&lt;/m:e&gt;&lt;m:sub&gt;&lt;m:r&gt;&lt;w:rPr&gt;&lt;w:rFonts w:ascii=&quot;Cambria Math&quot; w:h-ansi=&quot;Cambria Math&quot;/&gt;&lt;wx:font wx:val=&quot;Cambria Math&quot;/&gt;&lt;w:i/&gt;&lt;w:lang w:val=&quot;EN-US&quot;/&gt;&lt;/w:rPr&gt;&lt;m:t&gt;it&lt;/m:t&gt;&lt;/m:r&gt;&lt;/m:sub&gt;&lt;/m:sSub&gt;&lt;m:r&gt;&lt;w:rPr&gt;&lt;w:rFonts w:ascii=&quot;Cambria Math&quot;/&gt;&lt;w:i/&gt;&lt;w:lang w:val=&quot;EN-US&quot;/&gt;&lt;/w:rPr&gt;&lt;m:t&gt;-&lt;/m:t&gt;&lt;/m:r&gt;&lt;m:sSub&gt;&lt;m:sSubPr&gt;&lt;m:ctrlPr&gt;&lt;w:rPr&gt;&lt;w:rFonts w:ascii=&quot;Cambria Math&quot; w:h-ansi=&quot;Cambria Math&quot;/&gt;&lt;wx:font wx:val=&quot;Cambria Math&quot;/&gt;&lt;w:i/&gt;&lt;w:lang w:val=&quot;EN-US&quot;/&gt;&lt;/w:rPr&gt;&lt;/m:ctrlPr&gt;&lt;/m:sSubPr&gt;&lt;m:e&gt;&lt;m:r&gt;&lt;w:rPr&gt;&lt;w:rFonts w:ascii=&quot;Cambria Math&quot;/&gt;&lt;w:i/&gt;&lt;w:lang w:val=&quot;EN-US&quot;/&gt;&lt;/w:rPr&gt;&lt;m:t&gt;âˆ†&lt;/m:t&gt;&lt;/m:r&gt;&lt;m:r&gt;&lt;w:rPr&gt;&lt;w:rFonts w:ascii=&quot;Cambria Math&quot; w:h-ansi=&quot;Cambria Math&quot;/&gt;&lt;wx:font wx:val=&quot;Cambria Math&quot;/&gt;&lt;w:i/&gt;&lt;w:lang w:val=&quot;EN-US&quot;/&gt;&lt;/w:rPr&gt;&lt;m:t&gt;REC&lt;/m:t&gt;&lt;/m:r&gt;&lt;/m:e&gt;&lt;m:sub&gt;&lt;m:r&gt;&lt;w:rPr&gt;&lt;w:rFonts w:ascii=&quot;Cambria Math&quot; w:h-ansi=&quot;Cambria Math&quot;/&gt;&lt;wx:font wx:val=&quot;Cambria Math&quot;/&gt;&lt;w:i/&gt;&lt;w:lang w:val=&quot;EN-US&quot;/&gt;&lt;/w:rPr&gt;&lt;m:t&gt;it&lt;/m:t&gt;&lt;/m:r&gt;&lt;/m:sub&gt;&lt;/m:sSub&gt;&lt;/m:e&gt;&lt;/m:d&gt;&lt;m:r&gt;&lt;w:rPr&gt;&lt;w:rFonts w:ascii=&quot;Cambria Math&quot;/&gt;&lt;wx:font wx:val=&quot;Cambria Math&quot;/&gt;&lt;w:i/&gt;&lt;w:lang w:val=&quot;EN-US&quot;/&gt;&lt;/w:rPr&gt;&lt;m:t&gt;+ &lt;/m:t&gt;&lt;/m:r&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Î²&lt;/m:t&gt;&lt;/m:r&gt;&lt;/m:e&gt;&lt;m:sub&gt;&lt;m:r&gt;&lt;w:rPr&gt;&lt;w:rFonts w:ascii=&quot;Cambria Math&quot;/&gt;&lt;wx:font wx:val=&quot;Cambria Math&quot;/&gt;&lt;w:i/&gt;&lt;w:lang w:val=&quot;EN-US&quot;/&gt;&lt;/w:rPr&gt;&lt;m:t&gt;3&lt;/m:t&gt;&lt;/m:r&gt;&lt;/m:sub&gt;&lt;/m:sSub&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PPE&lt;/m:t&gt;&lt;/m:r&gt;&lt;/m:e&gt;&lt;m:sub&gt;&lt;m:r&gt;&lt;w:rPr&gt;&lt;w:rFonts w:ascii=&quot;Cambria Math&quot; w:h-ansi=&quot;Cambria Math&quot;/&gt;&lt;wx:font wx:val=&quot;Cambria Math&quot;/&gt;&lt;w:i/&gt;&lt;w:lang w:val=&quot;EN-US&quot;/&gt;&lt;/w:rPr&gt;&lt;m:t&gt;it&lt;/m:t&gt;&lt;/m:r&gt;&lt;/m:sub&gt;&lt;/m:sSub&gt;&lt;m:r&gt;&lt;w:rPr&gt;&lt;w:rFonts w:ascii=&quot;Cambria Math&quot;/&gt;&lt;wx:font wx:val=&quot;Cambria Math&quot;/&gt;&lt;w:i/&gt;&lt;w:lang w:val=&quot;EN-US&quot;/&gt;&lt;/w:rPr&gt;&lt;m:t&gt;+ &lt;/m:t&gt;&lt;/m:r&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Î²&lt;/m:t&gt;&lt;/m:r&gt;&lt;/m:e&gt;&lt;m:sub&gt;&lt;m:r&gt;&lt;w:rPr&gt;&lt;w:rFonts w:ascii=&quot;Cambria Math&quot;/&gt;&lt;wx:font wx:val=&quot;Cambria Math&quot;/&gt;&lt;w:i/&gt;&lt;w:lang w:val=&quot;EN-US&quot;/&gt;&lt;/w:rPr&gt;&lt;m:t&gt;4&lt;/m:t&gt;&lt;/m:r&gt;&lt;/m:sub&gt;&lt;/m:sSub&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ROA&lt;/m:t&gt;&lt;/m:r&gt;&lt;/m:e&gt;&lt;m:sub&gt;&lt;m:r&gt;&lt;w:rPr&gt;&lt;w:rFonts w:ascii=&quot;Cambria Math&quot; w:h-ansi=&quot;Cambria Math&quot;/&gt;&lt;wx:font wx:val=&quot;Cambria Math&quot;/&gt;&lt;w:i/&gt;&lt;w:lang w:val=&quot;EN-US&quot;/&gt;&lt;/w:rPr&gt;&lt;m:t&gt;it&lt;/m:t&gt;&lt;/m:r&gt;&lt;/m:sub&gt;&lt;/m:sSub&gt;&lt;m:r&gt;&lt;w:rPr&gt;&lt;w:rFonts w:ascii=&quot;Cambria Math&quot;/&gt;&lt;wx:font wx:val=&quot;Cambria Math&quot;/&gt;&lt;w:i/&gt;&lt;w:lang w:val=&quot;EN-US&quot;/&gt;&lt;/w:rPr&gt;&lt;m:t&gt;+ &lt;/m:t&gt;&lt;/m:r&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Îµ&lt;/m:t&gt;&lt;/m:r&gt;&lt;/m:e&gt;&lt;m:sub&gt;&lt;m:r&gt;&lt;w:rPr&gt;&lt;w:rFonts w:ascii=&quot;Cambria Math&quot; w:h-ansi=&quot;Cambria Math&quot;/&gt;&lt;wx:font wx:val=&quot;Cambria Math&quot;/&gt;&lt;w:i/&gt;&lt;w:lang w:val=&quot;EN-US&quot;/&gt;&lt;/w:rPr&gt;&lt;m:t&gt;it&lt;/m:t&gt;&lt;/m:r&gt;&lt;/m:sub&gt;&lt;/m:sSub&gt;&lt;m:r&gt;&lt;w:rPr&gt;&lt;w:rFonts w:ascii=&quot;Cambria Math&quot;/&gt;&lt;wx:font wx:val=&quot;Cambria Math&quot;/&gt;&lt;w:i/&gt;&lt;w:lang w:val=&quot;EN-US&quot;/&gt;&lt;/w:rPr&gt;&lt;m:t&gt; &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4" o:title="" chromakey="white"/>
          </v:shape>
        </w:pict>
      </w:r>
      <w:r w:rsidRPr="006E06F2">
        <w:rPr>
          <w:lang w:val="en-US"/>
        </w:rPr>
        <w:fldChar w:fldCharType="end"/>
      </w:r>
      <w:r w:rsidRPr="003E7C8B">
        <w:rPr>
          <w:lang w:val="en-US"/>
        </w:rPr>
        <w:tab/>
        <w:t>(2)</w:t>
      </w:r>
    </w:p>
    <w:p w:rsidR="00334F38" w:rsidRDefault="00334F38" w:rsidP="00182D6E">
      <w:pPr>
        <w:autoSpaceDE w:val="0"/>
        <w:autoSpaceDN w:val="0"/>
        <w:adjustRightInd w:val="0"/>
        <w:spacing w:line="360" w:lineRule="auto"/>
        <w:jc w:val="both"/>
        <w:rPr>
          <w:i/>
          <w:lang w:val="en-US"/>
        </w:rPr>
      </w:pPr>
    </w:p>
    <w:p w:rsidR="00334F38" w:rsidRDefault="00334F38" w:rsidP="00182D6E">
      <w:pPr>
        <w:autoSpaceDE w:val="0"/>
        <w:autoSpaceDN w:val="0"/>
        <w:adjustRightInd w:val="0"/>
        <w:spacing w:line="360" w:lineRule="auto"/>
        <w:jc w:val="both"/>
        <w:rPr>
          <w:i/>
          <w:lang w:val="en-US"/>
        </w:rPr>
      </w:pPr>
      <w:r w:rsidRPr="0092566B">
        <w:rPr>
          <w:i/>
          <w:lang w:val="en-US"/>
        </w:rPr>
        <w:t>5.5 Estimating</w:t>
      </w:r>
      <w:r>
        <w:rPr>
          <w:i/>
          <w:lang w:val="en-US"/>
        </w:rPr>
        <w:t xml:space="preserve"> Performance Matched</w:t>
      </w:r>
      <w:r w:rsidRPr="0092566B">
        <w:rPr>
          <w:i/>
          <w:lang w:val="en-US"/>
        </w:rPr>
        <w:t xml:space="preserve"> Discretionary A</w:t>
      </w:r>
      <w:r>
        <w:rPr>
          <w:i/>
          <w:lang w:val="en-US"/>
        </w:rPr>
        <w:t>ccruals</w:t>
      </w:r>
      <w:r>
        <w:rPr>
          <w:i/>
          <w:lang w:val="en-US"/>
        </w:rPr>
        <w:fldChar w:fldCharType="begin"/>
      </w:r>
      <w:r w:rsidRPr="004B1DBF">
        <w:rPr>
          <w:lang w:val="en-US"/>
        </w:rPr>
        <w:instrText>tc "</w:instrText>
      </w:r>
      <w:bookmarkStart w:id="80" w:name="_Toc258079466"/>
      <w:r w:rsidRPr="00B74842">
        <w:rPr>
          <w:i/>
          <w:lang w:val="en-US"/>
        </w:rPr>
        <w:instrText>5.5 Estimating Performance Matched Discretionary Accruals</w:instrText>
      </w:r>
      <w:bookmarkEnd w:id="80"/>
      <w:r w:rsidRPr="004B1DBF">
        <w:rPr>
          <w:lang w:val="en-US"/>
        </w:rPr>
        <w:instrText>" \f C \l 2</w:instrText>
      </w:r>
      <w:r>
        <w:rPr>
          <w:i/>
          <w:lang w:val="en-US"/>
        </w:rPr>
        <w:fldChar w:fldCharType="end"/>
      </w:r>
      <w:r>
        <w:rPr>
          <w:i/>
          <w:lang w:val="en-US"/>
        </w:rPr>
        <w:t xml:space="preserve"> </w:t>
      </w:r>
    </w:p>
    <w:p w:rsidR="00334F38" w:rsidRDefault="00334F38" w:rsidP="00182D6E">
      <w:pPr>
        <w:autoSpaceDE w:val="0"/>
        <w:autoSpaceDN w:val="0"/>
        <w:adjustRightInd w:val="0"/>
        <w:spacing w:line="360" w:lineRule="auto"/>
        <w:jc w:val="both"/>
        <w:rPr>
          <w:lang w:val="en-US"/>
        </w:rPr>
      </w:pPr>
      <w:r>
        <w:rPr>
          <w:lang w:val="en-US"/>
        </w:rPr>
        <w:t xml:space="preserve">To estimate the discretionary accruals on the basis of performance matching I will use a four step process as used by B.Cotten(2008) in his research on earnings management prior to initial public offering. The first step requires determining the level of total accruals, which is represented by equation 3 (direct method) below; </w:t>
      </w:r>
    </w:p>
    <w:p w:rsidR="00334F38" w:rsidRDefault="00334F38" w:rsidP="00182D6E">
      <w:pPr>
        <w:autoSpaceDE w:val="0"/>
        <w:autoSpaceDN w:val="0"/>
        <w:adjustRightInd w:val="0"/>
        <w:spacing w:line="360" w:lineRule="auto"/>
        <w:jc w:val="both"/>
        <w:rPr>
          <w:lang w:val="en-US"/>
        </w:rPr>
      </w:pPr>
    </w:p>
    <w:p w:rsidR="00334F38" w:rsidRPr="00DF233D" w:rsidRDefault="00334F38" w:rsidP="00182D6E">
      <w:pPr>
        <w:autoSpaceDE w:val="0"/>
        <w:autoSpaceDN w:val="0"/>
        <w:adjustRightInd w:val="0"/>
        <w:spacing w:line="360" w:lineRule="auto"/>
        <w:jc w:val="both"/>
        <w:rPr>
          <w:lang w:val="en-US"/>
        </w:rPr>
      </w:pPr>
      <w:r>
        <w:rPr>
          <w:lang w:val="en-US"/>
        </w:rPr>
        <w:t xml:space="preserve">      </w:t>
      </w:r>
      <w:r w:rsidRPr="006E06F2">
        <w:rPr>
          <w:lang w:val="en-US"/>
        </w:rPr>
        <w:fldChar w:fldCharType="begin"/>
      </w:r>
      <w:r w:rsidRPr="006E06F2">
        <w:rPr>
          <w:lang w:val="en-US"/>
        </w:rPr>
        <w:instrText xml:space="preserve"> QUOTE </w:instrText>
      </w:r>
      <w:r w:rsidRPr="006E06F2">
        <w:pict>
          <v:shape id="_x0000_i1041" type="#_x0000_t75" style="width:237pt;height:1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B138C&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EB138C&quot;&gt;&lt;m:oMathPara&gt;&lt;m:oMath&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TA&lt;/m:t&gt;&lt;/m:r&gt;&lt;/m:e&gt;&lt;m:sub&gt;&lt;m:r&gt;&lt;w:rPr&gt;&lt;w:rFonts w:ascii=&quot;Cambria Math&quot; w:h-ansi=&quot;Cambria Math&quot;/&gt;&lt;wx:font wx:val=&quot;Cambria Math&quot;/&gt;&lt;w:i/&gt;&lt;w:lang w:val=&quot;EN-US&quot;/&gt;&lt;/w:rPr&gt;&lt;m:t&gt;i,t&lt;/m:t&gt;&lt;/m:r&gt;&lt;/m:sub&gt;&lt;/m:sSub&gt;&lt;m:r&gt;&lt;w:rPr&gt;&lt;w:rFonts w:ascii=&quot;Cambria Math&quot; w:h-ansi=&quot;Cambria Math&quot;/&gt;&lt;wx:font wx:val=&quot;Cambria Math&quot;/&gt;&lt;w:i/&gt;&lt;w:lang w:val=&quot;EN-US&quot;/&gt;&lt;/w:rPr&gt;&lt;m:t&gt;=&lt;/m:t&gt;&lt;/m:r&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EXBI&lt;/m:t&gt;&lt;/m:r&gt;&lt;/m:e&gt;&lt;m:sub&gt;&lt;m:r&gt;&lt;w:rPr&gt;&lt;w:rFonts w:ascii=&quot;Cambria Math&quot; w:h-ansi=&quot;Cambria Math&quot;/&gt;&lt;wx:font wx:val=&quot;Cambria Math&quot;/&gt;&lt;w:i/&gt;&lt;w:lang w:val=&quot;EN-US&quot;/&gt;&lt;/w:rPr&gt;&lt;m:t&gt;i,t &lt;/m:t&gt;&lt;/m:r&gt;&lt;/m:sub&gt;&lt;/m:sSub&gt;&lt;m:r&gt;&lt;w:rPr&gt;&lt;w:rFonts w:ascii=&quot;Cambria Math&quot; w:h-ansi=&quot;Cambria Math&quot;/&gt;&lt;wx:font wx:val=&quot;Cambria Math&quot;/&gt;&lt;w:i/&gt;&lt;w:lang w:val=&quot;EN-US&quot;/&gt;&lt;/w:rPr&gt;&lt;m:t&gt;â€“ &lt;/m:t&gt;&lt;/m:r&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CFO&lt;/m:t&gt;&lt;/m:r&gt;&lt;/m:e&gt;&lt;m:sub&gt;&lt;m:r&gt;&lt;w:rPr&gt;&lt;w:rFonts w:ascii=&quot;Cambria Math&quot; w:h-ansi=&quot;Cambria Math&quot;/&gt;&lt;wx:font wx:val=&quot;Cambria Math&quot;/&gt;&lt;w:i/&gt;&lt;w:lang w:val=&quot;EN-US&quot;/&gt;&lt;/w:rPr&gt;&lt;m:t&gt;i,t&lt;/m:t&gt;&lt;/m:r&gt;&lt;/m:sub&gt;&lt;/m:sSub&gt;&lt;m:r&gt;&lt;w:rPr&gt;&lt;w:rFonts w:ascii=&quot;Cambria Math&quot; w:h-ansi=&quot;Cambria Math&quot;/&gt;&lt;wx:font wx:val=&quot;Cambria Math&quot;/&gt;&lt;w:i/&gt;&lt;w:lang w:val=&quot;EN-US&quot;/&gt;&lt;/w:rPr&gt;&lt;m:t&gt;                                                   &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5" o:title="" chromakey="white"/>
          </v:shape>
        </w:pict>
      </w:r>
      <w:r w:rsidRPr="006E06F2">
        <w:rPr>
          <w:lang w:val="en-US"/>
        </w:rPr>
        <w:instrText xml:space="preserve"> </w:instrText>
      </w:r>
      <w:r w:rsidRPr="006E06F2">
        <w:rPr>
          <w:lang w:val="en-US"/>
        </w:rPr>
        <w:fldChar w:fldCharType="separate"/>
      </w:r>
      <w:r w:rsidRPr="006E06F2">
        <w:pict>
          <v:shape id="_x0000_i1042" type="#_x0000_t75" style="width:237pt;height:1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B138C&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EB138C&quot;&gt;&lt;m:oMathPara&gt;&lt;m:oMath&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TA&lt;/m:t&gt;&lt;/m:r&gt;&lt;/m:e&gt;&lt;m:sub&gt;&lt;m:r&gt;&lt;w:rPr&gt;&lt;w:rFonts w:ascii=&quot;Cambria Math&quot; w:h-ansi=&quot;Cambria Math&quot;/&gt;&lt;wx:font wx:val=&quot;Cambria Math&quot;/&gt;&lt;w:i/&gt;&lt;w:lang w:val=&quot;EN-US&quot;/&gt;&lt;/w:rPr&gt;&lt;m:t&gt;i,t&lt;/m:t&gt;&lt;/m:r&gt;&lt;/m:sub&gt;&lt;/m:sSub&gt;&lt;m:r&gt;&lt;w:rPr&gt;&lt;w:rFonts w:ascii=&quot;Cambria Math&quot; w:h-ansi=&quot;Cambria Math&quot;/&gt;&lt;wx:font wx:val=&quot;Cambria Math&quot;/&gt;&lt;w:i/&gt;&lt;w:lang w:val=&quot;EN-US&quot;/&gt;&lt;/w:rPr&gt;&lt;m:t&gt;=&lt;/m:t&gt;&lt;/m:r&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EXBI&lt;/m:t&gt;&lt;/m:r&gt;&lt;/m:e&gt;&lt;m:sub&gt;&lt;m:r&gt;&lt;w:rPr&gt;&lt;w:rFonts w:ascii=&quot;Cambria Math&quot; w:h-ansi=&quot;Cambria Math&quot;/&gt;&lt;wx:font wx:val=&quot;Cambria Math&quot;/&gt;&lt;w:i/&gt;&lt;w:lang w:val=&quot;EN-US&quot;/&gt;&lt;/w:rPr&gt;&lt;m:t&gt;i,t &lt;/m:t&gt;&lt;/m:r&gt;&lt;/m:sub&gt;&lt;/m:sSub&gt;&lt;m:r&gt;&lt;w:rPr&gt;&lt;w:rFonts w:ascii=&quot;Cambria Math&quot; w:h-ansi=&quot;Cambria Math&quot;/&gt;&lt;wx:font wx:val=&quot;Cambria Math&quot;/&gt;&lt;w:i/&gt;&lt;w:lang w:val=&quot;EN-US&quot;/&gt;&lt;/w:rPr&gt;&lt;m:t&gt;â€“ &lt;/m:t&gt;&lt;/m:r&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CFO&lt;/m:t&gt;&lt;/m:r&gt;&lt;/m:e&gt;&lt;m:sub&gt;&lt;m:r&gt;&lt;w:rPr&gt;&lt;w:rFonts w:ascii=&quot;Cambria Math&quot; w:h-ansi=&quot;Cambria Math&quot;/&gt;&lt;wx:font wx:val=&quot;Cambria Math&quot;/&gt;&lt;w:i/&gt;&lt;w:lang w:val=&quot;EN-US&quot;/&gt;&lt;/w:rPr&gt;&lt;m:t&gt;i,t&lt;/m:t&gt;&lt;/m:r&gt;&lt;/m:sub&gt;&lt;/m:sSub&gt;&lt;m:r&gt;&lt;w:rPr&gt;&lt;w:rFonts w:ascii=&quot;Cambria Math&quot; w:h-ansi=&quot;Cambria Math&quot;/&gt;&lt;wx:font wx:val=&quot;Cambria Math&quot;/&gt;&lt;w:i/&gt;&lt;w:lang w:val=&quot;EN-US&quot;/&gt;&lt;/w:rPr&gt;&lt;m:t&gt;                                                   &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5" o:title="" chromakey="white"/>
          </v:shape>
        </w:pict>
      </w:r>
      <w:r w:rsidRPr="006E06F2">
        <w:rPr>
          <w:lang w:val="en-US"/>
        </w:rPr>
        <w:fldChar w:fldCharType="end"/>
      </w:r>
      <w:r>
        <w:rPr>
          <w:lang w:val="en-US"/>
        </w:rPr>
        <w:t xml:space="preserve">                                                       (3)</w:t>
      </w:r>
    </w:p>
    <w:p w:rsidR="00334F38" w:rsidRDefault="00334F38" w:rsidP="00182D6E">
      <w:pPr>
        <w:autoSpaceDE w:val="0"/>
        <w:autoSpaceDN w:val="0"/>
        <w:adjustRightInd w:val="0"/>
        <w:spacing w:line="360" w:lineRule="auto"/>
        <w:jc w:val="both"/>
        <w:rPr>
          <w:lang w:val="en-US"/>
        </w:rPr>
      </w:pPr>
      <w:r w:rsidRPr="006E06F2">
        <w:pict>
          <v:shape id="_x0000_i1043" type="#_x0000_t75" style="width:4.5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26B5&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EA26B5&quot;&gt;&lt;m:oMathPara&gt;&lt;m:oMath&gt;&lt;m:r&gt;&lt;w:rPr&gt;&lt;w:rFonts w:ascii=&quot;Cambria Math&quot; w:h-ansi=&quot;Cambria Math&quot;/&gt;&lt;wx:font wx:val=&quot;Cambria Math&quot;/&gt;&lt;w:i/&gt;&lt;w:lang w:val=&quot;EN-US&quot;/&gt;&lt;/w:rPr&gt;&lt;m:t&gt; &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6" o:title="" chromakey="white"/>
          </v:shape>
        </w:pict>
      </w:r>
    </w:p>
    <w:p w:rsidR="00334F38" w:rsidRDefault="00334F38" w:rsidP="00182D6E">
      <w:pPr>
        <w:autoSpaceDE w:val="0"/>
        <w:autoSpaceDN w:val="0"/>
        <w:adjustRightInd w:val="0"/>
        <w:spacing w:line="360" w:lineRule="auto"/>
        <w:jc w:val="both"/>
        <w:rPr>
          <w:lang w:val="en-US"/>
        </w:rPr>
      </w:pPr>
      <w:r>
        <w:rPr>
          <w:lang w:val="en-US"/>
        </w:rPr>
        <w:t>Where:</w:t>
      </w:r>
    </w:p>
    <w:p w:rsidR="00334F38" w:rsidRPr="004F42C2" w:rsidRDefault="00334F38" w:rsidP="00182D6E">
      <w:pPr>
        <w:autoSpaceDE w:val="0"/>
        <w:autoSpaceDN w:val="0"/>
        <w:adjustRightInd w:val="0"/>
        <w:spacing w:line="360" w:lineRule="auto"/>
        <w:jc w:val="both"/>
        <w:rPr>
          <w:rFonts w:ascii="Cambria" w:hAnsi="Cambria"/>
          <w:sz w:val="20"/>
          <w:szCs w:val="20"/>
          <w:lang w:val="en-US"/>
        </w:rPr>
      </w:pPr>
      <w:r w:rsidRPr="004F42C2">
        <w:rPr>
          <w:rFonts w:ascii="Cambria" w:hAnsi="Cambria"/>
          <w:sz w:val="20"/>
          <w:szCs w:val="20"/>
          <w:lang w:val="en-US"/>
        </w:rPr>
        <w:t>TA     = Total accruals</w:t>
      </w:r>
    </w:p>
    <w:p w:rsidR="00334F38" w:rsidRPr="004F42C2" w:rsidRDefault="00334F38" w:rsidP="00182D6E">
      <w:pPr>
        <w:autoSpaceDE w:val="0"/>
        <w:autoSpaceDN w:val="0"/>
        <w:adjustRightInd w:val="0"/>
        <w:spacing w:line="360" w:lineRule="auto"/>
        <w:jc w:val="both"/>
        <w:rPr>
          <w:rFonts w:ascii="Cambria" w:hAnsi="Cambria"/>
          <w:sz w:val="20"/>
          <w:szCs w:val="20"/>
          <w:lang w:val="en-US"/>
        </w:rPr>
      </w:pPr>
      <w:r w:rsidRPr="004F42C2">
        <w:rPr>
          <w:rFonts w:ascii="Cambria" w:hAnsi="Cambria"/>
          <w:sz w:val="20"/>
          <w:szCs w:val="20"/>
          <w:lang w:val="en-US"/>
        </w:rPr>
        <w:t>EXBI = Income before extraordinary items and discontinued operations</w:t>
      </w:r>
    </w:p>
    <w:p w:rsidR="00334F38" w:rsidRDefault="00334F38" w:rsidP="00182D6E">
      <w:pPr>
        <w:autoSpaceDE w:val="0"/>
        <w:autoSpaceDN w:val="0"/>
        <w:adjustRightInd w:val="0"/>
        <w:spacing w:line="360" w:lineRule="auto"/>
        <w:jc w:val="both"/>
        <w:rPr>
          <w:lang w:val="en-US"/>
        </w:rPr>
      </w:pPr>
      <w:r w:rsidRPr="004F42C2">
        <w:rPr>
          <w:rFonts w:ascii="Cambria" w:hAnsi="Cambria"/>
          <w:sz w:val="20"/>
          <w:szCs w:val="20"/>
          <w:lang w:val="en-US"/>
        </w:rPr>
        <w:t>CFO   =Cash flow from operations</w:t>
      </w:r>
    </w:p>
    <w:p w:rsidR="00334F38" w:rsidRDefault="00334F38" w:rsidP="00182D6E">
      <w:pPr>
        <w:autoSpaceDE w:val="0"/>
        <w:autoSpaceDN w:val="0"/>
        <w:adjustRightInd w:val="0"/>
        <w:spacing w:line="360" w:lineRule="auto"/>
        <w:jc w:val="both"/>
        <w:rPr>
          <w:rFonts w:ascii="Cambria" w:hAnsi="Cambria"/>
          <w:sz w:val="20"/>
          <w:szCs w:val="20"/>
          <w:lang w:val="en-US"/>
        </w:rPr>
      </w:pPr>
      <w:r w:rsidRPr="004F42C2">
        <w:rPr>
          <w:rFonts w:ascii="Cambria" w:hAnsi="Cambria"/>
          <w:sz w:val="20"/>
          <w:szCs w:val="20"/>
          <w:lang w:val="en-US"/>
        </w:rPr>
        <w:t xml:space="preserve">The CFO is determined by subtracting the ‘extraordinary items and discontinued operations’ from the net cash flow of operating activities. </w:t>
      </w:r>
      <w:r>
        <w:rPr>
          <w:rFonts w:ascii="Cambria" w:hAnsi="Cambria"/>
          <w:sz w:val="20"/>
          <w:szCs w:val="20"/>
          <w:lang w:val="en-US"/>
        </w:rPr>
        <w:t xml:space="preserve">The </w:t>
      </w:r>
      <w:r w:rsidRPr="004F42C2">
        <w:rPr>
          <w:rFonts w:ascii="Cambria" w:hAnsi="Cambria"/>
          <w:sz w:val="20"/>
          <w:szCs w:val="20"/>
          <w:lang w:val="en-US"/>
        </w:rPr>
        <w:t xml:space="preserve">i and t are firm and time superscripts, respectively. </w:t>
      </w:r>
    </w:p>
    <w:p w:rsidR="00334F38" w:rsidRPr="004F42C2" w:rsidRDefault="00334F38" w:rsidP="00182D6E">
      <w:pPr>
        <w:autoSpaceDE w:val="0"/>
        <w:autoSpaceDN w:val="0"/>
        <w:adjustRightInd w:val="0"/>
        <w:spacing w:line="360" w:lineRule="auto"/>
        <w:jc w:val="both"/>
        <w:rPr>
          <w:rFonts w:ascii="Cambria" w:hAnsi="Cambria"/>
          <w:sz w:val="20"/>
          <w:szCs w:val="20"/>
          <w:lang w:val="en-US"/>
        </w:rPr>
      </w:pPr>
    </w:p>
    <w:p w:rsidR="00334F38" w:rsidRDefault="00334F38" w:rsidP="00113B5B">
      <w:pPr>
        <w:autoSpaceDE w:val="0"/>
        <w:autoSpaceDN w:val="0"/>
        <w:adjustRightInd w:val="0"/>
        <w:spacing w:line="360" w:lineRule="auto"/>
        <w:rPr>
          <w:lang w:val="en-US" w:eastAsia="en-US"/>
        </w:rPr>
      </w:pPr>
      <w:r>
        <w:rPr>
          <w:lang w:val="en-US"/>
        </w:rPr>
        <w:t>Use of the direct method over the balance sheet method</w:t>
      </w:r>
      <w:r>
        <w:rPr>
          <w:rStyle w:val="FootnoteReference"/>
          <w:lang w:val="en-US"/>
        </w:rPr>
        <w:footnoteReference w:id="24"/>
      </w:r>
      <w:r>
        <w:rPr>
          <w:lang w:val="en-US"/>
        </w:rPr>
        <w:t xml:space="preserve"> is recommended by Cotton (2008) and Hribar and Collins (2002) due to the fact that the balance sheet method has a tendency to produce substantial errors in accrual estimation. Particularly, if the variable used to indicate </w:t>
      </w:r>
      <w:r>
        <w:rPr>
          <w:lang w:val="en-US" w:eastAsia="en-US"/>
        </w:rPr>
        <w:t xml:space="preserve">whether earnings management is present, is correlated with discontinued operations or the occurrence of mergers and acquisitions, researchers might erroneously conclude the existence of earnings management when there is none. </w:t>
      </w:r>
    </w:p>
    <w:p w:rsidR="00334F38" w:rsidRDefault="00334F38" w:rsidP="00C3324E">
      <w:pPr>
        <w:autoSpaceDE w:val="0"/>
        <w:autoSpaceDN w:val="0"/>
        <w:adjustRightInd w:val="0"/>
        <w:spacing w:line="360" w:lineRule="auto"/>
        <w:jc w:val="both"/>
        <w:rPr>
          <w:lang w:val="en-US"/>
        </w:rPr>
      </w:pPr>
      <w:r>
        <w:rPr>
          <w:lang w:val="en-US"/>
        </w:rPr>
        <w:t>The second step consists of estimating the non-discretionary accruals using equation 4 and 5, where these equations represent the cross-sectional modified Jones model. The non-discretionary part of accruals is calculated using the following equation;</w:t>
      </w:r>
    </w:p>
    <w:p w:rsidR="00334F38" w:rsidRDefault="00334F38" w:rsidP="00C3324E">
      <w:pPr>
        <w:autoSpaceDE w:val="0"/>
        <w:autoSpaceDN w:val="0"/>
        <w:adjustRightInd w:val="0"/>
        <w:spacing w:line="360" w:lineRule="auto"/>
        <w:jc w:val="both"/>
        <w:rPr>
          <w:lang w:val="en-US"/>
        </w:rPr>
      </w:pPr>
    </w:p>
    <w:p w:rsidR="00334F38" w:rsidRPr="00C3324E" w:rsidRDefault="00334F38" w:rsidP="00C3324E">
      <w:pPr>
        <w:autoSpaceDE w:val="0"/>
        <w:autoSpaceDN w:val="0"/>
        <w:adjustRightInd w:val="0"/>
        <w:spacing w:line="360" w:lineRule="auto"/>
        <w:jc w:val="both"/>
        <w:rPr>
          <w:sz w:val="22"/>
          <w:szCs w:val="22"/>
          <w:lang w:val="en-US"/>
        </w:rPr>
      </w:pPr>
      <w:r w:rsidRPr="006E06F2">
        <w:pict>
          <v:shape id="_x0000_i1044" type="#_x0000_t75" style="width:315pt;height:26.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07F8B&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807F8B&quot;&gt;&lt;m:oMathPara&gt;&lt;m:oMath&gt;&lt;m:sSub&gt;&lt;m:sSubPr&gt;&lt;m:ctrlPr&gt;&lt;w:rPr&gt;&lt;w:rFonts w:ascii=&quot;Cambria Math&quot; w:h-ansi=&quot;Cambria Math&quot;/&gt;&lt;wx:font wx:val=&quot;Cambria Math&quot;/&gt;&lt;w:i/&gt;&lt;w:sz w:val=&quot;22&quot;/&gt;&lt;w:sz-cs w:val=&quot;22&quot;/&gt;&lt;w:lang w:val=&quot;EN-US&quot;/&gt;&lt;/w:rPr&gt;&lt;/m:ctrlPr&gt;&lt;/m:sSubPr&gt;&lt;m:e&gt;&lt;m:r&gt;&lt;w:rPr&gt;&lt;w:rFonts w:ascii=&quot;Cambria Math&quot; w:h-ansi=&quot;Cambria Math&quot;/&gt;&lt;wx:font wx:val=&quot;Cambria Math&quot;/&gt;&lt;w:i/&gt;&lt;w:sz w:val=&quot;22&quot;/&gt;&lt;w:sz-cs w:val=&quot;22&quot;/&gt;&lt;w:lang w:val=&quot;EN-US&quot;/&gt;&lt;/w:rPr&gt;&lt;m:t&gt;NDA&lt;/m:t&gt;&lt;/m:r&gt;&lt;/m:e&gt;&lt;m:sub&gt;&lt;m:r&gt;&lt;w:rPr&gt;&lt;w:rFonts w:ascii=&quot;Cambria Math&quot; w:h-ansi=&quot;Cambria Math&quot;/&gt;&lt;wx:font wx:val=&quot;Cambria Math&quot;/&gt;&lt;w:i/&gt;&lt;w:sz w:val=&quot;22&quot;/&gt;&lt;w:sz-cs w:val=&quot;22&quot;/&gt;&lt;w:lang w:val=&quot;EN-US&quot;/&gt;&lt;/w:rPr&gt;&lt;m:t&gt;i,t&lt;/m:t&gt;&lt;/m:r&gt;&lt;/m:sub&gt;&lt;/m:sSub&gt;&lt;m:r&gt;&lt;w:rPr&gt;&lt;w:rFonts w:ascii=&quot;Cambria Math&quot; w:h-ansi=&quot;Cambria Math&quot;/&gt;&lt;wx:font wx:val=&quot;Cambria Math&quot;/&gt;&lt;w:i/&gt;&lt;w:sz w:val=&quot;22&quot;/&gt;&lt;w:sz-cs w:val=&quot;22&quot;/&gt;&lt;w:lang w:val=&quot;EN-US&quot;/&gt;&lt;/w:rPr&gt;&lt;m:t&gt;=&lt;/m:t&gt;&lt;/m:r&gt;&lt;m:sSub&gt;&lt;m:sSubPr&gt;&lt;m:ctrlPr&gt;&lt;w:rPr&gt;&lt;w:rFonts w:ascii=&quot;Cambria Math&quot; w:h-ansi=&quot;Cambria Math&quot;/&gt;&lt;wx:font wx:val=&quot;Cambria Math&quot;/&gt;&lt;w:i/&gt;&lt;w:sz w:val=&quot;22&quot;/&gt;&lt;w:sz-cs w:val=&quot;22&quot;/&gt;&lt;w:lang w:val=&quot;EN-US&quot;/&gt;&lt;/w:rPr&gt;&lt;/m:ctrlPr&gt;&lt;/m:sSubPr&gt;&lt;m:e&gt;&lt;m:r&gt;&lt;w:rPr&gt;&lt;w:rFonts w:ascii=&quot;Cambria Math&quot; w:h-ansi=&quot;Cambria Math&quot;/&gt;&lt;wx:font wx:val=&quot;Cambria Math&quot;/&gt;&lt;w:i/&gt;&lt;w:sz w:val=&quot;22&quot;/&gt;&lt;w:sz-cs w:val=&quot;22&quot;/&gt;&lt;w:lang w:val=&quot;EN-US&quot;/&gt;&lt;/w:rPr&gt;&lt;m:t&gt;Î²&lt;/m:t&gt;&lt;/m:r&gt;&lt;m:d&gt;&lt;m:dPr&gt;&lt;m:ctrlPr&gt;&lt;w:rPr&gt;&lt;w:rFonts w:ascii=&quot;Cambria Math&quot; w:h-ansi=&quot;Cambria Math&quot;/&gt;&lt;wx:font wx:val=&quot;Cambria Math&quot;/&gt;&lt;w:i/&gt;&lt;w:sz w:val=&quot;22&quot;/&gt;&lt;w:sz-cs w:val=&quot;22&quot;/&gt;&lt;w:lang w:val=&quot;EN-US&quot;/&gt;&lt;/w:rPr&gt;&lt;/m:ctrlPr&gt;&lt;/m:dPr&gt;&lt;m:e&gt;&lt;m:r&gt;&lt;w:rPr&gt;&lt;w:rFonts w:ascii=&quot;Cambria Math&quot; w:h-ansi=&quot;Cambria Math&quot;/&gt;&lt;wx:font wx:val=&quot;Cambria Math&quot;/&gt;&lt;w:i/&gt;&lt;w:sz w:val=&quot;22&quot;/&gt;&lt;w:sz-cs w:val=&quot;22&quot;/&gt;&lt;w:lang w:val=&quot;EN-US&quot;/&gt;&lt;/w:rPr&gt;&lt;m:t&gt;est&lt;/m:t&gt;&lt;/m:r&gt;&lt;/m:e&gt;&lt;/m:d&gt;&lt;/m:e&gt;&lt;m:sub&gt;&lt;m:r&gt;&lt;w:rPr&gt;&lt;w:rFonts w:ascii=&quot;Cambria Math&quot; w:h-ansi=&quot;Cambria Math&quot;/&gt;&lt;wx:font wx:val=&quot;Cambria Math&quot;/&gt;&lt;w:i/&gt;&lt;w:sz w:val=&quot;22&quot;/&gt;&lt;w:sz-cs w:val=&quot;22&quot;/&gt;&lt;w:lang w:val=&quot;EN-US&quot;/&gt;&lt;/w:rPr&gt;&lt;m:t&gt;0, j,t&lt;/m:t&gt;&lt;/m:r&gt;&lt;/m:sub&gt;&lt;/m:sSub&gt;&lt;m:d&gt;&lt;m:dPr&gt;&lt;m:begChr m:val=&quot;[&quot;/&gt;&lt;m:endChr m:val=&quot;]&quot;/&gt;&lt;m:ctrlPr&gt;&lt;w:rPr&gt;&lt;w:rFonts w:ascii=&quot;Cambria Math&quot; w:h-ansi=&quot;Cambria Math&quot;/&gt;&lt;wx:font wx:val=&quot;Cambria Math&quot;/&gt;&lt;w:i/&gt;&lt;w:sz w:val=&quot;22&quot;/&gt;&lt;w:sz-cs w:val=&quot;22&quot;/&gt;&lt;w:lang w:val=&quot;EN-US&quot;/&gt;&lt;/w:rPr&gt;&lt;/m:ctrlPr&gt;&lt;/m:dPr&gt;&lt;m:e&gt;&lt;m:f&gt;&lt;m:fPr&gt;&lt;m:ctrlPr&gt;&lt;w:rPr&gt;&lt;w:rFonts w:ascii=&quot;Cambria Math&quot; w:h-ansi=&quot;Cambria Math&quot;/&gt;&lt;wx:font wx:val=&quot;Cambria Math&quot;/&gt;&lt;w:i/&gt;&lt;w:sz w:val=&quot;22&quot;/&gt;&lt;w:sz-cs w:val=&quot;22&quot;/&gt;&lt;w:lang w:val=&quot;EN-US&quot;/&gt;&lt;/w:rPr&gt;&lt;/m:ctrlPr&gt;&lt;/m:fPr&gt;&lt;m:num&gt;&lt;m:r&gt;&lt;w:rPr&gt;&lt;w:rFonts w:ascii=&quot;Cambria Math&quot; w:h-ansi=&quot;Cambria Math&quot;/&gt;&lt;wx:font wx:val=&quot;Cambria Math&quot;/&gt;&lt;w:i/&gt;&lt;w:sz w:val=&quot;22&quot;/&gt;&lt;w:sz-cs w:val=&quot;22&quot;/&gt;&lt;w:lang w:val=&quot;EN-US&quot;/&gt;&lt;/w:rPr&gt;&lt;m:t&gt;1&lt;/m:t&gt;&lt;/m:r&gt;&lt;/m:num&gt;&lt;m:den&gt;&lt;m:sSub&gt;&lt;m:sSubPr&gt;&lt;m:ctrlPr&gt;&lt;w:rPr&gt;&lt;w:rFonts w:ascii=&quot;Cambria Math&quot; w:h-ansi=&quot;Cambria Math&quot;/&gt;&lt;wx:font wx:val=&quot;Cambria Math&quot;/&gt;&lt;w:i/&gt;&lt;w:sz w:val=&quot;22&quot;/&gt;&lt;w:sz-cs w:val=&quot;22&quot;/&gt;&lt;w:lang w:val=&quot;EN-US&quot;/&gt;&lt;/w:rPr&gt;&lt;/m:ctrlPr&gt;&lt;/m:sSubPr&gt;&lt;m:e&gt;&lt;m:r&gt;&lt;w:rPr&gt;&lt;w:rFonts w:ascii=&quot;Cambria Math&quot; w:h-ansi=&quot;Cambria Math&quot;/&gt;&lt;wx:font wx:val=&quot;Cambria Math&quot;/&gt;&lt;w:i/&gt;&lt;w:sz w:val=&quot;22&quot;/&gt;&lt;w:sz-cs w:val=&quot;22&quot;/&gt;&lt;w:lang w:val=&quot;EN-US&quot;/&gt;&lt;/w:rPr&gt;&lt;m:t&gt;Assets&lt;/m:t&gt;&lt;/m:r&gt;&lt;/m:e&gt;&lt;m:sub&gt;&lt;m:r&gt;&lt;w:rPr&gt;&lt;w:rFonts w:ascii=&quot;Cambria Math&quot; w:h-ansi=&quot;Cambria Math&quot;/&gt;&lt;wx:font wx:val=&quot;Cambria Math&quot;/&gt;&lt;w:i/&gt;&lt;w:sz w:val=&quot;22&quot;/&gt;&lt;w:sz-cs w:val=&quot;22&quot;/&gt;&lt;w:lang w:val=&quot;EN-US&quot;/&gt;&lt;/w:rPr&gt;&lt;m:t&gt;i,t-1 &lt;/m:t&gt;&lt;/m:r&gt;&lt;/m:sub&gt;&lt;/m:sSub&gt;&lt;/m:den&gt;&lt;/m:f&gt;&lt;/m:e&gt;&lt;/m:d&gt;&lt;m:r&gt;&lt;w:rPr&gt;&lt;w:rFonts w:ascii=&quot;Cambria Math&quot; w:h-ansi=&quot;Cambria Math&quot;/&gt;&lt;wx:font wx:val=&quot;Cambria Math&quot;/&gt;&lt;w:i/&gt;&lt;w:sz w:val=&quot;22&quot;/&gt;&lt;w:sz-cs w:val=&quot;22&quot;/&gt;&lt;w:lang w:val=&quot;EN-US&quot;/&gt;&lt;/w:rPr&gt;&lt;m:t&gt;+&lt;/m:t&gt;&lt;/m:r&gt;&lt;m:sSub&gt;&lt;m:sSubPr&gt;&lt;m:ctrlPr&gt;&lt;w:rPr&gt;&lt;w:rFonts w:ascii=&quot;Cambria Math&quot; w:h-ansi=&quot;Cambria Math&quot;/&gt;&lt;wx:font wx:val=&quot;Cambria Math&quot;/&gt;&lt;w:i/&gt;&lt;w:sz w:val=&quot;22&quot;/&gt;&lt;w:sz-cs w:val=&quot;22&quot;/&gt;&lt;w:lang w:val=&quot;EN-US&quot;/&gt;&lt;/w:rPr&gt;&lt;/m:ctrlPr&gt;&lt;/m:sSubPr&gt;&lt;m:e&gt;&lt;m:r&gt;&lt;w:rPr&gt;&lt;w:rFonts w:ascii=&quot;Cambria Math&quot; w:h-ansi=&quot;Cambria Math&quot;/&gt;&lt;wx:font wx:val=&quot;Cambria Math&quot;/&gt;&lt;w:i/&gt;&lt;w:sz w:val=&quot;22&quot;/&gt;&lt;w:sz-cs w:val=&quot;22&quot;/&gt;&lt;w:lang w:val=&quot;EN-US&quot;/&gt;&lt;/w:rPr&gt;&lt;m:t&gt;Î²&lt;/m:t&gt;&lt;/m:r&gt;&lt;m:d&gt;&lt;m:dPr&gt;&lt;m:ctrlPr&gt;&lt;w:rPr&gt;&lt;w:rFonts w:ascii=&quot;Cambria Math&quot; w:h-ansi=&quot;Cambria Math&quot;/&gt;&lt;wx:font wx:val=&quot;Cambria Math&quot;/&gt;&lt;w:i/&gt;&lt;w:sz w:val=&quot;22&quot;/&gt;&lt;w:sz-cs w:val=&quot;22&quot;/&gt;&lt;w:lang w:val=&quot;EN-US&quot;/&gt;&lt;/w:rPr&gt;&lt;/m:ctrlPr&gt;&lt;/m:dPr&gt;&lt;m:e&gt;&lt;m:r&gt;&lt;w:rPr&gt;&lt;w:rFonts w:ascii=&quot;Cambria Math&quot; w:h-ansi=&quot;Cambria Math&quot;/&gt;&lt;wx:font wx:val=&quot;Cambria Math&quot;/&gt;&lt;w:i/&gt;&lt;w:sz w:val=&quot;22&quot;/&gt;&lt;w:sz-cs w:val=&quot;22&quot;/&gt;&lt;w:lang w:val=&quot;EN-US&quot;/&gt;&lt;/w:rPr&gt;&lt;m:t&gt;est&lt;/m:t&gt;&lt;/m:r&gt;&lt;/m:e&gt;&lt;/m:d&gt;&lt;/m:e&gt;&lt;m:sub&gt;&lt;m:r&gt;&lt;w:rPr&gt;&lt;w:rFonts w:ascii=&quot;Cambria Math&quot; w:h-ansi=&quot;Cambria Math&quot;/&gt;&lt;wx:font wx:val=&quot;Cambria Math&quot;/&gt;&lt;w:i/&gt;&lt;w:sz w:val=&quot;22&quot;/&gt;&lt;w:sz-cs w:val=&quot;22&quot;/&gt;&lt;w:lang w:val=&quot;EN-US&quot;/&gt;&lt;/w:rPr&gt;&lt;m:t&gt;1,j,t&lt;/m:t&gt;&lt;/m:r&gt;&lt;/m:sub&gt;&lt;/m:sSub&gt;&lt;m:r&gt;&lt;w:rPr&gt;&lt;w:rFonts w:ascii=&quot;Cambria Math&quot; w:h-ansi=&quot;Cambria Math&quot;/&gt;&lt;wx:font wx:val=&quot;Cambria Math&quot;/&gt;&lt;w:i/&gt;&lt;w:sz w:val=&quot;22&quot;/&gt;&lt;w:sz-cs w:val=&quot;22&quot;/&gt;&lt;w:lang w:val=&quot;EN-US&quot;/&gt;&lt;/w:rPr&gt;&lt;m:t&gt; &lt;/m:t&gt;&lt;/m:r&gt;&lt;m:d&gt;&lt;m:dPr&gt;&lt;m:begChr m:val=&quot;[&quot;/&gt;&lt;m:endChr m:val=&quot;]&quot;/&gt;&lt;m:ctrlPr&gt;&lt;w:rPr&gt;&lt;w:rFonts w:ascii=&quot;Cambria Math&quot; w:h-ansi=&quot;Cambria Math&quot;/&gt;&lt;wx:font wx:val=&quot;Cambria Math&quot;/&gt;&lt;w:i/&gt;&lt;w:sz w:val=&quot;22&quot;/&gt;&lt;w:sz-cs w:val=&quot;22&quot;/&gt;&lt;w:lang w:val=&quot;EN-US&quot;/&gt;&lt;/w:rPr&gt;&lt;/m:ctrlPr&gt;&lt;/m:dPr&gt;&lt;m:e&gt;&lt;m:f&gt;&lt;m:fPr&gt;&lt;m:ctrlPr&gt;&lt;w:rPr&gt;&lt;w:rFonts w:ascii=&quot;Cambria Math&quot; w:h-ansi=&quot;Cambria Math&quot;/&gt;&lt;wx:font wx:val=&quot;Cambria Math&quot;/&gt;&lt;w:i/&gt;&lt;w:sz w:val=&quot;22&quot;/&gt;&lt;w:sz-cs w:val=&quot;22&quot;/&gt;&lt;w:lang w:val=&quot;EN-US&quot;/&gt;&lt;/w:rPr&gt;&lt;/m:ctrlPr&gt;&lt;/m:fPr&gt;&lt;m:num&gt;&lt;m:sSub&gt;&lt;m:sSubPr&gt;&lt;m:ctrlPr&gt;&lt;w:rPr&gt;&lt;w:rFonts w:ascii=&quot;Cambria Math&quot; w:h-ansi=&quot;Cambria Math&quot;/&gt;&lt;wx:font wx:val=&quot;Cambria Math&quot;/&gt;&lt;w:i/&gt;&lt;w:sz w:val=&quot;22&quot;/&gt;&lt;w:sz-cs w:val=&quot;22&quot;/&gt;&lt;w:lang w:val=&quot;EN-US&quot;/&gt;&lt;/w:rPr&gt;&lt;/m:ctrlPr&gt;&lt;/m:sSubPr&gt;&lt;m:e&gt;&lt;m:r&gt;&lt;w:rPr&gt;&lt;w:rFonts w:ascii=&quot;Cambria Math&quot; w:h-ansi=&quot;Cambria Math&quot;/&gt;&lt;wx:font wx:val=&quot;Cambria Math&quot;/&gt;&lt;w:i/&gt;&lt;w:sz w:val=&quot;22&quot;/&gt;&lt;w:sz-cs w:val=&quot;22&quot;/&gt;&lt;w:lang w:val=&quot;EN-US&quot;/&gt;&lt;/w:rPr&gt;&lt;m:t&gt;âˆ†REV&lt;/m:t&gt;&lt;/m:r&gt;&lt;/m:e&gt;&lt;m:sub&gt;&lt;m:r&gt;&lt;w:rPr&gt;&lt;w:rFonts w:ascii=&quot;Cambria Math&quot; w:h-ansi=&quot;Cambria Math&quot;/&gt;&lt;wx:font wx:val=&quot;Cambria Math&quot;/&gt;&lt;w:i/&gt;&lt;w:sz w:val=&quot;22&quot;/&gt;&lt;w:sz-cs w:val=&quot;22&quot;/&gt;&lt;w:lang w:val=&quot;EN-US&quot;/&gt;&lt;/w:rPr&gt;&lt;m:t&gt;i,t&lt;/m:t&gt;&lt;/m:r&gt;&lt;/m:sub&gt;&lt;/m:sSub&gt;&lt;m:r&gt;&lt;w:rPr&gt;&lt;w:rFonts w:ascii=&quot;Cambria Math&quot; w:h-ansi=&quot;Cambria Math&quot;/&gt;&lt;wx:font wx:val=&quot;Cambria Math&quot;/&gt;&lt;w:i/&gt;&lt;w:sz w:val=&quot;22&quot;/&gt;&lt;w:sz-cs w:val=&quot;22&quot;/&gt;&lt;w:lang w:val=&quot;EN-US&quot;/&gt;&lt;/w:rPr&gt;&lt;m:t&gt;-&lt;/m:t&gt;&lt;/m:r&gt;&lt;m:sSub&gt;&lt;m:sSubPr&gt;&lt;m:ctrlPr&gt;&lt;w:rPr&gt;&lt;w:rFonts w:ascii=&quot;Cambria Math&quot; w:h-ansi=&quot;Cambria Math&quot;/&gt;&lt;wx:font wx:val=&quot;Cambria Math&quot;/&gt;&lt;w:i/&gt;&lt;w:sz w:val=&quot;22&quot;/&gt;&lt;w:sz-cs w:val=&quot;22&quot;/&gt;&lt;w:lang w:val=&quot;EN-US&quot;/&gt;&lt;/w:rPr&gt;&lt;/m:ctrlPr&gt;&lt;/m:sSubPr&gt;&lt;m:e&gt;&lt;m:r&gt;&lt;w:rPr&gt;&lt;w:rFonts w:ascii=&quot;Cambria Math&quot; w:h-ansi=&quot;Cambria Math&quot;/&gt;&lt;wx:font wx:val=&quot;Cambria Math&quot;/&gt;&lt;w:i/&gt;&lt;w:sz w:val=&quot;22&quot;/&gt;&lt;w:sz-cs w:val=&quot;22&quot;/&gt;&lt;w:lang w:val=&quot;EN-US&quot;/&gt;&lt;/w:rPr&gt;&lt;m:t&gt;âˆ†REC&lt;/m:t&gt;&lt;/m:r&gt;&lt;/m:e&gt;&lt;m:sub&gt;&lt;m:r&gt;&lt;w:rPr&gt;&lt;w:rFonts w:ascii=&quot;Cambria Math&quot; w:h-ansi=&quot;Cambria Math&quot;/&gt;&lt;wx:font wx:val=&quot;Cambria Math&quot;/&gt;&lt;w:i/&gt;&lt;w:sz w:val=&quot;22&quot;/&gt;&lt;w:sz-cs w:val=&quot;22&quot;/&gt;&lt;w:lang w:val=&quot;EN-US&quot;/&gt;&lt;/w:rPr&gt;&lt;m:t&gt;i,t&lt;/m:t&gt;&lt;/m:r&gt;&lt;/m:sub&gt;&lt;/m:sSub&gt;&lt;/m:num&gt;&lt;m:den&gt;&lt;m:sSub&gt;&lt;m:sSubPr&gt;&lt;m:ctrlPr&gt;&lt;w:rPr&gt;&lt;w:rFonts w:ascii=&quot;Cambria Math&quot; w:h-ansi=&quot;Cambria Math&quot;/&gt;&lt;wx:font wx:val=&quot;Cambria Math&quot;/&gt;&lt;w:i/&gt;&lt;w:sz w:val=&quot;22&quot;/&gt;&lt;w:sz-cs w:val=&quot;22&quot;/&gt;&lt;w:lang w:val=&quot;EN-US&quot;/&gt;&lt;/w:rPr&gt;&lt;/m:ctrlPr&gt;&lt;/m:sSubPr&gt;&lt;m:e&gt;&lt;m:r&gt;&lt;w:rPr&gt;&lt;w:rFonts w:ascii=&quot;Cambria Math&quot; w:h-ansi=&quot;Cambria Math&quot;/&gt;&lt;wx:font wx:val=&quot;Cambria Math&quot;/&gt;&lt;w:i/&gt;&lt;w:sz w:val=&quot;22&quot;/&gt;&lt;w:sz-cs w:val=&quot;22&quot;/&gt;&lt;w:lang w:val=&quot;EN-US&quot;/&gt;&lt;/w:rPr&gt;&lt;m:t&gt;Assets&lt;/m:t&gt;&lt;/m:r&gt;&lt;/m:e&gt;&lt;m:sub&gt;&lt;m:r&gt;&lt;w:rPr&gt;&lt;w:rFonts w:ascii=&quot;Cambria Math&quot; w:h-ansi=&quot;Cambria Math&quot;/&gt;&lt;wx:font wx:val=&quot;Cambria Math&quot;/&gt;&lt;w:i/&gt;&lt;w:sz w:val=&quot;22&quot;/&gt;&lt;w:sz-cs w:val=&quot;22&quot;/&gt;&lt;w:lang w:val=&quot;EN-US&quot;/&gt;&lt;/w:rPr&gt;&lt;m:t&gt;i,t-1 &lt;/m:t&gt;&lt;/m:r&gt;&lt;/m:sub&gt;&lt;/m:sSub&gt;&lt;/m:den&gt;&lt;/m:f&gt;&lt;/m:e&gt;&lt;/m:d&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7" o:title="" chromakey="white"/>
          </v:shape>
        </w:pict>
      </w:r>
    </w:p>
    <w:p w:rsidR="00334F38" w:rsidRPr="00C3324E" w:rsidRDefault="00334F38" w:rsidP="00182D6E">
      <w:pPr>
        <w:autoSpaceDE w:val="0"/>
        <w:autoSpaceDN w:val="0"/>
        <w:adjustRightInd w:val="0"/>
        <w:spacing w:line="360" w:lineRule="auto"/>
        <w:jc w:val="both"/>
        <w:rPr>
          <w:lang w:val="en-US"/>
        </w:rPr>
      </w:pPr>
      <w:r w:rsidRPr="00C3324E">
        <w:rPr>
          <w:sz w:val="22"/>
          <w:szCs w:val="22"/>
          <w:lang w:val="en-US"/>
        </w:rPr>
        <w:t xml:space="preserve">                                   </w:t>
      </w:r>
      <w:r w:rsidRPr="006E06F2">
        <w:rPr>
          <w:lang w:val="en-US"/>
        </w:rPr>
        <w:fldChar w:fldCharType="begin"/>
      </w:r>
      <w:r w:rsidRPr="006E06F2">
        <w:rPr>
          <w:lang w:val="en-US"/>
        </w:rPr>
        <w:instrText xml:space="preserve"> QUOTE </w:instrText>
      </w:r>
      <w:r w:rsidRPr="006E06F2">
        <w:pict>
          <v:shape id="_x0000_i1045" type="#_x0000_t75" style="width:120.75pt;height:26.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18A0&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0518A0&quot;&gt;&lt;m:oMathPara&gt;&lt;m:oMath&gt;&lt;m:r&gt;&lt;w:rPr&gt;&lt;w:rFonts w:ascii=&quot;Cambria Math&quot; w:h-ansi=&quot;Cambria Math&quot;/&gt;&lt;wx:font wx:val=&quot;Cambria Math&quot;/&gt;&lt;w:i/&gt;&lt;w:sz w:val=&quot;22&quot;/&gt;&lt;w:sz-cs w:val=&quot;22&quot;/&gt;&lt;w:lang w:val=&quot;EN-US&quot;/&gt;&lt;/w:rPr&gt;&lt;m:t&gt;+&lt;/m:t&gt;&lt;/m:r&gt;&lt;m:sSub&gt;&lt;m:sSubPr&gt;&lt;m:ctrlPr&gt;&lt;w:rPr&gt;&lt;w:rFonts w:ascii=&quot;Cambria Math&quot; w:h-ansi=&quot;Cambria Math&quot;/&gt;&lt;wx:font wx:val=&quot;Cambria Math&quot;/&gt;&lt;w:i/&gt;&lt;w:sz w:val=&quot;22&quot;/&gt;&lt;w:sz-cs w:val=&quot;22&quot;/&gt;&lt;w:lang w:val=&quot;EN-US&quot;/&gt;&lt;/w:rPr&gt;&lt;/m:ctrlPr&gt;&lt;/m:sSubPr&gt;&lt;m:e&gt;&lt;m:r&gt;&lt;w:rPr&gt;&lt;w:rFonts w:ascii=&quot;Cambria Math&quot; w:h-ansi=&quot;Cambria Math&quot;/&gt;&lt;wx:font wx:val=&quot;Cambria Math&quot;/&gt;&lt;w:i/&gt;&lt;w:sz w:val=&quot;22&quot;/&gt;&lt;w:sz-cs w:val=&quot;22&quot;/&gt;&lt;w:lang w:val=&quot;EN-US&quot;/&gt;&lt;/w:rPr&gt;&lt;m:t&gt;Î²(est)&lt;/m:t&gt;&lt;/m:r&gt;&lt;/m:e&gt;&lt;m:sub&gt;&lt;m:r&gt;&lt;w:rPr&gt;&lt;w:rFonts w:ascii=&quot;Cambria Math&quot; w:h-ansi=&quot;Cambria Math&quot;/&gt;&lt;wx:font wx:val=&quot;Cambria Math&quot;/&gt;&lt;w:i/&gt;&lt;w:sz w:val=&quot;22&quot;/&gt;&lt;w:sz-cs w:val=&quot;22&quot;/&gt;&lt;w:lang w:val=&quot;EN-US&quot;/&gt;&lt;/w:rPr&gt;&lt;m:t&gt;2,j,t&lt;/m:t&gt;&lt;/m:r&gt;&lt;/m:sub&gt;&lt;/m:sSub&gt;&lt;m:r&gt;&lt;w:rPr&gt;&lt;w:rFonts w:ascii=&quot;Cambria Math&quot; w:h-ansi=&quot;Cambria Math&quot;/&gt;&lt;wx:font wx:val=&quot;Cambria Math&quot;/&gt;&lt;w:i/&gt;&lt;w:sz w:val=&quot;22&quot;/&gt;&lt;w:sz-cs w:val=&quot;22&quot;/&gt;&lt;w:lang w:val=&quot;EN-US&quot;/&gt;&lt;/w:rPr&gt;&lt;m:t&gt;[&lt;/m:t&gt;&lt;/m:r&gt;&lt;m:f&gt;&lt;m:fPr&gt;&lt;m:ctrlPr&gt;&lt;w:rPr&gt;&lt;w:rFonts w:ascii=&quot;Cambria Math&quot; w:h-ansi=&quot;Cambria Math&quot;/&gt;&lt;wx:font wx:val=&quot;Cambria Math&quot;/&gt;&lt;w:i/&gt;&lt;w:sz w:val=&quot;22&quot;/&gt;&lt;w:sz-cs w:val=&quot;22&quot;/&gt;&lt;w:lang w:val=&quot;EN-US&quot;/&gt;&lt;/w:rPr&gt;&lt;/m:ctrlPr&gt;&lt;/m:fPr&gt;&lt;m:num&gt;&lt;m:sSub&gt;&lt;m:sSubPr&gt;&lt;m:ctrlPr&gt;&lt;w:rPr&gt;&lt;w:rFonts w:ascii=&quot;Cambria Math&quot; w:h-ansi=&quot;Cambria Math&quot;/&gt;&lt;wx:font wx:val=&quot;Cambria Math&quot;/&gt;&lt;w:i/&gt;&lt;w:sz w:val=&quot;22&quot;/&gt;&lt;w:sz-cs w:val=&quot;22&quot;/&gt;&lt;w:lang w:val=&quot;EN-US&quot;/&gt;&lt;/w:rPr&gt;&lt;/m:ctrlPr&gt;&lt;/m:sSubPr&gt;&lt;m:e&gt;&lt;m:r&gt;&lt;w:rPr&gt;&lt;w:rFonts w:ascii=&quot;Cambria Math&quot; w:h-ansi=&quot;Cambria Math&quot;/&gt;&lt;wx:font wx:val=&quot;Cambria Math&quot;/&gt;&lt;w:i/&gt;&lt;w:sz w:val=&quot;22&quot;/&gt;&lt;w:sz-cs w:val=&quot;22&quot;/&gt;&lt;w:lang w:val=&quot;EN-US&quot;/&gt;&lt;/w:rPr&gt;&lt;m:t&gt;PPE&lt;/m:t&gt;&lt;/m:r&gt;&lt;/m:e&gt;&lt;m:sub&gt;&lt;m:r&gt;&lt;w:rPr&gt;&lt;w:rFonts w:ascii=&quot;Cambria Math&quot; w:h-ansi=&quot;Cambria Math&quot;/&gt;&lt;wx:font wx:val=&quot;Cambria Math&quot;/&gt;&lt;w:i/&gt;&lt;w:sz w:val=&quot;22&quot;/&gt;&lt;w:sz-cs w:val=&quot;22&quot;/&gt;&lt;w:lang w:val=&quot;EN-US&quot;/&gt;&lt;/w:rPr&gt;&lt;m:t&gt;i,t&lt;/m:t&gt;&lt;/m:r&gt;&lt;/m:sub&gt;&lt;/m:sSub&gt;&lt;/m:num&gt;&lt;m:den&gt;&lt;m:sSub&gt;&lt;m:sSubPr&gt;&lt;m:ctrlPr&gt;&lt;w:rPr&gt;&lt;w:rFonts w:ascii=&quot;Cambria Math&quot; w:h-ansi=&quot;Cambria Math&quot;/&gt;&lt;wx:font wx:val=&quot;Cambria Math&quot;/&gt;&lt;w:i/&gt;&lt;w:sz w:val=&quot;22&quot;/&gt;&lt;w:sz-cs w:val=&quot;22&quot;/&gt;&lt;w:lang w:val=&quot;EN-US&quot;/&gt;&lt;/w:rPr&gt;&lt;/m:ctrlPr&gt;&lt;/m:sSubPr&gt;&lt;m:e&gt;&lt;m:r&gt;&lt;w:rPr&gt;&lt;w:rFonts w:ascii=&quot;Cambria Math&quot; w:h-ansi=&quot;Cambria Math&quot;/&gt;&lt;wx:font wx:val=&quot;Cambria Math&quot;/&gt;&lt;w:i/&gt;&lt;w:sz w:val=&quot;22&quot;/&gt;&lt;w:sz-cs w:val=&quot;22&quot;/&gt;&lt;w:lang w:val=&quot;EN-US&quot;/&gt;&lt;/w:rPr&gt;&lt;m:t&gt;Assets&lt;/m:t&gt;&lt;/m:r&gt;&lt;/m:e&gt;&lt;m:sub&gt;&lt;m:r&gt;&lt;w:rPr&gt;&lt;w:rFonts w:ascii=&quot;Cambria Math&quot; w:h-ansi=&quot;Cambria Math&quot;/&gt;&lt;wx:font wx:val=&quot;Cambria Math&quot;/&gt;&lt;w:i/&gt;&lt;w:sz w:val=&quot;22&quot;/&gt;&lt;w:sz-cs w:val=&quot;22&quot;/&gt;&lt;w:lang w:val=&quot;EN-US&quot;/&gt;&lt;/w:rPr&gt;&lt;m:t&gt;i,t-1 &lt;/m:t&gt;&lt;/m:r&gt;&lt;/m:sub&gt;&lt;/m:sSub&gt;&lt;/m:den&gt;&lt;/m:f&gt;&lt;m:r&gt;&lt;w:rPr&gt;&lt;w:rFonts w:ascii=&quot;Cambria Math&quot; w:h-ansi=&quot;Cambria Math&quot;/&gt;&lt;wx:font wx:val=&quot;Cambria Math&quot;/&gt;&lt;w:i/&gt;&lt;w:sz w:val=&quot;22&quot;/&gt;&lt;w:sz-cs w:val=&quot;22&quot;/&gt;&lt;w:lang w:val=&quot;EN-US&quot;/&gt;&lt;/w:rPr&gt;&lt;m:t&gt;]&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8" o:title="" chromakey="white"/>
          </v:shape>
        </w:pict>
      </w:r>
      <w:r w:rsidRPr="006E06F2">
        <w:rPr>
          <w:lang w:val="en-US"/>
        </w:rPr>
        <w:instrText xml:space="preserve"> </w:instrText>
      </w:r>
      <w:r w:rsidRPr="006E06F2">
        <w:rPr>
          <w:lang w:val="en-US"/>
        </w:rPr>
        <w:fldChar w:fldCharType="separate"/>
      </w:r>
      <w:r w:rsidRPr="006E06F2">
        <w:pict>
          <v:shape id="_x0000_i1046" type="#_x0000_t75" style="width:120.75pt;height:26.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18A0&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0518A0&quot;&gt;&lt;m:oMathPara&gt;&lt;m:oMath&gt;&lt;m:r&gt;&lt;w:rPr&gt;&lt;w:rFonts w:ascii=&quot;Cambria Math&quot; w:h-ansi=&quot;Cambria Math&quot;/&gt;&lt;wx:font wx:val=&quot;Cambria Math&quot;/&gt;&lt;w:i/&gt;&lt;w:sz w:val=&quot;22&quot;/&gt;&lt;w:sz-cs w:val=&quot;22&quot;/&gt;&lt;w:lang w:val=&quot;EN-US&quot;/&gt;&lt;/w:rPr&gt;&lt;m:t&gt;+&lt;/m:t&gt;&lt;/m:r&gt;&lt;m:sSub&gt;&lt;m:sSubPr&gt;&lt;m:ctrlPr&gt;&lt;w:rPr&gt;&lt;w:rFonts w:ascii=&quot;Cambria Math&quot; w:h-ansi=&quot;Cambria Math&quot;/&gt;&lt;wx:font wx:val=&quot;Cambria Math&quot;/&gt;&lt;w:i/&gt;&lt;w:sz w:val=&quot;22&quot;/&gt;&lt;w:sz-cs w:val=&quot;22&quot;/&gt;&lt;w:lang w:val=&quot;EN-US&quot;/&gt;&lt;/w:rPr&gt;&lt;/m:ctrlPr&gt;&lt;/m:sSubPr&gt;&lt;m:e&gt;&lt;m:r&gt;&lt;w:rPr&gt;&lt;w:rFonts w:ascii=&quot;Cambria Math&quot; w:h-ansi=&quot;Cambria Math&quot;/&gt;&lt;wx:font wx:val=&quot;Cambria Math&quot;/&gt;&lt;w:i/&gt;&lt;w:sz w:val=&quot;22&quot;/&gt;&lt;w:sz-cs w:val=&quot;22&quot;/&gt;&lt;w:lang w:val=&quot;EN-US&quot;/&gt;&lt;/w:rPr&gt;&lt;m:t&gt;Î²(est)&lt;/m:t&gt;&lt;/m:r&gt;&lt;/m:e&gt;&lt;m:sub&gt;&lt;m:r&gt;&lt;w:rPr&gt;&lt;w:rFonts w:ascii=&quot;Cambria Math&quot; w:h-ansi=&quot;Cambria Math&quot;/&gt;&lt;wx:font wx:val=&quot;Cambria Math&quot;/&gt;&lt;w:i/&gt;&lt;w:sz w:val=&quot;22&quot;/&gt;&lt;w:sz-cs w:val=&quot;22&quot;/&gt;&lt;w:lang w:val=&quot;EN-US&quot;/&gt;&lt;/w:rPr&gt;&lt;m:t&gt;2,j,t&lt;/m:t&gt;&lt;/m:r&gt;&lt;/m:sub&gt;&lt;/m:sSub&gt;&lt;m:r&gt;&lt;w:rPr&gt;&lt;w:rFonts w:ascii=&quot;Cambria Math&quot; w:h-ansi=&quot;Cambria Math&quot;/&gt;&lt;wx:font wx:val=&quot;Cambria Math&quot;/&gt;&lt;w:i/&gt;&lt;w:sz w:val=&quot;22&quot;/&gt;&lt;w:sz-cs w:val=&quot;22&quot;/&gt;&lt;w:lang w:val=&quot;EN-US&quot;/&gt;&lt;/w:rPr&gt;&lt;m:t&gt;[&lt;/m:t&gt;&lt;/m:r&gt;&lt;m:f&gt;&lt;m:fPr&gt;&lt;m:ctrlPr&gt;&lt;w:rPr&gt;&lt;w:rFonts w:ascii=&quot;Cambria Math&quot; w:h-ansi=&quot;Cambria Math&quot;/&gt;&lt;wx:font wx:val=&quot;Cambria Math&quot;/&gt;&lt;w:i/&gt;&lt;w:sz w:val=&quot;22&quot;/&gt;&lt;w:sz-cs w:val=&quot;22&quot;/&gt;&lt;w:lang w:val=&quot;EN-US&quot;/&gt;&lt;/w:rPr&gt;&lt;/m:ctrlPr&gt;&lt;/m:fPr&gt;&lt;m:num&gt;&lt;m:sSub&gt;&lt;m:sSubPr&gt;&lt;m:ctrlPr&gt;&lt;w:rPr&gt;&lt;w:rFonts w:ascii=&quot;Cambria Math&quot; w:h-ansi=&quot;Cambria Math&quot;/&gt;&lt;wx:font wx:val=&quot;Cambria Math&quot;/&gt;&lt;w:i/&gt;&lt;w:sz w:val=&quot;22&quot;/&gt;&lt;w:sz-cs w:val=&quot;22&quot;/&gt;&lt;w:lang w:val=&quot;EN-US&quot;/&gt;&lt;/w:rPr&gt;&lt;/m:ctrlPr&gt;&lt;/m:sSubPr&gt;&lt;m:e&gt;&lt;m:r&gt;&lt;w:rPr&gt;&lt;w:rFonts w:ascii=&quot;Cambria Math&quot; w:h-ansi=&quot;Cambria Math&quot;/&gt;&lt;wx:font wx:val=&quot;Cambria Math&quot;/&gt;&lt;w:i/&gt;&lt;w:sz w:val=&quot;22&quot;/&gt;&lt;w:sz-cs w:val=&quot;22&quot;/&gt;&lt;w:lang w:val=&quot;EN-US&quot;/&gt;&lt;/w:rPr&gt;&lt;m:t&gt;PPE&lt;/m:t&gt;&lt;/m:r&gt;&lt;/m:e&gt;&lt;m:sub&gt;&lt;m:r&gt;&lt;w:rPr&gt;&lt;w:rFonts w:ascii=&quot;Cambria Math&quot; w:h-ansi=&quot;Cambria Math&quot;/&gt;&lt;wx:font wx:val=&quot;Cambria Math&quot;/&gt;&lt;w:i/&gt;&lt;w:sz w:val=&quot;22&quot;/&gt;&lt;w:sz-cs w:val=&quot;22&quot;/&gt;&lt;w:lang w:val=&quot;EN-US&quot;/&gt;&lt;/w:rPr&gt;&lt;m:t&gt;i,t&lt;/m:t&gt;&lt;/m:r&gt;&lt;/m:sub&gt;&lt;/m:sSub&gt;&lt;/m:num&gt;&lt;m:den&gt;&lt;m:sSub&gt;&lt;m:sSubPr&gt;&lt;m:ctrlPr&gt;&lt;w:rPr&gt;&lt;w:rFonts w:ascii=&quot;Cambria Math&quot; w:h-ansi=&quot;Cambria Math&quot;/&gt;&lt;wx:font wx:val=&quot;Cambria Math&quot;/&gt;&lt;w:i/&gt;&lt;w:sz w:val=&quot;22&quot;/&gt;&lt;w:sz-cs w:val=&quot;22&quot;/&gt;&lt;w:lang w:val=&quot;EN-US&quot;/&gt;&lt;/w:rPr&gt;&lt;/m:ctrlPr&gt;&lt;/m:sSubPr&gt;&lt;m:e&gt;&lt;m:r&gt;&lt;w:rPr&gt;&lt;w:rFonts w:ascii=&quot;Cambria Math&quot; w:h-ansi=&quot;Cambria Math&quot;/&gt;&lt;wx:font wx:val=&quot;Cambria Math&quot;/&gt;&lt;w:i/&gt;&lt;w:sz w:val=&quot;22&quot;/&gt;&lt;w:sz-cs w:val=&quot;22&quot;/&gt;&lt;w:lang w:val=&quot;EN-US&quot;/&gt;&lt;/w:rPr&gt;&lt;m:t&gt;Assets&lt;/m:t&gt;&lt;/m:r&gt;&lt;/m:e&gt;&lt;m:sub&gt;&lt;m:r&gt;&lt;w:rPr&gt;&lt;w:rFonts w:ascii=&quot;Cambria Math&quot; w:h-ansi=&quot;Cambria Math&quot;/&gt;&lt;wx:font wx:val=&quot;Cambria Math&quot;/&gt;&lt;w:i/&gt;&lt;w:sz w:val=&quot;22&quot;/&gt;&lt;w:sz-cs w:val=&quot;22&quot;/&gt;&lt;w:lang w:val=&quot;EN-US&quot;/&gt;&lt;/w:rPr&gt;&lt;m:t&gt;i,t-1 &lt;/m:t&gt;&lt;/m:r&gt;&lt;/m:sub&gt;&lt;/m:sSub&gt;&lt;/m:den&gt;&lt;/m:f&gt;&lt;m:r&gt;&lt;w:rPr&gt;&lt;w:rFonts w:ascii=&quot;Cambria Math&quot; w:h-ansi=&quot;Cambria Math&quot;/&gt;&lt;wx:font wx:val=&quot;Cambria Math&quot;/&gt;&lt;w:i/&gt;&lt;w:sz w:val=&quot;22&quot;/&gt;&lt;w:sz-cs w:val=&quot;22&quot;/&gt;&lt;w:lang w:val=&quot;EN-US&quot;/&gt;&lt;/w:rPr&gt;&lt;m:t&gt;]&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8" o:title="" chromakey="white"/>
          </v:shape>
        </w:pict>
      </w:r>
      <w:r w:rsidRPr="006E06F2">
        <w:rPr>
          <w:lang w:val="en-US"/>
        </w:rPr>
        <w:fldChar w:fldCharType="end"/>
      </w:r>
      <w:r>
        <w:rPr>
          <w:lang w:val="en-US"/>
        </w:rPr>
        <w:t xml:space="preserve">    </w:t>
      </w:r>
      <w:r w:rsidRPr="00E2511A">
        <w:rPr>
          <w:lang w:val="en-US"/>
        </w:rPr>
        <w:t xml:space="preserve">   </w:t>
      </w:r>
      <w:r>
        <w:rPr>
          <w:lang w:val="en-US"/>
        </w:rPr>
        <w:t xml:space="preserve">                                                                       </w:t>
      </w:r>
      <w:r>
        <w:rPr>
          <w:sz w:val="22"/>
          <w:szCs w:val="22"/>
          <w:lang w:val="en-US"/>
        </w:rPr>
        <w:t>(4)</w:t>
      </w:r>
    </w:p>
    <w:p w:rsidR="00334F38" w:rsidRDefault="00334F38" w:rsidP="00182D6E">
      <w:pPr>
        <w:autoSpaceDE w:val="0"/>
        <w:autoSpaceDN w:val="0"/>
        <w:adjustRightInd w:val="0"/>
        <w:spacing w:line="360" w:lineRule="auto"/>
        <w:jc w:val="both"/>
        <w:rPr>
          <w:sz w:val="22"/>
          <w:szCs w:val="22"/>
          <w:lang w:val="en-US"/>
        </w:rPr>
      </w:pPr>
      <w:r>
        <w:rPr>
          <w:sz w:val="22"/>
          <w:szCs w:val="22"/>
          <w:lang w:val="en-US"/>
        </w:rPr>
        <w:t>Where:</w:t>
      </w:r>
    </w:p>
    <w:p w:rsidR="00334F38" w:rsidRPr="004F42C2" w:rsidRDefault="00334F38" w:rsidP="00182D6E">
      <w:pPr>
        <w:autoSpaceDE w:val="0"/>
        <w:autoSpaceDN w:val="0"/>
        <w:adjustRightInd w:val="0"/>
        <w:spacing w:line="360" w:lineRule="auto"/>
        <w:jc w:val="both"/>
        <w:rPr>
          <w:rFonts w:ascii="Cambria" w:hAnsi="Cambria"/>
          <w:sz w:val="20"/>
          <w:szCs w:val="20"/>
          <w:lang w:val="en-US"/>
        </w:rPr>
      </w:pPr>
      <w:r w:rsidRPr="004F42C2">
        <w:rPr>
          <w:rFonts w:ascii="Cambria" w:hAnsi="Cambria"/>
          <w:sz w:val="20"/>
          <w:szCs w:val="20"/>
          <w:lang w:val="en-US"/>
        </w:rPr>
        <w:t>NDA= Non-discretionary accruals (scaled by lag total assets)</w:t>
      </w:r>
    </w:p>
    <w:p w:rsidR="00334F38" w:rsidRPr="004F42C2" w:rsidRDefault="00334F38" w:rsidP="00182D6E">
      <w:pPr>
        <w:autoSpaceDE w:val="0"/>
        <w:autoSpaceDN w:val="0"/>
        <w:adjustRightInd w:val="0"/>
        <w:spacing w:line="360" w:lineRule="auto"/>
        <w:jc w:val="both"/>
        <w:rPr>
          <w:rFonts w:ascii="Cambria" w:hAnsi="Cambria"/>
          <w:sz w:val="20"/>
          <w:szCs w:val="20"/>
          <w:lang w:val="en-US"/>
        </w:rPr>
      </w:pPr>
      <w:r w:rsidRPr="004F42C2">
        <w:rPr>
          <w:rFonts w:ascii="Cambria" w:hAnsi="Cambria"/>
          <w:sz w:val="20"/>
          <w:szCs w:val="20"/>
          <w:lang w:val="en-US"/>
        </w:rPr>
        <w:t>ΔREV= the change in revenues</w:t>
      </w:r>
    </w:p>
    <w:p w:rsidR="00334F38" w:rsidRPr="004F42C2" w:rsidRDefault="00334F38" w:rsidP="00182D6E">
      <w:pPr>
        <w:autoSpaceDE w:val="0"/>
        <w:autoSpaceDN w:val="0"/>
        <w:adjustRightInd w:val="0"/>
        <w:spacing w:line="360" w:lineRule="auto"/>
        <w:jc w:val="both"/>
        <w:rPr>
          <w:rFonts w:ascii="Cambria" w:hAnsi="Cambria"/>
          <w:sz w:val="20"/>
          <w:szCs w:val="20"/>
          <w:lang w:val="en-US"/>
        </w:rPr>
      </w:pPr>
      <w:r w:rsidRPr="004F42C2">
        <w:rPr>
          <w:rFonts w:ascii="Cambria" w:hAnsi="Cambria"/>
          <w:sz w:val="20"/>
          <w:szCs w:val="20"/>
          <w:lang w:val="en-US"/>
        </w:rPr>
        <w:t>ΔREC= the change in receivables</w:t>
      </w:r>
    </w:p>
    <w:p w:rsidR="00334F38" w:rsidRPr="004F42C2" w:rsidRDefault="00334F38" w:rsidP="00182D6E">
      <w:pPr>
        <w:autoSpaceDE w:val="0"/>
        <w:autoSpaceDN w:val="0"/>
        <w:adjustRightInd w:val="0"/>
        <w:spacing w:line="360" w:lineRule="auto"/>
        <w:jc w:val="both"/>
        <w:rPr>
          <w:rFonts w:ascii="Cambria" w:hAnsi="Cambria"/>
          <w:sz w:val="20"/>
          <w:szCs w:val="20"/>
          <w:lang w:val="en-US"/>
        </w:rPr>
      </w:pPr>
      <w:r w:rsidRPr="004F42C2">
        <w:rPr>
          <w:rFonts w:ascii="Cambria" w:hAnsi="Cambria"/>
          <w:sz w:val="20"/>
          <w:szCs w:val="20"/>
          <w:lang w:val="en-US"/>
        </w:rPr>
        <w:t>PPE= gross of property, plant and equipment</w:t>
      </w:r>
    </w:p>
    <w:p w:rsidR="00334F38" w:rsidRPr="004F42C2" w:rsidRDefault="00334F38" w:rsidP="00182D6E">
      <w:pPr>
        <w:autoSpaceDE w:val="0"/>
        <w:autoSpaceDN w:val="0"/>
        <w:adjustRightInd w:val="0"/>
        <w:spacing w:line="360" w:lineRule="auto"/>
        <w:jc w:val="both"/>
        <w:rPr>
          <w:rFonts w:ascii="Cambria" w:hAnsi="Cambria"/>
          <w:sz w:val="20"/>
          <w:szCs w:val="20"/>
          <w:lang w:val="en-US"/>
        </w:rPr>
      </w:pPr>
      <w:r w:rsidRPr="004F42C2">
        <w:rPr>
          <w:rFonts w:ascii="Cambria" w:hAnsi="Cambria"/>
          <w:sz w:val="20"/>
          <w:szCs w:val="20"/>
          <w:lang w:val="en-US"/>
        </w:rPr>
        <w:t>Assets= total assets</w:t>
      </w:r>
    </w:p>
    <w:p w:rsidR="00334F38" w:rsidRDefault="00334F38" w:rsidP="00182D6E">
      <w:pPr>
        <w:autoSpaceDE w:val="0"/>
        <w:autoSpaceDN w:val="0"/>
        <w:adjustRightInd w:val="0"/>
        <w:spacing w:line="360" w:lineRule="auto"/>
        <w:jc w:val="both"/>
        <w:rPr>
          <w:sz w:val="22"/>
          <w:szCs w:val="22"/>
          <w:lang w:val="en-US"/>
        </w:rPr>
      </w:pPr>
      <w:r>
        <w:rPr>
          <w:sz w:val="22"/>
          <w:szCs w:val="22"/>
          <w:lang w:val="en-US"/>
        </w:rPr>
        <w:t>Here i, j and t represent firm, industry and time superscripts, respectively. The estimated betas are industry and time specific and are calculated using the following equation:</w:t>
      </w:r>
    </w:p>
    <w:p w:rsidR="00334F38" w:rsidRDefault="00334F38" w:rsidP="00182D6E">
      <w:pPr>
        <w:autoSpaceDE w:val="0"/>
        <w:autoSpaceDN w:val="0"/>
        <w:adjustRightInd w:val="0"/>
        <w:spacing w:line="360" w:lineRule="auto"/>
        <w:jc w:val="both"/>
        <w:rPr>
          <w:sz w:val="22"/>
          <w:szCs w:val="22"/>
          <w:lang w:val="en-US"/>
        </w:rPr>
      </w:pPr>
    </w:p>
    <w:p w:rsidR="00334F38" w:rsidRPr="00C3324E" w:rsidRDefault="00334F38" w:rsidP="00182D6E">
      <w:pPr>
        <w:autoSpaceDE w:val="0"/>
        <w:autoSpaceDN w:val="0"/>
        <w:adjustRightInd w:val="0"/>
        <w:spacing w:line="360" w:lineRule="auto"/>
        <w:jc w:val="both"/>
        <w:rPr>
          <w:lang w:val="en-US"/>
        </w:rPr>
      </w:pPr>
      <w:r>
        <w:rPr>
          <w:lang w:val="en-US"/>
        </w:rPr>
        <w:tab/>
      </w:r>
      <w:r>
        <w:rPr>
          <w:lang w:val="en-US"/>
        </w:rPr>
        <w:tab/>
      </w:r>
      <w:r w:rsidRPr="006E06F2">
        <w:rPr>
          <w:lang w:val="en-US"/>
        </w:rPr>
        <w:fldChar w:fldCharType="begin"/>
      </w:r>
      <w:r w:rsidRPr="006E06F2">
        <w:rPr>
          <w:lang w:val="en-US"/>
        </w:rPr>
        <w:instrText xml:space="preserve"> QUOTE </w:instrText>
      </w:r>
      <w:r w:rsidRPr="006E06F2">
        <w:pict>
          <v:shape id="_x0000_i1047" type="#_x0000_t75" style="width:306.75pt;height:26.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683&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C71683&quot;&gt;&lt;m:oMathPara&gt;&lt;m:oMath&gt;&lt;m:f&gt;&lt;m:fPr&gt;&lt;m:ctrlPr&gt;&lt;w:rPr&gt;&lt;w:rFonts w:ascii=&quot;Cambria Math&quot; w:h-ansi=&quot;Cambria Math&quot;/&gt;&lt;wx:font wx:val=&quot;Cambria Math&quot;/&gt;&lt;w:i/&gt;&lt;w:lang w:val=&quot;EN-US&quot;/&gt;&lt;/w:rPr&gt;&lt;/m:ctrlPr&gt;&lt;/m:fPr&gt;&lt;m:num&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TA&lt;/m:t&gt;&lt;/m:r&gt;&lt;/m:e&gt;&lt;m:sub&gt;&lt;m:r&gt;&lt;w:rPr&gt;&lt;w:rFonts w:ascii=&quot;Cambria Math&quot; w:h-ansi=&quot;Cambria Math&quot;/&gt;&lt;wx:font wx:val=&quot;Cambria Math&quot;/&gt;&lt;w:i/&gt;&lt;w:lang w:val=&quot;EN-US&quot;/&gt;&lt;/w:rPr&gt;&lt;m:t&gt;i,t&lt;/m:t&gt;&lt;/m:r&gt;&lt;/m:sub&gt;&lt;/m:sSub&gt;&lt;/m:num&gt;&lt;m:den&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Assets&lt;/m:t&gt;&lt;/m:r&gt;&lt;/m:e&gt;&lt;m:sub&gt;&lt;m:r&gt;&lt;w:rPr&gt;&lt;w:rFonts w:ascii=&quot;Cambria Math&quot; w:h-ansi=&quot;Cambria Math&quot;/&gt;&lt;wx:font wx:val=&quot;Cambria Math&quot;/&gt;&lt;w:i/&gt;&lt;w:lang w:val=&quot;EN-US&quot;/&gt;&lt;/w:rPr&gt;&lt;m:t&gt;i,t-1 &lt;/m:t&gt;&lt;/m:r&gt;&lt;/m:sub&gt;&lt;/m:sSub&gt;&lt;/m:den&gt;&lt;/m:f&gt;&lt;m:r&gt;&lt;w:rPr&gt;&lt;w:rFonts w:ascii=&quot;Cambria Math&quot; w:h-ansi=&quot;Cambria Math&quot;/&gt;&lt;wx:font wx:val=&quot;Cambria Math&quot;/&gt;&lt;w:i/&gt;&lt;w:lang w:val=&quot;EN-US&quot;/&gt;&lt;/w:rPr&gt;&lt;m:t&gt;= &lt;/m:t&gt;&lt;/m:r&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Î²&lt;/m:t&gt;&lt;/m:r&gt;&lt;/m:e&gt;&lt;m:sub&gt;&lt;m:r&gt;&lt;w:rPr&gt;&lt;w:rFonts w:ascii=&quot;Cambria Math&quot; w:h-ansi=&quot;Cambria Math&quot;/&gt;&lt;wx:font wx:val=&quot;Cambria Math&quot;/&gt;&lt;w:i/&gt;&lt;w:lang w:val=&quot;EN-US&quot;/&gt;&lt;/w:rPr&gt;&lt;m:t&gt;0, j,t&lt;/m:t&gt;&lt;/m:r&gt;&lt;/m:sub&gt;&lt;/m:sSub&gt;&lt;m:d&gt;&lt;m:dPr&gt;&lt;m:begChr m:val=&quot;[&quot;/&gt;&lt;m:endChr m:val=&quot;]&quot;/&gt;&lt;m:ctrlPr&gt;&lt;w:rPr&gt;&lt;w:rFonts w:ascii=&quot;Cambria Math&quot; w:h-ansi=&quot;Cambria Math&quot;/&gt;&lt;wx:font wx:val=&quot;Cambria Math&quot;/&gt;&lt;w:i/&gt;&lt;w:lang w:val=&quot;EN-US&quot;/&gt;&lt;/w:rPr&gt;&lt;/m:ctrlPr&gt;&lt;/m:dPr&gt;&lt;m:e&gt;&lt;m:f&gt;&lt;m:fPr&gt;&lt;m:ctrlPr&gt;&lt;w:rPr&gt;&lt;w:rFonts w:ascii=&quot;Cambria Math&quot; w:h-ansi=&quot;Cambria Math&quot;/&gt;&lt;wx:font wx:val=&quot;Cambria Math&quot;/&gt;&lt;w:i/&gt;&lt;w:lang w:val=&quot;EN-US&quot;/&gt;&lt;/w:rPr&gt;&lt;/m:ctrlPr&gt;&lt;/m:fPr&gt;&lt;m:num&gt;&lt;m:r&gt;&lt;w:rPr&gt;&lt;w:rFonts w:ascii=&quot;Cambria Math&quot; w:h-ansi=&quot;Cambria Math&quot;/&gt;&lt;wx:font wx:val=&quot;Cambria Math&quot;/&gt;&lt;w:i/&gt;&lt;w:lang w:val=&quot;EN-US&quot;/&gt;&lt;/w:rPr&gt;&lt;m:t&gt;1&lt;/m:t&gt;&lt;/m:r&gt;&lt;/m:num&gt;&lt;m:den&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Assets&lt;/m:t&gt;&lt;/m:r&gt;&lt;/m:e&gt;&lt;m:sub&gt;&lt;m:r&gt;&lt;w:rPr&gt;&lt;w:rFonts w:ascii=&quot;Cambria Math&quot; w:h-ansi=&quot;Cambria Math&quot;/&gt;&lt;wx:font wx:val=&quot;Cambria Math&quot;/&gt;&lt;w:i/&gt;&lt;w:lang w:val=&quot;EN-US&quot;/&gt;&lt;/w:rPr&gt;&lt;m:t&gt;i,t-1 &lt;/m:t&gt;&lt;/m:r&gt;&lt;/m:sub&gt;&lt;/m:sSub&gt;&lt;/m:den&gt;&lt;/m:f&gt;&lt;/m:e&gt;&lt;/m:d&gt;&lt;m:r&gt;&lt;w:rPr&gt;&lt;w:rFonts w:ascii=&quot;Cambria Math&quot; w:h-ansi=&quot;Cambria Math&quot;/&gt;&lt;wx:font wx:val=&quot;Cambria Math&quot;/&gt;&lt;w:i/&gt;&lt;w:lang w:val=&quot;EN-US&quot;/&gt;&lt;/w:rPr&gt;&lt;m:t&gt;+ &lt;/m:t&gt;&lt;/m:r&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Î²&lt;/m:t&gt;&lt;/m:r&gt;&lt;/m:e&gt;&lt;m:sub&gt;&lt;m:r&gt;&lt;w:rPr&gt;&lt;w:rFonts w:ascii=&quot;Cambria Math&quot; w:h-ansi=&quot;Cambria Math&quot;/&gt;&lt;wx:font wx:val=&quot;Cambria Math&quot;/&gt;&lt;w:i/&gt;&lt;w:lang w:val=&quot;EN-US&quot;/&gt;&lt;/w:rPr&gt;&lt;m:t&gt;1, j,t&lt;/m:t&gt;&lt;/m:r&gt;&lt;/m:sub&gt;&lt;/m:sSub&gt;&lt;m:d&gt;&lt;m:dPr&gt;&lt;m:begChr m:val=&quot;[&quot;/&gt;&lt;m:endChr m:val=&quot;]&quot;/&gt;&lt;m:ctrlPr&gt;&lt;w:rPr&gt;&lt;w:rFonts w:ascii=&quot;Cambria Math&quot; w:h-ansi=&quot;Cambria Math&quot;/&gt;&lt;wx:font wx:val=&quot;Cambria Math&quot;/&gt;&lt;w:i/&gt;&lt;w:lang w:val=&quot;EN-US&quot;/&gt;&lt;/w:rPr&gt;&lt;/m:ctrlPr&gt;&lt;/m:dPr&gt;&lt;m:e&gt;&lt;m:f&gt;&lt;m:fPr&gt;&lt;m:ctrlPr&gt;&lt;w:rPr&gt;&lt;w:rFonts w:ascii=&quot;Cambria Math&quot; w:h-ansi=&quot;Cambria Math&quot;/&gt;&lt;wx:font wx:val=&quot;Cambria Math&quot;/&gt;&lt;w:i/&gt;&lt;w:lang w:val=&quot;EN-US&quot;/&gt;&lt;/w:rPr&gt;&lt;/m:ctrlPr&gt;&lt;/m:fPr&gt;&lt;m:num&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âˆ†REV&lt;/m:t&gt;&lt;/m:r&gt;&lt;/m:e&gt;&lt;m:sub&gt;&lt;m:r&gt;&lt;w:rPr&gt;&lt;w:rFonts w:ascii=&quot;Cambria Math&quot; w:h-ansi=&quot;Cambria Math&quot;/&gt;&lt;wx:font wx:val=&quot;Cambria Math&quot;/&gt;&lt;w:i/&gt;&lt;w:lang w:val=&quot;EN-US&quot;/&gt;&lt;/w:rPr&gt;&lt;m:t&gt;i,t&lt;/m:t&gt;&lt;/m:r&gt;&lt;/m:sub&gt;&lt;/m:sSub&gt;&lt;m:r&gt;&lt;w:rPr&gt;&lt;w:rFonts w:ascii=&quot;Cambria Math&quot; w:h-ansi=&quot;Cambria Math&quot;/&gt;&lt;wx:font wx:val=&quot;Cambria Math&quot;/&gt;&lt;w:i/&gt;&lt;w:lang w:val=&quot;EN-US&quot;/&gt;&lt;/w:rPr&gt;&lt;m:t&gt;-&lt;/m:t&gt;&lt;/m:r&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âˆ†REC&lt;/m:t&gt;&lt;/m:r&gt;&lt;/m:e&gt;&lt;m:sub&gt;&lt;m:r&gt;&lt;w:rPr&gt;&lt;w:rFonts w:ascii=&quot;Cambria Math&quot; w:h-ansi=&quot;Cambria Math&quot;/&gt;&lt;wx:font wx:val=&quot;Cambria Math&quot;/&gt;&lt;w:i/&gt;&lt;w:lang w:val=&quot;EN-US&quot;/&gt;&lt;/w:rPr&gt;&lt;m:t&gt;i,t&lt;/m:t&gt;&lt;/m:r&gt;&lt;/m:sub&gt;&lt;/m:sSub&gt;&lt;/m:num&gt;&lt;m:den&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Assets&lt;/m:t&gt;&lt;/m:r&gt;&lt;/m:e&gt;&lt;m:sub&gt;&lt;m:r&gt;&lt;w:rPr&gt;&lt;w:rFonts w:ascii=&quot;Cambria Math&quot; w:h-ansi=&quot;Cambria Math&quot;/&gt;&lt;wx:font wx:val=&quot;Cambria Math&quot;/&gt;&lt;w:i/&gt;&lt;w:lang w:val=&quot;EN-US&quot;/&gt;&lt;/w:rPr&gt;&lt;m:t&gt;i,t-1 &lt;/m:t&gt;&lt;/m:r&gt;&lt;/m:sub&gt;&lt;/m:sSub&gt;&lt;/m:den&gt;&lt;/m:f&gt;&lt;/m:e&gt;&lt;/m:d&gt;&lt;m:r&gt;&lt;w:rPr&gt;&lt;w:rFonts w:ascii=&quot;Cambria Math&quot; w:h-ansi=&quot;Cambria Math&quot;/&gt;&lt;wx:font wx:val=&quot;Cambria Math&quot;/&gt;&lt;w:i/&gt;&lt;w:lang w:val=&quot;EN-US&quot;/&gt;&lt;/w:rPr&gt;&lt;m:t&gt;+&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9" o:title="" chromakey="white"/>
          </v:shape>
        </w:pict>
      </w:r>
      <w:r w:rsidRPr="006E06F2">
        <w:rPr>
          <w:lang w:val="en-US"/>
        </w:rPr>
        <w:instrText xml:space="preserve"> </w:instrText>
      </w:r>
      <w:r w:rsidRPr="006E06F2">
        <w:rPr>
          <w:lang w:val="en-US"/>
        </w:rPr>
        <w:fldChar w:fldCharType="separate"/>
      </w:r>
      <w:r w:rsidRPr="006E06F2">
        <w:pict>
          <v:shape id="_x0000_i1048" type="#_x0000_t75" style="width:306.75pt;height:26.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683&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C71683&quot;&gt;&lt;m:oMathPara&gt;&lt;m:oMath&gt;&lt;m:f&gt;&lt;m:fPr&gt;&lt;m:ctrlPr&gt;&lt;w:rPr&gt;&lt;w:rFonts w:ascii=&quot;Cambria Math&quot; w:h-ansi=&quot;Cambria Math&quot;/&gt;&lt;wx:font wx:val=&quot;Cambria Math&quot;/&gt;&lt;w:i/&gt;&lt;w:lang w:val=&quot;EN-US&quot;/&gt;&lt;/w:rPr&gt;&lt;/m:ctrlPr&gt;&lt;/m:fPr&gt;&lt;m:num&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TA&lt;/m:t&gt;&lt;/m:r&gt;&lt;/m:e&gt;&lt;m:sub&gt;&lt;m:r&gt;&lt;w:rPr&gt;&lt;w:rFonts w:ascii=&quot;Cambria Math&quot; w:h-ansi=&quot;Cambria Math&quot;/&gt;&lt;wx:font wx:val=&quot;Cambria Math&quot;/&gt;&lt;w:i/&gt;&lt;w:lang w:val=&quot;EN-US&quot;/&gt;&lt;/w:rPr&gt;&lt;m:t&gt;i,t&lt;/m:t&gt;&lt;/m:r&gt;&lt;/m:sub&gt;&lt;/m:sSub&gt;&lt;/m:num&gt;&lt;m:den&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Assets&lt;/m:t&gt;&lt;/m:r&gt;&lt;/m:e&gt;&lt;m:sub&gt;&lt;m:r&gt;&lt;w:rPr&gt;&lt;w:rFonts w:ascii=&quot;Cambria Math&quot; w:h-ansi=&quot;Cambria Math&quot;/&gt;&lt;wx:font wx:val=&quot;Cambria Math&quot;/&gt;&lt;w:i/&gt;&lt;w:lang w:val=&quot;EN-US&quot;/&gt;&lt;/w:rPr&gt;&lt;m:t&gt;i,t-1 &lt;/m:t&gt;&lt;/m:r&gt;&lt;/m:sub&gt;&lt;/m:sSub&gt;&lt;/m:den&gt;&lt;/m:f&gt;&lt;m:r&gt;&lt;w:rPr&gt;&lt;w:rFonts w:ascii=&quot;Cambria Math&quot; w:h-ansi=&quot;Cambria Math&quot;/&gt;&lt;wx:font wx:val=&quot;Cambria Math&quot;/&gt;&lt;w:i/&gt;&lt;w:lang w:val=&quot;EN-US&quot;/&gt;&lt;/w:rPr&gt;&lt;m:t&gt;= &lt;/m:t&gt;&lt;/m:r&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Î²&lt;/m:t&gt;&lt;/m:r&gt;&lt;/m:e&gt;&lt;m:sub&gt;&lt;m:r&gt;&lt;w:rPr&gt;&lt;w:rFonts w:ascii=&quot;Cambria Math&quot; w:h-ansi=&quot;Cambria Math&quot;/&gt;&lt;wx:font wx:val=&quot;Cambria Math&quot;/&gt;&lt;w:i/&gt;&lt;w:lang w:val=&quot;EN-US&quot;/&gt;&lt;/w:rPr&gt;&lt;m:t&gt;0, j,t&lt;/m:t&gt;&lt;/m:r&gt;&lt;/m:sub&gt;&lt;/m:sSub&gt;&lt;m:d&gt;&lt;m:dPr&gt;&lt;m:begChr m:val=&quot;[&quot;/&gt;&lt;m:endChr m:val=&quot;]&quot;/&gt;&lt;m:ctrlPr&gt;&lt;w:rPr&gt;&lt;w:rFonts w:ascii=&quot;Cambria Math&quot; w:h-ansi=&quot;Cambria Math&quot;/&gt;&lt;wx:font wx:val=&quot;Cambria Math&quot;/&gt;&lt;w:i/&gt;&lt;w:lang w:val=&quot;EN-US&quot;/&gt;&lt;/w:rPr&gt;&lt;/m:ctrlPr&gt;&lt;/m:dPr&gt;&lt;m:e&gt;&lt;m:f&gt;&lt;m:fPr&gt;&lt;m:ctrlPr&gt;&lt;w:rPr&gt;&lt;w:rFonts w:ascii=&quot;Cambria Math&quot; w:h-ansi=&quot;Cambria Math&quot;/&gt;&lt;wx:font wx:val=&quot;Cambria Math&quot;/&gt;&lt;w:i/&gt;&lt;w:lang w:val=&quot;EN-US&quot;/&gt;&lt;/w:rPr&gt;&lt;/m:ctrlPr&gt;&lt;/m:fPr&gt;&lt;m:num&gt;&lt;m:r&gt;&lt;w:rPr&gt;&lt;w:rFonts w:ascii=&quot;Cambria Math&quot; w:h-ansi=&quot;Cambria Math&quot;/&gt;&lt;wx:font wx:val=&quot;Cambria Math&quot;/&gt;&lt;w:i/&gt;&lt;w:lang w:val=&quot;EN-US&quot;/&gt;&lt;/w:rPr&gt;&lt;m:t&gt;1&lt;/m:t&gt;&lt;/m:r&gt;&lt;/m:num&gt;&lt;m:den&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Assets&lt;/m:t&gt;&lt;/m:r&gt;&lt;/m:e&gt;&lt;m:sub&gt;&lt;m:r&gt;&lt;w:rPr&gt;&lt;w:rFonts w:ascii=&quot;Cambria Math&quot; w:h-ansi=&quot;Cambria Math&quot;/&gt;&lt;wx:font wx:val=&quot;Cambria Math&quot;/&gt;&lt;w:i/&gt;&lt;w:lang w:val=&quot;EN-US&quot;/&gt;&lt;/w:rPr&gt;&lt;m:t&gt;i,t-1 &lt;/m:t&gt;&lt;/m:r&gt;&lt;/m:sub&gt;&lt;/m:sSub&gt;&lt;/m:den&gt;&lt;/m:f&gt;&lt;/m:e&gt;&lt;/m:d&gt;&lt;m:r&gt;&lt;w:rPr&gt;&lt;w:rFonts w:ascii=&quot;Cambria Math&quot; w:h-ansi=&quot;Cambria Math&quot;/&gt;&lt;wx:font wx:val=&quot;Cambria Math&quot;/&gt;&lt;w:i/&gt;&lt;w:lang w:val=&quot;EN-US&quot;/&gt;&lt;/w:rPr&gt;&lt;m:t&gt;+ &lt;/m:t&gt;&lt;/m:r&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Î²&lt;/m:t&gt;&lt;/m:r&gt;&lt;/m:e&gt;&lt;m:sub&gt;&lt;m:r&gt;&lt;w:rPr&gt;&lt;w:rFonts w:ascii=&quot;Cambria Math&quot; w:h-ansi=&quot;Cambria Math&quot;/&gt;&lt;wx:font wx:val=&quot;Cambria Math&quot;/&gt;&lt;w:i/&gt;&lt;w:lang w:val=&quot;EN-US&quot;/&gt;&lt;/w:rPr&gt;&lt;m:t&gt;1, j,t&lt;/m:t&gt;&lt;/m:r&gt;&lt;/m:sub&gt;&lt;/m:sSub&gt;&lt;m:d&gt;&lt;m:dPr&gt;&lt;m:begChr m:val=&quot;[&quot;/&gt;&lt;m:endChr m:val=&quot;]&quot;/&gt;&lt;m:ctrlPr&gt;&lt;w:rPr&gt;&lt;w:rFonts w:ascii=&quot;Cambria Math&quot; w:h-ansi=&quot;Cambria Math&quot;/&gt;&lt;wx:font wx:val=&quot;Cambria Math&quot;/&gt;&lt;w:i/&gt;&lt;w:lang w:val=&quot;EN-US&quot;/&gt;&lt;/w:rPr&gt;&lt;/m:ctrlPr&gt;&lt;/m:dPr&gt;&lt;m:e&gt;&lt;m:f&gt;&lt;m:fPr&gt;&lt;m:ctrlPr&gt;&lt;w:rPr&gt;&lt;w:rFonts w:ascii=&quot;Cambria Math&quot; w:h-ansi=&quot;Cambria Math&quot;/&gt;&lt;wx:font wx:val=&quot;Cambria Math&quot;/&gt;&lt;w:i/&gt;&lt;w:lang w:val=&quot;EN-US&quot;/&gt;&lt;/w:rPr&gt;&lt;/m:ctrlPr&gt;&lt;/m:fPr&gt;&lt;m:num&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âˆ†REV&lt;/m:t&gt;&lt;/m:r&gt;&lt;/m:e&gt;&lt;m:sub&gt;&lt;m:r&gt;&lt;w:rPr&gt;&lt;w:rFonts w:ascii=&quot;Cambria Math&quot; w:h-ansi=&quot;Cambria Math&quot;/&gt;&lt;wx:font wx:val=&quot;Cambria Math&quot;/&gt;&lt;w:i/&gt;&lt;w:lang w:val=&quot;EN-US&quot;/&gt;&lt;/w:rPr&gt;&lt;m:t&gt;i,t&lt;/m:t&gt;&lt;/m:r&gt;&lt;/m:sub&gt;&lt;/m:sSub&gt;&lt;m:r&gt;&lt;w:rPr&gt;&lt;w:rFonts w:ascii=&quot;Cambria Math&quot; w:h-ansi=&quot;Cambria Math&quot;/&gt;&lt;wx:font wx:val=&quot;Cambria Math&quot;/&gt;&lt;w:i/&gt;&lt;w:lang w:val=&quot;EN-US&quot;/&gt;&lt;/w:rPr&gt;&lt;m:t&gt;-&lt;/m:t&gt;&lt;/m:r&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âˆ†REC&lt;/m:t&gt;&lt;/m:r&gt;&lt;/m:e&gt;&lt;m:sub&gt;&lt;m:r&gt;&lt;w:rPr&gt;&lt;w:rFonts w:ascii=&quot;Cambria Math&quot; w:h-ansi=&quot;Cambria Math&quot;/&gt;&lt;wx:font wx:val=&quot;Cambria Math&quot;/&gt;&lt;w:i/&gt;&lt;w:lang w:val=&quot;EN-US&quot;/&gt;&lt;/w:rPr&gt;&lt;m:t&gt;i,t&lt;/m:t&gt;&lt;/m:r&gt;&lt;/m:sub&gt;&lt;/m:sSub&gt;&lt;/m:num&gt;&lt;m:den&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Assets&lt;/m:t&gt;&lt;/m:r&gt;&lt;/m:e&gt;&lt;m:sub&gt;&lt;m:r&gt;&lt;w:rPr&gt;&lt;w:rFonts w:ascii=&quot;Cambria Math&quot; w:h-ansi=&quot;Cambria Math&quot;/&gt;&lt;wx:font wx:val=&quot;Cambria Math&quot;/&gt;&lt;w:i/&gt;&lt;w:lang w:val=&quot;EN-US&quot;/&gt;&lt;/w:rPr&gt;&lt;m:t&gt;i,t-1 &lt;/m:t&gt;&lt;/m:r&gt;&lt;/m:sub&gt;&lt;/m:sSub&gt;&lt;/m:den&gt;&lt;/m:f&gt;&lt;/m:e&gt;&lt;/m:d&gt;&lt;m:r&gt;&lt;w:rPr&gt;&lt;w:rFonts w:ascii=&quot;Cambria Math&quot; w:h-ansi=&quot;Cambria Math&quot;/&gt;&lt;wx:font wx:val=&quot;Cambria Math&quot;/&gt;&lt;w:i/&gt;&lt;w:lang w:val=&quot;EN-US&quot;/&gt;&lt;/w:rPr&gt;&lt;m:t&gt;+&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19" o:title="" chromakey="white"/>
          </v:shape>
        </w:pict>
      </w:r>
      <w:r w:rsidRPr="006E06F2">
        <w:rPr>
          <w:lang w:val="en-US"/>
        </w:rPr>
        <w:fldChar w:fldCharType="end"/>
      </w:r>
    </w:p>
    <w:p w:rsidR="00334F38" w:rsidRDefault="00334F38" w:rsidP="00182D6E">
      <w:pPr>
        <w:autoSpaceDE w:val="0"/>
        <w:autoSpaceDN w:val="0"/>
        <w:adjustRightInd w:val="0"/>
        <w:spacing w:line="360" w:lineRule="auto"/>
        <w:jc w:val="both"/>
        <w:rPr>
          <w:sz w:val="22"/>
          <w:szCs w:val="22"/>
          <w:lang w:val="en-US"/>
        </w:rPr>
      </w:pPr>
      <w:r w:rsidRPr="006E06F2">
        <w:rPr>
          <w:sz w:val="22"/>
          <w:szCs w:val="22"/>
          <w:lang w:val="en-US"/>
        </w:rPr>
        <w:fldChar w:fldCharType="begin"/>
      </w:r>
      <w:r w:rsidRPr="006E06F2">
        <w:rPr>
          <w:sz w:val="22"/>
          <w:szCs w:val="22"/>
          <w:lang w:val="en-US"/>
        </w:rPr>
        <w:instrText xml:space="preserve"> QUOTE </w:instrText>
      </w:r>
      <w:r w:rsidRPr="006E06F2">
        <w:pict>
          <v:shape id="_x0000_i1049" type="#_x0000_t75" style="width:225pt;height:27.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3692&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743692&quot;&gt;&lt;m:oMathPara&gt;&lt;m:oMath&gt;&lt;m:r&gt;&lt;w:rPr&gt;&lt;w:rFonts w:ascii=&quot;Cambria Math&quot; w:h-ansi=&quot;Cambria Math&quot;/&gt;&lt;wx:font wx:val=&quot;Cambria Math&quot;/&gt;&lt;w:i/&gt;&lt;w:lang w:val=&quot;EN-US&quot;/&gt;&lt;/w:rPr&gt;&lt;m:t&gt;                                           + &lt;/m:t&gt;&lt;/m:r&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Î²&lt;/m:t&gt;&lt;/m:r&gt;&lt;/m:e&gt;&lt;m:sub&gt;&lt;m:r&gt;&lt;w:rPr&gt;&lt;w:rFonts w:ascii=&quot;Cambria Math&quot; w:h-ansi=&quot;Cambria Math&quot;/&gt;&lt;wx:font wx:val=&quot;Cambria Math&quot;/&gt;&lt;w:i/&gt;&lt;w:lang w:val=&quot;EN-US&quot;/&gt;&lt;/w:rPr&gt;&lt;m:t&gt;2, j,t&lt;/m:t&gt;&lt;/m:r&gt;&lt;/m:sub&gt;&lt;/m:sSub&gt;&lt;m:d&gt;&lt;m:dPr&gt;&lt;m:begChr m:val=&quot;[&quot;/&gt;&lt;m:endChr m:val=&quot;]&quot;/&gt;&lt;m:ctrlPr&gt;&lt;w:rPr&gt;&lt;w:rFonts w:ascii=&quot;Cambria Math&quot; w:h-ansi=&quot;Cambria Math&quot;/&gt;&lt;wx:font wx:val=&quot;Cambria Math&quot;/&gt;&lt;w:i/&gt;&lt;w:lang w:val=&quot;EN-US&quot;/&gt;&lt;/w:rPr&gt;&lt;/m:ctrlPr&gt;&lt;/m:dPr&gt;&lt;m:e&gt;&lt;m:f&gt;&lt;m:fPr&gt;&lt;m:ctrlPr&gt;&lt;w:rPr&gt;&lt;w:rFonts w:ascii=&quot;Cambria Math&quot; w:h-ansi=&quot;Cambria Math&quot;/&gt;&lt;wx:font wx:val=&quot;Cambria Math&quot;/&gt;&lt;w:i/&gt;&lt;w:lang w:val=&quot;EN-US&quot;/&gt;&lt;/w:rPr&gt;&lt;/m:ctrlPr&gt;&lt;/m:fPr&gt;&lt;m:num&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PPE&lt;/m:t&gt;&lt;/m:r&gt;&lt;/m:e&gt;&lt;m:sub&gt;&lt;m:r&gt;&lt;w:rPr&gt;&lt;w:rFonts w:ascii=&quot;Cambria Math&quot; w:h-ansi=&quot;Cambria Math&quot;/&gt;&lt;wx:font wx:val=&quot;Cambria Math&quot;/&gt;&lt;w:i/&gt;&lt;w:lang w:val=&quot;EN-US&quot;/&gt;&lt;/w:rPr&gt;&lt;m:t&gt;i,t&lt;/m:t&gt;&lt;/m:r&gt;&lt;/m:sub&gt;&lt;/m:sSub&gt;&lt;/m:num&gt;&lt;m:den&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Assets&lt;/m:t&gt;&lt;/m:r&gt;&lt;/m:e&gt;&lt;m:sub&gt;&lt;m:r&gt;&lt;w:rPr&gt;&lt;w:rFonts w:ascii=&quot;Cambria Math&quot; w:h-ansi=&quot;Cambria Math&quot;/&gt;&lt;wx:font wx:val=&quot;Cambria Math&quot;/&gt;&lt;w:i/&gt;&lt;w:lang w:val=&quot;EN-US&quot;/&gt;&lt;/w:rPr&gt;&lt;m:t&gt;i,t-1 &lt;/m:t&gt;&lt;/m:r&gt;&lt;/m:sub&gt;&lt;/m:sSub&gt;&lt;/m:den&gt;&lt;/m:f&gt;&lt;/m:e&gt;&lt;/m:d&gt;&lt;m:r&gt;&lt;w:rPr&gt;&lt;w:rFonts w:ascii=&quot;Cambria Math&quot; w:h-ansi=&quot;Cambria Math&quot;/&gt;&lt;wx:font wx:val=&quot;Cambria Math&quot;/&gt;&lt;w:i/&gt;&lt;w:lang w:val=&quot;EN-US&quot;/&gt;&lt;/w:rPr&gt;&lt;m:t&gt;+&lt;/m:t&gt;&lt;/m:r&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 Îµ&lt;/m:t&gt;&lt;/m:r&gt;&lt;/m:e&gt;&lt;m:sub&gt;&lt;m:r&gt;&lt;w:rPr&gt;&lt;w:rFonts w:ascii=&quot;Cambria Math&quot; w:h-ansi=&quot;Cambria Math&quot;/&gt;&lt;wx:font wx:val=&quot;Cambria Math&quot;/&gt;&lt;w:i/&gt;&lt;w:lang w:val=&quot;EN-US&quot;/&gt;&lt;/w:rPr&gt;&lt;m:t&gt;j,t&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20" o:title="" chromakey="white"/>
          </v:shape>
        </w:pict>
      </w:r>
      <w:r w:rsidRPr="006E06F2">
        <w:rPr>
          <w:sz w:val="22"/>
          <w:szCs w:val="22"/>
          <w:lang w:val="en-US"/>
        </w:rPr>
        <w:instrText xml:space="preserve"> </w:instrText>
      </w:r>
      <w:r w:rsidRPr="006E06F2">
        <w:rPr>
          <w:sz w:val="22"/>
          <w:szCs w:val="22"/>
          <w:lang w:val="en-US"/>
        </w:rPr>
        <w:fldChar w:fldCharType="separate"/>
      </w:r>
      <w:r w:rsidRPr="006E06F2">
        <w:pict>
          <v:shape id="_x0000_i1050" type="#_x0000_t75" style="width:225pt;height:27.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3692&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743692&quot;&gt;&lt;m:oMathPara&gt;&lt;m:oMath&gt;&lt;m:r&gt;&lt;w:rPr&gt;&lt;w:rFonts w:ascii=&quot;Cambria Math&quot; w:h-ansi=&quot;Cambria Math&quot;/&gt;&lt;wx:font wx:val=&quot;Cambria Math&quot;/&gt;&lt;w:i/&gt;&lt;w:lang w:val=&quot;EN-US&quot;/&gt;&lt;/w:rPr&gt;&lt;m:t&gt;                                           + &lt;/m:t&gt;&lt;/m:r&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Î²&lt;/m:t&gt;&lt;/m:r&gt;&lt;/m:e&gt;&lt;m:sub&gt;&lt;m:r&gt;&lt;w:rPr&gt;&lt;w:rFonts w:ascii=&quot;Cambria Math&quot; w:h-ansi=&quot;Cambria Math&quot;/&gt;&lt;wx:font wx:val=&quot;Cambria Math&quot;/&gt;&lt;w:i/&gt;&lt;w:lang w:val=&quot;EN-US&quot;/&gt;&lt;/w:rPr&gt;&lt;m:t&gt;2, j,t&lt;/m:t&gt;&lt;/m:r&gt;&lt;/m:sub&gt;&lt;/m:sSub&gt;&lt;m:d&gt;&lt;m:dPr&gt;&lt;m:begChr m:val=&quot;[&quot;/&gt;&lt;m:endChr m:val=&quot;]&quot;/&gt;&lt;m:ctrlPr&gt;&lt;w:rPr&gt;&lt;w:rFonts w:ascii=&quot;Cambria Math&quot; w:h-ansi=&quot;Cambria Math&quot;/&gt;&lt;wx:font wx:val=&quot;Cambria Math&quot;/&gt;&lt;w:i/&gt;&lt;w:lang w:val=&quot;EN-US&quot;/&gt;&lt;/w:rPr&gt;&lt;/m:ctrlPr&gt;&lt;/m:dPr&gt;&lt;m:e&gt;&lt;m:f&gt;&lt;m:fPr&gt;&lt;m:ctrlPr&gt;&lt;w:rPr&gt;&lt;w:rFonts w:ascii=&quot;Cambria Math&quot; w:h-ansi=&quot;Cambria Math&quot;/&gt;&lt;wx:font wx:val=&quot;Cambria Math&quot;/&gt;&lt;w:i/&gt;&lt;w:lang w:val=&quot;EN-US&quot;/&gt;&lt;/w:rPr&gt;&lt;/m:ctrlPr&gt;&lt;/m:fPr&gt;&lt;m:num&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PPE&lt;/m:t&gt;&lt;/m:r&gt;&lt;/m:e&gt;&lt;m:sub&gt;&lt;m:r&gt;&lt;w:rPr&gt;&lt;w:rFonts w:ascii=&quot;Cambria Math&quot; w:h-ansi=&quot;Cambria Math&quot;/&gt;&lt;wx:font wx:val=&quot;Cambria Math&quot;/&gt;&lt;w:i/&gt;&lt;w:lang w:val=&quot;EN-US&quot;/&gt;&lt;/w:rPr&gt;&lt;m:t&gt;i,t&lt;/m:t&gt;&lt;/m:r&gt;&lt;/m:sub&gt;&lt;/m:sSub&gt;&lt;/m:num&gt;&lt;m:den&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Assets&lt;/m:t&gt;&lt;/m:r&gt;&lt;/m:e&gt;&lt;m:sub&gt;&lt;m:r&gt;&lt;w:rPr&gt;&lt;w:rFonts w:ascii=&quot;Cambria Math&quot; w:h-ansi=&quot;Cambria Math&quot;/&gt;&lt;wx:font wx:val=&quot;Cambria Math&quot;/&gt;&lt;w:i/&gt;&lt;w:lang w:val=&quot;EN-US&quot;/&gt;&lt;/w:rPr&gt;&lt;m:t&gt;i,t-1 &lt;/m:t&gt;&lt;/m:r&gt;&lt;/m:sub&gt;&lt;/m:sSub&gt;&lt;/m:den&gt;&lt;/m:f&gt;&lt;/m:e&gt;&lt;/m:d&gt;&lt;m:r&gt;&lt;w:rPr&gt;&lt;w:rFonts w:ascii=&quot;Cambria Math&quot; w:h-ansi=&quot;Cambria Math&quot;/&gt;&lt;wx:font wx:val=&quot;Cambria Math&quot;/&gt;&lt;w:i/&gt;&lt;w:lang w:val=&quot;EN-US&quot;/&gt;&lt;/w:rPr&gt;&lt;m:t&gt;+&lt;/m:t&gt;&lt;/m:r&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 Îµ&lt;/m:t&gt;&lt;/m:r&gt;&lt;/m:e&gt;&lt;m:sub&gt;&lt;m:r&gt;&lt;w:rPr&gt;&lt;w:rFonts w:ascii=&quot;Cambria Math&quot; w:h-ansi=&quot;Cambria Math&quot;/&gt;&lt;wx:font wx:val=&quot;Cambria Math&quot;/&gt;&lt;w:i/&gt;&lt;w:lang w:val=&quot;EN-US&quot;/&gt;&lt;/w:rPr&gt;&lt;m:t&gt;j,t&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20" o:title="" chromakey="white"/>
          </v:shape>
        </w:pict>
      </w:r>
      <w:r w:rsidRPr="006E06F2">
        <w:rPr>
          <w:sz w:val="22"/>
          <w:szCs w:val="22"/>
          <w:lang w:val="en-US"/>
        </w:rPr>
        <w:fldChar w:fldCharType="end"/>
      </w:r>
      <w:r>
        <w:rPr>
          <w:sz w:val="22"/>
          <w:szCs w:val="22"/>
          <w:lang w:val="en-US"/>
        </w:rPr>
        <w:t xml:space="preserve">                                                                         (5)</w:t>
      </w:r>
    </w:p>
    <w:p w:rsidR="00334F38" w:rsidRPr="00C3324E" w:rsidRDefault="00334F38" w:rsidP="00182D6E">
      <w:pPr>
        <w:autoSpaceDE w:val="0"/>
        <w:autoSpaceDN w:val="0"/>
        <w:adjustRightInd w:val="0"/>
        <w:spacing w:line="360" w:lineRule="auto"/>
        <w:jc w:val="both"/>
        <w:rPr>
          <w:sz w:val="22"/>
          <w:szCs w:val="22"/>
          <w:lang w:val="en-US"/>
        </w:rPr>
      </w:pPr>
    </w:p>
    <w:p w:rsidR="00334F38" w:rsidRDefault="00334F38" w:rsidP="00182D6E">
      <w:pPr>
        <w:autoSpaceDE w:val="0"/>
        <w:autoSpaceDN w:val="0"/>
        <w:adjustRightInd w:val="0"/>
        <w:spacing w:line="360" w:lineRule="auto"/>
        <w:jc w:val="both"/>
        <w:rPr>
          <w:sz w:val="22"/>
          <w:szCs w:val="22"/>
          <w:lang w:val="en-US"/>
        </w:rPr>
      </w:pPr>
      <w:r>
        <w:rPr>
          <w:sz w:val="22"/>
          <w:szCs w:val="22"/>
          <w:lang w:val="en-US"/>
        </w:rPr>
        <w:t>Having estimated the non-discretionary component allows me to move on to step 3 of the process; determining the discretionary accruals (DA). I find these DA (scaled by lagged total assets) by subtracting the scaled non-discretionary accrual component (found by using equation 4) from each firms actual total accruals scaled by lagged assets (TA*), represented by equation 6;</w:t>
      </w:r>
    </w:p>
    <w:p w:rsidR="00334F38" w:rsidRDefault="00334F38" w:rsidP="00182D6E">
      <w:pPr>
        <w:autoSpaceDE w:val="0"/>
        <w:autoSpaceDN w:val="0"/>
        <w:adjustRightInd w:val="0"/>
        <w:spacing w:line="360" w:lineRule="auto"/>
        <w:jc w:val="both"/>
        <w:rPr>
          <w:sz w:val="22"/>
          <w:szCs w:val="22"/>
          <w:lang w:val="en-US"/>
        </w:rPr>
      </w:pPr>
    </w:p>
    <w:p w:rsidR="00334F38" w:rsidRDefault="00334F38" w:rsidP="00320251">
      <w:pPr>
        <w:autoSpaceDE w:val="0"/>
        <w:autoSpaceDN w:val="0"/>
        <w:adjustRightInd w:val="0"/>
        <w:spacing w:line="360" w:lineRule="auto"/>
        <w:ind w:firstLine="708"/>
        <w:jc w:val="both"/>
        <w:rPr>
          <w:sz w:val="22"/>
          <w:szCs w:val="22"/>
          <w:lang w:val="en-US"/>
        </w:rPr>
      </w:pPr>
      <w:r>
        <w:rPr>
          <w:sz w:val="22"/>
          <w:szCs w:val="22"/>
          <w:lang w:val="en-US"/>
        </w:rPr>
        <w:t xml:space="preserve"> </w:t>
      </w:r>
      <w:r w:rsidRPr="006E06F2">
        <w:rPr>
          <w:sz w:val="22"/>
          <w:szCs w:val="22"/>
          <w:lang w:val="en-US"/>
        </w:rPr>
        <w:fldChar w:fldCharType="begin"/>
      </w:r>
      <w:r w:rsidRPr="006E06F2">
        <w:rPr>
          <w:sz w:val="22"/>
          <w:szCs w:val="22"/>
          <w:lang w:val="en-US"/>
        </w:rPr>
        <w:instrText xml:space="preserve"> QUOTE </w:instrText>
      </w:r>
      <w:r w:rsidRPr="006E06F2">
        <w:pict>
          <v:shape id="_x0000_i1051" type="#_x0000_t75" style="width:121.5pt;height:12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65689&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A65689&quot;&gt;&lt;m:oMathPara&gt;&lt;m:oMath&gt;&lt;m:sSub&gt;&lt;m:sSubPr&gt;&lt;m:ctrlPr&gt;&lt;w:rPr&gt;&lt;w:rFonts w:ascii=&quot;Cambria Math&quot; w:h-ansi=&quot;Cambria Math&quot;/&gt;&lt;wx:font wx:val=&quot;Cambria Math&quot;/&gt;&lt;w:i/&gt;&lt;w:sz w:val=&quot;22&quot;/&gt;&lt;w:sz-cs w:val=&quot;22&quot;/&gt;&lt;w:lang w:val=&quot;EN-US&quot;/&gt;&lt;/w:rPr&gt;&lt;/m:ctrlPr&gt;&lt;/m:sSubPr&gt;&lt;m:e&gt;&lt;m:r&gt;&lt;w:rPr&gt;&lt;w:rFonts w:ascii=&quot;Cambria Math&quot; w:h-ansi=&quot;Cambria Math&quot;/&gt;&lt;wx:font wx:val=&quot;Cambria Math&quot;/&gt;&lt;w:i/&gt;&lt;w:sz w:val=&quot;22&quot;/&gt;&lt;w:sz-cs w:val=&quot;22&quot;/&gt;&lt;w:lang w:val=&quot;EN-US&quot;/&gt;&lt;/w:rPr&gt;&lt;m:t&gt;DA&lt;/m:t&gt;&lt;/m:r&gt;&lt;/m:e&gt;&lt;m:sub&gt;&lt;m:r&gt;&lt;w:rPr&gt;&lt;w:rFonts w:ascii=&quot;Cambria Math&quot; w:h-ansi=&quot;Cambria Math&quot;/&gt;&lt;wx:font wx:val=&quot;Cambria Math&quot;/&gt;&lt;w:i/&gt;&lt;w:sz w:val=&quot;22&quot;/&gt;&lt;w:sz-cs w:val=&quot;22&quot;/&gt;&lt;w:lang w:val=&quot;EN-US&quot;/&gt;&lt;/w:rPr&gt;&lt;m:t&gt;i,t&lt;/m:t&gt;&lt;/m:r&gt;&lt;/m:sub&gt;&lt;/m:sSub&gt;&lt;m:r&gt;&lt;w:rPr&gt;&lt;w:rFonts w:ascii=&quot;Cambria Math&quot; w:h-ansi=&quot;Cambria Math&quot;/&gt;&lt;wx:font wx:val=&quot;Cambria Math&quot;/&gt;&lt;w:i/&gt;&lt;w:sz w:val=&quot;22&quot;/&gt;&lt;w:sz-cs w:val=&quot;22&quot;/&gt;&lt;w:lang w:val=&quot;EN-US&quot;/&gt;&lt;/w:rPr&gt;&lt;m:t&gt;= &lt;/m:t&gt;&lt;/m:r&gt;&lt;m:sSub&gt;&lt;m:sSubPr&gt;&lt;m:ctrlPr&gt;&lt;w:rPr&gt;&lt;w:rFonts w:ascii=&quot;Cambria Math&quot; w:h-ansi=&quot;Cambria Math&quot;/&gt;&lt;wx:font wx:val=&quot;Cambria Math&quot;/&gt;&lt;w:i/&gt;&lt;w:sz w:val=&quot;22&quot;/&gt;&lt;w:sz-cs w:val=&quot;22&quot;/&gt;&lt;w:lang w:val=&quot;EN-US&quot;/&gt;&lt;/w:rPr&gt;&lt;/m:ctrlPr&gt;&lt;/m:sSubPr&gt;&lt;m:e&gt;&lt;m:r&gt;&lt;w:rPr&gt;&lt;w:rFonts w:ascii=&quot;Cambria Math&quot; w:h-ansi=&quot;Cambria Math&quot;/&gt;&lt;wx:font wx:val=&quot;Cambria Math&quot;/&gt;&lt;w:i/&gt;&lt;w:sz w:val=&quot;22&quot;/&gt;&lt;w:sz-cs w:val=&quot;22&quot;/&gt;&lt;w:lang w:val=&quot;EN-US&quot;/&gt;&lt;/w:rPr&gt;&lt;m:t&gt;TA*&lt;/m:t&gt;&lt;/m:r&gt;&lt;/m:e&gt;&lt;m:sub&gt;&lt;m:r&gt;&lt;w:rPr&gt;&lt;w:rFonts w:ascii=&quot;Cambria Math&quot; w:h-ansi=&quot;Cambria Math&quot;/&gt;&lt;wx:font wx:val=&quot;Cambria Math&quot;/&gt;&lt;w:i/&gt;&lt;w:sz w:val=&quot;22&quot;/&gt;&lt;w:sz-cs w:val=&quot;22&quot;/&gt;&lt;w:lang w:val=&quot;EN-US&quot;/&gt;&lt;/w:rPr&gt;&lt;m:t&gt;i,t&lt;/m:t&gt;&lt;/m:r&gt;&lt;/m:sub&gt;&lt;/m:sSub&gt;&lt;m:r&gt;&lt;w:rPr&gt;&lt;w:rFonts w:ascii=&quot;Cambria Math&quot; w:h-ansi=&quot;Cambria Math&quot;/&gt;&lt;wx:font wx:val=&quot;Cambria Math&quot;/&gt;&lt;w:i/&gt;&lt;w:sz w:val=&quot;22&quot;/&gt;&lt;w:sz-cs w:val=&quot;22&quot;/&gt;&lt;w:lang w:val=&quot;EN-US&quot;/&gt;&lt;/w:rPr&gt;&lt;m:t&gt;- &lt;/m:t&gt;&lt;/m:r&gt;&lt;m:sSub&gt;&lt;m:sSubPr&gt;&lt;m:ctrlPr&gt;&lt;w:rPr&gt;&lt;w:rFonts w:ascii=&quot;Cambria Math&quot; w:h-ansi=&quot;Cambria Math&quot;/&gt;&lt;wx:font wx:val=&quot;Cambria Math&quot;/&gt;&lt;w:i/&gt;&lt;w:sz w:val=&quot;22&quot;/&gt;&lt;w:sz-cs w:val=&quot;22&quot;/&gt;&lt;w:lang w:val=&quot;EN-US&quot;/&gt;&lt;/w:rPr&gt;&lt;/m:ctrlPr&gt;&lt;/m:sSubPr&gt;&lt;m:e&gt;&lt;m:r&gt;&lt;w:rPr&gt;&lt;w:rFonts w:ascii=&quot;Cambria Math&quot; w:h-ansi=&quot;Cambria Math&quot;/&gt;&lt;wx:font wx:val=&quot;Cambria Math&quot;/&gt;&lt;w:i/&gt;&lt;w:sz w:val=&quot;22&quot;/&gt;&lt;w:sz-cs w:val=&quot;22&quot;/&gt;&lt;w:lang w:val=&quot;EN-US&quot;/&gt;&lt;/w:rPr&gt;&lt;m:t&gt;NDA&lt;/m:t&gt;&lt;/m:r&gt;&lt;/m:e&gt;&lt;m:sub&gt;&lt;m:r&gt;&lt;w:rPr&gt;&lt;w:rFonts w:ascii=&quot;Cambria Math&quot; w:h-ansi=&quot;Cambria Math&quot;/&gt;&lt;wx:font wx:val=&quot;Cambria Math&quot;/&gt;&lt;w:i/&gt;&lt;w:sz w:val=&quot;22&quot;/&gt;&lt;w:sz-cs w:val=&quot;22&quot;/&gt;&lt;w:lang w:val=&quot;EN-US&quot;/&gt;&lt;/w:rPr&gt;&lt;m:t&gt;i,t&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21" o:title="" chromakey="white"/>
          </v:shape>
        </w:pict>
      </w:r>
      <w:r w:rsidRPr="006E06F2">
        <w:rPr>
          <w:sz w:val="22"/>
          <w:szCs w:val="22"/>
          <w:lang w:val="en-US"/>
        </w:rPr>
        <w:instrText xml:space="preserve"> </w:instrText>
      </w:r>
      <w:r w:rsidRPr="006E06F2">
        <w:rPr>
          <w:sz w:val="22"/>
          <w:szCs w:val="22"/>
          <w:lang w:val="en-US"/>
        </w:rPr>
        <w:fldChar w:fldCharType="separate"/>
      </w:r>
      <w:r w:rsidRPr="006E06F2">
        <w:pict>
          <v:shape id="_x0000_i1052" type="#_x0000_t75" style="width:121.5pt;height:12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65689&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A65689&quot;&gt;&lt;m:oMathPara&gt;&lt;m:oMath&gt;&lt;m:sSub&gt;&lt;m:sSubPr&gt;&lt;m:ctrlPr&gt;&lt;w:rPr&gt;&lt;w:rFonts w:ascii=&quot;Cambria Math&quot; w:h-ansi=&quot;Cambria Math&quot;/&gt;&lt;wx:font wx:val=&quot;Cambria Math&quot;/&gt;&lt;w:i/&gt;&lt;w:sz w:val=&quot;22&quot;/&gt;&lt;w:sz-cs w:val=&quot;22&quot;/&gt;&lt;w:lang w:val=&quot;EN-US&quot;/&gt;&lt;/w:rPr&gt;&lt;/m:ctrlPr&gt;&lt;/m:sSubPr&gt;&lt;m:e&gt;&lt;m:r&gt;&lt;w:rPr&gt;&lt;w:rFonts w:ascii=&quot;Cambria Math&quot; w:h-ansi=&quot;Cambria Math&quot;/&gt;&lt;wx:font wx:val=&quot;Cambria Math&quot;/&gt;&lt;w:i/&gt;&lt;w:sz w:val=&quot;22&quot;/&gt;&lt;w:sz-cs w:val=&quot;22&quot;/&gt;&lt;w:lang w:val=&quot;EN-US&quot;/&gt;&lt;/w:rPr&gt;&lt;m:t&gt;DA&lt;/m:t&gt;&lt;/m:r&gt;&lt;/m:e&gt;&lt;m:sub&gt;&lt;m:r&gt;&lt;w:rPr&gt;&lt;w:rFonts w:ascii=&quot;Cambria Math&quot; w:h-ansi=&quot;Cambria Math&quot;/&gt;&lt;wx:font wx:val=&quot;Cambria Math&quot;/&gt;&lt;w:i/&gt;&lt;w:sz w:val=&quot;22&quot;/&gt;&lt;w:sz-cs w:val=&quot;22&quot;/&gt;&lt;w:lang w:val=&quot;EN-US&quot;/&gt;&lt;/w:rPr&gt;&lt;m:t&gt;i,t&lt;/m:t&gt;&lt;/m:r&gt;&lt;/m:sub&gt;&lt;/m:sSub&gt;&lt;m:r&gt;&lt;w:rPr&gt;&lt;w:rFonts w:ascii=&quot;Cambria Math&quot; w:h-ansi=&quot;Cambria Math&quot;/&gt;&lt;wx:font wx:val=&quot;Cambria Math&quot;/&gt;&lt;w:i/&gt;&lt;w:sz w:val=&quot;22&quot;/&gt;&lt;w:sz-cs w:val=&quot;22&quot;/&gt;&lt;w:lang w:val=&quot;EN-US&quot;/&gt;&lt;/w:rPr&gt;&lt;m:t&gt;= &lt;/m:t&gt;&lt;/m:r&gt;&lt;m:sSub&gt;&lt;m:sSubPr&gt;&lt;m:ctrlPr&gt;&lt;w:rPr&gt;&lt;w:rFonts w:ascii=&quot;Cambria Math&quot; w:h-ansi=&quot;Cambria Math&quot;/&gt;&lt;wx:font wx:val=&quot;Cambria Math&quot;/&gt;&lt;w:i/&gt;&lt;w:sz w:val=&quot;22&quot;/&gt;&lt;w:sz-cs w:val=&quot;22&quot;/&gt;&lt;w:lang w:val=&quot;EN-US&quot;/&gt;&lt;/w:rPr&gt;&lt;/m:ctrlPr&gt;&lt;/m:sSubPr&gt;&lt;m:e&gt;&lt;m:r&gt;&lt;w:rPr&gt;&lt;w:rFonts w:ascii=&quot;Cambria Math&quot; w:h-ansi=&quot;Cambria Math&quot;/&gt;&lt;wx:font wx:val=&quot;Cambria Math&quot;/&gt;&lt;w:i/&gt;&lt;w:sz w:val=&quot;22&quot;/&gt;&lt;w:sz-cs w:val=&quot;22&quot;/&gt;&lt;w:lang w:val=&quot;EN-US&quot;/&gt;&lt;/w:rPr&gt;&lt;m:t&gt;TA*&lt;/m:t&gt;&lt;/m:r&gt;&lt;/m:e&gt;&lt;m:sub&gt;&lt;m:r&gt;&lt;w:rPr&gt;&lt;w:rFonts w:ascii=&quot;Cambria Math&quot; w:h-ansi=&quot;Cambria Math&quot;/&gt;&lt;wx:font wx:val=&quot;Cambria Math&quot;/&gt;&lt;w:i/&gt;&lt;w:sz w:val=&quot;22&quot;/&gt;&lt;w:sz-cs w:val=&quot;22&quot;/&gt;&lt;w:lang w:val=&quot;EN-US&quot;/&gt;&lt;/w:rPr&gt;&lt;m:t&gt;i,t&lt;/m:t&gt;&lt;/m:r&gt;&lt;/m:sub&gt;&lt;/m:sSub&gt;&lt;m:r&gt;&lt;w:rPr&gt;&lt;w:rFonts w:ascii=&quot;Cambria Math&quot; w:h-ansi=&quot;Cambria Math&quot;/&gt;&lt;wx:font wx:val=&quot;Cambria Math&quot;/&gt;&lt;w:i/&gt;&lt;w:sz w:val=&quot;22&quot;/&gt;&lt;w:sz-cs w:val=&quot;22&quot;/&gt;&lt;w:lang w:val=&quot;EN-US&quot;/&gt;&lt;/w:rPr&gt;&lt;m:t&gt;- &lt;/m:t&gt;&lt;/m:r&gt;&lt;m:sSub&gt;&lt;m:sSubPr&gt;&lt;m:ctrlPr&gt;&lt;w:rPr&gt;&lt;w:rFonts w:ascii=&quot;Cambria Math&quot; w:h-ansi=&quot;Cambria Math&quot;/&gt;&lt;wx:font wx:val=&quot;Cambria Math&quot;/&gt;&lt;w:i/&gt;&lt;w:sz w:val=&quot;22&quot;/&gt;&lt;w:sz-cs w:val=&quot;22&quot;/&gt;&lt;w:lang w:val=&quot;EN-US&quot;/&gt;&lt;/w:rPr&gt;&lt;/m:ctrlPr&gt;&lt;/m:sSubPr&gt;&lt;m:e&gt;&lt;m:r&gt;&lt;w:rPr&gt;&lt;w:rFonts w:ascii=&quot;Cambria Math&quot; w:h-ansi=&quot;Cambria Math&quot;/&gt;&lt;wx:font wx:val=&quot;Cambria Math&quot;/&gt;&lt;w:i/&gt;&lt;w:sz w:val=&quot;22&quot;/&gt;&lt;w:sz-cs w:val=&quot;22&quot;/&gt;&lt;w:lang w:val=&quot;EN-US&quot;/&gt;&lt;/w:rPr&gt;&lt;m:t&gt;NDA&lt;/m:t&gt;&lt;/m:r&gt;&lt;/m:e&gt;&lt;m:sub&gt;&lt;m:r&gt;&lt;w:rPr&gt;&lt;w:rFonts w:ascii=&quot;Cambria Math&quot; w:h-ansi=&quot;Cambria Math&quot;/&gt;&lt;wx:font wx:val=&quot;Cambria Math&quot;/&gt;&lt;w:i/&gt;&lt;w:sz w:val=&quot;22&quot;/&gt;&lt;w:sz-cs w:val=&quot;22&quot;/&gt;&lt;w:lang w:val=&quot;EN-US&quot;/&gt;&lt;/w:rPr&gt;&lt;m:t&gt;i,t&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21" o:title="" chromakey="white"/>
          </v:shape>
        </w:pict>
      </w:r>
      <w:r w:rsidRPr="006E06F2">
        <w:rPr>
          <w:sz w:val="22"/>
          <w:szCs w:val="22"/>
          <w:lang w:val="en-US"/>
        </w:rPr>
        <w:fldChar w:fldCharType="end"/>
      </w:r>
      <w:r>
        <w:rPr>
          <w:sz w:val="22"/>
          <w:szCs w:val="22"/>
          <w:lang w:val="en-US"/>
        </w:rPr>
        <w:t xml:space="preserve">                                                                                                        (6)</w:t>
      </w:r>
    </w:p>
    <w:p w:rsidR="00334F38" w:rsidRDefault="00334F38" w:rsidP="00320251">
      <w:pPr>
        <w:autoSpaceDE w:val="0"/>
        <w:autoSpaceDN w:val="0"/>
        <w:adjustRightInd w:val="0"/>
        <w:spacing w:line="360" w:lineRule="auto"/>
        <w:jc w:val="both"/>
        <w:rPr>
          <w:sz w:val="22"/>
          <w:szCs w:val="22"/>
          <w:lang w:val="en-US"/>
        </w:rPr>
      </w:pPr>
    </w:p>
    <w:p w:rsidR="00334F38" w:rsidRDefault="00334F38" w:rsidP="00320251">
      <w:pPr>
        <w:autoSpaceDE w:val="0"/>
        <w:autoSpaceDN w:val="0"/>
        <w:adjustRightInd w:val="0"/>
        <w:spacing w:line="360" w:lineRule="auto"/>
        <w:jc w:val="both"/>
        <w:rPr>
          <w:sz w:val="22"/>
          <w:szCs w:val="22"/>
          <w:lang w:val="en-US"/>
        </w:rPr>
      </w:pPr>
    </w:p>
    <w:p w:rsidR="00334F38" w:rsidRDefault="00334F38" w:rsidP="00320251">
      <w:pPr>
        <w:autoSpaceDE w:val="0"/>
        <w:autoSpaceDN w:val="0"/>
        <w:adjustRightInd w:val="0"/>
        <w:spacing w:line="360" w:lineRule="auto"/>
        <w:jc w:val="both"/>
        <w:rPr>
          <w:lang w:val="en-US"/>
        </w:rPr>
      </w:pPr>
      <w:r>
        <w:rPr>
          <w:sz w:val="22"/>
          <w:szCs w:val="22"/>
          <w:lang w:val="en-US"/>
        </w:rPr>
        <w:t xml:space="preserve">All though in this situation we have successfully managed to find the DA, we do not know whether these accruals are a result of prior or current year’s performance. </w:t>
      </w:r>
      <w:r>
        <w:rPr>
          <w:lang w:val="en-US"/>
        </w:rPr>
        <w:t xml:space="preserve">As mentioned before, these models lack </w:t>
      </w:r>
      <w:r w:rsidRPr="003E7C8B">
        <w:rPr>
          <w:lang w:val="en-US"/>
        </w:rPr>
        <w:t>the ability to distinguish between executive opportunism and the truthful reporting of a firm’s underlying economic performance</w:t>
      </w:r>
      <w:r>
        <w:rPr>
          <w:lang w:val="en-US"/>
        </w:rPr>
        <w:t>. Controlling for this brings us to the last step of the process. Here, each firm experiencing non-routine CEO turnovers in 2008 is matched with a control firm not experiencing any turnover in the same year. The control firms are chosen on the grounds of being from the same industry (2-digit SIC), having a relatively similar total market value</w:t>
      </w:r>
      <w:r>
        <w:rPr>
          <w:rStyle w:val="FootnoteReference"/>
          <w:lang w:val="en-US"/>
        </w:rPr>
        <w:footnoteReference w:id="25"/>
      </w:r>
      <w:r>
        <w:rPr>
          <w:lang w:val="en-US"/>
        </w:rPr>
        <w:t xml:space="preserve"> and the closest ROA to that of the firms experiencing CEO turnovers. Finally, the DA of the matched firms is subtracted from the DA of the corresponding firms. Thus, the performance matched DA (PDA) is estimated using the following equation, where c is the control firm superscript;</w:t>
      </w:r>
    </w:p>
    <w:p w:rsidR="00334F38" w:rsidRDefault="00334F38" w:rsidP="00320251">
      <w:pPr>
        <w:autoSpaceDE w:val="0"/>
        <w:autoSpaceDN w:val="0"/>
        <w:adjustRightInd w:val="0"/>
        <w:spacing w:line="360" w:lineRule="auto"/>
        <w:jc w:val="both"/>
        <w:rPr>
          <w:lang w:val="en-US"/>
        </w:rPr>
      </w:pPr>
    </w:p>
    <w:p w:rsidR="00334F38" w:rsidRDefault="00334F38" w:rsidP="00320251">
      <w:pPr>
        <w:autoSpaceDE w:val="0"/>
        <w:autoSpaceDN w:val="0"/>
        <w:adjustRightInd w:val="0"/>
        <w:spacing w:line="360" w:lineRule="auto"/>
        <w:jc w:val="both"/>
        <w:rPr>
          <w:lang w:val="en-US"/>
        </w:rPr>
      </w:pPr>
      <w:r>
        <w:rPr>
          <w:lang w:val="en-US"/>
        </w:rPr>
        <w:t xml:space="preserve">             </w:t>
      </w:r>
      <w:r w:rsidRPr="006E06F2">
        <w:rPr>
          <w:lang w:val="en-US"/>
        </w:rPr>
        <w:fldChar w:fldCharType="begin"/>
      </w:r>
      <w:r w:rsidRPr="006E06F2">
        <w:rPr>
          <w:lang w:val="en-US"/>
        </w:rPr>
        <w:instrText xml:space="preserve"> QUOTE </w:instrText>
      </w:r>
      <w:r w:rsidRPr="006E06F2">
        <w:pict>
          <v:shape id="_x0000_i1053" type="#_x0000_t75" style="width:111pt;height:12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0073&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1D0073&quot;&gt;&lt;m:oMathPara&gt;&lt;m:oMath&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PDA&lt;/m:t&gt;&lt;/m:r&gt;&lt;/m:e&gt;&lt;m:sub&gt;&lt;m:r&gt;&lt;w:rPr&gt;&lt;w:rFonts w:ascii=&quot;Cambria Math&quot; w:h-ansi=&quot;Cambria Math&quot;/&gt;&lt;wx:font wx:val=&quot;Cambria Math&quot;/&gt;&lt;w:i/&gt;&lt;w:lang w:val=&quot;EN-US&quot;/&gt;&lt;/w:rPr&gt;&lt;m:t&gt;i,t&lt;/m:t&gt;&lt;/m:r&gt;&lt;/m:sub&gt;&lt;/m:sSub&gt;&lt;m:r&gt;&lt;w:rPr&gt;&lt;w:rFonts w:ascii=&quot;Cambria Math&quot; w:h-ansi=&quot;Cambria Math&quot;/&gt;&lt;wx:font wx:val=&quot;Cambria Math&quot;/&gt;&lt;w:i/&gt;&lt;w:lang w:val=&quot;EN-US&quot;/&gt;&lt;/w:rPr&gt;&lt;m:t&gt;=&lt;/m:t&gt;&lt;/m:r&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DA&lt;/m:t&gt;&lt;/m:r&gt;&lt;/m:e&gt;&lt;m:sub&gt;&lt;m:r&gt;&lt;w:rPr&gt;&lt;w:rFonts w:ascii=&quot;Cambria Math&quot; w:h-ansi=&quot;Cambria Math&quot;/&gt;&lt;wx:font wx:val=&quot;Cambria Math&quot;/&gt;&lt;w:i/&gt;&lt;w:lang w:val=&quot;EN-US&quot;/&gt;&lt;/w:rPr&gt;&lt;m:t&gt;i,t&lt;/m:t&gt;&lt;/m:r&gt;&lt;/m:sub&gt;&lt;/m:sSub&gt;&lt;m:r&gt;&lt;w:rPr&gt;&lt;w:rFonts w:ascii=&quot;Cambria Math&quot; w:h-ansi=&quot;Cambria Math&quot;/&gt;&lt;wx:font wx:val=&quot;Cambria Math&quot;/&gt;&lt;w:i/&gt;&lt;w:lang w:val=&quot;EN-US&quot;/&gt;&lt;/w:rPr&gt;&lt;m:t&gt;-&lt;/m:t&gt;&lt;/m:r&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DA&lt;/m:t&gt;&lt;/m:r&gt;&lt;/m:e&gt;&lt;m:sub&gt;&lt;m:r&gt;&lt;w:rPr&gt;&lt;w:rFonts w:ascii=&quot;Cambria Math&quot; w:h-ansi=&quot;Cambria Math&quot;/&gt;&lt;wx:font wx:val=&quot;Cambria Math&quot;/&gt;&lt;w:i/&gt;&lt;w:lang w:val=&quot;EN-US&quot;/&gt;&lt;/w:rPr&gt;&lt;m:t&gt;c,t&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22" o:title="" chromakey="white"/>
          </v:shape>
        </w:pict>
      </w:r>
      <w:r w:rsidRPr="006E06F2">
        <w:rPr>
          <w:lang w:val="en-US"/>
        </w:rPr>
        <w:instrText xml:space="preserve"> </w:instrText>
      </w:r>
      <w:r w:rsidRPr="006E06F2">
        <w:rPr>
          <w:lang w:val="en-US"/>
        </w:rPr>
        <w:fldChar w:fldCharType="separate"/>
      </w:r>
      <w:r w:rsidRPr="006E06F2">
        <w:pict>
          <v:shape id="_x0000_i1054" type="#_x0000_t75" style="width:111pt;height:12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0073&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1D0073&quot;&gt;&lt;m:oMathPara&gt;&lt;m:oMath&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PDA&lt;/m:t&gt;&lt;/m:r&gt;&lt;/m:e&gt;&lt;m:sub&gt;&lt;m:r&gt;&lt;w:rPr&gt;&lt;w:rFonts w:ascii=&quot;Cambria Math&quot; w:h-ansi=&quot;Cambria Math&quot;/&gt;&lt;wx:font wx:val=&quot;Cambria Math&quot;/&gt;&lt;w:i/&gt;&lt;w:lang w:val=&quot;EN-US&quot;/&gt;&lt;/w:rPr&gt;&lt;m:t&gt;i,t&lt;/m:t&gt;&lt;/m:r&gt;&lt;/m:sub&gt;&lt;/m:sSub&gt;&lt;m:r&gt;&lt;w:rPr&gt;&lt;w:rFonts w:ascii=&quot;Cambria Math&quot; w:h-ansi=&quot;Cambria Math&quot;/&gt;&lt;wx:font wx:val=&quot;Cambria Math&quot;/&gt;&lt;w:i/&gt;&lt;w:lang w:val=&quot;EN-US&quot;/&gt;&lt;/w:rPr&gt;&lt;m:t&gt;=&lt;/m:t&gt;&lt;/m:r&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DA&lt;/m:t&gt;&lt;/m:r&gt;&lt;/m:e&gt;&lt;m:sub&gt;&lt;m:r&gt;&lt;w:rPr&gt;&lt;w:rFonts w:ascii=&quot;Cambria Math&quot; w:h-ansi=&quot;Cambria Math&quot;/&gt;&lt;wx:font wx:val=&quot;Cambria Math&quot;/&gt;&lt;w:i/&gt;&lt;w:lang w:val=&quot;EN-US&quot;/&gt;&lt;/w:rPr&gt;&lt;m:t&gt;i,t&lt;/m:t&gt;&lt;/m:r&gt;&lt;/m:sub&gt;&lt;/m:sSub&gt;&lt;m:r&gt;&lt;w:rPr&gt;&lt;w:rFonts w:ascii=&quot;Cambria Math&quot; w:h-ansi=&quot;Cambria Math&quot;/&gt;&lt;wx:font wx:val=&quot;Cambria Math&quot;/&gt;&lt;w:i/&gt;&lt;w:lang w:val=&quot;EN-US&quot;/&gt;&lt;/w:rPr&gt;&lt;m:t&gt;-&lt;/m:t&gt;&lt;/m:r&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DA&lt;/m:t&gt;&lt;/m:r&gt;&lt;/m:e&gt;&lt;m:sub&gt;&lt;m:r&gt;&lt;w:rPr&gt;&lt;w:rFonts w:ascii=&quot;Cambria Math&quot; w:h-ansi=&quot;Cambria Math&quot;/&gt;&lt;wx:font wx:val=&quot;Cambria Math&quot;/&gt;&lt;w:i/&gt;&lt;w:lang w:val=&quot;EN-US&quot;/&gt;&lt;/w:rPr&gt;&lt;m:t&gt;c,t&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22" o:title="" chromakey="white"/>
          </v:shape>
        </w:pict>
      </w:r>
      <w:r w:rsidRPr="006E06F2">
        <w:rPr>
          <w:lang w:val="en-US"/>
        </w:rPr>
        <w:fldChar w:fldCharType="end"/>
      </w:r>
      <w:r>
        <w:rPr>
          <w:lang w:val="en-US"/>
        </w:rPr>
        <w:t xml:space="preserve">                                                                                              (7)</w:t>
      </w:r>
    </w:p>
    <w:p w:rsidR="00334F38" w:rsidRDefault="00334F38" w:rsidP="00320251">
      <w:pPr>
        <w:autoSpaceDE w:val="0"/>
        <w:autoSpaceDN w:val="0"/>
        <w:adjustRightInd w:val="0"/>
        <w:spacing w:line="360" w:lineRule="auto"/>
        <w:jc w:val="both"/>
        <w:rPr>
          <w:lang w:val="en-US"/>
        </w:rPr>
      </w:pPr>
    </w:p>
    <w:p w:rsidR="00334F38" w:rsidRPr="00A13BCD" w:rsidRDefault="00334F38" w:rsidP="00A13BCD">
      <w:pPr>
        <w:autoSpaceDE w:val="0"/>
        <w:autoSpaceDN w:val="0"/>
        <w:adjustRightInd w:val="0"/>
        <w:spacing w:line="360" w:lineRule="auto"/>
        <w:jc w:val="both"/>
        <w:rPr>
          <w:sz w:val="22"/>
          <w:szCs w:val="22"/>
          <w:lang w:val="en-US"/>
        </w:rPr>
      </w:pPr>
      <w:bookmarkStart w:id="81" w:name="_Toc223368943"/>
      <w:r w:rsidRPr="00B5565A">
        <w:rPr>
          <w:i/>
          <w:lang w:val="en-US"/>
        </w:rPr>
        <w:t>5</w:t>
      </w:r>
      <w:r>
        <w:rPr>
          <w:i/>
          <w:lang w:val="en-US"/>
        </w:rPr>
        <w:t>.6</w:t>
      </w:r>
      <w:r w:rsidRPr="00B5565A">
        <w:rPr>
          <w:i/>
          <w:lang w:val="en-US"/>
        </w:rPr>
        <w:t xml:space="preserve"> Expectations</w:t>
      </w:r>
      <w:bookmarkEnd w:id="81"/>
      <w:r>
        <w:rPr>
          <w:i/>
          <w:lang w:val="en-US"/>
        </w:rPr>
        <w:fldChar w:fldCharType="begin"/>
      </w:r>
      <w:r w:rsidRPr="00436804">
        <w:rPr>
          <w:lang w:val="en-US"/>
        </w:rPr>
        <w:instrText>tc "</w:instrText>
      </w:r>
      <w:bookmarkStart w:id="82" w:name="_Toc258079467"/>
      <w:r w:rsidRPr="00B74842">
        <w:rPr>
          <w:i/>
          <w:lang w:val="en-US"/>
        </w:rPr>
        <w:instrText>5.6 Expectations</w:instrText>
      </w:r>
      <w:bookmarkEnd w:id="82"/>
      <w:r w:rsidRPr="00436804">
        <w:rPr>
          <w:lang w:val="en-US"/>
        </w:rPr>
        <w:instrText>" \f C \l 2</w:instrText>
      </w:r>
      <w:r>
        <w:rPr>
          <w:i/>
          <w:lang w:val="en-US"/>
        </w:rPr>
        <w:fldChar w:fldCharType="end"/>
      </w:r>
    </w:p>
    <w:p w:rsidR="00334F38" w:rsidRDefault="00334F38" w:rsidP="007C0566">
      <w:pPr>
        <w:autoSpaceDE w:val="0"/>
        <w:autoSpaceDN w:val="0"/>
        <w:adjustRightInd w:val="0"/>
        <w:spacing w:line="360" w:lineRule="auto"/>
        <w:jc w:val="both"/>
        <w:rPr>
          <w:lang w:val="en-US"/>
        </w:rPr>
      </w:pPr>
      <w:r w:rsidRPr="003E7C8B">
        <w:rPr>
          <w:lang w:val="en-US"/>
        </w:rPr>
        <w:t>The findings of Chia et al. (Asian Fi</w:t>
      </w:r>
      <w:r>
        <w:rPr>
          <w:lang w:val="en-US"/>
        </w:rPr>
        <w:t>nancial Crisis, 2007) has led me</w:t>
      </w:r>
      <w:r w:rsidRPr="003E7C8B">
        <w:rPr>
          <w:lang w:val="en-US"/>
        </w:rPr>
        <w:t xml:space="preserve"> to believe that during times of crisis earnings management will be less prominent because of the fact that management’s incentive shifts from maximizing their accounting-based bonuses to saving their companies to preserve their jobs. However we are dealing with a </w:t>
      </w:r>
      <w:r>
        <w:rPr>
          <w:lang w:val="en-US"/>
        </w:rPr>
        <w:t xml:space="preserve">slightly different </w:t>
      </w:r>
      <w:r w:rsidRPr="003E7C8B">
        <w:rPr>
          <w:lang w:val="en-US"/>
        </w:rPr>
        <w:t>situation</w:t>
      </w:r>
      <w:r>
        <w:rPr>
          <w:lang w:val="en-US"/>
        </w:rPr>
        <w:t xml:space="preserve">. Namely, </w:t>
      </w:r>
      <w:r w:rsidRPr="003E7C8B">
        <w:rPr>
          <w:lang w:val="en-US"/>
        </w:rPr>
        <w:t>incoming CEOs have the incentive to blame their predecessors should poor performance arise durin</w:t>
      </w:r>
      <w:r>
        <w:rPr>
          <w:lang w:val="en-US"/>
        </w:rPr>
        <w:t>g their first year as CEO. So I</w:t>
      </w:r>
      <w:r w:rsidRPr="003E7C8B">
        <w:rPr>
          <w:lang w:val="en-US"/>
        </w:rPr>
        <w:t xml:space="preserve"> believe</w:t>
      </w:r>
      <w:r>
        <w:rPr>
          <w:lang w:val="en-US"/>
        </w:rPr>
        <w:t xml:space="preserve"> that a different set of incentives play a role </w:t>
      </w:r>
      <w:r w:rsidRPr="003E7C8B">
        <w:rPr>
          <w:lang w:val="en-US"/>
        </w:rPr>
        <w:t>for incoming CEOs during times of crisis. As alread</w:t>
      </w:r>
      <w:r>
        <w:rPr>
          <w:lang w:val="en-US"/>
        </w:rPr>
        <w:t xml:space="preserve">y mentioned in the introduction, </w:t>
      </w:r>
      <w:r w:rsidRPr="003E7C8B">
        <w:rPr>
          <w:lang w:val="en-US"/>
        </w:rPr>
        <w:t xml:space="preserve">the </w:t>
      </w:r>
      <w:r>
        <w:rPr>
          <w:lang w:val="en-US"/>
        </w:rPr>
        <w:t xml:space="preserve">present </w:t>
      </w:r>
      <w:r w:rsidRPr="003E7C8B">
        <w:rPr>
          <w:lang w:val="en-US"/>
        </w:rPr>
        <w:t>Glob</w:t>
      </w:r>
      <w:r>
        <w:rPr>
          <w:lang w:val="en-US"/>
        </w:rPr>
        <w:t xml:space="preserve">al Financial Crisis </w:t>
      </w:r>
      <w:r w:rsidRPr="003E7C8B">
        <w:rPr>
          <w:lang w:val="en-US"/>
        </w:rPr>
        <w:t>will have dire consequences for firm performance resulting in large</w:t>
      </w:r>
      <w:r>
        <w:rPr>
          <w:lang w:val="en-US"/>
        </w:rPr>
        <w:t>r</w:t>
      </w:r>
      <w:r w:rsidRPr="003E7C8B">
        <w:rPr>
          <w:lang w:val="en-US"/>
        </w:rPr>
        <w:t xml:space="preserve"> numbers of CEO turnovers. These CEO turnovers </w:t>
      </w:r>
      <w:r>
        <w:rPr>
          <w:lang w:val="en-US"/>
        </w:rPr>
        <w:t>exhibit relatively more of the non-routine</w:t>
      </w:r>
      <w:r w:rsidRPr="003E7C8B">
        <w:rPr>
          <w:lang w:val="en-US"/>
        </w:rPr>
        <w:t xml:space="preserve"> kind. </w:t>
      </w:r>
      <w:r>
        <w:rPr>
          <w:lang w:val="en-US"/>
        </w:rPr>
        <w:t>I’ve</w:t>
      </w:r>
      <w:r w:rsidRPr="003E7C8B">
        <w:rPr>
          <w:lang w:val="en-US"/>
        </w:rPr>
        <w:t xml:space="preserve"> also mentioned that prior research (Peter Wells, 2002) finds EM especially visible during non-</w:t>
      </w:r>
      <w:r>
        <w:rPr>
          <w:lang w:val="en-US"/>
        </w:rPr>
        <w:t>routine CEO turnovers. Hence, I</w:t>
      </w:r>
      <w:r w:rsidRPr="003E7C8B">
        <w:rPr>
          <w:lang w:val="en-US"/>
        </w:rPr>
        <w:t xml:space="preserve"> believe that we wil</w:t>
      </w:r>
      <w:r>
        <w:rPr>
          <w:lang w:val="en-US"/>
        </w:rPr>
        <w:t>l find signs of</w:t>
      </w:r>
      <w:r w:rsidRPr="003E7C8B">
        <w:rPr>
          <w:lang w:val="en-US"/>
        </w:rPr>
        <w:t xml:space="preserve"> earnings management during the Global Financial Crisis of 2008/2009 </w:t>
      </w:r>
      <w:r>
        <w:rPr>
          <w:lang w:val="en-US"/>
        </w:rPr>
        <w:t xml:space="preserve">partly </w:t>
      </w:r>
      <w:r w:rsidRPr="003E7C8B">
        <w:rPr>
          <w:lang w:val="en-US"/>
        </w:rPr>
        <w:t>due to the fact that the (predominant amount) of turnovers are non-routine, and non-routine turnov</w:t>
      </w:r>
      <w:r>
        <w:rPr>
          <w:lang w:val="en-US"/>
        </w:rPr>
        <w:t>ers exhibit stronger signs of earnings management</w:t>
      </w:r>
      <w:r w:rsidRPr="003E7C8B">
        <w:rPr>
          <w:lang w:val="en-US"/>
        </w:rPr>
        <w:t xml:space="preserve">. </w:t>
      </w:r>
      <w:r>
        <w:rPr>
          <w:lang w:val="en-US"/>
        </w:rPr>
        <w:t xml:space="preserve">These results might also be intensified during times of crisis since companies are tempted to overstate charges, because when </w:t>
      </w:r>
      <w:r w:rsidRPr="00EF0CFA">
        <w:rPr>
          <w:lang w:val="en-US"/>
        </w:rPr>
        <w:t>earnings take a major hit Wall Street will in theory look beyond a one-time loss and focus only on future earnings</w:t>
      </w:r>
      <w:r>
        <w:rPr>
          <w:lang w:val="en-US"/>
        </w:rPr>
        <w:t xml:space="preserve"> (Arthur Levitt, former head of SEC). Lastly, downwards earnings management practices could also serve to m</w:t>
      </w:r>
      <w:r w:rsidRPr="003E7C8B">
        <w:rPr>
          <w:lang w:val="en-US"/>
        </w:rPr>
        <w:t>aximize financial support from the government as we have seen happen</w:t>
      </w:r>
      <w:r>
        <w:rPr>
          <w:lang w:val="en-US"/>
        </w:rPr>
        <w:t xml:space="preserve"> in the United States</w:t>
      </w:r>
      <w:r w:rsidRPr="003E7C8B">
        <w:rPr>
          <w:lang w:val="en-US"/>
        </w:rPr>
        <w:t xml:space="preserve"> </w:t>
      </w:r>
      <w:r>
        <w:rPr>
          <w:lang w:val="en-US"/>
        </w:rPr>
        <w:t>in 2008 (more on this later in section 6.2.4).</w:t>
      </w:r>
    </w:p>
    <w:p w:rsidR="00334F38" w:rsidRDefault="00334F38" w:rsidP="00324FF5">
      <w:pPr>
        <w:autoSpaceDE w:val="0"/>
        <w:autoSpaceDN w:val="0"/>
        <w:adjustRightInd w:val="0"/>
        <w:spacing w:line="360" w:lineRule="auto"/>
        <w:jc w:val="both"/>
        <w:rPr>
          <w:lang w:val="en-US"/>
        </w:rPr>
      </w:pPr>
    </w:p>
    <w:p w:rsidR="00334F38" w:rsidRDefault="00334F38" w:rsidP="00324FF5">
      <w:pPr>
        <w:autoSpaceDE w:val="0"/>
        <w:autoSpaceDN w:val="0"/>
        <w:adjustRightInd w:val="0"/>
        <w:spacing w:line="360" w:lineRule="auto"/>
        <w:jc w:val="both"/>
        <w:rPr>
          <w:lang w:val="en-US"/>
        </w:rPr>
      </w:pPr>
    </w:p>
    <w:p w:rsidR="00334F38" w:rsidRDefault="00334F38" w:rsidP="00324FF5">
      <w:pPr>
        <w:autoSpaceDE w:val="0"/>
        <w:autoSpaceDN w:val="0"/>
        <w:adjustRightInd w:val="0"/>
        <w:spacing w:line="360" w:lineRule="auto"/>
        <w:jc w:val="both"/>
        <w:rPr>
          <w:lang w:val="en-US"/>
        </w:rPr>
      </w:pPr>
    </w:p>
    <w:p w:rsidR="00334F38" w:rsidRDefault="00334F38" w:rsidP="00324FF5">
      <w:pPr>
        <w:autoSpaceDE w:val="0"/>
        <w:autoSpaceDN w:val="0"/>
        <w:adjustRightInd w:val="0"/>
        <w:spacing w:line="360" w:lineRule="auto"/>
        <w:jc w:val="both"/>
        <w:rPr>
          <w:lang w:val="en-US"/>
        </w:rPr>
      </w:pPr>
    </w:p>
    <w:p w:rsidR="00334F38" w:rsidRDefault="00334F38" w:rsidP="00324FF5">
      <w:pPr>
        <w:autoSpaceDE w:val="0"/>
        <w:autoSpaceDN w:val="0"/>
        <w:adjustRightInd w:val="0"/>
        <w:spacing w:line="360" w:lineRule="auto"/>
        <w:jc w:val="both"/>
        <w:rPr>
          <w:lang w:val="en-US"/>
        </w:rPr>
      </w:pPr>
    </w:p>
    <w:p w:rsidR="00334F38" w:rsidRDefault="00334F38" w:rsidP="00324FF5">
      <w:pPr>
        <w:autoSpaceDE w:val="0"/>
        <w:autoSpaceDN w:val="0"/>
        <w:adjustRightInd w:val="0"/>
        <w:spacing w:line="360" w:lineRule="auto"/>
        <w:jc w:val="both"/>
        <w:rPr>
          <w:lang w:val="en-US"/>
        </w:rPr>
      </w:pPr>
    </w:p>
    <w:p w:rsidR="00334F38" w:rsidRDefault="00334F38" w:rsidP="00324FF5">
      <w:pPr>
        <w:autoSpaceDE w:val="0"/>
        <w:autoSpaceDN w:val="0"/>
        <w:adjustRightInd w:val="0"/>
        <w:spacing w:line="360" w:lineRule="auto"/>
        <w:jc w:val="both"/>
        <w:rPr>
          <w:lang w:val="en-US"/>
        </w:rPr>
      </w:pPr>
    </w:p>
    <w:p w:rsidR="00334F38" w:rsidRDefault="00334F38" w:rsidP="00324FF5">
      <w:pPr>
        <w:autoSpaceDE w:val="0"/>
        <w:autoSpaceDN w:val="0"/>
        <w:adjustRightInd w:val="0"/>
        <w:spacing w:line="360" w:lineRule="auto"/>
        <w:jc w:val="both"/>
        <w:rPr>
          <w:lang w:val="en-US"/>
        </w:rPr>
      </w:pPr>
    </w:p>
    <w:p w:rsidR="00334F38" w:rsidRDefault="00334F38" w:rsidP="00324FF5">
      <w:pPr>
        <w:autoSpaceDE w:val="0"/>
        <w:autoSpaceDN w:val="0"/>
        <w:adjustRightInd w:val="0"/>
        <w:spacing w:line="360" w:lineRule="auto"/>
        <w:jc w:val="both"/>
        <w:rPr>
          <w:lang w:val="en-US"/>
        </w:rPr>
      </w:pPr>
    </w:p>
    <w:p w:rsidR="00334F38" w:rsidRDefault="00334F38" w:rsidP="00324FF5">
      <w:pPr>
        <w:autoSpaceDE w:val="0"/>
        <w:autoSpaceDN w:val="0"/>
        <w:adjustRightInd w:val="0"/>
        <w:spacing w:line="360" w:lineRule="auto"/>
        <w:jc w:val="both"/>
        <w:rPr>
          <w:lang w:val="en-US"/>
        </w:rPr>
      </w:pPr>
    </w:p>
    <w:p w:rsidR="00334F38" w:rsidRDefault="00334F38" w:rsidP="00324FF5">
      <w:pPr>
        <w:autoSpaceDE w:val="0"/>
        <w:autoSpaceDN w:val="0"/>
        <w:adjustRightInd w:val="0"/>
        <w:spacing w:line="360" w:lineRule="auto"/>
        <w:jc w:val="both"/>
        <w:rPr>
          <w:b/>
          <w:sz w:val="28"/>
          <w:szCs w:val="28"/>
          <w:lang w:val="en-US"/>
        </w:rPr>
      </w:pPr>
    </w:p>
    <w:p w:rsidR="00334F38" w:rsidRDefault="00334F38" w:rsidP="00324FF5">
      <w:pPr>
        <w:autoSpaceDE w:val="0"/>
        <w:autoSpaceDN w:val="0"/>
        <w:adjustRightInd w:val="0"/>
        <w:spacing w:line="360" w:lineRule="auto"/>
        <w:jc w:val="both"/>
        <w:rPr>
          <w:b/>
          <w:sz w:val="28"/>
          <w:szCs w:val="28"/>
          <w:lang w:val="en-US"/>
        </w:rPr>
      </w:pPr>
    </w:p>
    <w:p w:rsidR="00334F38" w:rsidRDefault="00334F38" w:rsidP="00324FF5">
      <w:pPr>
        <w:autoSpaceDE w:val="0"/>
        <w:autoSpaceDN w:val="0"/>
        <w:adjustRightInd w:val="0"/>
        <w:spacing w:line="360" w:lineRule="auto"/>
        <w:jc w:val="both"/>
        <w:rPr>
          <w:b/>
          <w:sz w:val="28"/>
          <w:szCs w:val="28"/>
          <w:lang w:val="en-US"/>
        </w:rPr>
      </w:pPr>
    </w:p>
    <w:p w:rsidR="00334F38" w:rsidRDefault="00334F38" w:rsidP="00324FF5">
      <w:pPr>
        <w:autoSpaceDE w:val="0"/>
        <w:autoSpaceDN w:val="0"/>
        <w:adjustRightInd w:val="0"/>
        <w:spacing w:line="360" w:lineRule="auto"/>
        <w:jc w:val="both"/>
        <w:rPr>
          <w:b/>
          <w:sz w:val="28"/>
          <w:szCs w:val="28"/>
          <w:lang w:val="en-US"/>
        </w:rPr>
      </w:pPr>
    </w:p>
    <w:p w:rsidR="00334F38" w:rsidRDefault="00334F38" w:rsidP="00324FF5">
      <w:pPr>
        <w:autoSpaceDE w:val="0"/>
        <w:autoSpaceDN w:val="0"/>
        <w:adjustRightInd w:val="0"/>
        <w:spacing w:line="360" w:lineRule="auto"/>
        <w:jc w:val="both"/>
        <w:rPr>
          <w:b/>
          <w:sz w:val="28"/>
          <w:szCs w:val="28"/>
          <w:lang w:val="en-US"/>
        </w:rPr>
      </w:pPr>
    </w:p>
    <w:p w:rsidR="00334F38" w:rsidRDefault="00334F38" w:rsidP="00324FF5">
      <w:pPr>
        <w:autoSpaceDE w:val="0"/>
        <w:autoSpaceDN w:val="0"/>
        <w:adjustRightInd w:val="0"/>
        <w:spacing w:line="360" w:lineRule="auto"/>
        <w:jc w:val="both"/>
        <w:rPr>
          <w:b/>
          <w:sz w:val="28"/>
          <w:szCs w:val="28"/>
          <w:lang w:val="en-US"/>
        </w:rPr>
      </w:pPr>
    </w:p>
    <w:p w:rsidR="00334F38" w:rsidRDefault="00334F38" w:rsidP="00324FF5">
      <w:pPr>
        <w:autoSpaceDE w:val="0"/>
        <w:autoSpaceDN w:val="0"/>
        <w:adjustRightInd w:val="0"/>
        <w:spacing w:line="360" w:lineRule="auto"/>
        <w:jc w:val="both"/>
        <w:rPr>
          <w:b/>
          <w:sz w:val="28"/>
          <w:szCs w:val="28"/>
          <w:lang w:val="en-US"/>
        </w:rPr>
      </w:pPr>
    </w:p>
    <w:p w:rsidR="00334F38" w:rsidRDefault="00334F38" w:rsidP="00324FF5">
      <w:pPr>
        <w:autoSpaceDE w:val="0"/>
        <w:autoSpaceDN w:val="0"/>
        <w:adjustRightInd w:val="0"/>
        <w:spacing w:line="360" w:lineRule="auto"/>
        <w:jc w:val="both"/>
        <w:rPr>
          <w:b/>
          <w:sz w:val="28"/>
          <w:szCs w:val="28"/>
          <w:lang w:val="en-US"/>
        </w:rPr>
      </w:pPr>
    </w:p>
    <w:p w:rsidR="00334F38" w:rsidRPr="00622E0E" w:rsidRDefault="00334F38" w:rsidP="00324FF5">
      <w:pPr>
        <w:autoSpaceDE w:val="0"/>
        <w:autoSpaceDN w:val="0"/>
        <w:adjustRightInd w:val="0"/>
        <w:spacing w:line="360" w:lineRule="auto"/>
        <w:jc w:val="both"/>
        <w:rPr>
          <w:rFonts w:ascii="Calibri" w:hAnsi="Calibri"/>
          <w:b/>
          <w:sz w:val="28"/>
          <w:szCs w:val="28"/>
          <w:lang w:val="en-US"/>
        </w:rPr>
      </w:pPr>
      <w:r w:rsidRPr="00622E0E">
        <w:rPr>
          <w:rFonts w:ascii="Calibri" w:hAnsi="Calibri"/>
          <w:b/>
          <w:sz w:val="28"/>
          <w:szCs w:val="28"/>
          <w:lang w:val="en-US"/>
        </w:rPr>
        <w:t xml:space="preserve">Chapter 6                                                                                    </w:t>
      </w:r>
      <w:r>
        <w:rPr>
          <w:rFonts w:ascii="Calibri" w:hAnsi="Calibri"/>
          <w:b/>
          <w:sz w:val="28"/>
          <w:szCs w:val="28"/>
          <w:lang w:val="en-US"/>
        </w:rPr>
        <w:t xml:space="preserve">         </w:t>
      </w:r>
      <w:r w:rsidRPr="00622E0E">
        <w:rPr>
          <w:rFonts w:ascii="Calibri" w:hAnsi="Calibri"/>
          <w:b/>
          <w:sz w:val="28"/>
          <w:szCs w:val="28"/>
          <w:lang w:val="en-US"/>
        </w:rPr>
        <w:t xml:space="preserve">           Results</w:t>
      </w:r>
      <w:r>
        <w:rPr>
          <w:rFonts w:ascii="Calibri" w:hAnsi="Calibri"/>
          <w:b/>
          <w:sz w:val="28"/>
          <w:szCs w:val="28"/>
          <w:lang w:val="en-US"/>
        </w:rPr>
        <w:fldChar w:fldCharType="begin"/>
      </w:r>
      <w:r w:rsidRPr="00622E0E">
        <w:rPr>
          <w:rFonts w:ascii="Calibri" w:hAnsi="Calibri"/>
          <w:lang w:val="en-US"/>
        </w:rPr>
        <w:instrText>tc "</w:instrText>
      </w:r>
      <w:bookmarkStart w:id="83" w:name="_Toc258079468"/>
      <w:r w:rsidRPr="00622E0E">
        <w:rPr>
          <w:rFonts w:ascii="Calibri" w:hAnsi="Calibri"/>
          <w:b/>
          <w:sz w:val="28"/>
          <w:szCs w:val="28"/>
          <w:lang w:val="en-US"/>
        </w:rPr>
        <w:instrText>Chapter 6                                                                           Descriptive Statistics</w:instrText>
      </w:r>
      <w:bookmarkEnd w:id="83"/>
      <w:r w:rsidRPr="00622E0E">
        <w:rPr>
          <w:rFonts w:ascii="Calibri" w:hAnsi="Calibri"/>
          <w:lang w:val="en-US"/>
        </w:rPr>
        <w:instrText>" \f C \l 1</w:instrText>
      </w:r>
      <w:r>
        <w:rPr>
          <w:rFonts w:ascii="Calibri" w:hAnsi="Calibri"/>
          <w:b/>
          <w:sz w:val="28"/>
          <w:szCs w:val="28"/>
          <w:lang w:val="en-US"/>
        </w:rPr>
        <w:fldChar w:fldCharType="end"/>
      </w:r>
    </w:p>
    <w:p w:rsidR="00334F38" w:rsidRDefault="00334F38" w:rsidP="00324FF5">
      <w:pPr>
        <w:autoSpaceDE w:val="0"/>
        <w:autoSpaceDN w:val="0"/>
        <w:adjustRightInd w:val="0"/>
        <w:spacing w:line="360" w:lineRule="auto"/>
        <w:jc w:val="both"/>
        <w:rPr>
          <w:b/>
          <w:sz w:val="28"/>
          <w:szCs w:val="28"/>
          <w:lang w:val="en-US"/>
        </w:rPr>
      </w:pPr>
    </w:p>
    <w:p w:rsidR="00334F38" w:rsidRDefault="00334F38" w:rsidP="00324FF5">
      <w:pPr>
        <w:autoSpaceDE w:val="0"/>
        <w:autoSpaceDN w:val="0"/>
        <w:adjustRightInd w:val="0"/>
        <w:spacing w:line="360" w:lineRule="auto"/>
        <w:jc w:val="both"/>
        <w:rPr>
          <w:i/>
          <w:lang w:val="en-US"/>
        </w:rPr>
      </w:pPr>
      <w:r>
        <w:rPr>
          <w:i/>
          <w:lang w:val="en-US"/>
        </w:rPr>
        <w:t>6.1 Descriptive Statistics of the Model Coefficients</w:t>
      </w:r>
      <w:r>
        <w:rPr>
          <w:i/>
          <w:lang w:val="en-US"/>
        </w:rPr>
        <w:fldChar w:fldCharType="begin"/>
      </w:r>
      <w:r w:rsidRPr="004B1DBF">
        <w:rPr>
          <w:lang w:val="en-US"/>
        </w:rPr>
        <w:instrText>tc "</w:instrText>
      </w:r>
      <w:bookmarkStart w:id="84" w:name="_Toc258079469"/>
      <w:r w:rsidRPr="00B74842">
        <w:rPr>
          <w:i/>
          <w:lang w:val="en-US"/>
        </w:rPr>
        <w:instrText>6.1 Descriptive Statistics of the Model Coefficients</w:instrText>
      </w:r>
      <w:bookmarkEnd w:id="84"/>
      <w:r w:rsidRPr="004B1DBF">
        <w:rPr>
          <w:lang w:val="en-US"/>
        </w:rPr>
        <w:instrText>" \f C \l 2</w:instrText>
      </w:r>
      <w:r>
        <w:rPr>
          <w:i/>
          <w:lang w:val="en-US"/>
        </w:rPr>
        <w:fldChar w:fldCharType="end"/>
      </w:r>
    </w:p>
    <w:p w:rsidR="00334F38" w:rsidRDefault="00334F38" w:rsidP="00324FF5">
      <w:pPr>
        <w:autoSpaceDE w:val="0"/>
        <w:autoSpaceDN w:val="0"/>
        <w:adjustRightInd w:val="0"/>
        <w:spacing w:line="360" w:lineRule="auto"/>
        <w:jc w:val="both"/>
        <w:rPr>
          <w:lang w:val="en-US"/>
        </w:rPr>
      </w:pPr>
      <w:r>
        <w:rPr>
          <w:lang w:val="en-US"/>
        </w:rPr>
        <w:t>This section includes the estimation of the regression coefficients necessary for calculating the non-discretionary accruals. Predicting the sign of the change in revenues less the change in receivables (</w:t>
      </w:r>
      <w:r w:rsidRPr="006E06F2">
        <w:rPr>
          <w:lang w:val="en-US"/>
        </w:rPr>
        <w:fldChar w:fldCharType="begin"/>
      </w:r>
      <w:r w:rsidRPr="006E06F2">
        <w:rPr>
          <w:lang w:val="en-US"/>
        </w:rPr>
        <w:instrText xml:space="preserve"> QUOTE </w:instrText>
      </w:r>
      <w:r w:rsidRPr="006E06F2">
        <w:pict>
          <v:shape id="_x0000_i1055" type="#_x0000_t75" style="width:36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5FB8&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2A5FB8&quot;&gt;&lt;m:oMathPara&gt;&lt;m:oMath&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Î²(est)&lt;/m:t&gt;&lt;/m:r&gt;&lt;/m:e&gt;&lt;m:sub&gt;&lt;m:r&gt;&lt;w:rPr&gt;&lt;w:rFonts w:ascii=&quot;Cambria Math&quot; w:h-ansi=&quot;Cambria Math&quot;/&gt;&lt;wx:font wx:val=&quot;Cambria Math&quot;/&gt;&lt;w:i/&gt;&lt;w:lang w:val=&quot;EN-US&quot;/&gt;&lt;/w:rPr&gt;&lt;m:t&gt;1&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23" o:title="" chromakey="white"/>
          </v:shape>
        </w:pict>
      </w:r>
      <w:r w:rsidRPr="006E06F2">
        <w:rPr>
          <w:lang w:val="en-US"/>
        </w:rPr>
        <w:instrText xml:space="preserve"> </w:instrText>
      </w:r>
      <w:r w:rsidRPr="006E06F2">
        <w:rPr>
          <w:lang w:val="en-US"/>
        </w:rPr>
        <w:fldChar w:fldCharType="separate"/>
      </w:r>
      <w:r w:rsidRPr="006E06F2">
        <w:pict>
          <v:shape id="_x0000_i1056" type="#_x0000_t75" style="width:36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5FB8&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2A5FB8&quot;&gt;&lt;m:oMathPara&gt;&lt;m:oMath&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Î²(est)&lt;/m:t&gt;&lt;/m:r&gt;&lt;/m:e&gt;&lt;m:sub&gt;&lt;m:r&gt;&lt;w:rPr&gt;&lt;w:rFonts w:ascii=&quot;Cambria Math&quot; w:h-ansi=&quot;Cambria Math&quot;/&gt;&lt;wx:font wx:val=&quot;Cambria Math&quot;/&gt;&lt;w:i/&gt;&lt;w:lang w:val=&quot;EN-US&quot;/&gt;&lt;/w:rPr&gt;&lt;m:t&gt;1&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23" o:title="" chromakey="white"/>
          </v:shape>
        </w:pict>
      </w:r>
      <w:r w:rsidRPr="006E06F2">
        <w:rPr>
          <w:lang w:val="en-US"/>
        </w:rPr>
        <w:fldChar w:fldCharType="end"/>
      </w:r>
      <w:r>
        <w:rPr>
          <w:lang w:val="en-US"/>
        </w:rPr>
        <w:t>) can prove to be a tough challenge. Revenues are typically related to income increasing accruals, an increase in sales can have an increasing affect on some working capital accounts, as well as income decreasing accruals on other accounts (e.g. trade creditors). However, empirical research generally leans towards the sign being positive. The expected sign of gross property, plant, and equipment on the other hand is expected to be negative, since PPE exhibits a positive association with amortization and depreciation (which has a decreasing effect on accruals).</w:t>
      </w:r>
      <w:r>
        <w:rPr>
          <w:rStyle w:val="FootnoteReference"/>
          <w:lang w:val="en-US"/>
        </w:rPr>
        <w:footnoteReference w:id="26"/>
      </w:r>
    </w:p>
    <w:p w:rsidR="00334F38" w:rsidRDefault="00334F38" w:rsidP="00324FF5">
      <w:pPr>
        <w:autoSpaceDE w:val="0"/>
        <w:autoSpaceDN w:val="0"/>
        <w:adjustRightInd w:val="0"/>
        <w:spacing w:line="360" w:lineRule="auto"/>
        <w:jc w:val="both"/>
        <w:rPr>
          <w:lang w:val="en-US"/>
        </w:rPr>
      </w:pPr>
      <w:r>
        <w:rPr>
          <w:lang w:val="en-US"/>
        </w:rPr>
        <w:t xml:space="preserve">Descriptive statistics of the cross-sectional modified Jones model parameters are stipulated in Table 2. Where </w:t>
      </w:r>
      <w:r w:rsidRPr="006E06F2">
        <w:rPr>
          <w:lang w:val="en-US"/>
        </w:rPr>
        <w:fldChar w:fldCharType="begin"/>
      </w:r>
      <w:r w:rsidRPr="006E06F2">
        <w:rPr>
          <w:lang w:val="en-US"/>
        </w:rPr>
        <w:instrText xml:space="preserve"> QUOTE </w:instrText>
      </w:r>
      <w:r w:rsidRPr="006E06F2">
        <w:pict>
          <v:shape id="_x0000_i1057" type="#_x0000_t75" style="width:23.25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55D5&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0155D5&quot;&gt;&lt;m:oMathPara&gt;&lt;m:oMath&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Crt&lt;/m:t&gt;&lt;/m:r&gt;&lt;/m:e&gt;&lt;m:sub&gt;&lt;m:r&gt;&lt;w:rPr&gt;&lt;w:rFonts w:ascii=&quot;Cambria Math&quot; w:h-ansi=&quot;Cambria Math&quot;/&gt;&lt;wx:font wx:val=&quot;Cambria Math&quot;/&gt;&lt;w:i/&gt;&lt;w:lang w:val=&quot;EN-US&quot;/&gt;&lt;/w:rPr&gt;&lt;m:t&gt;1&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24" o:title="" chromakey="white"/>
          </v:shape>
        </w:pict>
      </w:r>
      <w:r w:rsidRPr="006E06F2">
        <w:rPr>
          <w:lang w:val="en-US"/>
        </w:rPr>
        <w:instrText xml:space="preserve"> </w:instrText>
      </w:r>
      <w:r w:rsidRPr="006E06F2">
        <w:rPr>
          <w:lang w:val="en-US"/>
        </w:rPr>
        <w:fldChar w:fldCharType="separate"/>
      </w:r>
      <w:r w:rsidRPr="006E06F2">
        <w:pict>
          <v:shape id="_x0000_i1058" type="#_x0000_t75" style="width:23.25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55D5&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0155D5&quot;&gt;&lt;m:oMathPara&gt;&lt;m:oMath&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Crt&lt;/m:t&gt;&lt;/m:r&gt;&lt;/m:e&gt;&lt;m:sub&gt;&lt;m:r&gt;&lt;w:rPr&gt;&lt;w:rFonts w:ascii=&quot;Cambria Math&quot; w:h-ansi=&quot;Cambria Math&quot;/&gt;&lt;wx:font wx:val=&quot;Cambria Math&quot;/&gt;&lt;w:i/&gt;&lt;w:lang w:val=&quot;EN-US&quot;/&gt;&lt;/w:rPr&gt;&lt;m:t&gt;1&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24" o:title="" chromakey="white"/>
          </v:shape>
        </w:pict>
      </w:r>
      <w:r w:rsidRPr="006E06F2">
        <w:rPr>
          <w:lang w:val="en-US"/>
        </w:rPr>
        <w:fldChar w:fldCharType="end"/>
      </w:r>
      <w:r>
        <w:rPr>
          <w:lang w:val="en-US"/>
        </w:rPr>
        <w:t xml:space="preserve">% and </w:t>
      </w:r>
      <w:r w:rsidRPr="006E06F2">
        <w:rPr>
          <w:lang w:val="en-US"/>
        </w:rPr>
        <w:fldChar w:fldCharType="begin"/>
      </w:r>
      <w:r w:rsidRPr="006E06F2">
        <w:rPr>
          <w:lang w:val="en-US"/>
        </w:rPr>
        <w:instrText xml:space="preserve"> QUOTE </w:instrText>
      </w:r>
      <w:r w:rsidRPr="006E06F2">
        <w:pict>
          <v:shape id="_x0000_i1059" type="#_x0000_t75" style="width:23.25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1010&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7C1010&quot;&gt;&lt;m:oMathPara&gt;&lt;m:oMath&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Crt&lt;/m:t&gt;&lt;/m:r&gt;&lt;/m:e&gt;&lt;m:sub&gt;&lt;m:r&gt;&lt;w:rPr&gt;&lt;w:rFonts w:ascii=&quot;Cambria Math&quot; w:h-ansi=&quot;Cambria Math&quot;/&gt;&lt;wx:font wx:val=&quot;Cambria Math&quot;/&gt;&lt;w:i/&gt;&lt;w:lang w:val=&quot;EN-US&quot;/&gt;&lt;/w:rPr&gt;&lt;m:t&gt;2&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25" o:title="" chromakey="white"/>
          </v:shape>
        </w:pict>
      </w:r>
      <w:r w:rsidRPr="006E06F2">
        <w:rPr>
          <w:lang w:val="en-US"/>
        </w:rPr>
        <w:instrText xml:space="preserve"> </w:instrText>
      </w:r>
      <w:r w:rsidRPr="006E06F2">
        <w:rPr>
          <w:lang w:val="en-US"/>
        </w:rPr>
        <w:fldChar w:fldCharType="separate"/>
      </w:r>
      <w:r w:rsidRPr="006E06F2">
        <w:pict>
          <v:shape id="_x0000_i1060" type="#_x0000_t75" style="width:23.25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1010&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7C1010&quot;&gt;&lt;m:oMathPara&gt;&lt;m:oMath&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Crt&lt;/m:t&gt;&lt;/m:r&gt;&lt;/m:e&gt;&lt;m:sub&gt;&lt;m:r&gt;&lt;w:rPr&gt;&lt;w:rFonts w:ascii=&quot;Cambria Math&quot; w:h-ansi=&quot;Cambria Math&quot;/&gt;&lt;wx:font wx:val=&quot;Cambria Math&quot;/&gt;&lt;w:i/&gt;&lt;w:lang w:val=&quot;EN-US&quot;/&gt;&lt;/w:rPr&gt;&lt;m:t&gt;2&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25" o:title="" chromakey="white"/>
          </v:shape>
        </w:pict>
      </w:r>
      <w:r w:rsidRPr="006E06F2">
        <w:rPr>
          <w:lang w:val="en-US"/>
        </w:rPr>
        <w:fldChar w:fldCharType="end"/>
      </w:r>
      <w:r>
        <w:rPr>
          <w:lang w:val="en-US"/>
        </w:rPr>
        <w:t xml:space="preserve">% represent the amount of times the first en second regression coefficients yielded the correct predicted sign. The parameters are provided per 2-digit SIC industry. As an adage Table 3 provides the frequencies of the model coefficients to get an overview of the tendencies per variable included. </w:t>
      </w:r>
    </w:p>
    <w:tbl>
      <w:tblPr>
        <w:tblpPr w:leftFromText="180" w:rightFromText="180" w:vertAnchor="text" w:horzAnchor="margin" w:tblpXSpec="center" w:tblpY="262"/>
        <w:tblW w:w="10885" w:type="dxa"/>
        <w:tblLook w:val="00A0"/>
      </w:tblPr>
      <w:tblGrid>
        <w:gridCol w:w="918"/>
        <w:gridCol w:w="996"/>
        <w:gridCol w:w="1071"/>
        <w:gridCol w:w="996"/>
        <w:gridCol w:w="1071"/>
        <w:gridCol w:w="996"/>
        <w:gridCol w:w="1071"/>
        <w:gridCol w:w="818"/>
        <w:gridCol w:w="996"/>
        <w:gridCol w:w="79"/>
        <w:gridCol w:w="2131"/>
      </w:tblGrid>
      <w:tr w:rsidR="00334F38" w:rsidRPr="006C4EFF" w:rsidTr="006E06F2">
        <w:trPr>
          <w:trHeight w:val="253"/>
        </w:trPr>
        <w:tc>
          <w:tcPr>
            <w:tcW w:w="918" w:type="dxa"/>
            <w:tcBorders>
              <w:right w:val="single" w:sz="6" w:space="0" w:color="808080"/>
            </w:tcBorders>
            <w:noWrap/>
          </w:tcPr>
          <w:p w:rsidR="00334F38" w:rsidRPr="006E06F2" w:rsidRDefault="00334F38" w:rsidP="006E06F2">
            <w:pPr>
              <w:rPr>
                <w:rFonts w:ascii="Calibri" w:hAnsi="Calibri"/>
                <w:b/>
                <w:bCs/>
                <w:sz w:val="22"/>
                <w:szCs w:val="22"/>
                <w:lang w:val="en-US" w:eastAsia="en-US"/>
              </w:rPr>
            </w:pPr>
            <w:r w:rsidRPr="006E06F2">
              <w:rPr>
                <w:rFonts w:ascii="Calibri" w:hAnsi="Calibri"/>
                <w:sz w:val="22"/>
                <w:szCs w:val="22"/>
                <w:lang w:val="en-US" w:eastAsia="en-US"/>
              </w:rPr>
              <w:t xml:space="preserve">        </w:t>
            </w:r>
            <w:r w:rsidRPr="006E06F2">
              <w:rPr>
                <w:rFonts w:ascii="Calibri" w:hAnsi="Calibri"/>
                <w:b/>
                <w:bCs/>
                <w:sz w:val="22"/>
                <w:szCs w:val="22"/>
                <w:lang w:val="en-US" w:eastAsia="en-US"/>
              </w:rPr>
              <w:t>SIC</w:t>
            </w:r>
          </w:p>
        </w:tc>
        <w:tc>
          <w:tcPr>
            <w:tcW w:w="976" w:type="dxa"/>
            <w:noWrap/>
          </w:tcPr>
          <w:p w:rsidR="00334F38" w:rsidRPr="006E06F2" w:rsidRDefault="00334F38" w:rsidP="006E06F2">
            <w:pPr>
              <w:rPr>
                <w:rFonts w:ascii="Calibri" w:hAnsi="Calibri"/>
                <w:b/>
                <w:bCs/>
                <w:sz w:val="22"/>
                <w:szCs w:val="22"/>
                <w:lang w:val="en-US" w:eastAsia="en-US"/>
              </w:rPr>
            </w:pPr>
            <w:r w:rsidRPr="006E06F2">
              <w:pict>
                <v:shape id="_x0000_i1061" type="#_x0000_t75" style="width:39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28BA&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9D28BA&quot;&gt;&lt;m:oMathPara&gt;&lt;m:oMath&gt;&lt;m:sSub&gt;&lt;m:sSubPr&gt;&lt;m:ctrlPr&gt;&lt;w:rPr&gt;&lt;w:rFonts w:ascii=&quot;Cambria Math&quot; w:h-ansi=&quot;Cambria Math&quot;/&gt;&lt;wx:font wx:val=&quot;Cambria Math&quot;/&gt;&lt;w:b/&gt;&lt;w:b-cs/&gt;&lt;w:i/&gt;&lt;w:sz w:val=&quot;22&quot;/&gt;&lt;w:sz-cs w:val=&quot;22&quot;/&gt;&lt;w:lang w:val=&quot;EN-US&quot; w:fareast=&quot;EN-US&quot;/&gt;&lt;/w:rPr&gt;&lt;/m:ctrlPr&gt;&lt;/m:sSubPr&gt;&lt;m:e&gt;&lt;m:r&gt;&lt;m:rPr&gt;&lt;m:sty m:val=&quot;bi&quot;/&gt;&lt;/m:rPr&gt;&lt;w:rPr&gt;&lt;w:rFonts w:ascii=&quot;Cambria Math&quot; w:h-ansi=&quot;Cambria Math&quot;/&gt;&lt;wx:font wx:val=&quot;Cambria Math&quot;/&gt;&lt;w:b/&gt;&lt;w:i/&gt;&lt;w:sz w:val=&quot;22&quot;/&gt;&lt;w:sz-cs w:val=&quot;22&quot;/&gt;&lt;w:lang w:val=&quot;EN-US&quot; w:fareast=&quot;EN-US&quot;/&gt;&lt;/w:rPr&gt;&lt;m:t&gt;Î²(est)&lt;/m:t&gt;&lt;/m:r&gt;&lt;m:ctrlPr&gt;&lt;w:rPr&gt;&lt;w:rFonts w:ascii=&quot;Cambria Math&quot; w:h-ansi=&quot;Cambria Math&quot;/&gt;&lt;wx:font wx:val=&quot;Cambria Math&quot;/&gt;&lt;w:i/&gt;&lt;w:sz w:val=&quot;22&quot;/&gt;&lt;w:sz-cs w:val=&quot;22&quot;/&gt;&lt;w:lang w:val=&quot;EN-US&quot; w:fareast=&quot;EN-US&quot;/&gt;&lt;/w:rPr&gt;&lt;/m:ctrlPr&gt;&lt;/m:e&gt;&lt;m:sub&gt;&lt;m:r&gt;&lt;m:rPr&gt;&lt;m:sty m:val=&quot;bi&quot;/&gt;&lt;/m:rPr&gt;&lt;w:rPr&gt;&lt;w:rFonts w:ascii=&quot;Cambria Math&quot; w:h-ansi=&quot;Cambria Math&quot;/&gt;&lt;wx:font wx:val=&quot;Cambria Math&quot;/&gt;&lt;w:b/&gt;&lt;w:i/&gt;&lt;w:sz w:val=&quot;22&quot;/&gt;&lt;w:sz-cs w:val=&quot;22&quot;/&gt;&lt;w:lang w:val=&quot;EN-US&quot; w:fareast=&quot;EN-US&quot;/&gt;&lt;/w:rPr&gt;&lt;m:t&gt;0&lt;/m:t&gt;&lt;/m:r&gt;&lt;m:ctrlPr&gt;&lt;w:rPr&gt;&lt;w:rFonts w:ascii=&quot;Cambria Math&quot; w:h-ansi=&quot;Cambria Math&quot;/&gt;&lt;wx:font wx:val=&quot;Cambria Math&quot;/&gt;&lt;w:i/&gt;&lt;w:sz w:val=&quot;22&quot;/&gt;&lt;w:sz-cs w:val=&quot;22&quot;/&gt;&lt;w:lang w:val=&quot;EN-US&quot; w:fareast=&quot;EN-US&quot;/&gt;&lt;/w:rPr&gt;&lt;/m:ctrlP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26" o:title="" chromakey="white"/>
                </v:shape>
              </w:pict>
            </w:r>
          </w:p>
        </w:tc>
        <w:tc>
          <w:tcPr>
            <w:tcW w:w="1005" w:type="dxa"/>
            <w:noWrap/>
          </w:tcPr>
          <w:p w:rsidR="00334F38" w:rsidRPr="006E06F2" w:rsidRDefault="00334F38" w:rsidP="006E06F2">
            <w:pPr>
              <w:rPr>
                <w:rFonts w:ascii="Calibri" w:hAnsi="Calibri"/>
                <w:b/>
                <w:bCs/>
                <w:sz w:val="22"/>
                <w:szCs w:val="22"/>
                <w:lang w:val="en-US" w:eastAsia="en-US"/>
              </w:rPr>
            </w:pPr>
            <w:r w:rsidRPr="006E06F2">
              <w:pict>
                <v:shape id="_x0000_i1062" type="#_x0000_t75" style="width:42.75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A2A8F&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3A2A8F&quot;&gt;&lt;m:oMathPara&gt;&lt;m:oMath&gt;&lt;m:sSub&gt;&lt;m:sSubPr&gt;&lt;m:ctrlPr&gt;&lt;w:rPr&gt;&lt;w:rFonts w:ascii=&quot;Cambria Math&quot; w:h-ansi=&quot;Cambria Math&quot;/&gt;&lt;wx:font wx:val=&quot;Cambria Math&quot;/&gt;&lt;w:b/&gt;&lt;w:b-cs/&gt;&lt;w:i/&gt;&lt;w:sz w:val=&quot;22&quot;/&gt;&lt;w:sz-cs w:val=&quot;22&quot;/&gt;&lt;w:lang w:val=&quot;EN-US&quot; w:fareast=&quot;EN-US&quot;/&gt;&lt;/w:rPr&gt;&lt;/m:ctrlPr&gt;&lt;/m:sSubPr&gt;&lt;m:e&gt;&lt;m:r&gt;&lt;m:rPr&gt;&lt;m:sty m:val=&quot;bi&quot;/&gt;&lt;/m:rPr&gt;&lt;w:rPr&gt;&lt;w:rFonts w:ascii=&quot;Cambria Math&quot; w:h-ansi=&quot;Cambria Math&quot;/&gt;&lt;wx:font wx:val=&quot;Cambria Math&quot;/&gt;&lt;w:b/&gt;&lt;w:i/&gt;&lt;w:sz w:val=&quot;22&quot;/&gt;&lt;w:sz-cs w:val=&quot;22&quot;/&gt;&lt;w:lang w:val=&quot;EN-US&quot; w:fareast=&quot;EN-US&quot;/&gt;&lt;/w:rPr&gt;&lt;m:t&gt;St D&lt;/m:t&gt;&lt;/m:r&gt;&lt;m:r&gt;&lt;m:rPr&gt;&lt;m:sty m:val=&quot;bi&quot;/&gt;&lt;/m:rPr&gt;&lt;w:rPr&gt;&lt;w:rFonts w:ascii=&quot;Cambria Math&quot; w:h-ansi=&quot;Cambria Math&quot;/&gt;&lt;wx:font wx:val=&quot;Cambria Math&quot;/&gt;&lt;w:b/&gt;&lt;w:i/&gt;&lt;w:sz w:val=&quot;22&quot;/&gt;&lt;w:sz-cs w:val=&quot;22&quot;/&gt;&lt;w:lang w:val=&quot;EN-US&quot; w:fareast=&quot;EN-US&quot;/&gt;&lt;/w:rPr&gt;&lt;m:t&gt;ev&lt;/m:t&gt;&lt;/m:r&gt;&lt;m:ctrlPr&gt;&lt;w:rPr&gt;&lt;w:rFonts w:ascii=&quot;Cambria Math&quot; w:h-ansi=&quot;Cambria Math&quot;/&gt;&lt;wx:font wx:val=&quot;Cambria Math&quot;/&gt;&lt;w:i/&gt;&lt;w:sz w:val=&quot;22&quot;/&gt;&lt;w:sz-cs w:val=&quot;22&quot;/&gt;&lt;w:lang w:val=&quot;EN-US&quot; w:fareast=&quot;EN-US&quot;/&gt;&lt;/w:rPr&gt;&lt;/m:ctrlPr&gt;&lt;/m:e&gt;&lt;m:sub&gt;&lt;m:r&gt;&lt;m:rPr&gt;&lt;m:sty m:val=&quot;bi&quot;/&gt;&lt;/m:rPr&gt;&lt;w:rPr&gt;&lt;w:rFonts w:ascii=&quot;Cambria Math&quot; w:h-ansi=&quot;Cambria Math&quot;/&gt;&lt;wx:font wx:val=&quot;Cambria Math&quot;/&gt;&lt;w:b/&gt;&lt;w:i/&gt;&lt;w:sz w:val=&quot;22&quot;/&gt;&lt;w:sz-cs w:val=&quot;22&quot;/&gt;&lt;w:lang w:val=&quot;EN-US&quot; w:fareast=&quot;EN-US&quot;/&gt;&lt;/w:rPr&gt;&lt;m:t&gt;0&lt;/m:t&gt;&lt;/m:r&gt;&lt;m:ctrlPr&gt;&lt;w:rPr&gt;&lt;w:rFonts w:ascii=&quot;Cambria Math&quot; w:h-ansi=&quot;Cambria Math&quot;/&gt;&lt;wx:font wx:val=&quot;Cambria Math&quot;/&gt;&lt;w:i/&gt;&lt;w:sz w:val=&quot;22&quot;/&gt;&lt;w:sz-cs w:val=&quot;22&quot;/&gt;&lt;w:lang w:val=&quot;EN-US&quot; w:fareast=&quot;EN-US&quot;/&gt;&lt;/w:rPr&gt;&lt;/m:ctrlP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27" o:title="" chromakey="white"/>
                </v:shape>
              </w:pict>
            </w:r>
          </w:p>
        </w:tc>
        <w:tc>
          <w:tcPr>
            <w:tcW w:w="976" w:type="dxa"/>
            <w:noWrap/>
          </w:tcPr>
          <w:p w:rsidR="00334F38" w:rsidRPr="006E06F2" w:rsidRDefault="00334F38" w:rsidP="006E06F2">
            <w:pPr>
              <w:rPr>
                <w:rFonts w:ascii="Calibri" w:hAnsi="Calibri"/>
                <w:b/>
                <w:bCs/>
                <w:sz w:val="22"/>
                <w:szCs w:val="22"/>
                <w:lang w:val="en-US" w:eastAsia="en-US"/>
              </w:rPr>
            </w:pPr>
            <w:r w:rsidRPr="006E06F2">
              <w:pict>
                <v:shape id="_x0000_i1063" type="#_x0000_t75" style="width:39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13F7&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5513F7&quot;&gt;&lt;m:oMathPara&gt;&lt;m:oMath&gt;&lt;m:sSub&gt;&lt;m:sSubPr&gt;&lt;m:ctrlPr&gt;&lt;w:rPr&gt;&lt;w:rFonts w:ascii=&quot;Cambria Math&quot; w:h-ansi=&quot;Cambria Math&quot;/&gt;&lt;wx:font wx:val=&quot;Cambria Math&quot;/&gt;&lt;w:b/&gt;&lt;w:b-cs/&gt;&lt;w:i/&gt;&lt;w:sz w:val=&quot;22&quot;/&gt;&lt;w:sz-cs w:val=&quot;22&quot;/&gt;&lt;w:lang w:val=&quot;EN-US&quot; w:fareast=&quot;EN-US&quot;/&gt;&lt;/w:rPr&gt;&lt;/m:ctrlPr&gt;&lt;/m:sSubPr&gt;&lt;m:e&gt;&lt;m:r&gt;&lt;m:rPr&gt;&lt;m:sty m:val=&quot;bi&quot;/&gt;&lt;/m:rPr&gt;&lt;w:rPr&gt;&lt;w:rFonts w:ascii=&quot;Cambria Math&quot; w:h-ansi=&quot;Cambria Math&quot;/&gt;&lt;wx:font wx:val=&quot;Cambria Math&quot;/&gt;&lt;w:b/&gt;&lt;w:i/&gt;&lt;w:sz w:val=&quot;22&quot;/&gt;&lt;w:sz-cs w:val=&quot;22&quot;/&gt;&lt;w:lang w:val=&quot;EN-US&quot; w:fareast=&quot;EN-US&quot;/&gt;&lt;/w:rPr&gt;&lt;m:t&gt;Î²(est)&lt;/m:t&gt;&lt;/m:r&gt;&lt;m:ctrlPr&gt;&lt;w:rPr&gt;&lt;w:rFonts w:ascii=&quot;Cambria Math&quot; w:h-ansi=&quot;Cambria Math&quot;/&gt;&lt;wx:font wx:val=&quot;Cambria Math&quot;/&gt;&lt;w:i/&gt;&lt;w:sz w:val=&quot;22&quot;/&gt;&lt;w:sz-cs w:val=&quot;22&quot;/&gt;&lt;w:lang w:val=&quot;EN-US&quot; w:fareast=&quot;EN-US&quot;/&gt;&lt;/w:rPr&gt;&lt;/m:ctrlPr&gt;&lt;/m:e&gt;&lt;m:sub&gt;&lt;m:r&gt;&lt;m:rPr&gt;&lt;m:sty m:val=&quot;bi&quot;/&gt;&lt;/m:rPr&gt;&lt;w:rPr&gt;&lt;w:rFonts w:ascii=&quot;Cambria Math&quot; w:h-ansi=&quot;Cambria Math&quot;/&gt;&lt;wx:font wx:val=&quot;Cambria Math&quot;/&gt;&lt;w:b/&gt;&lt;w:i/&gt;&lt;w:sz w:val=&quot;22&quot;/&gt;&lt;w:sz-cs w:val=&quot;22&quot;/&gt;&lt;w:lang w:val=&quot;EN-US&quot; w:fareast=&quot;EN-US&quot;/&gt;&lt;/w:rPr&gt;&lt;m:t&gt;1&lt;/m:t&gt;&lt;/m:r&gt;&lt;m:ctrlPr&gt;&lt;w:rPr&gt;&lt;w:rFonts w:ascii=&quot;Cambria Math&quot; w:h-ansi=&quot;Cambria Math&quot;/&gt;&lt;wx:font wx:val=&quot;Cambria Math&quot;/&gt;&lt;w:i/&gt;&lt;w:sz w:val=&quot;22&quot;/&gt;&lt;w:sz-cs w:val=&quot;22&quot;/&gt;&lt;w:lang w:val=&quot;EN-US&quot; w:fareast=&quot;EN-US&quot;/&gt;&lt;/w:rPr&gt;&lt;/m:ctrlP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28" o:title="" chromakey="white"/>
                </v:shape>
              </w:pict>
            </w:r>
          </w:p>
        </w:tc>
        <w:tc>
          <w:tcPr>
            <w:tcW w:w="1005" w:type="dxa"/>
            <w:noWrap/>
          </w:tcPr>
          <w:p w:rsidR="00334F38" w:rsidRPr="006E06F2" w:rsidRDefault="00334F38" w:rsidP="006E06F2">
            <w:pPr>
              <w:rPr>
                <w:rFonts w:ascii="Calibri" w:hAnsi="Calibri"/>
                <w:b/>
                <w:bCs/>
                <w:sz w:val="22"/>
                <w:szCs w:val="22"/>
                <w:lang w:val="en-US" w:eastAsia="en-US"/>
              </w:rPr>
            </w:pPr>
            <w:r w:rsidRPr="006E06F2">
              <w:pict>
                <v:shape id="_x0000_i1064" type="#_x0000_t75" style="width:42.75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46C4&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4446C4&quot;&gt;&lt;m:oMathPara&gt;&lt;m:oMath&gt;&lt;m:sSub&gt;&lt;m:sSubPr&gt;&lt;m:ctrlPr&gt;&lt;w:rPr&gt;&lt;w:rFonts w:ascii=&quot;Cambria Math&quot; w:h-ansi=&quot;Cambria Math&quot;/&gt;&lt;wx:font wx:val=&quot;Cambria Math&quot;/&gt;&lt;w:b/&gt;&lt;w:b-cs/&gt;&lt;w:i/&gt;&lt;w:sz w:val=&quot;22&quot;/&gt;&lt;w:sz-cs w:val=&quot;22&quot;/&gt;&lt;w:lang w:val=&quot;EN-US&quot; w:fareast=&quot;EN-US&quot;/&gt;&lt;/w:rPr&gt;&lt;/m:ctrlPr&gt;&lt;/m:sSubPr&gt;&lt;m:e&gt;&lt;m:r&gt;&lt;m:rPr&gt;&lt;m:sty m:val=&quot;bi&quot;/&gt;&lt;/m:rPr&gt;&lt;w:rPr&gt;&lt;w:rFonts w:ascii=&quot;Cambria Math&quot; w:h-ansi=&quot;Cambria Math&quot;/&gt;&lt;wx:font wx:val=&quot;Cambria Math&quot;/&gt;&lt;w:b/&gt;&lt;w:i/&gt;&lt;w:sz w:val=&quot;22&quot;/&gt;&lt;w:sz-cs w:val=&quot;22&quot;/&gt;&lt;w:lang w:val=&quot;EN-US&quot; w:fareast=&quot;EN-US&quot;/&gt;&lt;/w:rPr&gt;&lt;m:t&gt;St Dev&lt;/m:t&gt;&lt;/m:r&gt;&lt;m:ctrlPr&gt;&lt;w:rPr&gt;&lt;w:rFonts w:ascii=&quot;Cambria Math&quot; w:h-ansi=&quot;Cambria Math&quot;/&gt;&lt;wx:font wx:val=&quot;Cambria Math&quot;/&gt;&lt;w:i/&gt;&lt;w:sz w:val=&quot;22&quot;/&gt;&lt;w:sz-cs w:val=&quot;22&quot;/&gt;&lt;w:lang w:val=&quot;EN-US&quot; w:fareast=&quot;EN-US&quot;/&gt;&lt;/w:rPr&gt;&lt;/m:ctrlPr&gt;&lt;/m:e&gt;&lt;m:sub&gt;&lt;m:r&gt;&lt;m:rPr&gt;&lt;m:sty m:val=&quot;bi&quot;/&gt;&lt;/m:rPr&gt;&lt;w:rPr&gt;&lt;w:rFonts w:ascii=&quot;Cambria Math&quot; w:h-ansi=&quot;Cambria Math&quot;/&gt;&lt;wx:font wx:val=&quot;Cambria Math&quot;/&gt;&lt;w:b/&gt;&lt;w:i/&gt;&lt;w:sz w:val=&quot;22&quot;/&gt;&lt;w:sz-cs w:val=&quot;22&quot;/&gt;&lt;w:lang w:val=&quot;EN-US&quot; w:fareast=&quot;EN-US&quot;/&gt;&lt;/w:rPr&gt;&lt;m:t&gt;1&lt;/m:t&gt;&lt;/m:r&gt;&lt;m:ctrlPr&gt;&lt;w:rPr&gt;&lt;w:rFonts w:ascii=&quot;Cambria Math&quot; w:h-ansi=&quot;Cambria Math&quot;/&gt;&lt;wx:font wx:val=&quot;Cambria Math&quot;/&gt;&lt;w:i/&gt;&lt;w:sz w:val=&quot;22&quot;/&gt;&lt;w:sz-cs w:val=&quot;22&quot;/&gt;&lt;w:lang w:val=&quot;EN-US&quot; w:fareast=&quot;EN-US&quot;/&gt;&lt;/w:rPr&gt;&lt;/m:ctrlP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29" o:title="" chromakey="white"/>
                </v:shape>
              </w:pict>
            </w:r>
          </w:p>
        </w:tc>
        <w:tc>
          <w:tcPr>
            <w:tcW w:w="976" w:type="dxa"/>
            <w:noWrap/>
          </w:tcPr>
          <w:p w:rsidR="00334F38" w:rsidRPr="006E06F2" w:rsidRDefault="00334F38" w:rsidP="006E06F2">
            <w:pPr>
              <w:rPr>
                <w:rFonts w:ascii="Calibri" w:hAnsi="Calibri"/>
                <w:b/>
                <w:bCs/>
                <w:sz w:val="22"/>
                <w:szCs w:val="22"/>
                <w:lang w:val="en-US" w:eastAsia="en-US"/>
              </w:rPr>
            </w:pPr>
            <w:r w:rsidRPr="006E06F2">
              <w:pict>
                <v:shape id="_x0000_i1065" type="#_x0000_t75" style="width:39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5CBB&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9F5CBB&quot;&gt;&lt;m:oMathPara&gt;&lt;m:oMath&gt;&lt;m:sSub&gt;&lt;m:sSubPr&gt;&lt;m:ctrlPr&gt;&lt;w:rPr&gt;&lt;w:rFonts w:ascii=&quot;Cambria Math&quot; w:h-ansi=&quot;Cambria Math&quot;/&gt;&lt;wx:font wx:val=&quot;Cambria Math&quot;/&gt;&lt;w:b/&gt;&lt;w:b-cs/&gt;&lt;w:i/&gt;&lt;w:sz w:val=&quot;22&quot;/&gt;&lt;w:sz-cs w:val=&quot;22&quot;/&gt;&lt;w:lang w:val=&quot;EN-US&quot; w:fareast=&quot;EN-US&quot;/&gt;&lt;/w:rPr&gt;&lt;/m:ctrlPr&gt;&lt;/m:sSubPr&gt;&lt;m:e&gt;&lt;m:r&gt;&lt;m:rPr&gt;&lt;m:sty m:val=&quot;bi&quot;/&gt;&lt;/m:rPr&gt;&lt;w:rPr&gt;&lt;w:rFonts w:ascii=&quot;Cambria Math&quot; w:h-ansi=&quot;Cambria Math&quot;/&gt;&lt;wx:font wx:val=&quot;Cambria Math&quot;/&gt;&lt;w:b/&gt;&lt;w:i/&gt;&lt;w:sz w:val=&quot;22&quot;/&gt;&lt;w:sz-cs w:val=&quot;22&quot;/&gt;&lt;w:lang w:val=&quot;EN-US&quot; w:fareast=&quot;EN-US&quot;/&gt;&lt;/w:rPr&gt;&lt;m:t&gt;Î²(est)&lt;/m:t&gt;&lt;/m:r&gt;&lt;m:ctrlPr&gt;&lt;w:rPr&gt;&lt;w:rFonts w:ascii=&quot;Cambria Math&quot; w:h-ansi=&quot;Cambria Math&quot;/&gt;&lt;wx:font wx:val=&quot;Cambria Math&quot;/&gt;&lt;w:i/&gt;&lt;w:sz w:val=&quot;22&quot;/&gt;&lt;w:sz-cs w:val=&quot;22&quot;/&gt;&lt;w:lang w:val=&quot;EN-US&quot; w:fareast=&quot;EN-US&quot;/&gt;&lt;/w:rPr&gt;&lt;/m:ctrlPr&gt;&lt;/m:e&gt;&lt;m:sub&gt;&lt;m:r&gt;&lt;m:rPr&gt;&lt;m:sty m:val=&quot;bi&quot;/&gt;&lt;/m:rPr&gt;&lt;w:rPr&gt;&lt;w:rFonts w:ascii=&quot;Cambria Math&quot; w:h-ansi=&quot;Cambria Math&quot;/&gt;&lt;wx:font wx:val=&quot;Cambria Math&quot;/&gt;&lt;w:b/&gt;&lt;w:i/&gt;&lt;w:sz w:val=&quot;22&quot;/&gt;&lt;w:sz-cs w:val=&quot;22&quot;/&gt;&lt;w:lang w:val=&quot;EN-US&quot; w:fareast=&quot;EN-US&quot;/&gt;&lt;/w:rPr&gt;&lt;m:t&gt;2&lt;/m:t&gt;&lt;/m:r&gt;&lt;m:ctrlPr&gt;&lt;w:rPr&gt;&lt;w:rFonts w:ascii=&quot;Cambria Math&quot; w:h-ansi=&quot;Cambria Math&quot;/&gt;&lt;wx:font wx:val=&quot;Cambria Math&quot;/&gt;&lt;w:i/&gt;&lt;w:sz w:val=&quot;22&quot;/&gt;&lt;w:sz-cs w:val=&quot;22&quot;/&gt;&lt;w:lang w:val=&quot;EN-US&quot; w:fareast=&quot;EN-US&quot;/&gt;&lt;/w:rPr&gt;&lt;/m:ctrlP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30" o:title="" chromakey="white"/>
                </v:shape>
              </w:pict>
            </w:r>
          </w:p>
        </w:tc>
        <w:tc>
          <w:tcPr>
            <w:tcW w:w="1005" w:type="dxa"/>
            <w:noWrap/>
          </w:tcPr>
          <w:p w:rsidR="00334F38" w:rsidRPr="006E06F2" w:rsidRDefault="00334F38" w:rsidP="006E06F2">
            <w:pPr>
              <w:rPr>
                <w:rFonts w:ascii="Calibri" w:hAnsi="Calibri"/>
                <w:b/>
                <w:bCs/>
                <w:sz w:val="22"/>
                <w:szCs w:val="22"/>
                <w:lang w:val="en-US" w:eastAsia="en-US"/>
              </w:rPr>
            </w:pPr>
            <w:r w:rsidRPr="006E06F2">
              <w:pict>
                <v:shape id="_x0000_i1066" type="#_x0000_t75" style="width:42.75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27608&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F27608&quot;&gt;&lt;m:oMathPara&gt;&lt;m:oMath&gt;&lt;m:sSub&gt;&lt;m:sSubPr&gt;&lt;m:ctrlPr&gt;&lt;w:rPr&gt;&lt;w:rFonts w:ascii=&quot;Cambria Math&quot; w:h-ansi=&quot;Cambria Math&quot;/&gt;&lt;wx:font wx:val=&quot;Cambria Math&quot;/&gt;&lt;w:b/&gt;&lt;w:b-cs/&gt;&lt;w:i/&gt;&lt;w:sz w:val=&quot;22&quot;/&gt;&lt;w:sz-cs w:val=&quot;22&quot;/&gt;&lt;w:lang w:val=&quot;EN-US&quot; w:fareast=&quot;EN-US&quot;/&gt;&lt;/w:rPr&gt;&lt;/m:ctrlPr&gt;&lt;/m:sSubPr&gt;&lt;m:e&gt;&lt;m:r&gt;&lt;m:rPr&gt;&lt;m:sty m:val=&quot;bi&quot;/&gt;&lt;/m:rPr&gt;&lt;w:rPr&gt;&lt;w:rFonts w:ascii=&quot;Cambria Math&quot; w:h-ansi=&quot;Cambria Math&quot;/&gt;&lt;wx:font wx:val=&quot;Cambria Math&quot;/&gt;&lt;w:b/&gt;&lt;w:i/&gt;&lt;w:sz w:val=&quot;22&quot;/&gt;&lt;w:sz-cs w:val=&quot;22&quot;/&gt;&lt;w:lang w:val=&quot;EN-US&quot; w:fareast=&quot;EN-US&quot;/&gt;&lt;/w:rPr&gt;&lt;m:t&gt;St Dev&lt;/m:t&gt;&lt;/m:r&gt;&lt;m:ctrlPr&gt;&lt;w:rPr&gt;&lt;w:rFonts w:ascii=&quot;Cambria Math&quot; w:h-ansi=&quot;Cambria Math&quot;/&gt;&lt;wx:font wx:val=&quot;Cambria Math&quot;/&gt;&lt;w:i/&gt;&lt;w:sz w:val=&quot;22&quot;/&gt;&lt;w:sz-cs w:val=&quot;22&quot;/&gt;&lt;w:lang w:val=&quot;EN-US&quot; w:fareast=&quot;EN-US&quot;/&gt;&lt;/w:rPr&gt;&lt;/m:ctrlPr&gt;&lt;/m:e&gt;&lt;m:sub&gt;&lt;m:r&gt;&lt;m:rPr&gt;&lt;m:sty m:val=&quot;bi&quot;/&gt;&lt;/m:rPr&gt;&lt;w:rPr&gt;&lt;w:rFonts w:ascii=&quot;Cambria Math&quot; w:h-ansi=&quot;Cambria Math&quot;/&gt;&lt;wx:font wx:val=&quot;Cambria Math&quot;/&gt;&lt;w:b/&gt;&lt;w:i/&gt;&lt;w:sz w:val=&quot;22&quot;/&gt;&lt;w:sz-cs w:val=&quot;22&quot;/&gt;&lt;w:lang w:val=&quot;EN-US&quot; w:fareast=&quot;EN-US&quot;/&gt;&lt;/w:rPr&gt;&lt;m:t&gt;2&lt;/m:t&gt;&lt;/m:r&gt;&lt;m:ctrlPr&gt;&lt;w:rPr&gt;&lt;w:rFonts w:ascii=&quot;Cambria Math&quot; w:h-ansi=&quot;Cambria Math&quot;/&gt;&lt;wx:font wx:val=&quot;Cambria Math&quot;/&gt;&lt;w:i/&gt;&lt;w:sz w:val=&quot;22&quot;/&gt;&lt;w:sz-cs w:val=&quot;22&quot;/&gt;&lt;w:lang w:val=&quot;EN-US&quot; w:fareast=&quot;EN-US&quot;/&gt;&lt;/w:rPr&gt;&lt;/m:ctrlP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31" o:title="" chromakey="white"/>
                </v:shape>
              </w:pict>
            </w:r>
          </w:p>
        </w:tc>
        <w:tc>
          <w:tcPr>
            <w:tcW w:w="818" w:type="dxa"/>
            <w:noWrap/>
          </w:tcPr>
          <w:p w:rsidR="00334F38" w:rsidRPr="006E06F2" w:rsidRDefault="00334F38" w:rsidP="006E06F2">
            <w:pPr>
              <w:rPr>
                <w:rFonts w:ascii="Calibri" w:hAnsi="Calibri"/>
                <w:b/>
                <w:bCs/>
                <w:sz w:val="22"/>
                <w:szCs w:val="22"/>
                <w:lang w:val="en-US" w:eastAsia="en-US"/>
              </w:rPr>
            </w:pPr>
            <w:r w:rsidRPr="006E06F2">
              <w:rPr>
                <w:rFonts w:ascii="Calibri" w:hAnsi="Calibri"/>
                <w:sz w:val="22"/>
                <w:szCs w:val="22"/>
                <w:lang w:val="en-US" w:eastAsia="en-US"/>
              </w:rPr>
              <w:t xml:space="preserve">      </w:t>
            </w:r>
            <w:r w:rsidRPr="006E06F2">
              <w:rPr>
                <w:rFonts w:ascii="Calibri" w:hAnsi="Calibri"/>
                <w:sz w:val="22"/>
                <w:szCs w:val="22"/>
                <w:lang w:val="en-US" w:eastAsia="en-US"/>
              </w:rPr>
              <w:fldChar w:fldCharType="begin"/>
            </w:r>
            <w:r w:rsidRPr="006E06F2">
              <w:rPr>
                <w:rFonts w:ascii="Calibri" w:hAnsi="Calibri"/>
                <w:sz w:val="22"/>
                <w:szCs w:val="22"/>
                <w:lang w:val="en-US" w:eastAsia="en-US"/>
              </w:rPr>
              <w:instrText xml:space="preserve"> QUOTE </w:instrText>
            </w:r>
            <w:r w:rsidRPr="006E06F2">
              <w:pict>
                <v:shape id="_x0000_i1067" type="#_x0000_t75" style="width:15pt;height:12.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B36A9&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FB36A9&quot;&gt;&lt;m:oMathPara&gt;&lt;m:oMath&gt;&lt;m:sSup&gt;&lt;m:sSupPr&gt;&lt;m:ctrlPr&gt;&lt;w:rPr&gt;&lt;w:rFonts w:ascii=&quot;Cambria Math&quot; w:h-ansi=&quot;Cambria Math&quot;/&gt;&lt;wx:font wx:val=&quot;Cambria Math&quot;/&gt;&lt;w:b/&gt;&lt;w:b-cs/&gt;&lt;w:i/&gt;&lt;w:sz w:val=&quot;22&quot;/&gt;&lt;w:sz-cs w:val=&quot;22&quot;/&gt;&lt;w:lang w:val=&quot;EN-US&quot; w:fareast=&quot;EN-US&quot;/&gt;&lt;/w:rPr&gt;&lt;/m:ctrlPr&gt;&lt;/m:sSupPr&gt;&lt;m:e&gt;&lt;m:r&gt;&lt;m:rPr&gt;&lt;m:sty m:val=&quot;bi&quot;/&gt;&lt;/m:rPr&gt;&lt;w:rPr&gt;&lt;w:rFonts w:ascii=&quot;Cambria Math&quot; w:h-ansi=&quot;Cambria Math&quot;/&gt;&lt;wx:font wx:val=&quot;Cambria Math&quot;/&gt;&lt;w:b/&gt;&lt;w:i/&gt;&lt;w:sz w:val=&quot;22&quot;/&gt;&lt;w:sz-cs w:val=&quot;22&quot;/&gt;&lt;w:lang w:val=&quot;EN-US&quot; w:fareast=&quot;EN-US&quot;/&gt;&lt;/w:rPr&gt;&lt;m:t&gt;R&lt;/m:t&gt;&lt;/m:r&gt;&lt;m:ctrlPr&gt;&lt;w:rPr&gt;&lt;w:rFonts w:ascii=&quot;Cambria Math&quot; w:h-ansi=&quot;Cambria Math&quot;/&gt;&lt;wx:font wx:val=&quot;Cambria Math&quot;/&gt;&lt;w:i/&gt;&lt;w:sz w:val=&quot;22&quot;/&gt;&lt;w:sz-cs w:val=&quot;22&quot;/&gt;&lt;w:lang w:val=&quot;EN-US&quot; w:fareast=&quot;EN-US&quot;/&gt;&lt;/w:rPr&gt;&lt;/m:ctrlPr&gt;&lt;/m:e&gt;&lt;m:sup&gt;&lt;m:r&gt;&lt;m:rPr&gt;&lt;m:sty m:val=&quot;bi&quot;/&gt;&lt;/m:rPr&gt;&lt;w:rPr&gt;&lt;w:rFonts w:ascii=&quot;Cambria Math&quot; w:h-ansi=&quot;Cambria Math&quot;/&gt;&lt;wx:font wx:val=&quot;Cambria Math&quot;/&gt;&lt;w:b/&gt;&lt;w:i/&gt;&lt;w:sz w:val=&quot;22&quot;/&gt;&lt;w:sz-cs w:val=&quot;22&quot;/&gt;&lt;w:lang w:val=&quot;EN-US&quot; w:fareast=&quot;EN-US&quot;/&gt;&lt;/w:rPr&gt;&lt;m:t&gt;2&lt;/m:t&gt;&lt;/m:r&gt;&lt;m:ctrlPr&gt;&lt;w:rPr&gt;&lt;w:rFonts w:ascii=&quot;Cambria Math&quot; w:h-ansi=&quot;Cambria Math&quot;/&gt;&lt;wx:font wx:val=&quot;Cambria Math&quot;/&gt;&lt;w:i/&gt;&lt;w:sz w:val=&quot;22&quot;/&gt;&lt;w:sz-cs w:val=&quot;22&quot;/&gt;&lt;w:lang w:val=&quot;EN-US&quot; w:fareast=&quot;EN-US&quot;/&gt;&lt;/w:rPr&gt;&lt;/m:ctrlPr&gt;&lt;/m:sup&gt;&lt;/m:sSup&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32" o:title="" chromakey="white"/>
                </v:shape>
              </w:pict>
            </w:r>
            <w:r w:rsidRPr="006E06F2">
              <w:rPr>
                <w:rFonts w:ascii="Calibri" w:hAnsi="Calibri"/>
                <w:sz w:val="22"/>
                <w:szCs w:val="22"/>
                <w:lang w:val="en-US" w:eastAsia="en-US"/>
              </w:rPr>
              <w:instrText xml:space="preserve"> </w:instrText>
            </w:r>
            <w:r w:rsidRPr="006E06F2">
              <w:rPr>
                <w:rFonts w:ascii="Calibri" w:hAnsi="Calibri"/>
                <w:sz w:val="22"/>
                <w:szCs w:val="22"/>
                <w:lang w:val="en-US" w:eastAsia="en-US"/>
              </w:rPr>
              <w:fldChar w:fldCharType="separate"/>
            </w:r>
            <w:r w:rsidRPr="006E06F2">
              <w:pict>
                <v:shape id="_x0000_i1068" type="#_x0000_t75" style="width:15pt;height:12.7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B36A9&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FB36A9&quot;&gt;&lt;m:oMathPara&gt;&lt;m:oMath&gt;&lt;m:sSup&gt;&lt;m:sSupPr&gt;&lt;m:ctrlPr&gt;&lt;w:rPr&gt;&lt;w:rFonts w:ascii=&quot;Cambria Math&quot; w:h-ansi=&quot;Cambria Math&quot;/&gt;&lt;wx:font wx:val=&quot;Cambria Math&quot;/&gt;&lt;w:b/&gt;&lt;w:b-cs/&gt;&lt;w:i/&gt;&lt;w:sz w:val=&quot;22&quot;/&gt;&lt;w:sz-cs w:val=&quot;22&quot;/&gt;&lt;w:lang w:val=&quot;EN-US&quot; w:fareast=&quot;EN-US&quot;/&gt;&lt;/w:rPr&gt;&lt;/m:ctrlPr&gt;&lt;/m:sSupPr&gt;&lt;m:e&gt;&lt;m:r&gt;&lt;m:rPr&gt;&lt;m:sty m:val=&quot;bi&quot;/&gt;&lt;/m:rPr&gt;&lt;w:rPr&gt;&lt;w:rFonts w:ascii=&quot;Cambria Math&quot; w:h-ansi=&quot;Cambria Math&quot;/&gt;&lt;wx:font wx:val=&quot;Cambria Math&quot;/&gt;&lt;w:b/&gt;&lt;w:i/&gt;&lt;w:sz w:val=&quot;22&quot;/&gt;&lt;w:sz-cs w:val=&quot;22&quot;/&gt;&lt;w:lang w:val=&quot;EN-US&quot; w:fareast=&quot;EN-US&quot;/&gt;&lt;/w:rPr&gt;&lt;m:t&gt;R&lt;/m:t&gt;&lt;/m:r&gt;&lt;m:ctrlPr&gt;&lt;w:rPr&gt;&lt;w:rFonts w:ascii=&quot;Cambria Math&quot; w:h-ansi=&quot;Cambria Math&quot;/&gt;&lt;wx:font wx:val=&quot;Cambria Math&quot;/&gt;&lt;w:i/&gt;&lt;w:sz w:val=&quot;22&quot;/&gt;&lt;w:sz-cs w:val=&quot;22&quot;/&gt;&lt;w:lang w:val=&quot;EN-US&quot; w:fareast=&quot;EN-US&quot;/&gt;&lt;/w:rPr&gt;&lt;/m:ctrlPr&gt;&lt;/m:e&gt;&lt;m:sup&gt;&lt;m:r&gt;&lt;m:rPr&gt;&lt;m:sty m:val=&quot;bi&quot;/&gt;&lt;/m:rPr&gt;&lt;w:rPr&gt;&lt;w:rFonts w:ascii=&quot;Cambria Math&quot; w:h-ansi=&quot;Cambria Math&quot;/&gt;&lt;wx:font wx:val=&quot;Cambria Math&quot;/&gt;&lt;w:b/&gt;&lt;w:i/&gt;&lt;w:sz w:val=&quot;22&quot;/&gt;&lt;w:sz-cs w:val=&quot;22&quot;/&gt;&lt;w:lang w:val=&quot;EN-US&quot; w:fareast=&quot;EN-US&quot;/&gt;&lt;/w:rPr&gt;&lt;m:t&gt;2&lt;/m:t&gt;&lt;/m:r&gt;&lt;m:ctrlPr&gt;&lt;w:rPr&gt;&lt;w:rFonts w:ascii=&quot;Cambria Math&quot; w:h-ansi=&quot;Cambria Math&quot;/&gt;&lt;wx:font wx:val=&quot;Cambria Math&quot;/&gt;&lt;w:i/&gt;&lt;w:sz w:val=&quot;22&quot;/&gt;&lt;w:sz-cs w:val=&quot;22&quot;/&gt;&lt;w:lang w:val=&quot;EN-US&quot; w:fareast=&quot;EN-US&quot;/&gt;&lt;/w:rPr&gt;&lt;/m:ctrlPr&gt;&lt;/m:sup&gt;&lt;/m:sSup&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32" o:title="" chromakey="white"/>
                </v:shape>
              </w:pict>
            </w:r>
            <w:r w:rsidRPr="006E06F2">
              <w:rPr>
                <w:rFonts w:ascii="Calibri" w:hAnsi="Calibri"/>
                <w:sz w:val="22"/>
                <w:szCs w:val="22"/>
                <w:lang w:val="en-US" w:eastAsia="en-US"/>
              </w:rPr>
              <w:fldChar w:fldCharType="end"/>
            </w:r>
            <w:r w:rsidRPr="006E06F2">
              <w:rPr>
                <w:rFonts w:ascii="Calibri" w:hAnsi="Calibri"/>
                <w:b/>
                <w:bCs/>
                <w:sz w:val="22"/>
                <w:szCs w:val="22"/>
                <w:lang w:val="en-US" w:eastAsia="en-US"/>
              </w:rPr>
              <w:t xml:space="preserve"> </w:t>
            </w:r>
          </w:p>
        </w:tc>
        <w:tc>
          <w:tcPr>
            <w:tcW w:w="1075" w:type="dxa"/>
            <w:gridSpan w:val="2"/>
            <w:noWrap/>
          </w:tcPr>
          <w:p w:rsidR="00334F38" w:rsidRPr="006E06F2" w:rsidRDefault="00334F38" w:rsidP="006E06F2">
            <w:pPr>
              <w:rPr>
                <w:rFonts w:ascii="Calibri" w:hAnsi="Calibri"/>
                <w:b/>
                <w:bCs/>
                <w:sz w:val="22"/>
                <w:szCs w:val="22"/>
                <w:lang w:val="en-US" w:eastAsia="en-US"/>
              </w:rPr>
            </w:pPr>
            <w:r w:rsidRPr="006E06F2">
              <w:pict>
                <v:shape id="_x0000_i1069" type="#_x0000_t75" style="width:39.75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0777E&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D0777E&quot;&gt;&lt;m:oMathPara&gt;&lt;m:oMath&gt;&lt;m:sSub&gt;&lt;m:sSubPr&gt;&lt;m:ctrlPr&gt;&lt;w:rPr&gt;&lt;w:rFonts w:ascii=&quot;Cambria Math&quot; w:h-ansi=&quot;Cambria Math&quot;/&gt;&lt;wx:font wx:val=&quot;Cambria Math&quot;/&gt;&lt;w:b/&gt;&lt;w:b-cs/&gt;&lt;w:i/&gt;&lt;w:sz w:val=&quot;22&quot;/&gt;&lt;w:sz-cs w:val=&quot;22&quot;/&gt;&lt;w:lang w:val=&quot;EN-US&quot; w:fareast=&quot;EN-US&quot;/&gt;&lt;/w:rPr&gt;&lt;/m:ctrlPr&gt;&lt;/m:sSubPr&gt;&lt;m:e&gt;&lt;m:r&gt;&lt;m:rPr&gt;&lt;m:sty m:val=&quot;bi&quot;/&gt;&lt;/m:rPr&gt;&lt;w:rPr&gt;&lt;w:rFonts w:ascii=&quot;Cambria Math&quot; w:h-ansi=&quot;Cambria Math&quot;/&gt;&lt;wx:font wx:val=&quot;Cambria Math&quot;/&gt;&lt;w:b/&gt;&lt;w:i/&gt;&lt;w:sz w:val=&quot;22&quot;/&gt;&lt;w:sz-cs w:val=&quot;22&quot;/&gt;&lt;w:lang w:val=&quot;EN-US&quot; w:fareast=&quot;EN-US&quot;/&gt;&lt;/w:rPr&gt;&lt;m:t&gt;Crt &lt;/m:t&gt;&lt;/m:r&gt;&lt;m:ctrlPr&gt;&lt;w:rPr&gt;&lt;w:rFonts w:ascii=&quot;Cambria Math&quot; w:h-ansi=&quot;Cambria Math&quot;/&gt;&lt;wx:font wx:val=&quot;Cambria Math&quot;/&gt;&lt;w:i/&gt;&lt;w:sz w:val=&quot;22&quot;/&gt;&lt;w:sz-cs w:val=&quot;22&quot;/&gt;&lt;w:lang w:val=&quot;EN-US&quot; w:fareast=&quot;EN-US&quot;/&gt;&lt;/w:rPr&gt;&lt;/m:ctrlPr&gt;&lt;/m:e&gt;&lt;m:sub&gt;&lt;m:r&gt;&lt;m:rPr&gt;&lt;m:sty m:val=&quot;bi&quot;/&gt;&lt;/m:rPr&gt;&lt;w:rPr&gt;&lt;w:rFonts w:ascii=&quot;Cambria Math&quot; w:h-ansi=&quot;Cambria Math&quot;/&gt;&lt;wx:font wx:val=&quot;Cambria Math&quot;/&gt;&lt;w:b/&gt;&lt;w:i/&gt;&lt;w:sz w:val=&quot;22&quot;/&gt;&lt;w:sz-cs w:val=&quot;22&quot;/&gt;&lt;w:lang w:val=&quot;EN-US&quot; w:fareast=&quot;EN-US&quot;/&gt;&lt;/w:rPr&gt;&lt;m:t&gt;1&lt;/m:t&gt;&lt;/m:r&gt;&lt;m:ctrlPr&gt;&lt;w:rPr&gt;&lt;w:rFonts w:ascii=&quot;Cambria Math&quot; w:h-ansi=&quot;Cambria Math&quot;/&gt;&lt;wx:font wx:val=&quot;Cambria Math&quot;/&gt;&lt;w:i/&gt;&lt;w:sz w:val=&quot;22&quot;/&gt;&lt;w:sz-cs w:val=&quot;22&quot;/&gt;&lt;w:lang w:val=&quot;EN-US&quot; w:fareast=&quot;EN-US&quot;/&gt;&lt;/w:rPr&gt;&lt;/m:ctrlPr&gt;&lt;/m:sub&gt;&lt;/m:sSub&gt;&lt;m:r&gt;&lt;m:rPr&gt;&lt;m:sty m:val=&quot;bi&quot;/&gt;&lt;/m:rPr&gt;&lt;w:rPr&gt;&lt;w:rFonts w:ascii=&quot;Cambria Math&quot; w:h-ansi=&quot;Cambria Math&quot;/&gt;&lt;wx:font wx:val=&quot;Cambria Math&quot;/&gt;&lt;w:b/&gt;&lt;w:i/&gt;&lt;w:sz w:val=&quot;22&quot;/&gt;&lt;w:sz-cs w:val=&quot;22&quot;/&gt;&lt;w:lang w:val=&quot;EN-US&quot; w:fareast=&quot;EN-US&quot;/&gt;&lt;/w:rPr&gt;&lt;m:t&gt; %&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33" o:title="" chromakey="white"/>
                </v:shape>
              </w:pict>
            </w:r>
          </w:p>
        </w:tc>
        <w:tc>
          <w:tcPr>
            <w:tcW w:w="2131" w:type="dxa"/>
            <w:noWrap/>
          </w:tcPr>
          <w:p w:rsidR="00334F38" w:rsidRPr="006E06F2" w:rsidRDefault="00334F38" w:rsidP="006E06F2">
            <w:pPr>
              <w:ind w:left="-288"/>
              <w:rPr>
                <w:rFonts w:ascii="Calibri" w:hAnsi="Calibri"/>
                <w:b/>
                <w:bCs/>
                <w:sz w:val="22"/>
                <w:szCs w:val="22"/>
                <w:lang w:val="en-US" w:eastAsia="en-US"/>
              </w:rPr>
            </w:pPr>
            <w:r w:rsidRPr="006E06F2">
              <w:pict>
                <v:shape id="_x0000_i1070" type="#_x0000_t75" style="width:36.75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09D&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14409D&quot;&gt;&lt;m:oMathPara&gt;&lt;m:oMath&gt;&lt;m:sSub&gt;&lt;m:sSubPr&gt;&lt;m:ctrlPr&gt;&lt;w:rPr&gt;&lt;w:rFonts w:ascii=&quot;Cambria Math&quot; w:h-ansi=&quot;Cambria Math&quot;/&gt;&lt;wx:font wx:val=&quot;Cambria Math&quot;/&gt;&lt;w:b/&gt;&lt;w:b-cs/&gt;&lt;w:i/&gt;&lt;w:sz w:val=&quot;22&quot;/&gt;&lt;w:sz-cs w:val=&quot;22&quot;/&gt;&lt;w:lang w:val=&quot;EN-US&quot; w:fareast=&quot;EN-US&quot;/&gt;&lt;/w:rPr&gt;&lt;/m:ctrlPr&gt;&lt;/m:sSubPr&gt;&lt;m:e&gt;&lt;m:r&gt;&lt;m:rPr&gt;&lt;m:sty m:val=&quot;bi&quot;/&gt;&lt;/m:rPr&gt;&lt;w:rPr&gt;&lt;w:rFonts w:ascii=&quot;Cambria Math&quot; w:h-ansi=&quot;Cambria Math&quot;/&gt;&lt;wx:font wx:val=&quot;Cambria Math&quot;/&gt;&lt;w:b/&gt;&lt;w:i/&gt;&lt;w:sz w:val=&quot;22&quot;/&gt;&lt;w:sz-cs w:val=&quot;22&quot;/&gt;&lt;w:lang w:val=&quot;EN-US&quot; w:fareast=&quot;EN-US&quot;/&gt;&lt;/w:rPr&gt;&lt;m:t&gt;Crt&lt;/m:t&gt;&lt;/m:r&gt;&lt;m:ctrlPr&gt;&lt;w:rPr&gt;&lt;w:rFonts w:ascii=&quot;Cambria Math&quot; w:h-ansi=&quot;Cambria Math&quot;/&gt;&lt;wx:font wx:val=&quot;Cambria Math&quot;/&gt;&lt;w:i/&gt;&lt;w:sz w:val=&quot;22&quot;/&gt;&lt;w:sz-cs w:val=&quot;22&quot;/&gt;&lt;w:lang w:val=&quot;EN-US&quot; w:fareast=&quot;EN-US&quot;/&gt;&lt;/w:rPr&gt;&lt;/m:ctrlPr&gt;&lt;/m:e&gt;&lt;m:sub&gt;&lt;m:r&gt;&lt;m:rPr&gt;&lt;m:sty m:val=&quot;bi&quot;/&gt;&lt;/m:rPr&gt;&lt;w:rPr&gt;&lt;w:rFonts w:ascii=&quot;Cambria Math&quot; w:h-ansi=&quot;Cambria Math&quot;/&gt;&lt;wx:font wx:val=&quot;Cambria Math&quot;/&gt;&lt;w:b/&gt;&lt;w:i/&gt;&lt;w:sz w:val=&quot;22&quot;/&gt;&lt;w:sz-cs w:val=&quot;22&quot;/&gt;&lt;w:lang w:val=&quot;EN-US&quot; w:fareast=&quot;EN-US&quot;/&gt;&lt;/w:rPr&gt;&lt;m:t&gt;2&lt;/m:t&gt;&lt;/m:r&gt;&lt;m:ctrlPr&gt;&lt;w:rPr&gt;&lt;w:rFonts w:ascii=&quot;Cambria Math&quot; w:h-ansi=&quot;Cambria Math&quot;/&gt;&lt;wx:font wx:val=&quot;Cambria Math&quot;/&gt;&lt;w:i/&gt;&lt;w:sz w:val=&quot;22&quot;/&gt;&lt;w:sz-cs w:val=&quot;22&quot;/&gt;&lt;w:lang w:val=&quot;EN-US&quot; w:fareast=&quot;EN-US&quot;/&gt;&lt;/w:rPr&gt;&lt;/m:ctrlPr&gt;&lt;/m:sub&gt;&lt;/m:sSub&gt;&lt;m:r&gt;&lt;m:rPr&gt;&lt;m:sty m:val=&quot;bi&quot;/&gt;&lt;/m:rPr&gt;&lt;w:rPr&gt;&lt;w:rFonts w:ascii=&quot;Cambria Math&quot; w:h-ansi=&quot;Cambria Math&quot;/&gt;&lt;wx:font wx:val=&quot;Cambria Math&quot;/&gt;&lt;w:b/&gt;&lt;w:i/&gt;&lt;w:sz w:val=&quot;22&quot;/&gt;&lt;w:sz-cs w:val=&quot;22&quot;/&gt;&lt;w:lang w:val=&quot;EN-US&quot; w:fareast=&quot;EN-US&quot;/&gt;&lt;/w:rPr&gt;&lt;m:t&gt; %&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34" o:title="" chromakey="white"/>
                </v:shape>
              </w:pict>
            </w:r>
          </w:p>
        </w:tc>
      </w:tr>
      <w:tr w:rsidR="00334F38" w:rsidRPr="006C4EFF" w:rsidTr="006E06F2">
        <w:trPr>
          <w:trHeight w:val="253"/>
        </w:trPr>
        <w:tc>
          <w:tcPr>
            <w:tcW w:w="918" w:type="dxa"/>
            <w:tcBorders>
              <w:top w:val="single" w:sz="6" w:space="0" w:color="808080"/>
              <w:bottom w:val="single" w:sz="6" w:space="0" w:color="FFFFFF"/>
              <w:right w:val="single" w:sz="6" w:space="0" w:color="808080"/>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13</w:t>
            </w:r>
          </w:p>
        </w:tc>
        <w:tc>
          <w:tcPr>
            <w:tcW w:w="976"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-0.643</w:t>
            </w:r>
          </w:p>
        </w:tc>
        <w:tc>
          <w:tcPr>
            <w:tcW w:w="1005"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0.179</w:t>
            </w:r>
          </w:p>
        </w:tc>
        <w:tc>
          <w:tcPr>
            <w:tcW w:w="976"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-0.109</w:t>
            </w:r>
          </w:p>
        </w:tc>
        <w:tc>
          <w:tcPr>
            <w:tcW w:w="1005"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0.060</w:t>
            </w:r>
          </w:p>
        </w:tc>
        <w:tc>
          <w:tcPr>
            <w:tcW w:w="976"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-0.106</w:t>
            </w:r>
          </w:p>
        </w:tc>
        <w:tc>
          <w:tcPr>
            <w:tcW w:w="1005"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0.009</w:t>
            </w:r>
          </w:p>
        </w:tc>
        <w:tc>
          <w:tcPr>
            <w:tcW w:w="818"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0.461</w:t>
            </w:r>
          </w:p>
        </w:tc>
        <w:tc>
          <w:tcPr>
            <w:tcW w:w="996" w:type="dxa"/>
            <w:tcBorders>
              <w:top w:val="single" w:sz="6" w:space="0" w:color="808080"/>
              <w:bottom w:val="single" w:sz="6" w:space="0" w:color="FFFFFF"/>
            </w:tcBorders>
            <w:noWrap/>
          </w:tcPr>
          <w:p w:rsidR="00334F38" w:rsidRPr="006E06F2" w:rsidRDefault="00334F38" w:rsidP="006E06F2">
            <w:pPr>
              <w:rPr>
                <w:rFonts w:ascii="Calibri" w:hAnsi="Calibri"/>
                <w:color w:val="000000"/>
                <w:sz w:val="22"/>
                <w:szCs w:val="22"/>
                <w:lang w:val="en-US" w:eastAsia="en-US"/>
              </w:rPr>
            </w:pPr>
            <w:r w:rsidRPr="006E06F2">
              <w:rPr>
                <w:rFonts w:ascii="Calibri" w:hAnsi="Calibri"/>
                <w:color w:val="000000"/>
                <w:sz w:val="22"/>
                <w:szCs w:val="22"/>
                <w:lang w:val="en-US" w:eastAsia="en-US"/>
              </w:rPr>
              <w:t xml:space="preserve">         25              </w:t>
            </w:r>
          </w:p>
        </w:tc>
        <w:tc>
          <w:tcPr>
            <w:tcW w:w="2210" w:type="dxa"/>
            <w:gridSpan w:val="2"/>
            <w:tcBorders>
              <w:top w:val="single" w:sz="6" w:space="0" w:color="808080"/>
              <w:bottom w:val="single" w:sz="6" w:space="0" w:color="FFFFFF"/>
            </w:tcBorders>
            <w:noWrap/>
          </w:tcPr>
          <w:p w:rsidR="00334F38" w:rsidRPr="006E06F2" w:rsidRDefault="00334F38" w:rsidP="006E06F2">
            <w:pPr>
              <w:rPr>
                <w:rFonts w:ascii="Calibri" w:hAnsi="Calibri"/>
                <w:color w:val="000000"/>
                <w:sz w:val="22"/>
                <w:szCs w:val="22"/>
                <w:lang w:val="en-US" w:eastAsia="en-US"/>
              </w:rPr>
            </w:pPr>
            <w:r w:rsidRPr="006E06F2">
              <w:rPr>
                <w:rFonts w:ascii="Calibri" w:hAnsi="Calibri"/>
                <w:color w:val="000000"/>
                <w:sz w:val="22"/>
                <w:szCs w:val="22"/>
                <w:lang w:val="en-US" w:eastAsia="en-US"/>
              </w:rPr>
              <w:t xml:space="preserve">                   100</w:t>
            </w:r>
          </w:p>
        </w:tc>
      </w:tr>
      <w:tr w:rsidR="00334F38" w:rsidRPr="006C4EFF" w:rsidTr="006E06F2">
        <w:trPr>
          <w:trHeight w:val="253"/>
        </w:trPr>
        <w:tc>
          <w:tcPr>
            <w:tcW w:w="918" w:type="dxa"/>
            <w:tcBorders>
              <w:right w:val="single" w:sz="6" w:space="0" w:color="808080"/>
            </w:tcBorders>
            <w:noWrap/>
          </w:tcPr>
          <w:p w:rsidR="00334F38" w:rsidRPr="006E06F2" w:rsidRDefault="00334F38" w:rsidP="006E06F2">
            <w:pPr>
              <w:rPr>
                <w:rFonts w:ascii="Calibri" w:hAnsi="Calibri"/>
                <w:i/>
                <w:color w:val="000000"/>
                <w:sz w:val="22"/>
                <w:szCs w:val="22"/>
                <w:lang w:val="en-US" w:eastAsia="en-US"/>
              </w:rPr>
            </w:pPr>
            <w:r w:rsidRPr="006E06F2">
              <w:rPr>
                <w:rFonts w:ascii="Calibri" w:hAnsi="Calibri"/>
                <w:i/>
                <w:color w:val="000000"/>
                <w:sz w:val="22"/>
                <w:szCs w:val="22"/>
                <w:lang w:val="en-US" w:eastAsia="en-US"/>
              </w:rPr>
              <w:t>P Value</w:t>
            </w:r>
          </w:p>
        </w:tc>
        <w:tc>
          <w:tcPr>
            <w:tcW w:w="976" w:type="dxa"/>
            <w:noWrap/>
          </w:tcPr>
          <w:p w:rsidR="00334F38" w:rsidRPr="006E06F2" w:rsidRDefault="00334F38" w:rsidP="006E06F2">
            <w:pPr>
              <w:jc w:val="right"/>
              <w:rPr>
                <w:rFonts w:ascii="Calibri" w:hAnsi="Calibri"/>
                <w:b/>
                <w:i/>
                <w:color w:val="000000"/>
                <w:sz w:val="22"/>
                <w:szCs w:val="22"/>
                <w:lang w:val="en-US" w:eastAsia="en-US"/>
              </w:rPr>
            </w:pPr>
            <w:r w:rsidRPr="006E06F2">
              <w:rPr>
                <w:rFonts w:ascii="Calibri" w:hAnsi="Calibri"/>
                <w:b/>
                <w:i/>
                <w:color w:val="000000"/>
                <w:sz w:val="22"/>
                <w:szCs w:val="22"/>
                <w:lang w:val="en-US" w:eastAsia="en-US"/>
              </w:rPr>
              <w:t>0.000</w:t>
            </w:r>
          </w:p>
        </w:tc>
        <w:tc>
          <w:tcPr>
            <w:tcW w:w="1005" w:type="dxa"/>
            <w:noWrap/>
          </w:tcPr>
          <w:p w:rsidR="00334F38" w:rsidRPr="006E06F2" w:rsidRDefault="00334F38" w:rsidP="006E06F2">
            <w:pPr>
              <w:rPr>
                <w:rFonts w:ascii="Calibri" w:hAnsi="Calibri"/>
                <w:i/>
                <w:color w:val="000000"/>
                <w:sz w:val="22"/>
                <w:szCs w:val="22"/>
                <w:lang w:val="en-US" w:eastAsia="en-US"/>
              </w:rPr>
            </w:pPr>
          </w:p>
        </w:tc>
        <w:tc>
          <w:tcPr>
            <w:tcW w:w="976" w:type="dxa"/>
            <w:noWrap/>
          </w:tcPr>
          <w:p w:rsidR="00334F38" w:rsidRPr="006E06F2" w:rsidRDefault="00334F38" w:rsidP="006E06F2">
            <w:pPr>
              <w:jc w:val="right"/>
              <w:rPr>
                <w:rFonts w:ascii="Calibri" w:hAnsi="Calibri"/>
                <w:b/>
                <w:i/>
                <w:color w:val="000000"/>
                <w:sz w:val="22"/>
                <w:szCs w:val="22"/>
                <w:lang w:val="en-US" w:eastAsia="en-US"/>
              </w:rPr>
            </w:pPr>
            <w:r w:rsidRPr="006E06F2">
              <w:rPr>
                <w:rFonts w:ascii="Calibri" w:hAnsi="Calibri"/>
                <w:b/>
                <w:i/>
                <w:color w:val="000000"/>
                <w:sz w:val="22"/>
                <w:szCs w:val="22"/>
                <w:lang w:val="en-US" w:eastAsia="en-US"/>
              </w:rPr>
              <w:t>0.024</w:t>
            </w:r>
          </w:p>
        </w:tc>
        <w:tc>
          <w:tcPr>
            <w:tcW w:w="1005" w:type="dxa"/>
            <w:noWrap/>
          </w:tcPr>
          <w:p w:rsidR="00334F38" w:rsidRPr="006E06F2" w:rsidRDefault="00334F38" w:rsidP="006E06F2">
            <w:pPr>
              <w:rPr>
                <w:rFonts w:ascii="Calibri" w:hAnsi="Calibri"/>
                <w:i/>
                <w:color w:val="000000"/>
                <w:sz w:val="22"/>
                <w:szCs w:val="22"/>
                <w:lang w:val="en-US" w:eastAsia="en-US"/>
              </w:rPr>
            </w:pPr>
          </w:p>
        </w:tc>
        <w:tc>
          <w:tcPr>
            <w:tcW w:w="976" w:type="dxa"/>
            <w:noWrap/>
          </w:tcPr>
          <w:p w:rsidR="00334F38" w:rsidRPr="006E06F2" w:rsidRDefault="00334F38" w:rsidP="006E06F2">
            <w:pPr>
              <w:jc w:val="right"/>
              <w:rPr>
                <w:rFonts w:ascii="Calibri" w:hAnsi="Calibri"/>
                <w:b/>
                <w:i/>
                <w:color w:val="000000"/>
                <w:sz w:val="22"/>
                <w:szCs w:val="22"/>
                <w:lang w:val="en-US" w:eastAsia="en-US"/>
              </w:rPr>
            </w:pPr>
            <w:r w:rsidRPr="006E06F2">
              <w:rPr>
                <w:rFonts w:ascii="Calibri" w:hAnsi="Calibri"/>
                <w:b/>
                <w:i/>
                <w:color w:val="000000"/>
                <w:sz w:val="22"/>
                <w:szCs w:val="22"/>
                <w:lang w:val="en-US" w:eastAsia="en-US"/>
              </w:rPr>
              <w:t>0.000</w:t>
            </w:r>
          </w:p>
        </w:tc>
        <w:tc>
          <w:tcPr>
            <w:tcW w:w="1005" w:type="dxa"/>
            <w:noWrap/>
          </w:tcPr>
          <w:p w:rsidR="00334F38" w:rsidRPr="006E06F2" w:rsidRDefault="00334F38" w:rsidP="006E06F2">
            <w:pPr>
              <w:rPr>
                <w:rFonts w:ascii="Calibri" w:hAnsi="Calibri"/>
                <w:color w:val="000000"/>
                <w:sz w:val="22"/>
                <w:szCs w:val="22"/>
                <w:lang w:val="en-US" w:eastAsia="en-US"/>
              </w:rPr>
            </w:pPr>
          </w:p>
        </w:tc>
        <w:tc>
          <w:tcPr>
            <w:tcW w:w="818" w:type="dxa"/>
            <w:noWrap/>
          </w:tcPr>
          <w:p w:rsidR="00334F38" w:rsidRPr="006E06F2" w:rsidRDefault="00334F38" w:rsidP="006E06F2">
            <w:pPr>
              <w:rPr>
                <w:rFonts w:ascii="Calibri" w:hAnsi="Calibri"/>
                <w:color w:val="000000"/>
                <w:sz w:val="22"/>
                <w:szCs w:val="22"/>
                <w:lang w:val="en-US" w:eastAsia="en-US"/>
              </w:rPr>
            </w:pPr>
          </w:p>
        </w:tc>
        <w:tc>
          <w:tcPr>
            <w:tcW w:w="996" w:type="dxa"/>
            <w:noWrap/>
          </w:tcPr>
          <w:p w:rsidR="00334F38" w:rsidRPr="006E06F2" w:rsidRDefault="00334F38" w:rsidP="006E06F2">
            <w:pPr>
              <w:rPr>
                <w:rFonts w:ascii="Calibri" w:hAnsi="Calibri"/>
                <w:color w:val="000000"/>
                <w:sz w:val="22"/>
                <w:szCs w:val="22"/>
                <w:lang w:val="en-US" w:eastAsia="en-US"/>
              </w:rPr>
            </w:pPr>
          </w:p>
        </w:tc>
        <w:tc>
          <w:tcPr>
            <w:tcW w:w="2210" w:type="dxa"/>
            <w:gridSpan w:val="2"/>
            <w:noWrap/>
          </w:tcPr>
          <w:p w:rsidR="00334F38" w:rsidRPr="006E06F2" w:rsidRDefault="00334F38" w:rsidP="006E06F2">
            <w:pPr>
              <w:ind w:left="-648" w:firstLine="810"/>
              <w:rPr>
                <w:rFonts w:ascii="Calibri" w:hAnsi="Calibri"/>
                <w:color w:val="000000"/>
                <w:sz w:val="22"/>
                <w:szCs w:val="22"/>
                <w:lang w:val="en-US" w:eastAsia="en-US"/>
              </w:rPr>
            </w:pPr>
          </w:p>
        </w:tc>
      </w:tr>
      <w:tr w:rsidR="00334F38" w:rsidRPr="006C4EFF" w:rsidTr="006E06F2">
        <w:trPr>
          <w:trHeight w:val="253"/>
        </w:trPr>
        <w:tc>
          <w:tcPr>
            <w:tcW w:w="918" w:type="dxa"/>
            <w:tcBorders>
              <w:top w:val="single" w:sz="6" w:space="0" w:color="808080"/>
              <w:bottom w:val="single" w:sz="6" w:space="0" w:color="FFFFFF"/>
              <w:right w:val="single" w:sz="6" w:space="0" w:color="808080"/>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35</w:t>
            </w:r>
          </w:p>
        </w:tc>
        <w:tc>
          <w:tcPr>
            <w:tcW w:w="976"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-0.428</w:t>
            </w:r>
          </w:p>
        </w:tc>
        <w:tc>
          <w:tcPr>
            <w:tcW w:w="1005"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0.193</w:t>
            </w:r>
          </w:p>
        </w:tc>
        <w:tc>
          <w:tcPr>
            <w:tcW w:w="976"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0.054</w:t>
            </w:r>
          </w:p>
        </w:tc>
        <w:tc>
          <w:tcPr>
            <w:tcW w:w="1005"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0.037</w:t>
            </w:r>
          </w:p>
        </w:tc>
        <w:tc>
          <w:tcPr>
            <w:tcW w:w="976"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-0.098</w:t>
            </w:r>
          </w:p>
        </w:tc>
        <w:tc>
          <w:tcPr>
            <w:tcW w:w="1005"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0.027</w:t>
            </w:r>
          </w:p>
        </w:tc>
        <w:tc>
          <w:tcPr>
            <w:tcW w:w="818"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0.147</w:t>
            </w:r>
          </w:p>
        </w:tc>
        <w:tc>
          <w:tcPr>
            <w:tcW w:w="996" w:type="dxa"/>
            <w:tcBorders>
              <w:top w:val="single" w:sz="6" w:space="0" w:color="808080"/>
              <w:bottom w:val="single" w:sz="6" w:space="0" w:color="FFFFFF"/>
            </w:tcBorders>
            <w:noWrap/>
          </w:tcPr>
          <w:p w:rsidR="00334F38" w:rsidRPr="006E06F2" w:rsidRDefault="00334F38" w:rsidP="006E06F2">
            <w:pPr>
              <w:rPr>
                <w:rFonts w:ascii="Calibri" w:hAnsi="Calibri"/>
                <w:color w:val="000000"/>
                <w:sz w:val="22"/>
                <w:szCs w:val="22"/>
                <w:lang w:val="en-US" w:eastAsia="en-US"/>
              </w:rPr>
            </w:pPr>
          </w:p>
        </w:tc>
        <w:tc>
          <w:tcPr>
            <w:tcW w:w="2210" w:type="dxa"/>
            <w:gridSpan w:val="2"/>
            <w:tcBorders>
              <w:top w:val="single" w:sz="6" w:space="0" w:color="808080"/>
              <w:bottom w:val="single" w:sz="6" w:space="0" w:color="FFFFFF"/>
            </w:tcBorders>
            <w:noWrap/>
          </w:tcPr>
          <w:p w:rsidR="00334F38" w:rsidRPr="006E06F2" w:rsidRDefault="00334F38" w:rsidP="006E06F2">
            <w:pPr>
              <w:rPr>
                <w:rFonts w:ascii="Calibri" w:hAnsi="Calibri"/>
                <w:color w:val="000000"/>
                <w:sz w:val="22"/>
                <w:szCs w:val="22"/>
                <w:lang w:val="en-US" w:eastAsia="en-US"/>
              </w:rPr>
            </w:pPr>
          </w:p>
        </w:tc>
      </w:tr>
      <w:tr w:rsidR="00334F38" w:rsidRPr="006C4EFF" w:rsidTr="006E06F2">
        <w:trPr>
          <w:trHeight w:val="253"/>
        </w:trPr>
        <w:tc>
          <w:tcPr>
            <w:tcW w:w="918" w:type="dxa"/>
            <w:tcBorders>
              <w:right w:val="single" w:sz="6" w:space="0" w:color="808080"/>
            </w:tcBorders>
            <w:noWrap/>
          </w:tcPr>
          <w:p w:rsidR="00334F38" w:rsidRPr="006E06F2" w:rsidRDefault="00334F38" w:rsidP="006E06F2">
            <w:pPr>
              <w:rPr>
                <w:rFonts w:ascii="Calibri" w:hAnsi="Calibri"/>
                <w:i/>
                <w:color w:val="000000"/>
                <w:sz w:val="22"/>
                <w:szCs w:val="22"/>
                <w:lang w:val="en-US" w:eastAsia="en-US"/>
              </w:rPr>
            </w:pPr>
            <w:r w:rsidRPr="006E06F2">
              <w:rPr>
                <w:rFonts w:ascii="Calibri" w:hAnsi="Calibri"/>
                <w:i/>
                <w:color w:val="000000"/>
                <w:sz w:val="22"/>
                <w:szCs w:val="22"/>
                <w:lang w:val="en-US" w:eastAsia="en-US"/>
              </w:rPr>
              <w:t>P Value</w:t>
            </w:r>
          </w:p>
        </w:tc>
        <w:tc>
          <w:tcPr>
            <w:tcW w:w="976" w:type="dxa"/>
            <w:noWrap/>
          </w:tcPr>
          <w:p w:rsidR="00334F38" w:rsidRPr="006E06F2" w:rsidRDefault="00334F38" w:rsidP="006E06F2">
            <w:pPr>
              <w:jc w:val="right"/>
              <w:rPr>
                <w:rFonts w:ascii="Calibri" w:hAnsi="Calibri"/>
                <w:b/>
                <w:i/>
                <w:color w:val="000000"/>
                <w:sz w:val="22"/>
                <w:szCs w:val="22"/>
                <w:lang w:val="en-US" w:eastAsia="en-US"/>
              </w:rPr>
            </w:pPr>
            <w:r w:rsidRPr="006E06F2">
              <w:rPr>
                <w:rFonts w:ascii="Calibri" w:hAnsi="Calibri"/>
                <w:b/>
                <w:i/>
                <w:color w:val="000000"/>
                <w:sz w:val="22"/>
                <w:szCs w:val="22"/>
                <w:lang w:val="en-US" w:eastAsia="en-US"/>
              </w:rPr>
              <w:t>0.052</w:t>
            </w:r>
          </w:p>
        </w:tc>
        <w:tc>
          <w:tcPr>
            <w:tcW w:w="1005" w:type="dxa"/>
            <w:noWrap/>
          </w:tcPr>
          <w:p w:rsidR="00334F38" w:rsidRPr="006E06F2" w:rsidRDefault="00334F38" w:rsidP="006E06F2">
            <w:pPr>
              <w:rPr>
                <w:rFonts w:ascii="Calibri" w:hAnsi="Calibri"/>
                <w:i/>
                <w:color w:val="000000"/>
                <w:sz w:val="22"/>
                <w:szCs w:val="22"/>
                <w:lang w:val="en-US" w:eastAsia="en-US"/>
              </w:rPr>
            </w:pPr>
          </w:p>
        </w:tc>
        <w:tc>
          <w:tcPr>
            <w:tcW w:w="976" w:type="dxa"/>
            <w:noWrap/>
          </w:tcPr>
          <w:p w:rsidR="00334F38" w:rsidRPr="006E06F2" w:rsidRDefault="00334F38" w:rsidP="006E06F2">
            <w:pPr>
              <w:jc w:val="right"/>
              <w:rPr>
                <w:rFonts w:ascii="Calibri" w:hAnsi="Calibri"/>
                <w:i/>
                <w:color w:val="000000"/>
                <w:sz w:val="22"/>
                <w:szCs w:val="22"/>
                <w:lang w:val="en-US" w:eastAsia="en-US"/>
              </w:rPr>
            </w:pPr>
            <w:r w:rsidRPr="006E06F2">
              <w:rPr>
                <w:rFonts w:ascii="Calibri" w:hAnsi="Calibri"/>
                <w:i/>
                <w:color w:val="000000"/>
                <w:sz w:val="22"/>
                <w:szCs w:val="22"/>
                <w:lang w:val="en-US" w:eastAsia="en-US"/>
              </w:rPr>
              <w:t>0.268</w:t>
            </w:r>
          </w:p>
        </w:tc>
        <w:tc>
          <w:tcPr>
            <w:tcW w:w="1005" w:type="dxa"/>
            <w:noWrap/>
          </w:tcPr>
          <w:p w:rsidR="00334F38" w:rsidRPr="006E06F2" w:rsidRDefault="00334F38" w:rsidP="006E06F2">
            <w:pPr>
              <w:rPr>
                <w:rFonts w:ascii="Calibri" w:hAnsi="Calibri"/>
                <w:i/>
                <w:color w:val="000000"/>
                <w:sz w:val="22"/>
                <w:szCs w:val="22"/>
                <w:lang w:val="en-US" w:eastAsia="en-US"/>
              </w:rPr>
            </w:pPr>
          </w:p>
        </w:tc>
        <w:tc>
          <w:tcPr>
            <w:tcW w:w="976" w:type="dxa"/>
            <w:noWrap/>
          </w:tcPr>
          <w:p w:rsidR="00334F38" w:rsidRPr="006E06F2" w:rsidRDefault="00334F38" w:rsidP="006E06F2">
            <w:pPr>
              <w:jc w:val="right"/>
              <w:rPr>
                <w:rFonts w:ascii="Calibri" w:hAnsi="Calibri"/>
                <w:b/>
                <w:i/>
                <w:color w:val="000000"/>
                <w:sz w:val="22"/>
                <w:szCs w:val="22"/>
                <w:lang w:val="en-US" w:eastAsia="en-US"/>
              </w:rPr>
            </w:pPr>
            <w:r w:rsidRPr="006E06F2">
              <w:rPr>
                <w:rFonts w:ascii="Calibri" w:hAnsi="Calibri"/>
                <w:b/>
                <w:i/>
                <w:color w:val="000000"/>
                <w:sz w:val="22"/>
                <w:szCs w:val="22"/>
                <w:lang w:val="en-US" w:eastAsia="en-US"/>
              </w:rPr>
              <w:t>0.000</w:t>
            </w:r>
          </w:p>
        </w:tc>
        <w:tc>
          <w:tcPr>
            <w:tcW w:w="1005" w:type="dxa"/>
            <w:noWrap/>
          </w:tcPr>
          <w:p w:rsidR="00334F38" w:rsidRPr="006E06F2" w:rsidRDefault="00334F38" w:rsidP="006E06F2">
            <w:pPr>
              <w:rPr>
                <w:rFonts w:ascii="Calibri" w:hAnsi="Calibri"/>
                <w:color w:val="000000"/>
                <w:sz w:val="22"/>
                <w:szCs w:val="22"/>
                <w:lang w:val="en-US" w:eastAsia="en-US"/>
              </w:rPr>
            </w:pPr>
          </w:p>
        </w:tc>
        <w:tc>
          <w:tcPr>
            <w:tcW w:w="818" w:type="dxa"/>
            <w:noWrap/>
          </w:tcPr>
          <w:p w:rsidR="00334F38" w:rsidRPr="006E06F2" w:rsidRDefault="00334F38" w:rsidP="006E06F2">
            <w:pPr>
              <w:rPr>
                <w:rFonts w:ascii="Calibri" w:hAnsi="Calibri"/>
                <w:color w:val="000000"/>
                <w:sz w:val="22"/>
                <w:szCs w:val="22"/>
                <w:lang w:val="en-US" w:eastAsia="en-US"/>
              </w:rPr>
            </w:pPr>
          </w:p>
        </w:tc>
        <w:tc>
          <w:tcPr>
            <w:tcW w:w="996" w:type="dxa"/>
            <w:noWrap/>
          </w:tcPr>
          <w:p w:rsidR="00334F38" w:rsidRPr="006E06F2" w:rsidRDefault="00334F38" w:rsidP="006E06F2">
            <w:pPr>
              <w:rPr>
                <w:rFonts w:ascii="Calibri" w:hAnsi="Calibri"/>
                <w:color w:val="000000"/>
                <w:sz w:val="22"/>
                <w:szCs w:val="22"/>
                <w:lang w:val="en-US" w:eastAsia="en-US"/>
              </w:rPr>
            </w:pPr>
          </w:p>
        </w:tc>
        <w:tc>
          <w:tcPr>
            <w:tcW w:w="2210" w:type="dxa"/>
            <w:gridSpan w:val="2"/>
            <w:noWrap/>
          </w:tcPr>
          <w:p w:rsidR="00334F38" w:rsidRPr="006E06F2" w:rsidRDefault="00334F38" w:rsidP="006E06F2">
            <w:pPr>
              <w:rPr>
                <w:rFonts w:ascii="Calibri" w:hAnsi="Calibri"/>
                <w:color w:val="000000"/>
                <w:sz w:val="22"/>
                <w:szCs w:val="22"/>
                <w:lang w:val="en-US" w:eastAsia="en-US"/>
              </w:rPr>
            </w:pPr>
          </w:p>
        </w:tc>
      </w:tr>
      <w:tr w:rsidR="00334F38" w:rsidRPr="006C4EFF" w:rsidTr="006E06F2">
        <w:trPr>
          <w:trHeight w:val="253"/>
        </w:trPr>
        <w:tc>
          <w:tcPr>
            <w:tcW w:w="918" w:type="dxa"/>
            <w:tcBorders>
              <w:top w:val="single" w:sz="6" w:space="0" w:color="808080"/>
              <w:bottom w:val="single" w:sz="6" w:space="0" w:color="FFFFFF"/>
              <w:right w:val="single" w:sz="6" w:space="0" w:color="808080"/>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36</w:t>
            </w:r>
          </w:p>
        </w:tc>
        <w:tc>
          <w:tcPr>
            <w:tcW w:w="976"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-0.709</w:t>
            </w:r>
          </w:p>
        </w:tc>
        <w:tc>
          <w:tcPr>
            <w:tcW w:w="1005"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0.113</w:t>
            </w:r>
          </w:p>
        </w:tc>
        <w:tc>
          <w:tcPr>
            <w:tcW w:w="976"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0.116</w:t>
            </w:r>
          </w:p>
        </w:tc>
        <w:tc>
          <w:tcPr>
            <w:tcW w:w="1005"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0.134</w:t>
            </w:r>
          </w:p>
        </w:tc>
        <w:tc>
          <w:tcPr>
            <w:tcW w:w="976"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-0.215</w:t>
            </w:r>
          </w:p>
        </w:tc>
        <w:tc>
          <w:tcPr>
            <w:tcW w:w="1005"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0.044</w:t>
            </w:r>
          </w:p>
        </w:tc>
        <w:tc>
          <w:tcPr>
            <w:tcW w:w="818"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0.228</w:t>
            </w:r>
          </w:p>
        </w:tc>
        <w:tc>
          <w:tcPr>
            <w:tcW w:w="996" w:type="dxa"/>
            <w:tcBorders>
              <w:top w:val="single" w:sz="6" w:space="0" w:color="808080"/>
              <w:bottom w:val="single" w:sz="6" w:space="0" w:color="FFFFFF"/>
            </w:tcBorders>
            <w:noWrap/>
          </w:tcPr>
          <w:p w:rsidR="00334F38" w:rsidRPr="006E06F2" w:rsidRDefault="00334F38" w:rsidP="006E06F2">
            <w:pPr>
              <w:rPr>
                <w:rFonts w:ascii="Calibri" w:hAnsi="Calibri"/>
                <w:color w:val="000000"/>
                <w:sz w:val="22"/>
                <w:szCs w:val="22"/>
                <w:lang w:val="en-US" w:eastAsia="en-US"/>
              </w:rPr>
            </w:pPr>
          </w:p>
        </w:tc>
        <w:tc>
          <w:tcPr>
            <w:tcW w:w="2210" w:type="dxa"/>
            <w:gridSpan w:val="2"/>
            <w:tcBorders>
              <w:top w:val="single" w:sz="6" w:space="0" w:color="808080"/>
              <w:bottom w:val="single" w:sz="6" w:space="0" w:color="FFFFFF"/>
            </w:tcBorders>
            <w:noWrap/>
          </w:tcPr>
          <w:p w:rsidR="00334F38" w:rsidRPr="006E06F2" w:rsidRDefault="00334F38" w:rsidP="006E06F2">
            <w:pPr>
              <w:rPr>
                <w:rFonts w:ascii="Calibri" w:hAnsi="Calibri"/>
                <w:color w:val="000000"/>
                <w:sz w:val="22"/>
                <w:szCs w:val="22"/>
                <w:lang w:val="en-US" w:eastAsia="en-US"/>
              </w:rPr>
            </w:pPr>
          </w:p>
        </w:tc>
      </w:tr>
      <w:tr w:rsidR="00334F38" w:rsidRPr="006C4EFF" w:rsidTr="006E06F2">
        <w:trPr>
          <w:trHeight w:val="253"/>
        </w:trPr>
        <w:tc>
          <w:tcPr>
            <w:tcW w:w="918" w:type="dxa"/>
            <w:tcBorders>
              <w:right w:val="single" w:sz="6" w:space="0" w:color="808080"/>
            </w:tcBorders>
            <w:noWrap/>
          </w:tcPr>
          <w:p w:rsidR="00334F38" w:rsidRPr="006E06F2" w:rsidRDefault="00334F38" w:rsidP="006E06F2">
            <w:pPr>
              <w:rPr>
                <w:rFonts w:ascii="Calibri" w:hAnsi="Calibri"/>
                <w:i/>
                <w:color w:val="000000"/>
                <w:sz w:val="22"/>
                <w:szCs w:val="22"/>
                <w:lang w:val="en-US" w:eastAsia="en-US"/>
              </w:rPr>
            </w:pPr>
            <w:r w:rsidRPr="006E06F2">
              <w:rPr>
                <w:rFonts w:ascii="Calibri" w:hAnsi="Calibri"/>
                <w:i/>
                <w:color w:val="000000"/>
                <w:sz w:val="22"/>
                <w:szCs w:val="22"/>
                <w:lang w:val="en-US" w:eastAsia="en-US"/>
              </w:rPr>
              <w:t>P Value</w:t>
            </w:r>
          </w:p>
        </w:tc>
        <w:tc>
          <w:tcPr>
            <w:tcW w:w="976" w:type="dxa"/>
            <w:noWrap/>
          </w:tcPr>
          <w:p w:rsidR="00334F38" w:rsidRPr="006E06F2" w:rsidRDefault="00334F38" w:rsidP="006E06F2">
            <w:pPr>
              <w:jc w:val="right"/>
              <w:rPr>
                <w:rFonts w:ascii="Calibri" w:hAnsi="Calibri"/>
                <w:b/>
                <w:i/>
                <w:color w:val="000000"/>
                <w:sz w:val="22"/>
                <w:szCs w:val="22"/>
                <w:lang w:val="en-US" w:eastAsia="en-US"/>
              </w:rPr>
            </w:pPr>
            <w:r w:rsidRPr="006E06F2">
              <w:rPr>
                <w:rFonts w:ascii="Calibri" w:hAnsi="Calibri"/>
                <w:b/>
                <w:i/>
                <w:color w:val="000000"/>
                <w:sz w:val="22"/>
                <w:szCs w:val="22"/>
                <w:lang w:val="en-US" w:eastAsia="en-US"/>
              </w:rPr>
              <w:t>0.000</w:t>
            </w:r>
          </w:p>
        </w:tc>
        <w:tc>
          <w:tcPr>
            <w:tcW w:w="1005" w:type="dxa"/>
            <w:noWrap/>
          </w:tcPr>
          <w:p w:rsidR="00334F38" w:rsidRPr="006E06F2" w:rsidRDefault="00334F38" w:rsidP="006E06F2">
            <w:pPr>
              <w:rPr>
                <w:rFonts w:ascii="Calibri" w:hAnsi="Calibri"/>
                <w:i/>
                <w:color w:val="000000"/>
                <w:sz w:val="22"/>
                <w:szCs w:val="22"/>
                <w:lang w:val="en-US" w:eastAsia="en-US"/>
              </w:rPr>
            </w:pPr>
          </w:p>
        </w:tc>
        <w:tc>
          <w:tcPr>
            <w:tcW w:w="976" w:type="dxa"/>
            <w:noWrap/>
          </w:tcPr>
          <w:p w:rsidR="00334F38" w:rsidRPr="006E06F2" w:rsidRDefault="00334F38" w:rsidP="006E06F2">
            <w:pPr>
              <w:jc w:val="right"/>
              <w:rPr>
                <w:rFonts w:ascii="Calibri" w:hAnsi="Calibri"/>
                <w:i/>
                <w:color w:val="000000"/>
                <w:sz w:val="22"/>
                <w:szCs w:val="22"/>
                <w:lang w:val="en-US" w:eastAsia="en-US"/>
              </w:rPr>
            </w:pPr>
            <w:r w:rsidRPr="006E06F2">
              <w:rPr>
                <w:rFonts w:ascii="Calibri" w:hAnsi="Calibri"/>
                <w:i/>
                <w:color w:val="000000"/>
                <w:sz w:val="22"/>
                <w:szCs w:val="22"/>
                <w:lang w:val="en-US" w:eastAsia="en-US"/>
              </w:rPr>
              <w:t>0.452</w:t>
            </w:r>
          </w:p>
        </w:tc>
        <w:tc>
          <w:tcPr>
            <w:tcW w:w="1005" w:type="dxa"/>
            <w:noWrap/>
          </w:tcPr>
          <w:p w:rsidR="00334F38" w:rsidRPr="006E06F2" w:rsidRDefault="00334F38" w:rsidP="006E06F2">
            <w:pPr>
              <w:rPr>
                <w:rFonts w:ascii="Calibri" w:hAnsi="Calibri"/>
                <w:i/>
                <w:color w:val="000000"/>
                <w:sz w:val="22"/>
                <w:szCs w:val="22"/>
                <w:lang w:val="en-US" w:eastAsia="en-US"/>
              </w:rPr>
            </w:pPr>
          </w:p>
        </w:tc>
        <w:tc>
          <w:tcPr>
            <w:tcW w:w="976" w:type="dxa"/>
            <w:noWrap/>
          </w:tcPr>
          <w:p w:rsidR="00334F38" w:rsidRPr="006E06F2" w:rsidRDefault="00334F38" w:rsidP="006E06F2">
            <w:pPr>
              <w:jc w:val="right"/>
              <w:rPr>
                <w:rFonts w:ascii="Calibri" w:hAnsi="Calibri"/>
                <w:b/>
                <w:i/>
                <w:color w:val="000000"/>
                <w:sz w:val="22"/>
                <w:szCs w:val="22"/>
                <w:lang w:val="en-US" w:eastAsia="en-US"/>
              </w:rPr>
            </w:pPr>
            <w:r w:rsidRPr="006E06F2">
              <w:rPr>
                <w:rFonts w:ascii="Calibri" w:hAnsi="Calibri"/>
                <w:b/>
                <w:i/>
                <w:color w:val="000000"/>
                <w:sz w:val="22"/>
                <w:szCs w:val="22"/>
                <w:lang w:val="en-US" w:eastAsia="en-US"/>
              </w:rPr>
              <w:t>0.000</w:t>
            </w:r>
          </w:p>
        </w:tc>
        <w:tc>
          <w:tcPr>
            <w:tcW w:w="1005" w:type="dxa"/>
            <w:noWrap/>
          </w:tcPr>
          <w:p w:rsidR="00334F38" w:rsidRPr="006E06F2" w:rsidRDefault="00334F38" w:rsidP="006E06F2">
            <w:pPr>
              <w:rPr>
                <w:rFonts w:ascii="Calibri" w:hAnsi="Calibri"/>
                <w:color w:val="000000"/>
                <w:sz w:val="22"/>
                <w:szCs w:val="22"/>
                <w:lang w:val="en-US" w:eastAsia="en-US"/>
              </w:rPr>
            </w:pPr>
          </w:p>
        </w:tc>
        <w:tc>
          <w:tcPr>
            <w:tcW w:w="818" w:type="dxa"/>
            <w:noWrap/>
          </w:tcPr>
          <w:p w:rsidR="00334F38" w:rsidRPr="006E06F2" w:rsidRDefault="00334F38" w:rsidP="006E06F2">
            <w:pPr>
              <w:rPr>
                <w:rFonts w:ascii="Calibri" w:hAnsi="Calibri"/>
                <w:color w:val="000000"/>
                <w:sz w:val="22"/>
                <w:szCs w:val="22"/>
                <w:lang w:val="en-US" w:eastAsia="en-US"/>
              </w:rPr>
            </w:pPr>
          </w:p>
        </w:tc>
        <w:tc>
          <w:tcPr>
            <w:tcW w:w="996" w:type="dxa"/>
            <w:noWrap/>
          </w:tcPr>
          <w:p w:rsidR="00334F38" w:rsidRPr="006E06F2" w:rsidRDefault="00334F38" w:rsidP="006E06F2">
            <w:pPr>
              <w:rPr>
                <w:rFonts w:ascii="Calibri" w:hAnsi="Calibri"/>
                <w:color w:val="000000"/>
                <w:sz w:val="22"/>
                <w:szCs w:val="22"/>
                <w:lang w:val="en-US" w:eastAsia="en-US"/>
              </w:rPr>
            </w:pPr>
          </w:p>
        </w:tc>
        <w:tc>
          <w:tcPr>
            <w:tcW w:w="2210" w:type="dxa"/>
            <w:gridSpan w:val="2"/>
            <w:noWrap/>
          </w:tcPr>
          <w:p w:rsidR="00334F38" w:rsidRPr="006E06F2" w:rsidRDefault="00334F38" w:rsidP="006E06F2">
            <w:pPr>
              <w:rPr>
                <w:rFonts w:ascii="Calibri" w:hAnsi="Calibri"/>
                <w:color w:val="000000"/>
                <w:sz w:val="22"/>
                <w:szCs w:val="22"/>
                <w:lang w:val="en-US" w:eastAsia="en-US"/>
              </w:rPr>
            </w:pPr>
          </w:p>
        </w:tc>
      </w:tr>
      <w:tr w:rsidR="00334F38" w:rsidRPr="006C4EFF" w:rsidTr="006E06F2">
        <w:trPr>
          <w:trHeight w:val="253"/>
        </w:trPr>
        <w:tc>
          <w:tcPr>
            <w:tcW w:w="918" w:type="dxa"/>
            <w:tcBorders>
              <w:top w:val="single" w:sz="6" w:space="0" w:color="808080"/>
              <w:bottom w:val="single" w:sz="6" w:space="0" w:color="FFFFFF"/>
              <w:right w:val="single" w:sz="6" w:space="0" w:color="808080"/>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37</w:t>
            </w:r>
          </w:p>
        </w:tc>
        <w:tc>
          <w:tcPr>
            <w:tcW w:w="976"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-0.105</w:t>
            </w:r>
          </w:p>
        </w:tc>
        <w:tc>
          <w:tcPr>
            <w:tcW w:w="1005"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0.127</w:t>
            </w:r>
          </w:p>
        </w:tc>
        <w:tc>
          <w:tcPr>
            <w:tcW w:w="976"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0.021</w:t>
            </w:r>
          </w:p>
        </w:tc>
        <w:tc>
          <w:tcPr>
            <w:tcW w:w="1005"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0.016</w:t>
            </w:r>
          </w:p>
        </w:tc>
        <w:tc>
          <w:tcPr>
            <w:tcW w:w="976"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-0.136</w:t>
            </w:r>
          </w:p>
        </w:tc>
        <w:tc>
          <w:tcPr>
            <w:tcW w:w="1005"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0.031</w:t>
            </w:r>
          </w:p>
        </w:tc>
        <w:tc>
          <w:tcPr>
            <w:tcW w:w="818"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0.360</w:t>
            </w:r>
          </w:p>
        </w:tc>
        <w:tc>
          <w:tcPr>
            <w:tcW w:w="996" w:type="dxa"/>
            <w:tcBorders>
              <w:top w:val="single" w:sz="6" w:space="0" w:color="808080"/>
              <w:bottom w:val="single" w:sz="6" w:space="0" w:color="FFFFFF"/>
            </w:tcBorders>
            <w:noWrap/>
          </w:tcPr>
          <w:p w:rsidR="00334F38" w:rsidRPr="006E06F2" w:rsidRDefault="00334F38" w:rsidP="006E06F2">
            <w:pPr>
              <w:rPr>
                <w:rFonts w:ascii="Calibri" w:hAnsi="Calibri"/>
                <w:color w:val="000000"/>
                <w:sz w:val="22"/>
                <w:szCs w:val="22"/>
                <w:lang w:val="en-US" w:eastAsia="en-US"/>
              </w:rPr>
            </w:pPr>
          </w:p>
        </w:tc>
        <w:tc>
          <w:tcPr>
            <w:tcW w:w="2210" w:type="dxa"/>
            <w:gridSpan w:val="2"/>
            <w:tcBorders>
              <w:top w:val="single" w:sz="6" w:space="0" w:color="808080"/>
              <w:bottom w:val="single" w:sz="6" w:space="0" w:color="FFFFFF"/>
            </w:tcBorders>
            <w:noWrap/>
          </w:tcPr>
          <w:p w:rsidR="00334F38" w:rsidRPr="006E06F2" w:rsidRDefault="00334F38" w:rsidP="006E06F2">
            <w:pPr>
              <w:rPr>
                <w:rFonts w:ascii="Calibri" w:hAnsi="Calibri"/>
                <w:color w:val="000000"/>
                <w:sz w:val="22"/>
                <w:szCs w:val="22"/>
                <w:lang w:val="en-US" w:eastAsia="en-US"/>
              </w:rPr>
            </w:pPr>
          </w:p>
        </w:tc>
      </w:tr>
      <w:tr w:rsidR="00334F38" w:rsidRPr="006C4EFF" w:rsidTr="006E06F2">
        <w:trPr>
          <w:trHeight w:val="253"/>
        </w:trPr>
        <w:tc>
          <w:tcPr>
            <w:tcW w:w="918" w:type="dxa"/>
            <w:tcBorders>
              <w:right w:val="single" w:sz="6" w:space="0" w:color="808080"/>
            </w:tcBorders>
            <w:noWrap/>
          </w:tcPr>
          <w:p w:rsidR="00334F38" w:rsidRPr="006E06F2" w:rsidRDefault="00334F38" w:rsidP="006E06F2">
            <w:pPr>
              <w:rPr>
                <w:rFonts w:ascii="Calibri" w:hAnsi="Calibri"/>
                <w:i/>
                <w:color w:val="000000"/>
                <w:sz w:val="22"/>
                <w:szCs w:val="22"/>
                <w:lang w:val="en-US" w:eastAsia="en-US"/>
              </w:rPr>
            </w:pPr>
            <w:r w:rsidRPr="006E06F2">
              <w:rPr>
                <w:rFonts w:ascii="Calibri" w:hAnsi="Calibri"/>
                <w:i/>
                <w:color w:val="000000"/>
                <w:sz w:val="22"/>
                <w:szCs w:val="22"/>
                <w:lang w:val="en-US" w:eastAsia="en-US"/>
              </w:rPr>
              <w:t>P Value</w:t>
            </w:r>
          </w:p>
        </w:tc>
        <w:tc>
          <w:tcPr>
            <w:tcW w:w="976" w:type="dxa"/>
            <w:noWrap/>
          </w:tcPr>
          <w:p w:rsidR="00334F38" w:rsidRPr="006E06F2" w:rsidRDefault="00334F38" w:rsidP="006E06F2">
            <w:pPr>
              <w:jc w:val="right"/>
              <w:rPr>
                <w:rFonts w:ascii="Calibri" w:hAnsi="Calibri"/>
                <w:i/>
                <w:color w:val="000000"/>
                <w:sz w:val="22"/>
                <w:szCs w:val="22"/>
                <w:lang w:val="en-US" w:eastAsia="en-US"/>
              </w:rPr>
            </w:pPr>
            <w:r w:rsidRPr="006E06F2">
              <w:rPr>
                <w:rFonts w:ascii="Calibri" w:hAnsi="Calibri"/>
                <w:i/>
                <w:color w:val="000000"/>
                <w:sz w:val="22"/>
                <w:szCs w:val="22"/>
                <w:lang w:val="en-US" w:eastAsia="en-US"/>
              </w:rPr>
              <w:t>0.659</w:t>
            </w:r>
          </w:p>
        </w:tc>
        <w:tc>
          <w:tcPr>
            <w:tcW w:w="1005" w:type="dxa"/>
            <w:noWrap/>
          </w:tcPr>
          <w:p w:rsidR="00334F38" w:rsidRPr="006E06F2" w:rsidRDefault="00334F38" w:rsidP="006E06F2">
            <w:pPr>
              <w:rPr>
                <w:rFonts w:ascii="Calibri" w:hAnsi="Calibri"/>
                <w:i/>
                <w:color w:val="000000"/>
                <w:sz w:val="22"/>
                <w:szCs w:val="22"/>
                <w:lang w:val="en-US" w:eastAsia="en-US"/>
              </w:rPr>
            </w:pPr>
          </w:p>
        </w:tc>
        <w:tc>
          <w:tcPr>
            <w:tcW w:w="976" w:type="dxa"/>
            <w:noWrap/>
          </w:tcPr>
          <w:p w:rsidR="00334F38" w:rsidRPr="006E06F2" w:rsidRDefault="00334F38" w:rsidP="006E06F2">
            <w:pPr>
              <w:jc w:val="right"/>
              <w:rPr>
                <w:rFonts w:ascii="Calibri" w:hAnsi="Calibri"/>
                <w:i/>
                <w:color w:val="000000"/>
                <w:sz w:val="22"/>
                <w:szCs w:val="22"/>
                <w:lang w:val="en-US" w:eastAsia="en-US"/>
              </w:rPr>
            </w:pPr>
            <w:r w:rsidRPr="006E06F2">
              <w:rPr>
                <w:rFonts w:ascii="Calibri" w:hAnsi="Calibri"/>
                <w:i/>
                <w:color w:val="000000"/>
                <w:sz w:val="22"/>
                <w:szCs w:val="22"/>
                <w:lang w:val="en-US" w:eastAsia="en-US"/>
              </w:rPr>
              <w:t>0.498</w:t>
            </w:r>
          </w:p>
        </w:tc>
        <w:tc>
          <w:tcPr>
            <w:tcW w:w="1005" w:type="dxa"/>
            <w:noWrap/>
          </w:tcPr>
          <w:p w:rsidR="00334F38" w:rsidRPr="006E06F2" w:rsidRDefault="00334F38" w:rsidP="006E06F2">
            <w:pPr>
              <w:rPr>
                <w:rFonts w:ascii="Calibri" w:hAnsi="Calibri"/>
                <w:i/>
                <w:color w:val="000000"/>
                <w:sz w:val="22"/>
                <w:szCs w:val="22"/>
                <w:lang w:val="en-US" w:eastAsia="en-US"/>
              </w:rPr>
            </w:pPr>
          </w:p>
        </w:tc>
        <w:tc>
          <w:tcPr>
            <w:tcW w:w="976" w:type="dxa"/>
            <w:noWrap/>
          </w:tcPr>
          <w:p w:rsidR="00334F38" w:rsidRPr="006E06F2" w:rsidRDefault="00334F38" w:rsidP="006E06F2">
            <w:pPr>
              <w:jc w:val="right"/>
              <w:rPr>
                <w:rFonts w:ascii="Calibri" w:hAnsi="Calibri"/>
                <w:b/>
                <w:i/>
                <w:color w:val="000000"/>
                <w:sz w:val="22"/>
                <w:szCs w:val="22"/>
                <w:lang w:val="en-US" w:eastAsia="en-US"/>
              </w:rPr>
            </w:pPr>
            <w:r w:rsidRPr="006E06F2">
              <w:rPr>
                <w:rFonts w:ascii="Calibri" w:hAnsi="Calibri"/>
                <w:b/>
                <w:i/>
                <w:color w:val="000000"/>
                <w:sz w:val="22"/>
                <w:szCs w:val="22"/>
                <w:lang w:val="en-US" w:eastAsia="en-US"/>
              </w:rPr>
              <w:t>0.000</w:t>
            </w:r>
          </w:p>
        </w:tc>
        <w:tc>
          <w:tcPr>
            <w:tcW w:w="1005" w:type="dxa"/>
            <w:noWrap/>
          </w:tcPr>
          <w:p w:rsidR="00334F38" w:rsidRPr="006E06F2" w:rsidRDefault="00334F38" w:rsidP="006E06F2">
            <w:pPr>
              <w:rPr>
                <w:rFonts w:ascii="Calibri" w:hAnsi="Calibri"/>
                <w:color w:val="000000"/>
                <w:sz w:val="22"/>
                <w:szCs w:val="22"/>
                <w:lang w:val="en-US" w:eastAsia="en-US"/>
              </w:rPr>
            </w:pPr>
          </w:p>
        </w:tc>
        <w:tc>
          <w:tcPr>
            <w:tcW w:w="818" w:type="dxa"/>
            <w:noWrap/>
          </w:tcPr>
          <w:p w:rsidR="00334F38" w:rsidRPr="006E06F2" w:rsidRDefault="00334F38" w:rsidP="006E06F2">
            <w:pPr>
              <w:rPr>
                <w:rFonts w:ascii="Calibri" w:hAnsi="Calibri"/>
                <w:color w:val="000000"/>
                <w:sz w:val="22"/>
                <w:szCs w:val="22"/>
                <w:lang w:val="en-US" w:eastAsia="en-US"/>
              </w:rPr>
            </w:pPr>
          </w:p>
        </w:tc>
        <w:tc>
          <w:tcPr>
            <w:tcW w:w="996" w:type="dxa"/>
            <w:noWrap/>
          </w:tcPr>
          <w:p w:rsidR="00334F38" w:rsidRPr="006E06F2" w:rsidRDefault="00334F38" w:rsidP="006E06F2">
            <w:pPr>
              <w:rPr>
                <w:rFonts w:ascii="Calibri" w:hAnsi="Calibri"/>
                <w:color w:val="000000"/>
                <w:sz w:val="22"/>
                <w:szCs w:val="22"/>
                <w:lang w:val="en-US" w:eastAsia="en-US"/>
              </w:rPr>
            </w:pPr>
          </w:p>
        </w:tc>
        <w:tc>
          <w:tcPr>
            <w:tcW w:w="2210" w:type="dxa"/>
            <w:gridSpan w:val="2"/>
            <w:noWrap/>
          </w:tcPr>
          <w:p w:rsidR="00334F38" w:rsidRPr="006E06F2" w:rsidRDefault="00334F38" w:rsidP="006E06F2">
            <w:pPr>
              <w:rPr>
                <w:rFonts w:ascii="Calibri" w:hAnsi="Calibri"/>
                <w:color w:val="000000"/>
                <w:sz w:val="22"/>
                <w:szCs w:val="22"/>
                <w:lang w:val="en-US" w:eastAsia="en-US"/>
              </w:rPr>
            </w:pPr>
          </w:p>
        </w:tc>
      </w:tr>
      <w:tr w:rsidR="00334F38" w:rsidRPr="006C4EFF" w:rsidTr="006E06F2">
        <w:trPr>
          <w:trHeight w:val="253"/>
        </w:trPr>
        <w:tc>
          <w:tcPr>
            <w:tcW w:w="918" w:type="dxa"/>
            <w:tcBorders>
              <w:top w:val="single" w:sz="6" w:space="0" w:color="808080"/>
              <w:bottom w:val="single" w:sz="6" w:space="0" w:color="FFFFFF"/>
              <w:right w:val="single" w:sz="6" w:space="0" w:color="808080"/>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38</w:t>
            </w:r>
          </w:p>
        </w:tc>
        <w:tc>
          <w:tcPr>
            <w:tcW w:w="976"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-0.176</w:t>
            </w:r>
          </w:p>
        </w:tc>
        <w:tc>
          <w:tcPr>
            <w:tcW w:w="1005"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0.115</w:t>
            </w:r>
          </w:p>
        </w:tc>
        <w:tc>
          <w:tcPr>
            <w:tcW w:w="976"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0.011</w:t>
            </w:r>
          </w:p>
        </w:tc>
        <w:tc>
          <w:tcPr>
            <w:tcW w:w="1005"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0.041</w:t>
            </w:r>
          </w:p>
        </w:tc>
        <w:tc>
          <w:tcPr>
            <w:tcW w:w="976"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-0.156</w:t>
            </w:r>
          </w:p>
        </w:tc>
        <w:tc>
          <w:tcPr>
            <w:tcW w:w="1005"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0.029</w:t>
            </w:r>
          </w:p>
        </w:tc>
        <w:tc>
          <w:tcPr>
            <w:tcW w:w="818"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0.189</w:t>
            </w:r>
          </w:p>
        </w:tc>
        <w:tc>
          <w:tcPr>
            <w:tcW w:w="996" w:type="dxa"/>
            <w:tcBorders>
              <w:top w:val="single" w:sz="6" w:space="0" w:color="808080"/>
              <w:bottom w:val="single" w:sz="6" w:space="0" w:color="FFFFFF"/>
            </w:tcBorders>
            <w:noWrap/>
          </w:tcPr>
          <w:p w:rsidR="00334F38" w:rsidRPr="006E06F2" w:rsidRDefault="00334F38" w:rsidP="006E06F2">
            <w:pPr>
              <w:rPr>
                <w:rFonts w:ascii="Calibri" w:hAnsi="Calibri"/>
                <w:color w:val="000000"/>
                <w:sz w:val="22"/>
                <w:szCs w:val="22"/>
                <w:lang w:val="en-US" w:eastAsia="en-US"/>
              </w:rPr>
            </w:pPr>
          </w:p>
        </w:tc>
        <w:tc>
          <w:tcPr>
            <w:tcW w:w="2210" w:type="dxa"/>
            <w:gridSpan w:val="2"/>
            <w:tcBorders>
              <w:top w:val="single" w:sz="6" w:space="0" w:color="808080"/>
              <w:bottom w:val="single" w:sz="6" w:space="0" w:color="FFFFFF"/>
            </w:tcBorders>
            <w:noWrap/>
          </w:tcPr>
          <w:p w:rsidR="00334F38" w:rsidRPr="006E06F2" w:rsidRDefault="00334F38" w:rsidP="006E06F2">
            <w:pPr>
              <w:rPr>
                <w:rFonts w:ascii="Calibri" w:hAnsi="Calibri"/>
                <w:color w:val="000000"/>
                <w:sz w:val="22"/>
                <w:szCs w:val="22"/>
                <w:lang w:val="en-US" w:eastAsia="en-US"/>
              </w:rPr>
            </w:pPr>
          </w:p>
        </w:tc>
      </w:tr>
      <w:tr w:rsidR="00334F38" w:rsidRPr="006C4EFF" w:rsidTr="006E06F2">
        <w:trPr>
          <w:trHeight w:val="253"/>
        </w:trPr>
        <w:tc>
          <w:tcPr>
            <w:tcW w:w="918" w:type="dxa"/>
            <w:tcBorders>
              <w:right w:val="single" w:sz="6" w:space="0" w:color="808080"/>
            </w:tcBorders>
            <w:noWrap/>
          </w:tcPr>
          <w:p w:rsidR="00334F38" w:rsidRPr="006E06F2" w:rsidRDefault="00334F38" w:rsidP="006E06F2">
            <w:pPr>
              <w:rPr>
                <w:rFonts w:ascii="Calibri" w:hAnsi="Calibri"/>
                <w:i/>
                <w:color w:val="000000"/>
                <w:sz w:val="22"/>
                <w:szCs w:val="22"/>
                <w:lang w:val="en-US" w:eastAsia="en-US"/>
              </w:rPr>
            </w:pPr>
            <w:r w:rsidRPr="006E06F2">
              <w:rPr>
                <w:rFonts w:ascii="Calibri" w:hAnsi="Calibri"/>
                <w:i/>
                <w:color w:val="000000"/>
                <w:sz w:val="22"/>
                <w:szCs w:val="22"/>
                <w:lang w:val="en-US" w:eastAsia="en-US"/>
              </w:rPr>
              <w:t>P Value</w:t>
            </w:r>
          </w:p>
        </w:tc>
        <w:tc>
          <w:tcPr>
            <w:tcW w:w="976" w:type="dxa"/>
            <w:noWrap/>
          </w:tcPr>
          <w:p w:rsidR="00334F38" w:rsidRPr="006E06F2" w:rsidRDefault="00334F38" w:rsidP="006E06F2">
            <w:pPr>
              <w:jc w:val="right"/>
              <w:rPr>
                <w:rFonts w:ascii="Calibri" w:hAnsi="Calibri"/>
                <w:i/>
                <w:color w:val="000000"/>
                <w:sz w:val="22"/>
                <w:szCs w:val="22"/>
                <w:lang w:val="en-US" w:eastAsia="en-US"/>
              </w:rPr>
            </w:pPr>
            <w:r w:rsidRPr="006E06F2">
              <w:rPr>
                <w:rFonts w:ascii="Calibri" w:hAnsi="Calibri"/>
                <w:i/>
                <w:color w:val="000000"/>
                <w:sz w:val="22"/>
                <w:szCs w:val="22"/>
                <w:lang w:val="en-US" w:eastAsia="en-US"/>
              </w:rPr>
              <w:t>0.142</w:t>
            </w:r>
          </w:p>
        </w:tc>
        <w:tc>
          <w:tcPr>
            <w:tcW w:w="1005" w:type="dxa"/>
            <w:noWrap/>
          </w:tcPr>
          <w:p w:rsidR="00334F38" w:rsidRPr="006E06F2" w:rsidRDefault="00334F38" w:rsidP="006E06F2">
            <w:pPr>
              <w:rPr>
                <w:rFonts w:ascii="Calibri" w:hAnsi="Calibri"/>
                <w:i/>
                <w:color w:val="000000"/>
                <w:sz w:val="22"/>
                <w:szCs w:val="22"/>
                <w:lang w:val="en-US" w:eastAsia="en-US"/>
              </w:rPr>
            </w:pPr>
          </w:p>
        </w:tc>
        <w:tc>
          <w:tcPr>
            <w:tcW w:w="976" w:type="dxa"/>
            <w:noWrap/>
          </w:tcPr>
          <w:p w:rsidR="00334F38" w:rsidRPr="006E06F2" w:rsidRDefault="00334F38" w:rsidP="006E06F2">
            <w:pPr>
              <w:jc w:val="right"/>
              <w:rPr>
                <w:rFonts w:ascii="Calibri" w:hAnsi="Calibri"/>
                <w:i/>
                <w:color w:val="000000"/>
                <w:sz w:val="22"/>
                <w:szCs w:val="22"/>
                <w:lang w:val="en-US" w:eastAsia="en-US"/>
              </w:rPr>
            </w:pPr>
            <w:r w:rsidRPr="006E06F2">
              <w:rPr>
                <w:rFonts w:ascii="Calibri" w:hAnsi="Calibri"/>
                <w:i/>
                <w:color w:val="000000"/>
                <w:sz w:val="22"/>
                <w:szCs w:val="22"/>
                <w:lang w:val="en-US" w:eastAsia="en-US"/>
              </w:rPr>
              <w:t>0.781</w:t>
            </w:r>
          </w:p>
        </w:tc>
        <w:tc>
          <w:tcPr>
            <w:tcW w:w="1005" w:type="dxa"/>
            <w:noWrap/>
          </w:tcPr>
          <w:p w:rsidR="00334F38" w:rsidRPr="006E06F2" w:rsidRDefault="00334F38" w:rsidP="006E06F2">
            <w:pPr>
              <w:rPr>
                <w:rFonts w:ascii="Calibri" w:hAnsi="Calibri"/>
                <w:i/>
                <w:color w:val="000000"/>
                <w:sz w:val="22"/>
                <w:szCs w:val="22"/>
                <w:lang w:val="en-US" w:eastAsia="en-US"/>
              </w:rPr>
            </w:pPr>
          </w:p>
        </w:tc>
        <w:tc>
          <w:tcPr>
            <w:tcW w:w="976" w:type="dxa"/>
            <w:noWrap/>
          </w:tcPr>
          <w:p w:rsidR="00334F38" w:rsidRPr="006E06F2" w:rsidRDefault="00334F38" w:rsidP="006E06F2">
            <w:pPr>
              <w:jc w:val="right"/>
              <w:rPr>
                <w:rFonts w:ascii="Calibri" w:hAnsi="Calibri"/>
                <w:b/>
                <w:i/>
                <w:color w:val="000000"/>
                <w:sz w:val="22"/>
                <w:szCs w:val="22"/>
                <w:lang w:val="en-US" w:eastAsia="en-US"/>
              </w:rPr>
            </w:pPr>
            <w:r w:rsidRPr="006E06F2">
              <w:rPr>
                <w:rFonts w:ascii="Calibri" w:hAnsi="Calibri"/>
                <w:b/>
                <w:i/>
                <w:color w:val="000000"/>
                <w:sz w:val="22"/>
                <w:szCs w:val="22"/>
                <w:lang w:val="en-US" w:eastAsia="en-US"/>
              </w:rPr>
              <w:t>0.000</w:t>
            </w:r>
          </w:p>
        </w:tc>
        <w:tc>
          <w:tcPr>
            <w:tcW w:w="1005" w:type="dxa"/>
            <w:noWrap/>
          </w:tcPr>
          <w:p w:rsidR="00334F38" w:rsidRPr="006E06F2" w:rsidRDefault="00334F38" w:rsidP="006E06F2">
            <w:pPr>
              <w:rPr>
                <w:rFonts w:ascii="Calibri" w:hAnsi="Calibri"/>
                <w:color w:val="000000"/>
                <w:sz w:val="22"/>
                <w:szCs w:val="22"/>
                <w:lang w:val="en-US" w:eastAsia="en-US"/>
              </w:rPr>
            </w:pPr>
          </w:p>
        </w:tc>
        <w:tc>
          <w:tcPr>
            <w:tcW w:w="818" w:type="dxa"/>
            <w:noWrap/>
          </w:tcPr>
          <w:p w:rsidR="00334F38" w:rsidRPr="006E06F2" w:rsidRDefault="00334F38" w:rsidP="006E06F2">
            <w:pPr>
              <w:rPr>
                <w:rFonts w:ascii="Calibri" w:hAnsi="Calibri"/>
                <w:color w:val="000000"/>
                <w:sz w:val="22"/>
                <w:szCs w:val="22"/>
                <w:lang w:val="en-US" w:eastAsia="en-US"/>
              </w:rPr>
            </w:pPr>
          </w:p>
        </w:tc>
        <w:tc>
          <w:tcPr>
            <w:tcW w:w="996" w:type="dxa"/>
            <w:noWrap/>
          </w:tcPr>
          <w:p w:rsidR="00334F38" w:rsidRPr="006E06F2" w:rsidRDefault="00334F38" w:rsidP="006E06F2">
            <w:pPr>
              <w:rPr>
                <w:rFonts w:ascii="Calibri" w:hAnsi="Calibri"/>
                <w:color w:val="000000"/>
                <w:sz w:val="22"/>
                <w:szCs w:val="22"/>
                <w:lang w:val="en-US" w:eastAsia="en-US"/>
              </w:rPr>
            </w:pPr>
          </w:p>
        </w:tc>
        <w:tc>
          <w:tcPr>
            <w:tcW w:w="2210" w:type="dxa"/>
            <w:gridSpan w:val="2"/>
            <w:noWrap/>
          </w:tcPr>
          <w:p w:rsidR="00334F38" w:rsidRPr="006E06F2" w:rsidRDefault="00334F38" w:rsidP="006E06F2">
            <w:pPr>
              <w:rPr>
                <w:rFonts w:ascii="Calibri" w:hAnsi="Calibri"/>
                <w:color w:val="000000"/>
                <w:sz w:val="22"/>
                <w:szCs w:val="22"/>
                <w:lang w:val="en-US" w:eastAsia="en-US"/>
              </w:rPr>
            </w:pPr>
          </w:p>
        </w:tc>
      </w:tr>
      <w:tr w:rsidR="00334F38" w:rsidRPr="006C4EFF" w:rsidTr="006E06F2">
        <w:trPr>
          <w:trHeight w:val="253"/>
        </w:trPr>
        <w:tc>
          <w:tcPr>
            <w:tcW w:w="918" w:type="dxa"/>
            <w:tcBorders>
              <w:top w:val="single" w:sz="6" w:space="0" w:color="808080"/>
              <w:bottom w:val="single" w:sz="6" w:space="0" w:color="FFFFFF"/>
              <w:right w:val="single" w:sz="6" w:space="0" w:color="808080"/>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49</w:t>
            </w:r>
          </w:p>
        </w:tc>
        <w:tc>
          <w:tcPr>
            <w:tcW w:w="976"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-0.714</w:t>
            </w:r>
          </w:p>
        </w:tc>
        <w:tc>
          <w:tcPr>
            <w:tcW w:w="1005"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0.129</w:t>
            </w:r>
          </w:p>
        </w:tc>
        <w:tc>
          <w:tcPr>
            <w:tcW w:w="976"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0.012</w:t>
            </w:r>
          </w:p>
        </w:tc>
        <w:tc>
          <w:tcPr>
            <w:tcW w:w="1005"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0.038</w:t>
            </w:r>
          </w:p>
        </w:tc>
        <w:tc>
          <w:tcPr>
            <w:tcW w:w="976"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-0.049</w:t>
            </w:r>
          </w:p>
        </w:tc>
        <w:tc>
          <w:tcPr>
            <w:tcW w:w="1005"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0.003</w:t>
            </w:r>
          </w:p>
        </w:tc>
        <w:tc>
          <w:tcPr>
            <w:tcW w:w="818"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0.329</w:t>
            </w:r>
          </w:p>
        </w:tc>
        <w:tc>
          <w:tcPr>
            <w:tcW w:w="996" w:type="dxa"/>
            <w:tcBorders>
              <w:top w:val="single" w:sz="6" w:space="0" w:color="808080"/>
              <w:bottom w:val="single" w:sz="6" w:space="0" w:color="FFFFFF"/>
            </w:tcBorders>
            <w:noWrap/>
          </w:tcPr>
          <w:p w:rsidR="00334F38" w:rsidRPr="006E06F2" w:rsidRDefault="00334F38" w:rsidP="006E06F2">
            <w:pPr>
              <w:rPr>
                <w:rFonts w:ascii="Calibri" w:hAnsi="Calibri"/>
                <w:color w:val="000000"/>
                <w:sz w:val="22"/>
                <w:szCs w:val="22"/>
                <w:lang w:val="en-US" w:eastAsia="en-US"/>
              </w:rPr>
            </w:pPr>
          </w:p>
        </w:tc>
        <w:tc>
          <w:tcPr>
            <w:tcW w:w="2210" w:type="dxa"/>
            <w:gridSpan w:val="2"/>
            <w:tcBorders>
              <w:top w:val="single" w:sz="6" w:space="0" w:color="808080"/>
              <w:bottom w:val="single" w:sz="6" w:space="0" w:color="FFFFFF"/>
            </w:tcBorders>
            <w:noWrap/>
          </w:tcPr>
          <w:p w:rsidR="00334F38" w:rsidRPr="006E06F2" w:rsidRDefault="00334F38" w:rsidP="006E06F2">
            <w:pPr>
              <w:rPr>
                <w:rFonts w:ascii="Calibri" w:hAnsi="Calibri"/>
                <w:color w:val="000000"/>
                <w:sz w:val="22"/>
                <w:szCs w:val="22"/>
                <w:lang w:val="en-US" w:eastAsia="en-US"/>
              </w:rPr>
            </w:pPr>
          </w:p>
        </w:tc>
      </w:tr>
      <w:tr w:rsidR="00334F38" w:rsidRPr="006C4EFF" w:rsidTr="006E06F2">
        <w:trPr>
          <w:trHeight w:val="253"/>
        </w:trPr>
        <w:tc>
          <w:tcPr>
            <w:tcW w:w="918" w:type="dxa"/>
            <w:tcBorders>
              <w:right w:val="single" w:sz="6" w:space="0" w:color="808080"/>
            </w:tcBorders>
            <w:noWrap/>
          </w:tcPr>
          <w:p w:rsidR="00334F38" w:rsidRPr="006E06F2" w:rsidRDefault="00334F38" w:rsidP="006E06F2">
            <w:pPr>
              <w:rPr>
                <w:rFonts w:ascii="Calibri" w:hAnsi="Calibri"/>
                <w:i/>
                <w:color w:val="000000"/>
                <w:sz w:val="22"/>
                <w:szCs w:val="22"/>
                <w:lang w:val="en-US" w:eastAsia="en-US"/>
              </w:rPr>
            </w:pPr>
            <w:r w:rsidRPr="006E06F2">
              <w:rPr>
                <w:rFonts w:ascii="Calibri" w:hAnsi="Calibri"/>
                <w:i/>
                <w:color w:val="000000"/>
                <w:sz w:val="22"/>
                <w:szCs w:val="22"/>
                <w:lang w:val="en-US" w:eastAsia="en-US"/>
              </w:rPr>
              <w:t>P Value</w:t>
            </w:r>
          </w:p>
        </w:tc>
        <w:tc>
          <w:tcPr>
            <w:tcW w:w="976" w:type="dxa"/>
            <w:noWrap/>
          </w:tcPr>
          <w:p w:rsidR="00334F38" w:rsidRPr="006E06F2" w:rsidRDefault="00334F38" w:rsidP="006E06F2">
            <w:pPr>
              <w:jc w:val="right"/>
              <w:rPr>
                <w:rFonts w:ascii="Calibri" w:hAnsi="Calibri"/>
                <w:b/>
                <w:i/>
                <w:color w:val="000000"/>
                <w:sz w:val="22"/>
                <w:szCs w:val="22"/>
                <w:lang w:val="en-US" w:eastAsia="en-US"/>
              </w:rPr>
            </w:pPr>
            <w:r w:rsidRPr="006E06F2">
              <w:rPr>
                <w:rFonts w:ascii="Calibri" w:hAnsi="Calibri"/>
                <w:b/>
                <w:i/>
                <w:color w:val="000000"/>
                <w:sz w:val="22"/>
                <w:szCs w:val="22"/>
                <w:lang w:val="en-US" w:eastAsia="en-US"/>
              </w:rPr>
              <w:t>0.000</w:t>
            </w:r>
          </w:p>
        </w:tc>
        <w:tc>
          <w:tcPr>
            <w:tcW w:w="1005" w:type="dxa"/>
            <w:noWrap/>
          </w:tcPr>
          <w:p w:rsidR="00334F38" w:rsidRPr="006E06F2" w:rsidRDefault="00334F38" w:rsidP="006E06F2">
            <w:pPr>
              <w:rPr>
                <w:rFonts w:ascii="Calibri" w:hAnsi="Calibri"/>
                <w:i/>
                <w:color w:val="000000"/>
                <w:sz w:val="22"/>
                <w:szCs w:val="22"/>
                <w:lang w:val="en-US" w:eastAsia="en-US"/>
              </w:rPr>
            </w:pPr>
          </w:p>
        </w:tc>
        <w:tc>
          <w:tcPr>
            <w:tcW w:w="976" w:type="dxa"/>
            <w:noWrap/>
          </w:tcPr>
          <w:p w:rsidR="00334F38" w:rsidRPr="006E06F2" w:rsidRDefault="00334F38" w:rsidP="006E06F2">
            <w:pPr>
              <w:jc w:val="right"/>
              <w:rPr>
                <w:rFonts w:ascii="Calibri" w:hAnsi="Calibri"/>
                <w:i/>
                <w:color w:val="000000"/>
                <w:sz w:val="22"/>
                <w:szCs w:val="22"/>
                <w:lang w:val="en-US" w:eastAsia="en-US"/>
              </w:rPr>
            </w:pPr>
            <w:r w:rsidRPr="006E06F2">
              <w:rPr>
                <w:rFonts w:ascii="Calibri" w:hAnsi="Calibri"/>
                <w:i/>
                <w:color w:val="000000"/>
                <w:sz w:val="22"/>
                <w:szCs w:val="22"/>
                <w:lang w:val="en-US" w:eastAsia="en-US"/>
              </w:rPr>
              <w:t>0.647</w:t>
            </w:r>
          </w:p>
        </w:tc>
        <w:tc>
          <w:tcPr>
            <w:tcW w:w="1005" w:type="dxa"/>
            <w:noWrap/>
          </w:tcPr>
          <w:p w:rsidR="00334F38" w:rsidRPr="006E06F2" w:rsidRDefault="00334F38" w:rsidP="006E06F2">
            <w:pPr>
              <w:rPr>
                <w:rFonts w:ascii="Calibri" w:hAnsi="Calibri"/>
                <w:i/>
                <w:color w:val="000000"/>
                <w:sz w:val="22"/>
                <w:szCs w:val="22"/>
                <w:lang w:val="en-US" w:eastAsia="en-US"/>
              </w:rPr>
            </w:pPr>
          </w:p>
        </w:tc>
        <w:tc>
          <w:tcPr>
            <w:tcW w:w="976" w:type="dxa"/>
            <w:noWrap/>
          </w:tcPr>
          <w:p w:rsidR="00334F38" w:rsidRPr="006E06F2" w:rsidRDefault="00334F38" w:rsidP="006E06F2">
            <w:pPr>
              <w:jc w:val="right"/>
              <w:rPr>
                <w:rFonts w:ascii="Calibri" w:hAnsi="Calibri"/>
                <w:b/>
                <w:i/>
                <w:color w:val="000000"/>
                <w:sz w:val="22"/>
                <w:szCs w:val="22"/>
                <w:lang w:val="en-US" w:eastAsia="en-US"/>
              </w:rPr>
            </w:pPr>
            <w:r w:rsidRPr="006E06F2">
              <w:rPr>
                <w:rFonts w:ascii="Calibri" w:hAnsi="Calibri"/>
                <w:b/>
                <w:i/>
                <w:color w:val="000000"/>
                <w:sz w:val="22"/>
                <w:szCs w:val="22"/>
                <w:lang w:val="en-US" w:eastAsia="en-US"/>
              </w:rPr>
              <w:t>0.000</w:t>
            </w:r>
          </w:p>
        </w:tc>
        <w:tc>
          <w:tcPr>
            <w:tcW w:w="1005" w:type="dxa"/>
            <w:noWrap/>
          </w:tcPr>
          <w:p w:rsidR="00334F38" w:rsidRPr="006E06F2" w:rsidRDefault="00334F38" w:rsidP="006E06F2">
            <w:pPr>
              <w:rPr>
                <w:rFonts w:ascii="Calibri" w:hAnsi="Calibri"/>
                <w:color w:val="000000"/>
                <w:sz w:val="22"/>
                <w:szCs w:val="22"/>
                <w:lang w:val="en-US" w:eastAsia="en-US"/>
              </w:rPr>
            </w:pPr>
          </w:p>
        </w:tc>
        <w:tc>
          <w:tcPr>
            <w:tcW w:w="818" w:type="dxa"/>
            <w:noWrap/>
          </w:tcPr>
          <w:p w:rsidR="00334F38" w:rsidRPr="006E06F2" w:rsidRDefault="00334F38" w:rsidP="006E06F2">
            <w:pPr>
              <w:rPr>
                <w:rFonts w:ascii="Calibri" w:hAnsi="Calibri"/>
                <w:color w:val="000000"/>
                <w:sz w:val="22"/>
                <w:szCs w:val="22"/>
                <w:lang w:val="en-US" w:eastAsia="en-US"/>
              </w:rPr>
            </w:pPr>
          </w:p>
        </w:tc>
        <w:tc>
          <w:tcPr>
            <w:tcW w:w="996" w:type="dxa"/>
            <w:noWrap/>
          </w:tcPr>
          <w:p w:rsidR="00334F38" w:rsidRPr="006E06F2" w:rsidRDefault="00334F38" w:rsidP="006E06F2">
            <w:pPr>
              <w:rPr>
                <w:rFonts w:ascii="Calibri" w:hAnsi="Calibri"/>
                <w:color w:val="000000"/>
                <w:sz w:val="22"/>
                <w:szCs w:val="22"/>
                <w:lang w:val="en-US" w:eastAsia="en-US"/>
              </w:rPr>
            </w:pPr>
          </w:p>
        </w:tc>
        <w:tc>
          <w:tcPr>
            <w:tcW w:w="2210" w:type="dxa"/>
            <w:gridSpan w:val="2"/>
            <w:noWrap/>
          </w:tcPr>
          <w:p w:rsidR="00334F38" w:rsidRPr="006E06F2" w:rsidRDefault="00334F38" w:rsidP="006E06F2">
            <w:pPr>
              <w:rPr>
                <w:rFonts w:ascii="Calibri" w:hAnsi="Calibri"/>
                <w:color w:val="000000"/>
                <w:sz w:val="22"/>
                <w:szCs w:val="22"/>
                <w:lang w:val="en-US" w:eastAsia="en-US"/>
              </w:rPr>
            </w:pPr>
          </w:p>
        </w:tc>
      </w:tr>
      <w:tr w:rsidR="00334F38" w:rsidRPr="006C4EFF" w:rsidTr="006E06F2">
        <w:trPr>
          <w:trHeight w:val="253"/>
        </w:trPr>
        <w:tc>
          <w:tcPr>
            <w:tcW w:w="918" w:type="dxa"/>
            <w:tcBorders>
              <w:top w:val="single" w:sz="6" w:space="0" w:color="808080"/>
              <w:bottom w:val="single" w:sz="6" w:space="0" w:color="FFFFFF"/>
              <w:right w:val="single" w:sz="6" w:space="0" w:color="808080"/>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56</w:t>
            </w:r>
          </w:p>
        </w:tc>
        <w:tc>
          <w:tcPr>
            <w:tcW w:w="976"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1.306</w:t>
            </w:r>
          </w:p>
        </w:tc>
        <w:tc>
          <w:tcPr>
            <w:tcW w:w="1005"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0.974</w:t>
            </w:r>
          </w:p>
        </w:tc>
        <w:tc>
          <w:tcPr>
            <w:tcW w:w="976"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0.023</w:t>
            </w:r>
          </w:p>
        </w:tc>
        <w:tc>
          <w:tcPr>
            <w:tcW w:w="1005"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0.064</w:t>
            </w:r>
          </w:p>
        </w:tc>
        <w:tc>
          <w:tcPr>
            <w:tcW w:w="976"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-0.166</w:t>
            </w:r>
          </w:p>
        </w:tc>
        <w:tc>
          <w:tcPr>
            <w:tcW w:w="1005"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0.019</w:t>
            </w:r>
          </w:p>
        </w:tc>
        <w:tc>
          <w:tcPr>
            <w:tcW w:w="818"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0.572</w:t>
            </w:r>
          </w:p>
        </w:tc>
        <w:tc>
          <w:tcPr>
            <w:tcW w:w="996" w:type="dxa"/>
            <w:tcBorders>
              <w:top w:val="single" w:sz="6" w:space="0" w:color="808080"/>
              <w:bottom w:val="single" w:sz="6" w:space="0" w:color="FFFFFF"/>
            </w:tcBorders>
            <w:noWrap/>
          </w:tcPr>
          <w:p w:rsidR="00334F38" w:rsidRPr="006E06F2" w:rsidRDefault="00334F38" w:rsidP="006E06F2">
            <w:pPr>
              <w:rPr>
                <w:rFonts w:ascii="Calibri" w:hAnsi="Calibri"/>
                <w:color w:val="000000"/>
                <w:sz w:val="22"/>
                <w:szCs w:val="22"/>
                <w:lang w:val="en-US" w:eastAsia="en-US"/>
              </w:rPr>
            </w:pPr>
          </w:p>
        </w:tc>
        <w:tc>
          <w:tcPr>
            <w:tcW w:w="2210" w:type="dxa"/>
            <w:gridSpan w:val="2"/>
            <w:tcBorders>
              <w:top w:val="single" w:sz="6" w:space="0" w:color="808080"/>
              <w:bottom w:val="single" w:sz="6" w:space="0" w:color="FFFFFF"/>
            </w:tcBorders>
            <w:noWrap/>
          </w:tcPr>
          <w:p w:rsidR="00334F38" w:rsidRPr="006E06F2" w:rsidRDefault="00334F38" w:rsidP="006E06F2">
            <w:pPr>
              <w:rPr>
                <w:rFonts w:ascii="Calibri" w:hAnsi="Calibri"/>
                <w:color w:val="000000"/>
                <w:sz w:val="22"/>
                <w:szCs w:val="22"/>
                <w:lang w:val="en-US" w:eastAsia="en-US"/>
              </w:rPr>
            </w:pPr>
          </w:p>
        </w:tc>
      </w:tr>
      <w:tr w:rsidR="00334F38" w:rsidRPr="006C4EFF" w:rsidTr="006E06F2">
        <w:trPr>
          <w:trHeight w:val="253"/>
        </w:trPr>
        <w:tc>
          <w:tcPr>
            <w:tcW w:w="918" w:type="dxa"/>
            <w:tcBorders>
              <w:right w:val="single" w:sz="6" w:space="0" w:color="808080"/>
            </w:tcBorders>
            <w:noWrap/>
          </w:tcPr>
          <w:p w:rsidR="00334F38" w:rsidRPr="006E06F2" w:rsidRDefault="00334F38" w:rsidP="006E06F2">
            <w:pPr>
              <w:rPr>
                <w:rFonts w:ascii="Calibri" w:hAnsi="Calibri"/>
                <w:i/>
                <w:color w:val="000000"/>
                <w:sz w:val="22"/>
                <w:szCs w:val="22"/>
                <w:lang w:val="en-US" w:eastAsia="en-US"/>
              </w:rPr>
            </w:pPr>
            <w:r w:rsidRPr="006E06F2">
              <w:rPr>
                <w:rFonts w:ascii="Calibri" w:hAnsi="Calibri"/>
                <w:i/>
                <w:color w:val="000000"/>
                <w:sz w:val="22"/>
                <w:szCs w:val="22"/>
                <w:lang w:val="en-US" w:eastAsia="en-US"/>
              </w:rPr>
              <w:t>P Value</w:t>
            </w:r>
          </w:p>
        </w:tc>
        <w:tc>
          <w:tcPr>
            <w:tcW w:w="976" w:type="dxa"/>
            <w:noWrap/>
          </w:tcPr>
          <w:p w:rsidR="00334F38" w:rsidRPr="006E06F2" w:rsidRDefault="00334F38" w:rsidP="006E06F2">
            <w:pPr>
              <w:jc w:val="right"/>
              <w:rPr>
                <w:rFonts w:ascii="Calibri" w:hAnsi="Calibri"/>
                <w:i/>
                <w:color w:val="000000"/>
                <w:sz w:val="22"/>
                <w:szCs w:val="22"/>
                <w:lang w:val="en-US" w:eastAsia="en-US"/>
              </w:rPr>
            </w:pPr>
            <w:r w:rsidRPr="006E06F2">
              <w:rPr>
                <w:rFonts w:ascii="Calibri" w:hAnsi="Calibri"/>
                <w:i/>
                <w:color w:val="000000"/>
                <w:sz w:val="22"/>
                <w:szCs w:val="22"/>
                <w:lang w:val="en-US" w:eastAsia="en-US"/>
              </w:rPr>
              <w:t>0.327</w:t>
            </w:r>
          </w:p>
        </w:tc>
        <w:tc>
          <w:tcPr>
            <w:tcW w:w="1005" w:type="dxa"/>
            <w:noWrap/>
          </w:tcPr>
          <w:p w:rsidR="00334F38" w:rsidRPr="006E06F2" w:rsidRDefault="00334F38" w:rsidP="006E06F2">
            <w:pPr>
              <w:rPr>
                <w:rFonts w:ascii="Calibri" w:hAnsi="Calibri"/>
                <w:i/>
                <w:color w:val="000000"/>
                <w:sz w:val="22"/>
                <w:szCs w:val="22"/>
                <w:lang w:val="en-US" w:eastAsia="en-US"/>
              </w:rPr>
            </w:pPr>
          </w:p>
        </w:tc>
        <w:tc>
          <w:tcPr>
            <w:tcW w:w="976" w:type="dxa"/>
            <w:noWrap/>
          </w:tcPr>
          <w:p w:rsidR="00334F38" w:rsidRPr="006E06F2" w:rsidRDefault="00334F38" w:rsidP="006E06F2">
            <w:pPr>
              <w:jc w:val="right"/>
              <w:rPr>
                <w:rFonts w:ascii="Calibri" w:hAnsi="Calibri"/>
                <w:i/>
                <w:color w:val="000000"/>
                <w:sz w:val="22"/>
                <w:szCs w:val="22"/>
                <w:lang w:val="en-US" w:eastAsia="en-US"/>
              </w:rPr>
            </w:pPr>
            <w:r w:rsidRPr="006E06F2">
              <w:rPr>
                <w:rFonts w:ascii="Calibri" w:hAnsi="Calibri"/>
                <w:i/>
                <w:color w:val="000000"/>
                <w:sz w:val="22"/>
                <w:szCs w:val="22"/>
                <w:lang w:val="en-US" w:eastAsia="en-US"/>
              </w:rPr>
              <w:t>0.803</w:t>
            </w:r>
          </w:p>
        </w:tc>
        <w:tc>
          <w:tcPr>
            <w:tcW w:w="1005" w:type="dxa"/>
            <w:noWrap/>
          </w:tcPr>
          <w:p w:rsidR="00334F38" w:rsidRPr="006E06F2" w:rsidRDefault="00334F38" w:rsidP="006E06F2">
            <w:pPr>
              <w:rPr>
                <w:rFonts w:ascii="Calibri" w:hAnsi="Calibri"/>
                <w:i/>
                <w:color w:val="000000"/>
                <w:sz w:val="22"/>
                <w:szCs w:val="22"/>
                <w:lang w:val="en-US" w:eastAsia="en-US"/>
              </w:rPr>
            </w:pPr>
          </w:p>
        </w:tc>
        <w:tc>
          <w:tcPr>
            <w:tcW w:w="976" w:type="dxa"/>
            <w:noWrap/>
          </w:tcPr>
          <w:p w:rsidR="00334F38" w:rsidRPr="006E06F2" w:rsidRDefault="00334F38" w:rsidP="006E06F2">
            <w:pPr>
              <w:jc w:val="right"/>
              <w:rPr>
                <w:rFonts w:ascii="Calibri" w:hAnsi="Calibri"/>
                <w:b/>
                <w:i/>
                <w:color w:val="000000"/>
                <w:sz w:val="22"/>
                <w:szCs w:val="22"/>
                <w:lang w:val="en-US" w:eastAsia="en-US"/>
              </w:rPr>
            </w:pPr>
            <w:r w:rsidRPr="006E06F2">
              <w:rPr>
                <w:rFonts w:ascii="Calibri" w:hAnsi="Calibri"/>
                <w:b/>
                <w:i/>
                <w:color w:val="000000"/>
                <w:sz w:val="22"/>
                <w:szCs w:val="22"/>
                <w:lang w:val="en-US" w:eastAsia="en-US"/>
              </w:rPr>
              <w:t>0.000</w:t>
            </w:r>
          </w:p>
        </w:tc>
        <w:tc>
          <w:tcPr>
            <w:tcW w:w="1005" w:type="dxa"/>
            <w:noWrap/>
          </w:tcPr>
          <w:p w:rsidR="00334F38" w:rsidRPr="006E06F2" w:rsidRDefault="00334F38" w:rsidP="006E06F2">
            <w:pPr>
              <w:rPr>
                <w:rFonts w:ascii="Calibri" w:hAnsi="Calibri"/>
                <w:color w:val="000000"/>
                <w:sz w:val="22"/>
                <w:szCs w:val="22"/>
                <w:lang w:val="en-US" w:eastAsia="en-US"/>
              </w:rPr>
            </w:pPr>
          </w:p>
        </w:tc>
        <w:tc>
          <w:tcPr>
            <w:tcW w:w="818" w:type="dxa"/>
            <w:noWrap/>
          </w:tcPr>
          <w:p w:rsidR="00334F38" w:rsidRPr="006E06F2" w:rsidRDefault="00334F38" w:rsidP="006E06F2">
            <w:pPr>
              <w:rPr>
                <w:rFonts w:ascii="Calibri" w:hAnsi="Calibri"/>
                <w:color w:val="000000"/>
                <w:sz w:val="22"/>
                <w:szCs w:val="22"/>
                <w:lang w:val="en-US" w:eastAsia="en-US"/>
              </w:rPr>
            </w:pPr>
          </w:p>
        </w:tc>
        <w:tc>
          <w:tcPr>
            <w:tcW w:w="996" w:type="dxa"/>
            <w:noWrap/>
          </w:tcPr>
          <w:p w:rsidR="00334F38" w:rsidRPr="006E06F2" w:rsidRDefault="00334F38" w:rsidP="006E06F2">
            <w:pPr>
              <w:rPr>
                <w:rFonts w:ascii="Calibri" w:hAnsi="Calibri"/>
                <w:color w:val="000000"/>
                <w:sz w:val="22"/>
                <w:szCs w:val="22"/>
                <w:lang w:val="en-US" w:eastAsia="en-US"/>
              </w:rPr>
            </w:pPr>
          </w:p>
        </w:tc>
        <w:tc>
          <w:tcPr>
            <w:tcW w:w="2210" w:type="dxa"/>
            <w:gridSpan w:val="2"/>
            <w:noWrap/>
          </w:tcPr>
          <w:p w:rsidR="00334F38" w:rsidRPr="006E06F2" w:rsidRDefault="00334F38" w:rsidP="006E06F2">
            <w:pPr>
              <w:rPr>
                <w:rFonts w:ascii="Calibri" w:hAnsi="Calibri"/>
                <w:color w:val="000000"/>
                <w:sz w:val="22"/>
                <w:szCs w:val="22"/>
                <w:lang w:val="en-US" w:eastAsia="en-US"/>
              </w:rPr>
            </w:pPr>
          </w:p>
        </w:tc>
      </w:tr>
      <w:tr w:rsidR="00334F38" w:rsidRPr="006C4EFF" w:rsidTr="006E06F2">
        <w:trPr>
          <w:trHeight w:val="253"/>
        </w:trPr>
        <w:tc>
          <w:tcPr>
            <w:tcW w:w="918" w:type="dxa"/>
            <w:tcBorders>
              <w:top w:val="single" w:sz="6" w:space="0" w:color="808080"/>
              <w:bottom w:val="single" w:sz="6" w:space="0" w:color="FFFFFF"/>
              <w:right w:val="single" w:sz="6" w:space="0" w:color="808080"/>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73</w:t>
            </w:r>
          </w:p>
        </w:tc>
        <w:tc>
          <w:tcPr>
            <w:tcW w:w="976"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-0.569</w:t>
            </w:r>
          </w:p>
        </w:tc>
        <w:tc>
          <w:tcPr>
            <w:tcW w:w="1005"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0.107</w:t>
            </w:r>
          </w:p>
        </w:tc>
        <w:tc>
          <w:tcPr>
            <w:tcW w:w="976"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-0.136</w:t>
            </w:r>
          </w:p>
        </w:tc>
        <w:tc>
          <w:tcPr>
            <w:tcW w:w="1005"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0.027</w:t>
            </w:r>
          </w:p>
        </w:tc>
        <w:tc>
          <w:tcPr>
            <w:tcW w:w="976"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-0.153</w:t>
            </w:r>
          </w:p>
        </w:tc>
        <w:tc>
          <w:tcPr>
            <w:tcW w:w="1005"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0.027</w:t>
            </w:r>
          </w:p>
        </w:tc>
        <w:tc>
          <w:tcPr>
            <w:tcW w:w="818"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0.244</w:t>
            </w:r>
          </w:p>
        </w:tc>
        <w:tc>
          <w:tcPr>
            <w:tcW w:w="996" w:type="dxa"/>
            <w:tcBorders>
              <w:top w:val="single" w:sz="6" w:space="0" w:color="808080"/>
              <w:bottom w:val="single" w:sz="6" w:space="0" w:color="FFFFFF"/>
            </w:tcBorders>
            <w:noWrap/>
          </w:tcPr>
          <w:p w:rsidR="00334F38" w:rsidRPr="006E06F2" w:rsidRDefault="00334F38" w:rsidP="006E06F2">
            <w:pPr>
              <w:rPr>
                <w:rFonts w:ascii="Calibri" w:hAnsi="Calibri"/>
                <w:color w:val="000000"/>
                <w:sz w:val="22"/>
                <w:szCs w:val="22"/>
                <w:lang w:val="en-US" w:eastAsia="en-US"/>
              </w:rPr>
            </w:pPr>
          </w:p>
        </w:tc>
        <w:tc>
          <w:tcPr>
            <w:tcW w:w="2210" w:type="dxa"/>
            <w:gridSpan w:val="2"/>
            <w:tcBorders>
              <w:top w:val="single" w:sz="6" w:space="0" w:color="808080"/>
              <w:bottom w:val="single" w:sz="6" w:space="0" w:color="FFFFFF"/>
            </w:tcBorders>
            <w:noWrap/>
          </w:tcPr>
          <w:p w:rsidR="00334F38" w:rsidRPr="006E06F2" w:rsidRDefault="00334F38" w:rsidP="006E06F2">
            <w:pPr>
              <w:rPr>
                <w:rFonts w:ascii="Calibri" w:hAnsi="Calibri"/>
                <w:color w:val="000000"/>
                <w:sz w:val="22"/>
                <w:szCs w:val="22"/>
                <w:lang w:val="en-US" w:eastAsia="en-US"/>
              </w:rPr>
            </w:pPr>
          </w:p>
        </w:tc>
      </w:tr>
      <w:tr w:rsidR="00334F38" w:rsidRPr="006C4EFF" w:rsidTr="006E06F2">
        <w:trPr>
          <w:trHeight w:val="253"/>
        </w:trPr>
        <w:tc>
          <w:tcPr>
            <w:tcW w:w="918" w:type="dxa"/>
            <w:tcBorders>
              <w:right w:val="single" w:sz="6" w:space="0" w:color="808080"/>
            </w:tcBorders>
            <w:noWrap/>
          </w:tcPr>
          <w:p w:rsidR="00334F38" w:rsidRPr="006E06F2" w:rsidRDefault="00334F38" w:rsidP="006E06F2">
            <w:pPr>
              <w:rPr>
                <w:rFonts w:ascii="Calibri" w:hAnsi="Calibri"/>
                <w:i/>
                <w:color w:val="000000"/>
                <w:sz w:val="22"/>
                <w:szCs w:val="22"/>
                <w:lang w:val="en-US" w:eastAsia="en-US"/>
              </w:rPr>
            </w:pPr>
            <w:r w:rsidRPr="006E06F2">
              <w:rPr>
                <w:rFonts w:ascii="Calibri" w:hAnsi="Calibri"/>
                <w:i/>
                <w:color w:val="000000"/>
                <w:sz w:val="22"/>
                <w:szCs w:val="22"/>
                <w:lang w:val="en-US" w:eastAsia="en-US"/>
              </w:rPr>
              <w:t>P Value</w:t>
            </w:r>
          </w:p>
        </w:tc>
        <w:tc>
          <w:tcPr>
            <w:tcW w:w="976" w:type="dxa"/>
            <w:noWrap/>
          </w:tcPr>
          <w:p w:rsidR="00334F38" w:rsidRPr="006E06F2" w:rsidRDefault="00334F38" w:rsidP="006E06F2">
            <w:pPr>
              <w:jc w:val="right"/>
              <w:rPr>
                <w:rFonts w:ascii="Calibri" w:hAnsi="Calibri"/>
                <w:b/>
                <w:i/>
                <w:color w:val="000000"/>
                <w:sz w:val="22"/>
                <w:szCs w:val="22"/>
                <w:lang w:val="en-US" w:eastAsia="en-US"/>
              </w:rPr>
            </w:pPr>
            <w:r w:rsidRPr="006E06F2">
              <w:rPr>
                <w:rFonts w:ascii="Calibri" w:hAnsi="Calibri"/>
                <w:b/>
                <w:i/>
                <w:color w:val="000000"/>
                <w:sz w:val="22"/>
                <w:szCs w:val="22"/>
                <w:lang w:val="en-US" w:eastAsia="en-US"/>
              </w:rPr>
              <w:t>0.000</w:t>
            </w:r>
          </w:p>
        </w:tc>
        <w:tc>
          <w:tcPr>
            <w:tcW w:w="1005" w:type="dxa"/>
            <w:noWrap/>
          </w:tcPr>
          <w:p w:rsidR="00334F38" w:rsidRPr="006E06F2" w:rsidRDefault="00334F38" w:rsidP="006E06F2">
            <w:pPr>
              <w:rPr>
                <w:rFonts w:ascii="Calibri" w:hAnsi="Calibri"/>
                <w:b/>
                <w:i/>
                <w:color w:val="000000"/>
                <w:sz w:val="22"/>
                <w:szCs w:val="22"/>
                <w:lang w:val="en-US" w:eastAsia="en-US"/>
              </w:rPr>
            </w:pPr>
          </w:p>
        </w:tc>
        <w:tc>
          <w:tcPr>
            <w:tcW w:w="976" w:type="dxa"/>
            <w:noWrap/>
          </w:tcPr>
          <w:p w:rsidR="00334F38" w:rsidRPr="006E06F2" w:rsidRDefault="00334F38" w:rsidP="006E06F2">
            <w:pPr>
              <w:jc w:val="right"/>
              <w:rPr>
                <w:rFonts w:ascii="Calibri" w:hAnsi="Calibri"/>
                <w:b/>
                <w:i/>
                <w:color w:val="000000"/>
                <w:sz w:val="22"/>
                <w:szCs w:val="22"/>
                <w:lang w:val="en-US" w:eastAsia="en-US"/>
              </w:rPr>
            </w:pPr>
            <w:r w:rsidRPr="006E06F2">
              <w:rPr>
                <w:rFonts w:ascii="Calibri" w:hAnsi="Calibri"/>
                <w:b/>
                <w:i/>
                <w:color w:val="000000"/>
                <w:sz w:val="22"/>
                <w:szCs w:val="22"/>
                <w:lang w:val="en-US" w:eastAsia="en-US"/>
              </w:rPr>
              <w:t>0.000</w:t>
            </w:r>
          </w:p>
        </w:tc>
        <w:tc>
          <w:tcPr>
            <w:tcW w:w="1005" w:type="dxa"/>
            <w:noWrap/>
          </w:tcPr>
          <w:p w:rsidR="00334F38" w:rsidRPr="006E06F2" w:rsidRDefault="00334F38" w:rsidP="006E06F2">
            <w:pPr>
              <w:rPr>
                <w:rFonts w:ascii="Calibri" w:hAnsi="Calibri"/>
                <w:b/>
                <w:i/>
                <w:color w:val="000000"/>
                <w:sz w:val="22"/>
                <w:szCs w:val="22"/>
                <w:lang w:val="en-US" w:eastAsia="en-US"/>
              </w:rPr>
            </w:pPr>
          </w:p>
        </w:tc>
        <w:tc>
          <w:tcPr>
            <w:tcW w:w="976" w:type="dxa"/>
            <w:noWrap/>
          </w:tcPr>
          <w:p w:rsidR="00334F38" w:rsidRPr="006E06F2" w:rsidRDefault="00334F38" w:rsidP="006E06F2">
            <w:pPr>
              <w:jc w:val="right"/>
              <w:rPr>
                <w:rFonts w:ascii="Calibri" w:hAnsi="Calibri"/>
                <w:b/>
                <w:i/>
                <w:color w:val="000000"/>
                <w:sz w:val="22"/>
                <w:szCs w:val="22"/>
                <w:lang w:val="en-US" w:eastAsia="en-US"/>
              </w:rPr>
            </w:pPr>
            <w:r w:rsidRPr="006E06F2">
              <w:rPr>
                <w:rFonts w:ascii="Calibri" w:hAnsi="Calibri"/>
                <w:b/>
                <w:i/>
                <w:color w:val="000000"/>
                <w:sz w:val="22"/>
                <w:szCs w:val="22"/>
                <w:lang w:val="en-US" w:eastAsia="en-US"/>
              </w:rPr>
              <w:t>0.000</w:t>
            </w:r>
          </w:p>
        </w:tc>
        <w:tc>
          <w:tcPr>
            <w:tcW w:w="1005" w:type="dxa"/>
            <w:noWrap/>
          </w:tcPr>
          <w:p w:rsidR="00334F38" w:rsidRPr="006E06F2" w:rsidRDefault="00334F38" w:rsidP="006E06F2">
            <w:pPr>
              <w:rPr>
                <w:rFonts w:ascii="Calibri" w:hAnsi="Calibri"/>
                <w:color w:val="000000"/>
                <w:sz w:val="22"/>
                <w:szCs w:val="22"/>
                <w:lang w:val="en-US" w:eastAsia="en-US"/>
              </w:rPr>
            </w:pPr>
          </w:p>
        </w:tc>
        <w:tc>
          <w:tcPr>
            <w:tcW w:w="818" w:type="dxa"/>
            <w:noWrap/>
          </w:tcPr>
          <w:p w:rsidR="00334F38" w:rsidRPr="006E06F2" w:rsidRDefault="00334F38" w:rsidP="006E06F2">
            <w:pPr>
              <w:rPr>
                <w:rFonts w:ascii="Calibri" w:hAnsi="Calibri"/>
                <w:color w:val="000000"/>
                <w:sz w:val="22"/>
                <w:szCs w:val="22"/>
                <w:lang w:val="en-US" w:eastAsia="en-US"/>
              </w:rPr>
            </w:pPr>
          </w:p>
        </w:tc>
        <w:tc>
          <w:tcPr>
            <w:tcW w:w="996" w:type="dxa"/>
            <w:noWrap/>
          </w:tcPr>
          <w:p w:rsidR="00334F38" w:rsidRPr="006E06F2" w:rsidRDefault="00334F38" w:rsidP="006E06F2">
            <w:pPr>
              <w:rPr>
                <w:rFonts w:ascii="Calibri" w:hAnsi="Calibri"/>
                <w:color w:val="000000"/>
                <w:sz w:val="22"/>
                <w:szCs w:val="22"/>
                <w:lang w:val="en-US" w:eastAsia="en-US"/>
              </w:rPr>
            </w:pPr>
          </w:p>
        </w:tc>
        <w:tc>
          <w:tcPr>
            <w:tcW w:w="2210" w:type="dxa"/>
            <w:gridSpan w:val="2"/>
            <w:noWrap/>
          </w:tcPr>
          <w:p w:rsidR="00334F38" w:rsidRPr="006E06F2" w:rsidRDefault="00334F38" w:rsidP="006E06F2">
            <w:pPr>
              <w:rPr>
                <w:rFonts w:ascii="Calibri" w:hAnsi="Calibri"/>
                <w:color w:val="000000"/>
                <w:sz w:val="22"/>
                <w:szCs w:val="22"/>
                <w:lang w:val="en-US" w:eastAsia="en-US"/>
              </w:rPr>
            </w:pPr>
          </w:p>
        </w:tc>
      </w:tr>
    </w:tbl>
    <w:p w:rsidR="00334F38" w:rsidRDefault="00334F38" w:rsidP="00324FF5">
      <w:pPr>
        <w:autoSpaceDE w:val="0"/>
        <w:autoSpaceDN w:val="0"/>
        <w:adjustRightInd w:val="0"/>
        <w:spacing w:line="360" w:lineRule="auto"/>
        <w:jc w:val="both"/>
        <w:rPr>
          <w:i/>
          <w:sz w:val="20"/>
          <w:szCs w:val="20"/>
          <w:lang w:val="en-US"/>
        </w:rPr>
      </w:pPr>
      <w:r w:rsidRPr="006C4EFF">
        <w:rPr>
          <w:b/>
          <w:sz w:val="20"/>
          <w:szCs w:val="20"/>
          <w:lang w:val="en-US"/>
        </w:rPr>
        <w:t xml:space="preserve">Table </w:t>
      </w:r>
      <w:r>
        <w:rPr>
          <w:b/>
          <w:sz w:val="20"/>
          <w:szCs w:val="20"/>
          <w:lang w:val="en-US"/>
        </w:rPr>
        <w:t>2</w:t>
      </w:r>
      <w:r w:rsidRPr="006C4EFF">
        <w:rPr>
          <w:sz w:val="20"/>
          <w:szCs w:val="20"/>
          <w:lang w:val="en-US"/>
        </w:rPr>
        <w:t xml:space="preserve">: </w:t>
      </w:r>
      <w:r w:rsidRPr="006C4EFF">
        <w:rPr>
          <w:i/>
          <w:sz w:val="20"/>
          <w:szCs w:val="20"/>
          <w:lang w:val="en-US"/>
        </w:rPr>
        <w:t>Model coefficients segmented by industry classification</w:t>
      </w:r>
    </w:p>
    <w:p w:rsidR="00334F38" w:rsidRDefault="00334F38" w:rsidP="00324FF5">
      <w:pPr>
        <w:autoSpaceDE w:val="0"/>
        <w:autoSpaceDN w:val="0"/>
        <w:adjustRightInd w:val="0"/>
        <w:spacing w:line="360" w:lineRule="auto"/>
        <w:jc w:val="both"/>
        <w:rPr>
          <w:sz w:val="20"/>
          <w:szCs w:val="20"/>
          <w:lang w:val="en-US"/>
        </w:rPr>
      </w:pPr>
    </w:p>
    <w:p w:rsidR="00334F38" w:rsidRDefault="00334F38" w:rsidP="00324FF5">
      <w:pPr>
        <w:autoSpaceDE w:val="0"/>
        <w:autoSpaceDN w:val="0"/>
        <w:adjustRightInd w:val="0"/>
        <w:spacing w:line="360" w:lineRule="auto"/>
        <w:jc w:val="both"/>
        <w:rPr>
          <w:sz w:val="20"/>
          <w:szCs w:val="20"/>
          <w:lang w:val="en-US"/>
        </w:rPr>
      </w:pPr>
    </w:p>
    <w:p w:rsidR="00334F38" w:rsidRDefault="00334F38" w:rsidP="00324FF5">
      <w:pPr>
        <w:autoSpaceDE w:val="0"/>
        <w:autoSpaceDN w:val="0"/>
        <w:adjustRightInd w:val="0"/>
        <w:spacing w:line="360" w:lineRule="auto"/>
        <w:jc w:val="both"/>
        <w:rPr>
          <w:sz w:val="20"/>
          <w:szCs w:val="20"/>
          <w:lang w:val="en-US"/>
        </w:rPr>
      </w:pPr>
    </w:p>
    <w:tbl>
      <w:tblPr>
        <w:tblW w:w="5960" w:type="dxa"/>
        <w:tblBorders>
          <w:top w:val="single" w:sz="12" w:space="0" w:color="000000"/>
          <w:bottom w:val="single" w:sz="12" w:space="0" w:color="000000"/>
        </w:tblBorders>
        <w:tblLook w:val="00A0"/>
      </w:tblPr>
      <w:tblGrid>
        <w:gridCol w:w="1060"/>
        <w:gridCol w:w="960"/>
        <w:gridCol w:w="1053"/>
        <w:gridCol w:w="1060"/>
        <w:gridCol w:w="960"/>
        <w:gridCol w:w="960"/>
      </w:tblGrid>
      <w:tr w:rsidR="00334F38" w:rsidRPr="00947405" w:rsidTr="006E06F2">
        <w:trPr>
          <w:trHeight w:val="300"/>
        </w:trPr>
        <w:tc>
          <w:tcPr>
            <w:tcW w:w="1060" w:type="dxa"/>
            <w:tcBorders>
              <w:top w:val="single" w:sz="12" w:space="0" w:color="000000"/>
              <w:bottom w:val="single" w:sz="6" w:space="0" w:color="000000"/>
              <w:right w:val="single" w:sz="6" w:space="0" w:color="000000"/>
            </w:tcBorders>
            <w:noWrap/>
          </w:tcPr>
          <w:p w:rsidR="00334F38" w:rsidRPr="006E06F2" w:rsidRDefault="00334F38" w:rsidP="00947405">
            <w:pPr>
              <w:rPr>
                <w:rFonts w:ascii="Calibri" w:hAnsi="Calibri"/>
                <w:b/>
                <w:bCs/>
                <w:i/>
                <w:iCs/>
                <w:sz w:val="22"/>
                <w:szCs w:val="22"/>
                <w:lang w:val="en-US" w:eastAsia="en-US"/>
              </w:rPr>
            </w:pPr>
            <w:r w:rsidRPr="006E06F2">
              <w:pict>
                <v:shape id="_x0000_i1071" type="#_x0000_t75" style="width:33pt;height:13.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37545&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037545&quot;&gt;&lt;m:oMathPara&gt;&lt;m:oMath&gt;&lt;m:r&gt;&lt;m:rPr&gt;&lt;m:sty m:val=&quot;bi&quot;/&gt;&lt;/m:rPr&gt;&lt;w:rPr&gt;&lt;w:rFonts w:ascii=&quot;Cambria Math&quot; w:h-ansi=&quot;Cambria Math&quot;/&gt;&lt;wx:font wx:val=&quot;Cambria Math&quot;/&gt;&lt;w:b/&gt;&lt;w:i/&gt;&lt;w:i-cs/&gt;&lt;w:sz w:val=&quot;22&quot;/&gt;&lt;w:sz-cs w:val=&quot;22&quot;/&gt;&lt;w:lang w:val=&quot;EN-US&quot; w:fareast=&quot;EN-US&quot;/&gt;&lt;/w:rPr&gt;&lt;m:t&gt;Î²&lt;/m:t&gt;&lt;/m:r&gt;&lt;m:r&gt;&lt;m:rPr&gt;&lt;m:sty m:val=&quot;bi&quot;/&gt;&lt;/m:rPr&gt;&lt;w:rPr&gt;&lt;w:rFonts w:ascii=&quot;Cambria Math&quot; w:h-ansi=&quot;Cambria Math&quot;/&gt;&lt;wx:font wx:val=&quot;Cambria Math&quot;/&gt;&lt;w:b/&gt;&lt;w:i/&gt;&lt;w:sz w:val=&quot;22&quot;/&gt;&lt;w:sz-cs w:val=&quot;22&quot;/&gt;&lt;w:lang w:val=&quot;EN-US&quot; w:fareast=&quot;EN-US&quot;/&gt;&lt;/w:rPr&gt;&lt;m:t&gt;(est)&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35" o:title="" chromakey="white"/>
                </v:shape>
              </w:pict>
            </w:r>
          </w:p>
        </w:tc>
        <w:tc>
          <w:tcPr>
            <w:tcW w:w="960" w:type="dxa"/>
            <w:tcBorders>
              <w:top w:val="single" w:sz="12" w:space="0" w:color="000000"/>
              <w:bottom w:val="single" w:sz="6" w:space="0" w:color="000000"/>
            </w:tcBorders>
            <w:noWrap/>
          </w:tcPr>
          <w:p w:rsidR="00334F38" w:rsidRPr="006E06F2" w:rsidRDefault="00334F38" w:rsidP="00947405">
            <w:pPr>
              <w:rPr>
                <w:rFonts w:ascii="Cambria" w:hAnsi="Cambria"/>
                <w:b/>
                <w:bCs/>
                <w:i/>
                <w:iCs/>
                <w:sz w:val="22"/>
                <w:szCs w:val="22"/>
                <w:lang w:val="en-US" w:eastAsia="en-US"/>
              </w:rPr>
            </w:pPr>
            <w:r w:rsidRPr="006E06F2">
              <w:rPr>
                <w:rFonts w:ascii="Cambria" w:hAnsi="Cambria"/>
                <w:b/>
                <w:bCs/>
                <w:iCs/>
                <w:sz w:val="22"/>
                <w:szCs w:val="22"/>
                <w:lang w:val="en-US" w:eastAsia="en-US"/>
              </w:rPr>
              <w:t xml:space="preserve">Mean </w:t>
            </w:r>
          </w:p>
        </w:tc>
        <w:tc>
          <w:tcPr>
            <w:tcW w:w="960" w:type="dxa"/>
            <w:tcBorders>
              <w:top w:val="single" w:sz="12" w:space="0" w:color="000000"/>
              <w:bottom w:val="single" w:sz="6" w:space="0" w:color="000000"/>
            </w:tcBorders>
            <w:noWrap/>
          </w:tcPr>
          <w:p w:rsidR="00334F38" w:rsidRPr="006E06F2" w:rsidRDefault="00334F38" w:rsidP="00947405">
            <w:pPr>
              <w:rPr>
                <w:rFonts w:ascii="Cambria" w:hAnsi="Cambria"/>
                <w:b/>
                <w:bCs/>
                <w:i/>
                <w:iCs/>
                <w:sz w:val="22"/>
                <w:szCs w:val="22"/>
                <w:lang w:val="en-US" w:eastAsia="en-US"/>
              </w:rPr>
            </w:pPr>
            <w:r w:rsidRPr="006E06F2">
              <w:rPr>
                <w:rFonts w:ascii="Cambria" w:hAnsi="Cambria"/>
                <w:b/>
                <w:bCs/>
                <w:iCs/>
                <w:sz w:val="22"/>
                <w:szCs w:val="22"/>
                <w:lang w:val="en-US" w:eastAsia="en-US"/>
              </w:rPr>
              <w:t>St.Dev</w:t>
            </w:r>
          </w:p>
        </w:tc>
        <w:tc>
          <w:tcPr>
            <w:tcW w:w="1060" w:type="dxa"/>
            <w:tcBorders>
              <w:top w:val="single" w:sz="12" w:space="0" w:color="000000"/>
              <w:bottom w:val="single" w:sz="6" w:space="0" w:color="000000"/>
            </w:tcBorders>
            <w:noWrap/>
          </w:tcPr>
          <w:p w:rsidR="00334F38" w:rsidRPr="006E06F2" w:rsidRDefault="00334F38" w:rsidP="00947405">
            <w:pPr>
              <w:rPr>
                <w:rFonts w:ascii="Cambria" w:hAnsi="Cambria"/>
                <w:b/>
                <w:bCs/>
                <w:i/>
                <w:iCs/>
                <w:sz w:val="22"/>
                <w:szCs w:val="22"/>
                <w:lang w:val="en-US" w:eastAsia="en-US"/>
              </w:rPr>
            </w:pPr>
            <w:r w:rsidRPr="006E06F2">
              <w:rPr>
                <w:rFonts w:ascii="Cambria" w:hAnsi="Cambria"/>
                <w:b/>
                <w:bCs/>
                <w:iCs/>
                <w:sz w:val="22"/>
                <w:szCs w:val="22"/>
                <w:lang w:val="en-US" w:eastAsia="en-US"/>
              </w:rPr>
              <w:t>Median</w:t>
            </w:r>
          </w:p>
        </w:tc>
        <w:tc>
          <w:tcPr>
            <w:tcW w:w="960" w:type="dxa"/>
            <w:tcBorders>
              <w:top w:val="single" w:sz="12" w:space="0" w:color="000000"/>
              <w:bottom w:val="single" w:sz="6" w:space="0" w:color="000000"/>
            </w:tcBorders>
            <w:noWrap/>
          </w:tcPr>
          <w:p w:rsidR="00334F38" w:rsidRPr="006E06F2" w:rsidRDefault="00334F38" w:rsidP="00947405">
            <w:pPr>
              <w:rPr>
                <w:rFonts w:ascii="Cambria" w:hAnsi="Cambria"/>
                <w:b/>
                <w:bCs/>
                <w:i/>
                <w:iCs/>
                <w:sz w:val="22"/>
                <w:szCs w:val="22"/>
                <w:lang w:val="en-US" w:eastAsia="en-US"/>
              </w:rPr>
            </w:pPr>
            <w:r w:rsidRPr="006E06F2">
              <w:rPr>
                <w:rFonts w:ascii="Cambria" w:hAnsi="Cambria"/>
                <w:b/>
                <w:bCs/>
                <w:iCs/>
                <w:sz w:val="22"/>
                <w:szCs w:val="22"/>
                <w:lang w:val="en-US" w:eastAsia="en-US"/>
              </w:rPr>
              <w:t>Min</w:t>
            </w:r>
          </w:p>
        </w:tc>
        <w:tc>
          <w:tcPr>
            <w:tcW w:w="960" w:type="dxa"/>
            <w:tcBorders>
              <w:top w:val="single" w:sz="12" w:space="0" w:color="000000"/>
              <w:bottom w:val="single" w:sz="6" w:space="0" w:color="000000"/>
            </w:tcBorders>
            <w:noWrap/>
          </w:tcPr>
          <w:p w:rsidR="00334F38" w:rsidRPr="006E06F2" w:rsidRDefault="00334F38" w:rsidP="00947405">
            <w:pPr>
              <w:rPr>
                <w:rFonts w:ascii="Cambria" w:hAnsi="Cambria"/>
                <w:b/>
                <w:bCs/>
                <w:i/>
                <w:iCs/>
                <w:sz w:val="22"/>
                <w:szCs w:val="22"/>
                <w:lang w:val="en-US" w:eastAsia="en-US"/>
              </w:rPr>
            </w:pPr>
            <w:r w:rsidRPr="006E06F2">
              <w:rPr>
                <w:rFonts w:ascii="Cambria" w:hAnsi="Cambria"/>
                <w:b/>
                <w:bCs/>
                <w:iCs/>
                <w:sz w:val="22"/>
                <w:szCs w:val="22"/>
                <w:lang w:val="en-US" w:eastAsia="en-US"/>
              </w:rPr>
              <w:t>Max</w:t>
            </w:r>
          </w:p>
        </w:tc>
      </w:tr>
      <w:tr w:rsidR="00334F38" w:rsidRPr="00947405" w:rsidTr="006E06F2">
        <w:trPr>
          <w:trHeight w:val="300"/>
        </w:trPr>
        <w:tc>
          <w:tcPr>
            <w:tcW w:w="1060" w:type="dxa"/>
            <w:tcBorders>
              <w:right w:val="single" w:sz="6" w:space="0" w:color="000000"/>
            </w:tcBorders>
            <w:noWrap/>
          </w:tcPr>
          <w:p w:rsidR="00334F38" w:rsidRPr="006E06F2" w:rsidRDefault="00334F38" w:rsidP="00947405">
            <w:pPr>
              <w:rPr>
                <w:rFonts w:ascii="Calibri" w:hAnsi="Calibri"/>
                <w:color w:val="000000"/>
                <w:sz w:val="22"/>
                <w:szCs w:val="22"/>
                <w:lang w:val="en-US" w:eastAsia="en-US"/>
              </w:rPr>
            </w:pPr>
            <w:r w:rsidRPr="006E06F2">
              <w:pict>
                <v:shape id="_x0000_i1072" type="#_x0000_t75" style="width:36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65CF&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2265CF&quot;&gt;&lt;m:oMathPara&gt;&lt;m:oMath&gt;&lt;m:sSub&gt;&lt;m:sSubPr&gt;&lt;m:ctrlPr&gt;&lt;w:rPr&gt;&lt;w:rFonts w:ascii=&quot;Cambria Math&quot; w:h-ansi=&quot;Cambria Math&quot;/&gt;&lt;wx:font wx:val=&quot;Cambria Math&quot;/&gt;&lt;w:i/&gt;&lt;w:color w:val=&quot;000000&quot;/&gt;&lt;w:sz w:val=&quot;22&quot;/&gt;&lt;w:sz-cs w:val=&quot;22&quot;/&gt;&lt;w:lang w:val=&quot;EN-US&quot; w:fareast=&quot;EN-US&quot;/&gt;&lt;/w:rPr&gt;&lt;/m:ctrlPr&gt;&lt;/m:sSubPr&gt;&lt;m:e&gt;&lt;m:r&gt;&lt;w:rPr&gt;&lt;w:rFonts w:ascii=&quot;Cambria Math&quot; w:h-ansi=&quot;Cambria Math&quot;/&gt;&lt;wx:font wx:val=&quot;Cambria Math&quot;/&gt;&lt;w:i/&gt;&lt;w:color w:val=&quot;000000&quot;/&gt;&lt;w:sz w:val=&quot;22&quot;/&gt;&lt;w:sz-cs w:val=&quot;22&quot;/&gt;&lt;w:lang w:val=&quot;EN-US&quot; w:fareast=&quot;EN-US&quot;/&gt;&lt;/w:rPr&gt;&lt;m:t&gt;Î²(est)&lt;/m:t&gt;&lt;/m:r&gt;&lt;/m:e&gt;&lt;m:sub&gt;&lt;m:r&gt;&lt;w:rPr&gt;&lt;w:rFonts w:ascii=&quot;Cambria Math&quot; w:h-ansi=&quot;Cambria Math&quot;/&gt;&lt;wx:font wx:val=&quot;Cambria Math&quot;/&gt;&lt;w:i/&gt;&lt;w:color w:val=&quot;000000&quot;/&gt;&lt;w:sz w:val=&quot;22&quot;/&gt;&lt;w:sz-cs w:val=&quot;22&quot;/&gt;&lt;w:lang w:val=&quot;EN-US&quot; w:fareast=&quot;EN-US&quot;/&gt;&lt;/w:rPr&gt;&lt;m:t&gt;0&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36" o:title="" chromakey="white"/>
                </v:shape>
              </w:pict>
            </w:r>
          </w:p>
        </w:tc>
        <w:tc>
          <w:tcPr>
            <w:tcW w:w="960" w:type="dxa"/>
            <w:noWrap/>
          </w:tcPr>
          <w:p w:rsidR="00334F38" w:rsidRPr="006E06F2" w:rsidRDefault="00334F38" w:rsidP="00DE5BE3">
            <w:pPr>
              <w:rPr>
                <w:rFonts w:ascii="Calibri" w:hAnsi="Calibri"/>
                <w:color w:val="000000"/>
                <w:sz w:val="22"/>
                <w:szCs w:val="22"/>
                <w:lang w:val="en-US" w:eastAsia="en-US"/>
              </w:rPr>
            </w:pPr>
            <w:r w:rsidRPr="006E06F2">
              <w:rPr>
                <w:rFonts w:ascii="Calibri" w:hAnsi="Calibri"/>
                <w:color w:val="000000"/>
                <w:sz w:val="22"/>
                <w:szCs w:val="22"/>
                <w:lang w:val="en-US" w:eastAsia="en-US"/>
              </w:rPr>
              <w:t>-0.258</w:t>
            </w:r>
          </w:p>
        </w:tc>
        <w:tc>
          <w:tcPr>
            <w:tcW w:w="960" w:type="dxa"/>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0.242126</w:t>
            </w:r>
          </w:p>
        </w:tc>
        <w:tc>
          <w:tcPr>
            <w:tcW w:w="1060" w:type="dxa"/>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-0.480</w:t>
            </w:r>
          </w:p>
        </w:tc>
        <w:tc>
          <w:tcPr>
            <w:tcW w:w="960" w:type="dxa"/>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-0.714</w:t>
            </w:r>
          </w:p>
        </w:tc>
        <w:tc>
          <w:tcPr>
            <w:tcW w:w="960" w:type="dxa"/>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1.306</w:t>
            </w:r>
          </w:p>
        </w:tc>
      </w:tr>
      <w:tr w:rsidR="00334F38" w:rsidRPr="00947405" w:rsidTr="006E06F2">
        <w:trPr>
          <w:trHeight w:val="300"/>
        </w:trPr>
        <w:tc>
          <w:tcPr>
            <w:tcW w:w="1060" w:type="dxa"/>
            <w:tcBorders>
              <w:right w:val="single" w:sz="6" w:space="0" w:color="000000"/>
            </w:tcBorders>
            <w:noWrap/>
          </w:tcPr>
          <w:p w:rsidR="00334F38" w:rsidRPr="006E06F2" w:rsidRDefault="00334F38" w:rsidP="00947405">
            <w:pPr>
              <w:rPr>
                <w:rFonts w:ascii="Calibri" w:hAnsi="Calibri"/>
                <w:color w:val="000000"/>
                <w:sz w:val="22"/>
                <w:szCs w:val="22"/>
                <w:lang w:val="en-US" w:eastAsia="en-US"/>
              </w:rPr>
            </w:pPr>
            <w:r w:rsidRPr="006E06F2">
              <w:pict>
                <v:shape id="_x0000_i1073" type="#_x0000_t75" style="width:36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2371&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9C2371&quot;&gt;&lt;m:oMathPara&gt;&lt;m:oMath&gt;&lt;m:sSub&gt;&lt;m:sSubPr&gt;&lt;m:ctrlPr&gt;&lt;w:rPr&gt;&lt;w:rFonts w:ascii=&quot;Cambria Math&quot; w:h-ansi=&quot;Cambria Math&quot;/&gt;&lt;wx:font wx:val=&quot;Cambria Math&quot;/&gt;&lt;w:i/&gt;&lt;w:color w:val=&quot;000000&quot;/&gt;&lt;w:sz w:val=&quot;22&quot;/&gt;&lt;w:sz-cs w:val=&quot;22&quot;/&gt;&lt;w:lang w:val=&quot;EN-US&quot; w:fareast=&quot;EN-US&quot;/&gt;&lt;/w:rPr&gt;&lt;/m:ctrlPr&gt;&lt;/m:sSubPr&gt;&lt;m:e&gt;&lt;m:r&gt;&lt;w:rPr&gt;&lt;w:rFonts w:ascii=&quot;Cambria Math&quot; w:h-ansi=&quot;Cambria Math&quot;/&gt;&lt;wx:font wx:val=&quot;Cambria Math&quot;/&gt;&lt;w:i/&gt;&lt;w:color w:val=&quot;000000&quot;/&gt;&lt;w:sz w:val=&quot;22&quot;/&gt;&lt;w:sz-cs w:val=&quot;22&quot;/&gt;&lt;w:lang w:val=&quot;EN-US&quot; w:fareast=&quot;EN-US&quot;/&gt;&lt;/w:rPr&gt;&lt;m:t&gt;Î²(est)&lt;/m:t&gt;&lt;/m:r&gt;&lt;/m:e&gt;&lt;m:sub&gt;&lt;m:r&gt;&lt;w:rPr&gt;&lt;w:rFonts w:ascii=&quot;Cambria Math&quot; w:h-ansi=&quot;Cambria Math&quot;/&gt;&lt;wx:font wx:val=&quot;Cambria Math&quot;/&gt;&lt;w:i/&gt;&lt;w:color w:val=&quot;000000&quot;/&gt;&lt;w:sz w:val=&quot;22&quot;/&gt;&lt;w:sz-cs w:val=&quot;22&quot;/&gt;&lt;w:lang w:val=&quot;EN-US&quot; w:fareast=&quot;EN-US&quot;/&gt;&lt;/w:rPr&gt;&lt;m:t&gt;1&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23" o:title="" chromakey="white"/>
                </v:shape>
              </w:pict>
            </w:r>
          </w:p>
        </w:tc>
        <w:tc>
          <w:tcPr>
            <w:tcW w:w="960" w:type="dxa"/>
            <w:noWrap/>
          </w:tcPr>
          <w:p w:rsidR="00334F38" w:rsidRPr="006E06F2" w:rsidRDefault="00334F38" w:rsidP="00DE5BE3">
            <w:pPr>
              <w:rPr>
                <w:rFonts w:ascii="Calibri" w:hAnsi="Calibri"/>
                <w:color w:val="000000"/>
                <w:sz w:val="22"/>
                <w:szCs w:val="22"/>
                <w:lang w:val="en-US" w:eastAsia="en-US"/>
              </w:rPr>
            </w:pPr>
            <w:r w:rsidRPr="006E06F2">
              <w:rPr>
                <w:rFonts w:ascii="Calibri" w:hAnsi="Calibri"/>
                <w:color w:val="000000"/>
                <w:sz w:val="22"/>
                <w:szCs w:val="22"/>
                <w:lang w:val="en-US" w:eastAsia="en-US"/>
              </w:rPr>
              <w:t>-0.001</w:t>
            </w:r>
          </w:p>
        </w:tc>
        <w:tc>
          <w:tcPr>
            <w:tcW w:w="960" w:type="dxa"/>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0.116165</w:t>
            </w:r>
          </w:p>
        </w:tc>
        <w:tc>
          <w:tcPr>
            <w:tcW w:w="1060" w:type="dxa"/>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0.017</w:t>
            </w:r>
          </w:p>
        </w:tc>
        <w:tc>
          <w:tcPr>
            <w:tcW w:w="960" w:type="dxa"/>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-0.136</w:t>
            </w:r>
          </w:p>
        </w:tc>
        <w:tc>
          <w:tcPr>
            <w:tcW w:w="960" w:type="dxa"/>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0.116</w:t>
            </w:r>
          </w:p>
        </w:tc>
      </w:tr>
      <w:tr w:rsidR="00334F38" w:rsidRPr="00947405" w:rsidTr="006E06F2">
        <w:trPr>
          <w:trHeight w:val="300"/>
        </w:trPr>
        <w:tc>
          <w:tcPr>
            <w:tcW w:w="1060" w:type="dxa"/>
            <w:tcBorders>
              <w:bottom w:val="single" w:sz="12" w:space="0" w:color="000000"/>
              <w:right w:val="single" w:sz="6" w:space="0" w:color="000000"/>
            </w:tcBorders>
            <w:noWrap/>
          </w:tcPr>
          <w:p w:rsidR="00334F38" w:rsidRPr="006E06F2" w:rsidRDefault="00334F38" w:rsidP="00947405">
            <w:pPr>
              <w:rPr>
                <w:rFonts w:ascii="Calibri" w:hAnsi="Calibri"/>
                <w:color w:val="000000"/>
                <w:sz w:val="22"/>
                <w:szCs w:val="22"/>
                <w:lang w:val="en-US" w:eastAsia="en-US"/>
              </w:rPr>
            </w:pPr>
            <w:r w:rsidRPr="006E06F2">
              <w:pict>
                <v:shape id="_x0000_i1074" type="#_x0000_t75" style="width:36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1D9B&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4F1D9B&quot;&gt;&lt;m:oMathPara&gt;&lt;m:oMath&gt;&lt;m:sSub&gt;&lt;m:sSubPr&gt;&lt;m:ctrlPr&gt;&lt;w:rPr&gt;&lt;w:rFonts w:ascii=&quot;Cambria Math&quot; w:h-ansi=&quot;Cambria Math&quot;/&gt;&lt;wx:font wx:val=&quot;Cambria Math&quot;/&gt;&lt;w:i/&gt;&lt;w:color w:val=&quot;000000&quot;/&gt;&lt;w:sz w:val=&quot;22&quot;/&gt;&lt;w:sz-cs w:val=&quot;22&quot;/&gt;&lt;w:lang w:val=&quot;EN-US&quot; w:fareast=&quot;EN-US&quot;/&gt;&lt;/w:rPr&gt;&lt;/m:ctrlPr&gt;&lt;/m:sSubPr&gt;&lt;m:e&gt;&lt;m:r&gt;&lt;w:rPr&gt;&lt;w:rFonts w:ascii=&quot;Cambria Math&quot; w:h-ansi=&quot;Cambria Math&quot;/&gt;&lt;wx:font wx:val=&quot;Cambria Math&quot;/&gt;&lt;w:i/&gt;&lt;w:color w:val=&quot;000000&quot;/&gt;&lt;w:sz w:val=&quot;22&quot;/&gt;&lt;w:sz-cs w:val=&quot;22&quot;/&gt;&lt;w:lang w:val=&quot;EN-US&quot; w:fareast=&quot;EN-US&quot;/&gt;&lt;/w:rPr&gt;&lt;m:t&gt;Î²(est)&lt;/m:t&gt;&lt;/m:r&gt;&lt;/m:e&gt;&lt;m:sub&gt;&lt;m:r&gt;&lt;w:rPr&gt;&lt;w:rFonts w:ascii=&quot;Cambria Math&quot; w:h-ansi=&quot;Cambria Math&quot;/&gt;&lt;wx:font wx:val=&quot;Cambria Math&quot;/&gt;&lt;w:i/&gt;&lt;w:color w:val=&quot;000000&quot;/&gt;&lt;w:sz w:val=&quot;22&quot;/&gt;&lt;w:sz-cs w:val=&quot;22&quot;/&gt;&lt;w:lang w:val=&quot;EN-US&quot; w:fareast=&quot;EN-US&quot;/&gt;&lt;/w:rPr&gt;&lt;m:t&gt;2&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37" o:title="" chromakey="white"/>
                </v:shape>
              </w:pict>
            </w:r>
          </w:p>
        </w:tc>
        <w:tc>
          <w:tcPr>
            <w:tcW w:w="960" w:type="dxa"/>
            <w:tcBorders>
              <w:bottom w:val="single" w:sz="12" w:space="0" w:color="000000"/>
            </w:tcBorders>
            <w:noWrap/>
          </w:tcPr>
          <w:p w:rsidR="00334F38" w:rsidRPr="006E06F2" w:rsidRDefault="00334F38" w:rsidP="00DE5BE3">
            <w:pPr>
              <w:rPr>
                <w:rFonts w:ascii="Calibri" w:hAnsi="Calibri"/>
                <w:color w:val="000000"/>
                <w:sz w:val="22"/>
                <w:szCs w:val="22"/>
                <w:lang w:val="en-US" w:eastAsia="en-US"/>
              </w:rPr>
            </w:pPr>
            <w:r w:rsidRPr="006E06F2">
              <w:rPr>
                <w:rFonts w:ascii="Calibri" w:hAnsi="Calibri"/>
                <w:color w:val="000000"/>
                <w:sz w:val="22"/>
                <w:szCs w:val="22"/>
                <w:lang w:val="en-US" w:eastAsia="en-US"/>
              </w:rPr>
              <w:t>-0.135</w:t>
            </w:r>
          </w:p>
        </w:tc>
        <w:tc>
          <w:tcPr>
            <w:tcW w:w="960" w:type="dxa"/>
            <w:tcBorders>
              <w:bottom w:val="single" w:sz="12" w:space="0" w:color="000000"/>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0.023622</w:t>
            </w:r>
          </w:p>
        </w:tc>
        <w:tc>
          <w:tcPr>
            <w:tcW w:w="1060" w:type="dxa"/>
            <w:tcBorders>
              <w:bottom w:val="single" w:sz="12" w:space="0" w:color="000000"/>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-0.138</w:t>
            </w:r>
          </w:p>
        </w:tc>
        <w:tc>
          <w:tcPr>
            <w:tcW w:w="960" w:type="dxa"/>
            <w:tcBorders>
              <w:bottom w:val="single" w:sz="12" w:space="0" w:color="000000"/>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-0.215</w:t>
            </w:r>
          </w:p>
        </w:tc>
        <w:tc>
          <w:tcPr>
            <w:tcW w:w="960" w:type="dxa"/>
            <w:tcBorders>
              <w:bottom w:val="single" w:sz="12" w:space="0" w:color="000000"/>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-0.049</w:t>
            </w:r>
          </w:p>
        </w:tc>
      </w:tr>
    </w:tbl>
    <w:p w:rsidR="00334F38" w:rsidRPr="00947405" w:rsidRDefault="00334F38" w:rsidP="00324FF5">
      <w:pPr>
        <w:autoSpaceDE w:val="0"/>
        <w:autoSpaceDN w:val="0"/>
        <w:adjustRightInd w:val="0"/>
        <w:spacing w:line="360" w:lineRule="auto"/>
        <w:jc w:val="both"/>
        <w:rPr>
          <w:b/>
          <w:sz w:val="20"/>
          <w:szCs w:val="20"/>
          <w:lang w:val="en-US"/>
        </w:rPr>
      </w:pPr>
      <w:r>
        <w:rPr>
          <w:b/>
          <w:sz w:val="20"/>
          <w:szCs w:val="20"/>
          <w:lang w:val="en-US"/>
        </w:rPr>
        <w:t xml:space="preserve">Table 3: </w:t>
      </w:r>
      <w:r w:rsidRPr="00331DE1">
        <w:rPr>
          <w:i/>
          <w:sz w:val="20"/>
          <w:szCs w:val="20"/>
          <w:lang w:val="en-US"/>
        </w:rPr>
        <w:t>Mean estimates</w:t>
      </w:r>
    </w:p>
    <w:p w:rsidR="00334F38" w:rsidRDefault="00334F38" w:rsidP="00324FF5">
      <w:pPr>
        <w:autoSpaceDE w:val="0"/>
        <w:autoSpaceDN w:val="0"/>
        <w:adjustRightInd w:val="0"/>
        <w:spacing w:line="360" w:lineRule="auto"/>
        <w:jc w:val="both"/>
        <w:rPr>
          <w:lang w:val="en-US"/>
        </w:rPr>
      </w:pPr>
    </w:p>
    <w:p w:rsidR="00334F38" w:rsidRDefault="00334F38" w:rsidP="00324FF5">
      <w:pPr>
        <w:autoSpaceDE w:val="0"/>
        <w:autoSpaceDN w:val="0"/>
        <w:adjustRightInd w:val="0"/>
        <w:spacing w:line="360" w:lineRule="auto"/>
        <w:jc w:val="both"/>
        <w:rPr>
          <w:lang w:val="en-US"/>
        </w:rPr>
      </w:pPr>
      <w:r>
        <w:rPr>
          <w:lang w:val="en-US"/>
        </w:rPr>
        <w:t xml:space="preserve">Table 2 shows the </w:t>
      </w:r>
      <w:r w:rsidRPr="006E06F2">
        <w:rPr>
          <w:lang w:val="en-US"/>
        </w:rPr>
        <w:fldChar w:fldCharType="begin"/>
      </w:r>
      <w:r w:rsidRPr="006E06F2">
        <w:rPr>
          <w:lang w:val="en-US"/>
        </w:rPr>
        <w:instrText xml:space="preserve"> QUOTE </w:instrText>
      </w:r>
      <w:r w:rsidRPr="006E06F2">
        <w:pict>
          <v:shape id="_x0000_i1075" type="#_x0000_t75" style="width:36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96A02&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796A02&quot;&gt;&lt;m:oMathPara&gt;&lt;m:oMath&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Î²(est)&lt;/m:t&gt;&lt;/m:r&gt;&lt;/m:e&gt;&lt;m:sub&gt;&lt;m:r&gt;&lt;w:rPr&gt;&lt;w:rFonts w:ascii=&quot;Cambria Math&quot; w:h-ansi=&quot;Cambria Math&quot;/&gt;&lt;wx:font wx:val=&quot;Cambria Math&quot;/&gt;&lt;w:i/&gt;&lt;w:lang w:val=&quot;EN-US&quot;/&gt;&lt;/w:rPr&gt;&lt;m:t&gt;1&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23" o:title="" chromakey="white"/>
          </v:shape>
        </w:pict>
      </w:r>
      <w:r w:rsidRPr="006E06F2">
        <w:rPr>
          <w:lang w:val="en-US"/>
        </w:rPr>
        <w:instrText xml:space="preserve"> </w:instrText>
      </w:r>
      <w:r w:rsidRPr="006E06F2">
        <w:rPr>
          <w:lang w:val="en-US"/>
        </w:rPr>
        <w:fldChar w:fldCharType="separate"/>
      </w:r>
      <w:r w:rsidRPr="006E06F2">
        <w:pict>
          <v:shape id="_x0000_i1076" type="#_x0000_t75" style="width:36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96A02&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796A02&quot;&gt;&lt;m:oMathPara&gt;&lt;m:oMath&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Î²(est)&lt;/m:t&gt;&lt;/m:r&gt;&lt;/m:e&gt;&lt;m:sub&gt;&lt;m:r&gt;&lt;w:rPr&gt;&lt;w:rFonts w:ascii=&quot;Cambria Math&quot; w:h-ansi=&quot;Cambria Math&quot;/&gt;&lt;wx:font wx:val=&quot;Cambria Math&quot;/&gt;&lt;w:i/&gt;&lt;w:lang w:val=&quot;EN-US&quot;/&gt;&lt;/w:rPr&gt;&lt;m:t&gt;1&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23" o:title="" chromakey="white"/>
          </v:shape>
        </w:pict>
      </w:r>
      <w:r w:rsidRPr="006E06F2">
        <w:rPr>
          <w:lang w:val="en-US"/>
        </w:rPr>
        <w:fldChar w:fldCharType="end"/>
      </w:r>
      <w:r>
        <w:rPr>
          <w:lang w:val="en-US"/>
        </w:rPr>
        <w:t xml:space="preserve"> estimate to be significant up to the 5% level for only 2 out of the 8 industries. Moreover the predicted sign for this estimate only proves to be correct around 25% of the time. When referring to Table 3 we can see that the mean value of this regression coefficient is -0.001. With the median being less sensitive to extreme scores, I find a significantly different median value of 0.017. However following the t-test I find the value of mean </w:t>
      </w:r>
      <w:r w:rsidRPr="006E06F2">
        <w:rPr>
          <w:lang w:val="en-US"/>
        </w:rPr>
        <w:fldChar w:fldCharType="begin"/>
      </w:r>
      <w:r w:rsidRPr="006E06F2">
        <w:rPr>
          <w:lang w:val="en-US"/>
        </w:rPr>
        <w:instrText xml:space="preserve"> QUOTE </w:instrText>
      </w:r>
      <w:r w:rsidRPr="006E06F2">
        <w:pict>
          <v:shape id="_x0000_i1077" type="#_x0000_t75" style="width:36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3F38&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383F38&quot;&gt;&lt;m:oMathPara&gt;&lt;m:oMath&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Î²(est)&lt;/m:t&gt;&lt;/m:r&gt;&lt;/m:e&gt;&lt;m:sub&gt;&lt;m:r&gt;&lt;w:rPr&gt;&lt;w:rFonts w:ascii=&quot;Cambria Math&quot; w:h-ansi=&quot;Cambria Math&quot;/&gt;&lt;wx:font wx:val=&quot;Cambria Math&quot;/&gt;&lt;w:i/&gt;&lt;w:lang w:val=&quot;EN-US&quot;/&gt;&lt;/w:rPr&gt;&lt;m:t&gt;1&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23" o:title="" chromakey="white"/>
          </v:shape>
        </w:pict>
      </w:r>
      <w:r w:rsidRPr="006E06F2">
        <w:rPr>
          <w:lang w:val="en-US"/>
        </w:rPr>
        <w:instrText xml:space="preserve"> </w:instrText>
      </w:r>
      <w:r w:rsidRPr="006E06F2">
        <w:rPr>
          <w:lang w:val="en-US"/>
        </w:rPr>
        <w:fldChar w:fldCharType="separate"/>
      </w:r>
      <w:r w:rsidRPr="006E06F2">
        <w:pict>
          <v:shape id="_x0000_i1078" type="#_x0000_t75" style="width:36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3F38&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383F38&quot;&gt;&lt;m:oMathPara&gt;&lt;m:oMath&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Î²(est)&lt;/m:t&gt;&lt;/m:r&gt;&lt;/m:e&gt;&lt;m:sub&gt;&lt;m:r&gt;&lt;w:rPr&gt;&lt;w:rFonts w:ascii=&quot;Cambria Math&quot; w:h-ansi=&quot;Cambria Math&quot;/&gt;&lt;wx:font wx:val=&quot;Cambria Math&quot;/&gt;&lt;w:i/&gt;&lt;w:lang w:val=&quot;EN-US&quot;/&gt;&lt;/w:rPr&gt;&lt;m:t&gt;1&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23" o:title="" chromakey="white"/>
          </v:shape>
        </w:pict>
      </w:r>
      <w:r w:rsidRPr="006E06F2">
        <w:rPr>
          <w:lang w:val="en-US"/>
        </w:rPr>
        <w:fldChar w:fldCharType="end"/>
      </w:r>
      <w:r>
        <w:rPr>
          <w:lang w:val="en-US"/>
        </w:rPr>
        <w:t xml:space="preserve"> to be insignificant with a p-value of 0.974. The t-statistic, mean and median highlights the lack of relation between </w:t>
      </w:r>
      <w:r w:rsidRPr="006E06F2">
        <w:rPr>
          <w:lang w:val="en-US"/>
        </w:rPr>
        <w:fldChar w:fldCharType="begin"/>
      </w:r>
      <w:r w:rsidRPr="006E06F2">
        <w:rPr>
          <w:lang w:val="en-US"/>
        </w:rPr>
        <w:instrText xml:space="preserve"> QUOTE </w:instrText>
      </w:r>
      <w:r w:rsidRPr="006E06F2">
        <w:pict>
          <v:shape id="_x0000_i1079" type="#_x0000_t75" style="width:92.25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0EF7&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6F0EF7&quot;&gt;&lt;m:oMathPara&gt;&lt;m:oMath&gt;&lt;m:d&gt;&lt;m:dPr&gt;&lt;m:ctrlPr&gt;&lt;w:rPr&gt;&lt;w:rFonts w:ascii=&quot;Cambria Math&quot; w:h-ansi=&quot;Cambria Math&quot;/&gt;&lt;wx:font wx:val=&quot;Cambria Math&quot;/&gt;&lt;w:i/&gt;&lt;w:lang w:val=&quot;EN-US&quot;/&gt;&lt;/w:rPr&gt;&lt;/m:ctrlPr&gt;&lt;/m:dPr&gt;&lt;m:e&gt;&lt;m:sSub&gt;&lt;m:sSubPr&gt;&lt;m:ctrlPr&gt;&lt;w:rPr&gt;&lt;w:rFonts w:ascii=&quot;Cambria Math&quot; w:h-ansi=&quot;Cambria Math&quot;/&gt;&lt;wx:font wx:val=&quot;Cambria Math&quot;/&gt;&lt;w:i/&gt;&lt;w:lang w:val=&quot;EN-US&quot;/&gt;&lt;/w:rPr&gt;&lt;/m:ctrlPr&gt;&lt;/m:sSubPr&gt;&lt;m:e&gt;&lt;m:r&gt;&lt;w:rPr&gt;&lt;w:rFonts w:ascii=&quot;Cambria Math&quot;/&gt;&lt;w:i/&gt;&lt;w:lang w:val=&quot;EN-US&quot;/&gt;&lt;/w:rPr&gt;&lt;m:t&gt;âˆ†&lt;/m:t&gt;&lt;/m:r&gt;&lt;m:r&gt;&lt;w:rPr&gt;&lt;w:rFonts w:ascii=&quot;Cambria Math&quot;/&gt;&lt;wx:font wx:val=&quot;Cambria Math&quot;/&gt;&lt;w:i/&gt;&lt;w:lang w:val=&quot;EN-US&quot;/&gt;&lt;/w:rPr&gt;&lt;m:t&gt; &lt;/m:t&gt;&lt;/m:r&gt;&lt;m:r&gt;&lt;w:rPr&gt;&lt;w:rFonts w:ascii=&quot;Cambria Math&quot; w:h-ansi=&quot;Cambria Math&quot;/&gt;&lt;wx:font wx:val=&quot;Cambria Math&quot;/&gt;&lt;w:i/&gt;&lt;w:lang w:val=&quot;EN-US&quot;/&gt;&lt;/w:rPr&gt;&lt;m:t&gt;REV&lt;/m:t&gt;&lt;/m:r&gt;&lt;/m:e&gt;&lt;m:sub&gt;&lt;m:r&gt;&lt;w:rPr&gt;&lt;w:rFonts w:ascii=&quot;Cambria Math&quot; w:h-ansi=&quot;Cambria Math&quot;/&gt;&lt;wx:font wx:val=&quot;Cambria Math&quot;/&gt;&lt;w:i/&gt;&lt;w:lang w:val=&quot;EN-US&quot;/&gt;&lt;/w:rPr&gt;&lt;m:t&gt;it&lt;/m:t&gt;&lt;/m:r&gt;&lt;/m:sub&gt;&lt;/m:sSub&gt;&lt;m:r&gt;&lt;w:rPr&gt;&lt;w:rFonts w:ascii=&quot;Cambria Math&quot;/&gt;&lt;w:i/&gt;&lt;w:lang w:val=&quot;EN-US&quot;/&gt;&lt;/w:rPr&gt;&lt;m:t&gt;-&lt;/m:t&gt;&lt;/m:r&gt;&lt;m:sSub&gt;&lt;m:sSubPr&gt;&lt;m:ctrlPr&gt;&lt;w:rPr&gt;&lt;w:rFonts w:ascii=&quot;Cambria Math&quot; w:h-ansi=&quot;Cambria Math&quot;/&gt;&lt;wx:font wx:val=&quot;Cambria Math&quot;/&gt;&lt;w:i/&gt;&lt;w:lang w:val=&quot;EN-US&quot;/&gt;&lt;/w:rPr&gt;&lt;/m:ctrlPr&gt;&lt;/m:sSubPr&gt;&lt;m:e&gt;&lt;m:r&gt;&lt;w:rPr&gt;&lt;w:rFonts w:ascii=&quot;Cambria Math&quot;/&gt;&lt;w:i/&gt;&lt;w:lang w:val=&quot;EN-US&quot;/&gt;&lt;/w:rPr&gt;&lt;m:t&gt;âˆ†&lt;/m:t&gt;&lt;/m:r&gt;&lt;m:r&gt;&lt;w:rPr&gt;&lt;w:rFonts w:ascii=&quot;Cambria Math&quot; w:h-ansi=&quot;Cambria Math&quot;/&gt;&lt;wx:font wx:val=&quot;Cambria Math&quot;/&gt;&lt;w:i/&gt;&lt;w:lang w:val=&quot;EN-US&quot;/&gt;&lt;/w:rPr&gt;&lt;m:t&gt;REC&lt;/m:t&gt;&lt;/m:r&gt;&lt;/m:e&gt;&lt;m:sub&gt;&lt;m:r&gt;&lt;w:rPr&gt;&lt;w:rFonts w:ascii=&quot;Cambria Math&quot; w:h-ansi=&quot;Cambria Math&quot;/&gt;&lt;wx:font wx:val=&quot;Cambria Math&quot;/&gt;&lt;w:i/&gt;&lt;w:lang w:val=&quot;EN-US&quot;/&gt;&lt;/w:rPr&gt;&lt;m:t&gt;it&lt;/m:t&gt;&lt;/m:r&gt;&lt;/m:sub&gt;&lt;/m:sSub&gt;&lt;/m:e&gt;&lt;/m:d&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38" o:title="" chromakey="white"/>
          </v:shape>
        </w:pict>
      </w:r>
      <w:r w:rsidRPr="006E06F2">
        <w:rPr>
          <w:lang w:val="en-US"/>
        </w:rPr>
        <w:instrText xml:space="preserve"> </w:instrText>
      </w:r>
      <w:r w:rsidRPr="006E06F2">
        <w:rPr>
          <w:lang w:val="en-US"/>
        </w:rPr>
        <w:fldChar w:fldCharType="separate"/>
      </w:r>
      <w:r w:rsidRPr="006E06F2">
        <w:pict>
          <v:shape id="_x0000_i1080" type="#_x0000_t75" style="width:92.25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0EF7&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6F0EF7&quot;&gt;&lt;m:oMathPara&gt;&lt;m:oMath&gt;&lt;m:d&gt;&lt;m:dPr&gt;&lt;m:ctrlPr&gt;&lt;w:rPr&gt;&lt;w:rFonts w:ascii=&quot;Cambria Math&quot; w:h-ansi=&quot;Cambria Math&quot;/&gt;&lt;wx:font wx:val=&quot;Cambria Math&quot;/&gt;&lt;w:i/&gt;&lt;w:lang w:val=&quot;EN-US&quot;/&gt;&lt;/w:rPr&gt;&lt;/m:ctrlPr&gt;&lt;/m:dPr&gt;&lt;m:e&gt;&lt;m:sSub&gt;&lt;m:sSubPr&gt;&lt;m:ctrlPr&gt;&lt;w:rPr&gt;&lt;w:rFonts w:ascii=&quot;Cambria Math&quot; w:h-ansi=&quot;Cambria Math&quot;/&gt;&lt;wx:font wx:val=&quot;Cambria Math&quot;/&gt;&lt;w:i/&gt;&lt;w:lang w:val=&quot;EN-US&quot;/&gt;&lt;/w:rPr&gt;&lt;/m:ctrlPr&gt;&lt;/m:sSubPr&gt;&lt;m:e&gt;&lt;m:r&gt;&lt;w:rPr&gt;&lt;w:rFonts w:ascii=&quot;Cambria Math&quot;/&gt;&lt;w:i/&gt;&lt;w:lang w:val=&quot;EN-US&quot;/&gt;&lt;/w:rPr&gt;&lt;m:t&gt;âˆ†&lt;/m:t&gt;&lt;/m:r&gt;&lt;m:r&gt;&lt;w:rPr&gt;&lt;w:rFonts w:ascii=&quot;Cambria Math&quot;/&gt;&lt;wx:font wx:val=&quot;Cambria Math&quot;/&gt;&lt;w:i/&gt;&lt;w:lang w:val=&quot;EN-US&quot;/&gt;&lt;/w:rPr&gt;&lt;m:t&gt; &lt;/m:t&gt;&lt;/m:r&gt;&lt;m:r&gt;&lt;w:rPr&gt;&lt;w:rFonts w:ascii=&quot;Cambria Math&quot; w:h-ansi=&quot;Cambria Math&quot;/&gt;&lt;wx:font wx:val=&quot;Cambria Math&quot;/&gt;&lt;w:i/&gt;&lt;w:lang w:val=&quot;EN-US&quot;/&gt;&lt;/w:rPr&gt;&lt;m:t&gt;REV&lt;/m:t&gt;&lt;/m:r&gt;&lt;/m:e&gt;&lt;m:sub&gt;&lt;m:r&gt;&lt;w:rPr&gt;&lt;w:rFonts w:ascii=&quot;Cambria Math&quot; w:h-ansi=&quot;Cambria Math&quot;/&gt;&lt;wx:font wx:val=&quot;Cambria Math&quot;/&gt;&lt;w:i/&gt;&lt;w:lang w:val=&quot;EN-US&quot;/&gt;&lt;/w:rPr&gt;&lt;m:t&gt;it&lt;/m:t&gt;&lt;/m:r&gt;&lt;/m:sub&gt;&lt;/m:sSub&gt;&lt;m:r&gt;&lt;w:rPr&gt;&lt;w:rFonts w:ascii=&quot;Cambria Math&quot;/&gt;&lt;w:i/&gt;&lt;w:lang w:val=&quot;EN-US&quot;/&gt;&lt;/w:rPr&gt;&lt;m:t&gt;-&lt;/m:t&gt;&lt;/m:r&gt;&lt;m:sSub&gt;&lt;m:sSubPr&gt;&lt;m:ctrlPr&gt;&lt;w:rPr&gt;&lt;w:rFonts w:ascii=&quot;Cambria Math&quot; w:h-ansi=&quot;Cambria Math&quot;/&gt;&lt;wx:font wx:val=&quot;Cambria Math&quot;/&gt;&lt;w:i/&gt;&lt;w:lang w:val=&quot;EN-US&quot;/&gt;&lt;/w:rPr&gt;&lt;/m:ctrlPr&gt;&lt;/m:sSubPr&gt;&lt;m:e&gt;&lt;m:r&gt;&lt;w:rPr&gt;&lt;w:rFonts w:ascii=&quot;Cambria Math&quot;/&gt;&lt;w:i/&gt;&lt;w:lang w:val=&quot;EN-US&quot;/&gt;&lt;/w:rPr&gt;&lt;m:t&gt;âˆ†&lt;/m:t&gt;&lt;/m:r&gt;&lt;m:r&gt;&lt;w:rPr&gt;&lt;w:rFonts w:ascii=&quot;Cambria Math&quot; w:h-ansi=&quot;Cambria Math&quot;/&gt;&lt;wx:font wx:val=&quot;Cambria Math&quot;/&gt;&lt;w:i/&gt;&lt;w:lang w:val=&quot;EN-US&quot;/&gt;&lt;/w:rPr&gt;&lt;m:t&gt;REC&lt;/m:t&gt;&lt;/m:r&gt;&lt;/m:e&gt;&lt;m:sub&gt;&lt;m:r&gt;&lt;w:rPr&gt;&lt;w:rFonts w:ascii=&quot;Cambria Math&quot; w:h-ansi=&quot;Cambria Math&quot;/&gt;&lt;wx:font wx:val=&quot;Cambria Math&quot;/&gt;&lt;w:i/&gt;&lt;w:lang w:val=&quot;EN-US&quot;/&gt;&lt;/w:rPr&gt;&lt;m:t&gt;it&lt;/m:t&gt;&lt;/m:r&gt;&lt;/m:sub&gt;&lt;/m:sSub&gt;&lt;/m:e&gt;&lt;/m:d&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38" o:title="" chromakey="white"/>
          </v:shape>
        </w:pict>
      </w:r>
      <w:r w:rsidRPr="006E06F2">
        <w:rPr>
          <w:lang w:val="en-US"/>
        </w:rPr>
        <w:fldChar w:fldCharType="end"/>
      </w:r>
      <w:r>
        <w:rPr>
          <w:lang w:val="en-US"/>
        </w:rPr>
        <w:t xml:space="preserve"> and working capital accruals, which is consistent with prior research (Peasnell, Pope &amp; Young (1999); Krishnan (2003)). </w:t>
      </w:r>
    </w:p>
    <w:p w:rsidR="00334F38" w:rsidRDefault="00334F38" w:rsidP="00324FF5">
      <w:pPr>
        <w:autoSpaceDE w:val="0"/>
        <w:autoSpaceDN w:val="0"/>
        <w:adjustRightInd w:val="0"/>
        <w:spacing w:line="360" w:lineRule="auto"/>
        <w:jc w:val="both"/>
        <w:rPr>
          <w:lang w:val="en-US"/>
        </w:rPr>
      </w:pPr>
      <w:r>
        <w:rPr>
          <w:lang w:val="en-US"/>
        </w:rPr>
        <w:t>However, with regards to the regression coefficient related to PPE (</w:t>
      </w:r>
      <w:r w:rsidRPr="006E06F2">
        <w:rPr>
          <w:lang w:val="en-US"/>
        </w:rPr>
        <w:fldChar w:fldCharType="begin"/>
      </w:r>
      <w:r w:rsidRPr="006E06F2">
        <w:rPr>
          <w:lang w:val="en-US"/>
        </w:rPr>
        <w:instrText xml:space="preserve"> QUOTE </w:instrText>
      </w:r>
      <w:r w:rsidRPr="006E06F2">
        <w:pict>
          <v:shape id="_x0000_i1081" type="#_x0000_t75" style="width:36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D7036&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DD7036&quot;&gt;&lt;m:oMathPara&gt;&lt;m:oMath&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Î²(est)&lt;/m:t&gt;&lt;/m:r&gt;&lt;/m:e&gt;&lt;m:sub&gt;&lt;m:r&gt;&lt;w:rPr&gt;&lt;w:rFonts w:ascii=&quot;Cambria Math&quot; w:h-ansi=&quot;Cambria Math&quot;/&gt;&lt;wx:font wx:val=&quot;Cambria Math&quot;/&gt;&lt;w:i/&gt;&lt;w:lang w:val=&quot;EN-US&quot;/&gt;&lt;/w:rPr&gt;&lt;m:t&gt;2&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37" o:title="" chromakey="white"/>
          </v:shape>
        </w:pict>
      </w:r>
      <w:r w:rsidRPr="006E06F2">
        <w:rPr>
          <w:lang w:val="en-US"/>
        </w:rPr>
        <w:instrText xml:space="preserve"> </w:instrText>
      </w:r>
      <w:r w:rsidRPr="006E06F2">
        <w:rPr>
          <w:lang w:val="en-US"/>
        </w:rPr>
        <w:fldChar w:fldCharType="separate"/>
      </w:r>
      <w:r w:rsidRPr="006E06F2">
        <w:pict>
          <v:shape id="_x0000_i1082" type="#_x0000_t75" style="width:36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D7036&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DD7036&quot;&gt;&lt;m:oMathPara&gt;&lt;m:oMath&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Î²(est)&lt;/m:t&gt;&lt;/m:r&gt;&lt;/m:e&gt;&lt;m:sub&gt;&lt;m:r&gt;&lt;w:rPr&gt;&lt;w:rFonts w:ascii=&quot;Cambria Math&quot; w:h-ansi=&quot;Cambria Math&quot;/&gt;&lt;wx:font wx:val=&quot;Cambria Math&quot;/&gt;&lt;w:i/&gt;&lt;w:lang w:val=&quot;EN-US&quot;/&gt;&lt;/w:rPr&gt;&lt;m:t&gt;2&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37" o:title="" chromakey="white"/>
          </v:shape>
        </w:pict>
      </w:r>
      <w:r w:rsidRPr="006E06F2">
        <w:rPr>
          <w:lang w:val="en-US"/>
        </w:rPr>
        <w:fldChar w:fldCharType="end"/>
      </w:r>
      <w:r>
        <w:rPr>
          <w:lang w:val="en-US"/>
        </w:rPr>
        <w:t xml:space="preserve">), table 2 shows that all of the 8 industries incur significance up to the 1% level. In addition I find that all of the 8 industries included in my research generated the correct expected sign. Table 3 provides us with a mean regression coefficient of -0.135. Again to account for any extreme values that might be present in any of the included industries I refer to the median, which is -0.138 and closely resembles the mean value estimation. The mean </w:t>
      </w:r>
      <w:r w:rsidRPr="006E06F2">
        <w:rPr>
          <w:lang w:val="en-US"/>
        </w:rPr>
        <w:fldChar w:fldCharType="begin"/>
      </w:r>
      <w:r w:rsidRPr="006E06F2">
        <w:rPr>
          <w:lang w:val="en-US"/>
        </w:rPr>
        <w:instrText xml:space="preserve"> QUOTE </w:instrText>
      </w:r>
      <w:r w:rsidRPr="006E06F2">
        <w:pict>
          <v:shape id="_x0000_i1083" type="#_x0000_t75" style="width:36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5F6&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DE05F6&quot;&gt;&lt;m:oMathPara&gt;&lt;m:oMath&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Î²(est)&lt;/m:t&gt;&lt;/m:r&gt;&lt;/m:e&gt;&lt;m:sub&gt;&lt;m:r&gt;&lt;w:rPr&gt;&lt;w:rFonts w:ascii=&quot;Cambria Math&quot; w:h-ansi=&quot;Cambria Math&quot;/&gt;&lt;wx:font wx:val=&quot;Cambria Math&quot;/&gt;&lt;w:i/&gt;&lt;w:lang w:val=&quot;EN-US&quot;/&gt;&lt;/w:rPr&gt;&lt;m:t&gt;2&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37" o:title="" chromakey="white"/>
          </v:shape>
        </w:pict>
      </w:r>
      <w:r w:rsidRPr="006E06F2">
        <w:rPr>
          <w:lang w:val="en-US"/>
        </w:rPr>
        <w:instrText xml:space="preserve"> </w:instrText>
      </w:r>
      <w:r w:rsidRPr="006E06F2">
        <w:rPr>
          <w:lang w:val="en-US"/>
        </w:rPr>
        <w:fldChar w:fldCharType="separate"/>
      </w:r>
      <w:r w:rsidRPr="006E06F2">
        <w:pict>
          <v:shape id="_x0000_i1084" type="#_x0000_t75" style="width:36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5F6&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DE05F6&quot;&gt;&lt;m:oMathPara&gt;&lt;m:oMath&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Î²(est)&lt;/m:t&gt;&lt;/m:r&gt;&lt;/m:e&gt;&lt;m:sub&gt;&lt;m:r&gt;&lt;w:rPr&gt;&lt;w:rFonts w:ascii=&quot;Cambria Math&quot; w:h-ansi=&quot;Cambria Math&quot;/&gt;&lt;wx:font wx:val=&quot;Cambria Math&quot;/&gt;&lt;w:i/&gt;&lt;w:lang w:val=&quot;EN-US&quot;/&gt;&lt;/w:rPr&gt;&lt;m:t&gt;2&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37" o:title="" chromakey="white"/>
          </v:shape>
        </w:pict>
      </w:r>
      <w:r w:rsidRPr="006E06F2">
        <w:rPr>
          <w:lang w:val="en-US"/>
        </w:rPr>
        <w:fldChar w:fldCharType="end"/>
      </w:r>
      <w:r>
        <w:rPr>
          <w:lang w:val="en-US"/>
        </w:rPr>
        <w:t xml:space="preserve"> proves to be significant with a p-value of 0.000. Consistent with prior research, I am confident to have found a fair approximation of the regression coefficient relating to the gross of property, plant and equipment. Furthermore, the mean </w:t>
      </w:r>
      <w:r w:rsidRPr="006E06F2">
        <w:rPr>
          <w:lang w:val="en-US"/>
        </w:rPr>
        <w:fldChar w:fldCharType="begin"/>
      </w:r>
      <w:r w:rsidRPr="006E06F2">
        <w:rPr>
          <w:lang w:val="en-US"/>
        </w:rPr>
        <w:instrText xml:space="preserve"> QUOTE </w:instrText>
      </w:r>
      <w:r w:rsidRPr="006E06F2">
        <w:pict>
          <v:shape id="_x0000_i1085" type="#_x0000_t75" style="width:15pt;height:12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22AA&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D022AA&quot;&gt;&lt;m:oMathPara&gt;&lt;m:oMath&gt;&lt;m:sSup&gt;&lt;m:sSupPr&gt;&lt;m:ctrlPr&gt;&lt;w:rPr&gt;&lt;w:rFonts w:ascii=&quot;Cambria Math&quot; w:h-ansi=&quot;Cambria Math&quot;/&gt;&lt;wx:font wx:val=&quot;Cambria Math&quot;/&gt;&lt;w:i/&gt;&lt;w:lang w:val=&quot;EN-US&quot;/&gt;&lt;/w:rPr&gt;&lt;/m:ctrlPr&gt;&lt;/m:sSupPr&gt;&lt;m:e&gt;&lt;m:r&gt;&lt;w:rPr&gt;&lt;w:rFonts w:ascii=&quot;Cambria Math&quot; w:h-ansi=&quot;Cambria Math&quot;/&gt;&lt;wx:font wx:val=&quot;Cambria Math&quot;/&gt;&lt;w:i/&gt;&lt;w:lang w:val=&quot;EN-US&quot;/&gt;&lt;/w:rPr&gt;&lt;m:t&gt;R&lt;/m:t&gt;&lt;/m:r&gt;&lt;/m:e&gt;&lt;m:sup&gt;&lt;m:r&gt;&lt;w:rPr&gt;&lt;w:rFonts w:ascii=&quot;Cambria Math&quot; w:h-ansi=&quot;Cambria Math&quot;/&gt;&lt;wx:font wx:val=&quot;Cambria Math&quot;/&gt;&lt;w:i/&gt;&lt;w:lang w:val=&quot;EN-US&quot;/&gt;&lt;/w:rPr&gt;&lt;m:t&gt;2&lt;/m:t&gt;&lt;/m:r&gt;&lt;/m:sup&gt;&lt;/m:sSup&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39" o:title="" chromakey="white"/>
          </v:shape>
        </w:pict>
      </w:r>
      <w:r w:rsidRPr="006E06F2">
        <w:rPr>
          <w:lang w:val="en-US"/>
        </w:rPr>
        <w:instrText xml:space="preserve"> </w:instrText>
      </w:r>
      <w:r w:rsidRPr="006E06F2">
        <w:rPr>
          <w:lang w:val="en-US"/>
        </w:rPr>
        <w:fldChar w:fldCharType="separate"/>
      </w:r>
      <w:r w:rsidRPr="006E06F2">
        <w:pict>
          <v:shape id="_x0000_i1086" type="#_x0000_t75" style="width:15pt;height:12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22AA&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D022AA&quot;&gt;&lt;m:oMathPara&gt;&lt;m:oMath&gt;&lt;m:sSup&gt;&lt;m:sSupPr&gt;&lt;m:ctrlPr&gt;&lt;w:rPr&gt;&lt;w:rFonts w:ascii=&quot;Cambria Math&quot; w:h-ansi=&quot;Cambria Math&quot;/&gt;&lt;wx:font wx:val=&quot;Cambria Math&quot;/&gt;&lt;w:i/&gt;&lt;w:lang w:val=&quot;EN-US&quot;/&gt;&lt;/w:rPr&gt;&lt;/m:ctrlPr&gt;&lt;/m:sSupPr&gt;&lt;m:e&gt;&lt;m:r&gt;&lt;w:rPr&gt;&lt;w:rFonts w:ascii=&quot;Cambria Math&quot; w:h-ansi=&quot;Cambria Math&quot;/&gt;&lt;wx:font wx:val=&quot;Cambria Math&quot;/&gt;&lt;w:i/&gt;&lt;w:lang w:val=&quot;EN-US&quot;/&gt;&lt;/w:rPr&gt;&lt;m:t&gt;R&lt;/m:t&gt;&lt;/m:r&gt;&lt;/m:e&gt;&lt;m:sup&gt;&lt;m:r&gt;&lt;w:rPr&gt;&lt;w:rFonts w:ascii=&quot;Cambria Math&quot; w:h-ansi=&quot;Cambria Math&quot;/&gt;&lt;wx:font wx:val=&quot;Cambria Math&quot;/&gt;&lt;w:i/&gt;&lt;w:lang w:val=&quot;EN-US&quot;/&gt;&lt;/w:rPr&gt;&lt;m:t&gt;2&lt;/m:t&gt;&lt;/m:r&gt;&lt;/m:sup&gt;&lt;/m:sSup&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39" o:title="" chromakey="white"/>
          </v:shape>
        </w:pict>
      </w:r>
      <w:r w:rsidRPr="006E06F2">
        <w:rPr>
          <w:lang w:val="en-US"/>
        </w:rPr>
        <w:fldChar w:fldCharType="end"/>
      </w:r>
      <w:r>
        <w:rPr>
          <w:lang w:val="en-US"/>
        </w:rPr>
        <w:t xml:space="preserve"> of the regressions across industries average out to about 32 percent. I also find some traces of heteroskedasticity amongst the industries using the White’s Test, where the regressions controlled for heteroskedasticity tend to show slightly different standard errors. The relatively low explanatory power of the regressions and the presence of heteroskedasticity indicate the discretionary accruals estimations might exhibit econometric problems when using the modified Jones model. This is consistent with prior research (Subramanyam, 1996; Guay et al., 1996; Wells, 2002), where the Jones model reported considerable imprecision in estimating the discretionary accruals.   </w:t>
      </w:r>
    </w:p>
    <w:p w:rsidR="00334F38" w:rsidRDefault="00334F38" w:rsidP="00324FF5">
      <w:pPr>
        <w:autoSpaceDE w:val="0"/>
        <w:autoSpaceDN w:val="0"/>
        <w:adjustRightInd w:val="0"/>
        <w:spacing w:line="360" w:lineRule="auto"/>
        <w:jc w:val="both"/>
        <w:rPr>
          <w:lang w:val="en-US"/>
        </w:rPr>
      </w:pPr>
      <w:r>
        <w:rPr>
          <w:lang w:val="en-US"/>
        </w:rPr>
        <w:t xml:space="preserve"> </w:t>
      </w:r>
    </w:p>
    <w:p w:rsidR="00334F38" w:rsidRDefault="00334F38" w:rsidP="00324FF5">
      <w:pPr>
        <w:autoSpaceDE w:val="0"/>
        <w:autoSpaceDN w:val="0"/>
        <w:adjustRightInd w:val="0"/>
        <w:spacing w:line="360" w:lineRule="auto"/>
        <w:jc w:val="both"/>
        <w:rPr>
          <w:i/>
          <w:lang w:val="en-US"/>
        </w:rPr>
      </w:pPr>
      <w:r>
        <w:rPr>
          <w:i/>
          <w:lang w:val="en-US"/>
        </w:rPr>
        <w:t>6.2.1 Descriptive Statistics for Discretionary Accrual Measures</w:t>
      </w:r>
      <w:r>
        <w:rPr>
          <w:i/>
          <w:lang w:val="en-US"/>
        </w:rPr>
        <w:fldChar w:fldCharType="begin"/>
      </w:r>
      <w:r w:rsidRPr="004B1DBF">
        <w:rPr>
          <w:lang w:val="en-US"/>
        </w:rPr>
        <w:instrText>tc "</w:instrText>
      </w:r>
      <w:bookmarkStart w:id="85" w:name="_Toc258079470"/>
      <w:r w:rsidRPr="00B74842">
        <w:rPr>
          <w:i/>
          <w:lang w:val="en-US"/>
        </w:rPr>
        <w:instrText>6.2.1 Descriptive Statistics for Discretionary Accrual Measures</w:instrText>
      </w:r>
      <w:bookmarkEnd w:id="85"/>
      <w:r w:rsidRPr="004B1DBF">
        <w:rPr>
          <w:lang w:val="en-US"/>
        </w:rPr>
        <w:instrText>" \f C \l 3</w:instrText>
      </w:r>
      <w:r>
        <w:rPr>
          <w:i/>
          <w:lang w:val="en-US"/>
        </w:rPr>
        <w:fldChar w:fldCharType="end"/>
      </w:r>
    </w:p>
    <w:p w:rsidR="00334F38" w:rsidRDefault="00334F38" w:rsidP="00324FF5">
      <w:pPr>
        <w:autoSpaceDE w:val="0"/>
        <w:autoSpaceDN w:val="0"/>
        <w:adjustRightInd w:val="0"/>
        <w:spacing w:line="360" w:lineRule="auto"/>
        <w:jc w:val="both"/>
        <w:rPr>
          <w:lang w:val="en-US"/>
        </w:rPr>
      </w:pPr>
      <w:r>
        <w:rPr>
          <w:lang w:val="en-US"/>
        </w:rPr>
        <w:t xml:space="preserve">After having established the regression coefficients per industry I can determine the level of non-discretionary and discretionary accruals for both the control sample and the sample containing the non-routine CEO turnover. The measurements for the control- and original sample are presented in Table 4 and 5, respectively. </w:t>
      </w:r>
    </w:p>
    <w:p w:rsidR="00334F38" w:rsidRDefault="00334F38" w:rsidP="00324FF5">
      <w:pPr>
        <w:autoSpaceDE w:val="0"/>
        <w:autoSpaceDN w:val="0"/>
        <w:adjustRightInd w:val="0"/>
        <w:spacing w:line="360" w:lineRule="auto"/>
        <w:jc w:val="both"/>
        <w:rPr>
          <w:lang w:val="en-US"/>
        </w:rPr>
      </w:pPr>
    </w:p>
    <w:tbl>
      <w:tblPr>
        <w:tblW w:w="6520" w:type="dxa"/>
        <w:tblLook w:val="00A0"/>
      </w:tblPr>
      <w:tblGrid>
        <w:gridCol w:w="1492"/>
        <w:gridCol w:w="960"/>
        <w:gridCol w:w="960"/>
        <w:gridCol w:w="960"/>
        <w:gridCol w:w="1080"/>
        <w:gridCol w:w="1140"/>
      </w:tblGrid>
      <w:tr w:rsidR="00334F38" w:rsidRPr="008D4069" w:rsidTr="006E06F2">
        <w:trPr>
          <w:trHeight w:val="300"/>
        </w:trPr>
        <w:tc>
          <w:tcPr>
            <w:tcW w:w="1420" w:type="dxa"/>
            <w:tcBorders>
              <w:right w:val="single" w:sz="6" w:space="0" w:color="808080"/>
            </w:tcBorders>
            <w:noWrap/>
          </w:tcPr>
          <w:p w:rsidR="00334F38" w:rsidRPr="006E06F2" w:rsidRDefault="00334F38" w:rsidP="008D4069">
            <w:pPr>
              <w:rPr>
                <w:rFonts w:ascii="Cambria" w:hAnsi="Cambria"/>
                <w:b/>
                <w:bCs/>
                <w:color w:val="000000"/>
                <w:sz w:val="20"/>
                <w:szCs w:val="20"/>
                <w:lang w:val="en-US" w:eastAsia="en-US"/>
              </w:rPr>
            </w:pPr>
            <w:r w:rsidRPr="006E06F2">
              <w:rPr>
                <w:rFonts w:ascii="Cambria" w:hAnsi="Cambria"/>
                <w:b/>
                <w:bCs/>
                <w:color w:val="000000"/>
                <w:sz w:val="20"/>
                <w:szCs w:val="20"/>
                <w:lang w:val="en-US" w:eastAsia="en-US"/>
              </w:rPr>
              <w:t>Variables</w:t>
            </w:r>
          </w:p>
        </w:tc>
        <w:tc>
          <w:tcPr>
            <w:tcW w:w="960" w:type="dxa"/>
            <w:noWrap/>
          </w:tcPr>
          <w:p w:rsidR="00334F38" w:rsidRPr="006E06F2" w:rsidRDefault="00334F38" w:rsidP="008D4069">
            <w:pPr>
              <w:rPr>
                <w:rFonts w:ascii="Cambria" w:hAnsi="Cambria"/>
                <w:b/>
                <w:bCs/>
                <w:i/>
                <w:color w:val="000000"/>
                <w:sz w:val="22"/>
                <w:szCs w:val="22"/>
                <w:lang w:val="en-US" w:eastAsia="en-US"/>
              </w:rPr>
            </w:pPr>
            <w:r w:rsidRPr="006E06F2">
              <w:rPr>
                <w:rFonts w:ascii="Cambria" w:hAnsi="Cambria"/>
                <w:b/>
                <w:bCs/>
                <w:i/>
                <w:color w:val="000000"/>
                <w:sz w:val="22"/>
                <w:szCs w:val="22"/>
                <w:lang w:val="en-US" w:eastAsia="en-US"/>
              </w:rPr>
              <w:t>Mean</w:t>
            </w:r>
          </w:p>
        </w:tc>
        <w:tc>
          <w:tcPr>
            <w:tcW w:w="960" w:type="dxa"/>
            <w:noWrap/>
          </w:tcPr>
          <w:p w:rsidR="00334F38" w:rsidRPr="006E06F2" w:rsidRDefault="00334F38" w:rsidP="008D4069">
            <w:pPr>
              <w:rPr>
                <w:rFonts w:ascii="Cambria" w:hAnsi="Cambria"/>
                <w:b/>
                <w:bCs/>
                <w:i/>
                <w:color w:val="000000"/>
                <w:sz w:val="22"/>
                <w:szCs w:val="22"/>
                <w:lang w:val="en-US" w:eastAsia="en-US"/>
              </w:rPr>
            </w:pPr>
            <w:r w:rsidRPr="006E06F2">
              <w:rPr>
                <w:rFonts w:ascii="Cambria" w:hAnsi="Cambria"/>
                <w:b/>
                <w:bCs/>
                <w:i/>
                <w:color w:val="000000"/>
                <w:sz w:val="22"/>
                <w:szCs w:val="22"/>
                <w:lang w:val="en-US" w:eastAsia="en-US"/>
              </w:rPr>
              <w:t>St Dev</w:t>
            </w:r>
          </w:p>
        </w:tc>
        <w:tc>
          <w:tcPr>
            <w:tcW w:w="960" w:type="dxa"/>
            <w:noWrap/>
          </w:tcPr>
          <w:p w:rsidR="00334F38" w:rsidRPr="006E06F2" w:rsidRDefault="00334F38" w:rsidP="008D4069">
            <w:pPr>
              <w:rPr>
                <w:rFonts w:ascii="Cambria" w:hAnsi="Cambria"/>
                <w:b/>
                <w:bCs/>
                <w:i/>
                <w:color w:val="000000"/>
                <w:sz w:val="22"/>
                <w:szCs w:val="22"/>
                <w:lang w:val="en-US" w:eastAsia="en-US"/>
              </w:rPr>
            </w:pPr>
            <w:r w:rsidRPr="006E06F2">
              <w:rPr>
                <w:rFonts w:ascii="Cambria" w:hAnsi="Cambria"/>
                <w:b/>
                <w:bCs/>
                <w:i/>
                <w:color w:val="000000"/>
                <w:sz w:val="22"/>
                <w:szCs w:val="22"/>
                <w:lang w:val="en-US" w:eastAsia="en-US"/>
              </w:rPr>
              <w:t>Median</w:t>
            </w:r>
          </w:p>
        </w:tc>
        <w:tc>
          <w:tcPr>
            <w:tcW w:w="1080" w:type="dxa"/>
            <w:noWrap/>
          </w:tcPr>
          <w:p w:rsidR="00334F38" w:rsidRPr="006E06F2" w:rsidRDefault="00334F38" w:rsidP="008D4069">
            <w:pPr>
              <w:rPr>
                <w:rFonts w:ascii="Cambria" w:hAnsi="Cambria"/>
                <w:b/>
                <w:bCs/>
                <w:i/>
                <w:color w:val="000000"/>
                <w:sz w:val="22"/>
                <w:szCs w:val="22"/>
                <w:lang w:val="en-US" w:eastAsia="en-US"/>
              </w:rPr>
            </w:pPr>
            <w:r w:rsidRPr="006E06F2">
              <w:rPr>
                <w:rFonts w:ascii="Cambria" w:hAnsi="Cambria"/>
                <w:b/>
                <w:bCs/>
                <w:i/>
                <w:color w:val="000000"/>
                <w:sz w:val="22"/>
                <w:szCs w:val="22"/>
                <w:lang w:val="en-US" w:eastAsia="en-US"/>
              </w:rPr>
              <w:t xml:space="preserve">         Min</w:t>
            </w:r>
          </w:p>
        </w:tc>
        <w:tc>
          <w:tcPr>
            <w:tcW w:w="1140" w:type="dxa"/>
            <w:noWrap/>
          </w:tcPr>
          <w:p w:rsidR="00334F38" w:rsidRPr="006E06F2" w:rsidRDefault="00334F38" w:rsidP="008D4069">
            <w:pPr>
              <w:rPr>
                <w:rFonts w:ascii="Cambria" w:hAnsi="Cambria"/>
                <w:b/>
                <w:bCs/>
                <w:i/>
                <w:color w:val="000000"/>
                <w:sz w:val="22"/>
                <w:szCs w:val="22"/>
                <w:lang w:val="en-US" w:eastAsia="en-US"/>
              </w:rPr>
            </w:pPr>
            <w:r w:rsidRPr="006E06F2">
              <w:rPr>
                <w:rFonts w:ascii="Cambria" w:hAnsi="Cambria"/>
                <w:b/>
                <w:bCs/>
                <w:i/>
                <w:color w:val="000000"/>
                <w:sz w:val="22"/>
                <w:szCs w:val="22"/>
                <w:lang w:val="en-US" w:eastAsia="en-US"/>
              </w:rPr>
              <w:t xml:space="preserve">          Max</w:t>
            </w:r>
          </w:p>
        </w:tc>
      </w:tr>
      <w:tr w:rsidR="00334F38" w:rsidRPr="008D4069" w:rsidTr="006E06F2">
        <w:trPr>
          <w:trHeight w:val="300"/>
        </w:trPr>
        <w:tc>
          <w:tcPr>
            <w:tcW w:w="1420" w:type="dxa"/>
            <w:tcBorders>
              <w:top w:val="single" w:sz="6" w:space="0" w:color="808080"/>
              <w:bottom w:val="single" w:sz="6" w:space="0" w:color="FFFFFF"/>
              <w:right w:val="single" w:sz="6" w:space="0" w:color="808080"/>
            </w:tcBorders>
            <w:noWrap/>
          </w:tcPr>
          <w:p w:rsidR="00334F38" w:rsidRPr="006E06F2" w:rsidRDefault="00334F38" w:rsidP="008D4069">
            <w:pPr>
              <w:rPr>
                <w:rFonts w:ascii="Cambria" w:hAnsi="Cambria"/>
                <w:color w:val="000000"/>
                <w:sz w:val="22"/>
                <w:szCs w:val="22"/>
                <w:lang w:val="en-US" w:eastAsia="en-US"/>
              </w:rPr>
            </w:pPr>
            <w:r w:rsidRPr="006E06F2">
              <w:rPr>
                <w:rFonts w:ascii="Cambria" w:hAnsi="Cambria"/>
                <w:color w:val="000000"/>
                <w:sz w:val="22"/>
                <w:szCs w:val="22"/>
                <w:lang w:val="en-US" w:eastAsia="en-US"/>
              </w:rPr>
              <w:t>EBXI</w:t>
            </w:r>
          </w:p>
        </w:tc>
        <w:tc>
          <w:tcPr>
            <w:tcW w:w="960"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69.25</w:t>
            </w:r>
          </w:p>
        </w:tc>
        <w:tc>
          <w:tcPr>
            <w:tcW w:w="960"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1239.28</w:t>
            </w:r>
          </w:p>
        </w:tc>
        <w:tc>
          <w:tcPr>
            <w:tcW w:w="960"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10.24</w:t>
            </w:r>
          </w:p>
        </w:tc>
        <w:tc>
          <w:tcPr>
            <w:tcW w:w="1080"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-7304.69</w:t>
            </w:r>
          </w:p>
        </w:tc>
        <w:tc>
          <w:tcPr>
            <w:tcW w:w="1140"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12334</w:t>
            </w:r>
          </w:p>
        </w:tc>
      </w:tr>
      <w:tr w:rsidR="00334F38" w:rsidRPr="008D4069" w:rsidTr="006E06F2">
        <w:trPr>
          <w:trHeight w:val="300"/>
        </w:trPr>
        <w:tc>
          <w:tcPr>
            <w:tcW w:w="1420" w:type="dxa"/>
            <w:tcBorders>
              <w:right w:val="single" w:sz="6" w:space="0" w:color="808080"/>
            </w:tcBorders>
            <w:noWrap/>
          </w:tcPr>
          <w:p w:rsidR="00334F38" w:rsidRPr="006E06F2" w:rsidRDefault="00334F38" w:rsidP="008D4069">
            <w:pPr>
              <w:rPr>
                <w:rFonts w:ascii="Cambria" w:hAnsi="Cambria"/>
                <w:color w:val="000000"/>
                <w:sz w:val="22"/>
                <w:szCs w:val="22"/>
                <w:lang w:val="en-US" w:eastAsia="en-US"/>
              </w:rPr>
            </w:pPr>
            <w:r w:rsidRPr="006E06F2">
              <w:rPr>
                <w:rFonts w:ascii="Cambria" w:hAnsi="Cambria"/>
                <w:color w:val="000000"/>
                <w:sz w:val="22"/>
                <w:szCs w:val="22"/>
                <w:lang w:val="en-US" w:eastAsia="en-US"/>
              </w:rPr>
              <w:t>CFO</w:t>
            </w:r>
          </w:p>
        </w:tc>
        <w:tc>
          <w:tcPr>
            <w:tcW w:w="960" w:type="dxa"/>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404.27</w:t>
            </w:r>
          </w:p>
        </w:tc>
        <w:tc>
          <w:tcPr>
            <w:tcW w:w="960" w:type="dxa"/>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1382.83</w:t>
            </w:r>
          </w:p>
        </w:tc>
        <w:tc>
          <w:tcPr>
            <w:tcW w:w="960" w:type="dxa"/>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83.46</w:t>
            </w:r>
          </w:p>
        </w:tc>
        <w:tc>
          <w:tcPr>
            <w:tcW w:w="1080" w:type="dxa"/>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-1009</w:t>
            </w:r>
          </w:p>
        </w:tc>
        <w:tc>
          <w:tcPr>
            <w:tcW w:w="1140" w:type="dxa"/>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18812</w:t>
            </w:r>
          </w:p>
        </w:tc>
      </w:tr>
      <w:tr w:rsidR="00334F38" w:rsidRPr="008D4069" w:rsidTr="006E06F2">
        <w:trPr>
          <w:trHeight w:val="300"/>
        </w:trPr>
        <w:tc>
          <w:tcPr>
            <w:tcW w:w="1420" w:type="dxa"/>
            <w:tcBorders>
              <w:top w:val="single" w:sz="6" w:space="0" w:color="808080"/>
              <w:bottom w:val="single" w:sz="6" w:space="0" w:color="FFFFFF"/>
              <w:right w:val="single" w:sz="6" w:space="0" w:color="808080"/>
            </w:tcBorders>
            <w:noWrap/>
          </w:tcPr>
          <w:p w:rsidR="00334F38" w:rsidRPr="006E06F2" w:rsidRDefault="00334F38" w:rsidP="008D4069">
            <w:pPr>
              <w:rPr>
                <w:rFonts w:ascii="Cambria" w:hAnsi="Cambria"/>
                <w:color w:val="000000"/>
                <w:sz w:val="22"/>
                <w:szCs w:val="22"/>
                <w:lang w:val="en-US" w:eastAsia="en-US"/>
              </w:rPr>
            </w:pPr>
            <w:r w:rsidRPr="006E06F2">
              <w:rPr>
                <w:rFonts w:ascii="Cambria" w:hAnsi="Cambria"/>
                <w:color w:val="000000"/>
                <w:sz w:val="22"/>
                <w:szCs w:val="22"/>
                <w:lang w:val="en-US" w:eastAsia="en-US"/>
              </w:rPr>
              <w:t>TA</w:t>
            </w:r>
          </w:p>
        </w:tc>
        <w:tc>
          <w:tcPr>
            <w:tcW w:w="960"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-335.02</w:t>
            </w:r>
          </w:p>
        </w:tc>
        <w:tc>
          <w:tcPr>
            <w:tcW w:w="960"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1018</w:t>
            </w:r>
          </w:p>
        </w:tc>
        <w:tc>
          <w:tcPr>
            <w:tcW w:w="960"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-46.36</w:t>
            </w:r>
          </w:p>
        </w:tc>
        <w:tc>
          <w:tcPr>
            <w:tcW w:w="1080"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-7592.81</w:t>
            </w:r>
          </w:p>
        </w:tc>
        <w:tc>
          <w:tcPr>
            <w:tcW w:w="1140"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1164.53</w:t>
            </w:r>
          </w:p>
        </w:tc>
      </w:tr>
      <w:tr w:rsidR="00334F38" w:rsidRPr="008D4069" w:rsidTr="006E06F2">
        <w:trPr>
          <w:trHeight w:val="300"/>
        </w:trPr>
        <w:tc>
          <w:tcPr>
            <w:tcW w:w="1420" w:type="dxa"/>
            <w:tcBorders>
              <w:right w:val="single" w:sz="6" w:space="0" w:color="808080"/>
            </w:tcBorders>
            <w:noWrap/>
          </w:tcPr>
          <w:p w:rsidR="00334F38" w:rsidRPr="006E06F2" w:rsidRDefault="00334F38" w:rsidP="0093337C">
            <w:pPr>
              <w:rPr>
                <w:rFonts w:ascii="Cambria" w:hAnsi="Cambria"/>
                <w:color w:val="000000"/>
                <w:sz w:val="22"/>
                <w:szCs w:val="22"/>
                <w:lang w:val="en-US" w:eastAsia="en-US"/>
              </w:rPr>
            </w:pPr>
            <w:r w:rsidRPr="006E06F2">
              <w:rPr>
                <w:rFonts w:ascii="Cambria" w:hAnsi="Cambria"/>
                <w:color w:val="000000"/>
                <w:sz w:val="22"/>
                <w:szCs w:val="22"/>
                <w:lang w:val="en-US" w:eastAsia="en-US"/>
              </w:rPr>
              <w:t>TA/</w:t>
            </w:r>
            <w:r w:rsidRPr="006E06F2">
              <w:rPr>
                <w:rFonts w:ascii="Cambria" w:hAnsi="Cambria"/>
                <w:color w:val="000000"/>
                <w:sz w:val="22"/>
                <w:szCs w:val="22"/>
                <w:lang w:val="en-US" w:eastAsia="en-US"/>
              </w:rPr>
              <w:fldChar w:fldCharType="begin"/>
            </w:r>
            <w:r w:rsidRPr="006E06F2">
              <w:rPr>
                <w:rFonts w:ascii="Cambria" w:hAnsi="Cambria"/>
                <w:color w:val="000000"/>
                <w:sz w:val="22"/>
                <w:szCs w:val="22"/>
                <w:lang w:val="en-US" w:eastAsia="en-US"/>
              </w:rPr>
              <w:instrText xml:space="preserve"> QUOTE </w:instrText>
            </w:r>
            <w:r w:rsidRPr="006E06F2">
              <w:pict>
                <v:shape id="_x0000_i1087" type="#_x0000_t75" style="width:45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454E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6454E6&quot;&gt;&lt;m:oMathPara&gt;&lt;m:oMath&gt;&lt;m:sSub&gt;&lt;m:sSubPr&gt;&lt;m:ctrlPr&gt;&lt;w:rPr&gt;&lt;w:rFonts w:ascii=&quot;Cambria Math&quot; w:h-ansi=&quot;Cambria Math&quot;/&gt;&lt;wx:font wx:val=&quot;Cambria Math&quot;/&gt;&lt;w:i/&gt;&lt;w:color w:val=&quot;000000&quot;/&gt;&lt;w:sz w:val=&quot;22&quot;/&gt;&lt;w:sz-cs w:val=&quot;22&quot;/&gt;&lt;w:lang w:val=&quot;EN-US&quot; w:fareast=&quot;EN-US&quot;/&gt;&lt;/w:rPr&gt;&lt;/m:ctrlPr&gt;&lt;/m:sSubPr&gt;&lt;m:e&gt;&lt;m:r&gt;&lt;w:rPr&gt;&lt;w:rFonts w:ascii=&quot;Cambria Math&quot; w:h-ansi=&quot;Cambria Math&quot;/&gt;&lt;wx:font wx:val=&quot;Cambria Math&quot;/&gt;&lt;w:i/&gt;&lt;w:color w:val=&quot;000000&quot;/&gt;&lt;w:sz w:val=&quot;22&quot;/&gt;&lt;w:sz-cs w:val=&quot;22&quot;/&gt;&lt;w:lang w:val=&quot;EN-US&quot; w:fareast=&quot;EN-US&quot;/&gt;&lt;/w:rPr&gt;&lt;m:t&gt;Assets&lt;/m:t&gt;&lt;/m:r&gt;&lt;/m:e&gt;&lt;m:sub&gt;&lt;m:r&gt;&lt;w:rPr&gt;&lt;w:rFonts w:ascii=&quot;Cambria Math&quot; w:h-ansi=&quot;Cambria Math&quot;/&gt;&lt;wx:font wx:val=&quot;Cambria Math&quot;/&gt;&lt;w:i/&gt;&lt;w:color w:val=&quot;000000&quot;/&gt;&lt;w:sz w:val=&quot;22&quot;/&gt;&lt;w:sz-cs w:val=&quot;22&quot;/&gt;&lt;w:lang w:val=&quot;EN-US&quot; w:fareast=&quot;EN-US&quot;/&gt;&lt;/w:rPr&gt;&lt;m:t&gt;-1&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40" o:title="" chromakey="white"/>
                </v:shape>
              </w:pict>
            </w:r>
            <w:r w:rsidRPr="006E06F2">
              <w:rPr>
                <w:rFonts w:ascii="Cambria" w:hAnsi="Cambria"/>
                <w:color w:val="000000"/>
                <w:sz w:val="22"/>
                <w:szCs w:val="22"/>
                <w:lang w:val="en-US" w:eastAsia="en-US"/>
              </w:rPr>
              <w:instrText xml:space="preserve"> </w:instrText>
            </w:r>
            <w:r w:rsidRPr="006E06F2">
              <w:rPr>
                <w:rFonts w:ascii="Cambria" w:hAnsi="Cambria"/>
                <w:color w:val="000000"/>
                <w:sz w:val="22"/>
                <w:szCs w:val="22"/>
                <w:lang w:val="en-US" w:eastAsia="en-US"/>
              </w:rPr>
              <w:fldChar w:fldCharType="separate"/>
            </w:r>
            <w:r w:rsidRPr="006E06F2">
              <w:pict>
                <v:shape id="_x0000_i1088" type="#_x0000_t75" style="width:45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454E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6454E6&quot;&gt;&lt;m:oMathPara&gt;&lt;m:oMath&gt;&lt;m:sSub&gt;&lt;m:sSubPr&gt;&lt;m:ctrlPr&gt;&lt;w:rPr&gt;&lt;w:rFonts w:ascii=&quot;Cambria Math&quot; w:h-ansi=&quot;Cambria Math&quot;/&gt;&lt;wx:font wx:val=&quot;Cambria Math&quot;/&gt;&lt;w:i/&gt;&lt;w:color w:val=&quot;000000&quot;/&gt;&lt;w:sz w:val=&quot;22&quot;/&gt;&lt;w:sz-cs w:val=&quot;22&quot;/&gt;&lt;w:lang w:val=&quot;EN-US&quot; w:fareast=&quot;EN-US&quot;/&gt;&lt;/w:rPr&gt;&lt;/m:ctrlPr&gt;&lt;/m:sSubPr&gt;&lt;m:e&gt;&lt;m:r&gt;&lt;w:rPr&gt;&lt;w:rFonts w:ascii=&quot;Cambria Math&quot; w:h-ansi=&quot;Cambria Math&quot;/&gt;&lt;wx:font wx:val=&quot;Cambria Math&quot;/&gt;&lt;w:i/&gt;&lt;w:color w:val=&quot;000000&quot;/&gt;&lt;w:sz w:val=&quot;22&quot;/&gt;&lt;w:sz-cs w:val=&quot;22&quot;/&gt;&lt;w:lang w:val=&quot;EN-US&quot; w:fareast=&quot;EN-US&quot;/&gt;&lt;/w:rPr&gt;&lt;m:t&gt;Assets&lt;/m:t&gt;&lt;/m:r&gt;&lt;/m:e&gt;&lt;m:sub&gt;&lt;m:r&gt;&lt;w:rPr&gt;&lt;w:rFonts w:ascii=&quot;Cambria Math&quot; w:h-ansi=&quot;Cambria Math&quot;/&gt;&lt;wx:font wx:val=&quot;Cambria Math&quot;/&gt;&lt;w:i/&gt;&lt;w:color w:val=&quot;000000&quot;/&gt;&lt;w:sz w:val=&quot;22&quot;/&gt;&lt;w:sz-cs w:val=&quot;22&quot;/&gt;&lt;w:lang w:val=&quot;EN-US&quot; w:fareast=&quot;EN-US&quot;/&gt;&lt;/w:rPr&gt;&lt;m:t&gt;-1&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40" o:title="" chromakey="white"/>
                </v:shape>
              </w:pict>
            </w:r>
            <w:r w:rsidRPr="006E06F2">
              <w:rPr>
                <w:rFonts w:ascii="Cambria" w:hAnsi="Cambria"/>
                <w:color w:val="000000"/>
                <w:sz w:val="22"/>
                <w:szCs w:val="22"/>
                <w:lang w:val="en-US" w:eastAsia="en-US"/>
              </w:rPr>
              <w:fldChar w:fldCharType="end"/>
            </w:r>
          </w:p>
        </w:tc>
        <w:tc>
          <w:tcPr>
            <w:tcW w:w="960" w:type="dxa"/>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-0.107</w:t>
            </w:r>
          </w:p>
        </w:tc>
        <w:tc>
          <w:tcPr>
            <w:tcW w:w="960" w:type="dxa"/>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0.127</w:t>
            </w:r>
          </w:p>
        </w:tc>
        <w:tc>
          <w:tcPr>
            <w:tcW w:w="960" w:type="dxa"/>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-0.065</w:t>
            </w:r>
          </w:p>
        </w:tc>
        <w:tc>
          <w:tcPr>
            <w:tcW w:w="1080" w:type="dxa"/>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-0.955</w:t>
            </w:r>
          </w:p>
        </w:tc>
        <w:tc>
          <w:tcPr>
            <w:tcW w:w="1140" w:type="dxa"/>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0.161</w:t>
            </w:r>
          </w:p>
        </w:tc>
      </w:tr>
      <w:tr w:rsidR="00334F38" w:rsidRPr="008D4069" w:rsidTr="006E06F2">
        <w:trPr>
          <w:trHeight w:val="300"/>
        </w:trPr>
        <w:tc>
          <w:tcPr>
            <w:tcW w:w="1420" w:type="dxa"/>
            <w:tcBorders>
              <w:top w:val="single" w:sz="6" w:space="0" w:color="808080"/>
              <w:bottom w:val="single" w:sz="6" w:space="0" w:color="FFFFFF"/>
              <w:right w:val="single" w:sz="6" w:space="0" w:color="808080"/>
            </w:tcBorders>
            <w:noWrap/>
          </w:tcPr>
          <w:p w:rsidR="00334F38" w:rsidRPr="006E06F2" w:rsidRDefault="00334F38" w:rsidP="008D4069">
            <w:pPr>
              <w:rPr>
                <w:rFonts w:ascii="Cambria" w:hAnsi="Cambria"/>
                <w:color w:val="000000"/>
                <w:sz w:val="22"/>
                <w:szCs w:val="22"/>
                <w:lang w:val="en-US" w:eastAsia="en-US"/>
              </w:rPr>
            </w:pPr>
            <w:r w:rsidRPr="006E06F2">
              <w:rPr>
                <w:rFonts w:ascii="Cambria" w:hAnsi="Cambria"/>
                <w:color w:val="000000"/>
                <w:sz w:val="22"/>
                <w:szCs w:val="22"/>
                <w:lang w:val="en-US" w:eastAsia="en-US"/>
              </w:rPr>
              <w:t>NDA</w:t>
            </w:r>
          </w:p>
        </w:tc>
        <w:tc>
          <w:tcPr>
            <w:tcW w:w="960"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-0.086</w:t>
            </w:r>
          </w:p>
        </w:tc>
        <w:tc>
          <w:tcPr>
            <w:tcW w:w="960"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0.106</w:t>
            </w:r>
          </w:p>
        </w:tc>
        <w:tc>
          <w:tcPr>
            <w:tcW w:w="960"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-0.052</w:t>
            </w:r>
          </w:p>
        </w:tc>
        <w:tc>
          <w:tcPr>
            <w:tcW w:w="1080"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-0.954</w:t>
            </w:r>
          </w:p>
        </w:tc>
        <w:tc>
          <w:tcPr>
            <w:tcW w:w="1140"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0.115</w:t>
            </w:r>
          </w:p>
        </w:tc>
      </w:tr>
      <w:tr w:rsidR="00334F38" w:rsidRPr="008D4069" w:rsidTr="006E06F2">
        <w:trPr>
          <w:trHeight w:val="300"/>
        </w:trPr>
        <w:tc>
          <w:tcPr>
            <w:tcW w:w="1420" w:type="dxa"/>
            <w:tcBorders>
              <w:right w:val="single" w:sz="6" w:space="0" w:color="808080"/>
            </w:tcBorders>
            <w:noWrap/>
          </w:tcPr>
          <w:p w:rsidR="00334F38" w:rsidRPr="006E06F2" w:rsidRDefault="00334F38" w:rsidP="008D4069">
            <w:pPr>
              <w:rPr>
                <w:rFonts w:ascii="Cambria" w:hAnsi="Cambria"/>
                <w:color w:val="000000"/>
                <w:sz w:val="22"/>
                <w:szCs w:val="22"/>
                <w:lang w:val="en-US" w:eastAsia="en-US"/>
              </w:rPr>
            </w:pPr>
            <w:r w:rsidRPr="006E06F2">
              <w:rPr>
                <w:rFonts w:ascii="Cambria" w:hAnsi="Cambria"/>
                <w:color w:val="000000"/>
                <w:sz w:val="22"/>
                <w:szCs w:val="22"/>
                <w:lang w:val="en-US" w:eastAsia="en-US"/>
              </w:rPr>
              <w:t>DA</w:t>
            </w:r>
          </w:p>
        </w:tc>
        <w:tc>
          <w:tcPr>
            <w:tcW w:w="960" w:type="dxa"/>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-0.021</w:t>
            </w:r>
          </w:p>
        </w:tc>
        <w:tc>
          <w:tcPr>
            <w:tcW w:w="960" w:type="dxa"/>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0.102</w:t>
            </w:r>
          </w:p>
        </w:tc>
        <w:tc>
          <w:tcPr>
            <w:tcW w:w="960" w:type="dxa"/>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-0.0035</w:t>
            </w:r>
          </w:p>
        </w:tc>
        <w:tc>
          <w:tcPr>
            <w:tcW w:w="1080" w:type="dxa"/>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-0.606</w:t>
            </w:r>
          </w:p>
        </w:tc>
        <w:tc>
          <w:tcPr>
            <w:tcW w:w="1140" w:type="dxa"/>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0.299</w:t>
            </w:r>
          </w:p>
        </w:tc>
      </w:tr>
      <w:tr w:rsidR="00334F38" w:rsidRPr="008D4069" w:rsidTr="006E06F2">
        <w:trPr>
          <w:trHeight w:val="300"/>
        </w:trPr>
        <w:tc>
          <w:tcPr>
            <w:tcW w:w="1420" w:type="dxa"/>
            <w:tcBorders>
              <w:top w:val="single" w:sz="6" w:space="0" w:color="808080"/>
              <w:right w:val="single" w:sz="6" w:space="0" w:color="808080"/>
            </w:tcBorders>
            <w:noWrap/>
          </w:tcPr>
          <w:p w:rsidR="00334F38" w:rsidRPr="006E06F2" w:rsidRDefault="00334F38" w:rsidP="008D4069">
            <w:pPr>
              <w:rPr>
                <w:rFonts w:ascii="Calibri" w:hAnsi="Calibri"/>
                <w:i/>
                <w:iCs/>
                <w:color w:val="000000"/>
                <w:sz w:val="22"/>
                <w:szCs w:val="22"/>
                <w:lang w:val="en-US" w:eastAsia="en-US"/>
              </w:rPr>
            </w:pPr>
            <w:r w:rsidRPr="006E06F2">
              <w:rPr>
                <w:rFonts w:ascii="Calibri" w:hAnsi="Calibri"/>
                <w:i/>
                <w:iCs/>
                <w:color w:val="000000"/>
                <w:sz w:val="22"/>
                <w:szCs w:val="22"/>
                <w:lang w:val="en-US" w:eastAsia="en-US"/>
              </w:rPr>
              <w:t>P Value</w:t>
            </w:r>
          </w:p>
        </w:tc>
        <w:tc>
          <w:tcPr>
            <w:tcW w:w="960"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0.001</w:t>
            </w:r>
          </w:p>
        </w:tc>
        <w:tc>
          <w:tcPr>
            <w:tcW w:w="960" w:type="dxa"/>
            <w:tcBorders>
              <w:top w:val="single" w:sz="6" w:space="0" w:color="808080"/>
              <w:bottom w:val="single" w:sz="6" w:space="0" w:color="FFFFFF"/>
            </w:tcBorders>
            <w:noWrap/>
          </w:tcPr>
          <w:p w:rsidR="00334F38" w:rsidRPr="006E06F2" w:rsidRDefault="00334F38" w:rsidP="008D4069">
            <w:pPr>
              <w:rPr>
                <w:rFonts w:ascii="Calibri" w:hAnsi="Calibri"/>
                <w:color w:val="000000"/>
                <w:sz w:val="22"/>
                <w:szCs w:val="22"/>
                <w:lang w:val="en-US" w:eastAsia="en-US"/>
              </w:rPr>
            </w:pPr>
          </w:p>
        </w:tc>
        <w:tc>
          <w:tcPr>
            <w:tcW w:w="960" w:type="dxa"/>
            <w:tcBorders>
              <w:top w:val="single" w:sz="6" w:space="0" w:color="808080"/>
              <w:bottom w:val="single" w:sz="6" w:space="0" w:color="FFFFFF"/>
            </w:tcBorders>
            <w:noWrap/>
          </w:tcPr>
          <w:p w:rsidR="00334F38" w:rsidRPr="006E06F2" w:rsidRDefault="00334F38" w:rsidP="008D4069">
            <w:pPr>
              <w:rPr>
                <w:rFonts w:ascii="Calibri" w:hAnsi="Calibri"/>
                <w:color w:val="000000"/>
                <w:sz w:val="22"/>
                <w:szCs w:val="22"/>
                <w:lang w:val="en-US" w:eastAsia="en-US"/>
              </w:rPr>
            </w:pPr>
          </w:p>
        </w:tc>
        <w:tc>
          <w:tcPr>
            <w:tcW w:w="1080" w:type="dxa"/>
            <w:tcBorders>
              <w:top w:val="single" w:sz="6" w:space="0" w:color="808080"/>
              <w:bottom w:val="single" w:sz="6" w:space="0" w:color="FFFFFF"/>
            </w:tcBorders>
            <w:noWrap/>
          </w:tcPr>
          <w:p w:rsidR="00334F38" w:rsidRPr="006E06F2" w:rsidRDefault="00334F38" w:rsidP="008D4069">
            <w:pPr>
              <w:rPr>
                <w:rFonts w:ascii="Calibri" w:hAnsi="Calibri"/>
                <w:color w:val="000000"/>
                <w:sz w:val="22"/>
                <w:szCs w:val="22"/>
                <w:lang w:val="en-US" w:eastAsia="en-US"/>
              </w:rPr>
            </w:pPr>
          </w:p>
        </w:tc>
        <w:tc>
          <w:tcPr>
            <w:tcW w:w="1140" w:type="dxa"/>
            <w:tcBorders>
              <w:top w:val="single" w:sz="6" w:space="0" w:color="808080"/>
              <w:bottom w:val="single" w:sz="6" w:space="0" w:color="FFFFFF"/>
            </w:tcBorders>
            <w:noWrap/>
          </w:tcPr>
          <w:p w:rsidR="00334F38" w:rsidRPr="006E06F2" w:rsidRDefault="00334F38" w:rsidP="008D4069">
            <w:pPr>
              <w:rPr>
                <w:rFonts w:ascii="Calibri" w:hAnsi="Calibri"/>
                <w:color w:val="000000"/>
                <w:sz w:val="22"/>
                <w:szCs w:val="22"/>
                <w:lang w:val="en-US" w:eastAsia="en-US"/>
              </w:rPr>
            </w:pPr>
          </w:p>
        </w:tc>
      </w:tr>
    </w:tbl>
    <w:p w:rsidR="00334F38" w:rsidRPr="00744863" w:rsidRDefault="00334F38" w:rsidP="00324FF5">
      <w:pPr>
        <w:autoSpaceDE w:val="0"/>
        <w:autoSpaceDN w:val="0"/>
        <w:adjustRightInd w:val="0"/>
        <w:spacing w:line="360" w:lineRule="auto"/>
        <w:jc w:val="both"/>
        <w:rPr>
          <w:rFonts w:ascii="Cambria" w:hAnsi="Cambria"/>
          <w:sz w:val="20"/>
          <w:szCs w:val="20"/>
          <w:lang w:val="en-US"/>
        </w:rPr>
      </w:pPr>
      <w:r>
        <w:rPr>
          <w:rFonts w:ascii="Cambria" w:hAnsi="Cambria"/>
          <w:b/>
          <w:sz w:val="20"/>
          <w:szCs w:val="20"/>
          <w:lang w:val="en-US"/>
        </w:rPr>
        <w:t>Table 4</w:t>
      </w:r>
      <w:r w:rsidRPr="00744863">
        <w:rPr>
          <w:rFonts w:ascii="Cambria" w:hAnsi="Cambria"/>
          <w:b/>
          <w:sz w:val="20"/>
          <w:szCs w:val="20"/>
          <w:lang w:val="en-US"/>
        </w:rPr>
        <w:t xml:space="preserve">: </w:t>
      </w:r>
      <w:r w:rsidRPr="00744863">
        <w:rPr>
          <w:rFonts w:ascii="Cambria" w:hAnsi="Cambria"/>
          <w:i/>
          <w:sz w:val="20"/>
          <w:szCs w:val="20"/>
          <w:lang w:val="en-US"/>
        </w:rPr>
        <w:t xml:space="preserve">Accrual measurements for control sample. </w:t>
      </w:r>
      <w:r w:rsidRPr="00744863">
        <w:rPr>
          <w:rFonts w:ascii="Cambria" w:hAnsi="Cambria"/>
          <w:sz w:val="20"/>
          <w:szCs w:val="20"/>
          <w:lang w:val="en-US"/>
        </w:rPr>
        <w:t xml:space="preserve">Where EBXI stands for Income Before Extraordinary Expenses and Discontinued Operations, CFO stands for Cash Flow from Operations, TA stands for Total Accruals, </w:t>
      </w:r>
      <w:r w:rsidRPr="008D4069">
        <w:rPr>
          <w:rFonts w:ascii="Cambria" w:hAnsi="Cambria"/>
          <w:color w:val="000000"/>
          <w:sz w:val="20"/>
          <w:szCs w:val="20"/>
          <w:lang w:val="en-US" w:eastAsia="en-US"/>
        </w:rPr>
        <w:t>TA/</w:t>
      </w:r>
      <w:r w:rsidRPr="006E06F2">
        <w:rPr>
          <w:rFonts w:ascii="Cambria" w:hAnsi="Cambria"/>
          <w:color w:val="000000"/>
          <w:sz w:val="20"/>
          <w:szCs w:val="20"/>
          <w:lang w:val="en-US" w:eastAsia="en-US"/>
        </w:rPr>
        <w:fldChar w:fldCharType="begin"/>
      </w:r>
      <w:r w:rsidRPr="006E06F2">
        <w:rPr>
          <w:rFonts w:ascii="Cambria" w:hAnsi="Cambria"/>
          <w:color w:val="000000"/>
          <w:sz w:val="20"/>
          <w:szCs w:val="20"/>
          <w:lang w:val="en-US" w:eastAsia="en-US"/>
        </w:rPr>
        <w:instrText xml:space="preserve"> QUOTE </w:instrText>
      </w:r>
      <w:r w:rsidRPr="006E06F2">
        <w:pict>
          <v:shape id="_x0000_i1089" type="#_x0000_t75" style="width:39.75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3D73&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F53D73&quot;&gt;&lt;m:oMathPara&gt;&lt;m:oMath&gt;&lt;m:sSub&gt;&lt;m:sSubPr&gt;&lt;m:ctrlPr&gt;&lt;w:rPr&gt;&lt;w:rFonts w:ascii=&quot;Cambria Math&quot; w:h-ansi=&quot;Cambria&quot;/&gt;&lt;wx:font wx:val=&quot;Cambria Math&quot;/&gt;&lt;w:i/&gt;&lt;w:color w:val=&quot;000000&quot;/&gt;&lt;w:sz w:val=&quot;20&quot;/&gt;&lt;w:sz-cs w:val=&quot;20&quot;/&gt;&lt;w:lang w:val=&quot;EN-US&quot; w:fareast=&quot;EN-US&quot;/&gt;&lt;/w:rPr&gt;&lt;/m:ctrlPr&gt;&lt;/m:sSubPr&gt;&lt;m:e&gt;&lt;m:r&gt;&lt;w:rPr&gt;&lt;w:rFonts w:ascii=&quot;Cambria Math&quot; w:h-ansi=&quot;Cambria Math&quot;/&gt;&lt;wx:font wx:val=&quot;Cambria Math&quot;/&gt;&lt;w:i/&gt;&lt;w:color w:val=&quot;000000&quot;/&gt;&lt;w:sz w:val=&quot;20&quot;/&gt;&lt;w:sz-cs w:val=&quot;20&quot;/&gt;&lt;w:lang w:val=&quot;EN-US&quot; w:fareast=&quot;EN-US&quot;/&gt;&lt;/w:rPr&gt;&lt;m:t&gt;Assets&lt;/m:t&gt;&lt;/m:r&gt;&lt;/m:e&gt;&lt;m:sub&gt;&lt;m:r&gt;&lt;w:rPr&gt;&lt;w:rFonts w:ascii=&quot;Cambria Math&quot; w:h-ansi=&quot;Cambria&quot;/&gt;&lt;wx:font wx:val=&quot;Cambria&quot;/&gt;&lt;w:i/&gt;&lt;w:color w:val=&quot;000000&quot;/&gt;&lt;w:sz w:val=&quot;20&quot;/&gt;&lt;w:sz-cs w:val=&quot;20&quot;/&gt;&lt;w:lang w:val=&quot;EN-US&quot; w:fareast=&quot;EN-US&quot;/&gt;&lt;/w:rPr&gt;&lt;m:t&gt;-&lt;/m:t&gt;&lt;/m:r&gt;&lt;m:r&gt;&lt;w:rPr&gt;&lt;w:rFonts w:ascii=&quot;Cambria Math&quot; w:h-ansi=&quot;Cambria&quot;/&gt;&lt;wx:font wx:val=&quot;Cambria Math&quot;/&gt;&lt;w:i/&gt;&lt;w:color w:val=&quot;000000&quot;/&gt;&lt;w:sz w:val=&quot;20&quot;/&gt;&lt;w:sz-cs w:val=&quot;20&quot;/&gt;&lt;w:lang w:val=&quot;EN-US&quot; w:fareast=&quot;EN-US&quot;/&gt;&lt;/w:rPr&gt;&lt;m:t&gt;1&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41" o:title="" chromakey="white"/>
          </v:shape>
        </w:pict>
      </w:r>
      <w:r w:rsidRPr="006E06F2">
        <w:rPr>
          <w:rFonts w:ascii="Cambria" w:hAnsi="Cambria"/>
          <w:color w:val="000000"/>
          <w:sz w:val="20"/>
          <w:szCs w:val="20"/>
          <w:lang w:val="en-US" w:eastAsia="en-US"/>
        </w:rPr>
        <w:instrText xml:space="preserve"> </w:instrText>
      </w:r>
      <w:r w:rsidRPr="006E06F2">
        <w:rPr>
          <w:rFonts w:ascii="Cambria" w:hAnsi="Cambria"/>
          <w:color w:val="000000"/>
          <w:sz w:val="20"/>
          <w:szCs w:val="20"/>
          <w:lang w:val="en-US" w:eastAsia="en-US"/>
        </w:rPr>
        <w:fldChar w:fldCharType="separate"/>
      </w:r>
      <w:r w:rsidRPr="006E06F2">
        <w:pict>
          <v:shape id="_x0000_i1090" type="#_x0000_t75" style="width:39.75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3D73&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F53D73&quot;&gt;&lt;m:oMathPara&gt;&lt;m:oMath&gt;&lt;m:sSub&gt;&lt;m:sSubPr&gt;&lt;m:ctrlPr&gt;&lt;w:rPr&gt;&lt;w:rFonts w:ascii=&quot;Cambria Math&quot; w:h-ansi=&quot;Cambria&quot;/&gt;&lt;wx:font wx:val=&quot;Cambria Math&quot;/&gt;&lt;w:i/&gt;&lt;w:color w:val=&quot;000000&quot;/&gt;&lt;w:sz w:val=&quot;20&quot;/&gt;&lt;w:sz-cs w:val=&quot;20&quot;/&gt;&lt;w:lang w:val=&quot;EN-US&quot; w:fareast=&quot;EN-US&quot;/&gt;&lt;/w:rPr&gt;&lt;/m:ctrlPr&gt;&lt;/m:sSubPr&gt;&lt;m:e&gt;&lt;m:r&gt;&lt;w:rPr&gt;&lt;w:rFonts w:ascii=&quot;Cambria Math&quot; w:h-ansi=&quot;Cambria Math&quot;/&gt;&lt;wx:font wx:val=&quot;Cambria Math&quot;/&gt;&lt;w:i/&gt;&lt;w:color w:val=&quot;000000&quot;/&gt;&lt;w:sz w:val=&quot;20&quot;/&gt;&lt;w:sz-cs w:val=&quot;20&quot;/&gt;&lt;w:lang w:val=&quot;EN-US&quot; w:fareast=&quot;EN-US&quot;/&gt;&lt;/w:rPr&gt;&lt;m:t&gt;Assets&lt;/m:t&gt;&lt;/m:r&gt;&lt;/m:e&gt;&lt;m:sub&gt;&lt;m:r&gt;&lt;w:rPr&gt;&lt;w:rFonts w:ascii=&quot;Cambria Math&quot; w:h-ansi=&quot;Cambria&quot;/&gt;&lt;wx:font wx:val=&quot;Cambria&quot;/&gt;&lt;w:i/&gt;&lt;w:color w:val=&quot;000000&quot;/&gt;&lt;w:sz w:val=&quot;20&quot;/&gt;&lt;w:sz-cs w:val=&quot;20&quot;/&gt;&lt;w:lang w:val=&quot;EN-US&quot; w:fareast=&quot;EN-US&quot;/&gt;&lt;/w:rPr&gt;&lt;m:t&gt;-&lt;/m:t&gt;&lt;/m:r&gt;&lt;m:r&gt;&lt;w:rPr&gt;&lt;w:rFonts w:ascii=&quot;Cambria Math&quot; w:h-ansi=&quot;Cambria&quot;/&gt;&lt;wx:font wx:val=&quot;Cambria Math&quot;/&gt;&lt;w:i/&gt;&lt;w:color w:val=&quot;000000&quot;/&gt;&lt;w:sz w:val=&quot;20&quot;/&gt;&lt;w:sz-cs w:val=&quot;20&quot;/&gt;&lt;w:lang w:val=&quot;EN-US&quot; w:fareast=&quot;EN-US&quot;/&gt;&lt;/w:rPr&gt;&lt;m:t&gt;1&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41" o:title="" chromakey="white"/>
          </v:shape>
        </w:pict>
      </w:r>
      <w:r w:rsidRPr="006E06F2">
        <w:rPr>
          <w:rFonts w:ascii="Cambria" w:hAnsi="Cambria"/>
          <w:color w:val="000000"/>
          <w:sz w:val="20"/>
          <w:szCs w:val="20"/>
          <w:lang w:val="en-US" w:eastAsia="en-US"/>
        </w:rPr>
        <w:fldChar w:fldCharType="end"/>
      </w:r>
      <w:r w:rsidRPr="00744863">
        <w:rPr>
          <w:rFonts w:ascii="Cambria" w:hAnsi="Cambria"/>
          <w:color w:val="000000"/>
          <w:sz w:val="20"/>
          <w:szCs w:val="20"/>
          <w:lang w:val="en-US" w:eastAsia="en-US"/>
        </w:rPr>
        <w:t xml:space="preserve"> stands for Total Accruals divided by one year lagged assets (to control for firm size), NDA stands for Non-Discretionary Accruals and DA for Discretionary Accruals.</w:t>
      </w:r>
      <w:r>
        <w:rPr>
          <w:rFonts w:ascii="Cambria" w:hAnsi="Cambria"/>
          <w:color w:val="000000"/>
          <w:sz w:val="20"/>
          <w:szCs w:val="20"/>
          <w:lang w:val="en-US" w:eastAsia="en-US"/>
        </w:rPr>
        <w:t xml:space="preserve"> Both variables are scaled by lagged total assets.</w:t>
      </w:r>
      <w:r w:rsidRPr="00744863">
        <w:rPr>
          <w:rFonts w:ascii="Cambria" w:hAnsi="Cambria"/>
          <w:color w:val="000000"/>
          <w:sz w:val="20"/>
          <w:szCs w:val="20"/>
          <w:lang w:val="en-US" w:eastAsia="en-US"/>
        </w:rPr>
        <w:t xml:space="preserve"> </w:t>
      </w:r>
      <w:r>
        <w:rPr>
          <w:rFonts w:ascii="Cambria" w:hAnsi="Cambria"/>
          <w:color w:val="000000"/>
          <w:sz w:val="20"/>
          <w:szCs w:val="20"/>
          <w:lang w:val="en-US" w:eastAsia="en-US"/>
        </w:rPr>
        <w:t xml:space="preserve"> </w:t>
      </w:r>
      <w:r w:rsidRPr="00744863">
        <w:rPr>
          <w:rFonts w:ascii="Cambria" w:hAnsi="Cambria"/>
          <w:color w:val="000000"/>
          <w:sz w:val="20"/>
          <w:szCs w:val="20"/>
          <w:lang w:val="en-US" w:eastAsia="en-US"/>
        </w:rPr>
        <w:t xml:space="preserve">The p-value is determined for the estimation of DA. </w:t>
      </w:r>
      <w:r>
        <w:rPr>
          <w:rFonts w:ascii="Cambria" w:hAnsi="Cambria"/>
          <w:color w:val="000000"/>
          <w:sz w:val="20"/>
          <w:szCs w:val="20"/>
          <w:lang w:val="en-US" w:eastAsia="en-US"/>
        </w:rPr>
        <w:t>N=482</w:t>
      </w:r>
    </w:p>
    <w:p w:rsidR="00334F38" w:rsidRDefault="00334F38" w:rsidP="00324FF5">
      <w:pPr>
        <w:autoSpaceDE w:val="0"/>
        <w:autoSpaceDN w:val="0"/>
        <w:adjustRightInd w:val="0"/>
        <w:spacing w:line="360" w:lineRule="auto"/>
        <w:jc w:val="both"/>
        <w:rPr>
          <w:lang w:val="en-US"/>
        </w:rPr>
      </w:pPr>
    </w:p>
    <w:tbl>
      <w:tblPr>
        <w:tblW w:w="6498" w:type="dxa"/>
        <w:tblLook w:val="00A0"/>
      </w:tblPr>
      <w:tblGrid>
        <w:gridCol w:w="1194"/>
        <w:gridCol w:w="960"/>
        <w:gridCol w:w="960"/>
        <w:gridCol w:w="960"/>
        <w:gridCol w:w="960"/>
        <w:gridCol w:w="1464"/>
      </w:tblGrid>
      <w:tr w:rsidR="00334F38" w:rsidRPr="00744863" w:rsidTr="006E06F2">
        <w:trPr>
          <w:trHeight w:val="300"/>
        </w:trPr>
        <w:tc>
          <w:tcPr>
            <w:tcW w:w="1194" w:type="dxa"/>
            <w:tcBorders>
              <w:right w:val="single" w:sz="6" w:space="0" w:color="808080"/>
            </w:tcBorders>
            <w:noWrap/>
          </w:tcPr>
          <w:p w:rsidR="00334F38" w:rsidRPr="006E06F2" w:rsidRDefault="00334F38" w:rsidP="00744863">
            <w:pPr>
              <w:rPr>
                <w:rFonts w:ascii="Cambria" w:hAnsi="Cambria"/>
                <w:b/>
                <w:bCs/>
                <w:color w:val="000000"/>
                <w:sz w:val="20"/>
                <w:szCs w:val="20"/>
                <w:lang w:val="en-US" w:eastAsia="en-US"/>
              </w:rPr>
            </w:pPr>
            <w:r w:rsidRPr="006E06F2">
              <w:rPr>
                <w:rFonts w:ascii="Cambria" w:hAnsi="Cambria"/>
                <w:b/>
                <w:bCs/>
                <w:color w:val="000000"/>
                <w:sz w:val="20"/>
                <w:szCs w:val="20"/>
                <w:lang w:val="en-US" w:eastAsia="en-US"/>
              </w:rPr>
              <w:t>Variables</w:t>
            </w:r>
          </w:p>
        </w:tc>
        <w:tc>
          <w:tcPr>
            <w:tcW w:w="960" w:type="dxa"/>
            <w:noWrap/>
          </w:tcPr>
          <w:p w:rsidR="00334F38" w:rsidRPr="006E06F2" w:rsidRDefault="00334F38" w:rsidP="00744863">
            <w:pPr>
              <w:rPr>
                <w:rFonts w:ascii="Cambria" w:hAnsi="Cambria"/>
                <w:b/>
                <w:bCs/>
                <w:i/>
                <w:color w:val="000000"/>
                <w:sz w:val="22"/>
                <w:szCs w:val="22"/>
                <w:lang w:val="en-US" w:eastAsia="en-US"/>
              </w:rPr>
            </w:pPr>
            <w:r w:rsidRPr="006E06F2">
              <w:rPr>
                <w:rFonts w:ascii="Cambria" w:hAnsi="Cambria"/>
                <w:b/>
                <w:bCs/>
                <w:i/>
                <w:color w:val="000000"/>
                <w:sz w:val="22"/>
                <w:szCs w:val="22"/>
                <w:lang w:val="en-US" w:eastAsia="en-US"/>
              </w:rPr>
              <w:t>Mean</w:t>
            </w:r>
          </w:p>
        </w:tc>
        <w:tc>
          <w:tcPr>
            <w:tcW w:w="960" w:type="dxa"/>
            <w:noWrap/>
          </w:tcPr>
          <w:p w:rsidR="00334F38" w:rsidRPr="006E06F2" w:rsidRDefault="00334F38" w:rsidP="00744863">
            <w:pPr>
              <w:rPr>
                <w:rFonts w:ascii="Cambria" w:hAnsi="Cambria"/>
                <w:b/>
                <w:bCs/>
                <w:i/>
                <w:color w:val="000000"/>
                <w:sz w:val="22"/>
                <w:szCs w:val="22"/>
                <w:lang w:val="en-US" w:eastAsia="en-US"/>
              </w:rPr>
            </w:pPr>
            <w:r w:rsidRPr="006E06F2">
              <w:rPr>
                <w:rFonts w:ascii="Cambria" w:hAnsi="Cambria"/>
                <w:b/>
                <w:bCs/>
                <w:i/>
                <w:color w:val="000000"/>
                <w:sz w:val="22"/>
                <w:szCs w:val="22"/>
                <w:lang w:val="en-US" w:eastAsia="en-US"/>
              </w:rPr>
              <w:t>St Dev</w:t>
            </w:r>
          </w:p>
        </w:tc>
        <w:tc>
          <w:tcPr>
            <w:tcW w:w="960" w:type="dxa"/>
            <w:noWrap/>
          </w:tcPr>
          <w:p w:rsidR="00334F38" w:rsidRPr="006E06F2" w:rsidRDefault="00334F38" w:rsidP="00744863">
            <w:pPr>
              <w:rPr>
                <w:rFonts w:ascii="Cambria" w:hAnsi="Cambria"/>
                <w:b/>
                <w:bCs/>
                <w:i/>
                <w:color w:val="000000"/>
                <w:sz w:val="22"/>
                <w:szCs w:val="22"/>
                <w:lang w:val="en-US" w:eastAsia="en-US"/>
              </w:rPr>
            </w:pPr>
            <w:r w:rsidRPr="006E06F2">
              <w:rPr>
                <w:rFonts w:ascii="Cambria" w:hAnsi="Cambria"/>
                <w:b/>
                <w:bCs/>
                <w:i/>
                <w:color w:val="000000"/>
                <w:sz w:val="22"/>
                <w:szCs w:val="22"/>
                <w:lang w:val="en-US" w:eastAsia="en-US"/>
              </w:rPr>
              <w:t>Median</w:t>
            </w:r>
          </w:p>
        </w:tc>
        <w:tc>
          <w:tcPr>
            <w:tcW w:w="960" w:type="dxa"/>
            <w:noWrap/>
          </w:tcPr>
          <w:p w:rsidR="00334F38" w:rsidRPr="006E06F2" w:rsidRDefault="00334F38" w:rsidP="006E06F2">
            <w:pPr>
              <w:ind w:right="-402"/>
              <w:rPr>
                <w:rFonts w:ascii="Cambria" w:hAnsi="Cambria"/>
                <w:b/>
                <w:bCs/>
                <w:i/>
                <w:color w:val="000000"/>
                <w:sz w:val="22"/>
                <w:szCs w:val="22"/>
                <w:lang w:val="en-US" w:eastAsia="en-US"/>
              </w:rPr>
            </w:pPr>
            <w:r w:rsidRPr="006E06F2">
              <w:rPr>
                <w:rFonts w:ascii="Cambria" w:hAnsi="Cambria"/>
                <w:b/>
                <w:bCs/>
                <w:i/>
                <w:color w:val="000000"/>
                <w:sz w:val="22"/>
                <w:szCs w:val="22"/>
                <w:lang w:val="en-US" w:eastAsia="en-US"/>
              </w:rPr>
              <w:t xml:space="preserve">        Min                           </w:t>
            </w:r>
          </w:p>
        </w:tc>
        <w:tc>
          <w:tcPr>
            <w:tcW w:w="1464" w:type="dxa"/>
            <w:noWrap/>
          </w:tcPr>
          <w:p w:rsidR="00334F38" w:rsidRPr="006E06F2" w:rsidRDefault="00334F38" w:rsidP="00E0262D">
            <w:pPr>
              <w:rPr>
                <w:rFonts w:ascii="Cambria" w:hAnsi="Cambria"/>
                <w:b/>
                <w:bCs/>
                <w:i/>
                <w:color w:val="000000"/>
                <w:sz w:val="22"/>
                <w:szCs w:val="22"/>
                <w:lang w:val="en-US" w:eastAsia="en-US"/>
              </w:rPr>
            </w:pPr>
            <w:r w:rsidRPr="006E06F2">
              <w:rPr>
                <w:rFonts w:ascii="Cambria" w:hAnsi="Cambria"/>
                <w:b/>
                <w:bCs/>
                <w:i/>
                <w:color w:val="000000"/>
                <w:sz w:val="22"/>
                <w:szCs w:val="22"/>
                <w:lang w:val="en-US" w:eastAsia="en-US"/>
              </w:rPr>
              <w:t xml:space="preserve">                 Max</w:t>
            </w:r>
          </w:p>
        </w:tc>
      </w:tr>
      <w:tr w:rsidR="00334F38" w:rsidRPr="00744863" w:rsidTr="006E06F2">
        <w:trPr>
          <w:trHeight w:val="300"/>
        </w:trPr>
        <w:tc>
          <w:tcPr>
            <w:tcW w:w="1194" w:type="dxa"/>
            <w:tcBorders>
              <w:top w:val="single" w:sz="6" w:space="0" w:color="808080"/>
              <w:bottom w:val="single" w:sz="6" w:space="0" w:color="FFFFFF"/>
              <w:right w:val="single" w:sz="6" w:space="0" w:color="808080"/>
            </w:tcBorders>
            <w:noWrap/>
          </w:tcPr>
          <w:p w:rsidR="00334F38" w:rsidRPr="006E06F2" w:rsidRDefault="00334F38" w:rsidP="00744863">
            <w:pPr>
              <w:rPr>
                <w:rFonts w:ascii="Cambria" w:hAnsi="Cambria"/>
                <w:color w:val="000000"/>
                <w:sz w:val="22"/>
                <w:szCs w:val="22"/>
                <w:lang w:val="en-US" w:eastAsia="en-US"/>
              </w:rPr>
            </w:pPr>
            <w:r w:rsidRPr="006E06F2">
              <w:rPr>
                <w:rFonts w:ascii="Cambria" w:hAnsi="Cambria"/>
                <w:color w:val="000000"/>
                <w:sz w:val="22"/>
                <w:szCs w:val="22"/>
                <w:lang w:val="en-US" w:eastAsia="en-US"/>
              </w:rPr>
              <w:t>EBXI</w:t>
            </w:r>
          </w:p>
        </w:tc>
        <w:tc>
          <w:tcPr>
            <w:tcW w:w="960"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-32.47</w:t>
            </w:r>
          </w:p>
        </w:tc>
        <w:tc>
          <w:tcPr>
            <w:tcW w:w="960"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854.64</w:t>
            </w:r>
          </w:p>
        </w:tc>
        <w:tc>
          <w:tcPr>
            <w:tcW w:w="960"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4.129</w:t>
            </w:r>
          </w:p>
        </w:tc>
        <w:tc>
          <w:tcPr>
            <w:tcW w:w="960"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 xml:space="preserve">    -4244</w:t>
            </w:r>
          </w:p>
        </w:tc>
        <w:tc>
          <w:tcPr>
            <w:tcW w:w="1464"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5387</w:t>
            </w:r>
          </w:p>
        </w:tc>
      </w:tr>
      <w:tr w:rsidR="00334F38" w:rsidRPr="00744863" w:rsidTr="006E06F2">
        <w:trPr>
          <w:trHeight w:val="300"/>
        </w:trPr>
        <w:tc>
          <w:tcPr>
            <w:tcW w:w="1194" w:type="dxa"/>
            <w:tcBorders>
              <w:right w:val="single" w:sz="6" w:space="0" w:color="808080"/>
            </w:tcBorders>
            <w:noWrap/>
          </w:tcPr>
          <w:p w:rsidR="00334F38" w:rsidRPr="006E06F2" w:rsidRDefault="00334F38" w:rsidP="00744863">
            <w:pPr>
              <w:rPr>
                <w:rFonts w:ascii="Cambria" w:hAnsi="Cambria"/>
                <w:color w:val="000000"/>
                <w:sz w:val="22"/>
                <w:szCs w:val="22"/>
                <w:lang w:val="en-US" w:eastAsia="en-US"/>
              </w:rPr>
            </w:pPr>
            <w:r w:rsidRPr="006E06F2">
              <w:rPr>
                <w:rFonts w:ascii="Cambria" w:hAnsi="Cambria"/>
                <w:color w:val="000000"/>
                <w:sz w:val="22"/>
                <w:szCs w:val="22"/>
                <w:lang w:val="en-US" w:eastAsia="en-US"/>
              </w:rPr>
              <w:t>CFO</w:t>
            </w:r>
          </w:p>
        </w:tc>
        <w:tc>
          <w:tcPr>
            <w:tcW w:w="960" w:type="dxa"/>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436.88</w:t>
            </w:r>
          </w:p>
        </w:tc>
        <w:tc>
          <w:tcPr>
            <w:tcW w:w="960" w:type="dxa"/>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1192.99</w:t>
            </w:r>
          </w:p>
        </w:tc>
        <w:tc>
          <w:tcPr>
            <w:tcW w:w="960" w:type="dxa"/>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98.92</w:t>
            </w:r>
          </w:p>
        </w:tc>
        <w:tc>
          <w:tcPr>
            <w:tcW w:w="960" w:type="dxa"/>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-1274</w:t>
            </w:r>
          </w:p>
        </w:tc>
        <w:tc>
          <w:tcPr>
            <w:tcW w:w="1464" w:type="dxa"/>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9596</w:t>
            </w:r>
          </w:p>
        </w:tc>
      </w:tr>
      <w:tr w:rsidR="00334F38" w:rsidRPr="00744863" w:rsidTr="006E06F2">
        <w:trPr>
          <w:trHeight w:val="300"/>
        </w:trPr>
        <w:tc>
          <w:tcPr>
            <w:tcW w:w="1194" w:type="dxa"/>
            <w:tcBorders>
              <w:top w:val="single" w:sz="6" w:space="0" w:color="808080"/>
              <w:bottom w:val="single" w:sz="6" w:space="0" w:color="FFFFFF"/>
              <w:right w:val="single" w:sz="6" w:space="0" w:color="808080"/>
            </w:tcBorders>
            <w:noWrap/>
          </w:tcPr>
          <w:p w:rsidR="00334F38" w:rsidRPr="006E06F2" w:rsidRDefault="00334F38" w:rsidP="00744863">
            <w:pPr>
              <w:rPr>
                <w:rFonts w:ascii="Cambria" w:hAnsi="Cambria"/>
                <w:color w:val="000000"/>
                <w:sz w:val="22"/>
                <w:szCs w:val="22"/>
                <w:lang w:val="en-US" w:eastAsia="en-US"/>
              </w:rPr>
            </w:pPr>
            <w:r w:rsidRPr="006E06F2">
              <w:rPr>
                <w:rFonts w:ascii="Cambria" w:hAnsi="Cambria"/>
                <w:color w:val="000000"/>
                <w:sz w:val="22"/>
                <w:szCs w:val="22"/>
                <w:lang w:val="en-US" w:eastAsia="en-US"/>
              </w:rPr>
              <w:t>TA</w:t>
            </w:r>
          </w:p>
        </w:tc>
        <w:tc>
          <w:tcPr>
            <w:tcW w:w="960"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-469.35</w:t>
            </w:r>
          </w:p>
        </w:tc>
        <w:tc>
          <w:tcPr>
            <w:tcW w:w="960"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1414.21</w:t>
            </w:r>
          </w:p>
        </w:tc>
        <w:tc>
          <w:tcPr>
            <w:tcW w:w="960"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-111.47</w:t>
            </w:r>
          </w:p>
        </w:tc>
        <w:tc>
          <w:tcPr>
            <w:tcW w:w="960"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-12352</w:t>
            </w:r>
          </w:p>
        </w:tc>
        <w:tc>
          <w:tcPr>
            <w:tcW w:w="1464"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1462</w:t>
            </w:r>
          </w:p>
        </w:tc>
      </w:tr>
      <w:tr w:rsidR="00334F38" w:rsidRPr="00744863" w:rsidTr="006E06F2">
        <w:trPr>
          <w:trHeight w:val="300"/>
        </w:trPr>
        <w:tc>
          <w:tcPr>
            <w:tcW w:w="1194" w:type="dxa"/>
            <w:tcBorders>
              <w:right w:val="single" w:sz="6" w:space="0" w:color="808080"/>
            </w:tcBorders>
            <w:noWrap/>
          </w:tcPr>
          <w:p w:rsidR="00334F38" w:rsidRPr="006E06F2" w:rsidRDefault="00334F38" w:rsidP="00744863">
            <w:pPr>
              <w:rPr>
                <w:rFonts w:ascii="Cambria" w:hAnsi="Cambria"/>
                <w:color w:val="000000"/>
                <w:sz w:val="22"/>
                <w:szCs w:val="22"/>
                <w:lang w:val="en-US" w:eastAsia="en-US"/>
              </w:rPr>
            </w:pPr>
            <w:r w:rsidRPr="006E06F2">
              <w:rPr>
                <w:rFonts w:ascii="Cambria" w:hAnsi="Cambria"/>
                <w:color w:val="000000"/>
                <w:sz w:val="22"/>
                <w:szCs w:val="22"/>
                <w:lang w:val="en-US" w:eastAsia="en-US"/>
              </w:rPr>
              <w:t>TA/Assets</w:t>
            </w:r>
          </w:p>
        </w:tc>
        <w:tc>
          <w:tcPr>
            <w:tcW w:w="960" w:type="dxa"/>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-0.113</w:t>
            </w:r>
          </w:p>
        </w:tc>
        <w:tc>
          <w:tcPr>
            <w:tcW w:w="960" w:type="dxa"/>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0.0999</w:t>
            </w:r>
          </w:p>
        </w:tc>
        <w:tc>
          <w:tcPr>
            <w:tcW w:w="960" w:type="dxa"/>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-0.085</w:t>
            </w:r>
          </w:p>
        </w:tc>
        <w:tc>
          <w:tcPr>
            <w:tcW w:w="960" w:type="dxa"/>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-0.469</w:t>
            </w:r>
          </w:p>
        </w:tc>
        <w:tc>
          <w:tcPr>
            <w:tcW w:w="1464" w:type="dxa"/>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0.161</w:t>
            </w:r>
          </w:p>
        </w:tc>
      </w:tr>
      <w:tr w:rsidR="00334F38" w:rsidRPr="00744863" w:rsidTr="006E06F2">
        <w:trPr>
          <w:trHeight w:val="300"/>
        </w:trPr>
        <w:tc>
          <w:tcPr>
            <w:tcW w:w="1194" w:type="dxa"/>
            <w:tcBorders>
              <w:top w:val="single" w:sz="6" w:space="0" w:color="808080"/>
              <w:bottom w:val="single" w:sz="6" w:space="0" w:color="FFFFFF"/>
              <w:right w:val="single" w:sz="6" w:space="0" w:color="808080"/>
            </w:tcBorders>
            <w:noWrap/>
          </w:tcPr>
          <w:p w:rsidR="00334F38" w:rsidRPr="006E06F2" w:rsidRDefault="00334F38" w:rsidP="00744863">
            <w:pPr>
              <w:rPr>
                <w:rFonts w:ascii="Cambria" w:hAnsi="Cambria"/>
                <w:color w:val="000000"/>
                <w:sz w:val="22"/>
                <w:szCs w:val="22"/>
                <w:lang w:val="en-US" w:eastAsia="en-US"/>
              </w:rPr>
            </w:pPr>
            <w:r w:rsidRPr="006E06F2">
              <w:rPr>
                <w:rFonts w:ascii="Cambria" w:hAnsi="Cambria"/>
                <w:color w:val="000000"/>
                <w:sz w:val="22"/>
                <w:szCs w:val="22"/>
                <w:lang w:val="en-US" w:eastAsia="en-US"/>
              </w:rPr>
              <w:t>NDA</w:t>
            </w:r>
          </w:p>
        </w:tc>
        <w:tc>
          <w:tcPr>
            <w:tcW w:w="960"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-0.072</w:t>
            </w:r>
          </w:p>
        </w:tc>
        <w:tc>
          <w:tcPr>
            <w:tcW w:w="960"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0.091</w:t>
            </w:r>
          </w:p>
        </w:tc>
        <w:tc>
          <w:tcPr>
            <w:tcW w:w="960"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-0.058</w:t>
            </w:r>
          </w:p>
        </w:tc>
        <w:tc>
          <w:tcPr>
            <w:tcW w:w="960"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-0.466</w:t>
            </w:r>
          </w:p>
        </w:tc>
        <w:tc>
          <w:tcPr>
            <w:tcW w:w="1464"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-0.458</w:t>
            </w:r>
          </w:p>
        </w:tc>
      </w:tr>
      <w:tr w:rsidR="00334F38" w:rsidRPr="00744863" w:rsidTr="006E06F2">
        <w:trPr>
          <w:trHeight w:val="300"/>
        </w:trPr>
        <w:tc>
          <w:tcPr>
            <w:tcW w:w="1194" w:type="dxa"/>
            <w:tcBorders>
              <w:right w:val="single" w:sz="6" w:space="0" w:color="808080"/>
            </w:tcBorders>
            <w:noWrap/>
          </w:tcPr>
          <w:p w:rsidR="00334F38" w:rsidRPr="006E06F2" w:rsidRDefault="00334F38" w:rsidP="00744863">
            <w:pPr>
              <w:rPr>
                <w:rFonts w:ascii="Cambria" w:hAnsi="Cambria"/>
                <w:color w:val="000000"/>
                <w:sz w:val="22"/>
                <w:szCs w:val="22"/>
                <w:lang w:val="en-US" w:eastAsia="en-US"/>
              </w:rPr>
            </w:pPr>
            <w:r w:rsidRPr="006E06F2">
              <w:rPr>
                <w:rFonts w:ascii="Cambria" w:hAnsi="Cambria"/>
                <w:color w:val="000000"/>
                <w:sz w:val="22"/>
                <w:szCs w:val="22"/>
                <w:lang w:val="en-US" w:eastAsia="en-US"/>
              </w:rPr>
              <w:t>DA</w:t>
            </w:r>
          </w:p>
        </w:tc>
        <w:tc>
          <w:tcPr>
            <w:tcW w:w="960" w:type="dxa"/>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-0.041</w:t>
            </w:r>
          </w:p>
        </w:tc>
        <w:tc>
          <w:tcPr>
            <w:tcW w:w="960" w:type="dxa"/>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0.1224</w:t>
            </w:r>
          </w:p>
        </w:tc>
        <w:tc>
          <w:tcPr>
            <w:tcW w:w="960" w:type="dxa"/>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-0.0311</w:t>
            </w:r>
          </w:p>
        </w:tc>
        <w:tc>
          <w:tcPr>
            <w:tcW w:w="960" w:type="dxa"/>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-0.458</w:t>
            </w:r>
          </w:p>
        </w:tc>
        <w:tc>
          <w:tcPr>
            <w:tcW w:w="1464" w:type="dxa"/>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-0.33</w:t>
            </w:r>
          </w:p>
        </w:tc>
      </w:tr>
      <w:tr w:rsidR="00334F38" w:rsidRPr="00744863" w:rsidTr="006E06F2">
        <w:trPr>
          <w:trHeight w:val="300"/>
        </w:trPr>
        <w:tc>
          <w:tcPr>
            <w:tcW w:w="1194" w:type="dxa"/>
            <w:tcBorders>
              <w:top w:val="single" w:sz="6" w:space="0" w:color="808080"/>
              <w:right w:val="single" w:sz="6" w:space="0" w:color="808080"/>
            </w:tcBorders>
            <w:noWrap/>
          </w:tcPr>
          <w:p w:rsidR="00334F38" w:rsidRPr="006E06F2" w:rsidRDefault="00334F38" w:rsidP="00744863">
            <w:pPr>
              <w:rPr>
                <w:rFonts w:ascii="Cambria" w:hAnsi="Cambria"/>
                <w:i/>
                <w:iCs/>
                <w:color w:val="000000"/>
                <w:sz w:val="22"/>
                <w:szCs w:val="22"/>
                <w:lang w:val="en-US" w:eastAsia="en-US"/>
              </w:rPr>
            </w:pPr>
            <w:r w:rsidRPr="006E06F2">
              <w:rPr>
                <w:rFonts w:ascii="Cambria" w:hAnsi="Cambria"/>
                <w:i/>
                <w:iCs/>
                <w:color w:val="000000"/>
                <w:sz w:val="22"/>
                <w:szCs w:val="22"/>
                <w:lang w:val="en-US" w:eastAsia="en-US"/>
              </w:rPr>
              <w:t>P Value</w:t>
            </w:r>
          </w:p>
        </w:tc>
        <w:tc>
          <w:tcPr>
            <w:tcW w:w="960" w:type="dxa"/>
            <w:tcBorders>
              <w:top w:val="single" w:sz="6" w:space="0" w:color="808080"/>
              <w:bottom w:val="single" w:sz="6" w:space="0" w:color="FFFFFF"/>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0.000</w:t>
            </w:r>
          </w:p>
        </w:tc>
        <w:tc>
          <w:tcPr>
            <w:tcW w:w="960" w:type="dxa"/>
            <w:tcBorders>
              <w:top w:val="single" w:sz="6" w:space="0" w:color="808080"/>
              <w:bottom w:val="single" w:sz="6" w:space="0" w:color="FFFFFF"/>
            </w:tcBorders>
            <w:noWrap/>
          </w:tcPr>
          <w:p w:rsidR="00334F38" w:rsidRPr="006E06F2" w:rsidRDefault="00334F38" w:rsidP="00744863">
            <w:pPr>
              <w:rPr>
                <w:rFonts w:ascii="Calibri" w:hAnsi="Calibri"/>
                <w:color w:val="000000"/>
                <w:sz w:val="22"/>
                <w:szCs w:val="22"/>
                <w:lang w:val="en-US" w:eastAsia="en-US"/>
              </w:rPr>
            </w:pPr>
          </w:p>
        </w:tc>
        <w:tc>
          <w:tcPr>
            <w:tcW w:w="960" w:type="dxa"/>
            <w:tcBorders>
              <w:top w:val="single" w:sz="6" w:space="0" w:color="808080"/>
              <w:bottom w:val="single" w:sz="6" w:space="0" w:color="FFFFFF"/>
            </w:tcBorders>
            <w:noWrap/>
          </w:tcPr>
          <w:p w:rsidR="00334F38" w:rsidRPr="006E06F2" w:rsidRDefault="00334F38" w:rsidP="00744863">
            <w:pPr>
              <w:rPr>
                <w:rFonts w:ascii="Calibri" w:hAnsi="Calibri"/>
                <w:color w:val="000000"/>
                <w:sz w:val="22"/>
                <w:szCs w:val="22"/>
                <w:lang w:val="en-US" w:eastAsia="en-US"/>
              </w:rPr>
            </w:pPr>
          </w:p>
        </w:tc>
        <w:tc>
          <w:tcPr>
            <w:tcW w:w="960" w:type="dxa"/>
            <w:tcBorders>
              <w:top w:val="single" w:sz="6" w:space="0" w:color="808080"/>
              <w:bottom w:val="single" w:sz="6" w:space="0" w:color="FFFFFF"/>
            </w:tcBorders>
            <w:noWrap/>
          </w:tcPr>
          <w:p w:rsidR="00334F38" w:rsidRPr="006E06F2" w:rsidRDefault="00334F38" w:rsidP="00744863">
            <w:pPr>
              <w:rPr>
                <w:rFonts w:ascii="Calibri" w:hAnsi="Calibri"/>
                <w:color w:val="000000"/>
                <w:sz w:val="22"/>
                <w:szCs w:val="22"/>
                <w:lang w:val="en-US" w:eastAsia="en-US"/>
              </w:rPr>
            </w:pPr>
          </w:p>
        </w:tc>
        <w:tc>
          <w:tcPr>
            <w:tcW w:w="1464" w:type="dxa"/>
            <w:tcBorders>
              <w:top w:val="single" w:sz="6" w:space="0" w:color="808080"/>
              <w:bottom w:val="single" w:sz="6" w:space="0" w:color="FFFFFF"/>
            </w:tcBorders>
            <w:noWrap/>
          </w:tcPr>
          <w:p w:rsidR="00334F38" w:rsidRPr="006E06F2" w:rsidRDefault="00334F38" w:rsidP="00744863">
            <w:pPr>
              <w:rPr>
                <w:rFonts w:ascii="Calibri" w:hAnsi="Calibri"/>
                <w:color w:val="000000"/>
                <w:sz w:val="22"/>
                <w:szCs w:val="22"/>
                <w:lang w:val="en-US" w:eastAsia="en-US"/>
              </w:rPr>
            </w:pPr>
          </w:p>
        </w:tc>
      </w:tr>
    </w:tbl>
    <w:p w:rsidR="00334F38" w:rsidRPr="00E0262D" w:rsidRDefault="00334F38" w:rsidP="00324FF5">
      <w:pPr>
        <w:autoSpaceDE w:val="0"/>
        <w:autoSpaceDN w:val="0"/>
        <w:adjustRightInd w:val="0"/>
        <w:spacing w:line="360" w:lineRule="auto"/>
        <w:jc w:val="both"/>
        <w:rPr>
          <w:rFonts w:ascii="Cambria" w:hAnsi="Cambria"/>
          <w:sz w:val="20"/>
          <w:szCs w:val="20"/>
          <w:lang w:val="en-US"/>
        </w:rPr>
      </w:pPr>
      <w:r>
        <w:rPr>
          <w:rFonts w:ascii="Cambria" w:hAnsi="Cambria"/>
          <w:b/>
          <w:sz w:val="20"/>
          <w:szCs w:val="20"/>
          <w:lang w:val="en-US"/>
        </w:rPr>
        <w:t>Table 5</w:t>
      </w:r>
      <w:r w:rsidRPr="00E0262D">
        <w:rPr>
          <w:rFonts w:ascii="Cambria" w:hAnsi="Cambria"/>
          <w:b/>
          <w:sz w:val="20"/>
          <w:szCs w:val="20"/>
          <w:lang w:val="en-US"/>
        </w:rPr>
        <w:t>:</w:t>
      </w:r>
      <w:r>
        <w:rPr>
          <w:rFonts w:ascii="Cambria" w:hAnsi="Cambria"/>
          <w:sz w:val="20"/>
          <w:szCs w:val="20"/>
          <w:lang w:val="en-US"/>
        </w:rPr>
        <w:t xml:space="preserve"> </w:t>
      </w:r>
      <w:r w:rsidRPr="00D87E5C">
        <w:rPr>
          <w:rFonts w:ascii="Cambria" w:hAnsi="Cambria"/>
          <w:i/>
          <w:sz w:val="20"/>
          <w:szCs w:val="20"/>
          <w:lang w:val="en-US"/>
        </w:rPr>
        <w:t>Accrual measurements for original sample</w:t>
      </w:r>
      <w:r>
        <w:rPr>
          <w:rFonts w:ascii="Cambria" w:hAnsi="Cambria"/>
          <w:sz w:val="20"/>
          <w:szCs w:val="20"/>
          <w:lang w:val="en-US"/>
        </w:rPr>
        <w:t xml:space="preserve">. </w:t>
      </w:r>
      <w:r w:rsidRPr="00744863">
        <w:rPr>
          <w:rFonts w:ascii="Cambria" w:hAnsi="Cambria"/>
          <w:sz w:val="20"/>
          <w:szCs w:val="20"/>
          <w:lang w:val="en-US"/>
        </w:rPr>
        <w:t xml:space="preserve">Where EBXI stands for Income Before Extraordinary Expenses and Discontinued Operations, CFO stands for Cash Flow from Operations, TA stands for Total Accruals, </w:t>
      </w:r>
      <w:r w:rsidRPr="008D4069">
        <w:rPr>
          <w:rFonts w:ascii="Cambria" w:hAnsi="Cambria"/>
          <w:color w:val="000000"/>
          <w:sz w:val="20"/>
          <w:szCs w:val="20"/>
          <w:lang w:val="en-US" w:eastAsia="en-US"/>
        </w:rPr>
        <w:t>TA/</w:t>
      </w:r>
      <w:r w:rsidRPr="006E06F2">
        <w:rPr>
          <w:rFonts w:ascii="Cambria" w:hAnsi="Cambria"/>
          <w:color w:val="000000"/>
          <w:sz w:val="20"/>
          <w:szCs w:val="20"/>
          <w:lang w:val="en-US" w:eastAsia="en-US"/>
        </w:rPr>
        <w:fldChar w:fldCharType="begin"/>
      </w:r>
      <w:r w:rsidRPr="006E06F2">
        <w:rPr>
          <w:rFonts w:ascii="Cambria" w:hAnsi="Cambria"/>
          <w:color w:val="000000"/>
          <w:sz w:val="20"/>
          <w:szCs w:val="20"/>
          <w:lang w:val="en-US" w:eastAsia="en-US"/>
        </w:rPr>
        <w:instrText xml:space="preserve"> QUOTE </w:instrText>
      </w:r>
      <w:r w:rsidRPr="006E06F2">
        <w:pict>
          <v:shape id="_x0000_i1091" type="#_x0000_t75" style="width:39.75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A36&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A02A36&quot;&gt;&lt;m:oMathPara&gt;&lt;m:oMath&gt;&lt;m:sSub&gt;&lt;m:sSubPr&gt;&lt;m:ctrlPr&gt;&lt;w:rPr&gt;&lt;w:rFonts w:ascii=&quot;Cambria Math&quot; w:h-ansi=&quot;Cambria&quot;/&gt;&lt;wx:font wx:val=&quot;Cambria Math&quot;/&gt;&lt;w:i/&gt;&lt;w:color w:val=&quot;000000&quot;/&gt;&lt;w:sz w:val=&quot;20&quot;/&gt;&lt;w:sz-cs w:val=&quot;20&quot;/&gt;&lt;w:lang w:val=&quot;EN-US&quot; w:fareast=&quot;EN-US&quot;/&gt;&lt;/w:rPr&gt;&lt;/m:ctrlPr&gt;&lt;/m:sSubPr&gt;&lt;m:e&gt;&lt;m:r&gt;&lt;w:rPr&gt;&lt;w:rFonts w:ascii=&quot;Cambria Math&quot; w:h-ansi=&quot;Cambria Math&quot;/&gt;&lt;wx:font wx:val=&quot;Cambria Math&quot;/&gt;&lt;w:i/&gt;&lt;w:color w:val=&quot;000000&quot;/&gt;&lt;w:sz w:val=&quot;20&quot;/&gt;&lt;w:sz-cs w:val=&quot;20&quot;/&gt;&lt;w:lang w:val=&quot;EN-US&quot; w:fareast=&quot;EN-US&quot;/&gt;&lt;/w:rPr&gt;&lt;m:t&gt;Assets&lt;/m:t&gt;&lt;/m:r&gt;&lt;/m:e&gt;&lt;m:sub&gt;&lt;m:r&gt;&lt;w:rPr&gt;&lt;w:rFonts w:ascii=&quot;Cambria Math&quot; w:h-ansi=&quot;Cambria&quot;/&gt;&lt;wx:font wx:val=&quot;Cambria&quot;/&gt;&lt;w:i/&gt;&lt;w:color w:val=&quot;000000&quot;/&gt;&lt;w:sz w:val=&quot;20&quot;/&gt;&lt;w:sz-cs w:val=&quot;20&quot;/&gt;&lt;w:lang w:val=&quot;EN-US&quot; w:fareast=&quot;EN-US&quot;/&gt;&lt;/w:rPr&gt;&lt;m:t&gt;-&lt;/m:t&gt;&lt;/m:r&gt;&lt;m:r&gt;&lt;w:rPr&gt;&lt;w:rFonts w:ascii=&quot;Cambria Math&quot; w:h-ansi=&quot;Cambria&quot;/&gt;&lt;wx:font wx:val=&quot;Cambria Math&quot;/&gt;&lt;w:i/&gt;&lt;w:color w:val=&quot;000000&quot;/&gt;&lt;w:sz w:val=&quot;20&quot;/&gt;&lt;w:sz-cs w:val=&quot;20&quot;/&gt;&lt;w:lang w:val=&quot;EN-US&quot; w:fareast=&quot;EN-US&quot;/&gt;&lt;/w:rPr&gt;&lt;m:t&gt;1&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41" o:title="" chromakey="white"/>
          </v:shape>
        </w:pict>
      </w:r>
      <w:r w:rsidRPr="006E06F2">
        <w:rPr>
          <w:rFonts w:ascii="Cambria" w:hAnsi="Cambria"/>
          <w:color w:val="000000"/>
          <w:sz w:val="20"/>
          <w:szCs w:val="20"/>
          <w:lang w:val="en-US" w:eastAsia="en-US"/>
        </w:rPr>
        <w:instrText xml:space="preserve"> </w:instrText>
      </w:r>
      <w:r w:rsidRPr="006E06F2">
        <w:rPr>
          <w:rFonts w:ascii="Cambria" w:hAnsi="Cambria"/>
          <w:color w:val="000000"/>
          <w:sz w:val="20"/>
          <w:szCs w:val="20"/>
          <w:lang w:val="en-US" w:eastAsia="en-US"/>
        </w:rPr>
        <w:fldChar w:fldCharType="separate"/>
      </w:r>
      <w:r w:rsidRPr="006E06F2">
        <w:pict>
          <v:shape id="_x0000_i1092" type="#_x0000_t75" style="width:39.75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A36&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A02A36&quot;&gt;&lt;m:oMathPara&gt;&lt;m:oMath&gt;&lt;m:sSub&gt;&lt;m:sSubPr&gt;&lt;m:ctrlPr&gt;&lt;w:rPr&gt;&lt;w:rFonts w:ascii=&quot;Cambria Math&quot; w:h-ansi=&quot;Cambria&quot;/&gt;&lt;wx:font wx:val=&quot;Cambria Math&quot;/&gt;&lt;w:i/&gt;&lt;w:color w:val=&quot;000000&quot;/&gt;&lt;w:sz w:val=&quot;20&quot;/&gt;&lt;w:sz-cs w:val=&quot;20&quot;/&gt;&lt;w:lang w:val=&quot;EN-US&quot; w:fareast=&quot;EN-US&quot;/&gt;&lt;/w:rPr&gt;&lt;/m:ctrlPr&gt;&lt;/m:sSubPr&gt;&lt;m:e&gt;&lt;m:r&gt;&lt;w:rPr&gt;&lt;w:rFonts w:ascii=&quot;Cambria Math&quot; w:h-ansi=&quot;Cambria Math&quot;/&gt;&lt;wx:font wx:val=&quot;Cambria Math&quot;/&gt;&lt;w:i/&gt;&lt;w:color w:val=&quot;000000&quot;/&gt;&lt;w:sz w:val=&quot;20&quot;/&gt;&lt;w:sz-cs w:val=&quot;20&quot;/&gt;&lt;w:lang w:val=&quot;EN-US&quot; w:fareast=&quot;EN-US&quot;/&gt;&lt;/w:rPr&gt;&lt;m:t&gt;Assets&lt;/m:t&gt;&lt;/m:r&gt;&lt;/m:e&gt;&lt;m:sub&gt;&lt;m:r&gt;&lt;w:rPr&gt;&lt;w:rFonts w:ascii=&quot;Cambria Math&quot; w:h-ansi=&quot;Cambria&quot;/&gt;&lt;wx:font wx:val=&quot;Cambria&quot;/&gt;&lt;w:i/&gt;&lt;w:color w:val=&quot;000000&quot;/&gt;&lt;w:sz w:val=&quot;20&quot;/&gt;&lt;w:sz-cs w:val=&quot;20&quot;/&gt;&lt;w:lang w:val=&quot;EN-US&quot; w:fareast=&quot;EN-US&quot;/&gt;&lt;/w:rPr&gt;&lt;m:t&gt;-&lt;/m:t&gt;&lt;/m:r&gt;&lt;m:r&gt;&lt;w:rPr&gt;&lt;w:rFonts w:ascii=&quot;Cambria Math&quot; w:h-ansi=&quot;Cambria&quot;/&gt;&lt;wx:font wx:val=&quot;Cambria Math&quot;/&gt;&lt;w:i/&gt;&lt;w:color w:val=&quot;000000&quot;/&gt;&lt;w:sz w:val=&quot;20&quot;/&gt;&lt;w:sz-cs w:val=&quot;20&quot;/&gt;&lt;w:lang w:val=&quot;EN-US&quot; w:fareast=&quot;EN-US&quot;/&gt;&lt;/w:rPr&gt;&lt;m:t&gt;1&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41" o:title="" chromakey="white"/>
          </v:shape>
        </w:pict>
      </w:r>
      <w:r w:rsidRPr="006E06F2">
        <w:rPr>
          <w:rFonts w:ascii="Cambria" w:hAnsi="Cambria"/>
          <w:color w:val="000000"/>
          <w:sz w:val="20"/>
          <w:szCs w:val="20"/>
          <w:lang w:val="en-US" w:eastAsia="en-US"/>
        </w:rPr>
        <w:fldChar w:fldCharType="end"/>
      </w:r>
      <w:r w:rsidRPr="00744863">
        <w:rPr>
          <w:rFonts w:ascii="Cambria" w:hAnsi="Cambria"/>
          <w:color w:val="000000"/>
          <w:sz w:val="20"/>
          <w:szCs w:val="20"/>
          <w:lang w:val="en-US" w:eastAsia="en-US"/>
        </w:rPr>
        <w:t xml:space="preserve"> stands for Total Accruals divided by one year lagged assets (to control for firm size), NDA stands for Non-Discretionary Accruals and DA for Discretionary Accruals.</w:t>
      </w:r>
      <w:r>
        <w:rPr>
          <w:rFonts w:ascii="Cambria" w:hAnsi="Cambria"/>
          <w:color w:val="000000"/>
          <w:sz w:val="20"/>
          <w:szCs w:val="20"/>
          <w:lang w:val="en-US" w:eastAsia="en-US"/>
        </w:rPr>
        <w:t xml:space="preserve"> Both variables are scaled by lagged total assets.</w:t>
      </w:r>
      <w:r w:rsidRPr="00744863">
        <w:rPr>
          <w:rFonts w:ascii="Cambria" w:hAnsi="Cambria"/>
          <w:color w:val="000000"/>
          <w:sz w:val="20"/>
          <w:szCs w:val="20"/>
          <w:lang w:val="en-US" w:eastAsia="en-US"/>
        </w:rPr>
        <w:t xml:space="preserve"> </w:t>
      </w:r>
      <w:r>
        <w:rPr>
          <w:rFonts w:ascii="Cambria" w:hAnsi="Cambria"/>
          <w:color w:val="000000"/>
          <w:sz w:val="20"/>
          <w:szCs w:val="20"/>
          <w:lang w:val="en-US" w:eastAsia="en-US"/>
        </w:rPr>
        <w:t xml:space="preserve"> </w:t>
      </w:r>
      <w:r w:rsidRPr="00744863">
        <w:rPr>
          <w:rFonts w:ascii="Cambria" w:hAnsi="Cambria"/>
          <w:color w:val="000000"/>
          <w:sz w:val="20"/>
          <w:szCs w:val="20"/>
          <w:lang w:val="en-US" w:eastAsia="en-US"/>
        </w:rPr>
        <w:t>The p-value is determined for the estimation of DA.</w:t>
      </w:r>
      <w:r>
        <w:rPr>
          <w:rFonts w:ascii="Cambria" w:hAnsi="Cambria"/>
          <w:color w:val="000000"/>
          <w:sz w:val="20"/>
          <w:szCs w:val="20"/>
          <w:lang w:val="en-US" w:eastAsia="en-US"/>
        </w:rPr>
        <w:t xml:space="preserve"> N=194</w:t>
      </w:r>
    </w:p>
    <w:p w:rsidR="00334F38" w:rsidRDefault="00334F38" w:rsidP="00324FF5">
      <w:pPr>
        <w:autoSpaceDE w:val="0"/>
        <w:autoSpaceDN w:val="0"/>
        <w:adjustRightInd w:val="0"/>
        <w:spacing w:line="360" w:lineRule="auto"/>
        <w:jc w:val="both"/>
        <w:rPr>
          <w:lang w:val="en-US"/>
        </w:rPr>
      </w:pPr>
    </w:p>
    <w:p w:rsidR="00334F38" w:rsidRDefault="00334F38" w:rsidP="004267EA">
      <w:pPr>
        <w:autoSpaceDE w:val="0"/>
        <w:autoSpaceDN w:val="0"/>
        <w:adjustRightInd w:val="0"/>
        <w:spacing w:line="360" w:lineRule="auto"/>
        <w:jc w:val="both"/>
        <w:rPr>
          <w:lang w:val="en-US"/>
        </w:rPr>
      </w:pPr>
      <w:r>
        <w:rPr>
          <w:lang w:val="en-US"/>
        </w:rPr>
        <w:t>Table 4 &amp; 5 show total accruals as the difference between income before extraordinary expenses and discontinued operations and cash flow from operations (direct method)</w:t>
      </w:r>
      <w:r>
        <w:rPr>
          <w:rStyle w:val="FootnoteReference"/>
          <w:lang w:val="en-US"/>
        </w:rPr>
        <w:footnoteReference w:id="27"/>
      </w:r>
      <w:r>
        <w:rPr>
          <w:lang w:val="en-US"/>
        </w:rPr>
        <w:t xml:space="preserve">. You’ll notice that the matched control sample (Table 4) exhibits negative total accruals and non-discretionary accruals. The average total accruals of these 482 observations are about -10.7% of lagged total assets, while the non-discretionary accruals average out to -8.6% of lagged total assets. Consistent with prior research the negative nature of these variables is largely due to depreciation. That leaves us with a discretionary accrual value of circa -2.1% of lagged total assets. This does not necessarily have to entail the presence of earnings management. Since present day accrual models estimate discretionary accruals with a slight inconsistency due to their low explanatory power and the presence of heteroskedasticity (page 36) the decreasing tendency of managed earnings is most likely related to financial distress during the financial crisis.  Table 5 also exhibits negative total accruals and non-discretionary accruals. The original sample of 194 non-routine CEO turnovers experiences a mean total accrual of -11.3% of lagged total assets, while the non-discretionary accruals average out to about -7.2% of non-discretionary accruals. This of course leaves a lot of space for the discretionary accruals (which is a proxy for earnings management). This value averages out to -4.1% of lagged total assets. This proves to be significant at the 1% level. I thereby accept the first hypothesis </w:t>
      </w:r>
      <w:r w:rsidRPr="00F45647">
        <w:rPr>
          <w:lang w:val="en-US"/>
        </w:rPr>
        <w:t xml:space="preserve">where </w:t>
      </w:r>
      <w:r>
        <w:rPr>
          <w:lang w:val="en-US"/>
        </w:rPr>
        <w:t xml:space="preserve">in </w:t>
      </w:r>
      <w:r w:rsidRPr="00F45647">
        <w:rPr>
          <w:lang w:val="en-US"/>
        </w:rPr>
        <w:t>the original Firms sample of 2008</w:t>
      </w:r>
      <w:r>
        <w:rPr>
          <w:lang w:val="en-US"/>
        </w:rPr>
        <w:t xml:space="preserve"> </w:t>
      </w:r>
      <w:r w:rsidRPr="00F45647">
        <w:rPr>
          <w:lang w:val="en-US"/>
        </w:rPr>
        <w:t xml:space="preserve">the level of negative discretionary accruals </w:t>
      </w:r>
      <w:r>
        <w:rPr>
          <w:lang w:val="en-US"/>
        </w:rPr>
        <w:t xml:space="preserve">increases </w:t>
      </w:r>
      <w:r w:rsidRPr="00F45647">
        <w:rPr>
          <w:lang w:val="en-US"/>
        </w:rPr>
        <w:t>in the year of change reducing firm earnings</w:t>
      </w:r>
      <w:r w:rsidRPr="003E7C8B">
        <w:rPr>
          <w:i/>
          <w:lang w:val="en-US"/>
        </w:rPr>
        <w:t>.</w:t>
      </w:r>
      <w:r>
        <w:rPr>
          <w:lang w:val="en-US"/>
        </w:rPr>
        <w:t xml:space="preserve"> However, no significant conclusions of earnings management can be made until this sample is corrected for firm performance. Information concerning whether the discretionary accruals for the original sample still prove to be significant after these are corrected for firm performance will be handled in the next subsection.</w:t>
      </w:r>
    </w:p>
    <w:p w:rsidR="00334F38" w:rsidRDefault="00334F38" w:rsidP="00324FF5">
      <w:pPr>
        <w:autoSpaceDE w:val="0"/>
        <w:autoSpaceDN w:val="0"/>
        <w:adjustRightInd w:val="0"/>
        <w:spacing w:line="360" w:lineRule="auto"/>
        <w:jc w:val="both"/>
        <w:rPr>
          <w:lang w:val="en-US"/>
        </w:rPr>
      </w:pPr>
    </w:p>
    <w:p w:rsidR="00334F38" w:rsidRPr="008A2B3E" w:rsidRDefault="00334F38" w:rsidP="00324FF5">
      <w:pPr>
        <w:autoSpaceDE w:val="0"/>
        <w:autoSpaceDN w:val="0"/>
        <w:adjustRightInd w:val="0"/>
        <w:spacing w:line="360" w:lineRule="auto"/>
        <w:jc w:val="both"/>
        <w:rPr>
          <w:i/>
          <w:lang w:val="en-US"/>
        </w:rPr>
      </w:pPr>
      <w:r w:rsidRPr="008A2B3E">
        <w:rPr>
          <w:i/>
          <w:lang w:val="en-US"/>
        </w:rPr>
        <w:t>6.2.2 Correcting for firm performance</w:t>
      </w:r>
      <w:r>
        <w:rPr>
          <w:i/>
          <w:lang w:val="en-US"/>
        </w:rPr>
        <w:fldChar w:fldCharType="begin"/>
      </w:r>
      <w:r w:rsidRPr="00436804">
        <w:rPr>
          <w:lang w:val="en-US"/>
        </w:rPr>
        <w:instrText>tc "</w:instrText>
      </w:r>
      <w:bookmarkStart w:id="86" w:name="_Toc258079471"/>
      <w:r w:rsidRPr="00B74842">
        <w:rPr>
          <w:i/>
          <w:lang w:val="en-US"/>
        </w:rPr>
        <w:instrText>6.2.2 Correcting for firm performance</w:instrText>
      </w:r>
      <w:bookmarkEnd w:id="86"/>
      <w:r w:rsidRPr="00436804">
        <w:rPr>
          <w:lang w:val="en-US"/>
        </w:rPr>
        <w:instrText>" \f C \l 3</w:instrText>
      </w:r>
      <w:r>
        <w:rPr>
          <w:i/>
          <w:lang w:val="en-US"/>
        </w:rPr>
        <w:fldChar w:fldCharType="end"/>
      </w:r>
    </w:p>
    <w:p w:rsidR="00334F38" w:rsidRDefault="00334F38" w:rsidP="00324FF5">
      <w:pPr>
        <w:autoSpaceDE w:val="0"/>
        <w:autoSpaceDN w:val="0"/>
        <w:adjustRightInd w:val="0"/>
        <w:spacing w:line="360" w:lineRule="auto"/>
        <w:jc w:val="both"/>
        <w:rPr>
          <w:lang w:val="en-US"/>
        </w:rPr>
      </w:pPr>
      <w:r>
        <w:rPr>
          <w:lang w:val="en-US"/>
        </w:rPr>
        <w:t>The following graph shows the discretionary accrual tendencies across the thirteen observed industries. The discretionary accruals pertaining to the original sample (containing non-routine CEO turnovers) is represented in the graph by the acronym DA O, while the discretionary accruals of the matched control sample uses DA C as its acronym.</w:t>
      </w:r>
    </w:p>
    <w:p w:rsidR="00334F38" w:rsidRDefault="00334F38" w:rsidP="00E02EA1">
      <w:pPr>
        <w:autoSpaceDE w:val="0"/>
        <w:autoSpaceDN w:val="0"/>
        <w:adjustRightInd w:val="0"/>
        <w:spacing w:line="360" w:lineRule="auto"/>
        <w:jc w:val="both"/>
        <w:rPr>
          <w:b/>
          <w:sz w:val="28"/>
          <w:szCs w:val="28"/>
          <w:lang w:val="en-US"/>
        </w:rPr>
      </w:pPr>
      <w:r w:rsidRPr="006E06F2">
        <w:rPr>
          <w:b/>
          <w:noProof/>
          <w:sz w:val="28"/>
          <w:szCs w:val="28"/>
          <w:lang w:val="en-US" w:eastAsia="en-US"/>
        </w:rPr>
        <w:pict>
          <v:shape id="Chart 1" o:spid="_x0000_i1093" type="#_x0000_t75" style="width:441.75pt;height:317.25pt;visibility:visible" o:gfxdata="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">
            <v:imagedata r:id="rId42" o:title="" cropbottom="-41f"/>
            <o:lock v:ext="edit" aspectratio="f"/>
          </v:shape>
        </w:pict>
      </w:r>
    </w:p>
    <w:p w:rsidR="00334F38" w:rsidRPr="00324FF5" w:rsidRDefault="00334F38" w:rsidP="00324FF5">
      <w:pPr>
        <w:autoSpaceDE w:val="0"/>
        <w:autoSpaceDN w:val="0"/>
        <w:adjustRightInd w:val="0"/>
        <w:spacing w:line="360" w:lineRule="auto"/>
        <w:jc w:val="both"/>
        <w:rPr>
          <w:lang w:val="en-US"/>
        </w:rPr>
      </w:pPr>
    </w:p>
    <w:p w:rsidR="00334F38" w:rsidRDefault="00334F38" w:rsidP="00324FF5">
      <w:pPr>
        <w:autoSpaceDE w:val="0"/>
        <w:autoSpaceDN w:val="0"/>
        <w:adjustRightInd w:val="0"/>
        <w:spacing w:line="360" w:lineRule="auto"/>
        <w:jc w:val="both"/>
        <w:rPr>
          <w:lang w:val="en-US"/>
        </w:rPr>
      </w:pPr>
      <w:r>
        <w:rPr>
          <w:lang w:val="en-US"/>
        </w:rPr>
        <w:t>The graph shows how the general tendency of discretionary accruals is more severe in the original sample than its matched counterpart. In fact, out of the 8 industries included in the original sample 7 of them managed to exceed the level of discretionary accruals that is achieved by the matched control sample. As mentioned before, to test whether the discretionary accruals are of statistical significant value we need to correct for firm performance by subtracting the DA of the control sample from that of the original sample.  Which leaves us with the performance matched DA (PDA).</w:t>
      </w:r>
    </w:p>
    <w:p w:rsidR="00334F38" w:rsidRDefault="00334F38" w:rsidP="00324FF5">
      <w:pPr>
        <w:autoSpaceDE w:val="0"/>
        <w:autoSpaceDN w:val="0"/>
        <w:adjustRightInd w:val="0"/>
        <w:spacing w:line="360" w:lineRule="auto"/>
        <w:jc w:val="both"/>
        <w:rPr>
          <w:lang w:val="en-US"/>
        </w:rPr>
      </w:pPr>
    </w:p>
    <w:tbl>
      <w:tblPr>
        <w:tblW w:w="7900" w:type="dxa"/>
        <w:tblBorders>
          <w:top w:val="single" w:sz="12" w:space="0" w:color="000000"/>
          <w:bottom w:val="single" w:sz="12" w:space="0" w:color="000000"/>
        </w:tblBorders>
        <w:tblLook w:val="00A0"/>
      </w:tblPr>
      <w:tblGrid>
        <w:gridCol w:w="1160"/>
        <w:gridCol w:w="960"/>
        <w:gridCol w:w="1900"/>
        <w:gridCol w:w="960"/>
        <w:gridCol w:w="960"/>
        <w:gridCol w:w="960"/>
        <w:gridCol w:w="1000"/>
      </w:tblGrid>
      <w:tr w:rsidR="00334F38" w:rsidRPr="004E587C" w:rsidTr="006E06F2">
        <w:trPr>
          <w:trHeight w:val="300"/>
        </w:trPr>
        <w:tc>
          <w:tcPr>
            <w:tcW w:w="1160" w:type="dxa"/>
            <w:tcBorders>
              <w:top w:val="single" w:sz="12" w:space="0" w:color="000000"/>
              <w:bottom w:val="single" w:sz="6" w:space="0" w:color="000000"/>
              <w:right w:val="single" w:sz="6" w:space="0" w:color="000000"/>
            </w:tcBorders>
            <w:noWrap/>
          </w:tcPr>
          <w:p w:rsidR="00334F38" w:rsidRPr="006E06F2" w:rsidRDefault="00334F38" w:rsidP="004E587C">
            <w:pPr>
              <w:rPr>
                <w:rFonts w:ascii="Calibri" w:hAnsi="Calibri"/>
                <w:b/>
                <w:bCs/>
                <w:i/>
                <w:iCs/>
                <w:color w:val="FFFFFF"/>
                <w:sz w:val="22"/>
                <w:szCs w:val="22"/>
                <w:lang w:val="en-US" w:eastAsia="en-US"/>
              </w:rPr>
            </w:pPr>
          </w:p>
        </w:tc>
        <w:tc>
          <w:tcPr>
            <w:tcW w:w="960" w:type="dxa"/>
            <w:tcBorders>
              <w:top w:val="single" w:sz="12" w:space="0" w:color="000000"/>
              <w:bottom w:val="single" w:sz="6" w:space="0" w:color="000000"/>
            </w:tcBorders>
            <w:noWrap/>
          </w:tcPr>
          <w:p w:rsidR="00334F38" w:rsidRPr="006E06F2" w:rsidRDefault="00334F38" w:rsidP="004E587C">
            <w:pPr>
              <w:rPr>
                <w:rFonts w:ascii="Cambria" w:hAnsi="Cambria"/>
                <w:b/>
                <w:bCs/>
                <w:i/>
                <w:iCs/>
                <w:sz w:val="22"/>
                <w:szCs w:val="22"/>
                <w:lang w:val="en-US" w:eastAsia="en-US"/>
              </w:rPr>
            </w:pPr>
            <w:r w:rsidRPr="006E06F2">
              <w:rPr>
                <w:rFonts w:ascii="Cambria" w:hAnsi="Cambria"/>
                <w:b/>
                <w:bCs/>
                <w:i/>
                <w:iCs/>
                <w:sz w:val="22"/>
                <w:szCs w:val="22"/>
                <w:lang w:val="en-US" w:eastAsia="en-US"/>
              </w:rPr>
              <w:t xml:space="preserve">           N</w:t>
            </w:r>
          </w:p>
        </w:tc>
        <w:tc>
          <w:tcPr>
            <w:tcW w:w="1900" w:type="dxa"/>
            <w:tcBorders>
              <w:top w:val="single" w:sz="12" w:space="0" w:color="000000"/>
              <w:bottom w:val="single" w:sz="6" w:space="0" w:color="000000"/>
            </w:tcBorders>
            <w:noWrap/>
          </w:tcPr>
          <w:p w:rsidR="00334F38" w:rsidRPr="006E06F2" w:rsidRDefault="00334F38" w:rsidP="004E587C">
            <w:pPr>
              <w:rPr>
                <w:rFonts w:ascii="Cambria" w:hAnsi="Cambria"/>
                <w:b/>
                <w:bCs/>
                <w:i/>
                <w:iCs/>
                <w:sz w:val="22"/>
                <w:szCs w:val="22"/>
                <w:lang w:val="en-US" w:eastAsia="en-US"/>
              </w:rPr>
            </w:pPr>
            <w:r w:rsidRPr="006E06F2">
              <w:rPr>
                <w:rFonts w:ascii="Cambria" w:hAnsi="Cambria"/>
                <w:b/>
                <w:bCs/>
                <w:i/>
                <w:iCs/>
                <w:sz w:val="22"/>
                <w:szCs w:val="22"/>
                <w:lang w:val="en-US" w:eastAsia="en-US"/>
              </w:rPr>
              <w:t xml:space="preserve"> Mean Difference</w:t>
            </w:r>
          </w:p>
        </w:tc>
        <w:tc>
          <w:tcPr>
            <w:tcW w:w="960" w:type="dxa"/>
            <w:tcBorders>
              <w:top w:val="single" w:sz="12" w:space="0" w:color="000000"/>
              <w:bottom w:val="single" w:sz="6" w:space="0" w:color="000000"/>
            </w:tcBorders>
            <w:noWrap/>
          </w:tcPr>
          <w:p w:rsidR="00334F38" w:rsidRPr="006E06F2" w:rsidRDefault="00334F38" w:rsidP="004E587C">
            <w:pPr>
              <w:rPr>
                <w:rFonts w:ascii="Cambria" w:hAnsi="Cambria"/>
                <w:b/>
                <w:bCs/>
                <w:i/>
                <w:iCs/>
                <w:sz w:val="22"/>
                <w:szCs w:val="22"/>
                <w:lang w:val="en-US" w:eastAsia="en-US"/>
              </w:rPr>
            </w:pPr>
            <w:r w:rsidRPr="006E06F2">
              <w:rPr>
                <w:rFonts w:ascii="Cambria" w:hAnsi="Cambria"/>
                <w:b/>
                <w:bCs/>
                <w:i/>
                <w:iCs/>
                <w:sz w:val="22"/>
                <w:szCs w:val="22"/>
                <w:lang w:val="en-US" w:eastAsia="en-US"/>
              </w:rPr>
              <w:t xml:space="preserve">  Lower</w:t>
            </w:r>
          </w:p>
        </w:tc>
        <w:tc>
          <w:tcPr>
            <w:tcW w:w="960" w:type="dxa"/>
            <w:tcBorders>
              <w:top w:val="single" w:sz="12" w:space="0" w:color="000000"/>
              <w:bottom w:val="single" w:sz="6" w:space="0" w:color="000000"/>
            </w:tcBorders>
            <w:noWrap/>
          </w:tcPr>
          <w:p w:rsidR="00334F38" w:rsidRPr="006E06F2" w:rsidRDefault="00334F38" w:rsidP="004E587C">
            <w:pPr>
              <w:rPr>
                <w:rFonts w:ascii="Cambria" w:hAnsi="Cambria"/>
                <w:b/>
                <w:bCs/>
                <w:i/>
                <w:iCs/>
                <w:sz w:val="22"/>
                <w:szCs w:val="22"/>
                <w:lang w:val="en-US" w:eastAsia="en-US"/>
              </w:rPr>
            </w:pPr>
            <w:r w:rsidRPr="006E06F2">
              <w:rPr>
                <w:rFonts w:ascii="Cambria" w:hAnsi="Cambria"/>
                <w:b/>
                <w:bCs/>
                <w:i/>
                <w:iCs/>
                <w:sz w:val="22"/>
                <w:szCs w:val="22"/>
                <w:lang w:val="en-US" w:eastAsia="en-US"/>
              </w:rPr>
              <w:t xml:space="preserve">  Upper</w:t>
            </w:r>
          </w:p>
        </w:tc>
        <w:tc>
          <w:tcPr>
            <w:tcW w:w="960" w:type="dxa"/>
            <w:tcBorders>
              <w:top w:val="single" w:sz="12" w:space="0" w:color="000000"/>
              <w:bottom w:val="single" w:sz="6" w:space="0" w:color="000000"/>
            </w:tcBorders>
            <w:noWrap/>
          </w:tcPr>
          <w:p w:rsidR="00334F38" w:rsidRPr="006E06F2" w:rsidRDefault="00334F38" w:rsidP="004E587C">
            <w:pPr>
              <w:rPr>
                <w:rFonts w:ascii="Cambria" w:hAnsi="Cambria"/>
                <w:b/>
                <w:bCs/>
                <w:i/>
                <w:iCs/>
                <w:sz w:val="22"/>
                <w:szCs w:val="22"/>
                <w:lang w:val="en-US" w:eastAsia="en-US"/>
              </w:rPr>
            </w:pPr>
            <w:r w:rsidRPr="006E06F2">
              <w:rPr>
                <w:rFonts w:ascii="Cambria" w:hAnsi="Cambria"/>
                <w:b/>
                <w:bCs/>
                <w:i/>
                <w:iCs/>
                <w:sz w:val="22"/>
                <w:szCs w:val="22"/>
                <w:lang w:val="en-US" w:eastAsia="en-US"/>
              </w:rPr>
              <w:t xml:space="preserve">          t</w:t>
            </w:r>
          </w:p>
        </w:tc>
        <w:tc>
          <w:tcPr>
            <w:tcW w:w="1000" w:type="dxa"/>
            <w:tcBorders>
              <w:top w:val="single" w:sz="12" w:space="0" w:color="000000"/>
              <w:bottom w:val="single" w:sz="6" w:space="0" w:color="000000"/>
            </w:tcBorders>
            <w:noWrap/>
          </w:tcPr>
          <w:p w:rsidR="00334F38" w:rsidRPr="006E06F2" w:rsidRDefault="00334F38" w:rsidP="004E587C">
            <w:pPr>
              <w:rPr>
                <w:rFonts w:ascii="Cambria" w:hAnsi="Cambria"/>
                <w:b/>
                <w:bCs/>
                <w:i/>
                <w:iCs/>
                <w:sz w:val="22"/>
                <w:szCs w:val="22"/>
                <w:lang w:val="en-US" w:eastAsia="en-US"/>
              </w:rPr>
            </w:pPr>
            <w:r w:rsidRPr="006E06F2">
              <w:rPr>
                <w:rFonts w:ascii="Cambria" w:hAnsi="Cambria"/>
                <w:b/>
                <w:bCs/>
                <w:i/>
                <w:iCs/>
                <w:sz w:val="22"/>
                <w:szCs w:val="22"/>
                <w:lang w:val="en-US" w:eastAsia="en-US"/>
              </w:rPr>
              <w:t xml:space="preserve"> p value</w:t>
            </w:r>
          </w:p>
        </w:tc>
      </w:tr>
      <w:tr w:rsidR="00334F38" w:rsidRPr="004E587C" w:rsidTr="006E06F2">
        <w:trPr>
          <w:trHeight w:val="300"/>
        </w:trPr>
        <w:tc>
          <w:tcPr>
            <w:tcW w:w="1160" w:type="dxa"/>
            <w:tcBorders>
              <w:bottom w:val="single" w:sz="12" w:space="0" w:color="000000"/>
              <w:right w:val="single" w:sz="6" w:space="0" w:color="000000"/>
            </w:tcBorders>
            <w:noWrap/>
          </w:tcPr>
          <w:p w:rsidR="00334F38" w:rsidRPr="006E06F2" w:rsidRDefault="00334F38" w:rsidP="004E587C">
            <w:pPr>
              <w:rPr>
                <w:rFonts w:ascii="Cambria" w:hAnsi="Cambria"/>
                <w:color w:val="000000"/>
                <w:sz w:val="22"/>
                <w:szCs w:val="22"/>
                <w:lang w:val="en-US" w:eastAsia="en-US"/>
              </w:rPr>
            </w:pPr>
            <w:r w:rsidRPr="006E06F2">
              <w:rPr>
                <w:rFonts w:ascii="Cambria" w:hAnsi="Cambria"/>
                <w:color w:val="000000"/>
                <w:sz w:val="22"/>
                <w:szCs w:val="22"/>
                <w:lang w:val="en-US" w:eastAsia="en-US"/>
              </w:rPr>
              <w:t>PDA</w:t>
            </w:r>
          </w:p>
        </w:tc>
        <w:tc>
          <w:tcPr>
            <w:tcW w:w="960" w:type="dxa"/>
            <w:tcBorders>
              <w:bottom w:val="single" w:sz="12" w:space="0" w:color="000000"/>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194</w:t>
            </w:r>
          </w:p>
        </w:tc>
        <w:tc>
          <w:tcPr>
            <w:tcW w:w="1900" w:type="dxa"/>
            <w:tcBorders>
              <w:bottom w:val="single" w:sz="12" w:space="0" w:color="000000"/>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-0.0205</w:t>
            </w:r>
          </w:p>
        </w:tc>
        <w:tc>
          <w:tcPr>
            <w:tcW w:w="960" w:type="dxa"/>
            <w:tcBorders>
              <w:bottom w:val="single" w:sz="12" w:space="0" w:color="000000"/>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-0.0549</w:t>
            </w:r>
          </w:p>
        </w:tc>
        <w:tc>
          <w:tcPr>
            <w:tcW w:w="960" w:type="dxa"/>
            <w:tcBorders>
              <w:bottom w:val="single" w:sz="12" w:space="0" w:color="000000"/>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0.0113</w:t>
            </w:r>
          </w:p>
        </w:tc>
        <w:tc>
          <w:tcPr>
            <w:tcW w:w="960" w:type="dxa"/>
            <w:tcBorders>
              <w:bottom w:val="single" w:sz="12" w:space="0" w:color="000000"/>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-2.624</w:t>
            </w:r>
          </w:p>
        </w:tc>
        <w:tc>
          <w:tcPr>
            <w:tcW w:w="1000" w:type="dxa"/>
            <w:tcBorders>
              <w:bottom w:val="single" w:sz="12" w:space="0" w:color="000000"/>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0.034</w:t>
            </w:r>
          </w:p>
        </w:tc>
      </w:tr>
    </w:tbl>
    <w:p w:rsidR="00334F38" w:rsidRDefault="00334F38" w:rsidP="00324FF5">
      <w:pPr>
        <w:autoSpaceDE w:val="0"/>
        <w:autoSpaceDN w:val="0"/>
        <w:adjustRightInd w:val="0"/>
        <w:spacing w:line="360" w:lineRule="auto"/>
        <w:jc w:val="both"/>
        <w:rPr>
          <w:sz w:val="20"/>
          <w:szCs w:val="20"/>
          <w:lang w:val="en-US"/>
        </w:rPr>
      </w:pPr>
      <w:r w:rsidRPr="004E587C">
        <w:rPr>
          <w:b/>
          <w:sz w:val="20"/>
          <w:szCs w:val="20"/>
          <w:lang w:val="en-US"/>
        </w:rPr>
        <w:t xml:space="preserve">Table </w:t>
      </w:r>
      <w:r>
        <w:rPr>
          <w:b/>
          <w:sz w:val="20"/>
          <w:szCs w:val="20"/>
          <w:lang w:val="en-US"/>
        </w:rPr>
        <w:t>6</w:t>
      </w:r>
      <w:r w:rsidRPr="004E587C">
        <w:rPr>
          <w:sz w:val="20"/>
          <w:szCs w:val="20"/>
          <w:lang w:val="en-US"/>
        </w:rPr>
        <w:t xml:space="preserve">: </w:t>
      </w:r>
      <w:r>
        <w:rPr>
          <w:i/>
          <w:sz w:val="20"/>
          <w:szCs w:val="20"/>
          <w:lang w:val="en-US"/>
        </w:rPr>
        <w:t>T-test for</w:t>
      </w:r>
      <w:r w:rsidRPr="004E587C">
        <w:rPr>
          <w:i/>
          <w:sz w:val="20"/>
          <w:szCs w:val="20"/>
          <w:lang w:val="en-US"/>
        </w:rPr>
        <w:t xml:space="preserve"> the performance matched discretionary accruals</w:t>
      </w:r>
      <w:r>
        <w:rPr>
          <w:sz w:val="20"/>
          <w:szCs w:val="20"/>
          <w:lang w:val="en-US"/>
        </w:rPr>
        <w:t>.</w:t>
      </w:r>
    </w:p>
    <w:p w:rsidR="00334F38" w:rsidRDefault="00334F38" w:rsidP="00324FF5">
      <w:pPr>
        <w:autoSpaceDE w:val="0"/>
        <w:autoSpaceDN w:val="0"/>
        <w:adjustRightInd w:val="0"/>
        <w:spacing w:line="360" w:lineRule="auto"/>
        <w:jc w:val="both"/>
        <w:rPr>
          <w:sz w:val="20"/>
          <w:szCs w:val="20"/>
          <w:lang w:val="en-US"/>
        </w:rPr>
      </w:pPr>
    </w:p>
    <w:p w:rsidR="00334F38" w:rsidRDefault="00334F38" w:rsidP="00324FF5">
      <w:pPr>
        <w:autoSpaceDE w:val="0"/>
        <w:autoSpaceDN w:val="0"/>
        <w:adjustRightInd w:val="0"/>
        <w:spacing w:line="360" w:lineRule="auto"/>
        <w:jc w:val="both"/>
        <w:rPr>
          <w:lang w:val="en-US"/>
        </w:rPr>
      </w:pPr>
      <w:r>
        <w:rPr>
          <w:lang w:val="en-US"/>
        </w:rPr>
        <w:t>Table 6</w:t>
      </w:r>
      <w:r w:rsidRPr="000018E1">
        <w:rPr>
          <w:lang w:val="en-US"/>
        </w:rPr>
        <w:t xml:space="preserve"> shows that even when the discretionary accruals pertaining to the original sample are controlled for firm performance they still manage to exhibit </w:t>
      </w:r>
      <w:r>
        <w:rPr>
          <w:lang w:val="en-US"/>
        </w:rPr>
        <w:t>strong</w:t>
      </w:r>
      <w:r w:rsidRPr="000018E1">
        <w:rPr>
          <w:lang w:val="en-US"/>
        </w:rPr>
        <w:t xml:space="preserve"> signs </w:t>
      </w:r>
      <w:r>
        <w:rPr>
          <w:lang w:val="en-US"/>
        </w:rPr>
        <w:t>(</w:t>
      </w:r>
      <w:r w:rsidRPr="00E24644">
        <w:rPr>
          <w:i/>
          <w:lang w:val="en-US"/>
        </w:rPr>
        <w:t>p value: 0.0</w:t>
      </w:r>
      <w:r>
        <w:rPr>
          <w:i/>
          <w:lang w:val="en-US"/>
        </w:rPr>
        <w:t>34</w:t>
      </w:r>
      <w:r>
        <w:rPr>
          <w:lang w:val="en-US"/>
        </w:rPr>
        <w:t xml:space="preserve">) </w:t>
      </w:r>
      <w:r w:rsidRPr="000018E1">
        <w:rPr>
          <w:lang w:val="en-US"/>
        </w:rPr>
        <w:t>of decreasing earnings management</w:t>
      </w:r>
      <w:r>
        <w:rPr>
          <w:lang w:val="en-US"/>
        </w:rPr>
        <w:t xml:space="preserve"> with a significance value up to 5%.</w:t>
      </w:r>
      <w:r w:rsidRPr="000018E1">
        <w:rPr>
          <w:lang w:val="en-US"/>
        </w:rPr>
        <w:t xml:space="preserve"> </w:t>
      </w:r>
      <w:r>
        <w:rPr>
          <w:lang w:val="en-US"/>
        </w:rPr>
        <w:t xml:space="preserve">Amongst the industries this averages out to about -2.05% of lagged total assets, with the highest level of decreased earnings management reaching up to nearly -5.5% of lagged total assets. The relatively low t-value allows me to conclude that the PDA significantly differ from zero, thereby accepting </w:t>
      </w:r>
      <w:r w:rsidRPr="00F45647">
        <w:rPr>
          <w:i/>
          <w:lang w:val="en-US"/>
        </w:rPr>
        <w:t>H</w:t>
      </w:r>
      <w:r>
        <w:rPr>
          <w:i/>
          <w:lang w:val="en-US"/>
        </w:rPr>
        <w:t>1</w:t>
      </w:r>
      <w:r>
        <w:rPr>
          <w:lang w:val="en-US"/>
        </w:rPr>
        <w:t xml:space="preserve"> where a</w:t>
      </w:r>
      <w:r w:rsidRPr="00710083">
        <w:rPr>
          <w:lang w:val="en-US"/>
        </w:rPr>
        <w:t>fter controlling for firm performance the original Firms sample still contains signs of decreased earnings management during the 2008 crisis period.</w:t>
      </w:r>
      <w:r>
        <w:rPr>
          <w:lang w:val="en-US"/>
        </w:rPr>
        <w:t xml:space="preserve"> To try to put that into perspective I’ve measured the mean value of total assets for the original sample of 2007 (all variables in the regression were scaled by lagged total assets for 2008). This amounts to a mean value of circa US$5,385,499,000 for total assets in 2007. Considering the average percentage of discretionary accruals equals -2.05% of lagged total assets, it would mean the estimate of the level of performance matched decreasing earnings management could equal circa –US$118,481,000 with a standard deviation of US$78,868,000. This could amount to a material misrepresentation in company annual reports during times of crisis. </w:t>
      </w:r>
    </w:p>
    <w:p w:rsidR="00334F38" w:rsidRDefault="00334F38" w:rsidP="004267EA">
      <w:pPr>
        <w:autoSpaceDE w:val="0"/>
        <w:autoSpaceDN w:val="0"/>
        <w:adjustRightInd w:val="0"/>
        <w:spacing w:line="360" w:lineRule="auto"/>
        <w:rPr>
          <w:lang w:val="en-US"/>
        </w:rPr>
      </w:pPr>
    </w:p>
    <w:p w:rsidR="00334F38" w:rsidRDefault="00334F38" w:rsidP="004267EA">
      <w:pPr>
        <w:autoSpaceDE w:val="0"/>
        <w:autoSpaceDN w:val="0"/>
        <w:adjustRightInd w:val="0"/>
        <w:spacing w:line="360" w:lineRule="auto"/>
        <w:rPr>
          <w:i/>
          <w:lang w:val="en-US"/>
        </w:rPr>
      </w:pPr>
      <w:r w:rsidRPr="000A1526">
        <w:rPr>
          <w:i/>
          <w:lang w:val="en-US"/>
        </w:rPr>
        <w:t>6.2.3 Sensitivity Analysis</w:t>
      </w:r>
    </w:p>
    <w:p w:rsidR="00334F38" w:rsidRDefault="00334F38" w:rsidP="004267EA">
      <w:pPr>
        <w:autoSpaceDE w:val="0"/>
        <w:autoSpaceDN w:val="0"/>
        <w:adjustRightInd w:val="0"/>
        <w:spacing w:line="360" w:lineRule="auto"/>
        <w:rPr>
          <w:lang w:val="en-US"/>
        </w:rPr>
      </w:pPr>
      <w:r>
        <w:rPr>
          <w:lang w:val="en-US"/>
        </w:rPr>
        <w:t xml:space="preserve">Even though the modified Jones model exhibits more power than other existing accruals model in detecting earnings management, it has still managed to receive considerable criticism. Dechow et. al (1995) and Guay et. Al (1996) for example, comments on the imprecision of the Jones model in finding discretionary accruals. To lessen the measurement error problem of the Jones model I apply a new variable to the model as done in an article by Chan, Jegadeesh and Sougiannis (2004). In their paper they included a cash flow variable (CF-Jones) to the model to estimate between non-discretionary and discretionary accruals. The inclusion of this variable is motivated by Dechow (1994) where he shows evidence that changes in cash flows are largely and negatively related to accruals. This negative association takes place because generally accepted accounting principles allow executives to use accruals in order to modify the timing of cash flows, so that earnings can closely reflect the underlying performance of the company. To answer for the strong negative relation, the CF-Jones model includes the change in cash flows (where </w:t>
      </w:r>
      <w:r w:rsidRPr="006E06F2">
        <w:rPr>
          <w:lang w:val="en-US"/>
        </w:rPr>
        <w:fldChar w:fldCharType="begin"/>
      </w:r>
      <w:r w:rsidRPr="006E06F2">
        <w:rPr>
          <w:lang w:val="en-US"/>
        </w:rPr>
        <w:instrText xml:space="preserve"> QUOTE </w:instrText>
      </w:r>
      <w:r w:rsidRPr="006E06F2">
        <w:pict>
          <v:shape id="_x0000_i1094" type="#_x0000_t75" style="width:33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6F5B5C&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6F5B5C&quot;&gt;&lt;m:oMathPara&gt;&lt;m:oMath&gt;&lt;m:d&gt;&lt;m:dPr&gt;&lt;m:ctrlPr&gt;&lt;w:rPr&gt;&lt;w:rFonts w:ascii=&quot;Cambria Math&quot; w:h-ansi=&quot;Cambria Math&quot;/&gt;&lt;wx:font wx:val=&quot;Cambria Math&quot;/&gt;&lt;w:i/&gt;&lt;w:lang w:val=&quot;EN-US&quot;/&gt;&lt;/w:rPr&gt;&lt;/m:ctrlPr&gt;&lt;/m:dPr&gt;&lt;m:e&gt;&lt;m:r&gt;&lt;w:rPr&gt;&lt;w:rFonts w:ascii=&quot;Cambria Math&quot; w:h-ansi=&quot;Cambria Math&quot;/&gt;&lt;wx:font wx:val=&quot;Cambria Math&quot;/&gt;&lt;w:i/&gt;&lt;w:lang w:val=&quot;EN-US&quot;/&gt;&lt;/w:rPr&gt;&lt;m:t&gt;âˆ†&lt;/m:t&gt;&lt;/m:r&gt;&lt;/m:e&gt;&lt;/m:d&gt;&lt;m:r&gt;&lt;w:rPr&gt;&lt;w:rFonts w:ascii=&quot;Cambria Math&quot;/&gt;&lt;wx:font wx:val=&quot;Cambria Math&quot;/&gt;&lt;w:i/&gt;&lt;w:lang w:val=&quot;EN-US&quot;/&gt;&lt;/w:rPr&gt;&lt;m:t&gt;CF&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43" o:title="" chromakey="white"/>
          </v:shape>
        </w:pict>
      </w:r>
      <w:r w:rsidRPr="006E06F2">
        <w:rPr>
          <w:lang w:val="en-US"/>
        </w:rPr>
        <w:instrText xml:space="preserve"> </w:instrText>
      </w:r>
      <w:r w:rsidRPr="006E06F2">
        <w:rPr>
          <w:lang w:val="en-US"/>
        </w:rPr>
        <w:fldChar w:fldCharType="separate"/>
      </w:r>
      <w:r w:rsidRPr="006E06F2">
        <w:pict>
          <v:shape id="_x0000_i1095" type="#_x0000_t75" style="width:33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6F5B5C&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6F5B5C&quot;&gt;&lt;m:oMathPara&gt;&lt;m:oMath&gt;&lt;m:d&gt;&lt;m:dPr&gt;&lt;m:ctrlPr&gt;&lt;w:rPr&gt;&lt;w:rFonts w:ascii=&quot;Cambria Math&quot; w:h-ansi=&quot;Cambria Math&quot;/&gt;&lt;wx:font wx:val=&quot;Cambria Math&quot;/&gt;&lt;w:i/&gt;&lt;w:lang w:val=&quot;EN-US&quot;/&gt;&lt;/w:rPr&gt;&lt;/m:ctrlPr&gt;&lt;/m:dPr&gt;&lt;m:e&gt;&lt;m:r&gt;&lt;w:rPr&gt;&lt;w:rFonts w:ascii=&quot;Cambria Math&quot; w:h-ansi=&quot;Cambria Math&quot;/&gt;&lt;wx:font wx:val=&quot;Cambria Math&quot;/&gt;&lt;w:i/&gt;&lt;w:lang w:val=&quot;EN-US&quot;/&gt;&lt;/w:rPr&gt;&lt;m:t&gt;âˆ†&lt;/m:t&gt;&lt;/m:r&gt;&lt;/m:e&gt;&lt;/m:d&gt;&lt;m:r&gt;&lt;w:rPr&gt;&lt;w:rFonts w:ascii=&quot;Cambria Math&quot;/&gt;&lt;wx:font wx:val=&quot;Cambria Math&quot;/&gt;&lt;w:i/&gt;&lt;w:lang w:val=&quot;EN-US&quot;/&gt;&lt;/w:rPr&gt;&lt;m:t&gt;CF&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43" o:title="" chromakey="white"/>
          </v:shape>
        </w:pict>
      </w:r>
      <w:r w:rsidRPr="006E06F2">
        <w:rPr>
          <w:lang w:val="en-US"/>
        </w:rPr>
        <w:fldChar w:fldCharType="end"/>
      </w:r>
      <w:r>
        <w:rPr>
          <w:lang w:val="en-US"/>
        </w:rPr>
        <w:t xml:space="preserve"> is a proxy for the change in net cash flow from operating activities) as the third variable in equation 8. The mean estimates of the model are stipulated in table 7 where all of the eight industries exhibited a negative relation to accruals, significant to the 5% level. </w:t>
      </w:r>
    </w:p>
    <w:p w:rsidR="00334F38" w:rsidRDefault="00334F38" w:rsidP="004267EA">
      <w:pPr>
        <w:autoSpaceDE w:val="0"/>
        <w:autoSpaceDN w:val="0"/>
        <w:adjustRightInd w:val="0"/>
        <w:spacing w:line="360" w:lineRule="auto"/>
        <w:rPr>
          <w:lang w:val="en-US"/>
        </w:rPr>
      </w:pPr>
    </w:p>
    <w:p w:rsidR="00334F38" w:rsidRDefault="00334F38" w:rsidP="004267EA">
      <w:pPr>
        <w:autoSpaceDE w:val="0"/>
        <w:autoSpaceDN w:val="0"/>
        <w:adjustRightInd w:val="0"/>
        <w:spacing w:line="360" w:lineRule="auto"/>
        <w:rPr>
          <w:lang w:val="en-US"/>
        </w:rPr>
      </w:pPr>
      <w:r w:rsidRPr="006E06F2">
        <w:rPr>
          <w:lang w:val="en-US"/>
        </w:rPr>
        <w:fldChar w:fldCharType="begin"/>
      </w:r>
      <w:r w:rsidRPr="006E06F2">
        <w:rPr>
          <w:lang w:val="en-US"/>
        </w:rPr>
        <w:instrText xml:space="preserve"> QUOTE </w:instrText>
      </w:r>
      <w:r w:rsidRPr="006E06F2">
        <w:pict>
          <v:shape id="_x0000_i1096" type="#_x0000_t75" style="width:417.75pt;height:26.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1E0D&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B91E0D&quot;&gt;&lt;m:oMathPara&gt;&lt;m:oMath&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 TA&lt;/m:t&gt;&lt;/m:r&gt;&lt;/m:e&gt;&lt;m:sub&gt;&lt;m:r&gt;&lt;w:rPr&gt;&lt;w:rFonts w:ascii=&quot;Cambria Math&quot; w:h-ansi=&quot;Cambria Math&quot;/&gt;&lt;wx:font wx:val=&quot;Cambria Math&quot;/&gt;&lt;w:i/&gt;&lt;w:lang w:val=&quot;EN-US&quot;/&gt;&lt;/w:rPr&gt;&lt;m:t&gt;it&lt;/m:t&gt;&lt;/m:r&gt;&lt;/m:sub&gt;&lt;/m:sSub&gt;&lt;m:r&gt;&lt;w:rPr&gt;&lt;w:rFonts w:ascii=&quot;Cambria Math&quot;/&gt;&lt;wx:font wx:val=&quot;Cambria Math&quot;/&gt;&lt;w:i/&gt;&lt;w:lang w:val=&quot;EN-US&quot;/&gt;&lt;/w:rPr&gt;&lt;m:t&gt;=&lt;/m:t&gt;&lt;/m:r&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Î²&lt;/m:t&gt;&lt;/m:r&gt;&lt;/m:e&gt;&lt;m:sub&gt;&lt;m:r&gt;&lt;w:rPr&gt;&lt;w:rFonts w:ascii=&quot;Cambria Math&quot;/&gt;&lt;wx:font wx:val=&quot;Cambria Math&quot;/&gt;&lt;w:i/&gt;&lt;w:lang w:val=&quot;EN-US&quot;/&gt;&lt;/w:rPr&gt;&lt;m:t&gt;0&lt;/m:t&gt;&lt;/m:r&gt;&lt;/m:sub&gt;&lt;/m:sSub&gt;&lt;m:r&gt;&lt;w:rPr&gt;&lt;w:rFonts w:ascii=&quot;Cambria Math&quot;/&gt;&lt;wx:font wx:val=&quot;Cambria Math&quot;/&gt;&lt;w:i/&gt;&lt;w:lang w:val=&quot;EN-US&quot;/&gt;&lt;/w:rPr&gt;&lt;m:t&gt; &lt;/m:t&gt;&lt;/m:r&gt;&lt;m:d&gt;&lt;m:dPr&gt;&lt;m:ctrlPr&gt;&lt;w:rPr&gt;&lt;w:rFonts w:ascii=&quot;Cambria Math&quot; w:h-ansi=&quot;Cambria Math&quot;/&gt;&lt;wx:font wx:val=&quot;Cambria Math&quot;/&gt;&lt;w:i/&gt;&lt;w:lang w:val=&quot;EN-US&quot;/&gt;&lt;/w:rPr&gt;&lt;/m:ctrlPr&gt;&lt;/m:dPr&gt;&lt;m:e&gt;&lt;m:f&gt;&lt;m:fPr&gt;&lt;m:ctrlPr&gt;&lt;w:rPr&gt;&lt;w:rFonts w:ascii=&quot;Cambria Math&quot; w:h-ansi=&quot;Cambria Math&quot;/&gt;&lt;wx:font wx:val=&quot;Cambria Math&quot;/&gt;&lt;w:i/&gt;&lt;w:lang w:val=&quot;EN-US&quot;/&gt;&lt;/w:rPr&gt;&lt;/m:ctrlPr&gt;&lt;/m:fPr&gt;&lt;m:num&gt;&lt;m:r&gt;&lt;w:rPr&gt;&lt;w:rFonts w:ascii=&quot;Cambria Math&quot;/&gt;&lt;wx:font wx:val=&quot;Cambria Math&quot;/&gt;&lt;w:i/&gt;&lt;w:lang w:val=&quot;EN-US&quot;/&gt;&lt;/w:rPr&gt;&lt;m:t&gt;1&lt;/m:t&gt;&lt;/m:r&gt;&lt;/m:num&gt;&lt;m:den&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Assets&lt;/m:t&gt;&lt;/m:r&gt;&lt;/m:e&gt;&lt;m:sub&gt;&lt;m:r&gt;&lt;w:rPr&gt;&lt;w:rFonts w:ascii=&quot;Cambria Math&quot; w:h-ansi=&quot;Cambria Math&quot;/&gt;&lt;wx:font wx:val=&quot;Cambria Math&quot;/&gt;&lt;w:i/&gt;&lt;w:lang w:val=&quot;EN-US&quot;/&gt;&lt;/w:rPr&gt;&lt;m:t&gt;it&lt;/m:t&gt;&lt;/m:r&gt;&lt;m:r&gt;&lt;w:rPr&gt;&lt;w:rFonts w:ascii=&quot;Cambria Math&quot;/&gt;&lt;w:i/&gt;&lt;w:lang w:val=&quot;EN-US&quot;/&gt;&lt;/w:rPr&gt;&lt;m:t&gt;-&lt;/m:t&gt;&lt;/m:r&gt;&lt;m:r&gt;&lt;w:rPr&gt;&lt;w:rFonts w:ascii=&quot;Cambria Math&quot;/&gt;&lt;wx:font wx:val=&quot;Cambria Math&quot;/&gt;&lt;w:i/&gt;&lt;w:lang w:val=&quot;EN-US&quot;/&gt;&lt;/w:rPr&gt;&lt;m:t&gt;1&lt;/m:t&gt;&lt;/m:r&gt;&lt;/m:sub&gt;&lt;/m:sSub&gt;&lt;/m:den&gt;&lt;/m:f&gt;&lt;/m:e&gt;&lt;/m:d&gt;&lt;m:r&gt;&lt;w:rPr&gt;&lt;w:rFonts w:ascii=&quot;Cambria Math&quot;/&gt;&lt;wx:font wx:val=&quot;Cambria Math&quot;/&gt;&lt;w:i/&gt;&lt;w:lang w:val=&quot;EN-US&quot;/&gt;&lt;/w:rPr&gt;&lt;m:t&gt;+ &lt;/m:t&gt;&lt;/m:r&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Î²&lt;/m:t&gt;&lt;/m:r&gt;&lt;/m:e&gt;&lt;m:sub&gt;&lt;m:r&gt;&lt;w:rPr&gt;&lt;w:rFonts w:ascii=&quot;Cambria Math&quot;/&gt;&lt;wx:font wx:val=&quot;Cambria Math&quot;/&gt;&lt;w:i/&gt;&lt;w:lang w:val=&quot;EN-US&quot;/&gt;&lt;/w:rPr&gt;&lt;m:t&gt;1&lt;/m:t&gt;&lt;/m:r&gt;&lt;/m:sub&gt;&lt;/m:sSub&gt;&lt;m:r&gt;&lt;w:rPr&gt;&lt;w:rFonts w:ascii=&quot;Cambria Math&quot;/&gt;&lt;wx:font wx:val=&quot;Cambria Math&quot;/&gt;&lt;w:i/&gt;&lt;w:lang w:val=&quot;EN-US&quot;/&gt;&lt;/w:rPr&gt;&lt;m:t&gt; &lt;/m:t&gt;&lt;/m:r&gt;&lt;m:d&gt;&lt;m:dPr&gt;&lt;m:ctrlPr&gt;&lt;w:rPr&gt;&lt;w:rFonts w:ascii=&quot;Cambria Math&quot; w:h-ansi=&quot;Cambria Math&quot;/&gt;&lt;wx:font wx:val=&quot;Cambria Math&quot;/&gt;&lt;w:i/&gt;&lt;w:lang w:val=&quot;EN-US&quot;/&gt;&lt;/w:rPr&gt;&lt;/m:ctrlPr&gt;&lt;/m:dPr&gt;&lt;m:e&gt;&lt;m:sSub&gt;&lt;m:sSubPr&gt;&lt;m:ctrlPr&gt;&lt;w:rPr&gt;&lt;w:rFonts w:ascii=&quot;Cambria Math&quot; w:h-ansi=&quot;Cambria Math&quot;/&gt;&lt;wx:font wx:val=&quot;Cambria Math&quot;/&gt;&lt;w:i/&gt;&lt;w:lang w:val=&quot;EN-US&quot;/&gt;&lt;/w:rPr&gt;&lt;/m:ctrlPr&gt;&lt;/m:sSubPr&gt;&lt;m:e&gt;&lt;m:r&gt;&lt;w:rPr&gt;&lt;w:rFonts w:ascii=&quot;Cambria Math&quot;/&gt;&lt;w:i/&gt;&lt;w:lang w:val=&quot;EN-US&quot;/&gt;&lt;/w:rPr&gt;&lt;m:t&gt;âˆ†&lt;/m:t&gt;&lt;/m:r&gt;&lt;m:r&gt;&lt;w:rPr&gt;&lt;w:rFonts w:ascii=&quot;Cambria Math&quot;/&gt;&lt;wx:font wx:val=&quot;Cambria Math&quot;/&gt;&lt;w:i/&gt;&lt;w:lang w:val=&quot;EN-US&quot;/&gt;&lt;/w:rPr&gt;&lt;m:t&gt; &lt;/m:t&gt;&lt;/m:r&gt;&lt;m:r&gt;&lt;w:rPr&gt;&lt;w:rFonts w:ascii=&quot;Cambria Math&quot; w:h-ansi=&quot;Cambria Math&quot;/&gt;&lt;wx:font wx:val=&quot;Cambria Math&quot;/&gt;&lt;w:i/&gt;&lt;w:lang w:val=&quot;EN-US&quot;/&gt;&lt;/w:rPr&gt;&lt;m:t&gt;REV&lt;/m:t&gt;&lt;/m:r&gt;&lt;/m:e&gt;&lt;m:sub&gt;&lt;m:r&gt;&lt;w:rPr&gt;&lt;w:rFonts w:ascii=&quot;Cambria Math&quot; w:h-ansi=&quot;Cambria Math&quot;/&gt;&lt;wx:font wx:val=&quot;Cambria Math&quot;/&gt;&lt;w:i/&gt;&lt;w:lang w:val=&quot;EN-US&quot;/&gt;&lt;/w:rPr&gt;&lt;m:t&gt;it&lt;/m:t&gt;&lt;/m:r&gt;&lt;/m:sub&gt;&lt;/m:sSub&gt;&lt;m:r&gt;&lt;w:rPr&gt;&lt;w:rFonts w:ascii=&quot;Cambria Math&quot;/&gt;&lt;w:i/&gt;&lt;w:lang w:val=&quot;EN-US&quot;/&gt;&lt;/w:rPr&gt;&lt;m:t&gt;-&lt;/m:t&gt;&lt;/m:r&gt;&lt;m:sSub&gt;&lt;m:sSubPr&gt;&lt;m:ctrlPr&gt;&lt;w:rPr&gt;&lt;w:rFonts w:ascii=&quot;Cambria Math&quot; w:h-ansi=&quot;Cambria Math&quot;/&gt;&lt;wx:font wx:val=&quot;Cambria Math&quot;/&gt;&lt;w:i/&gt;&lt;w:lang w:val=&quot;EN-US&quot;/&gt;&lt;/w:rPr&gt;&lt;/m:ctrlPr&gt;&lt;/m:sSubPr&gt;&lt;m:e&gt;&lt;m:r&gt;&lt;w:rPr&gt;&lt;w:rFonts w:ascii=&quot;Cambria Math&quot;/&gt;&lt;w:i/&gt;&lt;w:lang w:val=&quot;EN-US&quot;/&gt;&lt;/w:rPr&gt;&lt;m:t&gt;âˆ†&lt;/m:t&gt;&lt;/m:r&gt;&lt;m:r&gt;&lt;w:rPr&gt;&lt;w:rFonts w:ascii=&quot;Cambria Math&quot; w:h-ansi=&quot;Cambria Math&quot;/&gt;&lt;wx:font wx:val=&quot;Cambria Math&quot;/&gt;&lt;w:i/&gt;&lt;w:lang w:val=&quot;EN-US&quot;/&gt;&lt;/w:rPr&gt;&lt;m:t&gt;REC&lt;/m:t&gt;&lt;/m:r&gt;&lt;/m:e&gt;&lt;m:sub&gt;&lt;m:r&gt;&lt;w:rPr&gt;&lt;w:rFonts w:ascii=&quot;Cambria Math&quot; w:h-ansi=&quot;Cambria Math&quot;/&gt;&lt;wx:font wx:val=&quot;Cambria Math&quot;/&gt;&lt;w:i/&gt;&lt;w:lang w:val=&quot;EN-US&quot;/&gt;&lt;/w:rPr&gt;&lt;m:t&gt;it&lt;/m:t&gt;&lt;/m:r&gt;&lt;/m:sub&gt;&lt;/m:sSub&gt;&lt;/m:e&gt;&lt;/m:d&gt;&lt;m:r&gt;&lt;w:rPr&gt;&lt;w:rFonts w:ascii=&quot;Cambria Math&quot;/&gt;&lt;wx:font wx:val=&quot;Cambria Math&quot;/&gt;&lt;w:i/&gt;&lt;w:lang w:val=&quot;EN-US&quot;/&gt;&lt;/w:rPr&gt;&lt;m:t&gt;+ &lt;/m:t&gt;&lt;/m:r&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Î²&lt;/m:t&gt;&lt;/m:r&gt;&lt;/m:e&gt;&lt;m:sub&gt;&lt;m:r&gt;&lt;w:rPr&gt;&lt;w:rFonts w:ascii=&quot;Cambria Math&quot; w:h-ansi=&quot;Cambria Math&quot;/&gt;&lt;wx:font wx:val=&quot;Cambria Math&quot;/&gt;&lt;w:i/&gt;&lt;w:lang w:val=&quot;EN-US&quot;/&gt;&lt;/w:rPr&gt;&lt;m:t&gt;2&lt;/m:t&gt;&lt;/m:r&gt;&lt;/m:sub&gt;&lt;/m:sSub&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PPE&lt;/m:t&gt;&lt;/m:r&gt;&lt;/m:e&gt;&lt;m:sub&gt;&lt;m:r&gt;&lt;w:rPr&gt;&lt;w:rFonts w:ascii=&quot;Cambria Math&quot; w:h-ansi=&quot;Cambria Math&quot;/&gt;&lt;wx:font wx:val=&quot;Cambria Math&quot;/&gt;&lt;w:i/&gt;&lt;w:lang w:val=&quot;EN-US&quot;/&gt;&lt;/w:rPr&gt;&lt;m:t&gt;it&lt;/m:t&gt;&lt;/m:r&gt;&lt;/m:sub&gt;&lt;/m:sSub&gt;&lt;m:r&gt;&lt;w:rPr&gt;&lt;w:rFonts w:ascii=&quot;Cambria Math&quot;/&gt;&lt;wx:font wx:val=&quot;Cambria Math&quot;/&gt;&lt;w:i/&gt;&lt;w:lang w:val=&quot;EN-US&quot;/&gt;&lt;/w:rPr&gt;&lt;m:t&gt;+ &lt;/m:t&gt;&lt;/m:r&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Î²&lt;/m:t&gt;&lt;/m:r&gt;&lt;/m:e&gt;&lt;m:sub&gt;&lt;m:r&gt;&lt;w:rPr&gt;&lt;w:rFonts w:ascii=&quot;Cambria Math&quot;/&gt;&lt;wx:font wx:val=&quot;Cambria Math&quot;/&gt;&lt;w:i/&gt;&lt;w:lang w:val=&quot;EN-US&quot;/&gt;&lt;/w:rPr&gt;&lt;m:t&gt;3 &lt;/m:t&gt;&lt;/m:r&gt;&lt;/m:sub&gt;&lt;/m:sSub&gt;&lt;m:d&gt;&lt;m:dPr&gt;&lt;m:ctrlPr&gt;&lt;w:rPr&gt;&lt;w:rFonts w:ascii=&quot;Cambria Math&quot; w:h-ansi=&quot;Cambria Math&quot;/&gt;&lt;wx:font wx:val=&quot;Cambria Math&quot;/&gt;&lt;w:i/&gt;&lt;w:lang w:val=&quot;EN-US&quot;/&gt;&lt;/w:rPr&gt;&lt;/m:ctrlPr&gt;&lt;/m:dPr&gt;&lt;m:e&gt;&lt;m:r&gt;&lt;w:rPr&gt;&lt;w:rFonts w:ascii=&quot;Cambria Math&quot; w:h-ansi=&quot;Cambria Math&quot;/&gt;&lt;wx:font wx:val=&quot;Cambria Math&quot;/&gt;&lt;w:i/&gt;&lt;w:lang w:val=&quot;EN-US&quot;/&gt;&lt;/w:rPr&gt;&lt;m:t&gt;âˆ†&lt;/m:t&gt;&lt;/m:r&gt;&lt;/m:e&gt;&lt;/m:d&gt;&lt;m:r&gt;&lt;w:rPr&gt;&lt;w:rFonts w:ascii=&quot;Cambria Math&quot;/&gt;&lt;wx:font wx:val=&quot;Cambria Math&quot;/&gt;&lt;w:i/&gt;&lt;w:lang w:val=&quot;EN-US&quot;/&gt;&lt;/w:rPr&gt;&lt;m:t&gt;CF+ &lt;/m:t&gt;&lt;/m:r&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Îµ&lt;/m:t&gt;&lt;/m:r&gt;&lt;/m:e&gt;&lt;m:sub&gt;&lt;m:r&gt;&lt;w:rPr&gt;&lt;w:rFonts w:ascii=&quot;Cambria Math&quot; w:h-ansi=&quot;Cambria Math&quot;/&gt;&lt;wx:font wx:val=&quot;Cambria Math&quot;/&gt;&lt;w:i/&gt;&lt;w:lang w:val=&quot;EN-US&quot;/&gt;&lt;/w:rPr&gt;&lt;m:t&gt;it&lt;/m:t&gt;&lt;/m:r&gt;&lt;/m:sub&gt;&lt;/m:sSub&gt;&lt;m:r&gt;&lt;w:rPr&gt;&lt;w:rFonts w:ascii=&quot;Cambria Math&quot; w:h-ansi=&quot;Cambria Math&quot;/&gt;&lt;wx:font wx:val=&quot;Cambria Math&quot;/&gt;&lt;w:i/&gt;&lt;w:lang w:val=&quot;EN-US&quot;/&gt;&lt;/w:rPr&gt;&lt;m:t&gt;                 &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44" o:title="" chromakey="white"/>
          </v:shape>
        </w:pict>
      </w:r>
      <w:r w:rsidRPr="006E06F2">
        <w:rPr>
          <w:lang w:val="en-US"/>
        </w:rPr>
        <w:instrText xml:space="preserve"> </w:instrText>
      </w:r>
      <w:r w:rsidRPr="006E06F2">
        <w:rPr>
          <w:lang w:val="en-US"/>
        </w:rPr>
        <w:fldChar w:fldCharType="separate"/>
      </w:r>
      <w:r w:rsidRPr="006E06F2">
        <w:pict>
          <v:shape id="_x0000_i1097" type="#_x0000_t75" style="width:417.75pt;height:26.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1E0D&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B91E0D&quot;&gt;&lt;m:oMathPara&gt;&lt;m:oMath&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 TA&lt;/m:t&gt;&lt;/m:r&gt;&lt;/m:e&gt;&lt;m:sub&gt;&lt;m:r&gt;&lt;w:rPr&gt;&lt;w:rFonts w:ascii=&quot;Cambria Math&quot; w:h-ansi=&quot;Cambria Math&quot;/&gt;&lt;wx:font wx:val=&quot;Cambria Math&quot;/&gt;&lt;w:i/&gt;&lt;w:lang w:val=&quot;EN-US&quot;/&gt;&lt;/w:rPr&gt;&lt;m:t&gt;it&lt;/m:t&gt;&lt;/m:r&gt;&lt;/m:sub&gt;&lt;/m:sSub&gt;&lt;m:r&gt;&lt;w:rPr&gt;&lt;w:rFonts w:ascii=&quot;Cambria Math&quot;/&gt;&lt;wx:font wx:val=&quot;Cambria Math&quot;/&gt;&lt;w:i/&gt;&lt;w:lang w:val=&quot;EN-US&quot;/&gt;&lt;/w:rPr&gt;&lt;m:t&gt;=&lt;/m:t&gt;&lt;/m:r&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Î²&lt;/m:t&gt;&lt;/m:r&gt;&lt;/m:e&gt;&lt;m:sub&gt;&lt;m:r&gt;&lt;w:rPr&gt;&lt;w:rFonts w:ascii=&quot;Cambria Math&quot;/&gt;&lt;wx:font wx:val=&quot;Cambria Math&quot;/&gt;&lt;w:i/&gt;&lt;w:lang w:val=&quot;EN-US&quot;/&gt;&lt;/w:rPr&gt;&lt;m:t&gt;0&lt;/m:t&gt;&lt;/m:r&gt;&lt;/m:sub&gt;&lt;/m:sSub&gt;&lt;m:r&gt;&lt;w:rPr&gt;&lt;w:rFonts w:ascii=&quot;Cambria Math&quot;/&gt;&lt;wx:font wx:val=&quot;Cambria Math&quot;/&gt;&lt;w:i/&gt;&lt;w:lang w:val=&quot;EN-US&quot;/&gt;&lt;/w:rPr&gt;&lt;m:t&gt; &lt;/m:t&gt;&lt;/m:r&gt;&lt;m:d&gt;&lt;m:dPr&gt;&lt;m:ctrlPr&gt;&lt;w:rPr&gt;&lt;w:rFonts w:ascii=&quot;Cambria Math&quot; w:h-ansi=&quot;Cambria Math&quot;/&gt;&lt;wx:font wx:val=&quot;Cambria Math&quot;/&gt;&lt;w:i/&gt;&lt;w:lang w:val=&quot;EN-US&quot;/&gt;&lt;/w:rPr&gt;&lt;/m:ctrlPr&gt;&lt;/m:dPr&gt;&lt;m:e&gt;&lt;m:f&gt;&lt;m:fPr&gt;&lt;m:ctrlPr&gt;&lt;w:rPr&gt;&lt;w:rFonts w:ascii=&quot;Cambria Math&quot; w:h-ansi=&quot;Cambria Math&quot;/&gt;&lt;wx:font wx:val=&quot;Cambria Math&quot;/&gt;&lt;w:i/&gt;&lt;w:lang w:val=&quot;EN-US&quot;/&gt;&lt;/w:rPr&gt;&lt;/m:ctrlPr&gt;&lt;/m:fPr&gt;&lt;m:num&gt;&lt;m:r&gt;&lt;w:rPr&gt;&lt;w:rFonts w:ascii=&quot;Cambria Math&quot;/&gt;&lt;wx:font wx:val=&quot;Cambria Math&quot;/&gt;&lt;w:i/&gt;&lt;w:lang w:val=&quot;EN-US&quot;/&gt;&lt;/w:rPr&gt;&lt;m:t&gt;1&lt;/m:t&gt;&lt;/m:r&gt;&lt;/m:num&gt;&lt;m:den&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Assets&lt;/m:t&gt;&lt;/m:r&gt;&lt;/m:e&gt;&lt;m:sub&gt;&lt;m:r&gt;&lt;w:rPr&gt;&lt;w:rFonts w:ascii=&quot;Cambria Math&quot; w:h-ansi=&quot;Cambria Math&quot;/&gt;&lt;wx:font wx:val=&quot;Cambria Math&quot;/&gt;&lt;w:i/&gt;&lt;w:lang w:val=&quot;EN-US&quot;/&gt;&lt;/w:rPr&gt;&lt;m:t&gt;it&lt;/m:t&gt;&lt;/m:r&gt;&lt;m:r&gt;&lt;w:rPr&gt;&lt;w:rFonts w:ascii=&quot;Cambria Math&quot;/&gt;&lt;w:i/&gt;&lt;w:lang w:val=&quot;EN-US&quot;/&gt;&lt;/w:rPr&gt;&lt;m:t&gt;-&lt;/m:t&gt;&lt;/m:r&gt;&lt;m:r&gt;&lt;w:rPr&gt;&lt;w:rFonts w:ascii=&quot;Cambria Math&quot;/&gt;&lt;wx:font wx:val=&quot;Cambria Math&quot;/&gt;&lt;w:i/&gt;&lt;w:lang w:val=&quot;EN-US&quot;/&gt;&lt;/w:rPr&gt;&lt;m:t&gt;1&lt;/m:t&gt;&lt;/m:r&gt;&lt;/m:sub&gt;&lt;/m:sSub&gt;&lt;/m:den&gt;&lt;/m:f&gt;&lt;/m:e&gt;&lt;/m:d&gt;&lt;m:r&gt;&lt;w:rPr&gt;&lt;w:rFonts w:ascii=&quot;Cambria Math&quot;/&gt;&lt;wx:font wx:val=&quot;Cambria Math&quot;/&gt;&lt;w:i/&gt;&lt;w:lang w:val=&quot;EN-US&quot;/&gt;&lt;/w:rPr&gt;&lt;m:t&gt;+ &lt;/m:t&gt;&lt;/m:r&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Î²&lt;/m:t&gt;&lt;/m:r&gt;&lt;/m:e&gt;&lt;m:sub&gt;&lt;m:r&gt;&lt;w:rPr&gt;&lt;w:rFonts w:ascii=&quot;Cambria Math&quot;/&gt;&lt;wx:font wx:val=&quot;Cambria Math&quot;/&gt;&lt;w:i/&gt;&lt;w:lang w:val=&quot;EN-US&quot;/&gt;&lt;/w:rPr&gt;&lt;m:t&gt;1&lt;/m:t&gt;&lt;/m:r&gt;&lt;/m:sub&gt;&lt;/m:sSub&gt;&lt;m:r&gt;&lt;w:rPr&gt;&lt;w:rFonts w:ascii=&quot;Cambria Math&quot;/&gt;&lt;wx:font wx:val=&quot;Cambria Math&quot;/&gt;&lt;w:i/&gt;&lt;w:lang w:val=&quot;EN-US&quot;/&gt;&lt;/w:rPr&gt;&lt;m:t&gt; &lt;/m:t&gt;&lt;/m:r&gt;&lt;m:d&gt;&lt;m:dPr&gt;&lt;m:ctrlPr&gt;&lt;w:rPr&gt;&lt;w:rFonts w:ascii=&quot;Cambria Math&quot; w:h-ansi=&quot;Cambria Math&quot;/&gt;&lt;wx:font wx:val=&quot;Cambria Math&quot;/&gt;&lt;w:i/&gt;&lt;w:lang w:val=&quot;EN-US&quot;/&gt;&lt;/w:rPr&gt;&lt;/m:ctrlPr&gt;&lt;/m:dPr&gt;&lt;m:e&gt;&lt;m:sSub&gt;&lt;m:sSubPr&gt;&lt;m:ctrlPr&gt;&lt;w:rPr&gt;&lt;w:rFonts w:ascii=&quot;Cambria Math&quot; w:h-ansi=&quot;Cambria Math&quot;/&gt;&lt;wx:font wx:val=&quot;Cambria Math&quot;/&gt;&lt;w:i/&gt;&lt;w:lang w:val=&quot;EN-US&quot;/&gt;&lt;/w:rPr&gt;&lt;/m:ctrlPr&gt;&lt;/m:sSubPr&gt;&lt;m:e&gt;&lt;m:r&gt;&lt;w:rPr&gt;&lt;w:rFonts w:ascii=&quot;Cambria Math&quot;/&gt;&lt;w:i/&gt;&lt;w:lang w:val=&quot;EN-US&quot;/&gt;&lt;/w:rPr&gt;&lt;m:t&gt;âˆ†&lt;/m:t&gt;&lt;/m:r&gt;&lt;m:r&gt;&lt;w:rPr&gt;&lt;w:rFonts w:ascii=&quot;Cambria Math&quot;/&gt;&lt;wx:font wx:val=&quot;Cambria Math&quot;/&gt;&lt;w:i/&gt;&lt;w:lang w:val=&quot;EN-US&quot;/&gt;&lt;/w:rPr&gt;&lt;m:t&gt; &lt;/m:t&gt;&lt;/m:r&gt;&lt;m:r&gt;&lt;w:rPr&gt;&lt;w:rFonts w:ascii=&quot;Cambria Math&quot; w:h-ansi=&quot;Cambria Math&quot;/&gt;&lt;wx:font wx:val=&quot;Cambria Math&quot;/&gt;&lt;w:i/&gt;&lt;w:lang w:val=&quot;EN-US&quot;/&gt;&lt;/w:rPr&gt;&lt;m:t&gt;REV&lt;/m:t&gt;&lt;/m:r&gt;&lt;/m:e&gt;&lt;m:sub&gt;&lt;m:r&gt;&lt;w:rPr&gt;&lt;w:rFonts w:ascii=&quot;Cambria Math&quot; w:h-ansi=&quot;Cambria Math&quot;/&gt;&lt;wx:font wx:val=&quot;Cambria Math&quot;/&gt;&lt;w:i/&gt;&lt;w:lang w:val=&quot;EN-US&quot;/&gt;&lt;/w:rPr&gt;&lt;m:t&gt;it&lt;/m:t&gt;&lt;/m:r&gt;&lt;/m:sub&gt;&lt;/m:sSub&gt;&lt;m:r&gt;&lt;w:rPr&gt;&lt;w:rFonts w:ascii=&quot;Cambria Math&quot;/&gt;&lt;w:i/&gt;&lt;w:lang w:val=&quot;EN-US&quot;/&gt;&lt;/w:rPr&gt;&lt;m:t&gt;-&lt;/m:t&gt;&lt;/m:r&gt;&lt;m:sSub&gt;&lt;m:sSubPr&gt;&lt;m:ctrlPr&gt;&lt;w:rPr&gt;&lt;w:rFonts w:ascii=&quot;Cambria Math&quot; w:h-ansi=&quot;Cambria Math&quot;/&gt;&lt;wx:font wx:val=&quot;Cambria Math&quot;/&gt;&lt;w:i/&gt;&lt;w:lang w:val=&quot;EN-US&quot;/&gt;&lt;/w:rPr&gt;&lt;/m:ctrlPr&gt;&lt;/m:sSubPr&gt;&lt;m:e&gt;&lt;m:r&gt;&lt;w:rPr&gt;&lt;w:rFonts w:ascii=&quot;Cambria Math&quot;/&gt;&lt;w:i/&gt;&lt;w:lang w:val=&quot;EN-US&quot;/&gt;&lt;/w:rPr&gt;&lt;m:t&gt;âˆ†&lt;/m:t&gt;&lt;/m:r&gt;&lt;m:r&gt;&lt;w:rPr&gt;&lt;w:rFonts w:ascii=&quot;Cambria Math&quot; w:h-ansi=&quot;Cambria Math&quot;/&gt;&lt;wx:font wx:val=&quot;Cambria Math&quot;/&gt;&lt;w:i/&gt;&lt;w:lang w:val=&quot;EN-US&quot;/&gt;&lt;/w:rPr&gt;&lt;m:t&gt;REC&lt;/m:t&gt;&lt;/m:r&gt;&lt;/m:e&gt;&lt;m:sub&gt;&lt;m:r&gt;&lt;w:rPr&gt;&lt;w:rFonts w:ascii=&quot;Cambria Math&quot; w:h-ansi=&quot;Cambria Math&quot;/&gt;&lt;wx:font wx:val=&quot;Cambria Math&quot;/&gt;&lt;w:i/&gt;&lt;w:lang w:val=&quot;EN-US&quot;/&gt;&lt;/w:rPr&gt;&lt;m:t&gt;it&lt;/m:t&gt;&lt;/m:r&gt;&lt;/m:sub&gt;&lt;/m:sSub&gt;&lt;/m:e&gt;&lt;/m:d&gt;&lt;m:r&gt;&lt;w:rPr&gt;&lt;w:rFonts w:ascii=&quot;Cambria Math&quot;/&gt;&lt;wx:font wx:val=&quot;Cambria Math&quot;/&gt;&lt;w:i/&gt;&lt;w:lang w:val=&quot;EN-US&quot;/&gt;&lt;/w:rPr&gt;&lt;m:t&gt;+ &lt;/m:t&gt;&lt;/m:r&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Î²&lt;/m:t&gt;&lt;/m:r&gt;&lt;/m:e&gt;&lt;m:sub&gt;&lt;m:r&gt;&lt;w:rPr&gt;&lt;w:rFonts w:ascii=&quot;Cambria Math&quot; w:h-ansi=&quot;Cambria Math&quot;/&gt;&lt;wx:font wx:val=&quot;Cambria Math&quot;/&gt;&lt;w:i/&gt;&lt;w:lang w:val=&quot;EN-US&quot;/&gt;&lt;/w:rPr&gt;&lt;m:t&gt;2&lt;/m:t&gt;&lt;/m:r&gt;&lt;/m:sub&gt;&lt;/m:sSub&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PPE&lt;/m:t&gt;&lt;/m:r&gt;&lt;/m:e&gt;&lt;m:sub&gt;&lt;m:r&gt;&lt;w:rPr&gt;&lt;w:rFonts w:ascii=&quot;Cambria Math&quot; w:h-ansi=&quot;Cambria Math&quot;/&gt;&lt;wx:font wx:val=&quot;Cambria Math&quot;/&gt;&lt;w:i/&gt;&lt;w:lang w:val=&quot;EN-US&quot;/&gt;&lt;/w:rPr&gt;&lt;m:t&gt;it&lt;/m:t&gt;&lt;/m:r&gt;&lt;/m:sub&gt;&lt;/m:sSub&gt;&lt;m:r&gt;&lt;w:rPr&gt;&lt;w:rFonts w:ascii=&quot;Cambria Math&quot;/&gt;&lt;wx:font wx:val=&quot;Cambria Math&quot;/&gt;&lt;w:i/&gt;&lt;w:lang w:val=&quot;EN-US&quot;/&gt;&lt;/w:rPr&gt;&lt;m:t&gt;+ &lt;/m:t&gt;&lt;/m:r&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Î²&lt;/m:t&gt;&lt;/m:r&gt;&lt;/m:e&gt;&lt;m:sub&gt;&lt;m:r&gt;&lt;w:rPr&gt;&lt;w:rFonts w:ascii=&quot;Cambria Math&quot;/&gt;&lt;wx:font wx:val=&quot;Cambria Math&quot;/&gt;&lt;w:i/&gt;&lt;w:lang w:val=&quot;EN-US&quot;/&gt;&lt;/w:rPr&gt;&lt;m:t&gt;3 &lt;/m:t&gt;&lt;/m:r&gt;&lt;/m:sub&gt;&lt;/m:sSub&gt;&lt;m:d&gt;&lt;m:dPr&gt;&lt;m:ctrlPr&gt;&lt;w:rPr&gt;&lt;w:rFonts w:ascii=&quot;Cambria Math&quot; w:h-ansi=&quot;Cambria Math&quot;/&gt;&lt;wx:font wx:val=&quot;Cambria Math&quot;/&gt;&lt;w:i/&gt;&lt;w:lang w:val=&quot;EN-US&quot;/&gt;&lt;/w:rPr&gt;&lt;/m:ctrlPr&gt;&lt;/m:dPr&gt;&lt;m:e&gt;&lt;m:r&gt;&lt;w:rPr&gt;&lt;w:rFonts w:ascii=&quot;Cambria Math&quot; w:h-ansi=&quot;Cambria Math&quot;/&gt;&lt;wx:font wx:val=&quot;Cambria Math&quot;/&gt;&lt;w:i/&gt;&lt;w:lang w:val=&quot;EN-US&quot;/&gt;&lt;/w:rPr&gt;&lt;m:t&gt;âˆ†&lt;/m:t&gt;&lt;/m:r&gt;&lt;/m:e&gt;&lt;/m:d&gt;&lt;m:r&gt;&lt;w:rPr&gt;&lt;w:rFonts w:ascii=&quot;Cambria Math&quot;/&gt;&lt;wx:font wx:val=&quot;Cambria Math&quot;/&gt;&lt;w:i/&gt;&lt;w:lang w:val=&quot;EN-US&quot;/&gt;&lt;/w:rPr&gt;&lt;m:t&gt;CF+ &lt;/m:t&gt;&lt;/m:r&gt;&lt;m:sSub&gt;&lt;m:sSubPr&gt;&lt;m:ctrlPr&gt;&lt;w:rPr&gt;&lt;w:rFonts w:ascii=&quot;Cambria Math&quot; w:h-ansi=&quot;Cambria Math&quot;/&gt;&lt;wx:font wx:val=&quot;Cambria Math&quot;/&gt;&lt;w:i/&gt;&lt;w:lang w:val=&quot;EN-US&quot;/&gt;&lt;/w:rPr&gt;&lt;/m:ctrlPr&gt;&lt;/m:sSubPr&gt;&lt;m:e&gt;&lt;m:r&gt;&lt;w:rPr&gt;&lt;w:rFonts w:ascii=&quot;Cambria Math&quot; w:h-ansi=&quot;Cambria Math&quot;/&gt;&lt;wx:font wx:val=&quot;Cambria Math&quot;/&gt;&lt;w:i/&gt;&lt;w:lang w:val=&quot;EN-US&quot;/&gt;&lt;/w:rPr&gt;&lt;m:t&gt;Îµ&lt;/m:t&gt;&lt;/m:r&gt;&lt;/m:e&gt;&lt;m:sub&gt;&lt;m:r&gt;&lt;w:rPr&gt;&lt;w:rFonts w:ascii=&quot;Cambria Math&quot; w:h-ansi=&quot;Cambria Math&quot;/&gt;&lt;wx:font wx:val=&quot;Cambria Math&quot;/&gt;&lt;w:i/&gt;&lt;w:lang w:val=&quot;EN-US&quot;/&gt;&lt;/w:rPr&gt;&lt;m:t&gt;it&lt;/m:t&gt;&lt;/m:r&gt;&lt;/m:sub&gt;&lt;/m:sSub&gt;&lt;m:r&gt;&lt;w:rPr&gt;&lt;w:rFonts w:ascii=&quot;Cambria Math&quot; w:h-ansi=&quot;Cambria Math&quot;/&gt;&lt;wx:font wx:val=&quot;Cambria Math&quot;/&gt;&lt;w:i/&gt;&lt;w:lang w:val=&quot;EN-US&quot;/&gt;&lt;/w:rPr&gt;&lt;m:t&gt;                 &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44" o:title="" chromakey="white"/>
          </v:shape>
        </w:pict>
      </w:r>
      <w:r w:rsidRPr="006E06F2">
        <w:rPr>
          <w:lang w:val="en-US"/>
        </w:rPr>
        <w:fldChar w:fldCharType="end"/>
      </w:r>
      <w:r>
        <w:rPr>
          <w:lang w:val="en-US"/>
        </w:rPr>
        <w:t xml:space="preserve"> (8)</w:t>
      </w:r>
    </w:p>
    <w:p w:rsidR="00334F38" w:rsidRDefault="00334F38" w:rsidP="004267EA">
      <w:pPr>
        <w:autoSpaceDE w:val="0"/>
        <w:autoSpaceDN w:val="0"/>
        <w:adjustRightInd w:val="0"/>
        <w:spacing w:line="360" w:lineRule="auto"/>
        <w:rPr>
          <w:lang w:val="en-US"/>
        </w:rPr>
      </w:pPr>
    </w:p>
    <w:tbl>
      <w:tblPr>
        <w:tblW w:w="5960" w:type="dxa"/>
        <w:tblBorders>
          <w:top w:val="single" w:sz="12" w:space="0" w:color="000000"/>
          <w:bottom w:val="single" w:sz="12" w:space="0" w:color="000000"/>
        </w:tblBorders>
        <w:tblLook w:val="00A0"/>
      </w:tblPr>
      <w:tblGrid>
        <w:gridCol w:w="1060"/>
        <w:gridCol w:w="960"/>
        <w:gridCol w:w="1053"/>
        <w:gridCol w:w="1060"/>
        <w:gridCol w:w="960"/>
        <w:gridCol w:w="960"/>
      </w:tblGrid>
      <w:tr w:rsidR="00334F38" w:rsidRPr="00947405" w:rsidTr="006E06F2">
        <w:trPr>
          <w:trHeight w:val="300"/>
        </w:trPr>
        <w:tc>
          <w:tcPr>
            <w:tcW w:w="1060" w:type="dxa"/>
            <w:tcBorders>
              <w:top w:val="single" w:sz="12" w:space="0" w:color="000000"/>
              <w:bottom w:val="single" w:sz="6" w:space="0" w:color="000000"/>
              <w:right w:val="single" w:sz="6" w:space="0" w:color="000000"/>
            </w:tcBorders>
            <w:noWrap/>
          </w:tcPr>
          <w:p w:rsidR="00334F38" w:rsidRPr="006E06F2" w:rsidRDefault="00334F38" w:rsidP="008C6230">
            <w:pPr>
              <w:rPr>
                <w:rFonts w:ascii="Calibri" w:hAnsi="Calibri"/>
                <w:b/>
                <w:bCs/>
                <w:i/>
                <w:iCs/>
                <w:sz w:val="22"/>
                <w:szCs w:val="22"/>
                <w:lang w:val="en-US" w:eastAsia="en-US"/>
              </w:rPr>
            </w:pPr>
            <w:r w:rsidRPr="006E06F2">
              <w:pict>
                <v:shape id="_x0000_i1098" type="#_x0000_t75" style="width:33pt;height:13.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1A55&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5F1A55&quot;&gt;&lt;m:oMathPara&gt;&lt;m:oMath&gt;&lt;m:r&gt;&lt;m:rPr&gt;&lt;m:sty m:val=&quot;bi&quot;/&gt;&lt;/m:rPr&gt;&lt;w:rPr&gt;&lt;w:rFonts w:ascii=&quot;Cambria Math&quot; w:h-ansi=&quot;Cambria Math&quot;/&gt;&lt;wx:font wx:val=&quot;Cambria Math&quot;/&gt;&lt;w:b/&gt;&lt;w:i/&gt;&lt;w:i-cs/&gt;&lt;w:sz w:val=&quot;22&quot;/&gt;&lt;w:sz-cs w:val=&quot;22&quot;/&gt;&lt;w:lang w:val=&quot;EN-US&quot; w:fareast=&quot;EN-US&quot;/&gt;&lt;/w:rPr&gt;&lt;m:t&gt;Î²&lt;/m:t&gt;&lt;/m:r&gt;&lt;m:r&gt;&lt;m:rPr&gt;&lt;m:sty m:val=&quot;bi&quot;/&gt;&lt;/m:rPr&gt;&lt;w:rPr&gt;&lt;w:rFonts w:ascii=&quot;Cambria Math&quot; w:h-ansi=&quot;Cambria Math&quot;/&gt;&lt;wx:font wx:val=&quot;Cambria Math&quot;/&gt;&lt;w:b/&gt;&lt;w:i/&gt;&lt;w:sz w:val=&quot;22&quot;/&gt;&lt;w:sz-cs w:val=&quot;22&quot;/&gt;&lt;w:lang w:val=&quot;EN-US&quot; w:fareast=&quot;EN-US&quot;/&gt;&lt;/w:rPr&gt;&lt;m:t&gt;(est)&lt;/m:t&gt;&lt;/m:r&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35" o:title="" chromakey="white"/>
                </v:shape>
              </w:pict>
            </w:r>
          </w:p>
        </w:tc>
        <w:tc>
          <w:tcPr>
            <w:tcW w:w="960" w:type="dxa"/>
            <w:tcBorders>
              <w:top w:val="single" w:sz="12" w:space="0" w:color="000000"/>
              <w:bottom w:val="single" w:sz="6" w:space="0" w:color="000000"/>
            </w:tcBorders>
            <w:noWrap/>
          </w:tcPr>
          <w:p w:rsidR="00334F38" w:rsidRPr="006E06F2" w:rsidRDefault="00334F38" w:rsidP="008C6230">
            <w:pPr>
              <w:rPr>
                <w:rFonts w:ascii="Cambria" w:hAnsi="Cambria"/>
                <w:b/>
                <w:bCs/>
                <w:i/>
                <w:iCs/>
                <w:sz w:val="22"/>
                <w:szCs w:val="22"/>
                <w:lang w:val="en-US" w:eastAsia="en-US"/>
              </w:rPr>
            </w:pPr>
            <w:r w:rsidRPr="006E06F2">
              <w:rPr>
                <w:rFonts w:ascii="Cambria" w:hAnsi="Cambria"/>
                <w:b/>
                <w:bCs/>
                <w:iCs/>
                <w:sz w:val="22"/>
                <w:szCs w:val="22"/>
                <w:lang w:val="en-US" w:eastAsia="en-US"/>
              </w:rPr>
              <w:t xml:space="preserve">Mean </w:t>
            </w:r>
          </w:p>
        </w:tc>
        <w:tc>
          <w:tcPr>
            <w:tcW w:w="960" w:type="dxa"/>
            <w:tcBorders>
              <w:top w:val="single" w:sz="12" w:space="0" w:color="000000"/>
              <w:bottom w:val="single" w:sz="6" w:space="0" w:color="000000"/>
            </w:tcBorders>
            <w:noWrap/>
          </w:tcPr>
          <w:p w:rsidR="00334F38" w:rsidRPr="006E06F2" w:rsidRDefault="00334F38" w:rsidP="008C6230">
            <w:pPr>
              <w:rPr>
                <w:rFonts w:ascii="Cambria" w:hAnsi="Cambria"/>
                <w:b/>
                <w:bCs/>
                <w:i/>
                <w:iCs/>
                <w:sz w:val="22"/>
                <w:szCs w:val="22"/>
                <w:lang w:val="en-US" w:eastAsia="en-US"/>
              </w:rPr>
            </w:pPr>
            <w:r w:rsidRPr="006E06F2">
              <w:rPr>
                <w:rFonts w:ascii="Cambria" w:hAnsi="Cambria"/>
                <w:b/>
                <w:bCs/>
                <w:iCs/>
                <w:sz w:val="22"/>
                <w:szCs w:val="22"/>
                <w:lang w:val="en-US" w:eastAsia="en-US"/>
              </w:rPr>
              <w:t>St.Dev</w:t>
            </w:r>
          </w:p>
        </w:tc>
        <w:tc>
          <w:tcPr>
            <w:tcW w:w="1060" w:type="dxa"/>
            <w:tcBorders>
              <w:top w:val="single" w:sz="12" w:space="0" w:color="000000"/>
              <w:bottom w:val="single" w:sz="6" w:space="0" w:color="000000"/>
            </w:tcBorders>
            <w:noWrap/>
          </w:tcPr>
          <w:p w:rsidR="00334F38" w:rsidRPr="006E06F2" w:rsidRDefault="00334F38" w:rsidP="008C6230">
            <w:pPr>
              <w:rPr>
                <w:rFonts w:ascii="Cambria" w:hAnsi="Cambria"/>
                <w:b/>
                <w:bCs/>
                <w:i/>
                <w:iCs/>
                <w:sz w:val="22"/>
                <w:szCs w:val="22"/>
                <w:lang w:val="en-US" w:eastAsia="en-US"/>
              </w:rPr>
            </w:pPr>
            <w:r w:rsidRPr="006E06F2">
              <w:rPr>
                <w:rFonts w:ascii="Cambria" w:hAnsi="Cambria"/>
                <w:b/>
                <w:bCs/>
                <w:iCs/>
                <w:sz w:val="22"/>
                <w:szCs w:val="22"/>
                <w:lang w:val="en-US" w:eastAsia="en-US"/>
              </w:rPr>
              <w:t>Median</w:t>
            </w:r>
          </w:p>
        </w:tc>
        <w:tc>
          <w:tcPr>
            <w:tcW w:w="960" w:type="dxa"/>
            <w:tcBorders>
              <w:top w:val="single" w:sz="12" w:space="0" w:color="000000"/>
              <w:bottom w:val="single" w:sz="6" w:space="0" w:color="000000"/>
            </w:tcBorders>
            <w:noWrap/>
          </w:tcPr>
          <w:p w:rsidR="00334F38" w:rsidRPr="006E06F2" w:rsidRDefault="00334F38" w:rsidP="008C6230">
            <w:pPr>
              <w:rPr>
                <w:rFonts w:ascii="Cambria" w:hAnsi="Cambria"/>
                <w:b/>
                <w:bCs/>
                <w:i/>
                <w:iCs/>
                <w:sz w:val="22"/>
                <w:szCs w:val="22"/>
                <w:lang w:val="en-US" w:eastAsia="en-US"/>
              </w:rPr>
            </w:pPr>
            <w:r w:rsidRPr="006E06F2">
              <w:rPr>
                <w:rFonts w:ascii="Cambria" w:hAnsi="Cambria"/>
                <w:b/>
                <w:bCs/>
                <w:iCs/>
                <w:sz w:val="22"/>
                <w:szCs w:val="22"/>
                <w:lang w:val="en-US" w:eastAsia="en-US"/>
              </w:rPr>
              <w:t>Min</w:t>
            </w:r>
          </w:p>
        </w:tc>
        <w:tc>
          <w:tcPr>
            <w:tcW w:w="960" w:type="dxa"/>
            <w:tcBorders>
              <w:top w:val="single" w:sz="12" w:space="0" w:color="000000"/>
              <w:bottom w:val="single" w:sz="6" w:space="0" w:color="000000"/>
            </w:tcBorders>
            <w:noWrap/>
          </w:tcPr>
          <w:p w:rsidR="00334F38" w:rsidRPr="006E06F2" w:rsidRDefault="00334F38" w:rsidP="008C6230">
            <w:pPr>
              <w:rPr>
                <w:rFonts w:ascii="Cambria" w:hAnsi="Cambria"/>
                <w:b/>
                <w:bCs/>
                <w:i/>
                <w:iCs/>
                <w:sz w:val="22"/>
                <w:szCs w:val="22"/>
                <w:lang w:val="en-US" w:eastAsia="en-US"/>
              </w:rPr>
            </w:pPr>
            <w:r w:rsidRPr="006E06F2">
              <w:rPr>
                <w:rFonts w:ascii="Cambria" w:hAnsi="Cambria"/>
                <w:b/>
                <w:bCs/>
                <w:iCs/>
                <w:sz w:val="22"/>
                <w:szCs w:val="22"/>
                <w:lang w:val="en-US" w:eastAsia="en-US"/>
              </w:rPr>
              <w:t>Max</w:t>
            </w:r>
          </w:p>
        </w:tc>
      </w:tr>
      <w:tr w:rsidR="00334F38" w:rsidRPr="00947405" w:rsidTr="006E06F2">
        <w:trPr>
          <w:trHeight w:val="300"/>
        </w:trPr>
        <w:tc>
          <w:tcPr>
            <w:tcW w:w="1060" w:type="dxa"/>
            <w:tcBorders>
              <w:right w:val="single" w:sz="6" w:space="0" w:color="000000"/>
            </w:tcBorders>
            <w:noWrap/>
          </w:tcPr>
          <w:p w:rsidR="00334F38" w:rsidRPr="006E06F2" w:rsidRDefault="00334F38" w:rsidP="008C6230">
            <w:pPr>
              <w:rPr>
                <w:rFonts w:ascii="Calibri" w:hAnsi="Calibri"/>
                <w:color w:val="000000"/>
                <w:sz w:val="22"/>
                <w:szCs w:val="22"/>
                <w:lang w:val="en-US" w:eastAsia="en-US"/>
              </w:rPr>
            </w:pPr>
            <w:r w:rsidRPr="006E06F2">
              <w:pict>
                <v:shape id="_x0000_i1099" type="#_x0000_t75" style="width:36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B7D03&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CB7D03&quot;&gt;&lt;m:oMathPara&gt;&lt;m:oMath&gt;&lt;m:sSub&gt;&lt;m:sSubPr&gt;&lt;m:ctrlPr&gt;&lt;w:rPr&gt;&lt;w:rFonts w:ascii=&quot;Cambria Math&quot; w:h-ansi=&quot;Cambria Math&quot;/&gt;&lt;wx:font wx:val=&quot;Cambria Math&quot;/&gt;&lt;w:i/&gt;&lt;w:color w:val=&quot;000000&quot;/&gt;&lt;w:sz w:val=&quot;22&quot;/&gt;&lt;w:sz-cs w:val=&quot;22&quot;/&gt;&lt;w:lang w:val=&quot;EN-US&quot; w:fareast=&quot;EN-US&quot;/&gt;&lt;/w:rPr&gt;&lt;/m:ctrlPr&gt;&lt;/m:sSubPr&gt;&lt;m:e&gt;&lt;m:r&gt;&lt;w:rPr&gt;&lt;w:rFonts w:ascii=&quot;Cambria Math&quot; w:h-ansi=&quot;Cambria Math&quot;/&gt;&lt;wx:font wx:val=&quot;Cambria Math&quot;/&gt;&lt;w:i/&gt;&lt;w:color w:val=&quot;000000&quot;/&gt;&lt;w:sz w:val=&quot;22&quot;/&gt;&lt;w:sz-cs w:val=&quot;22&quot;/&gt;&lt;w:lang w:val=&quot;EN-US&quot; w:fareast=&quot;EN-US&quot;/&gt;&lt;/w:rPr&gt;&lt;m:t&gt;Î²(est)&lt;/m:t&gt;&lt;/m:r&gt;&lt;/m:e&gt;&lt;m:sub&gt;&lt;m:r&gt;&lt;w:rPr&gt;&lt;w:rFonts w:ascii=&quot;Cambria Math&quot; w:h-ansi=&quot;Cambria Math&quot;/&gt;&lt;wx:font wx:val=&quot;Cambria Math&quot;/&gt;&lt;w:i/&gt;&lt;w:color w:val=&quot;000000&quot;/&gt;&lt;w:sz w:val=&quot;22&quot;/&gt;&lt;w:sz-cs w:val=&quot;22&quot;/&gt;&lt;w:lang w:val=&quot;EN-US&quot; w:fareast=&quot;EN-US&quot;/&gt;&lt;/w:rPr&gt;&lt;m:t&gt;0&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36" o:title="" chromakey="white"/>
                </v:shape>
              </w:pict>
            </w:r>
          </w:p>
        </w:tc>
        <w:tc>
          <w:tcPr>
            <w:tcW w:w="960" w:type="dxa"/>
            <w:noWrap/>
          </w:tcPr>
          <w:p w:rsidR="00334F38" w:rsidRPr="006E06F2" w:rsidRDefault="00334F38" w:rsidP="008C6230">
            <w:pPr>
              <w:rPr>
                <w:rFonts w:ascii="Calibri" w:hAnsi="Calibri"/>
                <w:color w:val="000000"/>
                <w:sz w:val="22"/>
                <w:szCs w:val="22"/>
                <w:lang w:val="en-US" w:eastAsia="en-US"/>
              </w:rPr>
            </w:pPr>
            <w:r w:rsidRPr="006E06F2">
              <w:rPr>
                <w:rFonts w:ascii="Calibri" w:hAnsi="Calibri"/>
                <w:color w:val="000000"/>
                <w:sz w:val="22"/>
                <w:szCs w:val="22"/>
                <w:lang w:val="en-US" w:eastAsia="en-US"/>
              </w:rPr>
              <w:t>-0.208</w:t>
            </w:r>
          </w:p>
        </w:tc>
        <w:tc>
          <w:tcPr>
            <w:tcW w:w="960" w:type="dxa"/>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0.212125</w:t>
            </w:r>
          </w:p>
        </w:tc>
        <w:tc>
          <w:tcPr>
            <w:tcW w:w="1060" w:type="dxa"/>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-0.480</w:t>
            </w:r>
          </w:p>
        </w:tc>
        <w:tc>
          <w:tcPr>
            <w:tcW w:w="960" w:type="dxa"/>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-0.614</w:t>
            </w:r>
          </w:p>
        </w:tc>
        <w:tc>
          <w:tcPr>
            <w:tcW w:w="960" w:type="dxa"/>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1.246</w:t>
            </w:r>
          </w:p>
        </w:tc>
      </w:tr>
      <w:tr w:rsidR="00334F38" w:rsidRPr="00947405" w:rsidTr="006E06F2">
        <w:trPr>
          <w:trHeight w:val="300"/>
        </w:trPr>
        <w:tc>
          <w:tcPr>
            <w:tcW w:w="1060" w:type="dxa"/>
            <w:tcBorders>
              <w:right w:val="single" w:sz="6" w:space="0" w:color="000000"/>
            </w:tcBorders>
            <w:noWrap/>
          </w:tcPr>
          <w:p w:rsidR="00334F38" w:rsidRPr="006E06F2" w:rsidRDefault="00334F38" w:rsidP="008C6230">
            <w:pPr>
              <w:rPr>
                <w:rFonts w:ascii="Calibri" w:hAnsi="Calibri"/>
                <w:color w:val="000000"/>
                <w:sz w:val="22"/>
                <w:szCs w:val="22"/>
                <w:lang w:val="en-US" w:eastAsia="en-US"/>
              </w:rPr>
            </w:pPr>
            <w:r w:rsidRPr="006E06F2">
              <w:pict>
                <v:shape id="_x0000_i1100" type="#_x0000_t75" style="width:36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53C&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35153C&quot;&gt;&lt;m:oMathPara&gt;&lt;m:oMath&gt;&lt;m:sSub&gt;&lt;m:sSubPr&gt;&lt;m:ctrlPr&gt;&lt;w:rPr&gt;&lt;w:rFonts w:ascii=&quot;Cambria Math&quot; w:h-ansi=&quot;Cambria Math&quot;/&gt;&lt;wx:font wx:val=&quot;Cambria Math&quot;/&gt;&lt;w:i/&gt;&lt;w:color w:val=&quot;000000&quot;/&gt;&lt;w:sz w:val=&quot;22&quot;/&gt;&lt;w:sz-cs w:val=&quot;22&quot;/&gt;&lt;w:lang w:val=&quot;EN-US&quot; w:fareast=&quot;EN-US&quot;/&gt;&lt;/w:rPr&gt;&lt;/m:ctrlPr&gt;&lt;/m:sSubPr&gt;&lt;m:e&gt;&lt;m:r&gt;&lt;w:rPr&gt;&lt;w:rFonts w:ascii=&quot;Cambria Math&quot; w:h-ansi=&quot;Cambria Math&quot;/&gt;&lt;wx:font wx:val=&quot;Cambria Math&quot;/&gt;&lt;w:i/&gt;&lt;w:color w:val=&quot;000000&quot;/&gt;&lt;w:sz w:val=&quot;22&quot;/&gt;&lt;w:sz-cs w:val=&quot;22&quot;/&gt;&lt;w:lang w:val=&quot;EN-US&quot; w:fareast=&quot;EN-US&quot;/&gt;&lt;/w:rPr&gt;&lt;m:t&gt;Î²(est)&lt;/m:t&gt;&lt;/m:r&gt;&lt;/m:e&gt;&lt;m:sub&gt;&lt;m:r&gt;&lt;w:rPr&gt;&lt;w:rFonts w:ascii=&quot;Cambria Math&quot; w:h-ansi=&quot;Cambria Math&quot;/&gt;&lt;wx:font wx:val=&quot;Cambria Math&quot;/&gt;&lt;w:i/&gt;&lt;w:color w:val=&quot;000000&quot;/&gt;&lt;w:sz w:val=&quot;22&quot;/&gt;&lt;w:sz-cs w:val=&quot;22&quot;/&gt;&lt;w:lang w:val=&quot;EN-US&quot; w:fareast=&quot;EN-US&quot;/&gt;&lt;/w:rPr&gt;&lt;m:t&gt;1&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23" o:title="" chromakey="white"/>
                </v:shape>
              </w:pict>
            </w:r>
          </w:p>
        </w:tc>
        <w:tc>
          <w:tcPr>
            <w:tcW w:w="960" w:type="dxa"/>
            <w:noWrap/>
          </w:tcPr>
          <w:p w:rsidR="00334F38" w:rsidRPr="006E06F2" w:rsidRDefault="00334F38" w:rsidP="008C6230">
            <w:pPr>
              <w:rPr>
                <w:rFonts w:ascii="Calibri" w:hAnsi="Calibri"/>
                <w:color w:val="000000"/>
                <w:sz w:val="22"/>
                <w:szCs w:val="22"/>
                <w:lang w:val="en-US" w:eastAsia="en-US"/>
              </w:rPr>
            </w:pPr>
            <w:r w:rsidRPr="006E06F2">
              <w:rPr>
                <w:rFonts w:ascii="Calibri" w:hAnsi="Calibri"/>
                <w:color w:val="000000"/>
                <w:sz w:val="22"/>
                <w:szCs w:val="22"/>
                <w:lang w:val="en-US" w:eastAsia="en-US"/>
              </w:rPr>
              <w:t xml:space="preserve">  0.004</w:t>
            </w:r>
          </w:p>
        </w:tc>
        <w:tc>
          <w:tcPr>
            <w:tcW w:w="960" w:type="dxa"/>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0.103165</w:t>
            </w:r>
          </w:p>
        </w:tc>
        <w:tc>
          <w:tcPr>
            <w:tcW w:w="1060" w:type="dxa"/>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0.015</w:t>
            </w:r>
          </w:p>
        </w:tc>
        <w:tc>
          <w:tcPr>
            <w:tcW w:w="960" w:type="dxa"/>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-0.148</w:t>
            </w:r>
          </w:p>
        </w:tc>
        <w:tc>
          <w:tcPr>
            <w:tcW w:w="960" w:type="dxa"/>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0.123</w:t>
            </w:r>
          </w:p>
        </w:tc>
      </w:tr>
      <w:tr w:rsidR="00334F38" w:rsidRPr="00947405" w:rsidTr="006E06F2">
        <w:trPr>
          <w:trHeight w:val="300"/>
        </w:trPr>
        <w:tc>
          <w:tcPr>
            <w:tcW w:w="1060" w:type="dxa"/>
            <w:tcBorders>
              <w:right w:val="single" w:sz="6" w:space="0" w:color="000000"/>
            </w:tcBorders>
            <w:noWrap/>
          </w:tcPr>
          <w:p w:rsidR="00334F38" w:rsidRPr="006E06F2" w:rsidRDefault="00334F38" w:rsidP="008C6230">
            <w:pPr>
              <w:rPr>
                <w:rFonts w:ascii="Calibri" w:hAnsi="Calibri"/>
                <w:color w:val="000000"/>
                <w:sz w:val="22"/>
                <w:szCs w:val="22"/>
                <w:lang w:val="en-US" w:eastAsia="en-US"/>
              </w:rPr>
            </w:pPr>
            <w:r w:rsidRPr="006E06F2">
              <w:pict>
                <v:shape id="_x0000_i1101" type="#_x0000_t75" style="width:36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A2FF4&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3A2FF4&quot;&gt;&lt;m:oMathPara&gt;&lt;m:oMath&gt;&lt;m:sSub&gt;&lt;m:sSubPr&gt;&lt;m:ctrlPr&gt;&lt;w:rPr&gt;&lt;w:rFonts w:ascii=&quot;Cambria Math&quot; w:h-ansi=&quot;Cambria Math&quot;/&gt;&lt;wx:font wx:val=&quot;Cambria Math&quot;/&gt;&lt;w:i/&gt;&lt;w:color w:val=&quot;000000&quot;/&gt;&lt;w:sz w:val=&quot;22&quot;/&gt;&lt;w:sz-cs w:val=&quot;22&quot;/&gt;&lt;w:lang w:val=&quot;EN-US&quot; w:fareast=&quot;EN-US&quot;/&gt;&lt;/w:rPr&gt;&lt;/m:ctrlPr&gt;&lt;/m:sSubPr&gt;&lt;m:e&gt;&lt;m:r&gt;&lt;w:rPr&gt;&lt;w:rFonts w:ascii=&quot;Cambria Math&quot; w:h-ansi=&quot;Cambria Math&quot;/&gt;&lt;wx:font wx:val=&quot;Cambria Math&quot;/&gt;&lt;w:i/&gt;&lt;w:color w:val=&quot;000000&quot;/&gt;&lt;w:sz w:val=&quot;22&quot;/&gt;&lt;w:sz-cs w:val=&quot;22&quot;/&gt;&lt;w:lang w:val=&quot;EN-US&quot; w:fareast=&quot;EN-US&quot;/&gt;&lt;/w:rPr&gt;&lt;m:t&gt;Î²(est)&lt;/m:t&gt;&lt;/m:r&gt;&lt;/m:e&gt;&lt;m:sub&gt;&lt;m:r&gt;&lt;w:rPr&gt;&lt;w:rFonts w:ascii=&quot;Cambria Math&quot; w:h-ansi=&quot;Cambria Math&quot;/&gt;&lt;wx:font wx:val=&quot;Cambria Math&quot;/&gt;&lt;w:i/&gt;&lt;w:color w:val=&quot;000000&quot;/&gt;&lt;w:sz w:val=&quot;22&quot;/&gt;&lt;w:sz-cs w:val=&quot;22&quot;/&gt;&lt;w:lang w:val=&quot;EN-US&quot; w:fareast=&quot;EN-US&quot;/&gt;&lt;/w:rPr&gt;&lt;m:t&gt;2&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37" o:title="" chromakey="white"/>
                </v:shape>
              </w:pict>
            </w:r>
          </w:p>
        </w:tc>
        <w:tc>
          <w:tcPr>
            <w:tcW w:w="960" w:type="dxa"/>
            <w:noWrap/>
          </w:tcPr>
          <w:p w:rsidR="00334F38" w:rsidRPr="006E06F2" w:rsidRDefault="00334F38" w:rsidP="008C6230">
            <w:pPr>
              <w:rPr>
                <w:rFonts w:ascii="Calibri" w:hAnsi="Calibri"/>
                <w:color w:val="000000"/>
                <w:sz w:val="22"/>
                <w:szCs w:val="22"/>
                <w:lang w:val="en-US" w:eastAsia="en-US"/>
              </w:rPr>
            </w:pPr>
            <w:r w:rsidRPr="006E06F2">
              <w:rPr>
                <w:rFonts w:ascii="Calibri" w:hAnsi="Calibri"/>
                <w:color w:val="000000"/>
                <w:sz w:val="22"/>
                <w:szCs w:val="22"/>
                <w:lang w:val="en-US" w:eastAsia="en-US"/>
              </w:rPr>
              <w:t>-0.135</w:t>
            </w:r>
          </w:p>
        </w:tc>
        <w:tc>
          <w:tcPr>
            <w:tcW w:w="960" w:type="dxa"/>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0.023620</w:t>
            </w:r>
          </w:p>
        </w:tc>
        <w:tc>
          <w:tcPr>
            <w:tcW w:w="1060" w:type="dxa"/>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-0.137</w:t>
            </w:r>
          </w:p>
        </w:tc>
        <w:tc>
          <w:tcPr>
            <w:tcW w:w="960" w:type="dxa"/>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-0.228</w:t>
            </w:r>
          </w:p>
        </w:tc>
        <w:tc>
          <w:tcPr>
            <w:tcW w:w="960" w:type="dxa"/>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-0.052</w:t>
            </w:r>
          </w:p>
        </w:tc>
      </w:tr>
      <w:tr w:rsidR="00334F38" w:rsidRPr="00947405" w:rsidTr="006E06F2">
        <w:trPr>
          <w:trHeight w:val="300"/>
        </w:trPr>
        <w:tc>
          <w:tcPr>
            <w:tcW w:w="1060" w:type="dxa"/>
            <w:tcBorders>
              <w:bottom w:val="single" w:sz="12" w:space="0" w:color="000000"/>
              <w:right w:val="single" w:sz="6" w:space="0" w:color="000000"/>
            </w:tcBorders>
            <w:noWrap/>
          </w:tcPr>
          <w:p w:rsidR="00334F38" w:rsidRPr="006E06F2" w:rsidRDefault="00334F38" w:rsidP="008C6230">
            <w:pPr>
              <w:rPr>
                <w:color w:val="000000"/>
                <w:sz w:val="22"/>
                <w:szCs w:val="22"/>
                <w:lang w:val="en-US" w:eastAsia="en-US"/>
              </w:rPr>
            </w:pPr>
            <w:r w:rsidRPr="006E06F2">
              <w:pict>
                <v:shape id="_x0000_i1102" type="#_x0000_t75" style="width:36pt;height:11.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3F32&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5A3F32&quot;&gt;&lt;m:oMathPara&gt;&lt;m:oMath&gt;&lt;m:sSub&gt;&lt;m:sSubPr&gt;&lt;m:ctrlPr&gt;&lt;w:rPr&gt;&lt;w:rFonts w:ascii=&quot;Cambria Math&quot; w:h-ansi=&quot;Cambria Math&quot;/&gt;&lt;wx:font wx:val=&quot;Cambria Math&quot;/&gt;&lt;w:i/&gt;&lt;w:color w:val=&quot;000000&quot;/&gt;&lt;w:sz w:val=&quot;22&quot;/&gt;&lt;w:sz-cs w:val=&quot;22&quot;/&gt;&lt;w:lang w:val=&quot;EN-US&quot; w:fareast=&quot;EN-US&quot;/&gt;&lt;/w:rPr&gt;&lt;/m:ctrlPr&gt;&lt;/m:sSubPr&gt;&lt;m:e&gt;&lt;m:r&gt;&lt;w:rPr&gt;&lt;w:rFonts w:ascii=&quot;Cambria Math&quot; w:h-ansi=&quot;Cambria Math&quot;/&gt;&lt;wx:font wx:val=&quot;Cambria Math&quot;/&gt;&lt;w:i/&gt;&lt;w:color w:val=&quot;000000&quot;/&gt;&lt;w:sz w:val=&quot;22&quot;/&gt;&lt;w:sz-cs w:val=&quot;22&quot;/&gt;&lt;w:lang w:val=&quot;EN-US&quot; w:fareast=&quot;EN-US&quot;/&gt;&lt;/w:rPr&gt;&lt;m:t&gt;Î²(est)&lt;/m:t&gt;&lt;/m:r&gt;&lt;/m:e&gt;&lt;m:sub&gt;&lt;m:r&gt;&lt;w:rPr&gt;&lt;w:rFonts w:ascii=&quot;Cambria Math&quot; w:h-ansi=&quot;Cambria Math&quot;/&gt;&lt;wx:font wx:val=&quot;Cambria Math&quot;/&gt;&lt;w:i/&gt;&lt;w:color w:val=&quot;000000&quot;/&gt;&lt;w:sz w:val=&quot;22&quot;/&gt;&lt;w:sz-cs w:val=&quot;22&quot;/&gt;&lt;w:lang w:val=&quot;EN-US&quot; w:fareast=&quot;EN-US&quot;/&gt;&lt;/w:rPr&gt;&lt;m:t&gt;3&lt;/m:t&gt;&lt;/m:r&gt;&lt;/m:sub&gt;&lt;/m:sSub&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45" o:title="" chromakey="white"/>
                </v:shape>
              </w:pict>
            </w:r>
          </w:p>
        </w:tc>
        <w:tc>
          <w:tcPr>
            <w:tcW w:w="960" w:type="dxa"/>
            <w:tcBorders>
              <w:bottom w:val="single" w:sz="12" w:space="0" w:color="000000"/>
            </w:tcBorders>
            <w:noWrap/>
          </w:tcPr>
          <w:p w:rsidR="00334F38" w:rsidRPr="006E06F2" w:rsidRDefault="00334F38" w:rsidP="008C6230">
            <w:pPr>
              <w:rPr>
                <w:rFonts w:ascii="Calibri" w:hAnsi="Calibri"/>
                <w:color w:val="000000"/>
                <w:sz w:val="22"/>
                <w:szCs w:val="22"/>
                <w:lang w:val="en-US" w:eastAsia="en-US"/>
              </w:rPr>
            </w:pPr>
            <w:r w:rsidRPr="006E06F2">
              <w:rPr>
                <w:rFonts w:ascii="Calibri" w:hAnsi="Calibri"/>
                <w:color w:val="000000"/>
                <w:sz w:val="22"/>
                <w:szCs w:val="22"/>
                <w:lang w:val="en-US" w:eastAsia="en-US"/>
              </w:rPr>
              <w:t>-0.429</w:t>
            </w:r>
          </w:p>
        </w:tc>
        <w:tc>
          <w:tcPr>
            <w:tcW w:w="960" w:type="dxa"/>
            <w:tcBorders>
              <w:bottom w:val="single" w:sz="12" w:space="0" w:color="000000"/>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0.062463</w:t>
            </w:r>
          </w:p>
        </w:tc>
        <w:tc>
          <w:tcPr>
            <w:tcW w:w="1060" w:type="dxa"/>
            <w:tcBorders>
              <w:bottom w:val="single" w:sz="12" w:space="0" w:color="000000"/>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-0.426</w:t>
            </w:r>
          </w:p>
        </w:tc>
        <w:tc>
          <w:tcPr>
            <w:tcW w:w="960" w:type="dxa"/>
            <w:tcBorders>
              <w:bottom w:val="single" w:sz="12" w:space="0" w:color="000000"/>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-0.623</w:t>
            </w:r>
          </w:p>
        </w:tc>
        <w:tc>
          <w:tcPr>
            <w:tcW w:w="960" w:type="dxa"/>
            <w:tcBorders>
              <w:bottom w:val="single" w:sz="12" w:space="0" w:color="000000"/>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-0.167</w:t>
            </w:r>
          </w:p>
        </w:tc>
      </w:tr>
    </w:tbl>
    <w:p w:rsidR="00334F38" w:rsidRDefault="00334F38" w:rsidP="004267EA">
      <w:pPr>
        <w:autoSpaceDE w:val="0"/>
        <w:autoSpaceDN w:val="0"/>
        <w:adjustRightInd w:val="0"/>
        <w:spacing w:line="360" w:lineRule="auto"/>
        <w:rPr>
          <w:i/>
          <w:sz w:val="20"/>
          <w:szCs w:val="20"/>
          <w:lang w:val="en-US"/>
        </w:rPr>
      </w:pPr>
      <w:r w:rsidRPr="00F05AC1">
        <w:rPr>
          <w:b/>
          <w:sz w:val="20"/>
          <w:szCs w:val="20"/>
          <w:lang w:val="en-US"/>
        </w:rPr>
        <w:t xml:space="preserve">Table </w:t>
      </w:r>
      <w:r>
        <w:rPr>
          <w:b/>
          <w:sz w:val="20"/>
          <w:szCs w:val="20"/>
          <w:lang w:val="en-US"/>
        </w:rPr>
        <w:t>7</w:t>
      </w:r>
      <w:r>
        <w:rPr>
          <w:sz w:val="20"/>
          <w:szCs w:val="20"/>
          <w:lang w:val="en-US"/>
        </w:rPr>
        <w:t xml:space="preserve">: </w:t>
      </w:r>
      <w:r w:rsidRPr="003F71EF">
        <w:rPr>
          <w:i/>
          <w:sz w:val="20"/>
          <w:szCs w:val="20"/>
          <w:lang w:val="en-US"/>
        </w:rPr>
        <w:t>Mean estimates CF-Jones model. N=482</w:t>
      </w:r>
    </w:p>
    <w:p w:rsidR="00334F38" w:rsidRDefault="00334F38" w:rsidP="004267EA">
      <w:pPr>
        <w:autoSpaceDE w:val="0"/>
        <w:autoSpaceDN w:val="0"/>
        <w:adjustRightInd w:val="0"/>
        <w:spacing w:line="360" w:lineRule="auto"/>
        <w:rPr>
          <w:i/>
          <w:sz w:val="20"/>
          <w:szCs w:val="20"/>
          <w:lang w:val="en-US"/>
        </w:rPr>
      </w:pPr>
    </w:p>
    <w:p w:rsidR="00334F38" w:rsidRDefault="00334F38" w:rsidP="008F65BD">
      <w:pPr>
        <w:autoSpaceDE w:val="0"/>
        <w:autoSpaceDN w:val="0"/>
        <w:adjustRightInd w:val="0"/>
        <w:spacing w:line="360" w:lineRule="auto"/>
        <w:rPr>
          <w:lang w:val="en-US"/>
        </w:rPr>
      </w:pPr>
      <w:r>
        <w:rPr>
          <w:lang w:val="en-US"/>
        </w:rPr>
        <w:t xml:space="preserve">Finally, table 8 summarizes the result of the t-test with regards to the performance matched </w:t>
      </w:r>
    </w:p>
    <w:p w:rsidR="00334F38" w:rsidRDefault="00334F38" w:rsidP="008F65BD">
      <w:pPr>
        <w:autoSpaceDE w:val="0"/>
        <w:autoSpaceDN w:val="0"/>
        <w:adjustRightInd w:val="0"/>
        <w:spacing w:line="360" w:lineRule="auto"/>
        <w:rPr>
          <w:lang w:val="en-US"/>
        </w:rPr>
      </w:pPr>
      <w:r>
        <w:rPr>
          <w:lang w:val="en-US"/>
        </w:rPr>
        <w:t xml:space="preserve">discretionary accruals using the CF-Jones model, where there are significant </w:t>
      </w:r>
      <w:r w:rsidRPr="00496E40">
        <w:rPr>
          <w:i/>
          <w:lang w:val="en-US"/>
        </w:rPr>
        <w:t>(p=0.2</w:t>
      </w:r>
      <w:r>
        <w:rPr>
          <w:lang w:val="en-US"/>
        </w:rPr>
        <w:t>) signs of negative discretionary accruals.</w:t>
      </w:r>
    </w:p>
    <w:tbl>
      <w:tblPr>
        <w:tblpPr w:leftFromText="180" w:rightFromText="180" w:vertAnchor="page" w:horzAnchor="margin" w:tblpY="4188"/>
        <w:tblW w:w="7900" w:type="dxa"/>
        <w:tblBorders>
          <w:top w:val="single" w:sz="12" w:space="0" w:color="000000"/>
          <w:bottom w:val="single" w:sz="12" w:space="0" w:color="000000"/>
        </w:tblBorders>
        <w:tblLook w:val="00A0"/>
      </w:tblPr>
      <w:tblGrid>
        <w:gridCol w:w="1160"/>
        <w:gridCol w:w="960"/>
        <w:gridCol w:w="1900"/>
        <w:gridCol w:w="960"/>
        <w:gridCol w:w="960"/>
        <w:gridCol w:w="960"/>
        <w:gridCol w:w="1000"/>
      </w:tblGrid>
      <w:tr w:rsidR="00334F38" w:rsidRPr="004E587C" w:rsidTr="006E06F2">
        <w:trPr>
          <w:trHeight w:val="300"/>
        </w:trPr>
        <w:tc>
          <w:tcPr>
            <w:tcW w:w="1160" w:type="dxa"/>
            <w:tcBorders>
              <w:top w:val="single" w:sz="12" w:space="0" w:color="000000"/>
              <w:bottom w:val="single" w:sz="6" w:space="0" w:color="000000"/>
              <w:right w:val="single" w:sz="6" w:space="0" w:color="000000"/>
            </w:tcBorders>
            <w:noWrap/>
          </w:tcPr>
          <w:p w:rsidR="00334F38" w:rsidRPr="006E06F2" w:rsidRDefault="00334F38" w:rsidP="006E06F2">
            <w:pPr>
              <w:rPr>
                <w:rFonts w:ascii="Calibri" w:hAnsi="Calibri"/>
                <w:b/>
                <w:bCs/>
                <w:i/>
                <w:iCs/>
                <w:color w:val="FFFFFF"/>
                <w:sz w:val="22"/>
                <w:szCs w:val="22"/>
                <w:lang w:val="en-US" w:eastAsia="en-US"/>
              </w:rPr>
            </w:pPr>
          </w:p>
        </w:tc>
        <w:tc>
          <w:tcPr>
            <w:tcW w:w="960" w:type="dxa"/>
            <w:tcBorders>
              <w:top w:val="single" w:sz="12" w:space="0" w:color="000000"/>
              <w:bottom w:val="single" w:sz="6" w:space="0" w:color="000000"/>
            </w:tcBorders>
            <w:noWrap/>
          </w:tcPr>
          <w:p w:rsidR="00334F38" w:rsidRPr="006E06F2" w:rsidRDefault="00334F38" w:rsidP="006E06F2">
            <w:pPr>
              <w:rPr>
                <w:rFonts w:ascii="Cambria" w:hAnsi="Cambria"/>
                <w:b/>
                <w:bCs/>
                <w:i/>
                <w:iCs/>
                <w:sz w:val="22"/>
                <w:szCs w:val="22"/>
                <w:lang w:val="en-US" w:eastAsia="en-US"/>
              </w:rPr>
            </w:pPr>
            <w:r w:rsidRPr="006E06F2">
              <w:rPr>
                <w:rFonts w:ascii="Cambria" w:hAnsi="Cambria"/>
                <w:b/>
                <w:bCs/>
                <w:i/>
                <w:iCs/>
                <w:sz w:val="22"/>
                <w:szCs w:val="22"/>
                <w:lang w:val="en-US" w:eastAsia="en-US"/>
              </w:rPr>
              <w:t xml:space="preserve">           N</w:t>
            </w:r>
          </w:p>
        </w:tc>
        <w:tc>
          <w:tcPr>
            <w:tcW w:w="1900" w:type="dxa"/>
            <w:tcBorders>
              <w:top w:val="single" w:sz="12" w:space="0" w:color="000000"/>
              <w:bottom w:val="single" w:sz="6" w:space="0" w:color="000000"/>
            </w:tcBorders>
            <w:noWrap/>
          </w:tcPr>
          <w:p w:rsidR="00334F38" w:rsidRPr="006E06F2" w:rsidRDefault="00334F38" w:rsidP="006E06F2">
            <w:pPr>
              <w:rPr>
                <w:rFonts w:ascii="Cambria" w:hAnsi="Cambria"/>
                <w:b/>
                <w:bCs/>
                <w:i/>
                <w:iCs/>
                <w:sz w:val="22"/>
                <w:szCs w:val="22"/>
                <w:lang w:val="en-US" w:eastAsia="en-US"/>
              </w:rPr>
            </w:pPr>
            <w:r w:rsidRPr="006E06F2">
              <w:rPr>
                <w:rFonts w:ascii="Cambria" w:hAnsi="Cambria"/>
                <w:b/>
                <w:bCs/>
                <w:i/>
                <w:iCs/>
                <w:sz w:val="22"/>
                <w:szCs w:val="22"/>
                <w:lang w:val="en-US" w:eastAsia="en-US"/>
              </w:rPr>
              <w:t xml:space="preserve"> Mean Difference</w:t>
            </w:r>
          </w:p>
        </w:tc>
        <w:tc>
          <w:tcPr>
            <w:tcW w:w="960" w:type="dxa"/>
            <w:tcBorders>
              <w:top w:val="single" w:sz="12" w:space="0" w:color="000000"/>
              <w:bottom w:val="single" w:sz="6" w:space="0" w:color="000000"/>
            </w:tcBorders>
            <w:noWrap/>
          </w:tcPr>
          <w:p w:rsidR="00334F38" w:rsidRPr="006E06F2" w:rsidRDefault="00334F38" w:rsidP="006E06F2">
            <w:pPr>
              <w:rPr>
                <w:rFonts w:ascii="Cambria" w:hAnsi="Cambria"/>
                <w:b/>
                <w:bCs/>
                <w:i/>
                <w:iCs/>
                <w:sz w:val="22"/>
                <w:szCs w:val="22"/>
                <w:lang w:val="en-US" w:eastAsia="en-US"/>
              </w:rPr>
            </w:pPr>
            <w:r w:rsidRPr="006E06F2">
              <w:rPr>
                <w:rFonts w:ascii="Cambria" w:hAnsi="Cambria"/>
                <w:b/>
                <w:bCs/>
                <w:i/>
                <w:iCs/>
                <w:sz w:val="22"/>
                <w:szCs w:val="22"/>
                <w:lang w:val="en-US" w:eastAsia="en-US"/>
              </w:rPr>
              <w:t xml:space="preserve">  Lower</w:t>
            </w:r>
          </w:p>
        </w:tc>
        <w:tc>
          <w:tcPr>
            <w:tcW w:w="960" w:type="dxa"/>
            <w:tcBorders>
              <w:top w:val="single" w:sz="12" w:space="0" w:color="000000"/>
              <w:bottom w:val="single" w:sz="6" w:space="0" w:color="000000"/>
            </w:tcBorders>
            <w:noWrap/>
          </w:tcPr>
          <w:p w:rsidR="00334F38" w:rsidRPr="006E06F2" w:rsidRDefault="00334F38" w:rsidP="006E06F2">
            <w:pPr>
              <w:rPr>
                <w:rFonts w:ascii="Cambria" w:hAnsi="Cambria"/>
                <w:b/>
                <w:bCs/>
                <w:i/>
                <w:iCs/>
                <w:sz w:val="22"/>
                <w:szCs w:val="22"/>
                <w:lang w:val="en-US" w:eastAsia="en-US"/>
              </w:rPr>
            </w:pPr>
            <w:r w:rsidRPr="006E06F2">
              <w:rPr>
                <w:rFonts w:ascii="Cambria" w:hAnsi="Cambria"/>
                <w:b/>
                <w:bCs/>
                <w:i/>
                <w:iCs/>
                <w:sz w:val="22"/>
                <w:szCs w:val="22"/>
                <w:lang w:val="en-US" w:eastAsia="en-US"/>
              </w:rPr>
              <w:t xml:space="preserve">  Upper</w:t>
            </w:r>
          </w:p>
        </w:tc>
        <w:tc>
          <w:tcPr>
            <w:tcW w:w="960" w:type="dxa"/>
            <w:tcBorders>
              <w:top w:val="single" w:sz="12" w:space="0" w:color="000000"/>
              <w:bottom w:val="single" w:sz="6" w:space="0" w:color="000000"/>
            </w:tcBorders>
            <w:noWrap/>
          </w:tcPr>
          <w:p w:rsidR="00334F38" w:rsidRPr="006E06F2" w:rsidRDefault="00334F38" w:rsidP="006E06F2">
            <w:pPr>
              <w:rPr>
                <w:rFonts w:ascii="Cambria" w:hAnsi="Cambria"/>
                <w:b/>
                <w:bCs/>
                <w:i/>
                <w:iCs/>
                <w:sz w:val="22"/>
                <w:szCs w:val="22"/>
                <w:lang w:val="en-US" w:eastAsia="en-US"/>
              </w:rPr>
            </w:pPr>
            <w:r w:rsidRPr="006E06F2">
              <w:rPr>
                <w:rFonts w:ascii="Cambria" w:hAnsi="Cambria"/>
                <w:b/>
                <w:bCs/>
                <w:i/>
                <w:iCs/>
                <w:sz w:val="22"/>
                <w:szCs w:val="22"/>
                <w:lang w:val="en-US" w:eastAsia="en-US"/>
              </w:rPr>
              <w:t xml:space="preserve">          t</w:t>
            </w:r>
          </w:p>
        </w:tc>
        <w:tc>
          <w:tcPr>
            <w:tcW w:w="1000" w:type="dxa"/>
            <w:tcBorders>
              <w:top w:val="single" w:sz="12" w:space="0" w:color="000000"/>
              <w:bottom w:val="single" w:sz="6" w:space="0" w:color="000000"/>
            </w:tcBorders>
            <w:noWrap/>
          </w:tcPr>
          <w:p w:rsidR="00334F38" w:rsidRPr="006E06F2" w:rsidRDefault="00334F38" w:rsidP="006E06F2">
            <w:pPr>
              <w:rPr>
                <w:rFonts w:ascii="Cambria" w:hAnsi="Cambria"/>
                <w:b/>
                <w:bCs/>
                <w:i/>
                <w:iCs/>
                <w:sz w:val="22"/>
                <w:szCs w:val="22"/>
                <w:lang w:val="en-US" w:eastAsia="en-US"/>
              </w:rPr>
            </w:pPr>
            <w:r w:rsidRPr="006E06F2">
              <w:rPr>
                <w:rFonts w:ascii="Cambria" w:hAnsi="Cambria"/>
                <w:b/>
                <w:bCs/>
                <w:i/>
                <w:iCs/>
                <w:sz w:val="22"/>
                <w:szCs w:val="22"/>
                <w:lang w:val="en-US" w:eastAsia="en-US"/>
              </w:rPr>
              <w:t xml:space="preserve"> p value</w:t>
            </w:r>
          </w:p>
        </w:tc>
      </w:tr>
      <w:tr w:rsidR="00334F38" w:rsidRPr="004E587C" w:rsidTr="006E06F2">
        <w:trPr>
          <w:trHeight w:val="300"/>
        </w:trPr>
        <w:tc>
          <w:tcPr>
            <w:tcW w:w="1160" w:type="dxa"/>
            <w:tcBorders>
              <w:bottom w:val="single" w:sz="12" w:space="0" w:color="000000"/>
              <w:right w:val="single" w:sz="6" w:space="0" w:color="000000"/>
            </w:tcBorders>
            <w:noWrap/>
          </w:tcPr>
          <w:p w:rsidR="00334F38" w:rsidRPr="006E06F2" w:rsidRDefault="00334F38" w:rsidP="006E06F2">
            <w:pPr>
              <w:rPr>
                <w:rFonts w:ascii="Cambria" w:hAnsi="Cambria"/>
                <w:color w:val="000000"/>
                <w:sz w:val="22"/>
                <w:szCs w:val="22"/>
                <w:lang w:val="en-US" w:eastAsia="en-US"/>
              </w:rPr>
            </w:pPr>
            <w:r w:rsidRPr="006E06F2">
              <w:rPr>
                <w:rFonts w:ascii="Cambria" w:hAnsi="Cambria"/>
                <w:color w:val="000000"/>
                <w:sz w:val="22"/>
                <w:szCs w:val="22"/>
                <w:lang w:val="en-US" w:eastAsia="en-US"/>
              </w:rPr>
              <w:t>PDA</w:t>
            </w:r>
          </w:p>
        </w:tc>
        <w:tc>
          <w:tcPr>
            <w:tcW w:w="960" w:type="dxa"/>
            <w:tcBorders>
              <w:bottom w:val="single" w:sz="12" w:space="0" w:color="000000"/>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194</w:t>
            </w:r>
          </w:p>
        </w:tc>
        <w:tc>
          <w:tcPr>
            <w:tcW w:w="1900" w:type="dxa"/>
            <w:tcBorders>
              <w:bottom w:val="single" w:sz="12" w:space="0" w:color="000000"/>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-0.0179</w:t>
            </w:r>
          </w:p>
        </w:tc>
        <w:tc>
          <w:tcPr>
            <w:tcW w:w="960" w:type="dxa"/>
            <w:tcBorders>
              <w:bottom w:val="single" w:sz="12" w:space="0" w:color="000000"/>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-0.0482</w:t>
            </w:r>
          </w:p>
        </w:tc>
        <w:tc>
          <w:tcPr>
            <w:tcW w:w="960" w:type="dxa"/>
            <w:tcBorders>
              <w:bottom w:val="single" w:sz="12" w:space="0" w:color="000000"/>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0.0137</w:t>
            </w:r>
          </w:p>
        </w:tc>
        <w:tc>
          <w:tcPr>
            <w:tcW w:w="960" w:type="dxa"/>
            <w:tcBorders>
              <w:bottom w:val="single" w:sz="12" w:space="0" w:color="000000"/>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-3.02</w:t>
            </w:r>
          </w:p>
        </w:tc>
        <w:tc>
          <w:tcPr>
            <w:tcW w:w="1000" w:type="dxa"/>
            <w:tcBorders>
              <w:bottom w:val="single" w:sz="12" w:space="0" w:color="000000"/>
            </w:tcBorders>
            <w:noWrap/>
          </w:tcPr>
          <w:p w:rsidR="00334F38" w:rsidRPr="006E06F2" w:rsidRDefault="00334F38" w:rsidP="006E06F2">
            <w:pPr>
              <w:jc w:val="right"/>
              <w:rPr>
                <w:rFonts w:ascii="Calibri" w:hAnsi="Calibri"/>
                <w:color w:val="000000"/>
                <w:sz w:val="22"/>
                <w:szCs w:val="22"/>
                <w:lang w:val="en-US" w:eastAsia="en-US"/>
              </w:rPr>
            </w:pPr>
            <w:r w:rsidRPr="006E06F2">
              <w:rPr>
                <w:rFonts w:ascii="Calibri" w:hAnsi="Calibri"/>
                <w:color w:val="000000"/>
                <w:sz w:val="22"/>
                <w:szCs w:val="22"/>
                <w:lang w:val="en-US" w:eastAsia="en-US"/>
              </w:rPr>
              <w:t>0.020</w:t>
            </w:r>
          </w:p>
        </w:tc>
      </w:tr>
    </w:tbl>
    <w:p w:rsidR="00334F38" w:rsidRDefault="00334F38" w:rsidP="008F65BD">
      <w:pPr>
        <w:autoSpaceDE w:val="0"/>
        <w:autoSpaceDN w:val="0"/>
        <w:adjustRightInd w:val="0"/>
        <w:spacing w:line="360" w:lineRule="auto"/>
        <w:rPr>
          <w:lang w:val="en-US"/>
        </w:rPr>
      </w:pPr>
    </w:p>
    <w:p w:rsidR="00334F38" w:rsidRDefault="00334F38" w:rsidP="008F65BD">
      <w:pPr>
        <w:autoSpaceDE w:val="0"/>
        <w:autoSpaceDN w:val="0"/>
        <w:adjustRightInd w:val="0"/>
        <w:spacing w:line="360" w:lineRule="auto"/>
        <w:rPr>
          <w:lang w:val="en-US"/>
        </w:rPr>
      </w:pPr>
    </w:p>
    <w:p w:rsidR="00334F38" w:rsidRDefault="00334F38" w:rsidP="008F65BD">
      <w:pPr>
        <w:autoSpaceDE w:val="0"/>
        <w:autoSpaceDN w:val="0"/>
        <w:adjustRightInd w:val="0"/>
        <w:spacing w:line="360" w:lineRule="auto"/>
        <w:rPr>
          <w:lang w:val="en-US"/>
        </w:rPr>
      </w:pPr>
    </w:p>
    <w:p w:rsidR="00334F38" w:rsidRDefault="00334F38" w:rsidP="008F65BD">
      <w:pPr>
        <w:autoSpaceDE w:val="0"/>
        <w:autoSpaceDN w:val="0"/>
        <w:adjustRightInd w:val="0"/>
        <w:spacing w:line="360" w:lineRule="auto"/>
        <w:rPr>
          <w:lang w:val="en-US"/>
        </w:rPr>
      </w:pPr>
      <w:r w:rsidRPr="008F65BD">
        <w:rPr>
          <w:b/>
          <w:sz w:val="20"/>
          <w:szCs w:val="20"/>
          <w:lang w:val="en-US"/>
        </w:rPr>
        <w:t xml:space="preserve">Table </w:t>
      </w:r>
      <w:r>
        <w:rPr>
          <w:b/>
          <w:sz w:val="20"/>
          <w:szCs w:val="20"/>
          <w:lang w:val="en-US"/>
        </w:rPr>
        <w:t>8</w:t>
      </w:r>
      <w:r>
        <w:rPr>
          <w:sz w:val="20"/>
          <w:szCs w:val="20"/>
          <w:lang w:val="en-US"/>
        </w:rPr>
        <w:t xml:space="preserve">: </w:t>
      </w:r>
      <w:r w:rsidRPr="008F65BD">
        <w:rPr>
          <w:i/>
          <w:sz w:val="20"/>
          <w:szCs w:val="20"/>
          <w:lang w:val="en-US"/>
        </w:rPr>
        <w:t>Performance matched discretionary accruals using the CF-Jones model</w:t>
      </w:r>
    </w:p>
    <w:p w:rsidR="00334F38" w:rsidRDefault="00334F38" w:rsidP="008F65BD">
      <w:pPr>
        <w:autoSpaceDE w:val="0"/>
        <w:autoSpaceDN w:val="0"/>
        <w:adjustRightInd w:val="0"/>
        <w:spacing w:line="360" w:lineRule="auto"/>
        <w:rPr>
          <w:lang w:val="en-US"/>
        </w:rPr>
      </w:pPr>
    </w:p>
    <w:p w:rsidR="00334F38" w:rsidRDefault="00334F38" w:rsidP="008F65BD">
      <w:pPr>
        <w:autoSpaceDE w:val="0"/>
        <w:autoSpaceDN w:val="0"/>
        <w:adjustRightInd w:val="0"/>
        <w:spacing w:line="360" w:lineRule="auto"/>
        <w:rPr>
          <w:lang w:val="en-US"/>
        </w:rPr>
      </w:pPr>
      <w:r>
        <w:rPr>
          <w:lang w:val="en-US"/>
        </w:rPr>
        <w:t xml:space="preserve">The use of the CF-Jones model as a robustness check has produced near similar results pertaining to the existence of decreased earnings management in 2008. Furthermore, the mean </w:t>
      </w:r>
      <w:r w:rsidRPr="006E06F2">
        <w:rPr>
          <w:lang w:val="en-US"/>
        </w:rPr>
        <w:fldChar w:fldCharType="begin"/>
      </w:r>
      <w:r w:rsidRPr="006E06F2">
        <w:rPr>
          <w:lang w:val="en-US"/>
        </w:rPr>
        <w:instrText xml:space="preserve"> QUOTE </w:instrText>
      </w:r>
      <w:r w:rsidRPr="006E06F2">
        <w:pict>
          <v:shape id="_x0000_i1103" type="#_x0000_t75" style="width:15pt;height:12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26E&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78426E&quot;&gt;&lt;m:oMathPara&gt;&lt;m:oMath&gt;&lt;m:sSup&gt;&lt;m:sSupPr&gt;&lt;m:ctrlPr&gt;&lt;w:rPr&gt;&lt;w:rFonts w:ascii=&quot;Cambria Math&quot; w:h-ansi=&quot;Cambria Math&quot;/&gt;&lt;wx:font wx:val=&quot;Cambria Math&quot;/&gt;&lt;w:i/&gt;&lt;w:lang w:val=&quot;EN-US&quot;/&gt;&lt;/w:rPr&gt;&lt;/m:ctrlPr&gt;&lt;/m:sSupPr&gt;&lt;m:e&gt;&lt;m:r&gt;&lt;w:rPr&gt;&lt;w:rFonts w:ascii=&quot;Cambria Math&quot; w:h-ansi=&quot;Cambria Math&quot;/&gt;&lt;wx:font wx:val=&quot;Cambria Math&quot;/&gt;&lt;w:i/&gt;&lt;w:lang w:val=&quot;EN-US&quot;/&gt;&lt;/w:rPr&gt;&lt;m:t&gt;R&lt;/m:t&gt;&lt;/m:r&gt;&lt;/m:e&gt;&lt;m:sup&gt;&lt;m:r&gt;&lt;w:rPr&gt;&lt;w:rFonts w:ascii=&quot;Cambria Math&quot; w:h-ansi=&quot;Cambria Math&quot;/&gt;&lt;wx:font wx:val=&quot;Cambria Math&quot;/&gt;&lt;w:i/&gt;&lt;w:lang w:val=&quot;EN-US&quot;/&gt;&lt;/w:rPr&gt;&lt;m:t&gt;2&lt;/m:t&gt;&lt;/m:r&gt;&lt;/m:sup&gt;&lt;/m:sSup&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39" o:title="" chromakey="white"/>
          </v:shape>
        </w:pict>
      </w:r>
      <w:r w:rsidRPr="006E06F2">
        <w:rPr>
          <w:lang w:val="en-US"/>
        </w:rPr>
        <w:instrText xml:space="preserve"> </w:instrText>
      </w:r>
      <w:r w:rsidRPr="006E06F2">
        <w:rPr>
          <w:lang w:val="en-US"/>
        </w:rPr>
        <w:fldChar w:fldCharType="separate"/>
      </w:r>
      <w:r w:rsidRPr="006E06F2">
        <w:pict>
          <v:shape id="_x0000_i1104" type="#_x0000_t75" style="width:15pt;height:12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26E&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78426E&quot;&gt;&lt;m:oMathPara&gt;&lt;m:oMath&gt;&lt;m:sSup&gt;&lt;m:sSupPr&gt;&lt;m:ctrlPr&gt;&lt;w:rPr&gt;&lt;w:rFonts w:ascii=&quot;Cambria Math&quot; w:h-ansi=&quot;Cambria Math&quot;/&gt;&lt;wx:font wx:val=&quot;Cambria Math&quot;/&gt;&lt;w:i/&gt;&lt;w:lang w:val=&quot;EN-US&quot;/&gt;&lt;/w:rPr&gt;&lt;/m:ctrlPr&gt;&lt;/m:sSupPr&gt;&lt;m:e&gt;&lt;m:r&gt;&lt;w:rPr&gt;&lt;w:rFonts w:ascii=&quot;Cambria Math&quot; w:h-ansi=&quot;Cambria Math&quot;/&gt;&lt;wx:font wx:val=&quot;Cambria Math&quot;/&gt;&lt;w:i/&gt;&lt;w:lang w:val=&quot;EN-US&quot;/&gt;&lt;/w:rPr&gt;&lt;m:t&gt;R&lt;/m:t&gt;&lt;/m:r&gt;&lt;/m:e&gt;&lt;m:sup&gt;&lt;m:r&gt;&lt;w:rPr&gt;&lt;w:rFonts w:ascii=&quot;Cambria Math&quot; w:h-ansi=&quot;Cambria Math&quot;/&gt;&lt;wx:font wx:val=&quot;Cambria Math&quot;/&gt;&lt;w:i/&gt;&lt;w:lang w:val=&quot;EN-US&quot;/&gt;&lt;/w:rPr&gt;&lt;m:t&gt;2&lt;/m:t&gt;&lt;/m:r&gt;&lt;/m:sup&gt;&lt;/m:sSup&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39" o:title="" chromakey="white"/>
          </v:shape>
        </w:pict>
      </w:r>
      <w:r w:rsidRPr="006E06F2">
        <w:rPr>
          <w:lang w:val="en-US"/>
        </w:rPr>
        <w:fldChar w:fldCharType="end"/>
      </w:r>
      <w:r>
        <w:rPr>
          <w:lang w:val="en-US"/>
        </w:rPr>
        <w:t xml:space="preserve"> of the regressions across industries using the CF-Jones model average out to about 39 percent, which is a rise in explanatory power of nearly 7% when compared to the results generated by the modified Jones model. </w:t>
      </w:r>
    </w:p>
    <w:p w:rsidR="00334F38" w:rsidRDefault="00334F38" w:rsidP="008F65BD">
      <w:pPr>
        <w:autoSpaceDE w:val="0"/>
        <w:autoSpaceDN w:val="0"/>
        <w:adjustRightInd w:val="0"/>
        <w:spacing w:line="360" w:lineRule="auto"/>
        <w:rPr>
          <w:lang w:val="en-US"/>
        </w:rPr>
      </w:pPr>
    </w:p>
    <w:p w:rsidR="00334F38" w:rsidRPr="008C6230" w:rsidRDefault="00334F38" w:rsidP="008F65BD">
      <w:pPr>
        <w:autoSpaceDE w:val="0"/>
        <w:autoSpaceDN w:val="0"/>
        <w:adjustRightInd w:val="0"/>
        <w:spacing w:line="360" w:lineRule="auto"/>
        <w:rPr>
          <w:i/>
          <w:lang w:val="en-US"/>
        </w:rPr>
      </w:pPr>
      <w:r>
        <w:rPr>
          <w:i/>
          <w:lang w:val="en-US"/>
        </w:rPr>
        <w:t>6.2.4 Motivation for Decreased</w:t>
      </w:r>
      <w:r w:rsidRPr="008C6230">
        <w:rPr>
          <w:i/>
          <w:lang w:val="en-US"/>
        </w:rPr>
        <w:t xml:space="preserve"> Earnings Management</w:t>
      </w:r>
    </w:p>
    <w:p w:rsidR="00334F38" w:rsidRDefault="00334F38" w:rsidP="008F65BD">
      <w:pPr>
        <w:autoSpaceDE w:val="0"/>
        <w:autoSpaceDN w:val="0"/>
        <w:adjustRightInd w:val="0"/>
        <w:spacing w:line="360" w:lineRule="auto"/>
        <w:rPr>
          <w:lang w:val="en-US"/>
        </w:rPr>
      </w:pPr>
      <w:r>
        <w:rPr>
          <w:lang w:val="en-US"/>
        </w:rPr>
        <w:t xml:space="preserve"> So what could be the possible reasons for management to partake in decreasing earnings management during times of financial crisis instead of taking accrual increasing measures to dampen the blow of financial hardship? </w:t>
      </w:r>
    </w:p>
    <w:p w:rsidR="00334F38" w:rsidRDefault="00334F38" w:rsidP="004267EA">
      <w:pPr>
        <w:autoSpaceDE w:val="0"/>
        <w:autoSpaceDN w:val="0"/>
        <w:adjustRightInd w:val="0"/>
        <w:spacing w:line="360" w:lineRule="auto"/>
        <w:rPr>
          <w:lang w:val="en-US" w:eastAsia="en-US"/>
        </w:rPr>
      </w:pPr>
      <w:r>
        <w:rPr>
          <w:lang w:val="en-US"/>
        </w:rPr>
        <w:t xml:space="preserve">As mentioned in chapter 4, the core level for managements earnings tendencies are related to the firm’s performance in relation to a certain benchmark. The benchmark can be set in a number of different ways. It could relate to previous periods performance (to show current year’s performance improvement), expectations of analysts (where to end goal is to meet or beat these expectations), or whatever benchmark is set in managements compensation contract. You can imagine their desire to manage earnings upwards to realize a bonus boost if managers fall just a few cents short of hitter the target. This is probably the reason why firms missing their target by a few cents is tens of times less likely to happen than firms making or exceeding their target (Burgstahler &amp; Dichev, 1997; </w:t>
      </w:r>
      <w:r>
        <w:rPr>
          <w:rFonts w:ascii="Times-Roman" w:hAnsi="Times-Roman" w:cs="Times-Roman"/>
          <w:lang w:val="en-US" w:eastAsia="en-US"/>
        </w:rPr>
        <w:t xml:space="preserve">DeGeorge, Patel and Zeckhauser, 1999). To get more in line with the findings in Table 4, different incentives arise when firms exhibit poor performance in times of crisis during which firms are likely to be way below their targets. Firstly, it is unlikely that any amount of earnings management will help executives reach their targets. Secondly, the cost of being even worse is minimal when the firm is already way below target. This is the situation in which ‘big-bath’ accounting takes place. Here firms will make big provisions for bad debts, take large restructuring charges and other income decreasing accounting measures. This will result in expenses that would not be recognized in the future and will thereby lead to future income boosts. Additionally, executives enjoy greater credit for turning around a firm, even though an essential portion of the turnaround may be due to the accounting choices made </w:t>
      </w:r>
      <w:r w:rsidRPr="00557465">
        <w:rPr>
          <w:lang w:val="en-US" w:eastAsia="en-US"/>
        </w:rPr>
        <w:t>(Mohanram, 2003)</w:t>
      </w:r>
      <w:r>
        <w:rPr>
          <w:lang w:val="en-US" w:eastAsia="en-US"/>
        </w:rPr>
        <w:t>.</w:t>
      </w:r>
    </w:p>
    <w:p w:rsidR="00334F38" w:rsidRDefault="00334F38" w:rsidP="00324FF5">
      <w:pPr>
        <w:autoSpaceDE w:val="0"/>
        <w:autoSpaceDN w:val="0"/>
        <w:adjustRightInd w:val="0"/>
        <w:spacing w:line="360" w:lineRule="auto"/>
        <w:jc w:val="both"/>
        <w:rPr>
          <w:lang w:val="en-US"/>
        </w:rPr>
      </w:pPr>
    </w:p>
    <w:p w:rsidR="00334F38" w:rsidRDefault="00334F38" w:rsidP="00324FF5">
      <w:pPr>
        <w:autoSpaceDE w:val="0"/>
        <w:autoSpaceDN w:val="0"/>
        <w:adjustRightInd w:val="0"/>
        <w:spacing w:line="360" w:lineRule="auto"/>
        <w:jc w:val="both"/>
        <w:rPr>
          <w:i/>
          <w:lang w:val="en-US"/>
        </w:rPr>
      </w:pPr>
      <w:r>
        <w:rPr>
          <w:lang w:val="en-US"/>
        </w:rPr>
        <w:t>Evidence shows companies experiencing non-routine CEO turnovers as eager to overstate large charges beyond the level done by matched firm’s not experiencing any turnovers. This earnings level tendency does not seem to be mitigated by the financial crisis. In a speech by Arthur Levitt (former head of SEC) he claims:</w:t>
      </w:r>
      <w:r w:rsidRPr="009E6B90">
        <w:rPr>
          <w:i/>
          <w:lang w:val="en-US"/>
        </w:rPr>
        <w:t>”By regularly assessing the efficiency and profitability of their operations, firms remain competitive. However, problems arise when we see large charges associated with company restructuring. Giving them the so called “earnings bath”, these charges help the firms to “clean-up” their balance sheet. Companies are tempted to overstate these charges, because when earnings take a major hit Wall Street will in theory look beyond a one-time loss and focus only on future earnings. So if these charges are conservatively estimated with a little extra padding, these so called “conservative” estimations are miraculously reborn as income when estimates change or future earnings fall short.”</w:t>
      </w:r>
    </w:p>
    <w:p w:rsidR="00334F38" w:rsidRDefault="00334F38" w:rsidP="00324FF5">
      <w:pPr>
        <w:autoSpaceDE w:val="0"/>
        <w:autoSpaceDN w:val="0"/>
        <w:adjustRightInd w:val="0"/>
        <w:spacing w:line="360" w:lineRule="auto"/>
        <w:jc w:val="both"/>
        <w:rPr>
          <w:lang w:val="en-US"/>
        </w:rPr>
      </w:pPr>
      <w:r>
        <w:rPr>
          <w:lang w:val="en-US"/>
        </w:rPr>
        <w:t xml:space="preserve">Another plausible reason for decreased earnings management incentives could be related to the prospective to maximize financial benefits and support in the form of bailouts from the U.S. Government (Chia, Lapsley and Lee; </w:t>
      </w:r>
      <w:r w:rsidRPr="003E7C8B">
        <w:rPr>
          <w:lang w:val="en-US"/>
        </w:rPr>
        <w:t>2007)</w:t>
      </w:r>
      <w:r>
        <w:rPr>
          <w:lang w:val="en-US"/>
        </w:rPr>
        <w:t>. The U.S. Government has made a number of bailouts during the 2008 crisis period. Although the bulk of these bailouts pertain to the financial industry (which is similar to prior research, excluded from mine), the automotive industry was also granted one</w:t>
      </w:r>
      <w:r>
        <w:rPr>
          <w:rStyle w:val="FootnoteReference"/>
          <w:lang w:val="en-US"/>
        </w:rPr>
        <w:footnoteReference w:id="28"/>
      </w:r>
      <w:r>
        <w:rPr>
          <w:lang w:val="en-US"/>
        </w:rPr>
        <w:t xml:space="preserve">. The automotive industry is represented in my research by the 2-digit SIC Code number of 37. Although this sector contains a much too small amount of non-routine CEO turnover observations to make any significant suggestions (11 observations), the graph on page 39 does show a much larger discrepancy in decreased earnings management measures. In line with the conclusion of Jones’ (1991) study, firms portraying a poorer financial situation by a drop in reported earnings via decreased earnings management are likely to be seen as having more chance to receive more financial aid and government assistance. Thus, in the context of the operating environment this paper shows that the earnings management incentive is dependent upon what executives perceive as benefits outweighing the costs. </w:t>
      </w:r>
    </w:p>
    <w:p w:rsidR="00334F38" w:rsidRDefault="00334F38" w:rsidP="00324FF5">
      <w:pPr>
        <w:autoSpaceDE w:val="0"/>
        <w:autoSpaceDN w:val="0"/>
        <w:adjustRightInd w:val="0"/>
        <w:spacing w:line="360" w:lineRule="auto"/>
        <w:jc w:val="both"/>
        <w:rPr>
          <w:lang w:val="en-US"/>
        </w:rPr>
      </w:pPr>
    </w:p>
    <w:p w:rsidR="00334F38" w:rsidRDefault="00334F38" w:rsidP="00324FF5">
      <w:pPr>
        <w:autoSpaceDE w:val="0"/>
        <w:autoSpaceDN w:val="0"/>
        <w:adjustRightInd w:val="0"/>
        <w:spacing w:line="360" w:lineRule="auto"/>
        <w:jc w:val="both"/>
        <w:rPr>
          <w:lang w:val="en-US"/>
        </w:rPr>
      </w:pPr>
    </w:p>
    <w:p w:rsidR="00334F38" w:rsidRDefault="00334F38" w:rsidP="00324FF5">
      <w:pPr>
        <w:autoSpaceDE w:val="0"/>
        <w:autoSpaceDN w:val="0"/>
        <w:adjustRightInd w:val="0"/>
        <w:spacing w:line="360" w:lineRule="auto"/>
        <w:jc w:val="both"/>
        <w:rPr>
          <w:lang w:val="en-US"/>
        </w:rPr>
      </w:pPr>
    </w:p>
    <w:p w:rsidR="00334F38" w:rsidRDefault="00334F38" w:rsidP="00324FF5">
      <w:pPr>
        <w:autoSpaceDE w:val="0"/>
        <w:autoSpaceDN w:val="0"/>
        <w:adjustRightInd w:val="0"/>
        <w:spacing w:line="360" w:lineRule="auto"/>
        <w:jc w:val="both"/>
        <w:rPr>
          <w:lang w:val="en-US"/>
        </w:rPr>
      </w:pPr>
    </w:p>
    <w:p w:rsidR="00334F38" w:rsidRDefault="00334F38" w:rsidP="00324FF5">
      <w:pPr>
        <w:autoSpaceDE w:val="0"/>
        <w:autoSpaceDN w:val="0"/>
        <w:adjustRightInd w:val="0"/>
        <w:spacing w:line="360" w:lineRule="auto"/>
        <w:jc w:val="both"/>
        <w:rPr>
          <w:lang w:val="en-US"/>
        </w:rPr>
      </w:pPr>
    </w:p>
    <w:p w:rsidR="00334F38" w:rsidRDefault="00334F38" w:rsidP="00324FF5">
      <w:pPr>
        <w:autoSpaceDE w:val="0"/>
        <w:autoSpaceDN w:val="0"/>
        <w:adjustRightInd w:val="0"/>
        <w:spacing w:line="360" w:lineRule="auto"/>
        <w:jc w:val="both"/>
        <w:rPr>
          <w:b/>
          <w:sz w:val="28"/>
          <w:szCs w:val="28"/>
          <w:lang w:val="en-US"/>
        </w:rPr>
      </w:pPr>
    </w:p>
    <w:p w:rsidR="00334F38" w:rsidRDefault="00334F38" w:rsidP="00324FF5">
      <w:pPr>
        <w:autoSpaceDE w:val="0"/>
        <w:autoSpaceDN w:val="0"/>
        <w:adjustRightInd w:val="0"/>
        <w:spacing w:line="360" w:lineRule="auto"/>
        <w:jc w:val="both"/>
        <w:rPr>
          <w:b/>
          <w:sz w:val="28"/>
          <w:szCs w:val="28"/>
          <w:lang w:val="en-US"/>
        </w:rPr>
      </w:pPr>
    </w:p>
    <w:p w:rsidR="00334F38" w:rsidRDefault="00334F38" w:rsidP="00324FF5">
      <w:pPr>
        <w:autoSpaceDE w:val="0"/>
        <w:autoSpaceDN w:val="0"/>
        <w:adjustRightInd w:val="0"/>
        <w:spacing w:line="360" w:lineRule="auto"/>
        <w:jc w:val="both"/>
        <w:rPr>
          <w:b/>
          <w:sz w:val="28"/>
          <w:szCs w:val="28"/>
          <w:lang w:val="en-US"/>
        </w:rPr>
      </w:pPr>
    </w:p>
    <w:p w:rsidR="00334F38" w:rsidRDefault="00334F38" w:rsidP="00324FF5">
      <w:pPr>
        <w:autoSpaceDE w:val="0"/>
        <w:autoSpaceDN w:val="0"/>
        <w:adjustRightInd w:val="0"/>
        <w:spacing w:line="360" w:lineRule="auto"/>
        <w:jc w:val="both"/>
        <w:rPr>
          <w:b/>
          <w:sz w:val="28"/>
          <w:szCs w:val="28"/>
          <w:lang w:val="en-US"/>
        </w:rPr>
      </w:pPr>
    </w:p>
    <w:p w:rsidR="00334F38" w:rsidRDefault="00334F38" w:rsidP="00324FF5">
      <w:pPr>
        <w:autoSpaceDE w:val="0"/>
        <w:autoSpaceDN w:val="0"/>
        <w:adjustRightInd w:val="0"/>
        <w:spacing w:line="360" w:lineRule="auto"/>
        <w:jc w:val="both"/>
        <w:rPr>
          <w:b/>
          <w:sz w:val="28"/>
          <w:szCs w:val="28"/>
          <w:lang w:val="en-US"/>
        </w:rPr>
      </w:pPr>
    </w:p>
    <w:p w:rsidR="00334F38" w:rsidRDefault="00334F38" w:rsidP="00324FF5">
      <w:pPr>
        <w:autoSpaceDE w:val="0"/>
        <w:autoSpaceDN w:val="0"/>
        <w:adjustRightInd w:val="0"/>
        <w:spacing w:line="360" w:lineRule="auto"/>
        <w:jc w:val="both"/>
        <w:rPr>
          <w:b/>
          <w:sz w:val="28"/>
          <w:szCs w:val="28"/>
          <w:lang w:val="en-US"/>
        </w:rPr>
      </w:pPr>
    </w:p>
    <w:p w:rsidR="00334F38" w:rsidRDefault="00334F38" w:rsidP="00324FF5">
      <w:pPr>
        <w:autoSpaceDE w:val="0"/>
        <w:autoSpaceDN w:val="0"/>
        <w:adjustRightInd w:val="0"/>
        <w:spacing w:line="360" w:lineRule="auto"/>
        <w:jc w:val="both"/>
        <w:rPr>
          <w:b/>
          <w:sz w:val="28"/>
          <w:szCs w:val="28"/>
          <w:lang w:val="en-US"/>
        </w:rPr>
      </w:pPr>
    </w:p>
    <w:p w:rsidR="00334F38" w:rsidRDefault="00334F38" w:rsidP="00324FF5">
      <w:pPr>
        <w:autoSpaceDE w:val="0"/>
        <w:autoSpaceDN w:val="0"/>
        <w:adjustRightInd w:val="0"/>
        <w:spacing w:line="360" w:lineRule="auto"/>
        <w:jc w:val="both"/>
        <w:rPr>
          <w:b/>
          <w:sz w:val="28"/>
          <w:szCs w:val="28"/>
          <w:lang w:val="en-US"/>
        </w:rPr>
      </w:pPr>
    </w:p>
    <w:p w:rsidR="00334F38" w:rsidRDefault="00334F38" w:rsidP="00324FF5">
      <w:pPr>
        <w:autoSpaceDE w:val="0"/>
        <w:autoSpaceDN w:val="0"/>
        <w:adjustRightInd w:val="0"/>
        <w:spacing w:line="360" w:lineRule="auto"/>
        <w:jc w:val="both"/>
        <w:rPr>
          <w:b/>
          <w:sz w:val="28"/>
          <w:szCs w:val="28"/>
          <w:lang w:val="en-US"/>
        </w:rPr>
      </w:pPr>
    </w:p>
    <w:p w:rsidR="00334F38" w:rsidRDefault="00334F38" w:rsidP="00324FF5">
      <w:pPr>
        <w:autoSpaceDE w:val="0"/>
        <w:autoSpaceDN w:val="0"/>
        <w:adjustRightInd w:val="0"/>
        <w:spacing w:line="360" w:lineRule="auto"/>
        <w:jc w:val="both"/>
        <w:rPr>
          <w:b/>
          <w:sz w:val="28"/>
          <w:szCs w:val="28"/>
          <w:lang w:val="en-US"/>
        </w:rPr>
      </w:pPr>
    </w:p>
    <w:p w:rsidR="00334F38" w:rsidRDefault="00334F38" w:rsidP="00324FF5">
      <w:pPr>
        <w:autoSpaceDE w:val="0"/>
        <w:autoSpaceDN w:val="0"/>
        <w:adjustRightInd w:val="0"/>
        <w:spacing w:line="360" w:lineRule="auto"/>
        <w:jc w:val="both"/>
        <w:rPr>
          <w:b/>
          <w:sz w:val="28"/>
          <w:szCs w:val="28"/>
          <w:lang w:val="en-US"/>
        </w:rPr>
      </w:pPr>
    </w:p>
    <w:p w:rsidR="00334F38" w:rsidRDefault="00334F38" w:rsidP="00324FF5">
      <w:pPr>
        <w:autoSpaceDE w:val="0"/>
        <w:autoSpaceDN w:val="0"/>
        <w:adjustRightInd w:val="0"/>
        <w:spacing w:line="360" w:lineRule="auto"/>
        <w:jc w:val="both"/>
        <w:rPr>
          <w:b/>
          <w:sz w:val="28"/>
          <w:szCs w:val="28"/>
          <w:lang w:val="en-US"/>
        </w:rPr>
      </w:pPr>
    </w:p>
    <w:p w:rsidR="00334F38" w:rsidRDefault="00334F38" w:rsidP="00324FF5">
      <w:pPr>
        <w:autoSpaceDE w:val="0"/>
        <w:autoSpaceDN w:val="0"/>
        <w:adjustRightInd w:val="0"/>
        <w:spacing w:line="360" w:lineRule="auto"/>
        <w:jc w:val="both"/>
        <w:rPr>
          <w:b/>
          <w:sz w:val="28"/>
          <w:szCs w:val="28"/>
          <w:lang w:val="en-US"/>
        </w:rPr>
      </w:pPr>
    </w:p>
    <w:p w:rsidR="00334F38" w:rsidRDefault="00334F38" w:rsidP="00324FF5">
      <w:pPr>
        <w:autoSpaceDE w:val="0"/>
        <w:autoSpaceDN w:val="0"/>
        <w:adjustRightInd w:val="0"/>
        <w:spacing w:line="360" w:lineRule="auto"/>
        <w:jc w:val="both"/>
        <w:rPr>
          <w:b/>
          <w:sz w:val="28"/>
          <w:szCs w:val="28"/>
          <w:lang w:val="en-US"/>
        </w:rPr>
      </w:pPr>
    </w:p>
    <w:p w:rsidR="00334F38" w:rsidRDefault="00334F38" w:rsidP="00324FF5">
      <w:pPr>
        <w:autoSpaceDE w:val="0"/>
        <w:autoSpaceDN w:val="0"/>
        <w:adjustRightInd w:val="0"/>
        <w:spacing w:line="360" w:lineRule="auto"/>
        <w:jc w:val="both"/>
        <w:rPr>
          <w:b/>
          <w:sz w:val="28"/>
          <w:szCs w:val="28"/>
          <w:lang w:val="en-US"/>
        </w:rPr>
      </w:pPr>
    </w:p>
    <w:p w:rsidR="00334F38" w:rsidRDefault="00334F38" w:rsidP="00324FF5">
      <w:pPr>
        <w:autoSpaceDE w:val="0"/>
        <w:autoSpaceDN w:val="0"/>
        <w:adjustRightInd w:val="0"/>
        <w:spacing w:line="360" w:lineRule="auto"/>
        <w:jc w:val="both"/>
        <w:rPr>
          <w:b/>
          <w:sz w:val="28"/>
          <w:szCs w:val="28"/>
          <w:lang w:val="en-US"/>
        </w:rPr>
      </w:pPr>
    </w:p>
    <w:p w:rsidR="00334F38" w:rsidRDefault="00334F38" w:rsidP="00324FF5">
      <w:pPr>
        <w:autoSpaceDE w:val="0"/>
        <w:autoSpaceDN w:val="0"/>
        <w:adjustRightInd w:val="0"/>
        <w:spacing w:line="360" w:lineRule="auto"/>
        <w:jc w:val="both"/>
        <w:rPr>
          <w:b/>
          <w:sz w:val="28"/>
          <w:szCs w:val="28"/>
          <w:lang w:val="en-US"/>
        </w:rPr>
      </w:pPr>
    </w:p>
    <w:p w:rsidR="00334F38" w:rsidRDefault="00334F38" w:rsidP="00324FF5">
      <w:pPr>
        <w:autoSpaceDE w:val="0"/>
        <w:autoSpaceDN w:val="0"/>
        <w:adjustRightInd w:val="0"/>
        <w:spacing w:line="360" w:lineRule="auto"/>
        <w:jc w:val="both"/>
        <w:rPr>
          <w:b/>
          <w:sz w:val="28"/>
          <w:szCs w:val="28"/>
          <w:lang w:val="en-US"/>
        </w:rPr>
      </w:pPr>
    </w:p>
    <w:p w:rsidR="00334F38" w:rsidRDefault="00334F38" w:rsidP="00324FF5">
      <w:pPr>
        <w:autoSpaceDE w:val="0"/>
        <w:autoSpaceDN w:val="0"/>
        <w:adjustRightInd w:val="0"/>
        <w:spacing w:line="360" w:lineRule="auto"/>
        <w:jc w:val="both"/>
        <w:rPr>
          <w:b/>
          <w:sz w:val="28"/>
          <w:szCs w:val="28"/>
          <w:lang w:val="en-US"/>
        </w:rPr>
      </w:pPr>
    </w:p>
    <w:p w:rsidR="00334F38" w:rsidRDefault="00334F38" w:rsidP="00324FF5">
      <w:pPr>
        <w:autoSpaceDE w:val="0"/>
        <w:autoSpaceDN w:val="0"/>
        <w:adjustRightInd w:val="0"/>
        <w:spacing w:line="360" w:lineRule="auto"/>
        <w:jc w:val="both"/>
        <w:rPr>
          <w:b/>
          <w:sz w:val="28"/>
          <w:szCs w:val="28"/>
          <w:lang w:val="en-US"/>
        </w:rPr>
      </w:pPr>
    </w:p>
    <w:p w:rsidR="00334F38" w:rsidRDefault="00334F38" w:rsidP="00324FF5">
      <w:pPr>
        <w:autoSpaceDE w:val="0"/>
        <w:autoSpaceDN w:val="0"/>
        <w:adjustRightInd w:val="0"/>
        <w:spacing w:line="360" w:lineRule="auto"/>
        <w:jc w:val="both"/>
        <w:rPr>
          <w:b/>
          <w:sz w:val="28"/>
          <w:szCs w:val="28"/>
          <w:lang w:val="en-US"/>
        </w:rPr>
      </w:pPr>
    </w:p>
    <w:p w:rsidR="00334F38" w:rsidRDefault="00334F38" w:rsidP="00324FF5">
      <w:pPr>
        <w:autoSpaceDE w:val="0"/>
        <w:autoSpaceDN w:val="0"/>
        <w:adjustRightInd w:val="0"/>
        <w:spacing w:line="360" w:lineRule="auto"/>
        <w:jc w:val="both"/>
        <w:rPr>
          <w:b/>
          <w:sz w:val="28"/>
          <w:szCs w:val="28"/>
          <w:lang w:val="en-US"/>
        </w:rPr>
      </w:pPr>
    </w:p>
    <w:p w:rsidR="00334F38" w:rsidRDefault="00334F38" w:rsidP="00324FF5">
      <w:pPr>
        <w:autoSpaceDE w:val="0"/>
        <w:autoSpaceDN w:val="0"/>
        <w:adjustRightInd w:val="0"/>
        <w:spacing w:line="360" w:lineRule="auto"/>
        <w:jc w:val="both"/>
        <w:rPr>
          <w:b/>
          <w:sz w:val="28"/>
          <w:szCs w:val="28"/>
          <w:lang w:val="en-US"/>
        </w:rPr>
      </w:pPr>
    </w:p>
    <w:p w:rsidR="00334F38" w:rsidRPr="00622E0E" w:rsidRDefault="00334F38" w:rsidP="00324FF5">
      <w:pPr>
        <w:autoSpaceDE w:val="0"/>
        <w:autoSpaceDN w:val="0"/>
        <w:adjustRightInd w:val="0"/>
        <w:spacing w:line="360" w:lineRule="auto"/>
        <w:jc w:val="both"/>
        <w:rPr>
          <w:rFonts w:ascii="Calibri" w:hAnsi="Calibri"/>
          <w:b/>
          <w:sz w:val="28"/>
          <w:szCs w:val="28"/>
          <w:lang w:val="en-US"/>
        </w:rPr>
      </w:pPr>
      <w:r w:rsidRPr="00622E0E">
        <w:rPr>
          <w:rFonts w:ascii="Calibri" w:hAnsi="Calibri"/>
          <w:b/>
          <w:sz w:val="28"/>
          <w:szCs w:val="28"/>
          <w:lang w:val="en-US"/>
        </w:rPr>
        <w:t xml:space="preserve">Chapter 7                                                       </w:t>
      </w:r>
      <w:r>
        <w:rPr>
          <w:rFonts w:ascii="Calibri" w:hAnsi="Calibri"/>
          <w:b/>
          <w:sz w:val="28"/>
          <w:szCs w:val="28"/>
          <w:lang w:val="en-US"/>
        </w:rPr>
        <w:t xml:space="preserve">            </w:t>
      </w:r>
      <w:r w:rsidRPr="00622E0E">
        <w:rPr>
          <w:rFonts w:ascii="Calibri" w:hAnsi="Calibri"/>
          <w:b/>
          <w:sz w:val="28"/>
          <w:szCs w:val="28"/>
          <w:lang w:val="en-US"/>
        </w:rPr>
        <w:t xml:space="preserve">                               Conclusion</w:t>
      </w:r>
      <w:r>
        <w:rPr>
          <w:rFonts w:ascii="Calibri" w:hAnsi="Calibri"/>
          <w:b/>
          <w:sz w:val="28"/>
          <w:szCs w:val="28"/>
          <w:lang w:val="en-US"/>
        </w:rPr>
        <w:fldChar w:fldCharType="begin"/>
      </w:r>
      <w:r w:rsidRPr="00622E0E">
        <w:rPr>
          <w:rFonts w:ascii="Calibri" w:hAnsi="Calibri"/>
          <w:lang w:val="en-US"/>
        </w:rPr>
        <w:instrText>tc "</w:instrText>
      </w:r>
      <w:bookmarkStart w:id="87" w:name="_Toc258079472"/>
      <w:r w:rsidRPr="00622E0E">
        <w:rPr>
          <w:rFonts w:ascii="Calibri" w:hAnsi="Calibri"/>
          <w:b/>
          <w:sz w:val="28"/>
          <w:szCs w:val="28"/>
          <w:lang w:val="en-US"/>
        </w:rPr>
        <w:instrText>Chapter 7                                                                                      Conclusion</w:instrText>
      </w:r>
      <w:bookmarkEnd w:id="87"/>
      <w:r w:rsidRPr="00622E0E">
        <w:rPr>
          <w:rFonts w:ascii="Calibri" w:hAnsi="Calibri"/>
          <w:lang w:val="en-US"/>
        </w:rPr>
        <w:instrText>" \f C \l 1</w:instrText>
      </w:r>
      <w:r>
        <w:rPr>
          <w:rFonts w:ascii="Calibri" w:hAnsi="Calibri"/>
          <w:b/>
          <w:sz w:val="28"/>
          <w:szCs w:val="28"/>
          <w:lang w:val="en-US"/>
        </w:rPr>
        <w:fldChar w:fldCharType="end"/>
      </w:r>
    </w:p>
    <w:p w:rsidR="00334F38" w:rsidRDefault="00334F38" w:rsidP="00324FF5">
      <w:pPr>
        <w:autoSpaceDE w:val="0"/>
        <w:autoSpaceDN w:val="0"/>
        <w:adjustRightInd w:val="0"/>
        <w:spacing w:line="360" w:lineRule="auto"/>
        <w:jc w:val="both"/>
        <w:rPr>
          <w:b/>
          <w:sz w:val="28"/>
          <w:szCs w:val="28"/>
          <w:lang w:val="en-US"/>
        </w:rPr>
      </w:pPr>
    </w:p>
    <w:p w:rsidR="00334F38" w:rsidRPr="0078071D" w:rsidRDefault="00334F38" w:rsidP="00324FF5">
      <w:pPr>
        <w:autoSpaceDE w:val="0"/>
        <w:autoSpaceDN w:val="0"/>
        <w:adjustRightInd w:val="0"/>
        <w:spacing w:line="360" w:lineRule="auto"/>
        <w:jc w:val="both"/>
        <w:rPr>
          <w:i/>
          <w:lang w:val="en-US"/>
        </w:rPr>
      </w:pPr>
      <w:r w:rsidRPr="0078071D">
        <w:rPr>
          <w:i/>
          <w:lang w:val="en-US"/>
        </w:rPr>
        <w:t>7.1 Conclusion</w:t>
      </w:r>
      <w:r>
        <w:rPr>
          <w:i/>
          <w:lang w:val="en-US"/>
        </w:rPr>
        <w:fldChar w:fldCharType="begin"/>
      </w:r>
      <w:r w:rsidRPr="00436804">
        <w:rPr>
          <w:lang w:val="en-US"/>
        </w:rPr>
        <w:instrText>tc "</w:instrText>
      </w:r>
      <w:bookmarkStart w:id="88" w:name="_Toc258079473"/>
      <w:r w:rsidRPr="00B74842">
        <w:rPr>
          <w:i/>
          <w:lang w:val="en-US"/>
        </w:rPr>
        <w:instrText>7.1 Conclusion</w:instrText>
      </w:r>
      <w:bookmarkEnd w:id="88"/>
      <w:r w:rsidRPr="00436804">
        <w:rPr>
          <w:lang w:val="en-US"/>
        </w:rPr>
        <w:instrText>" \f C \l 2</w:instrText>
      </w:r>
      <w:r>
        <w:rPr>
          <w:i/>
          <w:lang w:val="en-US"/>
        </w:rPr>
        <w:fldChar w:fldCharType="end"/>
      </w:r>
    </w:p>
    <w:p w:rsidR="00334F38" w:rsidRDefault="00334F38" w:rsidP="00944404">
      <w:pPr>
        <w:autoSpaceDE w:val="0"/>
        <w:autoSpaceDN w:val="0"/>
        <w:adjustRightInd w:val="0"/>
        <w:spacing w:line="360" w:lineRule="auto"/>
        <w:jc w:val="both"/>
        <w:rPr>
          <w:lang w:val="en-US"/>
        </w:rPr>
      </w:pPr>
      <w:r>
        <w:rPr>
          <w:lang w:val="en-US"/>
        </w:rPr>
        <w:t xml:space="preserve">As reported by </w:t>
      </w:r>
      <w:r w:rsidRPr="003E7C8B">
        <w:rPr>
          <w:lang w:val="en-US"/>
        </w:rPr>
        <w:t>Challenger, Gray, and Christmas Inc</w:t>
      </w:r>
      <w:r>
        <w:rPr>
          <w:lang w:val="en-US"/>
        </w:rPr>
        <w:t xml:space="preserve"> the </w:t>
      </w:r>
      <w:r w:rsidRPr="003E7C8B">
        <w:rPr>
          <w:lang w:val="en-US"/>
        </w:rPr>
        <w:t>20</w:t>
      </w:r>
      <w:r>
        <w:rPr>
          <w:lang w:val="en-US"/>
        </w:rPr>
        <w:t>08 period has seen the number of executives leaving their jobs in North America at its highest for a decade (1484</w:t>
      </w:r>
      <w:r w:rsidRPr="003E7C8B">
        <w:rPr>
          <w:lang w:val="en-US"/>
        </w:rPr>
        <w:t xml:space="preserve"> executives). </w:t>
      </w:r>
      <w:r>
        <w:rPr>
          <w:lang w:val="en-US"/>
        </w:rPr>
        <w:t xml:space="preserve">That tallies up to circa 6 CEOs giving up their position every working day of the year. These numbers show that amidst the massive job cuts the individuals at the top are also feeling the pressure. </w:t>
      </w:r>
      <w:r w:rsidRPr="003E7C8B">
        <w:rPr>
          <w:lang w:val="en-US"/>
        </w:rPr>
        <w:t xml:space="preserve">The </w:t>
      </w:r>
      <w:r>
        <w:rPr>
          <w:lang w:val="en-US"/>
        </w:rPr>
        <w:t>financial</w:t>
      </w:r>
      <w:r w:rsidRPr="003E7C8B">
        <w:rPr>
          <w:lang w:val="en-US"/>
        </w:rPr>
        <w:t xml:space="preserve"> crisis contributes to CEO turnovers</w:t>
      </w:r>
      <w:r>
        <w:rPr>
          <w:lang w:val="en-US"/>
        </w:rPr>
        <w:t xml:space="preserve"> by making the CEO</w:t>
      </w:r>
      <w:r w:rsidRPr="003E7C8B">
        <w:rPr>
          <w:lang w:val="en-US"/>
        </w:rPr>
        <w:t>s more vulnerable</w:t>
      </w:r>
      <w:r>
        <w:rPr>
          <w:lang w:val="en-US"/>
        </w:rPr>
        <w:t xml:space="preserve"> with little room for error</w:t>
      </w:r>
      <w:r w:rsidRPr="003E7C8B">
        <w:rPr>
          <w:lang w:val="en-US"/>
        </w:rPr>
        <w:t>. Their firms and markets are in crisis, and in most cases firm stocks are significantly down</w:t>
      </w:r>
      <w:r>
        <w:rPr>
          <w:lang w:val="en-US"/>
        </w:rPr>
        <w:t>.  In these harsh times the CEO</w:t>
      </w:r>
      <w:r w:rsidRPr="003E7C8B">
        <w:rPr>
          <w:lang w:val="en-US"/>
        </w:rPr>
        <w:t>s are under increased pressure from employees and shareholders to improve performance.</w:t>
      </w:r>
      <w:r>
        <w:rPr>
          <w:lang w:val="en-US"/>
        </w:rPr>
        <w:t xml:space="preserve"> Adding to that it should be noted that it</w:t>
      </w:r>
      <w:r w:rsidRPr="00310A06">
        <w:rPr>
          <w:lang w:val="en-US"/>
        </w:rPr>
        <w:t xml:space="preserve"> is much harder for the principal to monitor the agent’s behavior if its task lacks programmability (Eisenhardt, 198</w:t>
      </w:r>
      <w:r>
        <w:rPr>
          <w:lang w:val="en-US"/>
        </w:rPr>
        <w:t xml:space="preserve">5, 1988). </w:t>
      </w:r>
      <w:r w:rsidRPr="00310A06">
        <w:rPr>
          <w:lang w:val="en-US"/>
        </w:rPr>
        <w:t>Eisenhardt defines programmability as the degree to which appropriate behavior by the agent can be specified in advance. For example, the job of a truck driver is much more programmed than that of a CEO. Therefore it will be significantly more difficult for the principal to monitor the CEOs behavior in comparison with that of the truck driver.</w:t>
      </w:r>
    </w:p>
    <w:p w:rsidR="00334F38" w:rsidRDefault="00334F38" w:rsidP="002F15DF">
      <w:pPr>
        <w:spacing w:line="360" w:lineRule="auto"/>
        <w:jc w:val="both"/>
        <w:rPr>
          <w:lang w:val="en-US"/>
        </w:rPr>
      </w:pPr>
      <w:r>
        <w:rPr>
          <w:lang w:val="en-US"/>
        </w:rPr>
        <w:t>Despite the fact that approving key managerial decisions is mostly left to the board of directors, the reality is that executives make decisions on a number of terrains concerning financing, operations and investments (such as capital investments, designing and executing new business strategies, acquisition of securities, the issuance of dividends etc.). To be able to make just decisions regarding these terrains executives acquire superior knowledge of the firm and its economics. An example thereof can be found in studies on insider trading (Beneish &amp; Vargus, 2002), where insiders show a tendency to buy stock when its undervalued and sell stock when its overvalued. With this superior knowledge executives can use earnings management in two different ways. They can either take advantage of the flexibility in accounting methods to enhance the transparency of financial reports, or attempt to hide unfavorable news by misrepresenting or diminishing the transparency of the financial reports.</w:t>
      </w:r>
      <w:r w:rsidRPr="00975F9E">
        <w:rPr>
          <w:lang w:val="en-US"/>
        </w:rPr>
        <w:t xml:space="preserve"> </w:t>
      </w:r>
      <w:r>
        <w:rPr>
          <w:lang w:val="en-US"/>
        </w:rPr>
        <w:t>Research find that the incoming CEO leans towards undertaking in earnings deflating (“earnings bath” or “big bath”) measures. Here the</w:t>
      </w:r>
      <w:r w:rsidRPr="003E7C8B">
        <w:rPr>
          <w:lang w:val="en-US"/>
        </w:rPr>
        <w:t xml:space="preserve"> incoming CEO lowers the earnings in the </w:t>
      </w:r>
      <w:r>
        <w:rPr>
          <w:lang w:val="en-US"/>
        </w:rPr>
        <w:t>year of his/her introduction with the opportunity to blame the poor performance on the predecessor. This also</w:t>
      </w:r>
      <w:r w:rsidRPr="003E7C8B">
        <w:rPr>
          <w:lang w:val="en-US"/>
        </w:rPr>
        <w:t xml:space="preserve"> </w:t>
      </w:r>
      <w:r>
        <w:rPr>
          <w:lang w:val="en-US"/>
        </w:rPr>
        <w:t>gives a good plateau for the incoming</w:t>
      </w:r>
      <w:r w:rsidRPr="003E7C8B">
        <w:rPr>
          <w:lang w:val="en-US"/>
        </w:rPr>
        <w:t xml:space="preserve"> CEO </w:t>
      </w:r>
      <w:r>
        <w:rPr>
          <w:lang w:val="en-US"/>
        </w:rPr>
        <w:t>to base his future earnings on. With respect to Pourciau’s (1993) investigation, she finds i</w:t>
      </w:r>
      <w:r w:rsidRPr="003E7C8B">
        <w:rPr>
          <w:lang w:val="en-US"/>
        </w:rPr>
        <w:t>ncoming executives record</w:t>
      </w:r>
      <w:r>
        <w:rPr>
          <w:lang w:val="en-US"/>
        </w:rPr>
        <w:t>ing</w:t>
      </w:r>
      <w:r w:rsidRPr="003E7C8B">
        <w:rPr>
          <w:lang w:val="en-US"/>
        </w:rPr>
        <w:t xml:space="preserve"> accruals and write-offs to decrease the earnings in the year of the turnover and increase earnings</w:t>
      </w:r>
      <w:r>
        <w:rPr>
          <w:lang w:val="en-US"/>
        </w:rPr>
        <w:t xml:space="preserve"> the following year. However her</w:t>
      </w:r>
      <w:r w:rsidRPr="003E7C8B">
        <w:rPr>
          <w:lang w:val="en-US"/>
        </w:rPr>
        <w:t xml:space="preserve"> results are not corrected for firm performance so t</w:t>
      </w:r>
      <w:r>
        <w:rPr>
          <w:lang w:val="en-US"/>
        </w:rPr>
        <w:t>he results may also be caused</w:t>
      </w:r>
      <w:r w:rsidRPr="003E7C8B">
        <w:rPr>
          <w:lang w:val="en-US"/>
        </w:rPr>
        <w:t xml:space="preserve"> </w:t>
      </w:r>
      <w:r>
        <w:rPr>
          <w:lang w:val="en-US"/>
        </w:rPr>
        <w:t>hereby.</w:t>
      </w:r>
      <w:r w:rsidRPr="003E7C8B">
        <w:rPr>
          <w:lang w:val="en-US"/>
        </w:rPr>
        <w:t xml:space="preserve"> In line with the findings of Pourciau (1993) are the results of Wells (2002) where “earnings baths” seemed to occur especially in the case of non-routine CEO turnovers. </w:t>
      </w:r>
    </w:p>
    <w:p w:rsidR="00334F38" w:rsidRDefault="00334F38" w:rsidP="002F15DF">
      <w:pPr>
        <w:spacing w:line="360" w:lineRule="auto"/>
        <w:jc w:val="both"/>
        <w:rPr>
          <w:lang w:val="en-US"/>
        </w:rPr>
      </w:pPr>
    </w:p>
    <w:p w:rsidR="00334F38" w:rsidRDefault="00334F38" w:rsidP="00324FF5">
      <w:pPr>
        <w:autoSpaceDE w:val="0"/>
        <w:autoSpaceDN w:val="0"/>
        <w:adjustRightInd w:val="0"/>
        <w:spacing w:line="360" w:lineRule="auto"/>
        <w:jc w:val="both"/>
        <w:rPr>
          <w:lang w:val="en-US"/>
        </w:rPr>
      </w:pPr>
      <w:r w:rsidRPr="003E7C8B">
        <w:rPr>
          <w:lang w:val="en-US"/>
        </w:rPr>
        <w:t xml:space="preserve">Al though Godfrey (2003) finds evidence of impression management during CEO turnovers, these results are merely limited. </w:t>
      </w:r>
      <w:r>
        <w:rPr>
          <w:lang w:val="en-US"/>
        </w:rPr>
        <w:t xml:space="preserve">This is the reason why I have decided to take a different approach in detecting earnings management. </w:t>
      </w:r>
      <w:r w:rsidRPr="003E7C8B">
        <w:rPr>
          <w:lang w:val="en-US"/>
        </w:rPr>
        <w:t xml:space="preserve">Kothari et al.’s research (2005) </w:t>
      </w:r>
      <w:r>
        <w:rPr>
          <w:lang w:val="en-US"/>
        </w:rPr>
        <w:t xml:space="preserve">has been used </w:t>
      </w:r>
      <w:r w:rsidRPr="003E7C8B">
        <w:rPr>
          <w:lang w:val="en-US"/>
        </w:rPr>
        <w:t>as an example to distinguish between earnings management and firm performance. In their research they’ve augmented popular models for detecting earnings management by taking firm performance into account, and found that the augmented models generated enhanced reliability in earnings management research.</w:t>
      </w:r>
    </w:p>
    <w:p w:rsidR="00334F38" w:rsidRDefault="00334F38" w:rsidP="00324FF5">
      <w:pPr>
        <w:autoSpaceDE w:val="0"/>
        <w:autoSpaceDN w:val="0"/>
        <w:adjustRightInd w:val="0"/>
        <w:spacing w:line="360" w:lineRule="auto"/>
        <w:jc w:val="both"/>
        <w:rPr>
          <w:lang w:val="en-US"/>
        </w:rPr>
      </w:pPr>
    </w:p>
    <w:p w:rsidR="00334F38" w:rsidRPr="003E7C8B" w:rsidRDefault="00334F38" w:rsidP="00944404">
      <w:pPr>
        <w:autoSpaceDE w:val="0"/>
        <w:autoSpaceDN w:val="0"/>
        <w:adjustRightInd w:val="0"/>
        <w:spacing w:line="360" w:lineRule="auto"/>
        <w:jc w:val="both"/>
        <w:rPr>
          <w:lang w:val="en-US"/>
        </w:rPr>
      </w:pPr>
      <w:r>
        <w:rPr>
          <w:lang w:val="en-US"/>
        </w:rPr>
        <w:t xml:space="preserve">Past research has shown how earnings management tendencies get affected through times of crisis (Chia et al. </w:t>
      </w:r>
      <w:r w:rsidRPr="003E7C8B">
        <w:rPr>
          <w:lang w:val="en-US"/>
        </w:rPr>
        <w:t>2007)</w:t>
      </w:r>
      <w:r>
        <w:rPr>
          <w:lang w:val="en-US"/>
        </w:rPr>
        <w:t>. By means of this thesis I’d</w:t>
      </w:r>
      <w:r w:rsidRPr="003E7C8B">
        <w:rPr>
          <w:lang w:val="en-US"/>
        </w:rPr>
        <w:t xml:space="preserve"> like to add to the feeble existing body of literature concerning the effects of different economic environments on earnings management by means of the following research question;</w:t>
      </w:r>
    </w:p>
    <w:p w:rsidR="00334F38" w:rsidRDefault="00334F38" w:rsidP="00944404">
      <w:pPr>
        <w:spacing w:line="360" w:lineRule="auto"/>
        <w:rPr>
          <w:i/>
          <w:lang w:val="en-US"/>
        </w:rPr>
      </w:pPr>
    </w:p>
    <w:p w:rsidR="00334F38" w:rsidRPr="003E7C8B" w:rsidRDefault="00334F38" w:rsidP="00944404">
      <w:pPr>
        <w:spacing w:line="360" w:lineRule="auto"/>
        <w:rPr>
          <w:i/>
          <w:lang w:val="en-US"/>
        </w:rPr>
      </w:pPr>
      <w:r>
        <w:rPr>
          <w:i/>
          <w:lang w:val="en-US"/>
        </w:rPr>
        <w:t>How has the effect of non-routine</w:t>
      </w:r>
      <w:r w:rsidRPr="003E7C8B">
        <w:rPr>
          <w:i/>
          <w:lang w:val="en-US"/>
        </w:rPr>
        <w:t xml:space="preserve"> CEO turnovers</w:t>
      </w:r>
      <w:r>
        <w:rPr>
          <w:i/>
          <w:lang w:val="en-US"/>
        </w:rPr>
        <w:t xml:space="preserve"> </w:t>
      </w:r>
      <w:r w:rsidRPr="003E7C8B">
        <w:rPr>
          <w:i/>
          <w:lang w:val="en-US"/>
        </w:rPr>
        <w:t>on earnings management in the United States of America changed due to</w:t>
      </w:r>
      <w:r>
        <w:rPr>
          <w:i/>
          <w:lang w:val="en-US"/>
        </w:rPr>
        <w:t xml:space="preserve"> the Global Financial Crisis in 2008?</w:t>
      </w:r>
    </w:p>
    <w:p w:rsidR="00334F38" w:rsidRDefault="00334F38" w:rsidP="00324FF5">
      <w:pPr>
        <w:autoSpaceDE w:val="0"/>
        <w:autoSpaceDN w:val="0"/>
        <w:adjustRightInd w:val="0"/>
        <w:spacing w:line="360" w:lineRule="auto"/>
        <w:jc w:val="both"/>
        <w:rPr>
          <w:lang w:val="en-US"/>
        </w:rPr>
      </w:pPr>
    </w:p>
    <w:p w:rsidR="00334F38" w:rsidRDefault="00334F38" w:rsidP="00324FF5">
      <w:pPr>
        <w:autoSpaceDE w:val="0"/>
        <w:autoSpaceDN w:val="0"/>
        <w:adjustRightInd w:val="0"/>
        <w:spacing w:line="360" w:lineRule="auto"/>
        <w:jc w:val="both"/>
        <w:rPr>
          <w:lang w:val="en-US"/>
        </w:rPr>
      </w:pPr>
      <w:r>
        <w:rPr>
          <w:lang w:val="en-US"/>
        </w:rPr>
        <w:t xml:space="preserve">In finding an answer to the research question the following hypothesis has been developed; </w:t>
      </w:r>
    </w:p>
    <w:p w:rsidR="00334F38" w:rsidRPr="00AE14C6" w:rsidRDefault="00334F38" w:rsidP="00AE14C6">
      <w:pPr>
        <w:pStyle w:val="ListParagraph"/>
        <w:numPr>
          <w:ilvl w:val="0"/>
          <w:numId w:val="14"/>
        </w:numPr>
        <w:autoSpaceDE w:val="0"/>
        <w:autoSpaceDN w:val="0"/>
        <w:adjustRightInd w:val="0"/>
        <w:spacing w:line="360" w:lineRule="auto"/>
        <w:jc w:val="both"/>
        <w:rPr>
          <w:i/>
          <w:lang w:val="en-US"/>
        </w:rPr>
      </w:pPr>
      <w:r w:rsidRPr="00AE14C6">
        <w:rPr>
          <w:i/>
          <w:lang w:val="en-US"/>
        </w:rPr>
        <w:t xml:space="preserve">H1: during the 2008 crisis period firms experiencing a CEO turnover increase the level of negative discretionary accruals, thereby reducing the earnings. </w:t>
      </w:r>
    </w:p>
    <w:p w:rsidR="00334F38" w:rsidRPr="00AE14C6" w:rsidRDefault="00334F38" w:rsidP="00AE14C6">
      <w:pPr>
        <w:pStyle w:val="ListParagraph"/>
        <w:autoSpaceDE w:val="0"/>
        <w:autoSpaceDN w:val="0"/>
        <w:adjustRightInd w:val="0"/>
        <w:spacing w:line="360" w:lineRule="auto"/>
        <w:ind w:left="1080"/>
        <w:jc w:val="both"/>
        <w:rPr>
          <w:lang w:val="en-US"/>
        </w:rPr>
      </w:pPr>
    </w:p>
    <w:p w:rsidR="00334F38" w:rsidRPr="00F1456C" w:rsidRDefault="00334F38" w:rsidP="00F1456C">
      <w:pPr>
        <w:autoSpaceDE w:val="0"/>
        <w:autoSpaceDN w:val="0"/>
        <w:adjustRightInd w:val="0"/>
        <w:spacing w:line="360" w:lineRule="auto"/>
        <w:jc w:val="both"/>
        <w:rPr>
          <w:lang w:val="en-US"/>
        </w:rPr>
      </w:pPr>
      <w:r>
        <w:rPr>
          <w:i/>
          <w:lang w:val="en-US"/>
        </w:rPr>
        <w:t>H1</w:t>
      </w:r>
      <w:r>
        <w:rPr>
          <w:lang w:val="en-US"/>
        </w:rPr>
        <w:t>: After controlling for firm performance the level of negative discretionary accruals averages out to about -2.05% of lagged total assets amongst the 8 industries researched, with the highest level of negative earnings management reaching up to nearly -5.5% of lagged total assets. The relatively low t-value allows me to conclude that the performance matched discretionary accruals significantly differ from zero. By rejecting the null hypothesis of no earnings management after controlling for firm performance I conclude that the</w:t>
      </w:r>
      <w:r w:rsidRPr="00710083">
        <w:rPr>
          <w:lang w:val="en-US"/>
        </w:rPr>
        <w:t xml:space="preserve"> original Firms sample still contains signs of decreased earnings management during the 2008 crisis period.</w:t>
      </w:r>
    </w:p>
    <w:p w:rsidR="00334F38" w:rsidRDefault="00334F38" w:rsidP="00FD120A">
      <w:pPr>
        <w:autoSpaceDE w:val="0"/>
        <w:autoSpaceDN w:val="0"/>
        <w:adjustRightInd w:val="0"/>
        <w:spacing w:line="360" w:lineRule="auto"/>
        <w:jc w:val="both"/>
        <w:rPr>
          <w:lang w:val="en-US"/>
        </w:rPr>
      </w:pPr>
    </w:p>
    <w:p w:rsidR="00334F38" w:rsidRDefault="00334F38" w:rsidP="00DE7C17">
      <w:pPr>
        <w:autoSpaceDE w:val="0"/>
        <w:autoSpaceDN w:val="0"/>
        <w:adjustRightInd w:val="0"/>
        <w:spacing w:line="360" w:lineRule="auto"/>
        <w:jc w:val="both"/>
        <w:rPr>
          <w:lang w:val="en-US"/>
        </w:rPr>
      </w:pPr>
      <w:r>
        <w:rPr>
          <w:lang w:val="en-US"/>
        </w:rPr>
        <w:t>Similar to my expectations I</w:t>
      </w:r>
      <w:r w:rsidRPr="003E7C8B">
        <w:rPr>
          <w:lang w:val="en-US"/>
        </w:rPr>
        <w:t xml:space="preserve"> believe</w:t>
      </w:r>
      <w:r>
        <w:rPr>
          <w:lang w:val="en-US"/>
        </w:rPr>
        <w:t xml:space="preserve"> that a different set of incentives play a role </w:t>
      </w:r>
      <w:r w:rsidRPr="003E7C8B">
        <w:rPr>
          <w:lang w:val="en-US"/>
        </w:rPr>
        <w:t>for incoming CEOs during times of crisis. As alread</w:t>
      </w:r>
      <w:r>
        <w:rPr>
          <w:lang w:val="en-US"/>
        </w:rPr>
        <w:t xml:space="preserve">y mentioned in the introduction, </w:t>
      </w:r>
      <w:r w:rsidRPr="003E7C8B">
        <w:rPr>
          <w:lang w:val="en-US"/>
        </w:rPr>
        <w:t xml:space="preserve">the </w:t>
      </w:r>
      <w:r>
        <w:rPr>
          <w:lang w:val="en-US"/>
        </w:rPr>
        <w:t xml:space="preserve">present day </w:t>
      </w:r>
      <w:r w:rsidRPr="003E7C8B">
        <w:rPr>
          <w:lang w:val="en-US"/>
        </w:rPr>
        <w:t>Global Financia</w:t>
      </w:r>
      <w:r>
        <w:rPr>
          <w:lang w:val="en-US"/>
        </w:rPr>
        <w:t>l Crisis has had</w:t>
      </w:r>
      <w:r w:rsidRPr="003E7C8B">
        <w:rPr>
          <w:lang w:val="en-US"/>
        </w:rPr>
        <w:t xml:space="preserve"> dire consequences for firm performance resulting in large numbers of CEO turnovers. These CEO turnovers are predominantly of the non-routine kind. </w:t>
      </w:r>
      <w:r>
        <w:rPr>
          <w:lang w:val="en-US"/>
        </w:rPr>
        <w:t>I’ve</w:t>
      </w:r>
      <w:r w:rsidRPr="003E7C8B">
        <w:rPr>
          <w:lang w:val="en-US"/>
        </w:rPr>
        <w:t xml:space="preserve"> also mentioned that prior resea</w:t>
      </w:r>
      <w:r>
        <w:rPr>
          <w:lang w:val="en-US"/>
        </w:rPr>
        <w:t>rch (Peter Wells, 2002) finds earnings management</w:t>
      </w:r>
      <w:r w:rsidRPr="003E7C8B">
        <w:rPr>
          <w:lang w:val="en-US"/>
        </w:rPr>
        <w:t xml:space="preserve"> especially visible during non-</w:t>
      </w:r>
      <w:r>
        <w:rPr>
          <w:lang w:val="en-US"/>
        </w:rPr>
        <w:t>routine CEO turnovers. Hence, I have found clear signs of</w:t>
      </w:r>
      <w:r w:rsidRPr="003E7C8B">
        <w:rPr>
          <w:lang w:val="en-US"/>
        </w:rPr>
        <w:t xml:space="preserve"> earnings management during the Global Financial Crisis of 2008/2009 </w:t>
      </w:r>
      <w:r>
        <w:rPr>
          <w:lang w:val="en-US"/>
        </w:rPr>
        <w:t xml:space="preserve">partly </w:t>
      </w:r>
      <w:r w:rsidRPr="003E7C8B">
        <w:rPr>
          <w:lang w:val="en-US"/>
        </w:rPr>
        <w:t>due to the fact that the (predominant amount) of turnovers are non-routine, and non-routine turnov</w:t>
      </w:r>
      <w:r>
        <w:rPr>
          <w:lang w:val="en-US"/>
        </w:rPr>
        <w:t>ers exhibit stronger signs of earnings management</w:t>
      </w:r>
      <w:r w:rsidRPr="003E7C8B">
        <w:rPr>
          <w:lang w:val="en-US"/>
        </w:rPr>
        <w:t xml:space="preserve">. </w:t>
      </w:r>
      <w:r>
        <w:rPr>
          <w:lang w:val="en-US"/>
        </w:rPr>
        <w:t xml:space="preserve">Since the focus here lies on the year of the turnover in 2008, there are stronger signs of decreasing earnings management consistent with the findings of Godfrey et al. 2003; Murphy 1992; Pourciau 1993; Wells 2002. </w:t>
      </w:r>
    </w:p>
    <w:p w:rsidR="00334F38" w:rsidRDefault="00334F38" w:rsidP="00DE7C17">
      <w:pPr>
        <w:autoSpaceDE w:val="0"/>
        <w:autoSpaceDN w:val="0"/>
        <w:adjustRightInd w:val="0"/>
        <w:spacing w:line="360" w:lineRule="auto"/>
        <w:jc w:val="both"/>
        <w:rPr>
          <w:lang w:val="en-US"/>
        </w:rPr>
      </w:pPr>
      <w:r>
        <w:rPr>
          <w:lang w:val="en-US"/>
        </w:rPr>
        <w:t xml:space="preserve">So what could be the possible reasons for management to partake in decreasing earnings management during times of financial crisis instead of taking accrual increasing measures to dampen the blow of financial hardship? </w:t>
      </w:r>
    </w:p>
    <w:p w:rsidR="00334F38" w:rsidRDefault="00334F38" w:rsidP="00975F9E">
      <w:pPr>
        <w:autoSpaceDE w:val="0"/>
        <w:autoSpaceDN w:val="0"/>
        <w:adjustRightInd w:val="0"/>
        <w:spacing w:line="360" w:lineRule="auto"/>
        <w:jc w:val="both"/>
        <w:rPr>
          <w:lang w:val="en-US"/>
        </w:rPr>
      </w:pPr>
    </w:p>
    <w:p w:rsidR="00334F38" w:rsidRDefault="00334F38" w:rsidP="00975F9E">
      <w:pPr>
        <w:autoSpaceDE w:val="0"/>
        <w:autoSpaceDN w:val="0"/>
        <w:adjustRightInd w:val="0"/>
        <w:spacing w:line="360" w:lineRule="auto"/>
        <w:jc w:val="both"/>
        <w:rPr>
          <w:lang w:val="en-US" w:eastAsia="en-US"/>
        </w:rPr>
      </w:pPr>
      <w:r>
        <w:rPr>
          <w:rFonts w:ascii="Times-Roman" w:hAnsi="Times-Roman" w:cs="Times-Roman"/>
          <w:lang w:val="en-US" w:eastAsia="en-US"/>
        </w:rPr>
        <w:t xml:space="preserve">Different incentives arise when firms exhibit poor performance in times of crisis during which firms are likely to be way below their targets. Firstly, it is unlikely that any amount of earnings management will help executives reach their targets. Secondly, the cost of being even worse is minimal when the firm is already way below target. This is the situation in which ‘big-bath’ accounting takes place. Here firms will make big provisions for bad debts, take large restructuring charges and other income decreasing accounting measures. This will result in expenses that would not be recognized in the future and will thereby lead to future income boosts. Additionally, incoming executives enjoy greater credit for turning around a firm, even though an essential portion of the turnaround may be due to the accounting choices made </w:t>
      </w:r>
      <w:r w:rsidRPr="00557465">
        <w:rPr>
          <w:lang w:val="en-US" w:eastAsia="en-US"/>
        </w:rPr>
        <w:t>(Mohanram, 2003)</w:t>
      </w:r>
      <w:r>
        <w:rPr>
          <w:lang w:val="en-US" w:eastAsia="en-US"/>
        </w:rPr>
        <w:t>.</w:t>
      </w:r>
    </w:p>
    <w:p w:rsidR="00334F38" w:rsidRDefault="00334F38" w:rsidP="00975F9E">
      <w:pPr>
        <w:autoSpaceDE w:val="0"/>
        <w:autoSpaceDN w:val="0"/>
        <w:adjustRightInd w:val="0"/>
        <w:spacing w:line="360" w:lineRule="auto"/>
        <w:jc w:val="both"/>
        <w:rPr>
          <w:lang w:val="en-US"/>
        </w:rPr>
      </w:pPr>
      <w:r>
        <w:rPr>
          <w:lang w:val="en-US"/>
        </w:rPr>
        <w:t xml:space="preserve">Another plausible reason for decreased earnings management incentives could be related to the prospective to maximize financial benefits and support in the form of bailouts from the U.S. Government (Chia, Lapsley and Lee; </w:t>
      </w:r>
      <w:r w:rsidRPr="003E7C8B">
        <w:rPr>
          <w:lang w:val="en-US"/>
        </w:rPr>
        <w:t>2007)</w:t>
      </w:r>
      <w:r>
        <w:rPr>
          <w:lang w:val="en-US"/>
        </w:rPr>
        <w:t xml:space="preserve">. In line with the conclusion of Jones’ (1991) study, firms portraying a poorer financial situation by a drop in reported earnings via decreased earnings management are likely to be seen as having more chance to receive more financial aid and government assistance. </w:t>
      </w:r>
    </w:p>
    <w:p w:rsidR="00334F38" w:rsidRDefault="00334F38" w:rsidP="00975F9E">
      <w:pPr>
        <w:autoSpaceDE w:val="0"/>
        <w:autoSpaceDN w:val="0"/>
        <w:adjustRightInd w:val="0"/>
        <w:spacing w:line="360" w:lineRule="auto"/>
        <w:jc w:val="both"/>
        <w:rPr>
          <w:lang w:val="en-US"/>
        </w:rPr>
      </w:pPr>
    </w:p>
    <w:p w:rsidR="00334F38" w:rsidRDefault="00334F38" w:rsidP="00975F9E">
      <w:pPr>
        <w:autoSpaceDE w:val="0"/>
        <w:autoSpaceDN w:val="0"/>
        <w:adjustRightInd w:val="0"/>
        <w:spacing w:line="360" w:lineRule="auto"/>
        <w:jc w:val="both"/>
        <w:rPr>
          <w:lang w:val="en-US"/>
        </w:rPr>
      </w:pPr>
    </w:p>
    <w:p w:rsidR="00334F38" w:rsidRDefault="00334F38" w:rsidP="00975F9E">
      <w:pPr>
        <w:autoSpaceDE w:val="0"/>
        <w:autoSpaceDN w:val="0"/>
        <w:adjustRightInd w:val="0"/>
        <w:spacing w:line="360" w:lineRule="auto"/>
        <w:jc w:val="both"/>
        <w:rPr>
          <w:lang w:val="en-US"/>
        </w:rPr>
      </w:pPr>
    </w:p>
    <w:p w:rsidR="00334F38" w:rsidRDefault="00334F38" w:rsidP="00975F9E">
      <w:pPr>
        <w:autoSpaceDE w:val="0"/>
        <w:autoSpaceDN w:val="0"/>
        <w:adjustRightInd w:val="0"/>
        <w:spacing w:line="360" w:lineRule="auto"/>
        <w:jc w:val="both"/>
        <w:rPr>
          <w:i/>
          <w:lang w:val="en-US"/>
        </w:rPr>
      </w:pPr>
      <w:r w:rsidRPr="00687CC7">
        <w:rPr>
          <w:i/>
          <w:lang w:val="en-US"/>
        </w:rPr>
        <w:t>7.2 Measurement</w:t>
      </w:r>
      <w:r>
        <w:rPr>
          <w:i/>
          <w:lang w:val="en-US"/>
        </w:rPr>
        <w:t xml:space="preserve"> errors</w:t>
      </w:r>
      <w:r>
        <w:rPr>
          <w:i/>
          <w:lang w:val="en-US"/>
        </w:rPr>
        <w:fldChar w:fldCharType="begin"/>
      </w:r>
      <w:r w:rsidRPr="00436804">
        <w:rPr>
          <w:lang w:val="en-US"/>
        </w:rPr>
        <w:instrText>tc "</w:instrText>
      </w:r>
      <w:bookmarkStart w:id="89" w:name="_Toc258079474"/>
      <w:r w:rsidRPr="00B74842">
        <w:rPr>
          <w:i/>
          <w:lang w:val="en-US"/>
        </w:rPr>
        <w:instrText>7.2 Measurement errors</w:instrText>
      </w:r>
      <w:bookmarkEnd w:id="89"/>
      <w:r w:rsidRPr="00436804">
        <w:rPr>
          <w:lang w:val="en-US"/>
        </w:rPr>
        <w:instrText>" \f C \l 2</w:instrText>
      </w:r>
      <w:r>
        <w:rPr>
          <w:i/>
          <w:lang w:val="en-US"/>
        </w:rPr>
        <w:fldChar w:fldCharType="end"/>
      </w:r>
    </w:p>
    <w:p w:rsidR="00334F38" w:rsidRDefault="00334F38" w:rsidP="00975F9E">
      <w:pPr>
        <w:autoSpaceDE w:val="0"/>
        <w:autoSpaceDN w:val="0"/>
        <w:adjustRightInd w:val="0"/>
        <w:spacing w:line="360" w:lineRule="auto"/>
        <w:jc w:val="both"/>
        <w:rPr>
          <w:lang w:val="en-US"/>
        </w:rPr>
      </w:pPr>
      <w:r>
        <w:rPr>
          <w:lang w:val="en-US"/>
        </w:rPr>
        <w:t xml:space="preserve">The measurements in this paper are not without its faults. The mean </w:t>
      </w:r>
      <w:r w:rsidRPr="006E06F2">
        <w:rPr>
          <w:lang w:val="en-US"/>
        </w:rPr>
        <w:fldChar w:fldCharType="begin"/>
      </w:r>
      <w:r w:rsidRPr="006E06F2">
        <w:rPr>
          <w:lang w:val="en-US"/>
        </w:rPr>
        <w:instrText xml:space="preserve"> QUOTE </w:instrText>
      </w:r>
      <w:r w:rsidRPr="006E06F2">
        <w:pict>
          <v:shape id="_x0000_i1105" type="#_x0000_t75" style="width:15pt;height:12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1DC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B61DC7&quot;&gt;&lt;m:oMathPara&gt;&lt;m:oMath&gt;&lt;m:sSup&gt;&lt;m:sSupPr&gt;&lt;m:ctrlPr&gt;&lt;w:rPr&gt;&lt;w:rFonts w:ascii=&quot;Cambria Math&quot; w:h-ansi=&quot;Cambria Math&quot;/&gt;&lt;wx:font wx:val=&quot;Cambria Math&quot;/&gt;&lt;w:i/&gt;&lt;w:lang w:val=&quot;EN-US&quot;/&gt;&lt;/w:rPr&gt;&lt;/m:ctrlPr&gt;&lt;/m:sSupPr&gt;&lt;m:e&gt;&lt;m:r&gt;&lt;w:rPr&gt;&lt;w:rFonts w:ascii=&quot;Cambria Math&quot; w:h-ansi=&quot;Cambria Math&quot;/&gt;&lt;wx:font wx:val=&quot;Cambria Math&quot;/&gt;&lt;w:i/&gt;&lt;w:lang w:val=&quot;EN-US&quot;/&gt;&lt;/w:rPr&gt;&lt;m:t&gt;R&lt;/m:t&gt;&lt;/m:r&gt;&lt;/m:e&gt;&lt;m:sup&gt;&lt;m:r&gt;&lt;w:rPr&gt;&lt;w:rFonts w:ascii=&quot;Cambria Math&quot; w:h-ansi=&quot;Cambria Math&quot;/&gt;&lt;wx:font wx:val=&quot;Cambria Math&quot;/&gt;&lt;w:i/&gt;&lt;w:lang w:val=&quot;EN-US&quot;/&gt;&lt;/w:rPr&gt;&lt;m:t&gt;2&lt;/m:t&gt;&lt;/m:r&gt;&lt;/m:sup&gt;&lt;/m:sSup&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39" o:title="" chromakey="white"/>
          </v:shape>
        </w:pict>
      </w:r>
      <w:r w:rsidRPr="006E06F2">
        <w:rPr>
          <w:lang w:val="en-US"/>
        </w:rPr>
        <w:instrText xml:space="preserve"> </w:instrText>
      </w:r>
      <w:r w:rsidRPr="006E06F2">
        <w:rPr>
          <w:lang w:val="en-US"/>
        </w:rPr>
        <w:fldChar w:fldCharType="separate"/>
      </w:r>
      <w:r w:rsidRPr="006E06F2">
        <w:pict>
          <v:shape id="_x0000_i1106" type="#_x0000_t75" style="width:15pt;height:12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stylePaneFormatFilter w:val=&quot;3F01&quot;/&gt;&lt;w:defaultTabStop w:val=&quot;708&quot;/&gt;&lt;w:hyphenationZone w:val=&quot;425&quot;/&gt;&lt;w:drawingGridHorizontalSpacing w:val=&quot;120&quot;/&gt;&lt;w:displayHorizontalDrawingGridEvery w:val=&quot;2&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7F5DD0&quot;/&gt;&lt;wsp:rsid wsp:val=&quot;000014E4&quot;/&gt;&lt;wsp:rsid wsp:val=&quot;000018E1&quot;/&gt;&lt;wsp:rsid wsp:val=&quot;000053F9&quot;/&gt;&lt;wsp:rsid wsp:val=&quot;00011A1E&quot;/&gt;&lt;wsp:rsid wsp:val=&quot;0001213D&quot;/&gt;&lt;wsp:rsid wsp:val=&quot;00012321&quot;/&gt;&lt;wsp:rsid wsp:val=&quot;000147FC&quot;/&gt;&lt;wsp:rsid wsp:val=&quot;00014C6F&quot;/&gt;&lt;wsp:rsid wsp:val=&quot;00016071&quot;/&gt;&lt;wsp:rsid wsp:val=&quot;00020313&quot;/&gt;&lt;wsp:rsid wsp:val=&quot;00020C33&quot;/&gt;&lt;wsp:rsid wsp:val=&quot;00021E20&quot;/&gt;&lt;wsp:rsid wsp:val=&quot;00023C94&quot;/&gt;&lt;wsp:rsid wsp:val=&quot;00024A9F&quot;/&gt;&lt;wsp:rsid wsp:val=&quot;00025075&quot;/&gt;&lt;wsp:rsid wsp:val=&quot;00025481&quot;/&gt;&lt;wsp:rsid wsp:val=&quot;000266AB&quot;/&gt;&lt;wsp:rsid wsp:val=&quot;00030CCE&quot;/&gt;&lt;wsp:rsid wsp:val=&quot;0003192E&quot;/&gt;&lt;wsp:rsid wsp:val=&quot;00031DDF&quot;/&gt;&lt;wsp:rsid wsp:val=&quot;000331BF&quot;/&gt;&lt;wsp:rsid wsp:val=&quot;000335B0&quot;/&gt;&lt;wsp:rsid wsp:val=&quot;00036B8B&quot;/&gt;&lt;wsp:rsid wsp:val=&quot;000403A6&quot;/&gt;&lt;wsp:rsid wsp:val=&quot;00042E5C&quot;/&gt;&lt;wsp:rsid wsp:val=&quot;0005055D&quot;/&gt;&lt;wsp:rsid wsp:val=&quot;00051611&quot;/&gt;&lt;wsp:rsid wsp:val=&quot;000525E6&quot;/&gt;&lt;wsp:rsid wsp:val=&quot;00053644&quot;/&gt;&lt;wsp:rsid wsp:val=&quot;00054FDA&quot;/&gt;&lt;wsp:rsid wsp:val=&quot;00057F10&quot;/&gt;&lt;wsp:rsid wsp:val=&quot;00060850&quot;/&gt;&lt;wsp:rsid wsp:val=&quot;00061B70&quot;/&gt;&lt;wsp:rsid wsp:val=&quot;00062C37&quot;/&gt;&lt;wsp:rsid wsp:val=&quot;00067315&quot;/&gt;&lt;wsp:rsid wsp:val=&quot;000673B3&quot;/&gt;&lt;wsp:rsid wsp:val=&quot;00067F68&quot;/&gt;&lt;wsp:rsid wsp:val=&quot;00070450&quot;/&gt;&lt;wsp:rsid wsp:val=&quot;000705B7&quot;/&gt;&lt;wsp:rsid wsp:val=&quot;0007671B&quot;/&gt;&lt;wsp:rsid wsp:val=&quot;00082795&quot;/&gt;&lt;wsp:rsid wsp:val=&quot;00085AD1&quot;/&gt;&lt;wsp:rsid wsp:val=&quot;000868D9&quot;/&gt;&lt;wsp:rsid wsp:val=&quot;00087718&quot;/&gt;&lt;wsp:rsid wsp:val=&quot;000A1526&quot;/&gt;&lt;wsp:rsid wsp:val=&quot;000A15F2&quot;/&gt;&lt;wsp:rsid wsp:val=&quot;000A1CA3&quot;/&gt;&lt;wsp:rsid wsp:val=&quot;000A78A1&quot;/&gt;&lt;wsp:rsid wsp:val=&quot;000B2045&quot;/&gt;&lt;wsp:rsid wsp:val=&quot;000B3678&quot;/&gt;&lt;wsp:rsid wsp:val=&quot;000B6509&quot;/&gt;&lt;wsp:rsid wsp:val=&quot;000C08A8&quot;/&gt;&lt;wsp:rsid wsp:val=&quot;000C324D&quot;/&gt;&lt;wsp:rsid wsp:val=&quot;000C44EC&quot;/&gt;&lt;wsp:rsid wsp:val=&quot;000C5C48&quot;/&gt;&lt;wsp:rsid wsp:val=&quot;000D2C8B&quot;/&gt;&lt;wsp:rsid wsp:val=&quot;000E0468&quot;/&gt;&lt;wsp:rsid wsp:val=&quot;000E0A8C&quot;/&gt;&lt;wsp:rsid wsp:val=&quot;000E215A&quot;/&gt;&lt;wsp:rsid wsp:val=&quot;000E2276&quot;/&gt;&lt;wsp:rsid wsp:val=&quot;000E7715&quot;/&gt;&lt;wsp:rsid wsp:val=&quot;000F1DF6&quot;/&gt;&lt;wsp:rsid wsp:val=&quot;000F31F9&quot;/&gt;&lt;wsp:rsid wsp:val=&quot;001051B1&quot;/&gt;&lt;wsp:rsid wsp:val=&quot;00111188&quot;/&gt;&lt;wsp:rsid wsp:val=&quot;00113B5B&quot;/&gt;&lt;wsp:rsid wsp:val=&quot;00114B8E&quot;/&gt;&lt;wsp:rsid wsp:val=&quot;001231AE&quot;/&gt;&lt;wsp:rsid wsp:val=&quot;00132828&quot;/&gt;&lt;wsp:rsid wsp:val=&quot;001340D0&quot;/&gt;&lt;wsp:rsid wsp:val=&quot;00134D5F&quot;/&gt;&lt;wsp:rsid wsp:val=&quot;00140B95&quot;/&gt;&lt;wsp:rsid wsp:val=&quot;00142CF2&quot;/&gt;&lt;wsp:rsid wsp:val=&quot;001431CE&quot;/&gt;&lt;wsp:rsid wsp:val=&quot;00144F88&quot;/&gt;&lt;wsp:rsid wsp:val=&quot;00146309&quot;/&gt;&lt;wsp:rsid wsp:val=&quot;001464E9&quot;/&gt;&lt;wsp:rsid wsp:val=&quot;00147C5F&quot;/&gt;&lt;wsp:rsid wsp:val=&quot;001544B3&quot;/&gt;&lt;wsp:rsid wsp:val=&quot;00157029&quot;/&gt;&lt;wsp:rsid wsp:val=&quot;00157D4E&quot;/&gt;&lt;wsp:rsid wsp:val=&quot;00160CD0&quot;/&gt;&lt;wsp:rsid wsp:val=&quot;00160D10&quot;/&gt;&lt;wsp:rsid wsp:val=&quot;00162759&quot;/&gt;&lt;wsp:rsid wsp:val=&quot;00162D86&quot;/&gt;&lt;wsp:rsid wsp:val=&quot;00165AEF&quot;/&gt;&lt;wsp:rsid wsp:val=&quot;00166157&quot;/&gt;&lt;wsp:rsid wsp:val=&quot;00170557&quot;/&gt;&lt;wsp:rsid wsp:val=&quot;00175DEB&quot;/&gt;&lt;wsp:rsid wsp:val=&quot;001820C4&quot;/&gt;&lt;wsp:rsid wsp:val=&quot;00182D6E&quot;/&gt;&lt;wsp:rsid wsp:val=&quot;00184D4F&quot;/&gt;&lt;wsp:rsid wsp:val=&quot;001868A9&quot;/&gt;&lt;wsp:rsid wsp:val=&quot;00187EC1&quot;/&gt;&lt;wsp:rsid wsp:val=&quot;0019163E&quot;/&gt;&lt;wsp:rsid wsp:val=&quot;00193722&quot;/&gt;&lt;wsp:rsid wsp:val=&quot;00197251&quot;/&gt;&lt;wsp:rsid wsp:val=&quot;001A26F2&quot;/&gt;&lt;wsp:rsid wsp:val=&quot;001A4430&quot;/&gt;&lt;wsp:rsid wsp:val=&quot;001A4DA6&quot;/&gt;&lt;wsp:rsid wsp:val=&quot;001A51CB&quot;/&gt;&lt;wsp:rsid wsp:val=&quot;001B2519&quot;/&gt;&lt;wsp:rsid wsp:val=&quot;001B3C89&quot;/&gt;&lt;wsp:rsid wsp:val=&quot;001C16A6&quot;/&gt;&lt;wsp:rsid wsp:val=&quot;001C60F1&quot;/&gt;&lt;wsp:rsid wsp:val=&quot;001D10BD&quot;/&gt;&lt;wsp:rsid wsp:val=&quot;001D348E&quot;/&gt;&lt;wsp:rsid wsp:val=&quot;001D4D36&quot;/&gt;&lt;wsp:rsid wsp:val=&quot;001D698B&quot;/&gt;&lt;wsp:rsid wsp:val=&quot;001E2946&quot;/&gt;&lt;wsp:rsid wsp:val=&quot;001E2E46&quot;/&gt;&lt;wsp:rsid wsp:val=&quot;001E2EC6&quot;/&gt;&lt;wsp:rsid wsp:val=&quot;001E3C91&quot;/&gt;&lt;wsp:rsid wsp:val=&quot;00200B6A&quot;/&gt;&lt;wsp:rsid wsp:val=&quot;00204ABE&quot;/&gt;&lt;wsp:rsid wsp:val=&quot;00213F08&quot;/&gt;&lt;wsp:rsid wsp:val=&quot;002174B7&quot;/&gt;&lt;wsp:rsid wsp:val=&quot;00220FA9&quot;/&gt;&lt;wsp:rsid wsp:val=&quot;002230CC&quot;/&gt;&lt;wsp:rsid wsp:val=&quot;00223490&quot;/&gt;&lt;wsp:rsid wsp:val=&quot;002242C7&quot;/&gt;&lt;wsp:rsid wsp:val=&quot;00227497&quot;/&gt;&lt;wsp:rsid wsp:val=&quot;00232944&quot;/&gt;&lt;wsp:rsid wsp:val=&quot;00232A0A&quot;/&gt;&lt;wsp:rsid wsp:val=&quot;002360B3&quot;/&gt;&lt;wsp:rsid wsp:val=&quot;00236750&quot;/&gt;&lt;wsp:rsid wsp:val=&quot;00237065&quot;/&gt;&lt;wsp:rsid wsp:val=&quot;002372DA&quot;/&gt;&lt;wsp:rsid wsp:val=&quot;00237A6E&quot;/&gt;&lt;wsp:rsid wsp:val=&quot;00242E29&quot;/&gt;&lt;wsp:rsid wsp:val=&quot;0024471C&quot;/&gt;&lt;wsp:rsid wsp:val=&quot;002630BF&quot;/&gt;&lt;wsp:rsid wsp:val=&quot;00264124&quot;/&gt;&lt;wsp:rsid wsp:val=&quot;00266618&quot;/&gt;&lt;wsp:rsid wsp:val=&quot;00266CDC&quot;/&gt;&lt;wsp:rsid wsp:val=&quot;00267C5A&quot;/&gt;&lt;wsp:rsid wsp:val=&quot;00273BAD&quot;/&gt;&lt;wsp:rsid wsp:val=&quot;002765B2&quot;/&gt;&lt;wsp:rsid wsp:val=&quot;00280CE7&quot;/&gt;&lt;wsp:rsid wsp:val=&quot;00280E91&quot;/&gt;&lt;wsp:rsid wsp:val=&quot;00281237&quot;/&gt;&lt;wsp:rsid wsp:val=&quot;0028472B&quot;/&gt;&lt;wsp:rsid wsp:val=&quot;00286205&quot;/&gt;&lt;wsp:rsid wsp:val=&quot;00286357&quot;/&gt;&lt;wsp:rsid wsp:val=&quot;0028689D&quot;/&gt;&lt;wsp:rsid wsp:val=&quot;00286CE2&quot;/&gt;&lt;wsp:rsid wsp:val=&quot;002A0752&quot;/&gt;&lt;wsp:rsid wsp:val=&quot;002A15DF&quot;/&gt;&lt;wsp:rsid wsp:val=&quot;002A2E87&quot;/&gt;&lt;wsp:rsid wsp:val=&quot;002A3918&quot;/&gt;&lt;wsp:rsid wsp:val=&quot;002A49A2&quot;/&gt;&lt;wsp:rsid wsp:val=&quot;002A4B0D&quot;/&gt;&lt;wsp:rsid wsp:val=&quot;002A4F1E&quot;/&gt;&lt;wsp:rsid wsp:val=&quot;002A5877&quot;/&gt;&lt;wsp:rsid wsp:val=&quot;002A637D&quot;/&gt;&lt;wsp:rsid wsp:val=&quot;002A658B&quot;/&gt;&lt;wsp:rsid wsp:val=&quot;002B025A&quot;/&gt;&lt;wsp:rsid wsp:val=&quot;002B03E3&quot;/&gt;&lt;wsp:rsid wsp:val=&quot;002B59E6&quot;/&gt;&lt;wsp:rsid wsp:val=&quot;002B6E2A&quot;/&gt;&lt;wsp:rsid wsp:val=&quot;002C0231&quot;/&gt;&lt;wsp:rsid wsp:val=&quot;002C36A6&quot;/&gt;&lt;wsp:rsid wsp:val=&quot;002C3940&quot;/&gt;&lt;wsp:rsid wsp:val=&quot;002C3F4E&quot;/&gt;&lt;wsp:rsid wsp:val=&quot;002C41FF&quot;/&gt;&lt;wsp:rsid wsp:val=&quot;002C5064&quot;/&gt;&lt;wsp:rsid wsp:val=&quot;002C5653&quot;/&gt;&lt;wsp:rsid wsp:val=&quot;002C61F8&quot;/&gt;&lt;wsp:rsid wsp:val=&quot;002C66BD&quot;/&gt;&lt;wsp:rsid wsp:val=&quot;002C777F&quot;/&gt;&lt;wsp:rsid wsp:val=&quot;002D45AB&quot;/&gt;&lt;wsp:rsid wsp:val=&quot;002E455E&quot;/&gt;&lt;wsp:rsid wsp:val=&quot;002E4624&quot;/&gt;&lt;wsp:rsid wsp:val=&quot;002E566D&quot;/&gt;&lt;wsp:rsid wsp:val=&quot;002E5796&quot;/&gt;&lt;wsp:rsid wsp:val=&quot;002E6335&quot;/&gt;&lt;wsp:rsid wsp:val=&quot;002E6ADC&quot;/&gt;&lt;wsp:rsid wsp:val=&quot;002F0254&quot;/&gt;&lt;wsp:rsid wsp:val=&quot;002F15DF&quot;/&gt;&lt;wsp:rsid wsp:val=&quot;002F323E&quot;/&gt;&lt;wsp:rsid wsp:val=&quot;002F3251&quot;/&gt;&lt;wsp:rsid wsp:val=&quot;002F3433&quot;/&gt;&lt;wsp:rsid wsp:val=&quot;002F550A&quot;/&gt;&lt;wsp:rsid wsp:val=&quot;00303278&quot;/&gt;&lt;wsp:rsid wsp:val=&quot;003034F9&quot;/&gt;&lt;wsp:rsid wsp:val=&quot;0030640D&quot;/&gt;&lt;wsp:rsid wsp:val=&quot;00306C7C&quot;/&gt;&lt;wsp:rsid wsp:val=&quot;00310A06&quot;/&gt;&lt;wsp:rsid wsp:val=&quot;00320251&quot;/&gt;&lt;wsp:rsid wsp:val=&quot;003219CC&quot;/&gt;&lt;wsp:rsid wsp:val=&quot;00324FF5&quot;/&gt;&lt;wsp:rsid wsp:val=&quot;00325790&quot;/&gt;&lt;wsp:rsid wsp:val=&quot;003318F5&quot;/&gt;&lt;wsp:rsid wsp:val=&quot;00331DE1&quot;/&gt;&lt;wsp:rsid wsp:val=&quot;0034099F&quot;/&gt;&lt;wsp:rsid wsp:val=&quot;00351E94&quot;/&gt;&lt;wsp:rsid wsp:val=&quot;00355674&quot;/&gt;&lt;wsp:rsid wsp:val=&quot;00360E93&quot;/&gt;&lt;wsp:rsid wsp:val=&quot;00362AEE&quot;/&gt;&lt;wsp:rsid wsp:val=&quot;00365BEC&quot;/&gt;&lt;wsp:rsid wsp:val=&quot;00366850&quot;/&gt;&lt;wsp:rsid wsp:val=&quot;00374141&quot;/&gt;&lt;wsp:rsid wsp:val=&quot;00374A13&quot;/&gt;&lt;wsp:rsid wsp:val=&quot;00377073&quot;/&gt;&lt;wsp:rsid wsp:val=&quot;0037721B&quot;/&gt;&lt;wsp:rsid wsp:val=&quot;003777E7&quot;/&gt;&lt;wsp:rsid wsp:val=&quot;00385206&quot;/&gt;&lt;wsp:rsid wsp:val=&quot;00391E15&quot;/&gt;&lt;wsp:rsid wsp:val=&quot;00395ABD&quot;/&gt;&lt;wsp:rsid wsp:val=&quot;0039755E&quot;/&gt;&lt;wsp:rsid wsp:val=&quot;003B095D&quot;/&gt;&lt;wsp:rsid wsp:val=&quot;003B1507&quot;/&gt;&lt;wsp:rsid wsp:val=&quot;003B3C6E&quot;/&gt;&lt;wsp:rsid wsp:val=&quot;003B5673&quot;/&gt;&lt;wsp:rsid wsp:val=&quot;003C4452&quot;/&gt;&lt;wsp:rsid wsp:val=&quot;003C582E&quot;/&gt;&lt;wsp:rsid wsp:val=&quot;003C6692&quot;/&gt;&lt;wsp:rsid wsp:val=&quot;003C754F&quot;/&gt;&lt;wsp:rsid wsp:val=&quot;003D16CB&quot;/&gt;&lt;wsp:rsid wsp:val=&quot;003D722C&quot;/&gt;&lt;wsp:rsid wsp:val=&quot;003E23BC&quot;/&gt;&lt;wsp:rsid wsp:val=&quot;003E3F71&quot;/&gt;&lt;wsp:rsid wsp:val=&quot;003E43CD&quot;/&gt;&lt;wsp:rsid wsp:val=&quot;003E4E4B&quot;/&gt;&lt;wsp:rsid wsp:val=&quot;003E6392&quot;/&gt;&lt;wsp:rsid wsp:val=&quot;003E67BE&quot;/&gt;&lt;wsp:rsid wsp:val=&quot;003E7C8B&quot;/&gt;&lt;wsp:rsid wsp:val=&quot;003F053B&quot;/&gt;&lt;wsp:rsid wsp:val=&quot;003F10C2&quot;/&gt;&lt;wsp:rsid wsp:val=&quot;003F34CE&quot;/&gt;&lt;wsp:rsid wsp:val=&quot;003F3D61&quot;/&gt;&lt;wsp:rsid wsp:val=&quot;003F4A4B&quot;/&gt;&lt;wsp:rsid wsp:val=&quot;003F71EF&quot;/&gt;&lt;wsp:rsid wsp:val=&quot;0040123A&quot;/&gt;&lt;wsp:rsid wsp:val=&quot;004036C4&quot;/&gt;&lt;wsp:rsid wsp:val=&quot;004106B1&quot;/&gt;&lt;wsp:rsid wsp:val=&quot;00413967&quot;/&gt;&lt;wsp:rsid wsp:val=&quot;0041607A&quot;/&gt;&lt;wsp:rsid wsp:val=&quot;004175D1&quot;/&gt;&lt;wsp:rsid wsp:val=&quot;004205EF&quot;/&gt;&lt;wsp:rsid wsp:val=&quot;00420D39&quot;/&gt;&lt;wsp:rsid wsp:val=&quot;0042350A&quot;/&gt;&lt;wsp:rsid wsp:val=&quot;00424A26&quot;/&gt;&lt;wsp:rsid wsp:val=&quot;0042553F&quot;/&gt;&lt;wsp:rsid wsp:val=&quot;00426640&quot;/&gt;&lt;wsp:rsid wsp:val=&quot;004267EA&quot;/&gt;&lt;wsp:rsid wsp:val=&quot;00426A55&quot;/&gt;&lt;wsp:rsid wsp:val=&quot;004308D9&quot;/&gt;&lt;wsp:rsid wsp:val=&quot;00432D9F&quot;/&gt;&lt;wsp:rsid wsp:val=&quot;00434DB7&quot;/&gt;&lt;wsp:rsid wsp:val=&quot;00436804&quot;/&gt;&lt;wsp:rsid wsp:val=&quot;00440291&quot;/&gt;&lt;wsp:rsid wsp:val=&quot;004451E5&quot;/&gt;&lt;wsp:rsid wsp:val=&quot;004477B9&quot;/&gt;&lt;wsp:rsid wsp:val=&quot;00447956&quot;/&gt;&lt;wsp:rsid wsp:val=&quot;00457ED4&quot;/&gt;&lt;wsp:rsid wsp:val=&quot;00460634&quot;/&gt;&lt;wsp:rsid wsp:val=&quot;00461BEA&quot;/&gt;&lt;wsp:rsid wsp:val=&quot;0046605E&quot;/&gt;&lt;wsp:rsid wsp:val=&quot;00470A2B&quot;/&gt;&lt;wsp:rsid wsp:val=&quot;00471DD6&quot;/&gt;&lt;wsp:rsid wsp:val=&quot;00472948&quot;/&gt;&lt;wsp:rsid wsp:val=&quot;00473257&quot;/&gt;&lt;wsp:rsid wsp:val=&quot;00481065&quot;/&gt;&lt;wsp:rsid wsp:val=&quot;00481177&quot;/&gt;&lt;wsp:rsid wsp:val=&quot;00485950&quot;/&gt;&lt;wsp:rsid wsp:val=&quot;004865EA&quot;/&gt;&lt;wsp:rsid wsp:val=&quot;00487047&quot;/&gt;&lt;wsp:rsid wsp:val=&quot;00495B70&quot;/&gt;&lt;wsp:rsid wsp:val=&quot;00495BB5&quot;/&gt;&lt;wsp:rsid wsp:val=&quot;00496E40&quot;/&gt;&lt;wsp:rsid wsp:val=&quot;00497C90&quot;/&gt;&lt;wsp:rsid wsp:val=&quot;00497E15&quot;/&gt;&lt;wsp:rsid wsp:val=&quot;004A6576&quot;/&gt;&lt;wsp:rsid wsp:val=&quot;004B1DBF&quot;/&gt;&lt;wsp:rsid wsp:val=&quot;004B29E4&quot;/&gt;&lt;wsp:rsid wsp:val=&quot;004B3FC8&quot;/&gt;&lt;wsp:rsid wsp:val=&quot;004C144C&quot;/&gt;&lt;wsp:rsid wsp:val=&quot;004C1A5C&quot;/&gt;&lt;wsp:rsid wsp:val=&quot;004C2768&quot;/&gt;&lt;wsp:rsid wsp:val=&quot;004C3954&quot;/&gt;&lt;wsp:rsid wsp:val=&quot;004C62C1&quot;/&gt;&lt;wsp:rsid wsp:val=&quot;004D323F&quot;/&gt;&lt;wsp:rsid wsp:val=&quot;004E2540&quot;/&gt;&lt;wsp:rsid wsp:val=&quot;004E587C&quot;/&gt;&lt;wsp:rsid wsp:val=&quot;004E682D&quot;/&gt;&lt;wsp:rsid wsp:val=&quot;004E6D4C&quot;/&gt;&lt;wsp:rsid wsp:val=&quot;004E71FA&quot;/&gt;&lt;wsp:rsid wsp:val=&quot;004F42C2&quot;/&gt;&lt;wsp:rsid wsp:val=&quot;004F4E95&quot;/&gt;&lt;wsp:rsid wsp:val=&quot;0050143B&quot;/&gt;&lt;wsp:rsid wsp:val=&quot;005025A6&quot;/&gt;&lt;wsp:rsid wsp:val=&quot;00505EF6&quot;/&gt;&lt;wsp:rsid wsp:val=&quot;0051017D&quot;/&gt;&lt;wsp:rsid wsp:val=&quot;005103F0&quot;/&gt;&lt;wsp:rsid wsp:val=&quot;005217FE&quot;/&gt;&lt;wsp:rsid wsp:val=&quot;00521EF9&quot;/&gt;&lt;wsp:rsid wsp:val=&quot;00522785&quot;/&gt;&lt;wsp:rsid wsp:val=&quot;00526201&quot;/&gt;&lt;wsp:rsid wsp:val=&quot;00526B89&quot;/&gt;&lt;wsp:rsid wsp:val=&quot;00532D4C&quot;/&gt;&lt;wsp:rsid wsp:val=&quot;00534430&quot;/&gt;&lt;wsp:rsid wsp:val=&quot;00536849&quot;/&gt;&lt;wsp:rsid wsp:val=&quot;00537A2A&quot;/&gt;&lt;wsp:rsid wsp:val=&quot;00540663&quot;/&gt;&lt;wsp:rsid wsp:val=&quot;00554457&quot;/&gt;&lt;wsp:rsid wsp:val=&quot;00557465&quot;/&gt;&lt;wsp:rsid wsp:val=&quot;00557AF2&quot;/&gt;&lt;wsp:rsid wsp:val=&quot;005628C9&quot;/&gt;&lt;wsp:rsid wsp:val=&quot;00562B31&quot;/&gt;&lt;wsp:rsid wsp:val=&quot;00564CA8&quot;/&gt;&lt;wsp:rsid wsp:val=&quot;005660C0&quot;/&gt;&lt;wsp:rsid wsp:val=&quot;00567B2B&quot;/&gt;&lt;wsp:rsid wsp:val=&quot;005721F7&quot;/&gt;&lt;wsp:rsid wsp:val=&quot;00577ED4&quot;/&gt;&lt;wsp:rsid wsp:val=&quot;00583C88&quot;/&gt;&lt;wsp:rsid wsp:val=&quot;0058483C&quot;/&gt;&lt;wsp:rsid wsp:val=&quot;005851C7&quot;/&gt;&lt;wsp:rsid wsp:val=&quot;0058560D&quot;/&gt;&lt;wsp:rsid wsp:val=&quot;005874DD&quot;/&gt;&lt;wsp:rsid wsp:val=&quot;00593CC1&quot;/&gt;&lt;wsp:rsid wsp:val=&quot;005A0550&quot;/&gt;&lt;wsp:rsid wsp:val=&quot;005A10FB&quot;/&gt;&lt;wsp:rsid wsp:val=&quot;005A1587&quot;/&gt;&lt;wsp:rsid wsp:val=&quot;005A4C14&quot;/&gt;&lt;wsp:rsid wsp:val=&quot;005A5E9B&quot;/&gt;&lt;wsp:rsid wsp:val=&quot;005B1F24&quot;/&gt;&lt;wsp:rsid wsp:val=&quot;005B3C82&quot;/&gt;&lt;wsp:rsid wsp:val=&quot;005C01B5&quot;/&gt;&lt;wsp:rsid wsp:val=&quot;005C1DC5&quot;/&gt;&lt;wsp:rsid wsp:val=&quot;005C37A2&quot;/&gt;&lt;wsp:rsid wsp:val=&quot;005C58B2&quot;/&gt;&lt;wsp:rsid wsp:val=&quot;005D2E39&quot;/&gt;&lt;wsp:rsid wsp:val=&quot;005D6AB9&quot;/&gt;&lt;wsp:rsid wsp:val=&quot;005F077D&quot;/&gt;&lt;wsp:rsid wsp:val=&quot;005F0B71&quot;/&gt;&lt;wsp:rsid wsp:val=&quot;005F13B1&quot;/&gt;&lt;wsp:rsid wsp:val=&quot;005F30D2&quot;/&gt;&lt;wsp:rsid wsp:val=&quot;005F7775&quot;/&gt;&lt;wsp:rsid wsp:val=&quot;006002CD&quot;/&gt;&lt;wsp:rsid wsp:val=&quot;0060356A&quot;/&gt;&lt;wsp:rsid wsp:val=&quot;006054D9&quot;/&gt;&lt;wsp:rsid wsp:val=&quot;00607319&quot;/&gt;&lt;wsp:rsid wsp:val=&quot;00610188&quot;/&gt;&lt;wsp:rsid wsp:val=&quot;0061085C&quot;/&gt;&lt;wsp:rsid wsp:val=&quot;00611188&quot;/&gt;&lt;wsp:rsid wsp:val=&quot;006139FD&quot;/&gt;&lt;wsp:rsid wsp:val=&quot;0061439D&quot;/&gt;&lt;wsp:rsid wsp:val=&quot;0061481F&quot;/&gt;&lt;wsp:rsid wsp:val=&quot;00616289&quot;/&gt;&lt;wsp:rsid wsp:val=&quot;00622E0E&quot;/&gt;&lt;wsp:rsid wsp:val=&quot;00624E04&quot;/&gt;&lt;wsp:rsid wsp:val=&quot;00625289&quot;/&gt;&lt;wsp:rsid wsp:val=&quot;00625657&quot;/&gt;&lt;wsp:rsid wsp:val=&quot;006263CB&quot;/&gt;&lt;wsp:rsid wsp:val=&quot;00632691&quot;/&gt;&lt;wsp:rsid wsp:val=&quot;00633071&quot;/&gt;&lt;wsp:rsid wsp:val=&quot;00633A34&quot;/&gt;&lt;wsp:rsid wsp:val=&quot;0063448E&quot;/&gt;&lt;wsp:rsid wsp:val=&quot;00635DA4&quot;/&gt;&lt;wsp:rsid wsp:val=&quot;00637630&quot;/&gt;&lt;wsp:rsid wsp:val=&quot;00640CF2&quot;/&gt;&lt;wsp:rsid wsp:val=&quot;006445D6&quot;/&gt;&lt;wsp:rsid wsp:val=&quot;00651D5B&quot;/&gt;&lt;wsp:rsid wsp:val=&quot;00653FD9&quot;/&gt;&lt;wsp:rsid wsp:val=&quot;00655194&quot;/&gt;&lt;wsp:rsid wsp:val=&quot;006566E4&quot;/&gt;&lt;wsp:rsid wsp:val=&quot;00657C80&quot;/&gt;&lt;wsp:rsid wsp:val=&quot;00657DBB&quot;/&gt;&lt;wsp:rsid wsp:val=&quot;006601DE&quot;/&gt;&lt;wsp:rsid wsp:val=&quot;006618A3&quot;/&gt;&lt;wsp:rsid wsp:val=&quot;006647DE&quot;/&gt;&lt;wsp:rsid wsp:val=&quot;006657F7&quot;/&gt;&lt;wsp:rsid wsp:val=&quot;006720A9&quot;/&gt;&lt;wsp:rsid wsp:val=&quot;00675EF3&quot;/&gt;&lt;wsp:rsid wsp:val=&quot;0067623D&quot;/&gt;&lt;wsp:rsid wsp:val=&quot;00685DD5&quot;/&gt;&lt;wsp:rsid wsp:val=&quot;00687CC7&quot;/&gt;&lt;wsp:rsid wsp:val=&quot;00693183&quot;/&gt;&lt;wsp:rsid wsp:val=&quot;0069371F&quot;/&gt;&lt;wsp:rsid wsp:val=&quot;006A2A07&quot;/&gt;&lt;wsp:rsid wsp:val=&quot;006A72F8&quot;/&gt;&lt;wsp:rsid wsp:val=&quot;006A73DA&quot;/&gt;&lt;wsp:rsid wsp:val=&quot;006B1C5F&quot;/&gt;&lt;wsp:rsid wsp:val=&quot;006B50F6&quot;/&gt;&lt;wsp:rsid wsp:val=&quot;006C1EAA&quot;/&gt;&lt;wsp:rsid wsp:val=&quot;006C3E94&quot;/&gt;&lt;wsp:rsid wsp:val=&quot;006C4EFF&quot;/&gt;&lt;wsp:rsid wsp:val=&quot;006D001D&quot;/&gt;&lt;wsp:rsid wsp:val=&quot;006D286F&quot;/&gt;&lt;wsp:rsid wsp:val=&quot;006D4C4F&quot;/&gt;&lt;wsp:rsid wsp:val=&quot;006D75F6&quot;/&gt;&lt;wsp:rsid wsp:val=&quot;006E06F2&quot;/&gt;&lt;wsp:rsid wsp:val=&quot;006E3182&quot;/&gt;&lt;wsp:rsid wsp:val=&quot;006E6BA5&quot;/&gt;&lt;wsp:rsid wsp:val=&quot;006F253C&quot;/&gt;&lt;wsp:rsid wsp:val=&quot;006F4A61&quot;/&gt;&lt;wsp:rsid wsp:val=&quot;00704A1F&quot;/&gt;&lt;wsp:rsid wsp:val=&quot;00704CDC&quot;/&gt;&lt;wsp:rsid wsp:val=&quot;00705DB0&quot;/&gt;&lt;wsp:rsid wsp:val=&quot;0070797B&quot;/&gt;&lt;wsp:rsid wsp:val=&quot;00710083&quot;/&gt;&lt;wsp:rsid wsp:val=&quot;0071048A&quot;/&gt;&lt;wsp:rsid wsp:val=&quot;007144E2&quot;/&gt;&lt;wsp:rsid wsp:val=&quot;00724551&quot;/&gt;&lt;wsp:rsid wsp:val=&quot;00724AF6&quot;/&gt;&lt;wsp:rsid wsp:val=&quot;00725FDF&quot;/&gt;&lt;wsp:rsid wsp:val=&quot;0072633F&quot;/&gt;&lt;wsp:rsid wsp:val=&quot;00726909&quot;/&gt;&lt;wsp:rsid wsp:val=&quot;00727419&quot;/&gt;&lt;wsp:rsid wsp:val=&quot;0073336F&quot;/&gt;&lt;wsp:rsid wsp:val=&quot;0073339A&quot;/&gt;&lt;wsp:rsid wsp:val=&quot;00733638&quot;/&gt;&lt;wsp:rsid wsp:val=&quot;007339CC&quot;/&gt;&lt;wsp:rsid wsp:val=&quot;007400E2&quot;/&gt;&lt;wsp:rsid wsp:val=&quot;00740A25&quot;/&gt;&lt;wsp:rsid wsp:val=&quot;00744265&quot;/&gt;&lt;wsp:rsid wsp:val=&quot;00744863&quot;/&gt;&lt;wsp:rsid wsp:val=&quot;00744DFD&quot;/&gt;&lt;wsp:rsid wsp:val=&quot;0075239B&quot;/&gt;&lt;wsp:rsid wsp:val=&quot;00753640&quot;/&gt;&lt;wsp:rsid wsp:val=&quot;00753878&quot;/&gt;&lt;wsp:rsid wsp:val=&quot;00754866&quot;/&gt;&lt;wsp:rsid wsp:val=&quot;00756712&quot;/&gt;&lt;wsp:rsid wsp:val=&quot;00757F49&quot;/&gt;&lt;wsp:rsid wsp:val=&quot;007608B1&quot;/&gt;&lt;wsp:rsid wsp:val=&quot;00762848&quot;/&gt;&lt;wsp:rsid wsp:val=&quot;007655CD&quot;/&gt;&lt;wsp:rsid wsp:val=&quot;00765CAD&quot;/&gt;&lt;wsp:rsid wsp:val=&quot;0076605E&quot;/&gt;&lt;wsp:rsid wsp:val=&quot;007703E3&quot;/&gt;&lt;wsp:rsid wsp:val=&quot;0077047C&quot;/&gt;&lt;wsp:rsid wsp:val=&quot;00777902&quot;/&gt;&lt;wsp:rsid wsp:val=&quot;00780140&quot;/&gt;&lt;wsp:rsid wsp:val=&quot;0078071D&quot;/&gt;&lt;wsp:rsid wsp:val=&quot;007843C8&quot;/&gt;&lt;wsp:rsid wsp:val=&quot;0078535F&quot;/&gt;&lt;wsp:rsid wsp:val=&quot;0078555C&quot;/&gt;&lt;wsp:rsid wsp:val=&quot;00790455&quot;/&gt;&lt;wsp:rsid wsp:val=&quot;007A24F8&quot;/&gt;&lt;wsp:rsid wsp:val=&quot;007A410E&quot;/&gt;&lt;wsp:rsid wsp:val=&quot;007A461D&quot;/&gt;&lt;wsp:rsid wsp:val=&quot;007A6031&quot;/&gt;&lt;wsp:rsid wsp:val=&quot;007A61FB&quot;/&gt;&lt;wsp:rsid wsp:val=&quot;007B0144&quot;/&gt;&lt;wsp:rsid wsp:val=&quot;007B12D8&quot;/&gt;&lt;wsp:rsid wsp:val=&quot;007B230B&quot;/&gt;&lt;wsp:rsid wsp:val=&quot;007B3288&quot;/&gt;&lt;wsp:rsid wsp:val=&quot;007B5242&quot;/&gt;&lt;wsp:rsid wsp:val=&quot;007C0566&quot;/&gt;&lt;wsp:rsid wsp:val=&quot;007C2DE2&quot;/&gt;&lt;wsp:rsid wsp:val=&quot;007D01FC&quot;/&gt;&lt;wsp:rsid wsp:val=&quot;007F08BB&quot;/&gt;&lt;wsp:rsid wsp:val=&quot;007F414E&quot;/&gt;&lt;wsp:rsid wsp:val=&quot;007F5DD0&quot;/&gt;&lt;wsp:rsid wsp:val=&quot;00803D7E&quot;/&gt;&lt;wsp:rsid wsp:val=&quot;008118F4&quot;/&gt;&lt;wsp:rsid wsp:val=&quot;00811FDF&quot;/&gt;&lt;wsp:rsid wsp:val=&quot;0081294B&quot;/&gt;&lt;wsp:rsid wsp:val=&quot;00812BE3&quot;/&gt;&lt;wsp:rsid wsp:val=&quot;00820274&quot;/&gt;&lt;wsp:rsid wsp:val=&quot;00820A32&quot;/&gt;&lt;wsp:rsid wsp:val=&quot;00821013&quot;/&gt;&lt;wsp:rsid wsp:val=&quot;008212A1&quot;/&gt;&lt;wsp:rsid wsp:val=&quot;008214DB&quot;/&gt;&lt;wsp:rsid wsp:val=&quot;008221F5&quot;/&gt;&lt;wsp:rsid wsp:val=&quot;008225D7&quot;/&gt;&lt;wsp:rsid wsp:val=&quot;00830B56&quot;/&gt;&lt;wsp:rsid wsp:val=&quot;00835825&quot;/&gt;&lt;wsp:rsid wsp:val=&quot;0083598E&quot;/&gt;&lt;wsp:rsid wsp:val=&quot;00840E49&quot;/&gt;&lt;wsp:rsid wsp:val=&quot;00842E99&quot;/&gt;&lt;wsp:rsid wsp:val=&quot;00844985&quot;/&gt;&lt;wsp:rsid wsp:val=&quot;00846B1A&quot;/&gt;&lt;wsp:rsid wsp:val=&quot;0084745B&quot;/&gt;&lt;wsp:rsid wsp:val=&quot;008506E5&quot;/&gt;&lt;wsp:rsid wsp:val=&quot;0085104B&quot;/&gt;&lt;wsp:rsid wsp:val=&quot;00851E97&quot;/&gt;&lt;wsp:rsid wsp:val=&quot;00852009&quot;/&gt;&lt;wsp:rsid wsp:val=&quot;008528F6&quot;/&gt;&lt;wsp:rsid wsp:val=&quot;00854211&quot;/&gt;&lt;wsp:rsid wsp:val=&quot;00854DA5&quot;/&gt;&lt;wsp:rsid wsp:val=&quot;00856971&quot;/&gt;&lt;wsp:rsid wsp:val=&quot;00863439&quot;/&gt;&lt;wsp:rsid wsp:val=&quot;008704B6&quot;/&gt;&lt;wsp:rsid wsp:val=&quot;00874213&quot;/&gt;&lt;wsp:rsid wsp:val=&quot;0087568B&quot;/&gt;&lt;wsp:rsid wsp:val=&quot;00883FF7&quot;/&gt;&lt;wsp:rsid wsp:val=&quot;008850DB&quot;/&gt;&lt;wsp:rsid wsp:val=&quot;00891DD5&quot;/&gt;&lt;wsp:rsid wsp:val=&quot;00894DBA&quot;/&gt;&lt;wsp:rsid wsp:val=&quot;00897DAE&quot;/&gt;&lt;wsp:rsid wsp:val=&quot;008A1EE7&quot;/&gt;&lt;wsp:rsid wsp:val=&quot;008A223C&quot;/&gt;&lt;wsp:rsid wsp:val=&quot;008A2325&quot;/&gt;&lt;wsp:rsid wsp:val=&quot;008A2B3E&quot;/&gt;&lt;wsp:rsid wsp:val=&quot;008A48DC&quot;/&gt;&lt;wsp:rsid wsp:val=&quot;008B2C4A&quot;/&gt;&lt;wsp:rsid wsp:val=&quot;008B3B52&quot;/&gt;&lt;wsp:rsid wsp:val=&quot;008B4A63&quot;/&gt;&lt;wsp:rsid wsp:val=&quot;008B69D6&quot;/&gt;&lt;wsp:rsid wsp:val=&quot;008C0731&quot;/&gt;&lt;wsp:rsid wsp:val=&quot;008C3003&quot;/&gt;&lt;wsp:rsid wsp:val=&quot;008C47B8&quot;/&gt;&lt;wsp:rsid wsp:val=&quot;008C6230&quot;/&gt;&lt;wsp:rsid wsp:val=&quot;008D4069&quot;/&gt;&lt;wsp:rsid wsp:val=&quot;008D49B0&quot;/&gt;&lt;wsp:rsid wsp:val=&quot;008E19EB&quot;/&gt;&lt;wsp:rsid wsp:val=&quot;008E73C4&quot;/&gt;&lt;wsp:rsid wsp:val=&quot;008E7AA3&quot;/&gt;&lt;wsp:rsid wsp:val=&quot;008F65BD&quot;/&gt;&lt;wsp:rsid wsp:val=&quot;00900BDC&quot;/&gt;&lt;wsp:rsid wsp:val=&quot;00903002&quot;/&gt;&lt;wsp:rsid wsp:val=&quot;00905D7F&quot;/&gt;&lt;wsp:rsid wsp:val=&quot;00907F30&quot;/&gt;&lt;wsp:rsid wsp:val=&quot;009122D4&quot;/&gt;&lt;wsp:rsid wsp:val=&quot;00912AA7&quot;/&gt;&lt;wsp:rsid wsp:val=&quot;009146EB&quot;/&gt;&lt;wsp:rsid wsp:val=&quot;00924B68&quot;/&gt;&lt;wsp:rsid wsp:val=&quot;0092566B&quot;/&gt;&lt;wsp:rsid wsp:val=&quot;00925F6B&quot;/&gt;&lt;wsp:rsid wsp:val=&quot;00933177&quot;/&gt;&lt;wsp:rsid wsp:val=&quot;0093337C&quot;/&gt;&lt;wsp:rsid wsp:val=&quot;009420D0&quot;/&gt;&lt;wsp:rsid wsp:val=&quot;00943BC6&quot;/&gt;&lt;wsp:rsid wsp:val=&quot;00944404&quot;/&gt;&lt;wsp:rsid wsp:val=&quot;00947405&quot;/&gt;&lt;wsp:rsid wsp:val=&quot;00955F96&quot;/&gt;&lt;wsp:rsid wsp:val=&quot;00965823&quot;/&gt;&lt;wsp:rsid wsp:val=&quot;00970602&quot;/&gt;&lt;wsp:rsid wsp:val=&quot;00970825&quot;/&gt;&lt;wsp:rsid wsp:val=&quot;00970F09&quot;/&gt;&lt;wsp:rsid wsp:val=&quot;00975F9E&quot;/&gt;&lt;wsp:rsid wsp:val=&quot;00987D48&quot;/&gt;&lt;wsp:rsid wsp:val=&quot;00990C3D&quot;/&gt;&lt;wsp:rsid wsp:val=&quot;0099206E&quot;/&gt;&lt;wsp:rsid wsp:val=&quot;009925ED&quot;/&gt;&lt;wsp:rsid wsp:val=&quot;00992A1A&quot;/&gt;&lt;wsp:rsid wsp:val=&quot;00995247&quot;/&gt;&lt;wsp:rsid wsp:val=&quot;00995D5D&quot;/&gt;&lt;wsp:rsid wsp:val=&quot;00996AC6&quot;/&gt;&lt;wsp:rsid wsp:val=&quot;009A0D63&quot;/&gt;&lt;wsp:rsid wsp:val=&quot;009A1EE6&quot;/&gt;&lt;wsp:rsid wsp:val=&quot;009A2A40&quot;/&gt;&lt;wsp:rsid wsp:val=&quot;009A50C2&quot;/&gt;&lt;wsp:rsid wsp:val=&quot;009B2BED&quot;/&gt;&lt;wsp:rsid wsp:val=&quot;009B499F&quot;/&gt;&lt;wsp:rsid wsp:val=&quot;009C01AD&quot;/&gt;&lt;wsp:rsid wsp:val=&quot;009C71F7&quot;/&gt;&lt;wsp:rsid wsp:val=&quot;009D684E&quot;/&gt;&lt;wsp:rsid wsp:val=&quot;009D6CCF&quot;/&gt;&lt;wsp:rsid wsp:val=&quot;009E1C81&quot;/&gt;&lt;wsp:rsid wsp:val=&quot;009E3296&quot;/&gt;&lt;wsp:rsid wsp:val=&quot;009E3701&quot;/&gt;&lt;wsp:rsid wsp:val=&quot;009E50B9&quot;/&gt;&lt;wsp:rsid wsp:val=&quot;009E6B90&quot;/&gt;&lt;wsp:rsid wsp:val=&quot;009E73C8&quot;/&gt;&lt;wsp:rsid wsp:val=&quot;009F0E10&quot;/&gt;&lt;wsp:rsid wsp:val=&quot;009F7098&quot;/&gt;&lt;wsp:rsid wsp:val=&quot;00A02B90&quot;/&gt;&lt;wsp:rsid wsp:val=&quot;00A07659&quot;/&gt;&lt;wsp:rsid wsp:val=&quot;00A119BE&quot;/&gt;&lt;wsp:rsid wsp:val=&quot;00A11BA5&quot;/&gt;&lt;wsp:rsid wsp:val=&quot;00A11F4A&quot;/&gt;&lt;wsp:rsid wsp:val=&quot;00A13333&quot;/&gt;&lt;wsp:rsid wsp:val=&quot;00A13A53&quot;/&gt;&lt;wsp:rsid wsp:val=&quot;00A13BCD&quot;/&gt;&lt;wsp:rsid wsp:val=&quot;00A14BD5&quot;/&gt;&lt;wsp:rsid wsp:val=&quot;00A16F3E&quot;/&gt;&lt;wsp:rsid wsp:val=&quot;00A1721D&quot;/&gt;&lt;wsp:rsid wsp:val=&quot;00A22EE5&quot;/&gt;&lt;wsp:rsid wsp:val=&quot;00A26A08&quot;/&gt;&lt;wsp:rsid wsp:val=&quot;00A26C93&quot;/&gt;&lt;wsp:rsid wsp:val=&quot;00A31DCC&quot;/&gt;&lt;wsp:rsid wsp:val=&quot;00A36057&quot;/&gt;&lt;wsp:rsid wsp:val=&quot;00A36754&quot;/&gt;&lt;wsp:rsid wsp:val=&quot;00A40BAE&quot;/&gt;&lt;wsp:rsid wsp:val=&quot;00A42CED&quot;/&gt;&lt;wsp:rsid wsp:val=&quot;00A45050&quot;/&gt;&lt;wsp:rsid wsp:val=&quot;00A4593E&quot;/&gt;&lt;wsp:rsid wsp:val=&quot;00A45A81&quot;/&gt;&lt;wsp:rsid wsp:val=&quot;00A5118F&quot;/&gt;&lt;wsp:rsid wsp:val=&quot;00A511C2&quot;/&gt;&lt;wsp:rsid wsp:val=&quot;00A516E8&quot;/&gt;&lt;wsp:rsid wsp:val=&quot;00A54560&quot;/&gt;&lt;wsp:rsid wsp:val=&quot;00A548B0&quot;/&gt;&lt;wsp:rsid wsp:val=&quot;00A64A44&quot;/&gt;&lt;wsp:rsid wsp:val=&quot;00A64FBD&quot;/&gt;&lt;wsp:rsid wsp:val=&quot;00A708F8&quot;/&gt;&lt;wsp:rsid wsp:val=&quot;00A72496&quot;/&gt;&lt;wsp:rsid wsp:val=&quot;00A73D44&quot;/&gt;&lt;wsp:rsid wsp:val=&quot;00A77186&quot;/&gt;&lt;wsp:rsid wsp:val=&quot;00A833F1&quot;/&gt;&lt;wsp:rsid wsp:val=&quot;00A83806&quot;/&gt;&lt;wsp:rsid wsp:val=&quot;00A83D4E&quot;/&gt;&lt;wsp:rsid wsp:val=&quot;00A8684F&quot;/&gt;&lt;wsp:rsid wsp:val=&quot;00A87390&quot;/&gt;&lt;wsp:rsid wsp:val=&quot;00A9372E&quot;/&gt;&lt;wsp:rsid wsp:val=&quot;00A94445&quot;/&gt;&lt;wsp:rsid wsp:val=&quot;00AA02C3&quot;/&gt;&lt;wsp:rsid wsp:val=&quot;00AA1E93&quot;/&gt;&lt;wsp:rsid wsp:val=&quot;00AA69E7&quot;/&gt;&lt;wsp:rsid wsp:val=&quot;00AA7B10&quot;/&gt;&lt;wsp:rsid wsp:val=&quot;00AB122C&quot;/&gt;&lt;wsp:rsid wsp:val=&quot;00AB15B3&quot;/&gt;&lt;wsp:rsid wsp:val=&quot;00AB417C&quot;/&gt;&lt;wsp:rsid wsp:val=&quot;00AB470A&quot;/&gt;&lt;wsp:rsid wsp:val=&quot;00AB6378&quot;/&gt;&lt;wsp:rsid wsp:val=&quot;00AC2AEE&quot;/&gt;&lt;wsp:rsid wsp:val=&quot;00AC6D5F&quot;/&gt;&lt;wsp:rsid wsp:val=&quot;00AD1402&quot;/&gt;&lt;wsp:rsid wsp:val=&quot;00AD449A&quot;/&gt;&lt;wsp:rsid wsp:val=&quot;00AE14C6&quot;/&gt;&lt;wsp:rsid wsp:val=&quot;00AE23B7&quot;/&gt;&lt;wsp:rsid wsp:val=&quot;00AE6A0A&quot;/&gt;&lt;wsp:rsid wsp:val=&quot;00AE6A7D&quot;/&gt;&lt;wsp:rsid wsp:val=&quot;00AF7918&quot;/&gt;&lt;wsp:rsid wsp:val=&quot;00B014C7&quot;/&gt;&lt;wsp:rsid wsp:val=&quot;00B0209F&quot;/&gt;&lt;wsp:rsid wsp:val=&quot;00B0474A&quot;/&gt;&lt;wsp:rsid wsp:val=&quot;00B057BF&quot;/&gt;&lt;wsp:rsid wsp:val=&quot;00B05D13&quot;/&gt;&lt;wsp:rsid wsp:val=&quot;00B07207&quot;/&gt;&lt;wsp:rsid wsp:val=&quot;00B157D8&quot;/&gt;&lt;wsp:rsid wsp:val=&quot;00B16651&quot;/&gt;&lt;wsp:rsid wsp:val=&quot;00B214A3&quot;/&gt;&lt;wsp:rsid wsp:val=&quot;00B240DC&quot;/&gt;&lt;wsp:rsid wsp:val=&quot;00B25421&quot;/&gt;&lt;wsp:rsid wsp:val=&quot;00B32D59&quot;/&gt;&lt;wsp:rsid wsp:val=&quot;00B338BD&quot;/&gt;&lt;wsp:rsid wsp:val=&quot;00B34DC9&quot;/&gt;&lt;wsp:rsid wsp:val=&quot;00B35AE8&quot;/&gt;&lt;wsp:rsid wsp:val=&quot;00B365C7&quot;/&gt;&lt;wsp:rsid wsp:val=&quot;00B3665D&quot;/&gt;&lt;wsp:rsid wsp:val=&quot;00B37AFA&quot;/&gt;&lt;wsp:rsid wsp:val=&quot;00B37BD7&quot;/&gt;&lt;wsp:rsid wsp:val=&quot;00B42961&quot;/&gt;&lt;wsp:rsid wsp:val=&quot;00B44DAF&quot;/&gt;&lt;wsp:rsid wsp:val=&quot;00B50C90&quot;/&gt;&lt;wsp:rsid wsp:val=&quot;00B53AD9&quot;/&gt;&lt;wsp:rsid wsp:val=&quot;00B5565A&quot;/&gt;&lt;wsp:rsid wsp:val=&quot;00B568C3&quot;/&gt;&lt;wsp:rsid wsp:val=&quot;00B57007&quot;/&gt;&lt;wsp:rsid wsp:val=&quot;00B61DC7&quot;/&gt;&lt;wsp:rsid wsp:val=&quot;00B65390&quot;/&gt;&lt;wsp:rsid wsp:val=&quot;00B66DF3&quot;/&gt;&lt;wsp:rsid wsp:val=&quot;00B71443&quot;/&gt;&lt;wsp:rsid wsp:val=&quot;00B77FB3&quot;/&gt;&lt;wsp:rsid wsp:val=&quot;00B8010C&quot;/&gt;&lt;wsp:rsid wsp:val=&quot;00B801B9&quot;/&gt;&lt;wsp:rsid wsp:val=&quot;00B80340&quot;/&gt;&lt;wsp:rsid wsp:val=&quot;00B809BB&quot;/&gt;&lt;wsp:rsid wsp:val=&quot;00B81FBC&quot;/&gt;&lt;wsp:rsid wsp:val=&quot;00B84FF5&quot;/&gt;&lt;wsp:rsid wsp:val=&quot;00B865F5&quot;/&gt;&lt;wsp:rsid wsp:val=&quot;00B87A0B&quot;/&gt;&lt;wsp:rsid wsp:val=&quot;00B94AB4&quot;/&gt;&lt;wsp:rsid wsp:val=&quot;00B95FF5&quot;/&gt;&lt;wsp:rsid wsp:val=&quot;00BA3208&quot;/&gt;&lt;wsp:rsid wsp:val=&quot;00BA3CDB&quot;/&gt;&lt;wsp:rsid wsp:val=&quot;00BA4C92&quot;/&gt;&lt;wsp:rsid wsp:val=&quot;00BA6CAC&quot;/&gt;&lt;wsp:rsid wsp:val=&quot;00BB05B8&quot;/&gt;&lt;wsp:rsid wsp:val=&quot;00BB1AE1&quot;/&gt;&lt;wsp:rsid wsp:val=&quot;00BB2546&quot;/&gt;&lt;wsp:rsid wsp:val=&quot;00BB2886&quot;/&gt;&lt;wsp:rsid wsp:val=&quot;00BB39EC&quot;/&gt;&lt;wsp:rsid wsp:val=&quot;00BB6038&quot;/&gt;&lt;wsp:rsid wsp:val=&quot;00BB6C2C&quot;/&gt;&lt;wsp:rsid wsp:val=&quot;00BC1B08&quot;/&gt;&lt;wsp:rsid wsp:val=&quot;00BC3C2B&quot;/&gt;&lt;wsp:rsid wsp:val=&quot;00BC3FCE&quot;/&gt;&lt;wsp:rsid wsp:val=&quot;00BC4AA1&quot;/&gt;&lt;wsp:rsid wsp:val=&quot;00BD48C6&quot;/&gt;&lt;wsp:rsid wsp:val=&quot;00BE5221&quot;/&gt;&lt;wsp:rsid wsp:val=&quot;00BF2F3B&quot;/&gt;&lt;wsp:rsid wsp:val=&quot;00BF4F8F&quot;/&gt;&lt;wsp:rsid wsp:val=&quot;00BF5384&quot;/&gt;&lt;wsp:rsid wsp:val=&quot;00BF5CDF&quot;/&gt;&lt;wsp:rsid wsp:val=&quot;00BF768E&quot;/&gt;&lt;wsp:rsid wsp:val=&quot;00C00157&quot;/&gt;&lt;wsp:rsid wsp:val=&quot;00C03CCC&quot;/&gt;&lt;wsp:rsid wsp:val=&quot;00C0574F&quot;/&gt;&lt;wsp:rsid wsp:val=&quot;00C05D5A&quot;/&gt;&lt;wsp:rsid wsp:val=&quot;00C112B8&quot;/&gt;&lt;wsp:rsid wsp:val=&quot;00C12C60&quot;/&gt;&lt;wsp:rsid wsp:val=&quot;00C13963&quot;/&gt;&lt;wsp:rsid wsp:val=&quot;00C152C3&quot;/&gt;&lt;wsp:rsid wsp:val=&quot;00C154BA&quot;/&gt;&lt;wsp:rsid wsp:val=&quot;00C1720C&quot;/&gt;&lt;wsp:rsid wsp:val=&quot;00C213C8&quot;/&gt;&lt;wsp:rsid wsp:val=&quot;00C21B38&quot;/&gt;&lt;wsp:rsid wsp:val=&quot;00C27890&quot;/&gt;&lt;wsp:rsid wsp:val=&quot;00C31865&quot;/&gt;&lt;wsp:rsid wsp:val=&quot;00C32BA9&quot;/&gt;&lt;wsp:rsid wsp:val=&quot;00C3324E&quot;/&gt;&lt;wsp:rsid wsp:val=&quot;00C35C07&quot;/&gt;&lt;wsp:rsid wsp:val=&quot;00C35FD9&quot;/&gt;&lt;wsp:rsid wsp:val=&quot;00C37A2A&quot;/&gt;&lt;wsp:rsid wsp:val=&quot;00C45E26&quot;/&gt;&lt;wsp:rsid wsp:val=&quot;00C45ED4&quot;/&gt;&lt;wsp:rsid wsp:val=&quot;00C45F28&quot;/&gt;&lt;wsp:rsid wsp:val=&quot;00C473ED&quot;/&gt;&lt;wsp:rsid wsp:val=&quot;00C533B6&quot;/&gt;&lt;wsp:rsid wsp:val=&quot;00C5382E&quot;/&gt;&lt;wsp:rsid wsp:val=&quot;00C54624&quot;/&gt;&lt;wsp:rsid wsp:val=&quot;00C60C63&quot;/&gt;&lt;wsp:rsid wsp:val=&quot;00C6300E&quot;/&gt;&lt;wsp:rsid wsp:val=&quot;00C6418D&quot;/&gt;&lt;wsp:rsid wsp:val=&quot;00C66C20&quot;/&gt;&lt;wsp:rsid wsp:val=&quot;00C70896&quot;/&gt;&lt;wsp:rsid wsp:val=&quot;00C70B9A&quot;/&gt;&lt;wsp:rsid wsp:val=&quot;00C71228&quot;/&gt;&lt;wsp:rsid wsp:val=&quot;00C71762&quot;/&gt;&lt;wsp:rsid wsp:val=&quot;00C729F2&quot;/&gt;&lt;wsp:rsid wsp:val=&quot;00C72C33&quot;/&gt;&lt;wsp:rsid wsp:val=&quot;00C75139&quot;/&gt;&lt;wsp:rsid wsp:val=&quot;00C872AB&quot;/&gt;&lt;wsp:rsid wsp:val=&quot;00C879F3&quot;/&gt;&lt;wsp:rsid wsp:val=&quot;00C93578&quot;/&gt;&lt;wsp:rsid wsp:val=&quot;00C9452E&quot;/&gt;&lt;wsp:rsid wsp:val=&quot;00C9531B&quot;/&gt;&lt;wsp:rsid wsp:val=&quot;00C95772&quot;/&gt;&lt;wsp:rsid wsp:val=&quot;00C96959&quot;/&gt;&lt;wsp:rsid wsp:val=&quot;00CA1095&quot;/&gt;&lt;wsp:rsid wsp:val=&quot;00CA588A&quot;/&gt;&lt;wsp:rsid wsp:val=&quot;00CA62B4&quot;/&gt;&lt;wsp:rsid wsp:val=&quot;00CB330E&quot;/&gt;&lt;wsp:rsid wsp:val=&quot;00CB4A98&quot;/&gt;&lt;wsp:rsid wsp:val=&quot;00CC05F2&quot;/&gt;&lt;wsp:rsid wsp:val=&quot;00CC3FE4&quot;/&gt;&lt;wsp:rsid wsp:val=&quot;00CC4121&quot;/&gt;&lt;wsp:rsid wsp:val=&quot;00CC705D&quot;/&gt;&lt;wsp:rsid wsp:val=&quot;00CD1D59&quot;/&gt;&lt;wsp:rsid wsp:val=&quot;00CD4800&quot;/&gt;&lt;wsp:rsid wsp:val=&quot;00CD5B28&quot;/&gt;&lt;wsp:rsid wsp:val=&quot;00CD78CB&quot;/&gt;&lt;wsp:rsid wsp:val=&quot;00CE334A&quot;/&gt;&lt;wsp:rsid wsp:val=&quot;00CE3990&quot;/&gt;&lt;wsp:rsid wsp:val=&quot;00CE5D28&quot;/&gt;&lt;wsp:rsid wsp:val=&quot;00CE7464&quot;/&gt;&lt;wsp:rsid wsp:val=&quot;00CF1DBE&quot;/&gt;&lt;wsp:rsid wsp:val=&quot;00CF6450&quot;/&gt;&lt;wsp:rsid wsp:val=&quot;00CF6E0D&quot;/&gt;&lt;wsp:rsid wsp:val=&quot;00CF7ED9&quot;/&gt;&lt;wsp:rsid wsp:val=&quot;00D01342&quot;/&gt;&lt;wsp:rsid wsp:val=&quot;00D01A8D&quot;/&gt;&lt;wsp:rsid wsp:val=&quot;00D06ACB&quot;/&gt;&lt;wsp:rsid wsp:val=&quot;00D071C3&quot;/&gt;&lt;wsp:rsid wsp:val=&quot;00D10B63&quot;/&gt;&lt;wsp:rsid wsp:val=&quot;00D144E3&quot;/&gt;&lt;wsp:rsid wsp:val=&quot;00D157B9&quot;/&gt;&lt;wsp:rsid wsp:val=&quot;00D165D4&quot;/&gt;&lt;wsp:rsid wsp:val=&quot;00D2166F&quot;/&gt;&lt;wsp:rsid wsp:val=&quot;00D21FF2&quot;/&gt;&lt;wsp:rsid wsp:val=&quot;00D26B78&quot;/&gt;&lt;wsp:rsid wsp:val=&quot;00D27091&quot;/&gt;&lt;wsp:rsid wsp:val=&quot;00D36F5F&quot;/&gt;&lt;wsp:rsid wsp:val=&quot;00D42B52&quot;/&gt;&lt;wsp:rsid wsp:val=&quot;00D43644&quot;/&gt;&lt;wsp:rsid wsp:val=&quot;00D43C6D&quot;/&gt;&lt;wsp:rsid wsp:val=&quot;00D44C25&quot;/&gt;&lt;wsp:rsid wsp:val=&quot;00D564A2&quot;/&gt;&lt;wsp:rsid wsp:val=&quot;00D60423&quot;/&gt;&lt;wsp:rsid wsp:val=&quot;00D63651&quot;/&gt;&lt;wsp:rsid wsp:val=&quot;00D659EC&quot;/&gt;&lt;wsp:rsid wsp:val=&quot;00D67829&quot;/&gt;&lt;wsp:rsid wsp:val=&quot;00D76F30&quot;/&gt;&lt;wsp:rsid wsp:val=&quot;00D77813&quot;/&gt;&lt;wsp:rsid wsp:val=&quot;00D77CC8&quot;/&gt;&lt;wsp:rsid wsp:val=&quot;00D80104&quot;/&gt;&lt;wsp:rsid wsp:val=&quot;00D824FB&quot;/&gt;&lt;wsp:rsid wsp:val=&quot;00D87E5C&quot;/&gt;&lt;wsp:rsid wsp:val=&quot;00D95117&quot;/&gt;&lt;wsp:rsid wsp:val=&quot;00D96028&quot;/&gt;&lt;wsp:rsid wsp:val=&quot;00D96713&quot;/&gt;&lt;wsp:rsid wsp:val=&quot;00D971F7&quot;/&gt;&lt;wsp:rsid wsp:val=&quot;00DA1DF4&quot;/&gt;&lt;wsp:rsid wsp:val=&quot;00DA216D&quot;/&gt;&lt;wsp:rsid wsp:val=&quot;00DA507A&quot;/&gt;&lt;wsp:rsid wsp:val=&quot;00DA6257&quot;/&gt;&lt;wsp:rsid wsp:val=&quot;00DA7353&quot;/&gt;&lt;wsp:rsid wsp:val=&quot;00DB184C&quot;/&gt;&lt;wsp:rsid wsp:val=&quot;00DC265F&quot;/&gt;&lt;wsp:rsid wsp:val=&quot;00DC4E0A&quot;/&gt;&lt;wsp:rsid wsp:val=&quot;00DC5705&quot;/&gt;&lt;wsp:rsid wsp:val=&quot;00DC66C1&quot;/&gt;&lt;wsp:rsid wsp:val=&quot;00DC6A94&quot;/&gt;&lt;wsp:rsid wsp:val=&quot;00DC6F25&quot;/&gt;&lt;wsp:rsid wsp:val=&quot;00DC71D4&quot;/&gt;&lt;wsp:rsid wsp:val=&quot;00DE0A42&quot;/&gt;&lt;wsp:rsid wsp:val=&quot;00DE31E8&quot;/&gt;&lt;wsp:rsid wsp:val=&quot;00DE3503&quot;/&gt;&lt;wsp:rsid wsp:val=&quot;00DE5BE3&quot;/&gt;&lt;wsp:rsid wsp:val=&quot;00DE699F&quot;/&gt;&lt;wsp:rsid wsp:val=&quot;00DE7C17&quot;/&gt;&lt;wsp:rsid wsp:val=&quot;00DF067C&quot;/&gt;&lt;wsp:rsid wsp:val=&quot;00DF0A0A&quot;/&gt;&lt;wsp:rsid wsp:val=&quot;00DF1E0F&quot;/&gt;&lt;wsp:rsid wsp:val=&quot;00DF233D&quot;/&gt;&lt;wsp:rsid wsp:val=&quot;00DF3497&quot;/&gt;&lt;wsp:rsid wsp:val=&quot;00DF4D3D&quot;/&gt;&lt;wsp:rsid wsp:val=&quot;00E024E5&quot;/&gt;&lt;wsp:rsid wsp:val=&quot;00E0262D&quot;/&gt;&lt;wsp:rsid wsp:val=&quot;00E02EA1&quot;/&gt;&lt;wsp:rsid wsp:val=&quot;00E04858&quot;/&gt;&lt;wsp:rsid wsp:val=&quot;00E10A4A&quot;/&gt;&lt;wsp:rsid wsp:val=&quot;00E12FAE&quot;/&gt;&lt;wsp:rsid wsp:val=&quot;00E132A3&quot;/&gt;&lt;wsp:rsid wsp:val=&quot;00E156BB&quot;/&gt;&lt;wsp:rsid wsp:val=&quot;00E24644&quot;/&gt;&lt;wsp:rsid wsp:val=&quot;00E2511A&quot;/&gt;&lt;wsp:rsid wsp:val=&quot;00E26B1D&quot;/&gt;&lt;wsp:rsid wsp:val=&quot;00E31771&quot;/&gt;&lt;wsp:rsid wsp:val=&quot;00E33339&quot;/&gt;&lt;wsp:rsid wsp:val=&quot;00E364DF&quot;/&gt;&lt;wsp:rsid wsp:val=&quot;00E43159&quot;/&gt;&lt;wsp:rsid wsp:val=&quot;00E43C0D&quot;/&gt;&lt;wsp:rsid wsp:val=&quot;00E465FB&quot;/&gt;&lt;wsp:rsid wsp:val=&quot;00E47B0F&quot;/&gt;&lt;wsp:rsid wsp:val=&quot;00E52012&quot;/&gt;&lt;wsp:rsid wsp:val=&quot;00E56291&quot;/&gt;&lt;wsp:rsid wsp:val=&quot;00E56AD8&quot;/&gt;&lt;wsp:rsid wsp:val=&quot;00E57BC3&quot;/&gt;&lt;wsp:rsid wsp:val=&quot;00E60C5A&quot;/&gt;&lt;wsp:rsid wsp:val=&quot;00E674C1&quot;/&gt;&lt;wsp:rsid wsp:val=&quot;00E70577&quot;/&gt;&lt;wsp:rsid wsp:val=&quot;00E70921&quot;/&gt;&lt;wsp:rsid wsp:val=&quot;00E7180E&quot;/&gt;&lt;wsp:rsid wsp:val=&quot;00E74881&quot;/&gt;&lt;wsp:rsid wsp:val=&quot;00E7490E&quot;/&gt;&lt;wsp:rsid wsp:val=&quot;00E906B4&quot;/&gt;&lt;wsp:rsid wsp:val=&quot;00E909F5&quot;/&gt;&lt;wsp:rsid wsp:val=&quot;00E92017&quot;/&gt;&lt;wsp:rsid wsp:val=&quot;00E9350E&quot;/&gt;&lt;wsp:rsid wsp:val=&quot;00E96939&quot;/&gt;&lt;wsp:rsid wsp:val=&quot;00EA3B3F&quot;/&gt;&lt;wsp:rsid wsp:val=&quot;00EA49CC&quot;/&gt;&lt;wsp:rsid wsp:val=&quot;00EA5242&quot;/&gt;&lt;wsp:rsid wsp:val=&quot;00EA75E7&quot;/&gt;&lt;wsp:rsid wsp:val=&quot;00EB1148&quot;/&gt;&lt;wsp:rsid wsp:val=&quot;00EC09C7&quot;/&gt;&lt;wsp:rsid wsp:val=&quot;00EC7A27&quot;/&gt;&lt;wsp:rsid wsp:val=&quot;00ED0D64&quot;/&gt;&lt;wsp:rsid wsp:val=&quot;00ED12B9&quot;/&gt;&lt;wsp:rsid wsp:val=&quot;00ED13C4&quot;/&gt;&lt;wsp:rsid wsp:val=&quot;00ED1F03&quot;/&gt;&lt;wsp:rsid wsp:val=&quot;00ED5A30&quot;/&gt;&lt;wsp:rsid wsp:val=&quot;00ED66D9&quot;/&gt;&lt;wsp:rsid wsp:val=&quot;00ED7416&quot;/&gt;&lt;wsp:rsid wsp:val=&quot;00EE1DEA&quot;/&gt;&lt;wsp:rsid wsp:val=&quot;00EF0CFA&quot;/&gt;&lt;wsp:rsid wsp:val=&quot;00EF0EC1&quot;/&gt;&lt;wsp:rsid wsp:val=&quot;00EF168F&quot;/&gt;&lt;wsp:rsid wsp:val=&quot;00EF38A5&quot;/&gt;&lt;wsp:rsid wsp:val=&quot;00EF3A86&quot;/&gt;&lt;wsp:rsid wsp:val=&quot;00EF42BD&quot;/&gt;&lt;wsp:rsid wsp:val=&quot;00EF4754&quot;/&gt;&lt;wsp:rsid wsp:val=&quot;00EF4A28&quot;/&gt;&lt;wsp:rsid wsp:val=&quot;00F0319D&quot;/&gt;&lt;wsp:rsid wsp:val=&quot;00F05AC1&quot;/&gt;&lt;wsp:rsid wsp:val=&quot;00F1456C&quot;/&gt;&lt;wsp:rsid wsp:val=&quot;00F15768&quot;/&gt;&lt;wsp:rsid wsp:val=&quot;00F16F50&quot;/&gt;&lt;wsp:rsid wsp:val=&quot;00F24E2C&quot;/&gt;&lt;wsp:rsid wsp:val=&quot;00F25185&quot;/&gt;&lt;wsp:rsid wsp:val=&quot;00F25B27&quot;/&gt;&lt;wsp:rsid wsp:val=&quot;00F25C03&quot;/&gt;&lt;wsp:rsid wsp:val=&quot;00F264FD&quot;/&gt;&lt;wsp:rsid wsp:val=&quot;00F26EB5&quot;/&gt;&lt;wsp:rsid wsp:val=&quot;00F31A7B&quot;/&gt;&lt;wsp:rsid wsp:val=&quot;00F43B91&quot;/&gt;&lt;wsp:rsid wsp:val=&quot;00F45647&quot;/&gt;&lt;wsp:rsid wsp:val=&quot;00F46DDF&quot;/&gt;&lt;wsp:rsid wsp:val=&quot;00F50E4C&quot;/&gt;&lt;wsp:rsid wsp:val=&quot;00F52EE8&quot;/&gt;&lt;wsp:rsid wsp:val=&quot;00F531F2&quot;/&gt;&lt;wsp:rsid wsp:val=&quot;00F55AE8&quot;/&gt;&lt;wsp:rsid wsp:val=&quot;00F56B69&quot;/&gt;&lt;wsp:rsid wsp:val=&quot;00F56C63&quot;/&gt;&lt;wsp:rsid wsp:val=&quot;00F7242C&quot;/&gt;&lt;wsp:rsid wsp:val=&quot;00F763DE&quot;/&gt;&lt;wsp:rsid wsp:val=&quot;00F776E3&quot;/&gt;&lt;wsp:rsid wsp:val=&quot;00F8204D&quot;/&gt;&lt;wsp:rsid wsp:val=&quot;00F834C2&quot;/&gt;&lt;wsp:rsid wsp:val=&quot;00F837FD&quot;/&gt;&lt;wsp:rsid wsp:val=&quot;00F843E1&quot;/&gt;&lt;wsp:rsid wsp:val=&quot;00F851FC&quot;/&gt;&lt;wsp:rsid wsp:val=&quot;00F871C2&quot;/&gt;&lt;wsp:rsid wsp:val=&quot;00F8759B&quot;/&gt;&lt;wsp:rsid wsp:val=&quot;00F9230A&quot;/&gt;&lt;wsp:rsid wsp:val=&quot;00FA1180&quot;/&gt;&lt;wsp:rsid wsp:val=&quot;00FA12EF&quot;/&gt;&lt;wsp:rsid wsp:val=&quot;00FA4408&quot;/&gt;&lt;wsp:rsid wsp:val=&quot;00FA637B&quot;/&gt;&lt;wsp:rsid wsp:val=&quot;00FA69E1&quot;/&gt;&lt;wsp:rsid wsp:val=&quot;00FA7896&quot;/&gt;&lt;wsp:rsid wsp:val=&quot;00FB0A04&quot;/&gt;&lt;wsp:rsid wsp:val=&quot;00FB0B4A&quot;/&gt;&lt;wsp:rsid wsp:val=&quot;00FC23AE&quot;/&gt;&lt;wsp:rsid wsp:val=&quot;00FC2FBA&quot;/&gt;&lt;wsp:rsid wsp:val=&quot;00FC3D3A&quot;/&gt;&lt;wsp:rsid wsp:val=&quot;00FC5DFD&quot;/&gt;&lt;wsp:rsid wsp:val=&quot;00FD120A&quot;/&gt;&lt;wsp:rsid wsp:val=&quot;00FD1649&quot;/&gt;&lt;wsp:rsid wsp:val=&quot;00FD3E59&quot;/&gt;&lt;wsp:rsid wsp:val=&quot;00FD6CED&quot;/&gt;&lt;wsp:rsid wsp:val=&quot;00FE7122&quot;/&gt;&lt;wsp:rsid wsp:val=&quot;00FF18C1&quot;/&gt;&lt;wsp:rsid wsp:val=&quot;00FF23D5&quot;/&gt;&lt;wsp:rsid wsp:val=&quot;00FF54F1&quot;/&gt;&lt;wsp:rsid wsp:val=&quot;00FF69DC&quot;/&gt;&lt;wsp:rsid wsp:val=&quot;00FF792F&quot;/&gt;&lt;/wsp:rsids&gt;&lt;/w:docPr&gt;&lt;w:body&gt;&lt;w:p wsp:rsidR=&quot;00000000&quot; wsp:rsidRDefault=&quot;00B61DC7&quot;&gt;&lt;m:oMathPara&gt;&lt;m:oMath&gt;&lt;m:sSup&gt;&lt;m:sSupPr&gt;&lt;m:ctrlPr&gt;&lt;w:rPr&gt;&lt;w:rFonts w:ascii=&quot;Cambria Math&quot; w:h-ansi=&quot;Cambria Math&quot;/&gt;&lt;wx:font wx:val=&quot;Cambria Math&quot;/&gt;&lt;w:i/&gt;&lt;w:lang w:val=&quot;EN-US&quot;/&gt;&lt;/w:rPr&gt;&lt;/m:ctrlPr&gt;&lt;/m:sSupPr&gt;&lt;m:e&gt;&lt;m:r&gt;&lt;w:rPr&gt;&lt;w:rFonts w:ascii=&quot;Cambria Math&quot; w:h-ansi=&quot;Cambria Math&quot;/&gt;&lt;wx:font wx:val=&quot;Cambria Math&quot;/&gt;&lt;w:i/&gt;&lt;w:lang w:val=&quot;EN-US&quot;/&gt;&lt;/w:rPr&gt;&lt;m:t&gt;R&lt;/m:t&gt;&lt;/m:r&gt;&lt;/m:e&gt;&lt;m:sup&gt;&lt;m:r&gt;&lt;w:rPr&gt;&lt;w:rFonts w:ascii=&quot;Cambria Math&quot; w:h-ansi=&quot;Cambria Math&quot;/&gt;&lt;wx:font wx:val=&quot;Cambria Math&quot;/&gt;&lt;w:i/&gt;&lt;w:lang w:val=&quot;EN-US&quot;/&gt;&lt;/w:rPr&gt;&lt;m:t&gt;2&lt;/m:t&gt;&lt;/m:r&gt;&lt;/m:sup&gt;&lt;/m:sSup&gt;&lt;/m:oMath&gt;&lt;/m:oMathPara&gt;&lt;/w:p&gt;&lt;w:sectPr wsp:rsidR=&quot;00000000&quot;&gt;&lt;w:pgSz w:w=&quot;12240&quot; w:h=&quot;15840&quot;/&gt;&lt;w:pgMar w:top=&quot;1440&quot; w:right=&quot;1440&quot; w:bottom=&quot;1440&quot; w:left=&quot;1440&quot; w:header=&quot;720&quot; w:footer=&quot;720&quot; w:gutter=&quot;0&quot;/&gt;&lt;w:cols w:space=&quot;720&quot;/&gt;&lt;/w:sectPr&gt;&lt;/w:body&gt;&lt;/w:wordDocument&gt;">
            <v:imagedata r:id="rId39" o:title="" chromakey="white"/>
          </v:shape>
        </w:pict>
      </w:r>
      <w:r w:rsidRPr="006E06F2">
        <w:rPr>
          <w:lang w:val="en-US"/>
        </w:rPr>
        <w:fldChar w:fldCharType="end"/>
      </w:r>
      <w:r>
        <w:rPr>
          <w:lang w:val="en-US"/>
        </w:rPr>
        <w:t xml:space="preserve"> of the regressions across industries average out to about 34 percent, meaning that the dependent variables only explain circa 34 percent of the result pertaining to the dependent variable. I also find some traces of heteroskedasticity amongst the industries using the White’s Test, where the regressions controlled for heteroskedasticity tend to show slightly different standard errors. Although the presence of heteroskedasticity does not introduce biases of inconsistencies in the regression coefficients, it can cause the standard errors to be underestimated. This in turn can cause relationships to be statistically significant when in fact they are too weak to be differentiated from zero. The relatively low explanatory power of the regressions and the presence of heteroskedasticity indicate the discretionary accruals estimations might exhibit econometric problems when using the modified Jones model. This is consistent with prior research (Subramanyam, 1996; Guay et al., 1996; Wells, 2002), where the Jones model reported considerable imprecision in estimating the discretionary accruals.   </w:t>
      </w:r>
    </w:p>
    <w:p w:rsidR="00334F38" w:rsidRPr="00687CC7" w:rsidRDefault="00334F38" w:rsidP="00975F9E">
      <w:pPr>
        <w:autoSpaceDE w:val="0"/>
        <w:autoSpaceDN w:val="0"/>
        <w:adjustRightInd w:val="0"/>
        <w:spacing w:line="360" w:lineRule="auto"/>
        <w:jc w:val="both"/>
        <w:rPr>
          <w:lang w:val="en-US"/>
        </w:rPr>
      </w:pPr>
      <w:r>
        <w:rPr>
          <w:lang w:val="en-US"/>
        </w:rPr>
        <w:t xml:space="preserve">Another cause for concern lies with the identification of the firms within 2-digit SIC industries. The train of thought in estimating the regression coefficients per industry is that it is assumed that all firms within that industry exhibit a relatively similar coefficient estimate pertaining to the dependent  variables. Therefore the use of the 2-digit SIC (similar to prior research) might not be a good proxy for segmenting industries. The major economic group with a 2-digit SIC of 37 (Transportation Equipment) for example, contains industries ranging from Motor Vehicles and Car Bodies (3711) to Aircraft Parts and Equipment (3728). Since my research estimates the mean of discretionary accruals from each individual firm within the 2-digit SIC industry, it is not hard to imagine that these two differing industries exhibit dissimilar coefficient estimates pertaining to dependent variables. </w:t>
      </w:r>
    </w:p>
    <w:p w:rsidR="00334F38" w:rsidRPr="00310A06" w:rsidRDefault="00334F38" w:rsidP="00975F9E">
      <w:pPr>
        <w:autoSpaceDE w:val="0"/>
        <w:autoSpaceDN w:val="0"/>
        <w:adjustRightInd w:val="0"/>
        <w:spacing w:line="360" w:lineRule="auto"/>
        <w:jc w:val="both"/>
        <w:rPr>
          <w:lang w:val="en-US"/>
        </w:rPr>
        <w:sectPr w:rsidR="00334F38" w:rsidRPr="00310A06" w:rsidSect="000331BF">
          <w:footerReference w:type="default" r:id="rId46"/>
          <w:pgSz w:w="11906" w:h="16838"/>
          <w:pgMar w:top="1417" w:right="1417" w:bottom="1417" w:left="1417" w:header="708" w:footer="708" w:gutter="0"/>
          <w:pgNumType w:start="0"/>
          <w:cols w:space="708"/>
          <w:titlePg/>
          <w:docGrid w:linePitch="360"/>
        </w:sectPr>
      </w:pPr>
      <w:r>
        <w:rPr>
          <w:lang w:val="en-US"/>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28"/>
        <w:gridCol w:w="3034"/>
        <w:gridCol w:w="2831"/>
        <w:gridCol w:w="2831"/>
        <w:gridCol w:w="2832"/>
      </w:tblGrid>
      <w:tr w:rsidR="00334F38" w:rsidRPr="002E6335">
        <w:tc>
          <w:tcPr>
            <w:tcW w:w="2628" w:type="dxa"/>
          </w:tcPr>
          <w:p w:rsidR="00334F38" w:rsidRPr="003E7C8B" w:rsidRDefault="00334F38" w:rsidP="000331BF">
            <w:pPr>
              <w:pStyle w:val="Heading1"/>
              <w:rPr>
                <w:b w:val="0"/>
                <w:lang w:val="en-US"/>
              </w:rPr>
            </w:pPr>
          </w:p>
        </w:tc>
        <w:tc>
          <w:tcPr>
            <w:tcW w:w="3034" w:type="dxa"/>
          </w:tcPr>
          <w:p w:rsidR="00334F38" w:rsidRPr="003E7C8B" w:rsidRDefault="00334F38" w:rsidP="000331BF">
            <w:pPr>
              <w:pStyle w:val="Heading1"/>
              <w:rPr>
                <w:b w:val="0"/>
                <w:lang w:val="en-US"/>
              </w:rPr>
            </w:pPr>
          </w:p>
        </w:tc>
        <w:tc>
          <w:tcPr>
            <w:tcW w:w="2831" w:type="dxa"/>
          </w:tcPr>
          <w:p w:rsidR="00334F38" w:rsidRPr="00432D9F" w:rsidRDefault="00334F38" w:rsidP="00BB6C2C">
            <w:pPr>
              <w:pStyle w:val="Heading1"/>
              <w:rPr>
                <w:lang w:val="en-US"/>
              </w:rPr>
            </w:pPr>
            <w:bookmarkStart w:id="90" w:name="_Toc223368944"/>
            <w:bookmarkStart w:id="91" w:name="_Toc258079475"/>
            <w:r w:rsidRPr="00432D9F">
              <w:rPr>
                <w:lang w:val="en-US"/>
              </w:rPr>
              <w:t>Table of Literature</w:t>
            </w:r>
            <w:bookmarkEnd w:id="90"/>
            <w:bookmarkEnd w:id="91"/>
          </w:p>
        </w:tc>
        <w:tc>
          <w:tcPr>
            <w:tcW w:w="2831" w:type="dxa"/>
          </w:tcPr>
          <w:p w:rsidR="00334F38" w:rsidRPr="00432D9F" w:rsidRDefault="00334F38" w:rsidP="000331BF">
            <w:pPr>
              <w:pStyle w:val="Heading1"/>
              <w:rPr>
                <w:b w:val="0"/>
                <w:lang w:val="en-US"/>
              </w:rPr>
            </w:pPr>
          </w:p>
        </w:tc>
        <w:tc>
          <w:tcPr>
            <w:tcW w:w="2832" w:type="dxa"/>
          </w:tcPr>
          <w:p w:rsidR="00334F38" w:rsidRPr="00432D9F" w:rsidRDefault="00334F38" w:rsidP="000331BF">
            <w:pPr>
              <w:pStyle w:val="Heading1"/>
              <w:rPr>
                <w:b w:val="0"/>
                <w:lang w:val="en-US"/>
              </w:rPr>
            </w:pPr>
          </w:p>
        </w:tc>
      </w:tr>
      <w:tr w:rsidR="00334F38" w:rsidRPr="002E6335">
        <w:tc>
          <w:tcPr>
            <w:tcW w:w="2628" w:type="dxa"/>
          </w:tcPr>
          <w:p w:rsidR="00334F38" w:rsidRPr="00432D9F" w:rsidRDefault="00334F38" w:rsidP="00351E94">
            <w:pPr>
              <w:rPr>
                <w:b/>
                <w:lang w:val="en-US"/>
              </w:rPr>
            </w:pPr>
            <w:r w:rsidRPr="00432D9F">
              <w:rPr>
                <w:b/>
                <w:lang w:val="en-US"/>
              </w:rPr>
              <w:t>Authors</w:t>
            </w:r>
          </w:p>
        </w:tc>
        <w:tc>
          <w:tcPr>
            <w:tcW w:w="3034" w:type="dxa"/>
          </w:tcPr>
          <w:p w:rsidR="00334F38" w:rsidRPr="00432D9F" w:rsidRDefault="00334F38" w:rsidP="00351E94">
            <w:pPr>
              <w:rPr>
                <w:b/>
                <w:lang w:val="en-US"/>
              </w:rPr>
            </w:pPr>
            <w:r w:rsidRPr="00432D9F">
              <w:rPr>
                <w:b/>
                <w:lang w:val="en-US"/>
              </w:rPr>
              <w:t>Body of work</w:t>
            </w:r>
          </w:p>
        </w:tc>
        <w:tc>
          <w:tcPr>
            <w:tcW w:w="2831" w:type="dxa"/>
          </w:tcPr>
          <w:p w:rsidR="00334F38" w:rsidRPr="00432D9F" w:rsidRDefault="00334F38" w:rsidP="00351E94">
            <w:pPr>
              <w:rPr>
                <w:b/>
                <w:lang w:val="en-US"/>
              </w:rPr>
            </w:pPr>
            <w:r w:rsidRPr="00432D9F">
              <w:rPr>
                <w:b/>
                <w:lang w:val="en-US"/>
              </w:rPr>
              <w:t>Sample</w:t>
            </w:r>
          </w:p>
        </w:tc>
        <w:tc>
          <w:tcPr>
            <w:tcW w:w="2831" w:type="dxa"/>
          </w:tcPr>
          <w:p w:rsidR="00334F38" w:rsidRPr="00432D9F" w:rsidRDefault="00334F38" w:rsidP="00351E94">
            <w:pPr>
              <w:rPr>
                <w:b/>
                <w:lang w:val="en-US"/>
              </w:rPr>
            </w:pPr>
            <w:r w:rsidRPr="00432D9F">
              <w:rPr>
                <w:b/>
                <w:lang w:val="en-US"/>
              </w:rPr>
              <w:t>Methodology</w:t>
            </w:r>
          </w:p>
        </w:tc>
        <w:tc>
          <w:tcPr>
            <w:tcW w:w="2832" w:type="dxa"/>
          </w:tcPr>
          <w:p w:rsidR="00334F38" w:rsidRPr="00432D9F" w:rsidRDefault="00334F38" w:rsidP="00351E94">
            <w:pPr>
              <w:rPr>
                <w:b/>
                <w:lang w:val="en-US"/>
              </w:rPr>
            </w:pPr>
            <w:r w:rsidRPr="00432D9F">
              <w:rPr>
                <w:b/>
                <w:lang w:val="en-US"/>
              </w:rPr>
              <w:t>Results</w:t>
            </w:r>
          </w:p>
        </w:tc>
      </w:tr>
      <w:tr w:rsidR="00334F38" w:rsidRPr="00157D4E">
        <w:tc>
          <w:tcPr>
            <w:tcW w:w="2628" w:type="dxa"/>
          </w:tcPr>
          <w:p w:rsidR="00334F38" w:rsidRPr="0093337C" w:rsidRDefault="00334F38" w:rsidP="00351E94">
            <w:pPr>
              <w:rPr>
                <w:lang w:val="en-US"/>
              </w:rPr>
            </w:pPr>
            <w:r w:rsidRPr="00432D9F">
              <w:rPr>
                <w:lang w:val="en-US"/>
              </w:rPr>
              <w:t xml:space="preserve">David Burgstahler, </w:t>
            </w:r>
            <w:r w:rsidRPr="0093337C">
              <w:rPr>
                <w:lang w:val="en-US"/>
              </w:rPr>
              <w:t>Iia Dichev (1997)</w:t>
            </w:r>
          </w:p>
        </w:tc>
        <w:tc>
          <w:tcPr>
            <w:tcW w:w="3034" w:type="dxa"/>
          </w:tcPr>
          <w:p w:rsidR="00334F38" w:rsidRPr="003E7C8B" w:rsidRDefault="00334F38" w:rsidP="00351E94">
            <w:pPr>
              <w:rPr>
                <w:lang w:val="en-US"/>
              </w:rPr>
            </w:pPr>
            <w:r w:rsidRPr="003E7C8B">
              <w:rPr>
                <w:lang w:val="en-US"/>
              </w:rPr>
              <w:t>Search for evidence about whether (how and why) firms avoid earnings decreases and losses.</w:t>
            </w:r>
          </w:p>
        </w:tc>
        <w:tc>
          <w:tcPr>
            <w:tcW w:w="2831" w:type="dxa"/>
          </w:tcPr>
          <w:p w:rsidR="00334F38" w:rsidRPr="003E7C8B" w:rsidRDefault="00334F38" w:rsidP="00351E94">
            <w:pPr>
              <w:rPr>
                <w:lang w:val="en-US"/>
              </w:rPr>
            </w:pPr>
            <w:r w:rsidRPr="003E7C8B">
              <w:rPr>
                <w:lang w:val="en-US"/>
              </w:rPr>
              <w:t>Compustat databases for the years 1976-1994 consisting of 65000 firm observations, excl regulated firms.</w:t>
            </w:r>
          </w:p>
        </w:tc>
        <w:tc>
          <w:tcPr>
            <w:tcW w:w="2831" w:type="dxa"/>
          </w:tcPr>
          <w:p w:rsidR="00334F38" w:rsidRPr="003E7C8B" w:rsidRDefault="00334F38" w:rsidP="00351E94">
            <w:pPr>
              <w:rPr>
                <w:lang w:val="en-US"/>
              </w:rPr>
            </w:pPr>
            <w:r w:rsidRPr="003E7C8B">
              <w:rPr>
                <w:lang w:val="en-US"/>
              </w:rPr>
              <w:t>Pooled cross-sectional empirical distribution of scaled earnings changes and levels of earnings</w:t>
            </w:r>
          </w:p>
        </w:tc>
        <w:tc>
          <w:tcPr>
            <w:tcW w:w="2832" w:type="dxa"/>
          </w:tcPr>
          <w:p w:rsidR="00334F38" w:rsidRPr="003E7C8B" w:rsidRDefault="00334F38" w:rsidP="00351E94">
            <w:pPr>
              <w:rPr>
                <w:lang w:val="en-US"/>
              </w:rPr>
            </w:pPr>
            <w:r w:rsidRPr="003E7C8B">
              <w:rPr>
                <w:lang w:val="en-US"/>
              </w:rPr>
              <w:t xml:space="preserve">8% to 12% of firms with earnings decreases and 30% to 44% of firms with negative earnings exercise discretion </w:t>
            </w:r>
          </w:p>
        </w:tc>
      </w:tr>
      <w:tr w:rsidR="00334F38" w:rsidRPr="00157D4E">
        <w:tc>
          <w:tcPr>
            <w:tcW w:w="2628" w:type="dxa"/>
          </w:tcPr>
          <w:p w:rsidR="00334F38" w:rsidRPr="003E7C8B" w:rsidRDefault="00334F38" w:rsidP="00351E94">
            <w:pPr>
              <w:rPr>
                <w:lang w:val="en-US"/>
              </w:rPr>
            </w:pPr>
            <w:r w:rsidRPr="003E7C8B">
              <w:rPr>
                <w:lang w:val="en-US"/>
              </w:rPr>
              <w:t>Frank Yu (2006)</w:t>
            </w:r>
          </w:p>
        </w:tc>
        <w:tc>
          <w:tcPr>
            <w:tcW w:w="3034" w:type="dxa"/>
          </w:tcPr>
          <w:p w:rsidR="00334F38" w:rsidRPr="003E7C8B" w:rsidRDefault="00334F38" w:rsidP="00351E94">
            <w:pPr>
              <w:rPr>
                <w:lang w:val="en-US"/>
              </w:rPr>
            </w:pPr>
            <w:r w:rsidRPr="003E7C8B">
              <w:rPr>
                <w:lang w:val="en-US"/>
              </w:rPr>
              <w:t>Examination of insider incentive change when confronted with different corporate governance mechanisms.</w:t>
            </w:r>
          </w:p>
        </w:tc>
        <w:tc>
          <w:tcPr>
            <w:tcW w:w="2831" w:type="dxa"/>
          </w:tcPr>
          <w:p w:rsidR="00334F38" w:rsidRPr="003E7C8B" w:rsidRDefault="00334F38" w:rsidP="00351E94">
            <w:pPr>
              <w:rPr>
                <w:lang w:val="en-US"/>
              </w:rPr>
            </w:pPr>
            <w:r w:rsidRPr="003E7C8B">
              <w:rPr>
                <w:lang w:val="en-US"/>
              </w:rPr>
              <w:t xml:space="preserve">Yermack(1995) dataset from 1984-1991 consisting of 2736 firm-year observations from 346 publicly listed firms in the United States. </w:t>
            </w:r>
          </w:p>
        </w:tc>
        <w:tc>
          <w:tcPr>
            <w:tcW w:w="2831" w:type="dxa"/>
          </w:tcPr>
          <w:p w:rsidR="00334F38" w:rsidRPr="003E7C8B" w:rsidRDefault="00334F38" w:rsidP="00351E94">
            <w:pPr>
              <w:rPr>
                <w:lang w:val="en-US"/>
              </w:rPr>
            </w:pPr>
            <w:r w:rsidRPr="003E7C8B">
              <w:rPr>
                <w:lang w:val="en-US"/>
              </w:rPr>
              <w:t>mJones model using DA as a proxy for earnings management</w:t>
            </w:r>
          </w:p>
        </w:tc>
        <w:tc>
          <w:tcPr>
            <w:tcW w:w="2832" w:type="dxa"/>
          </w:tcPr>
          <w:p w:rsidR="00334F38" w:rsidRPr="003E7C8B" w:rsidRDefault="00334F38" w:rsidP="00351E94">
            <w:pPr>
              <w:rPr>
                <w:lang w:val="en-US"/>
              </w:rPr>
            </w:pPr>
            <w:r w:rsidRPr="003E7C8B">
              <w:rPr>
                <w:lang w:val="en-US"/>
              </w:rPr>
              <w:t>Firms with a high level of internal governance manage earnings more than firms with a  high level of external governance.</w:t>
            </w:r>
          </w:p>
        </w:tc>
      </w:tr>
      <w:tr w:rsidR="00334F38" w:rsidRPr="00157D4E">
        <w:tc>
          <w:tcPr>
            <w:tcW w:w="2628" w:type="dxa"/>
          </w:tcPr>
          <w:p w:rsidR="00334F38" w:rsidRPr="003E7C8B" w:rsidRDefault="00334F38" w:rsidP="00351E94">
            <w:pPr>
              <w:rPr>
                <w:lang w:val="en-US"/>
              </w:rPr>
            </w:pPr>
            <w:r w:rsidRPr="003E7C8B">
              <w:rPr>
                <w:lang w:val="en-US"/>
              </w:rPr>
              <w:t>Christian Leuz, Dhananjay Nanda and Peter D. Wysocki (2002)</w:t>
            </w:r>
          </w:p>
        </w:tc>
        <w:tc>
          <w:tcPr>
            <w:tcW w:w="3034" w:type="dxa"/>
          </w:tcPr>
          <w:p w:rsidR="00334F38" w:rsidRPr="003E7C8B" w:rsidRDefault="00334F38" w:rsidP="00351E94">
            <w:pPr>
              <w:rPr>
                <w:lang w:val="en-US"/>
              </w:rPr>
            </w:pPr>
            <w:r w:rsidRPr="003E7C8B">
              <w:rPr>
                <w:lang w:val="en-US"/>
              </w:rPr>
              <w:t>Pervasiveness of EM in countries with different investor protection mechanisms.</w:t>
            </w:r>
          </w:p>
        </w:tc>
        <w:tc>
          <w:tcPr>
            <w:tcW w:w="2831" w:type="dxa"/>
          </w:tcPr>
          <w:p w:rsidR="00334F38" w:rsidRPr="003E7C8B" w:rsidRDefault="00334F38" w:rsidP="00351E94">
            <w:pPr>
              <w:rPr>
                <w:lang w:val="en-US"/>
              </w:rPr>
            </w:pPr>
            <w:r w:rsidRPr="003E7C8B">
              <w:rPr>
                <w:lang w:val="en-US"/>
              </w:rPr>
              <w:t>8616 firms (excl regulated firms) residing in 31 different countries from 1990-1999.</w:t>
            </w:r>
          </w:p>
        </w:tc>
        <w:tc>
          <w:tcPr>
            <w:tcW w:w="2831" w:type="dxa"/>
          </w:tcPr>
          <w:p w:rsidR="00334F38" w:rsidRPr="003E7C8B" w:rsidRDefault="00334F38" w:rsidP="00351E94">
            <w:pPr>
              <w:rPr>
                <w:lang w:val="en-US"/>
              </w:rPr>
            </w:pPr>
            <w:r w:rsidRPr="003E7C8B">
              <w:rPr>
                <w:lang w:val="en-US"/>
              </w:rPr>
              <w:t xml:space="preserve">Allocation of firms in clusters based on countries characteristic and creating proxies to capture EM pervasiveness. </w:t>
            </w:r>
          </w:p>
        </w:tc>
        <w:tc>
          <w:tcPr>
            <w:tcW w:w="2832" w:type="dxa"/>
          </w:tcPr>
          <w:p w:rsidR="00334F38" w:rsidRPr="003E7C8B" w:rsidRDefault="00334F38" w:rsidP="00351E94">
            <w:pPr>
              <w:rPr>
                <w:lang w:val="en-US"/>
              </w:rPr>
            </w:pPr>
            <w:r w:rsidRPr="003E7C8B">
              <w:rPr>
                <w:lang w:val="en-US"/>
              </w:rPr>
              <w:t>Outsider economies with dispersed ownership, high investor protection and large stock markets exhibit lower levels of EM.</w:t>
            </w:r>
          </w:p>
        </w:tc>
      </w:tr>
      <w:tr w:rsidR="00334F38" w:rsidRPr="00157D4E">
        <w:tc>
          <w:tcPr>
            <w:tcW w:w="2628" w:type="dxa"/>
          </w:tcPr>
          <w:p w:rsidR="00334F38" w:rsidRPr="003E7C8B" w:rsidRDefault="00334F38" w:rsidP="00351E94">
            <w:pPr>
              <w:rPr>
                <w:lang w:val="en-US"/>
              </w:rPr>
            </w:pPr>
            <w:r w:rsidRPr="003E7C8B">
              <w:rPr>
                <w:lang w:val="en-US"/>
              </w:rPr>
              <w:t>Chia, Lapsley and Lee (2007)</w:t>
            </w:r>
          </w:p>
        </w:tc>
        <w:tc>
          <w:tcPr>
            <w:tcW w:w="3034" w:type="dxa"/>
          </w:tcPr>
          <w:p w:rsidR="00334F38" w:rsidRPr="003E7C8B" w:rsidRDefault="00334F38" w:rsidP="00351E94">
            <w:pPr>
              <w:rPr>
                <w:lang w:val="en-US"/>
              </w:rPr>
            </w:pPr>
            <w:r w:rsidRPr="003E7C8B">
              <w:rPr>
                <w:lang w:val="en-US"/>
              </w:rPr>
              <w:t>Determining the extent of EM during a financial crisis by using the Asian crisis of 1997 as an example.</w:t>
            </w:r>
          </w:p>
        </w:tc>
        <w:tc>
          <w:tcPr>
            <w:tcW w:w="2831" w:type="dxa"/>
          </w:tcPr>
          <w:p w:rsidR="00334F38" w:rsidRPr="003E7C8B" w:rsidRDefault="00334F38" w:rsidP="00351E94">
            <w:pPr>
              <w:rPr>
                <w:lang w:val="en-US"/>
              </w:rPr>
            </w:pPr>
            <w:r w:rsidRPr="003E7C8B">
              <w:rPr>
                <w:lang w:val="en-US"/>
              </w:rPr>
              <w:t>Using the PACAP and Worldscope database to derive 383 firm-observations for the fiscal years of 1995-1998</w:t>
            </w:r>
          </w:p>
        </w:tc>
        <w:tc>
          <w:tcPr>
            <w:tcW w:w="2831" w:type="dxa"/>
          </w:tcPr>
          <w:p w:rsidR="00334F38" w:rsidRPr="003E7C8B" w:rsidRDefault="00334F38" w:rsidP="00351E94">
            <w:pPr>
              <w:rPr>
                <w:lang w:val="en-US"/>
              </w:rPr>
            </w:pPr>
            <w:r w:rsidRPr="003E7C8B">
              <w:rPr>
                <w:lang w:val="en-US"/>
              </w:rPr>
              <w:t>mJones cross-sectional model using DA as a proxy for EM.</w:t>
            </w:r>
          </w:p>
        </w:tc>
        <w:tc>
          <w:tcPr>
            <w:tcW w:w="2832" w:type="dxa"/>
          </w:tcPr>
          <w:p w:rsidR="00334F38" w:rsidRPr="003E7C8B" w:rsidRDefault="00334F38" w:rsidP="00351E94">
            <w:pPr>
              <w:rPr>
                <w:lang w:val="en-US"/>
              </w:rPr>
            </w:pPr>
            <w:r w:rsidRPr="003E7C8B">
              <w:rPr>
                <w:lang w:val="en-US"/>
              </w:rPr>
              <w:t>There is a significant decrease of EM during the Asian financial crisis of 1997.</w:t>
            </w:r>
          </w:p>
        </w:tc>
      </w:tr>
      <w:tr w:rsidR="00334F38" w:rsidRPr="00157D4E">
        <w:tc>
          <w:tcPr>
            <w:tcW w:w="2628" w:type="dxa"/>
          </w:tcPr>
          <w:p w:rsidR="00334F38" w:rsidRPr="003E7C8B" w:rsidRDefault="00334F38" w:rsidP="00351E94">
            <w:pPr>
              <w:rPr>
                <w:lang w:val="en-US"/>
              </w:rPr>
            </w:pPr>
            <w:r w:rsidRPr="003E7C8B">
              <w:rPr>
                <w:lang w:val="en-US"/>
              </w:rPr>
              <w:t>Patricia Dechow, Richard Sloan and Amy Sweeney (1995)</w:t>
            </w:r>
          </w:p>
        </w:tc>
        <w:tc>
          <w:tcPr>
            <w:tcW w:w="3034" w:type="dxa"/>
          </w:tcPr>
          <w:p w:rsidR="00334F38" w:rsidRPr="003E7C8B" w:rsidRDefault="00334F38" w:rsidP="00351E94">
            <w:pPr>
              <w:rPr>
                <w:lang w:val="en-US"/>
              </w:rPr>
            </w:pPr>
            <w:r w:rsidRPr="003E7C8B">
              <w:rPr>
                <w:lang w:val="en-US"/>
              </w:rPr>
              <w:t xml:space="preserve">Evaluating the relative performance of competing EM models by comparing the </w:t>
            </w:r>
            <w:r w:rsidRPr="003E7C8B">
              <w:rPr>
                <w:i/>
                <w:lang w:val="en-US"/>
              </w:rPr>
              <w:t xml:space="preserve">specification </w:t>
            </w:r>
            <w:r w:rsidRPr="003E7C8B">
              <w:rPr>
                <w:lang w:val="en-US"/>
              </w:rPr>
              <w:t xml:space="preserve">and </w:t>
            </w:r>
            <w:r w:rsidRPr="003E7C8B">
              <w:rPr>
                <w:i/>
                <w:lang w:val="en-US"/>
              </w:rPr>
              <w:t>power</w:t>
            </w:r>
            <w:r w:rsidRPr="003E7C8B">
              <w:rPr>
                <w:lang w:val="en-US"/>
              </w:rPr>
              <w:t xml:space="preserve"> of commonly used test statistics.</w:t>
            </w:r>
          </w:p>
        </w:tc>
        <w:tc>
          <w:tcPr>
            <w:tcW w:w="2831" w:type="dxa"/>
          </w:tcPr>
          <w:p w:rsidR="00334F38" w:rsidRPr="003E7C8B" w:rsidRDefault="00334F38" w:rsidP="00351E94">
            <w:pPr>
              <w:rPr>
                <w:lang w:val="en-US"/>
              </w:rPr>
            </w:pPr>
            <w:r w:rsidRPr="003E7C8B">
              <w:rPr>
                <w:lang w:val="en-US"/>
              </w:rPr>
              <w:t>All random samples are derived from Compustat between 1950-1999. (1) a randomly selected sample of 1000 firm years; (2) samples of 1000 firm-years randomly selected from a pool containing firms experiencing extreme financial performance; (3) samples of 1000 randomly selected firm years in which a fixed amount of accrual manipulation has been artificially introduced; and (4) a sample of 32 firms that are subject to SEC enforcement actions for allegedly overstating annual earnings in 56 firm years.</w:t>
            </w:r>
          </w:p>
        </w:tc>
        <w:tc>
          <w:tcPr>
            <w:tcW w:w="2831" w:type="dxa"/>
          </w:tcPr>
          <w:p w:rsidR="00334F38" w:rsidRPr="003E7C8B" w:rsidRDefault="00334F38" w:rsidP="00351E94">
            <w:pPr>
              <w:rPr>
                <w:lang w:val="en-US"/>
              </w:rPr>
            </w:pPr>
            <w:r w:rsidRPr="003E7C8B">
              <w:rPr>
                <w:lang w:val="en-US"/>
              </w:rPr>
              <w:t xml:space="preserve">The </w:t>
            </w:r>
            <w:r w:rsidRPr="003E7C8B">
              <w:rPr>
                <w:i/>
                <w:lang w:val="en-US"/>
              </w:rPr>
              <w:t>specification</w:t>
            </w:r>
            <w:r w:rsidRPr="003E7C8B">
              <w:rPr>
                <w:lang w:val="en-US"/>
              </w:rPr>
              <w:t xml:space="preserve"> quality of the test statistic is measured by the frequency in which they generate Type I errors. Type II errors are also measured in determining the </w:t>
            </w:r>
            <w:r w:rsidRPr="003E7C8B">
              <w:rPr>
                <w:i/>
                <w:lang w:val="en-US"/>
              </w:rPr>
              <w:t xml:space="preserve">power </w:t>
            </w:r>
            <w:r w:rsidRPr="003E7C8B">
              <w:rPr>
                <w:lang w:val="en-US"/>
              </w:rPr>
              <w:t>of the model used.</w:t>
            </w:r>
          </w:p>
        </w:tc>
        <w:tc>
          <w:tcPr>
            <w:tcW w:w="2832" w:type="dxa"/>
          </w:tcPr>
          <w:p w:rsidR="00334F38" w:rsidRPr="003E7C8B" w:rsidRDefault="00334F38" w:rsidP="00351E94">
            <w:pPr>
              <w:rPr>
                <w:lang w:val="en-US"/>
              </w:rPr>
            </w:pPr>
            <w:r w:rsidRPr="003E7C8B">
              <w:rPr>
                <w:lang w:val="en-US"/>
              </w:rPr>
              <w:t>All tested models appear well specified (limited Type I errors). However they generate low power for EM of economically plausible magnitudes. Although the results are modest, the modified Jones model is deemed the best at detecting EM.</w:t>
            </w:r>
          </w:p>
        </w:tc>
      </w:tr>
      <w:tr w:rsidR="00334F38" w:rsidRPr="00157D4E">
        <w:tc>
          <w:tcPr>
            <w:tcW w:w="2628" w:type="dxa"/>
          </w:tcPr>
          <w:p w:rsidR="00334F38" w:rsidRPr="003E7C8B" w:rsidRDefault="00334F38" w:rsidP="00351E94">
            <w:pPr>
              <w:rPr>
                <w:lang w:val="en-US"/>
              </w:rPr>
            </w:pPr>
            <w:r w:rsidRPr="003E7C8B">
              <w:rPr>
                <w:lang w:val="en-US"/>
              </w:rPr>
              <w:t xml:space="preserve">Peasnel, Pope and </w:t>
            </w:r>
          </w:p>
          <w:p w:rsidR="00334F38" w:rsidRPr="003E7C8B" w:rsidRDefault="00334F38" w:rsidP="00351E94">
            <w:pPr>
              <w:rPr>
                <w:lang w:val="en-US"/>
              </w:rPr>
            </w:pPr>
            <w:r w:rsidRPr="003E7C8B">
              <w:rPr>
                <w:lang w:val="en-US"/>
              </w:rPr>
              <w:t>Young (2000)</w:t>
            </w:r>
          </w:p>
        </w:tc>
        <w:tc>
          <w:tcPr>
            <w:tcW w:w="3034" w:type="dxa"/>
          </w:tcPr>
          <w:p w:rsidR="00334F38" w:rsidRPr="003E7C8B" w:rsidRDefault="00334F38" w:rsidP="00351E94">
            <w:pPr>
              <w:rPr>
                <w:lang w:val="en-US"/>
              </w:rPr>
            </w:pPr>
            <w:r w:rsidRPr="003E7C8B">
              <w:rPr>
                <w:lang w:val="en-US"/>
              </w:rPr>
              <w:t>Assessing the relative performance of cross-sectional procedure over time-series procedures.</w:t>
            </w:r>
          </w:p>
        </w:tc>
        <w:tc>
          <w:tcPr>
            <w:tcW w:w="2831" w:type="dxa"/>
          </w:tcPr>
          <w:p w:rsidR="00334F38" w:rsidRPr="003E7C8B" w:rsidRDefault="00334F38" w:rsidP="00351E94">
            <w:pPr>
              <w:rPr>
                <w:lang w:val="en-US"/>
              </w:rPr>
            </w:pPr>
            <w:r w:rsidRPr="003E7C8B">
              <w:rPr>
                <w:lang w:val="en-US"/>
              </w:rPr>
              <w:t>Firms on datastream from 30 June 1990- 31 May 1997 consisting out of 4352 firm-year observations from different 837 firms.</w:t>
            </w:r>
          </w:p>
        </w:tc>
        <w:tc>
          <w:tcPr>
            <w:tcW w:w="2831" w:type="dxa"/>
          </w:tcPr>
          <w:p w:rsidR="00334F38" w:rsidRPr="003E7C8B" w:rsidRDefault="00334F38" w:rsidP="00351E94">
            <w:pPr>
              <w:rPr>
                <w:lang w:val="en-US"/>
              </w:rPr>
            </w:pPr>
            <w:r w:rsidRPr="003E7C8B">
              <w:rPr>
                <w:lang w:val="en-US"/>
              </w:rPr>
              <w:t xml:space="preserve">The </w:t>
            </w:r>
            <w:r w:rsidRPr="003E7C8B">
              <w:rPr>
                <w:i/>
                <w:lang w:val="en-US"/>
              </w:rPr>
              <w:t>specification</w:t>
            </w:r>
            <w:r w:rsidRPr="003E7C8B">
              <w:rPr>
                <w:lang w:val="en-US"/>
              </w:rPr>
              <w:t xml:space="preserve"> quality of the test statistic is measured by the frequency in which they generate Type I errors. Type II errors are also measured in determining the </w:t>
            </w:r>
            <w:r w:rsidRPr="003E7C8B">
              <w:rPr>
                <w:i/>
                <w:lang w:val="en-US"/>
              </w:rPr>
              <w:t xml:space="preserve">power </w:t>
            </w:r>
            <w:r w:rsidRPr="003E7C8B">
              <w:rPr>
                <w:lang w:val="en-US"/>
              </w:rPr>
              <w:t>of the model used.</w:t>
            </w:r>
          </w:p>
        </w:tc>
        <w:tc>
          <w:tcPr>
            <w:tcW w:w="2832" w:type="dxa"/>
          </w:tcPr>
          <w:p w:rsidR="00334F38" w:rsidRPr="003E7C8B" w:rsidRDefault="00334F38" w:rsidP="00351E94">
            <w:pPr>
              <w:rPr>
                <w:lang w:val="en-US"/>
              </w:rPr>
            </w:pPr>
            <w:r w:rsidRPr="003E7C8B">
              <w:rPr>
                <w:lang w:val="en-US"/>
              </w:rPr>
              <w:t xml:space="preserve">The cross-sectional models generate relatively powerful tests for economically plausible tests for accruals management. </w:t>
            </w:r>
          </w:p>
        </w:tc>
      </w:tr>
      <w:tr w:rsidR="00334F38" w:rsidRPr="00157D4E">
        <w:tc>
          <w:tcPr>
            <w:tcW w:w="2628" w:type="dxa"/>
          </w:tcPr>
          <w:p w:rsidR="00334F38" w:rsidRPr="003E7C8B" w:rsidRDefault="00334F38" w:rsidP="00351E94">
            <w:pPr>
              <w:rPr>
                <w:lang w:val="en-US"/>
              </w:rPr>
            </w:pPr>
            <w:r w:rsidRPr="003E7C8B">
              <w:rPr>
                <w:lang w:val="en-US"/>
              </w:rPr>
              <w:t>Peter Wells (2002)</w:t>
            </w:r>
          </w:p>
        </w:tc>
        <w:tc>
          <w:tcPr>
            <w:tcW w:w="3034" w:type="dxa"/>
          </w:tcPr>
          <w:p w:rsidR="00334F38" w:rsidRPr="003E7C8B" w:rsidRDefault="00334F38" w:rsidP="00351E94">
            <w:pPr>
              <w:rPr>
                <w:lang w:val="en-US"/>
              </w:rPr>
            </w:pPr>
            <w:r w:rsidRPr="003E7C8B">
              <w:rPr>
                <w:lang w:val="en-US"/>
              </w:rPr>
              <w:t>Search if and to what extent earnings management occurs around the time of a CEO change.</w:t>
            </w:r>
          </w:p>
        </w:tc>
        <w:tc>
          <w:tcPr>
            <w:tcW w:w="2831" w:type="dxa"/>
          </w:tcPr>
          <w:p w:rsidR="00334F38" w:rsidRPr="003E7C8B" w:rsidRDefault="00334F38" w:rsidP="00351E94">
            <w:pPr>
              <w:rPr>
                <w:lang w:val="en-US"/>
              </w:rPr>
            </w:pPr>
            <w:r w:rsidRPr="003E7C8B">
              <w:rPr>
                <w:lang w:val="en-US"/>
              </w:rPr>
              <w:t>100 largest ASX firms based on market capitalization in the years 1984-1994 in Australia.</w:t>
            </w:r>
          </w:p>
        </w:tc>
        <w:tc>
          <w:tcPr>
            <w:tcW w:w="2831" w:type="dxa"/>
          </w:tcPr>
          <w:p w:rsidR="00334F38" w:rsidRPr="003E7C8B" w:rsidRDefault="00334F38" w:rsidP="00351E94">
            <w:pPr>
              <w:rPr>
                <w:lang w:val="en-US"/>
              </w:rPr>
            </w:pPr>
            <w:r w:rsidRPr="003E7C8B">
              <w:rPr>
                <w:lang w:val="en-US"/>
              </w:rPr>
              <w:t>Modified Jones model to estimate unmanaged or expected accruals.</w:t>
            </w:r>
          </w:p>
        </w:tc>
        <w:tc>
          <w:tcPr>
            <w:tcW w:w="2832" w:type="dxa"/>
          </w:tcPr>
          <w:p w:rsidR="00334F38" w:rsidRPr="003E7C8B" w:rsidRDefault="00334F38" w:rsidP="00351E94">
            <w:pPr>
              <w:rPr>
                <w:lang w:val="en-US"/>
              </w:rPr>
            </w:pPr>
            <w:r w:rsidRPr="003E7C8B">
              <w:rPr>
                <w:lang w:val="en-US"/>
              </w:rPr>
              <w:t>Incoming CEO’s reduce income in the year of the CEO change by manipulating abnormal and extraordinary items.</w:t>
            </w:r>
          </w:p>
        </w:tc>
      </w:tr>
      <w:tr w:rsidR="00334F38" w:rsidRPr="00157D4E">
        <w:trPr>
          <w:trHeight w:val="1882"/>
        </w:trPr>
        <w:tc>
          <w:tcPr>
            <w:tcW w:w="2628" w:type="dxa"/>
          </w:tcPr>
          <w:p w:rsidR="00334F38" w:rsidRPr="003E7C8B" w:rsidRDefault="00334F38" w:rsidP="00471DD6">
            <w:pPr>
              <w:rPr>
                <w:lang w:val="en-US"/>
              </w:rPr>
            </w:pPr>
            <w:r w:rsidRPr="003E7C8B">
              <w:rPr>
                <w:lang w:val="en-US"/>
              </w:rPr>
              <w:t>Kevin Murphy (1992)</w:t>
            </w:r>
          </w:p>
        </w:tc>
        <w:tc>
          <w:tcPr>
            <w:tcW w:w="3034" w:type="dxa"/>
          </w:tcPr>
          <w:p w:rsidR="00334F38" w:rsidRPr="003E7C8B" w:rsidRDefault="00334F38" w:rsidP="00471DD6">
            <w:pPr>
              <w:rPr>
                <w:lang w:val="en-US"/>
              </w:rPr>
            </w:pPr>
            <w:r w:rsidRPr="003E7C8B">
              <w:rPr>
                <w:lang w:val="en-US"/>
              </w:rPr>
              <w:t>Describes the behavior of financial variables surrounding CEO turnovers.</w:t>
            </w:r>
          </w:p>
        </w:tc>
        <w:tc>
          <w:tcPr>
            <w:tcW w:w="2831" w:type="dxa"/>
          </w:tcPr>
          <w:p w:rsidR="00334F38" w:rsidRPr="003E7C8B" w:rsidRDefault="00334F38" w:rsidP="00471DD6">
            <w:pPr>
              <w:rPr>
                <w:lang w:val="en-US"/>
              </w:rPr>
            </w:pPr>
            <w:r w:rsidRPr="003E7C8B">
              <w:rPr>
                <w:lang w:val="en-US"/>
              </w:rPr>
              <w:t>Forbes annual surveys of 1630 executives during a 1971-1989 period &amp; Compustat data from 1965-1989.</w:t>
            </w:r>
          </w:p>
        </w:tc>
        <w:tc>
          <w:tcPr>
            <w:tcW w:w="2831" w:type="dxa"/>
          </w:tcPr>
          <w:p w:rsidR="00334F38" w:rsidRPr="003E7C8B" w:rsidRDefault="00334F38" w:rsidP="00471DD6">
            <w:pPr>
              <w:rPr>
                <w:lang w:val="en-US"/>
              </w:rPr>
            </w:pPr>
            <w:r w:rsidRPr="003E7C8B">
              <w:rPr>
                <w:lang w:val="en-US"/>
              </w:rPr>
              <w:t>Investigate growth rates of 8 variables using cross-sectional time-series regressions.</w:t>
            </w:r>
          </w:p>
        </w:tc>
        <w:tc>
          <w:tcPr>
            <w:tcW w:w="2832" w:type="dxa"/>
          </w:tcPr>
          <w:p w:rsidR="00334F38" w:rsidRPr="003E7C8B" w:rsidRDefault="00334F38" w:rsidP="00471DD6">
            <w:pPr>
              <w:rPr>
                <w:b/>
                <w:lang w:val="en-US"/>
              </w:rPr>
            </w:pPr>
            <w:r w:rsidRPr="003E7C8B">
              <w:rPr>
                <w:lang w:val="en-US"/>
              </w:rPr>
              <w:t>Little evidence of outgoing CEOs manipulating earnings. Evidence of incoming CEOs engaging in downward earnings management in year of the change.</w:t>
            </w:r>
          </w:p>
        </w:tc>
      </w:tr>
      <w:tr w:rsidR="00334F38" w:rsidRPr="00157D4E">
        <w:tc>
          <w:tcPr>
            <w:tcW w:w="2628" w:type="dxa"/>
          </w:tcPr>
          <w:p w:rsidR="00334F38" w:rsidRPr="003E7C8B" w:rsidRDefault="00334F38" w:rsidP="00471DD6">
            <w:pPr>
              <w:rPr>
                <w:lang w:val="en-US"/>
              </w:rPr>
            </w:pPr>
            <w:r w:rsidRPr="003E7C8B">
              <w:rPr>
                <w:lang w:val="en-US"/>
              </w:rPr>
              <w:t>Robert Parrino (1997)</w:t>
            </w:r>
          </w:p>
        </w:tc>
        <w:tc>
          <w:tcPr>
            <w:tcW w:w="3034" w:type="dxa"/>
          </w:tcPr>
          <w:p w:rsidR="00334F38" w:rsidRPr="003E7C8B" w:rsidRDefault="00334F38" w:rsidP="00471DD6">
            <w:pPr>
              <w:rPr>
                <w:lang w:val="en-US"/>
              </w:rPr>
            </w:pPr>
            <w:r w:rsidRPr="003E7C8B">
              <w:rPr>
                <w:lang w:val="en-US"/>
              </w:rPr>
              <w:t>Report evidence on factors that influence management turnovers.</w:t>
            </w:r>
          </w:p>
        </w:tc>
        <w:tc>
          <w:tcPr>
            <w:tcW w:w="2831" w:type="dxa"/>
          </w:tcPr>
          <w:p w:rsidR="00334F38" w:rsidRPr="003E7C8B" w:rsidRDefault="00334F38" w:rsidP="00B65390">
            <w:pPr>
              <w:rPr>
                <w:lang w:val="en-US"/>
              </w:rPr>
            </w:pPr>
            <w:r w:rsidRPr="003E7C8B">
              <w:rPr>
                <w:lang w:val="en-US"/>
              </w:rPr>
              <w:t>31 CEOs in the period 1970-1989 chosen based on certain criteria. Data obtained from Forbes surveys, Wall Street Journal’s succession announcements and COMPUSTAT.</w:t>
            </w:r>
          </w:p>
        </w:tc>
        <w:tc>
          <w:tcPr>
            <w:tcW w:w="2831" w:type="dxa"/>
          </w:tcPr>
          <w:p w:rsidR="00334F38" w:rsidRPr="003E7C8B" w:rsidRDefault="00334F38" w:rsidP="00471DD6">
            <w:pPr>
              <w:rPr>
                <w:lang w:val="en-US"/>
              </w:rPr>
            </w:pPr>
            <w:r w:rsidRPr="003E7C8B">
              <w:rPr>
                <w:lang w:val="en-US"/>
              </w:rPr>
              <w:t>Cross-sectional regression model</w:t>
            </w:r>
          </w:p>
        </w:tc>
        <w:tc>
          <w:tcPr>
            <w:tcW w:w="2832" w:type="dxa"/>
          </w:tcPr>
          <w:p w:rsidR="00334F38" w:rsidRPr="003E7C8B" w:rsidRDefault="00334F38" w:rsidP="00651D5B">
            <w:pPr>
              <w:rPr>
                <w:lang w:val="en-US"/>
              </w:rPr>
            </w:pPr>
            <w:r w:rsidRPr="003E7C8B">
              <w:rPr>
                <w:lang w:val="en-US"/>
              </w:rPr>
              <w:t>In homogeneous industries, poor CEOs are easier to identify and cheaper to replace than heterogeneous industries. In a homogeneous industry the likelihood of a forced turnover and an appointment of a CEO from the same industry increase.</w:t>
            </w:r>
          </w:p>
        </w:tc>
      </w:tr>
      <w:tr w:rsidR="00334F38" w:rsidRPr="003E7C8B">
        <w:tc>
          <w:tcPr>
            <w:tcW w:w="2628" w:type="dxa"/>
          </w:tcPr>
          <w:p w:rsidR="00334F38" w:rsidRPr="003E7C8B" w:rsidRDefault="00334F38" w:rsidP="00471DD6">
            <w:pPr>
              <w:rPr>
                <w:lang w:val="en-US"/>
              </w:rPr>
            </w:pPr>
            <w:r w:rsidRPr="003E7C8B">
              <w:rPr>
                <w:lang w:val="en-US"/>
              </w:rPr>
              <w:t>Susan Pourciau (1993)</w:t>
            </w:r>
          </w:p>
        </w:tc>
        <w:tc>
          <w:tcPr>
            <w:tcW w:w="3034" w:type="dxa"/>
          </w:tcPr>
          <w:p w:rsidR="00334F38" w:rsidRPr="003E7C8B" w:rsidRDefault="00334F38" w:rsidP="00471DD6">
            <w:pPr>
              <w:rPr>
                <w:lang w:val="en-US"/>
              </w:rPr>
            </w:pPr>
            <w:r w:rsidRPr="003E7C8B">
              <w:rPr>
                <w:lang w:val="en-US"/>
              </w:rPr>
              <w:t>The relation between non-routine executive turnovers and discretionary accounting choices.</w:t>
            </w:r>
          </w:p>
        </w:tc>
        <w:tc>
          <w:tcPr>
            <w:tcW w:w="2831" w:type="dxa"/>
          </w:tcPr>
          <w:p w:rsidR="00334F38" w:rsidRPr="003E7C8B" w:rsidRDefault="00334F38" w:rsidP="00471DD6">
            <w:pPr>
              <w:rPr>
                <w:lang w:val="en-US"/>
              </w:rPr>
            </w:pPr>
            <w:r w:rsidRPr="003E7C8B">
              <w:rPr>
                <w:lang w:val="en-US"/>
              </w:rPr>
              <w:t>73 executive turnovers during the period of 1985-1988.</w:t>
            </w:r>
          </w:p>
        </w:tc>
        <w:tc>
          <w:tcPr>
            <w:tcW w:w="2831" w:type="dxa"/>
          </w:tcPr>
          <w:p w:rsidR="00334F38" w:rsidRPr="003E7C8B" w:rsidRDefault="00334F38" w:rsidP="00471DD6">
            <w:pPr>
              <w:rPr>
                <w:lang w:val="en-US"/>
              </w:rPr>
            </w:pPr>
            <w:r w:rsidRPr="003E7C8B">
              <w:rPr>
                <w:lang w:val="en-US"/>
              </w:rPr>
              <w:t>Random walk model is used to estimate expected earnings and accruals.</w:t>
            </w:r>
          </w:p>
        </w:tc>
        <w:tc>
          <w:tcPr>
            <w:tcW w:w="2832" w:type="dxa"/>
          </w:tcPr>
          <w:p w:rsidR="00334F38" w:rsidRPr="003E7C8B" w:rsidRDefault="00334F38" w:rsidP="00471DD6">
            <w:pPr>
              <w:rPr>
                <w:lang w:val="en-US"/>
              </w:rPr>
            </w:pPr>
            <w:r w:rsidRPr="003E7C8B">
              <w:rPr>
                <w:lang w:val="en-US"/>
              </w:rPr>
              <w:t>Incoming executives decrease the earnings in turnover year and increase it next year. Outgoing executives decrease earnings in departure year.</w:t>
            </w:r>
          </w:p>
        </w:tc>
      </w:tr>
      <w:tr w:rsidR="00334F38" w:rsidRPr="00157D4E">
        <w:tc>
          <w:tcPr>
            <w:tcW w:w="2628" w:type="dxa"/>
          </w:tcPr>
          <w:p w:rsidR="00334F38" w:rsidRPr="003E7C8B" w:rsidRDefault="00334F38" w:rsidP="00471DD6">
            <w:pPr>
              <w:rPr>
                <w:lang w:val="en-US"/>
              </w:rPr>
            </w:pPr>
            <w:r w:rsidRPr="003E7C8B">
              <w:rPr>
                <w:lang w:val="en-US"/>
              </w:rPr>
              <w:t>Jayne Godfrey, Paul Mather, Alan Ramsay (2003)</w:t>
            </w:r>
          </w:p>
        </w:tc>
        <w:tc>
          <w:tcPr>
            <w:tcW w:w="3034" w:type="dxa"/>
          </w:tcPr>
          <w:p w:rsidR="00334F38" w:rsidRPr="003E7C8B" w:rsidRDefault="00334F38" w:rsidP="00471DD6">
            <w:pPr>
              <w:rPr>
                <w:lang w:val="en-US"/>
              </w:rPr>
            </w:pPr>
            <w:r w:rsidRPr="003E7C8B">
              <w:rPr>
                <w:lang w:val="en-US"/>
              </w:rPr>
              <w:t>Earnings Management and Impression Management around the change of CEOs.</w:t>
            </w:r>
          </w:p>
        </w:tc>
        <w:tc>
          <w:tcPr>
            <w:tcW w:w="2831" w:type="dxa"/>
          </w:tcPr>
          <w:p w:rsidR="00334F38" w:rsidRPr="003E7C8B" w:rsidRDefault="00334F38" w:rsidP="00471DD6">
            <w:pPr>
              <w:rPr>
                <w:lang w:val="en-US"/>
              </w:rPr>
            </w:pPr>
            <w:r w:rsidRPr="003E7C8B">
              <w:rPr>
                <w:lang w:val="en-US"/>
              </w:rPr>
              <w:t>63 public listed firms that have had a CEO change from 1992-1998 in Australia.</w:t>
            </w:r>
          </w:p>
        </w:tc>
        <w:tc>
          <w:tcPr>
            <w:tcW w:w="2831" w:type="dxa"/>
          </w:tcPr>
          <w:p w:rsidR="00334F38" w:rsidRPr="003E7C8B" w:rsidRDefault="00334F38" w:rsidP="00471DD6">
            <w:pPr>
              <w:rPr>
                <w:lang w:val="en-US"/>
              </w:rPr>
            </w:pPr>
            <w:r w:rsidRPr="003E7C8B">
              <w:rPr>
                <w:lang w:val="en-US"/>
              </w:rPr>
              <w:t>Random walk model to measure unexpected accruals &amp; Binomial tests on graphs &amp; Joint tests.</w:t>
            </w:r>
          </w:p>
        </w:tc>
        <w:tc>
          <w:tcPr>
            <w:tcW w:w="2832" w:type="dxa"/>
          </w:tcPr>
          <w:p w:rsidR="00334F38" w:rsidRPr="003E7C8B" w:rsidRDefault="00334F38" w:rsidP="00471DD6">
            <w:pPr>
              <w:rPr>
                <w:lang w:val="en-US"/>
              </w:rPr>
            </w:pPr>
            <w:r w:rsidRPr="003E7C8B">
              <w:rPr>
                <w:lang w:val="en-US"/>
              </w:rPr>
              <w:t>Downward earnings management in CEO change year. In the year after the CEO change, upward earnings management and favorable impression management.</w:t>
            </w:r>
          </w:p>
        </w:tc>
      </w:tr>
      <w:tr w:rsidR="00334F38" w:rsidRPr="00157D4E">
        <w:tc>
          <w:tcPr>
            <w:tcW w:w="2628" w:type="dxa"/>
          </w:tcPr>
          <w:p w:rsidR="00334F38" w:rsidRPr="003E7C8B" w:rsidRDefault="00334F38" w:rsidP="00471DD6">
            <w:pPr>
              <w:rPr>
                <w:lang w:val="en-US"/>
              </w:rPr>
            </w:pPr>
            <w:r w:rsidRPr="003E7C8B">
              <w:rPr>
                <w:lang w:val="en-US"/>
              </w:rPr>
              <w:t>Kothari, Leone and Wasley (2005)</w:t>
            </w:r>
          </w:p>
        </w:tc>
        <w:tc>
          <w:tcPr>
            <w:tcW w:w="3034" w:type="dxa"/>
          </w:tcPr>
          <w:p w:rsidR="00334F38" w:rsidRPr="003E7C8B" w:rsidRDefault="00334F38" w:rsidP="00471DD6">
            <w:pPr>
              <w:rPr>
                <w:lang w:val="en-US"/>
              </w:rPr>
            </w:pPr>
            <w:r w:rsidRPr="003E7C8B">
              <w:rPr>
                <w:lang w:val="en-US"/>
              </w:rPr>
              <w:t>Performance matched discretionary accruals measures.</w:t>
            </w:r>
          </w:p>
        </w:tc>
        <w:tc>
          <w:tcPr>
            <w:tcW w:w="2831" w:type="dxa"/>
          </w:tcPr>
          <w:p w:rsidR="00334F38" w:rsidRPr="003E7C8B" w:rsidRDefault="00334F38" w:rsidP="0034099F">
            <w:pPr>
              <w:autoSpaceDE w:val="0"/>
              <w:autoSpaceDN w:val="0"/>
              <w:adjustRightInd w:val="0"/>
              <w:rPr>
                <w:lang w:val="en-US"/>
              </w:rPr>
            </w:pPr>
            <w:r w:rsidRPr="003E7C8B">
              <w:rPr>
                <w:lang w:val="en-US"/>
              </w:rPr>
              <w:t xml:space="preserve">Firm-year observations from the COMPUSTAT Industrial Annual, and Research files from 1962 through 1999. Excluding firms with insufficient data to compute Total Accruals. </w:t>
            </w:r>
          </w:p>
          <w:p w:rsidR="00334F38" w:rsidRPr="003E7C8B" w:rsidRDefault="00334F38" w:rsidP="00471DD6">
            <w:pPr>
              <w:rPr>
                <w:lang w:val="en-US"/>
              </w:rPr>
            </w:pPr>
          </w:p>
        </w:tc>
        <w:tc>
          <w:tcPr>
            <w:tcW w:w="2831" w:type="dxa"/>
          </w:tcPr>
          <w:p w:rsidR="00334F38" w:rsidRPr="003E7C8B" w:rsidRDefault="00334F38" w:rsidP="00471DD6">
            <w:pPr>
              <w:rPr>
                <w:lang w:val="en-US"/>
              </w:rPr>
            </w:pPr>
            <w:r w:rsidRPr="003E7C8B">
              <w:rPr>
                <w:lang w:val="en-US"/>
              </w:rPr>
              <w:t xml:space="preserve">Comparing the </w:t>
            </w:r>
            <w:r w:rsidRPr="003E7C8B">
              <w:rPr>
                <w:i/>
                <w:lang w:val="en-US"/>
              </w:rPr>
              <w:t>specification</w:t>
            </w:r>
            <w:r w:rsidRPr="003E7C8B">
              <w:rPr>
                <w:lang w:val="en-US"/>
              </w:rPr>
              <w:t xml:space="preserve"> and </w:t>
            </w:r>
            <w:r w:rsidRPr="003E7C8B">
              <w:rPr>
                <w:i/>
                <w:lang w:val="en-US"/>
              </w:rPr>
              <w:t>power</w:t>
            </w:r>
            <w:r w:rsidRPr="003E7C8B">
              <w:rPr>
                <w:lang w:val="en-US"/>
              </w:rPr>
              <w:t xml:space="preserve"> of the Jones-, mJones-, and augmented models. </w:t>
            </w:r>
          </w:p>
        </w:tc>
        <w:tc>
          <w:tcPr>
            <w:tcW w:w="2832" w:type="dxa"/>
          </w:tcPr>
          <w:p w:rsidR="00334F38" w:rsidRPr="003E7C8B" w:rsidRDefault="00334F38" w:rsidP="00471DD6">
            <w:pPr>
              <w:rPr>
                <w:lang w:val="en-US"/>
              </w:rPr>
            </w:pPr>
            <w:r w:rsidRPr="003E7C8B">
              <w:rPr>
                <w:lang w:val="en-US"/>
              </w:rPr>
              <w:t>The performance matched discretionary accruals are relatively powerful and tend to be the best specified measure of discretionary accruals.</w:t>
            </w:r>
          </w:p>
        </w:tc>
      </w:tr>
    </w:tbl>
    <w:p w:rsidR="00334F38" w:rsidRPr="003E7C8B" w:rsidRDefault="00334F38" w:rsidP="00FC5DFD">
      <w:pPr>
        <w:autoSpaceDE w:val="0"/>
        <w:autoSpaceDN w:val="0"/>
        <w:adjustRightInd w:val="0"/>
        <w:spacing w:line="360" w:lineRule="auto"/>
        <w:rPr>
          <w:u w:val="single"/>
          <w:lang w:val="en-US"/>
        </w:rPr>
        <w:sectPr w:rsidR="00334F38" w:rsidRPr="003E7C8B" w:rsidSect="002A5877">
          <w:pgSz w:w="16838" w:h="11906" w:orient="landscape"/>
          <w:pgMar w:top="1411" w:right="1411" w:bottom="1411" w:left="1411" w:header="706" w:footer="706" w:gutter="0"/>
          <w:cols w:space="708"/>
          <w:docGrid w:linePitch="360"/>
        </w:sectPr>
      </w:pPr>
    </w:p>
    <w:p w:rsidR="00334F38" w:rsidRPr="00C879F3" w:rsidRDefault="00334F38" w:rsidP="00BB6C2C">
      <w:pPr>
        <w:pStyle w:val="Heading1"/>
        <w:rPr>
          <w:rFonts w:ascii="Calibri" w:hAnsi="Calibri"/>
          <w:u w:val="single"/>
          <w:lang w:val="en-US"/>
        </w:rPr>
      </w:pPr>
      <w:r>
        <w:rPr>
          <w:rFonts w:ascii="Calibri" w:hAnsi="Calibri"/>
        </w:rPr>
        <w:t>Ref</w:t>
      </w:r>
      <w:r w:rsidRPr="00C879F3">
        <w:rPr>
          <w:rFonts w:ascii="Calibri" w:hAnsi="Calibri"/>
        </w:rPr>
        <w:t>erence</w:t>
      </w:r>
      <w:r>
        <w:rPr>
          <w:rFonts w:ascii="Calibri" w:hAnsi="Calibri"/>
        </w:rPr>
        <w:t>s</w:t>
      </w:r>
    </w:p>
    <w:p w:rsidR="00334F38" w:rsidRPr="003E7C8B" w:rsidRDefault="00334F38" w:rsidP="00632691">
      <w:pPr>
        <w:autoSpaceDE w:val="0"/>
        <w:autoSpaceDN w:val="0"/>
        <w:adjustRightInd w:val="0"/>
        <w:spacing w:line="360" w:lineRule="auto"/>
        <w:rPr>
          <w:u w:val="single"/>
          <w:lang w:val="en-US"/>
        </w:rPr>
      </w:pPr>
    </w:p>
    <w:p w:rsidR="00334F38" w:rsidRPr="003E7C8B" w:rsidRDefault="00334F38" w:rsidP="00632691">
      <w:pPr>
        <w:numPr>
          <w:ilvl w:val="0"/>
          <w:numId w:val="5"/>
        </w:numPr>
        <w:autoSpaceDE w:val="0"/>
        <w:autoSpaceDN w:val="0"/>
        <w:adjustRightInd w:val="0"/>
        <w:spacing w:line="360" w:lineRule="auto"/>
        <w:rPr>
          <w:lang w:val="en-US"/>
        </w:rPr>
      </w:pPr>
      <w:r w:rsidRPr="003E7C8B">
        <w:rPr>
          <w:lang w:val="en-US"/>
        </w:rPr>
        <w:t xml:space="preserve">Burgstahler, D., I. Dichev, 1997, </w:t>
      </w:r>
      <w:r w:rsidRPr="003E7C8B">
        <w:rPr>
          <w:i/>
          <w:lang w:val="en-US"/>
        </w:rPr>
        <w:t>Earnings management to avoid decreases and losses</w:t>
      </w:r>
      <w:r w:rsidRPr="003E7C8B">
        <w:rPr>
          <w:lang w:val="en-US"/>
        </w:rPr>
        <w:t xml:space="preserve">, Journal of Accounting and Economics, </w:t>
      </w:r>
      <w:hyperlink r:id="rId47" w:history="1">
        <w:r w:rsidRPr="003E7C8B">
          <w:rPr>
            <w:rStyle w:val="Hyperlink"/>
            <w:color w:val="auto"/>
            <w:u w:val="none"/>
            <w:lang w:val="en-US"/>
          </w:rPr>
          <w:t>Volume 24, Issue 1</w:t>
        </w:r>
      </w:hyperlink>
      <w:r w:rsidRPr="003E7C8B">
        <w:rPr>
          <w:lang w:val="en-US"/>
        </w:rPr>
        <w:t>, December 1997, Pages 99-126</w:t>
      </w:r>
      <w:r>
        <w:rPr>
          <w:lang w:val="en-US"/>
        </w:rPr>
        <w:t>.</w:t>
      </w:r>
    </w:p>
    <w:p w:rsidR="00334F38" w:rsidRPr="00863439" w:rsidRDefault="00334F38" w:rsidP="00632691">
      <w:pPr>
        <w:pStyle w:val="inline"/>
        <w:numPr>
          <w:ilvl w:val="0"/>
          <w:numId w:val="5"/>
        </w:numPr>
        <w:spacing w:line="360" w:lineRule="auto"/>
        <w:rPr>
          <w:lang w:val="en-US"/>
        </w:rPr>
      </w:pPr>
      <w:r w:rsidRPr="003E7C8B">
        <w:rPr>
          <w:rStyle w:val="a"/>
          <w:lang w:val="en-US"/>
        </w:rPr>
        <w:t>Chia, Y.M., I.</w:t>
      </w:r>
      <w:r w:rsidRPr="003E7C8B">
        <w:rPr>
          <w:lang w:val="en-US"/>
        </w:rPr>
        <w:t xml:space="preserve"> Lapsley, H.W. Lee, 2007,  Choice of auditors and earnings management during the Asian financial crisis, </w:t>
      </w:r>
      <w:r w:rsidRPr="00863439">
        <w:rPr>
          <w:lang w:val="en-US"/>
        </w:rPr>
        <w:t>Managerial Auditing Journal, Volume 22, Issue 2, 2007, Pages 177-196.</w:t>
      </w:r>
    </w:p>
    <w:p w:rsidR="00334F38" w:rsidRPr="003E7C8B" w:rsidRDefault="00334F38" w:rsidP="00632691">
      <w:pPr>
        <w:numPr>
          <w:ilvl w:val="0"/>
          <w:numId w:val="5"/>
        </w:numPr>
        <w:autoSpaceDE w:val="0"/>
        <w:autoSpaceDN w:val="0"/>
        <w:adjustRightInd w:val="0"/>
        <w:spacing w:line="360" w:lineRule="auto"/>
        <w:rPr>
          <w:lang w:val="en-US"/>
        </w:rPr>
      </w:pPr>
      <w:r w:rsidRPr="003E7C8B">
        <w:rPr>
          <w:lang w:val="en-US"/>
        </w:rPr>
        <w:t>DeAngelo, L., 1986, Accounting numbers as market valuation substitutes: A study of</w:t>
      </w:r>
    </w:p>
    <w:p w:rsidR="00334F38" w:rsidRPr="003E7C8B" w:rsidRDefault="00334F38" w:rsidP="00632691">
      <w:pPr>
        <w:autoSpaceDE w:val="0"/>
        <w:autoSpaceDN w:val="0"/>
        <w:adjustRightInd w:val="0"/>
        <w:spacing w:line="360" w:lineRule="auto"/>
        <w:rPr>
          <w:lang w:val="en-US"/>
        </w:rPr>
      </w:pPr>
      <w:r w:rsidRPr="003E7C8B">
        <w:rPr>
          <w:lang w:val="en-US"/>
        </w:rPr>
        <w:t xml:space="preserve">             management buyouts of public stockholders, </w:t>
      </w:r>
      <w:r w:rsidRPr="003E7C8B">
        <w:rPr>
          <w:i/>
          <w:iCs/>
          <w:lang w:val="en-US"/>
        </w:rPr>
        <w:t xml:space="preserve">The Accounting Review </w:t>
      </w:r>
      <w:r w:rsidRPr="003E7C8B">
        <w:rPr>
          <w:lang w:val="en-US"/>
        </w:rPr>
        <w:t>61, 400-420.</w:t>
      </w:r>
    </w:p>
    <w:p w:rsidR="00334F38" w:rsidRPr="003E7C8B" w:rsidRDefault="00334F38" w:rsidP="00632691">
      <w:pPr>
        <w:numPr>
          <w:ilvl w:val="0"/>
          <w:numId w:val="5"/>
        </w:numPr>
        <w:autoSpaceDE w:val="0"/>
        <w:autoSpaceDN w:val="0"/>
        <w:adjustRightInd w:val="0"/>
        <w:spacing w:line="360" w:lineRule="auto"/>
        <w:rPr>
          <w:lang w:val="en-US"/>
        </w:rPr>
      </w:pPr>
      <w:r w:rsidRPr="003E7C8B">
        <w:rPr>
          <w:lang w:val="en-US"/>
        </w:rPr>
        <w:t xml:space="preserve">Dechow, P.,R. Sloan, A. Sweeney, 1995, Detecting earnings management, The Accounting Review 70, </w:t>
      </w:r>
      <w:r>
        <w:rPr>
          <w:lang w:val="en-US"/>
        </w:rPr>
        <w:t xml:space="preserve">Pages </w:t>
      </w:r>
      <w:r w:rsidRPr="003E7C8B">
        <w:rPr>
          <w:lang w:val="en-US"/>
        </w:rPr>
        <w:t>193-225.</w:t>
      </w:r>
    </w:p>
    <w:p w:rsidR="00334F38" w:rsidRPr="003E7C8B" w:rsidRDefault="00334F38" w:rsidP="00632691">
      <w:pPr>
        <w:pStyle w:val="inline"/>
        <w:numPr>
          <w:ilvl w:val="0"/>
          <w:numId w:val="5"/>
        </w:numPr>
        <w:spacing w:line="360" w:lineRule="auto"/>
        <w:rPr>
          <w:rStyle w:val="w1"/>
          <w:color w:val="auto"/>
        </w:rPr>
      </w:pPr>
      <w:r w:rsidRPr="00863439">
        <w:rPr>
          <w:lang w:val="en-US"/>
        </w:rPr>
        <w:t xml:space="preserve">Gilson S.C., M.R. Vetsuypens, 1993, </w:t>
      </w:r>
      <w:hyperlink r:id="rId48" w:history="1">
        <w:r w:rsidRPr="003E7C8B">
          <w:rPr>
            <w:rStyle w:val="w1"/>
            <w:color w:val="auto"/>
            <w:lang w:val="en-US"/>
          </w:rPr>
          <w:t>CEO Compensation in Financially Distressed Firms: An Empirical Analysis</w:t>
        </w:r>
      </w:hyperlink>
      <w:r w:rsidRPr="003E7C8B">
        <w:rPr>
          <w:rStyle w:val="w1"/>
          <w:color w:val="auto"/>
          <w:lang w:val="en-US"/>
        </w:rPr>
        <w:t>. The Journal of Finance, V</w:t>
      </w:r>
      <w:r>
        <w:rPr>
          <w:rStyle w:val="w1"/>
          <w:color w:val="auto"/>
          <w:lang w:val="en-US"/>
        </w:rPr>
        <w:t>olume 48, Issue 2, June 1993, Pages</w:t>
      </w:r>
      <w:r w:rsidRPr="003E7C8B">
        <w:rPr>
          <w:rStyle w:val="w1"/>
          <w:color w:val="auto"/>
          <w:lang w:val="en-US"/>
        </w:rPr>
        <w:t xml:space="preserve"> 425-458.</w:t>
      </w:r>
    </w:p>
    <w:p w:rsidR="00334F38" w:rsidRPr="003E7C8B" w:rsidRDefault="00334F38" w:rsidP="00632691">
      <w:pPr>
        <w:numPr>
          <w:ilvl w:val="0"/>
          <w:numId w:val="5"/>
        </w:numPr>
        <w:spacing w:line="360" w:lineRule="auto"/>
        <w:rPr>
          <w:lang w:val="en-US"/>
        </w:rPr>
      </w:pPr>
      <w:r w:rsidRPr="003E7C8B">
        <w:rPr>
          <w:lang w:val="en-US"/>
        </w:rPr>
        <w:t xml:space="preserve">Godfrey, J., P. Mather, A. Ramsay, 2003, </w:t>
      </w:r>
      <w:r w:rsidRPr="003E7C8B">
        <w:rPr>
          <w:bCs/>
          <w:i/>
          <w:lang w:val="en-US"/>
        </w:rPr>
        <w:t>Earnings and Impression Management in Financial Reports: The Case of CEO Changes.</w:t>
      </w:r>
      <w:r w:rsidRPr="003E7C8B">
        <w:rPr>
          <w:bCs/>
          <w:lang w:val="en-US"/>
        </w:rPr>
        <w:t xml:space="preserve"> A Journal of Accounting, Finance and Business Studies,</w:t>
      </w:r>
      <w:r>
        <w:rPr>
          <w:bCs/>
          <w:lang w:val="en-US"/>
        </w:rPr>
        <w:t xml:space="preserve"> Volume 39, Issue 1, Pages</w:t>
      </w:r>
      <w:r w:rsidRPr="003E7C8B">
        <w:rPr>
          <w:bCs/>
          <w:lang w:val="en-US"/>
        </w:rPr>
        <w:t xml:space="preserve"> 95-123.</w:t>
      </w:r>
    </w:p>
    <w:p w:rsidR="00334F38" w:rsidRPr="003E7C8B" w:rsidRDefault="00334F38" w:rsidP="00632691">
      <w:pPr>
        <w:numPr>
          <w:ilvl w:val="0"/>
          <w:numId w:val="5"/>
        </w:numPr>
        <w:autoSpaceDE w:val="0"/>
        <w:autoSpaceDN w:val="0"/>
        <w:adjustRightInd w:val="0"/>
        <w:spacing w:line="360" w:lineRule="auto"/>
        <w:rPr>
          <w:lang w:val="en-US"/>
        </w:rPr>
      </w:pPr>
      <w:r w:rsidRPr="003E7C8B">
        <w:rPr>
          <w:lang w:val="en-US"/>
        </w:rPr>
        <w:t>Guay, W., 1997,  A Market-Based Evaluation of Discretionary Accruals Models, Journal of Ac</w:t>
      </w:r>
      <w:r>
        <w:rPr>
          <w:lang w:val="en-US"/>
        </w:rPr>
        <w:t>counting Research, Volume 34, Page</w:t>
      </w:r>
      <w:r w:rsidRPr="003E7C8B">
        <w:rPr>
          <w:lang w:val="en-US"/>
        </w:rPr>
        <w:t xml:space="preserve"> 83</w:t>
      </w:r>
      <w:r>
        <w:rPr>
          <w:lang w:val="en-US"/>
        </w:rPr>
        <w:t>.</w:t>
      </w:r>
    </w:p>
    <w:p w:rsidR="00334F38" w:rsidRPr="003E7C8B" w:rsidRDefault="00334F38" w:rsidP="00632691">
      <w:pPr>
        <w:numPr>
          <w:ilvl w:val="0"/>
          <w:numId w:val="5"/>
        </w:numPr>
        <w:autoSpaceDE w:val="0"/>
        <w:autoSpaceDN w:val="0"/>
        <w:adjustRightInd w:val="0"/>
        <w:spacing w:line="360" w:lineRule="auto"/>
        <w:rPr>
          <w:lang w:val="en-US"/>
        </w:rPr>
      </w:pPr>
      <w:r w:rsidRPr="003E7C8B">
        <w:rPr>
          <w:lang w:val="en-US"/>
        </w:rPr>
        <w:t xml:space="preserve">Healy, P., 1985, The effect of bonus schemes on accounting decisions. </w:t>
      </w:r>
      <w:r w:rsidRPr="003E7C8B">
        <w:rPr>
          <w:i/>
          <w:iCs/>
          <w:lang w:val="en-US"/>
        </w:rPr>
        <w:t xml:space="preserve">Journal of Accounting and Economics </w:t>
      </w:r>
      <w:r w:rsidRPr="003E7C8B">
        <w:rPr>
          <w:lang w:val="en-US"/>
        </w:rPr>
        <w:t xml:space="preserve">7, </w:t>
      </w:r>
      <w:r>
        <w:rPr>
          <w:lang w:val="en-US"/>
        </w:rPr>
        <w:t xml:space="preserve">Pages </w:t>
      </w:r>
      <w:r w:rsidRPr="003E7C8B">
        <w:rPr>
          <w:lang w:val="en-US"/>
        </w:rPr>
        <w:t>85-107.</w:t>
      </w:r>
    </w:p>
    <w:p w:rsidR="00334F38" w:rsidRPr="003E7C8B" w:rsidRDefault="00334F38" w:rsidP="00632691">
      <w:pPr>
        <w:numPr>
          <w:ilvl w:val="0"/>
          <w:numId w:val="5"/>
        </w:numPr>
        <w:autoSpaceDE w:val="0"/>
        <w:autoSpaceDN w:val="0"/>
        <w:adjustRightInd w:val="0"/>
        <w:spacing w:line="360" w:lineRule="auto"/>
        <w:rPr>
          <w:lang w:val="en-US"/>
        </w:rPr>
      </w:pPr>
      <w:r w:rsidRPr="003E7C8B">
        <w:rPr>
          <w:lang w:val="en-US"/>
        </w:rPr>
        <w:t xml:space="preserve">Healy, P.M., J.M. Wahlen, 1999, </w:t>
      </w:r>
      <w:r w:rsidRPr="003E7C8B">
        <w:rPr>
          <w:i/>
          <w:lang w:val="en-US"/>
        </w:rPr>
        <w:t>A Review of the Earnings Management Literature and its Implications for Standard Setting</w:t>
      </w:r>
      <w:r w:rsidRPr="003E7C8B">
        <w:rPr>
          <w:lang w:val="en-US"/>
        </w:rPr>
        <w:t>, Accounting Horizons, Volume 13, 1999, Page 365</w:t>
      </w:r>
      <w:r>
        <w:rPr>
          <w:lang w:val="en-US"/>
        </w:rPr>
        <w:t>.</w:t>
      </w:r>
    </w:p>
    <w:p w:rsidR="00334F38" w:rsidRPr="003E7C8B" w:rsidRDefault="00334F38" w:rsidP="00632691">
      <w:pPr>
        <w:numPr>
          <w:ilvl w:val="0"/>
          <w:numId w:val="5"/>
        </w:numPr>
        <w:autoSpaceDE w:val="0"/>
        <w:autoSpaceDN w:val="0"/>
        <w:adjustRightInd w:val="0"/>
        <w:spacing w:line="360" w:lineRule="auto"/>
        <w:rPr>
          <w:i/>
          <w:iCs/>
          <w:lang w:val="en-US"/>
        </w:rPr>
      </w:pPr>
      <w:r w:rsidRPr="003E7C8B">
        <w:rPr>
          <w:lang w:val="en-US"/>
        </w:rPr>
        <w:t xml:space="preserve">Jones, J., 1991, Earnings management during import relief investigations, </w:t>
      </w:r>
      <w:r w:rsidRPr="003E7C8B">
        <w:rPr>
          <w:i/>
          <w:iCs/>
          <w:lang w:val="en-US"/>
        </w:rPr>
        <w:t>Journal of</w:t>
      </w:r>
    </w:p>
    <w:p w:rsidR="00334F38" w:rsidRPr="003E7C8B" w:rsidRDefault="00334F38" w:rsidP="00632691">
      <w:pPr>
        <w:autoSpaceDE w:val="0"/>
        <w:autoSpaceDN w:val="0"/>
        <w:adjustRightInd w:val="0"/>
        <w:spacing w:line="360" w:lineRule="auto"/>
      </w:pPr>
      <w:r w:rsidRPr="003E7C8B">
        <w:rPr>
          <w:i/>
          <w:iCs/>
          <w:lang w:val="en-US"/>
        </w:rPr>
        <w:t xml:space="preserve">             </w:t>
      </w:r>
      <w:r w:rsidRPr="003E7C8B">
        <w:rPr>
          <w:i/>
          <w:iCs/>
        </w:rPr>
        <w:t xml:space="preserve">Accounting Research </w:t>
      </w:r>
      <w:r w:rsidRPr="003E7C8B">
        <w:t xml:space="preserve">29, </w:t>
      </w:r>
      <w:r>
        <w:t xml:space="preserve">Pages </w:t>
      </w:r>
      <w:r w:rsidRPr="003E7C8B">
        <w:t>193-228.</w:t>
      </w:r>
    </w:p>
    <w:p w:rsidR="00334F38" w:rsidRPr="003E7C8B" w:rsidRDefault="00334F38" w:rsidP="00632691">
      <w:pPr>
        <w:numPr>
          <w:ilvl w:val="0"/>
          <w:numId w:val="5"/>
        </w:numPr>
        <w:autoSpaceDE w:val="0"/>
        <w:autoSpaceDN w:val="0"/>
        <w:adjustRightInd w:val="0"/>
        <w:spacing w:line="360" w:lineRule="auto"/>
        <w:rPr>
          <w:lang w:val="en-US"/>
        </w:rPr>
      </w:pPr>
      <w:r w:rsidRPr="003E7C8B">
        <w:rPr>
          <w:lang w:val="en-US"/>
        </w:rPr>
        <w:t xml:space="preserve">Kahneman ,D., A. Tversky, 2000, </w:t>
      </w:r>
      <w:r w:rsidRPr="003E7C8B">
        <w:rPr>
          <w:i/>
          <w:lang w:val="en-US"/>
        </w:rPr>
        <w:t>Choices, values, and frames</w:t>
      </w:r>
      <w:r w:rsidRPr="003E7C8B">
        <w:rPr>
          <w:lang w:val="en-US"/>
        </w:rPr>
        <w:t>.</w:t>
      </w:r>
      <w:r>
        <w:rPr>
          <w:lang w:val="en-US"/>
        </w:rPr>
        <w:t>,</w:t>
      </w:r>
      <w:r w:rsidRPr="003E7C8B">
        <w:rPr>
          <w:lang w:val="en-US"/>
        </w:rPr>
        <w:t xml:space="preserve"> Cambridge University Press, Cambridge etc.</w:t>
      </w:r>
    </w:p>
    <w:p w:rsidR="00334F38" w:rsidRPr="003E7C8B" w:rsidRDefault="00334F38" w:rsidP="00632691">
      <w:pPr>
        <w:numPr>
          <w:ilvl w:val="0"/>
          <w:numId w:val="5"/>
        </w:numPr>
        <w:autoSpaceDE w:val="0"/>
        <w:autoSpaceDN w:val="0"/>
        <w:adjustRightInd w:val="0"/>
        <w:spacing w:line="360" w:lineRule="auto"/>
        <w:rPr>
          <w:lang w:val="en-US"/>
        </w:rPr>
      </w:pPr>
      <w:hyperlink r:id="rId49" w:history="1">
        <w:r w:rsidRPr="003E7C8B">
          <w:rPr>
            <w:rStyle w:val="Hyperlink"/>
            <w:color w:val="auto"/>
            <w:u w:val="none"/>
          </w:rPr>
          <w:t>Kaplan,</w:t>
        </w:r>
        <w:r>
          <w:rPr>
            <w:rStyle w:val="Hyperlink"/>
            <w:color w:val="auto"/>
            <w:u w:val="none"/>
          </w:rPr>
          <w:t xml:space="preserve"> </w:t>
        </w:r>
        <w:r w:rsidRPr="003E7C8B">
          <w:rPr>
            <w:rStyle w:val="Hyperlink"/>
            <w:color w:val="auto"/>
            <w:u w:val="none"/>
          </w:rPr>
          <w:t>S.N</w:t>
        </w:r>
      </w:hyperlink>
      <w:r w:rsidRPr="003E7C8B">
        <w:t xml:space="preserve">., B.A. </w:t>
      </w:r>
      <w:hyperlink r:id="rId50" w:history="1">
        <w:r w:rsidRPr="003E7C8B">
          <w:rPr>
            <w:rStyle w:val="Hyperlink"/>
            <w:color w:val="auto"/>
            <w:u w:val="none"/>
            <w:lang w:val="en-US"/>
          </w:rPr>
          <w:t>Minton,</w:t>
        </w:r>
      </w:hyperlink>
      <w:r w:rsidRPr="003E7C8B">
        <w:rPr>
          <w:lang w:val="en-US"/>
        </w:rPr>
        <w:t xml:space="preserve"> 2006, </w:t>
      </w:r>
      <w:r w:rsidRPr="003E7C8B">
        <w:rPr>
          <w:i/>
          <w:lang w:val="en-US"/>
        </w:rPr>
        <w:t>How has CEO turnover changed? : increasingly performance sensitive boards and increasingly uneasy CEOS</w:t>
      </w:r>
      <w:r w:rsidRPr="003E7C8B">
        <w:rPr>
          <w:lang w:val="en-US"/>
        </w:rPr>
        <w:t>, 2006, 12465, National Bureau of Economic Research, Cambridge, MA</w:t>
      </w:r>
      <w:r>
        <w:rPr>
          <w:lang w:val="en-US"/>
        </w:rPr>
        <w:t>.</w:t>
      </w:r>
    </w:p>
    <w:p w:rsidR="00334F38" w:rsidRPr="003E7C8B" w:rsidRDefault="00334F38" w:rsidP="00632691">
      <w:pPr>
        <w:numPr>
          <w:ilvl w:val="0"/>
          <w:numId w:val="5"/>
        </w:numPr>
        <w:autoSpaceDE w:val="0"/>
        <w:autoSpaceDN w:val="0"/>
        <w:adjustRightInd w:val="0"/>
        <w:spacing w:line="360" w:lineRule="auto"/>
        <w:rPr>
          <w:lang w:val="en-US"/>
        </w:rPr>
      </w:pPr>
      <w:r w:rsidRPr="003E7C8B">
        <w:rPr>
          <w:lang w:val="en-US"/>
        </w:rPr>
        <w:t>Kang, S., K. Sivaramakrishan, 1995, Issues in Testing Earnings Management and an Instrumental Variable Approach, Journal of Accounting Research, V</w:t>
      </w:r>
      <w:r>
        <w:rPr>
          <w:lang w:val="en-US"/>
        </w:rPr>
        <w:t>ol. 33, No. 2 (Autumn, 1995), Pages</w:t>
      </w:r>
      <w:r w:rsidRPr="003E7C8B">
        <w:rPr>
          <w:lang w:val="en-US"/>
        </w:rPr>
        <w:t xml:space="preserve"> 353-367.</w:t>
      </w:r>
    </w:p>
    <w:p w:rsidR="00334F38" w:rsidRPr="003E7C8B" w:rsidRDefault="00334F38" w:rsidP="00632691">
      <w:pPr>
        <w:numPr>
          <w:ilvl w:val="0"/>
          <w:numId w:val="5"/>
        </w:numPr>
        <w:autoSpaceDE w:val="0"/>
        <w:autoSpaceDN w:val="0"/>
        <w:adjustRightInd w:val="0"/>
        <w:spacing w:line="360" w:lineRule="auto"/>
        <w:rPr>
          <w:lang w:val="en-US"/>
        </w:rPr>
      </w:pPr>
      <w:r w:rsidRPr="003E7C8B">
        <w:rPr>
          <w:lang w:val="en-US"/>
        </w:rPr>
        <w:t xml:space="preserve">Kothari, S.P., A.J. Leone, C.E. Wasley, 2005, Performance Matched Discretionary Accrual Measures, </w:t>
      </w:r>
      <w:r w:rsidRPr="003E7C8B">
        <w:rPr>
          <w:i/>
          <w:lang w:val="en-US"/>
        </w:rPr>
        <w:t>Journal of Accounting &amp; Economics 39</w:t>
      </w:r>
      <w:r>
        <w:rPr>
          <w:lang w:val="en-US"/>
        </w:rPr>
        <w:t>, P</w:t>
      </w:r>
      <w:r w:rsidRPr="003E7C8B">
        <w:rPr>
          <w:lang w:val="en-US"/>
        </w:rPr>
        <w:t>ages 163-197.</w:t>
      </w:r>
    </w:p>
    <w:p w:rsidR="00334F38" w:rsidRPr="003E7C8B" w:rsidRDefault="00334F38" w:rsidP="00632691">
      <w:pPr>
        <w:numPr>
          <w:ilvl w:val="0"/>
          <w:numId w:val="5"/>
        </w:numPr>
        <w:spacing w:line="360" w:lineRule="auto"/>
        <w:rPr>
          <w:lang w:val="en-US"/>
        </w:rPr>
      </w:pPr>
      <w:r w:rsidRPr="003E7C8B">
        <w:rPr>
          <w:rStyle w:val="a"/>
          <w:bCs/>
          <w:lang w:val="en-US"/>
        </w:rPr>
        <w:t>Leuz, C.</w:t>
      </w:r>
      <w:r w:rsidRPr="003E7C8B">
        <w:rPr>
          <w:rStyle w:val="a"/>
          <w:lang w:val="en-US"/>
        </w:rPr>
        <w:t xml:space="preserve">, D. </w:t>
      </w:r>
      <w:r w:rsidRPr="003E7C8B">
        <w:rPr>
          <w:rStyle w:val="a"/>
          <w:bCs/>
          <w:lang w:val="en-US"/>
        </w:rPr>
        <w:t>Nanda</w:t>
      </w:r>
      <w:r w:rsidRPr="003E7C8B">
        <w:rPr>
          <w:rStyle w:val="a"/>
          <w:lang w:val="en-US"/>
        </w:rPr>
        <w:t xml:space="preserve">, P. </w:t>
      </w:r>
      <w:r w:rsidRPr="003E7C8B">
        <w:rPr>
          <w:rStyle w:val="a"/>
          <w:bCs/>
          <w:lang w:val="en-US"/>
        </w:rPr>
        <w:t xml:space="preserve">Wysocki, 2003, </w:t>
      </w:r>
      <w:r w:rsidRPr="003E7C8B">
        <w:rPr>
          <w:bCs/>
          <w:lang w:val="en-US"/>
        </w:rPr>
        <w:t xml:space="preserve">Earnings management and investor protection: an international comparison, </w:t>
      </w:r>
      <w:hyperlink r:id="rId51" w:history="1">
        <w:r w:rsidRPr="003E7C8B">
          <w:rPr>
            <w:rStyle w:val="Hyperlink"/>
            <w:bCs/>
            <w:color w:val="auto"/>
            <w:u w:val="none"/>
            <w:lang w:val="en-US"/>
          </w:rPr>
          <w:t>Journal of Financial Economics</w:t>
        </w:r>
      </w:hyperlink>
      <w:r w:rsidRPr="003E7C8B">
        <w:rPr>
          <w:lang w:val="en-US"/>
        </w:rPr>
        <w:br/>
      </w:r>
      <w:hyperlink r:id="rId52" w:history="1">
        <w:r w:rsidRPr="003E7C8B">
          <w:rPr>
            <w:rStyle w:val="Hyperlink"/>
            <w:color w:val="auto"/>
            <w:u w:val="none"/>
            <w:lang w:val="en-US"/>
          </w:rPr>
          <w:t>Volume 69, Issue 3</w:t>
        </w:r>
      </w:hyperlink>
      <w:r>
        <w:rPr>
          <w:lang w:val="en-US"/>
        </w:rPr>
        <w:t>, September 2003, Pages 505-527.</w:t>
      </w:r>
    </w:p>
    <w:p w:rsidR="00334F38" w:rsidRPr="003E7C8B" w:rsidRDefault="00334F38" w:rsidP="00632691">
      <w:pPr>
        <w:numPr>
          <w:ilvl w:val="0"/>
          <w:numId w:val="5"/>
        </w:numPr>
        <w:autoSpaceDE w:val="0"/>
        <w:autoSpaceDN w:val="0"/>
        <w:adjustRightInd w:val="0"/>
        <w:spacing w:line="360" w:lineRule="auto"/>
        <w:rPr>
          <w:rStyle w:val="a"/>
          <w:lang w:val="en-US"/>
        </w:rPr>
      </w:pPr>
      <w:r w:rsidRPr="003E7C8B">
        <w:rPr>
          <w:lang w:val="en-US"/>
        </w:rPr>
        <w:t xml:space="preserve">Murphy, K., 1992, </w:t>
      </w:r>
      <w:r w:rsidRPr="003E7C8B">
        <w:rPr>
          <w:i/>
          <w:lang w:val="en-US"/>
        </w:rPr>
        <w:t>Financial Performance Surrounding CEO turnover</w:t>
      </w:r>
      <w:r w:rsidRPr="003E7C8B">
        <w:rPr>
          <w:lang w:val="en-US"/>
        </w:rPr>
        <w:t xml:space="preserve">, </w:t>
      </w:r>
      <w:r>
        <w:rPr>
          <w:rStyle w:val="a"/>
          <w:lang w:val="en-US"/>
        </w:rPr>
        <w:t xml:space="preserve">www-rcf.usc.edu, Page </w:t>
      </w:r>
      <w:r w:rsidRPr="003E7C8B">
        <w:rPr>
          <w:rStyle w:val="a"/>
          <w:lang w:val="en-US"/>
        </w:rPr>
        <w:t>42</w:t>
      </w:r>
      <w:r>
        <w:rPr>
          <w:rStyle w:val="a"/>
          <w:lang w:val="en-US"/>
        </w:rPr>
        <w:t>.</w:t>
      </w:r>
    </w:p>
    <w:p w:rsidR="00334F38" w:rsidRPr="003E7C8B" w:rsidRDefault="00334F38" w:rsidP="00632691">
      <w:pPr>
        <w:numPr>
          <w:ilvl w:val="0"/>
          <w:numId w:val="5"/>
        </w:numPr>
        <w:spacing w:line="360" w:lineRule="auto"/>
        <w:rPr>
          <w:lang w:val="en-US"/>
        </w:rPr>
      </w:pPr>
      <w:r w:rsidRPr="003E7C8B">
        <w:rPr>
          <w:lang w:val="en-US"/>
        </w:rPr>
        <w:t xml:space="preserve">Parrino, R., 1997, </w:t>
      </w:r>
      <w:r w:rsidRPr="003E7C8B">
        <w:rPr>
          <w:bCs/>
          <w:i/>
          <w:lang w:val="en-US"/>
        </w:rPr>
        <w:t>CEO turnover and outside succession A cross-sectional analysis</w:t>
      </w:r>
      <w:r w:rsidRPr="003E7C8B">
        <w:rPr>
          <w:bCs/>
          <w:lang w:val="en-US"/>
        </w:rPr>
        <w:t xml:space="preserve">. </w:t>
      </w:r>
      <w:hyperlink r:id="rId53" w:history="1">
        <w:r w:rsidRPr="003E7C8B">
          <w:rPr>
            <w:rStyle w:val="Hyperlink"/>
            <w:bCs/>
            <w:color w:val="auto"/>
            <w:u w:val="none"/>
            <w:lang w:val="en-US"/>
          </w:rPr>
          <w:t>Journal of Financial Economics</w:t>
        </w:r>
      </w:hyperlink>
      <w:r w:rsidRPr="003E7C8B">
        <w:rPr>
          <w:lang w:val="en-US"/>
        </w:rPr>
        <w:t xml:space="preserve">, </w:t>
      </w:r>
      <w:hyperlink r:id="rId54" w:history="1">
        <w:r w:rsidRPr="003E7C8B">
          <w:rPr>
            <w:rStyle w:val="Hyperlink"/>
            <w:color w:val="auto"/>
            <w:u w:val="none"/>
            <w:lang w:val="en-US"/>
          </w:rPr>
          <w:t>Volume 46, Issue 2</w:t>
        </w:r>
      </w:hyperlink>
      <w:r w:rsidRPr="003E7C8B">
        <w:rPr>
          <w:lang w:val="en-US"/>
        </w:rPr>
        <w:t>, November 1997, Pages 165-197.</w:t>
      </w:r>
    </w:p>
    <w:p w:rsidR="00334F38" w:rsidRPr="003E7C8B" w:rsidRDefault="00334F38" w:rsidP="00632691">
      <w:pPr>
        <w:numPr>
          <w:ilvl w:val="0"/>
          <w:numId w:val="5"/>
        </w:numPr>
        <w:autoSpaceDE w:val="0"/>
        <w:autoSpaceDN w:val="0"/>
        <w:adjustRightInd w:val="0"/>
        <w:spacing w:line="360" w:lineRule="auto"/>
        <w:rPr>
          <w:lang w:val="en-US"/>
        </w:rPr>
      </w:pPr>
      <w:r w:rsidRPr="003E7C8B">
        <w:rPr>
          <w:lang w:val="en-US"/>
        </w:rPr>
        <w:t xml:space="preserve">Peasnell, K., P. Pope, S. Young S, 2000, </w:t>
      </w:r>
      <w:r w:rsidRPr="003E7C8B">
        <w:rPr>
          <w:i/>
          <w:lang w:val="en-US"/>
        </w:rPr>
        <w:t>Detecting earnings management using cross-sectional abnormal accruals models.</w:t>
      </w:r>
      <w:r w:rsidRPr="003E7C8B">
        <w:rPr>
          <w:lang w:val="en-US"/>
        </w:rPr>
        <w:t xml:space="preserve"> Accounting a</w:t>
      </w:r>
      <w:r>
        <w:rPr>
          <w:lang w:val="en-US"/>
        </w:rPr>
        <w:t xml:space="preserve">nd Business Research, 30 (4), Pages </w:t>
      </w:r>
      <w:r w:rsidRPr="003E7C8B">
        <w:rPr>
          <w:lang w:val="en-US"/>
        </w:rPr>
        <w:t>313-326.</w:t>
      </w:r>
    </w:p>
    <w:p w:rsidR="00334F38" w:rsidRPr="003E7C8B" w:rsidRDefault="00334F38" w:rsidP="00632691">
      <w:pPr>
        <w:numPr>
          <w:ilvl w:val="0"/>
          <w:numId w:val="5"/>
        </w:numPr>
        <w:spacing w:line="360" w:lineRule="auto"/>
        <w:rPr>
          <w:lang w:val="en-US"/>
        </w:rPr>
      </w:pPr>
      <w:r w:rsidRPr="003E7C8B">
        <w:rPr>
          <w:lang w:val="en-US"/>
        </w:rPr>
        <w:t xml:space="preserve">Pourciau, S., 1993, </w:t>
      </w:r>
      <w:r w:rsidRPr="003E7C8B">
        <w:rPr>
          <w:i/>
          <w:lang w:val="en-US"/>
        </w:rPr>
        <w:t>Earnings management and nonroutine executive changes.</w:t>
      </w:r>
      <w:r w:rsidRPr="003E7C8B">
        <w:rPr>
          <w:lang w:val="en-US"/>
        </w:rPr>
        <w:t xml:space="preserve"> Journal of Accounting and Econ</w:t>
      </w:r>
      <w:r>
        <w:rPr>
          <w:lang w:val="en-US"/>
        </w:rPr>
        <w:t>omics. Volume 16, Issue 1-3, Pages</w:t>
      </w:r>
      <w:r w:rsidRPr="003E7C8B">
        <w:rPr>
          <w:lang w:val="en-US"/>
        </w:rPr>
        <w:t xml:space="preserve"> 317-336.</w:t>
      </w:r>
    </w:p>
    <w:p w:rsidR="00334F38" w:rsidRPr="003E7C8B" w:rsidRDefault="00334F38" w:rsidP="00632691">
      <w:pPr>
        <w:numPr>
          <w:ilvl w:val="0"/>
          <w:numId w:val="5"/>
        </w:numPr>
        <w:autoSpaceDE w:val="0"/>
        <w:autoSpaceDN w:val="0"/>
        <w:adjustRightInd w:val="0"/>
        <w:spacing w:line="360" w:lineRule="auto"/>
        <w:rPr>
          <w:lang w:val="en-US"/>
        </w:rPr>
      </w:pPr>
      <w:r w:rsidRPr="003E7C8B">
        <w:rPr>
          <w:lang w:val="en-US"/>
        </w:rPr>
        <w:t>Shleifer, A., R. Vishny, 1996,  A survey of corporate governance, W5554, NBER Host, Cambridge, Mass.</w:t>
      </w:r>
    </w:p>
    <w:p w:rsidR="00334F38" w:rsidRPr="003E7C8B" w:rsidRDefault="00334F38" w:rsidP="00632691">
      <w:pPr>
        <w:numPr>
          <w:ilvl w:val="0"/>
          <w:numId w:val="5"/>
        </w:numPr>
        <w:autoSpaceDE w:val="0"/>
        <w:autoSpaceDN w:val="0"/>
        <w:adjustRightInd w:val="0"/>
        <w:spacing w:line="360" w:lineRule="auto"/>
        <w:rPr>
          <w:lang w:val="en-US"/>
        </w:rPr>
      </w:pPr>
      <w:r w:rsidRPr="003E7C8B">
        <w:rPr>
          <w:lang w:val="en-US"/>
        </w:rPr>
        <w:t xml:space="preserve">Wells, P., 2002, </w:t>
      </w:r>
      <w:r w:rsidRPr="003E7C8B">
        <w:rPr>
          <w:i/>
          <w:lang w:val="en-US"/>
        </w:rPr>
        <w:t>Earnings management surrounding CEO changes</w:t>
      </w:r>
      <w:r w:rsidRPr="003E7C8B">
        <w:rPr>
          <w:lang w:val="en-US"/>
        </w:rPr>
        <w:t xml:space="preserve">, Journal of Accounting and </w:t>
      </w:r>
      <w:r>
        <w:rPr>
          <w:lang w:val="en-US"/>
        </w:rPr>
        <w:t>Finance, Volume 42, Issue 2, Pages</w:t>
      </w:r>
      <w:r w:rsidRPr="003E7C8B">
        <w:rPr>
          <w:lang w:val="en-US"/>
        </w:rPr>
        <w:t xml:space="preserve"> 169-193.</w:t>
      </w:r>
    </w:p>
    <w:p w:rsidR="00334F38" w:rsidRPr="003E7C8B" w:rsidRDefault="00334F38" w:rsidP="00632691">
      <w:pPr>
        <w:numPr>
          <w:ilvl w:val="0"/>
          <w:numId w:val="5"/>
        </w:numPr>
        <w:autoSpaceDE w:val="0"/>
        <w:autoSpaceDN w:val="0"/>
        <w:adjustRightInd w:val="0"/>
        <w:spacing w:line="360" w:lineRule="auto"/>
        <w:rPr>
          <w:i/>
          <w:iCs/>
          <w:lang w:val="en-US"/>
        </w:rPr>
      </w:pPr>
      <w:r w:rsidRPr="003E7C8B">
        <w:rPr>
          <w:lang w:val="en-US"/>
        </w:rPr>
        <w:t xml:space="preserve">Yermarck, D., 1995, Do corporation award CEO stock options effectively? </w:t>
      </w:r>
      <w:r w:rsidRPr="003E7C8B">
        <w:rPr>
          <w:i/>
          <w:iCs/>
          <w:lang w:val="en-US"/>
        </w:rPr>
        <w:t xml:space="preserve">Journal of Financial Economics </w:t>
      </w:r>
      <w:r w:rsidRPr="003E7C8B">
        <w:rPr>
          <w:lang w:val="en-US"/>
        </w:rPr>
        <w:t xml:space="preserve">39, </w:t>
      </w:r>
      <w:r>
        <w:rPr>
          <w:lang w:val="en-US"/>
        </w:rPr>
        <w:t xml:space="preserve">Pages </w:t>
      </w:r>
      <w:r w:rsidRPr="003E7C8B">
        <w:rPr>
          <w:lang w:val="en-US"/>
        </w:rPr>
        <w:t>237-269.</w:t>
      </w:r>
    </w:p>
    <w:p w:rsidR="00334F38" w:rsidRPr="003E7C8B" w:rsidRDefault="00334F38" w:rsidP="00632691">
      <w:pPr>
        <w:numPr>
          <w:ilvl w:val="0"/>
          <w:numId w:val="5"/>
        </w:numPr>
        <w:autoSpaceDE w:val="0"/>
        <w:autoSpaceDN w:val="0"/>
        <w:adjustRightInd w:val="0"/>
        <w:spacing w:line="360" w:lineRule="auto"/>
        <w:rPr>
          <w:lang w:val="en-US"/>
        </w:rPr>
      </w:pPr>
      <w:r w:rsidRPr="003E7C8B">
        <w:rPr>
          <w:lang w:val="en-US"/>
        </w:rPr>
        <w:t>Yu, F., 2006, Corporate Governance and Earnings Management, University of Chicago</w:t>
      </w:r>
      <w:r>
        <w:rPr>
          <w:lang w:val="en-US"/>
        </w:rPr>
        <w:t>.</w:t>
      </w:r>
    </w:p>
    <w:p w:rsidR="00334F38" w:rsidRDefault="00334F38" w:rsidP="00632691">
      <w:pPr>
        <w:numPr>
          <w:ilvl w:val="0"/>
          <w:numId w:val="5"/>
        </w:numPr>
        <w:autoSpaceDE w:val="0"/>
        <w:autoSpaceDN w:val="0"/>
        <w:adjustRightInd w:val="0"/>
        <w:spacing w:line="360" w:lineRule="auto"/>
        <w:rPr>
          <w:lang w:val="en-US"/>
        </w:rPr>
      </w:pPr>
      <w:r w:rsidRPr="003E7C8B">
        <w:rPr>
          <w:lang w:val="en-US"/>
        </w:rPr>
        <w:t>Zingales, L., 1994, The value of the voting right: A study of the Milan stock exchange experience,</w:t>
      </w:r>
      <w:r w:rsidRPr="003E7C8B">
        <w:rPr>
          <w:i/>
          <w:iCs/>
          <w:lang w:val="en-US"/>
        </w:rPr>
        <w:t xml:space="preserve"> Review of Financial Studies </w:t>
      </w:r>
      <w:r w:rsidRPr="003E7C8B">
        <w:rPr>
          <w:lang w:val="en-US"/>
        </w:rPr>
        <w:t xml:space="preserve">7, </w:t>
      </w:r>
      <w:r>
        <w:rPr>
          <w:lang w:val="en-US"/>
        </w:rPr>
        <w:t xml:space="preserve">Pages </w:t>
      </w:r>
      <w:r w:rsidRPr="003E7C8B">
        <w:rPr>
          <w:lang w:val="en-US"/>
        </w:rPr>
        <w:t>125-148.</w:t>
      </w:r>
    </w:p>
    <w:p w:rsidR="00334F38" w:rsidRPr="00140B95" w:rsidRDefault="00334F38" w:rsidP="00632691">
      <w:pPr>
        <w:numPr>
          <w:ilvl w:val="0"/>
          <w:numId w:val="5"/>
        </w:numPr>
        <w:autoSpaceDE w:val="0"/>
        <w:autoSpaceDN w:val="0"/>
        <w:adjustRightInd w:val="0"/>
        <w:spacing w:line="360" w:lineRule="auto"/>
        <w:rPr>
          <w:lang w:val="en-US"/>
        </w:rPr>
      </w:pPr>
      <w:r>
        <w:rPr>
          <w:lang w:val="en-US"/>
        </w:rPr>
        <w:t xml:space="preserve">Ziv, A., 1998, Discussion of ‘Earnings Management and the Revelation Principle’, </w:t>
      </w:r>
      <w:r w:rsidRPr="0050143B">
        <w:rPr>
          <w:i/>
          <w:lang w:val="en-US"/>
        </w:rPr>
        <w:t>Review</w:t>
      </w:r>
      <w:r>
        <w:rPr>
          <w:i/>
          <w:lang w:val="en-US"/>
        </w:rPr>
        <w:t xml:space="preserve"> of Accounting Studies, 3, </w:t>
      </w:r>
      <w:r w:rsidRPr="00532D4C">
        <w:rPr>
          <w:lang w:val="en-US"/>
        </w:rPr>
        <w:t>Pages</w:t>
      </w:r>
      <w:r>
        <w:rPr>
          <w:i/>
          <w:lang w:val="en-US"/>
        </w:rPr>
        <w:t xml:space="preserve"> </w:t>
      </w:r>
      <w:r w:rsidRPr="00140B95">
        <w:rPr>
          <w:lang w:val="en-US"/>
        </w:rPr>
        <w:t>35-40</w:t>
      </w:r>
      <w:r>
        <w:rPr>
          <w:lang w:val="en-US"/>
        </w:rPr>
        <w:t>.</w:t>
      </w:r>
    </w:p>
    <w:p w:rsidR="00334F38" w:rsidRPr="003E7C8B" w:rsidRDefault="00334F38" w:rsidP="00481177">
      <w:pPr>
        <w:autoSpaceDE w:val="0"/>
        <w:autoSpaceDN w:val="0"/>
        <w:adjustRightInd w:val="0"/>
        <w:ind w:left="360"/>
        <w:rPr>
          <w:sz w:val="22"/>
          <w:szCs w:val="22"/>
          <w:lang w:val="en-US"/>
        </w:rPr>
      </w:pPr>
    </w:p>
    <w:p w:rsidR="00334F38" w:rsidRPr="003E7C8B" w:rsidRDefault="00334F38" w:rsidP="00852009">
      <w:pPr>
        <w:autoSpaceDE w:val="0"/>
        <w:autoSpaceDN w:val="0"/>
        <w:adjustRightInd w:val="0"/>
        <w:rPr>
          <w:sz w:val="20"/>
          <w:szCs w:val="20"/>
          <w:lang w:val="en-US"/>
        </w:rPr>
      </w:pPr>
    </w:p>
    <w:p w:rsidR="00334F38" w:rsidRPr="003E7C8B" w:rsidRDefault="00334F38" w:rsidP="00852009">
      <w:pPr>
        <w:autoSpaceDE w:val="0"/>
        <w:autoSpaceDN w:val="0"/>
        <w:adjustRightInd w:val="0"/>
        <w:ind w:left="360"/>
        <w:rPr>
          <w:sz w:val="20"/>
          <w:szCs w:val="20"/>
          <w:lang w:val="en-US"/>
        </w:rPr>
      </w:pPr>
    </w:p>
    <w:p w:rsidR="00334F38" w:rsidRPr="003E7C8B" w:rsidRDefault="00334F38" w:rsidP="00BB6C2C">
      <w:pPr>
        <w:rPr>
          <w:lang w:val="en-US"/>
        </w:rPr>
      </w:pPr>
    </w:p>
    <w:p w:rsidR="00334F38" w:rsidRPr="003E7C8B" w:rsidRDefault="00334F38" w:rsidP="00E60C5A">
      <w:pPr>
        <w:autoSpaceDE w:val="0"/>
        <w:autoSpaceDN w:val="0"/>
        <w:adjustRightInd w:val="0"/>
        <w:ind w:left="360"/>
        <w:rPr>
          <w:sz w:val="22"/>
          <w:szCs w:val="22"/>
          <w:lang w:val="en-US"/>
        </w:rPr>
      </w:pPr>
    </w:p>
    <w:p w:rsidR="00334F38" w:rsidRPr="003E7C8B" w:rsidRDefault="00334F38" w:rsidP="00F834C2">
      <w:pPr>
        <w:autoSpaceDE w:val="0"/>
        <w:autoSpaceDN w:val="0"/>
        <w:adjustRightInd w:val="0"/>
        <w:rPr>
          <w:sz w:val="20"/>
          <w:szCs w:val="20"/>
          <w:lang w:val="en-US"/>
        </w:rPr>
      </w:pPr>
      <w:r w:rsidRPr="003E7C8B">
        <w:rPr>
          <w:i/>
          <w:iCs/>
          <w:sz w:val="22"/>
          <w:szCs w:val="22"/>
          <w:lang w:val="en-US"/>
        </w:rPr>
        <w:t xml:space="preserve">                               </w:t>
      </w:r>
    </w:p>
    <w:p w:rsidR="00334F38" w:rsidRPr="003E7C8B" w:rsidRDefault="00334F38" w:rsidP="00F834C2">
      <w:pPr>
        <w:autoSpaceDE w:val="0"/>
        <w:autoSpaceDN w:val="0"/>
        <w:adjustRightInd w:val="0"/>
        <w:ind w:left="360"/>
        <w:rPr>
          <w:i/>
          <w:iCs/>
          <w:sz w:val="22"/>
          <w:szCs w:val="22"/>
          <w:lang w:val="en-US"/>
        </w:rPr>
      </w:pPr>
    </w:p>
    <w:p w:rsidR="00334F38" w:rsidRPr="003E7C8B" w:rsidRDefault="00334F38" w:rsidP="00F834C2">
      <w:pPr>
        <w:autoSpaceDE w:val="0"/>
        <w:autoSpaceDN w:val="0"/>
        <w:adjustRightInd w:val="0"/>
        <w:rPr>
          <w:sz w:val="20"/>
          <w:szCs w:val="20"/>
          <w:lang w:val="en-US"/>
        </w:rPr>
      </w:pPr>
      <w:r w:rsidRPr="003E7C8B">
        <w:rPr>
          <w:i/>
          <w:iCs/>
          <w:sz w:val="22"/>
          <w:szCs w:val="22"/>
          <w:lang w:val="en-US"/>
        </w:rPr>
        <w:t xml:space="preserve">                            </w:t>
      </w:r>
      <w:r w:rsidRPr="003E7C8B">
        <w:rPr>
          <w:sz w:val="22"/>
          <w:szCs w:val="22"/>
          <w:lang w:val="en-US"/>
        </w:rPr>
        <w:t>.</w:t>
      </w:r>
    </w:p>
    <w:p w:rsidR="00334F38" w:rsidRPr="003E7C8B" w:rsidRDefault="00334F38" w:rsidP="00F834C2">
      <w:pPr>
        <w:autoSpaceDE w:val="0"/>
        <w:autoSpaceDN w:val="0"/>
        <w:adjustRightInd w:val="0"/>
        <w:spacing w:line="360" w:lineRule="auto"/>
        <w:ind w:left="360"/>
        <w:rPr>
          <w:lang w:val="en-US"/>
        </w:rPr>
      </w:pPr>
    </w:p>
    <w:p w:rsidR="00334F38" w:rsidRPr="003E7C8B" w:rsidRDefault="00334F38" w:rsidP="00B35AE8">
      <w:pPr>
        <w:autoSpaceDE w:val="0"/>
        <w:autoSpaceDN w:val="0"/>
        <w:adjustRightInd w:val="0"/>
        <w:rPr>
          <w:sz w:val="20"/>
          <w:szCs w:val="20"/>
          <w:lang w:val="en-US"/>
        </w:rPr>
      </w:pPr>
    </w:p>
    <w:sectPr w:rsidR="00334F38" w:rsidRPr="003E7C8B" w:rsidSect="005F077D">
      <w:pgSz w:w="11906" w:h="16838"/>
      <w:pgMar w:top="1411" w:right="1411" w:bottom="1411" w:left="1411" w:header="706" w:footer="706"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34F38" w:rsidRDefault="00334F38">
      <w:r>
        <w:separator/>
      </w:r>
    </w:p>
  </w:endnote>
  <w:endnote w:type="continuationSeparator" w:id="1">
    <w:p w:rsidR="00334F38" w:rsidRDefault="00334F3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61002A87" w:usb1="80000000" w:usb2="00000008" w:usb3="00000000" w:csb0="000101FF" w:csb1="00000000"/>
  </w:font>
  <w:font w:name="TimesNew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Symbol,Italic">
    <w:panose1 w:val="00000000000000000000"/>
    <w:charset w:val="00"/>
    <w:family w:val="auto"/>
    <w:notTrueType/>
    <w:pitch w:val="default"/>
    <w:sig w:usb0="00000003" w:usb1="00000000" w:usb2="00000000" w:usb3="00000000" w:csb0="00000001" w:csb1="00000000"/>
  </w:font>
  <w:font w:name="Times-Roman">
    <w:panose1 w:val="00000000000000000000"/>
    <w:charset w:val="00"/>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34F38" w:rsidRDefault="00334F38">
    <w:pPr>
      <w:pStyle w:val="Footer"/>
      <w:jc w:val="right"/>
    </w:pPr>
    <w:fldSimple w:instr=" PAGE   \* MERGEFORMAT ">
      <w:r>
        <w:rPr>
          <w:noProof/>
        </w:rPr>
        <w:t>4</w:t>
      </w:r>
    </w:fldSimple>
  </w:p>
  <w:p w:rsidR="00334F38" w:rsidRDefault="00334F3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34F38" w:rsidRDefault="00334F38">
      <w:r>
        <w:separator/>
      </w:r>
    </w:p>
  </w:footnote>
  <w:footnote w:type="continuationSeparator" w:id="1">
    <w:p w:rsidR="00334F38" w:rsidRDefault="00334F38">
      <w:r>
        <w:continuationSeparator/>
      </w:r>
    </w:p>
  </w:footnote>
  <w:footnote w:id="2">
    <w:p w:rsidR="00334F38" w:rsidRDefault="00334F38" w:rsidP="000C5C48">
      <w:pPr>
        <w:pStyle w:val="FootnoteText"/>
      </w:pPr>
      <w:r>
        <w:rPr>
          <w:rStyle w:val="FootnoteReference"/>
        </w:rPr>
        <w:footnoteRef/>
      </w:r>
      <w:r w:rsidRPr="00DF1E0F">
        <w:rPr>
          <w:lang w:val="en-US"/>
        </w:rPr>
        <w:t xml:space="preserve"> </w:t>
      </w:r>
      <w:r>
        <w:rPr>
          <w:lang w:val="en-US"/>
        </w:rPr>
        <w:t>Challenger, Gray and Christmas Inc is a Chicago based executive recruitment firm.(</w:t>
      </w:r>
      <w:r w:rsidRPr="0024471C">
        <w:rPr>
          <w:lang w:val="en-US"/>
        </w:rPr>
        <w:t>http://www.management-issues.com/2009/1/16/research/ceo-turnover-hits-new-high.asp</w:t>
      </w:r>
      <w:r>
        <w:rPr>
          <w:lang w:val="en-US"/>
        </w:rPr>
        <w:t>)</w:t>
      </w:r>
    </w:p>
  </w:footnote>
  <w:footnote w:id="3">
    <w:p w:rsidR="00334F38" w:rsidRDefault="00334F38">
      <w:pPr>
        <w:pStyle w:val="FootnoteText"/>
      </w:pPr>
      <w:r>
        <w:rPr>
          <w:rStyle w:val="FootnoteReference"/>
        </w:rPr>
        <w:footnoteRef/>
      </w:r>
      <w:r w:rsidRPr="008214DB">
        <w:rPr>
          <w:lang w:val="en-US"/>
        </w:rPr>
        <w:t xml:space="preserve"> </w:t>
      </w:r>
      <w:r>
        <w:rPr>
          <w:lang w:val="en-US"/>
        </w:rPr>
        <w:t>In this paper a CEO turnover is defined as the changing of a Chief Executive Officer within a firm</w:t>
      </w:r>
    </w:p>
  </w:footnote>
  <w:footnote w:id="4">
    <w:p w:rsidR="00334F38" w:rsidRDefault="00334F38">
      <w:pPr>
        <w:pStyle w:val="FootnoteText"/>
      </w:pPr>
      <w:r>
        <w:rPr>
          <w:rStyle w:val="FootnoteReference"/>
        </w:rPr>
        <w:footnoteRef/>
      </w:r>
      <w:r w:rsidRPr="0050143B">
        <w:rPr>
          <w:lang w:val="en-US"/>
        </w:rPr>
        <w:t xml:space="preserve"> </w:t>
      </w:r>
      <w:r>
        <w:rPr>
          <w:lang w:val="en-US"/>
        </w:rPr>
        <w:t xml:space="preserve">For example; the different methods of asset valuation. </w:t>
      </w:r>
    </w:p>
  </w:footnote>
  <w:footnote w:id="5">
    <w:p w:rsidR="00334F38" w:rsidRDefault="00334F38">
      <w:pPr>
        <w:pStyle w:val="FootnoteText"/>
      </w:pPr>
      <w:r>
        <w:rPr>
          <w:rStyle w:val="FootnoteReference"/>
        </w:rPr>
        <w:footnoteRef/>
      </w:r>
      <w:r w:rsidRPr="00F31A7B">
        <w:rPr>
          <w:lang w:val="en-US"/>
        </w:rPr>
        <w:t xml:space="preserve"> </w:t>
      </w:r>
      <w:r>
        <w:rPr>
          <w:lang w:val="en-US"/>
        </w:rPr>
        <w:t xml:space="preserve">Turnover tends to  increase with poor firm performance (Kaplan and </w:t>
      </w:r>
      <w:hyperlink r:id="rId1" w:history="1">
        <w:r w:rsidRPr="00BF2F3B">
          <w:rPr>
            <w:rStyle w:val="Hyperlink"/>
            <w:color w:val="auto"/>
            <w:u w:val="none"/>
            <w:lang w:val="en-US"/>
          </w:rPr>
          <w:t>Minton,</w:t>
        </w:r>
      </w:hyperlink>
      <w:r w:rsidRPr="00F31A7B">
        <w:rPr>
          <w:lang w:val="en-US"/>
        </w:rPr>
        <w:t xml:space="preserve"> 2006)</w:t>
      </w:r>
    </w:p>
  </w:footnote>
  <w:footnote w:id="6">
    <w:p w:rsidR="00334F38" w:rsidRDefault="00334F38" w:rsidP="00FA1180">
      <w:pPr>
        <w:spacing w:line="360" w:lineRule="auto"/>
        <w:rPr>
          <w:lang w:val="en-US"/>
        </w:rPr>
      </w:pPr>
      <w:r>
        <w:rPr>
          <w:rStyle w:val="FootnoteReference"/>
        </w:rPr>
        <w:footnoteRef/>
      </w:r>
      <w:r w:rsidRPr="00FA1180">
        <w:rPr>
          <w:lang w:val="en-US"/>
        </w:rPr>
        <w:t xml:space="preserve"> </w:t>
      </w:r>
      <w:r>
        <w:rPr>
          <w:lang w:val="en-US"/>
        </w:rPr>
        <w:t xml:space="preserve">Chapter Four will provide more information on routine and non-routine CEO turnovers. </w:t>
      </w:r>
    </w:p>
    <w:p w:rsidR="00334F38" w:rsidRDefault="00334F38" w:rsidP="00FA1180">
      <w:pPr>
        <w:spacing w:line="360" w:lineRule="auto"/>
      </w:pPr>
    </w:p>
  </w:footnote>
  <w:footnote w:id="7">
    <w:p w:rsidR="00334F38" w:rsidRDefault="00334F38">
      <w:pPr>
        <w:pStyle w:val="FootnoteText"/>
      </w:pPr>
      <w:r>
        <w:rPr>
          <w:rStyle w:val="FootnoteReference"/>
        </w:rPr>
        <w:footnoteRef/>
      </w:r>
      <w:r w:rsidRPr="00CC3FE4">
        <w:rPr>
          <w:lang w:val="en-US"/>
        </w:rPr>
        <w:t xml:space="preserve"> </w:t>
      </w:r>
      <w:r>
        <w:rPr>
          <w:lang w:val="en-US"/>
        </w:rPr>
        <w:t xml:space="preserve">Discretionary accruals are a </w:t>
      </w:r>
      <w:r w:rsidRPr="00BB05B8">
        <w:rPr>
          <w:i/>
          <w:lang w:val="en-US"/>
        </w:rPr>
        <w:t>non-obligatory</w:t>
      </w:r>
      <w:r>
        <w:rPr>
          <w:lang w:val="en-US"/>
        </w:rPr>
        <w:t xml:space="preserve"> expense that is yet to be realized but is recorded in the account books (such as anticipated bonus for management).</w:t>
      </w:r>
    </w:p>
  </w:footnote>
  <w:footnote w:id="8">
    <w:p w:rsidR="00334F38" w:rsidRDefault="00334F38">
      <w:pPr>
        <w:pStyle w:val="FootnoteText"/>
      </w:pPr>
      <w:r>
        <w:rPr>
          <w:rStyle w:val="FootnoteReference"/>
        </w:rPr>
        <w:footnoteRef/>
      </w:r>
      <w:r w:rsidRPr="00CC3FE4">
        <w:rPr>
          <w:lang w:val="en-US"/>
        </w:rPr>
        <w:t xml:space="preserve"> </w:t>
      </w:r>
      <w:r>
        <w:rPr>
          <w:lang w:val="en-US"/>
        </w:rPr>
        <w:t xml:space="preserve">Non-discretionary accruals on the other hand are an </w:t>
      </w:r>
      <w:r w:rsidRPr="00BB05B8">
        <w:rPr>
          <w:i/>
          <w:lang w:val="en-US"/>
        </w:rPr>
        <w:t>obligatory</w:t>
      </w:r>
      <w:r>
        <w:rPr>
          <w:lang w:val="en-US"/>
        </w:rPr>
        <w:t xml:space="preserve"> expense that has yet to be realized but is already recorded in the books (such as next month’s salary or any upcoming bills). </w:t>
      </w:r>
    </w:p>
  </w:footnote>
  <w:footnote w:id="9">
    <w:p w:rsidR="00334F38" w:rsidRDefault="00334F38">
      <w:pPr>
        <w:pStyle w:val="FootnoteText"/>
      </w:pPr>
      <w:r>
        <w:rPr>
          <w:rStyle w:val="FootnoteReference"/>
        </w:rPr>
        <w:footnoteRef/>
      </w:r>
      <w:r w:rsidRPr="001C16A6">
        <w:rPr>
          <w:lang w:val="en-US"/>
        </w:rPr>
        <w:t xml:space="preserve"> </w:t>
      </w:r>
      <w:r>
        <w:rPr>
          <w:lang w:val="en-US"/>
        </w:rPr>
        <w:t xml:space="preserve">They use discretionary accruals as a proxy for earnings management. </w:t>
      </w:r>
    </w:p>
  </w:footnote>
  <w:footnote w:id="10">
    <w:p w:rsidR="00334F38" w:rsidRPr="003318F5" w:rsidRDefault="00334F38" w:rsidP="004C2768">
      <w:pPr>
        <w:pStyle w:val="Footer"/>
        <w:rPr>
          <w:lang w:val="en-US"/>
        </w:rPr>
      </w:pPr>
      <w:r>
        <w:rPr>
          <w:rStyle w:val="FootnoteReference"/>
        </w:rPr>
        <w:footnoteRef/>
      </w:r>
      <w:r w:rsidRPr="004C2768">
        <w:rPr>
          <w:lang w:val="en-US"/>
        </w:rPr>
        <w:t xml:space="preserve"> </w:t>
      </w:r>
      <w:r w:rsidRPr="004C2768">
        <w:rPr>
          <w:sz w:val="22"/>
          <w:szCs w:val="22"/>
          <w:lang w:val="en-US"/>
        </w:rPr>
        <w:t>As stipulated in sections 302(a)-4(A), 302(a)-4(C), 302(a)-5 &amp; 302(a)-6 of the Sarbanes-Oxley Act</w:t>
      </w:r>
    </w:p>
    <w:p w:rsidR="00334F38" w:rsidRDefault="00334F38" w:rsidP="004C2768">
      <w:pPr>
        <w:pStyle w:val="Footer"/>
      </w:pPr>
    </w:p>
  </w:footnote>
  <w:footnote w:id="11">
    <w:p w:rsidR="00334F38" w:rsidRDefault="00334F38" w:rsidP="00897DAE">
      <w:pPr>
        <w:autoSpaceDE w:val="0"/>
        <w:autoSpaceDN w:val="0"/>
        <w:adjustRightInd w:val="0"/>
      </w:pPr>
      <w:r>
        <w:rPr>
          <w:rStyle w:val="FootnoteReference"/>
        </w:rPr>
        <w:footnoteRef/>
      </w:r>
      <w:r w:rsidRPr="00897DAE">
        <w:rPr>
          <w:lang w:val="en-US"/>
        </w:rPr>
        <w:t xml:space="preserve"> </w:t>
      </w:r>
      <w:r>
        <w:rPr>
          <w:rFonts w:ascii="TimesNewRoman" w:hAnsi="TimesNewRoman" w:cs="TimesNewRoman"/>
          <w:sz w:val="22"/>
          <w:szCs w:val="22"/>
          <w:lang w:val="en-US" w:eastAsia="en-US"/>
        </w:rPr>
        <w:t xml:space="preserve">Mandelbrot Benoit B. and Richard L. Hudson; </w:t>
      </w:r>
      <w:r w:rsidRPr="00724AF6">
        <w:rPr>
          <w:rFonts w:ascii="TimesNewRoman" w:hAnsi="TimesNewRoman" w:cs="TimesNewRoman"/>
          <w:i/>
          <w:sz w:val="22"/>
          <w:szCs w:val="22"/>
          <w:lang w:val="en-US" w:eastAsia="en-US"/>
        </w:rPr>
        <w:t>A look at market––moving numbers––literally</w:t>
      </w:r>
      <w:r>
        <w:rPr>
          <w:rFonts w:ascii="TimesNewRoman" w:hAnsi="TimesNewRoman" w:cs="TimesNewRoman"/>
          <w:sz w:val="22"/>
          <w:szCs w:val="22"/>
          <w:lang w:val="en-US" w:eastAsia="en-US"/>
        </w:rPr>
        <w:t>, July 27, 2004, C1, C6</w:t>
      </w:r>
    </w:p>
  </w:footnote>
  <w:footnote w:id="12">
    <w:p w:rsidR="00334F38" w:rsidRDefault="00334F38">
      <w:pPr>
        <w:pStyle w:val="FootnoteText"/>
      </w:pPr>
      <w:r>
        <w:rPr>
          <w:rStyle w:val="FootnoteReference"/>
        </w:rPr>
        <w:footnoteRef/>
      </w:r>
      <w:r w:rsidRPr="002D45AB">
        <w:rPr>
          <w:lang w:val="en-US"/>
        </w:rPr>
        <w:t xml:space="preserve"> </w:t>
      </w:r>
      <w:r>
        <w:rPr>
          <w:lang w:val="en-US"/>
        </w:rPr>
        <w:t>The scope of moral hazard is greater in case the firm is relatively riskier.</w:t>
      </w:r>
    </w:p>
  </w:footnote>
  <w:footnote w:id="13">
    <w:p w:rsidR="00334F38" w:rsidRPr="003E7C8B" w:rsidRDefault="00334F38" w:rsidP="00975F9E">
      <w:pPr>
        <w:spacing w:line="360" w:lineRule="auto"/>
        <w:jc w:val="both"/>
        <w:rPr>
          <w:lang w:val="en-US"/>
        </w:rPr>
      </w:pPr>
      <w:r>
        <w:rPr>
          <w:rStyle w:val="FootnoteReference"/>
        </w:rPr>
        <w:footnoteRef/>
      </w:r>
      <w:r w:rsidRPr="00975F9E">
        <w:rPr>
          <w:lang w:val="en-US"/>
        </w:rPr>
        <w:t xml:space="preserve"> </w:t>
      </w:r>
      <w:r w:rsidRPr="000C324D">
        <w:rPr>
          <w:sz w:val="20"/>
          <w:szCs w:val="20"/>
          <w:lang w:val="en-US"/>
        </w:rPr>
        <w:t>The incoming CEOs tendency to engage in decreased earnings management during the 2008 crisis period will gain special attention during this paper since the research sample contains CEO turnovers during 2008.</w:t>
      </w:r>
    </w:p>
    <w:p w:rsidR="00334F38" w:rsidRDefault="00334F38" w:rsidP="00975F9E">
      <w:pPr>
        <w:spacing w:line="360" w:lineRule="auto"/>
        <w:jc w:val="both"/>
      </w:pPr>
    </w:p>
  </w:footnote>
  <w:footnote w:id="14">
    <w:p w:rsidR="00334F38" w:rsidRDefault="00334F38">
      <w:pPr>
        <w:pStyle w:val="FootnoteText"/>
      </w:pPr>
      <w:r>
        <w:rPr>
          <w:rStyle w:val="FootnoteReference"/>
        </w:rPr>
        <w:footnoteRef/>
      </w:r>
      <w:r w:rsidRPr="00526B89">
        <w:rPr>
          <w:lang w:val="en-US"/>
        </w:rPr>
        <w:t xml:space="preserve"> </w:t>
      </w:r>
      <w:r>
        <w:rPr>
          <w:lang w:val="en-US"/>
        </w:rPr>
        <w:t xml:space="preserve">For more on corporate governance mechanisms refer to pg. 9. </w:t>
      </w:r>
    </w:p>
  </w:footnote>
  <w:footnote w:id="15">
    <w:p w:rsidR="00334F38" w:rsidRPr="003E7C8B" w:rsidRDefault="00334F38" w:rsidP="00790455">
      <w:pPr>
        <w:pStyle w:val="Heading3"/>
        <w:rPr>
          <w:i w:val="0"/>
          <w:lang w:val="en-US"/>
        </w:rPr>
      </w:pPr>
      <w:r>
        <w:rPr>
          <w:rStyle w:val="FootnoteReference"/>
        </w:rPr>
        <w:footnoteRef/>
      </w:r>
      <w:r w:rsidRPr="00790455">
        <w:rPr>
          <w:lang w:val="en-US"/>
        </w:rPr>
        <w:t xml:space="preserve"> </w:t>
      </w:r>
      <w:r w:rsidRPr="00790455">
        <w:rPr>
          <w:i w:val="0"/>
          <w:sz w:val="20"/>
          <w:szCs w:val="20"/>
          <w:lang w:val="en-US"/>
        </w:rPr>
        <w:t>More on Kothari’s research in the following section (5.2.3. Accounting for firm performance)</w:t>
      </w:r>
    </w:p>
    <w:p w:rsidR="00334F38" w:rsidRDefault="00334F38" w:rsidP="00790455">
      <w:pPr>
        <w:pStyle w:val="Heading3"/>
      </w:pPr>
    </w:p>
  </w:footnote>
  <w:footnote w:id="16">
    <w:p w:rsidR="00334F38" w:rsidRDefault="00334F38" w:rsidP="00B014C7">
      <w:pPr>
        <w:pStyle w:val="FootnoteText"/>
      </w:pPr>
      <w:r>
        <w:rPr>
          <w:rStyle w:val="FootnoteReference"/>
        </w:rPr>
        <w:footnoteRef/>
      </w:r>
      <w:r w:rsidRPr="00A73D44">
        <w:rPr>
          <w:lang w:val="en-US"/>
        </w:rPr>
        <w:t xml:space="preserve"> </w:t>
      </w:r>
      <w:r>
        <w:rPr>
          <w:rFonts w:ascii="TimesNewRoman" w:hAnsi="TimesNewRoman" w:cs="TimesNewRoman"/>
          <w:lang w:val="en-US"/>
        </w:rPr>
        <w:t>Type I errors occur when the null hypothesis that earnings are not systematically managed is rejected when in fact the null is true.</w:t>
      </w:r>
    </w:p>
  </w:footnote>
  <w:footnote w:id="17">
    <w:p w:rsidR="00334F38" w:rsidRDefault="00334F38" w:rsidP="00B014C7">
      <w:pPr>
        <w:pStyle w:val="FootnoteText"/>
      </w:pPr>
      <w:r>
        <w:rPr>
          <w:rStyle w:val="FootnoteReference"/>
        </w:rPr>
        <w:footnoteRef/>
      </w:r>
      <w:r w:rsidRPr="00A73D44">
        <w:rPr>
          <w:lang w:val="en-US"/>
        </w:rPr>
        <w:t xml:space="preserve"> </w:t>
      </w:r>
      <w:r>
        <w:rPr>
          <w:rFonts w:ascii="TimesNewRoman" w:hAnsi="TimesNewRoman" w:cs="TimesNewRoman"/>
          <w:lang w:val="en-US"/>
        </w:rPr>
        <w:t>Type II errors arise when the null hypothesis that earnings are not systematically managed is not rejected when this is false.</w:t>
      </w:r>
    </w:p>
  </w:footnote>
  <w:footnote w:id="18">
    <w:p w:rsidR="00334F38" w:rsidRDefault="00334F38" w:rsidP="00B014C7">
      <w:pPr>
        <w:pStyle w:val="FootnoteText"/>
      </w:pPr>
      <w:r>
        <w:rPr>
          <w:rStyle w:val="FootnoteReference"/>
        </w:rPr>
        <w:footnoteRef/>
      </w:r>
      <w:r w:rsidRPr="00E26B1D">
        <w:rPr>
          <w:lang w:val="en-US"/>
        </w:rPr>
        <w:t xml:space="preserve"> </w:t>
      </w:r>
      <w:r>
        <w:rPr>
          <w:lang w:val="en-US"/>
        </w:rPr>
        <w:t>Scaled by lagged total assets</w:t>
      </w:r>
    </w:p>
  </w:footnote>
  <w:footnote w:id="19">
    <w:p w:rsidR="00334F38" w:rsidRDefault="00334F38" w:rsidP="00B014C7">
      <w:pPr>
        <w:pStyle w:val="FootnoteText"/>
      </w:pPr>
      <w:r>
        <w:rPr>
          <w:rStyle w:val="FootnoteReference"/>
        </w:rPr>
        <w:footnoteRef/>
      </w:r>
      <w:r w:rsidRPr="00614868">
        <w:rPr>
          <w:lang w:val="en-US"/>
        </w:rPr>
        <w:t xml:space="preserve"> Healy model, DeAngelo model, standard Jones model, modified Jones model and Industrial model. </w:t>
      </w:r>
    </w:p>
  </w:footnote>
  <w:footnote w:id="20">
    <w:p w:rsidR="00334F38" w:rsidRDefault="00334F38" w:rsidP="00B014C7">
      <w:pPr>
        <w:pStyle w:val="FootnoteText"/>
      </w:pPr>
      <w:r>
        <w:rPr>
          <w:rStyle w:val="FootnoteReference"/>
        </w:rPr>
        <w:footnoteRef/>
      </w:r>
      <w:r w:rsidRPr="00FC23AE">
        <w:rPr>
          <w:lang w:val="en-US"/>
        </w:rPr>
        <w:t xml:space="preserve"> </w:t>
      </w:r>
      <w:r>
        <w:rPr>
          <w:lang w:val="en-US"/>
        </w:rPr>
        <w:t xml:space="preserve">Cross-sectional data refers to data collected by observing many subjects (such as firms or countries) at the same point in time, or without taking differences in time in regard. </w:t>
      </w:r>
    </w:p>
  </w:footnote>
  <w:footnote w:id="21">
    <w:p w:rsidR="00334F38" w:rsidRDefault="00334F38" w:rsidP="00E2511A">
      <w:pPr>
        <w:pStyle w:val="FootnoteText"/>
      </w:pPr>
      <w:r>
        <w:rPr>
          <w:rStyle w:val="FootnoteReference"/>
        </w:rPr>
        <w:footnoteRef/>
      </w:r>
      <w:r w:rsidRPr="0058727F">
        <w:rPr>
          <w:lang w:val="en-US"/>
        </w:rPr>
        <w:t xml:space="preserve"> </w:t>
      </w:r>
      <w:hyperlink r:id="rId2" w:tooltip="http://www.coventry.ac.uk/ec/~nhunt/meths/strati.html" w:history="1">
        <w:r w:rsidRPr="0058727F">
          <w:rPr>
            <w:rStyle w:val="Hyperlink"/>
            <w:lang w:val="en-US"/>
          </w:rPr>
          <w:t>http://www.coventry.ac.uk/ec/~nhunt/meths/strati.html</w:t>
        </w:r>
      </w:hyperlink>
      <w:r w:rsidRPr="0058727F">
        <w:rPr>
          <w:lang w:val="en-US"/>
        </w:rPr>
        <w:t xml:space="preserve">, </w:t>
      </w:r>
      <w:r>
        <w:rPr>
          <w:lang w:val="en-US"/>
        </w:rPr>
        <w:t>accessed on the 10</w:t>
      </w:r>
      <w:r w:rsidRPr="0058727F">
        <w:rPr>
          <w:vertAlign w:val="superscript"/>
          <w:lang w:val="en-US"/>
        </w:rPr>
        <w:t>th</w:t>
      </w:r>
      <w:r>
        <w:rPr>
          <w:lang w:val="en-US"/>
        </w:rPr>
        <w:t xml:space="preserve"> of Febuary 2009. </w:t>
      </w:r>
    </w:p>
  </w:footnote>
  <w:footnote w:id="22">
    <w:p w:rsidR="00334F38" w:rsidRDefault="00334F38">
      <w:pPr>
        <w:pStyle w:val="FootnoteText"/>
      </w:pPr>
      <w:r>
        <w:rPr>
          <w:rStyle w:val="FootnoteReference"/>
        </w:rPr>
        <w:footnoteRef/>
      </w:r>
      <w:r w:rsidRPr="0092566B">
        <w:rPr>
          <w:lang w:val="en-US"/>
        </w:rPr>
        <w:t xml:space="preserve"> http://www.atosorigin.com/en-us/Business_Insights/Reports/IFRS_Achieving_2005/default.htm</w:t>
      </w:r>
    </w:p>
  </w:footnote>
  <w:footnote w:id="23">
    <w:p w:rsidR="00334F38" w:rsidRDefault="00334F38">
      <w:pPr>
        <w:pStyle w:val="FootnoteText"/>
      </w:pPr>
      <w:r>
        <w:rPr>
          <w:rStyle w:val="FootnoteReference"/>
        </w:rPr>
        <w:footnoteRef/>
      </w:r>
      <w:r w:rsidRPr="0092566B">
        <w:rPr>
          <w:lang w:val="en-US"/>
        </w:rPr>
        <w:t xml:space="preserve"> http://www.globalissues.org/article/768/global-financial-crisis</w:t>
      </w:r>
    </w:p>
  </w:footnote>
  <w:footnote w:id="24">
    <w:p w:rsidR="00334F38" w:rsidRDefault="00334F38">
      <w:pPr>
        <w:pStyle w:val="FootnoteText"/>
      </w:pPr>
      <w:r>
        <w:rPr>
          <w:rStyle w:val="FootnoteReference"/>
        </w:rPr>
        <w:footnoteRef/>
      </w:r>
      <w:r w:rsidRPr="00113B5B">
        <w:rPr>
          <w:lang w:val="en-US"/>
        </w:rPr>
        <w:t xml:space="preserve"> </w:t>
      </w:r>
      <w:r>
        <w:rPr>
          <w:i/>
          <w:iCs/>
          <w:lang w:val="en-US" w:eastAsia="en-US"/>
        </w:rPr>
        <w:t>TACC</w:t>
      </w:r>
      <w:r>
        <w:rPr>
          <w:i/>
          <w:iCs/>
          <w:sz w:val="16"/>
          <w:szCs w:val="16"/>
          <w:lang w:val="en-US" w:eastAsia="en-US"/>
        </w:rPr>
        <w:t xml:space="preserve">t </w:t>
      </w:r>
      <w:r>
        <w:rPr>
          <w:i/>
          <w:iCs/>
          <w:lang w:val="en-US" w:eastAsia="en-US"/>
        </w:rPr>
        <w:t>= (</w:t>
      </w:r>
      <w:r>
        <w:rPr>
          <w:rFonts w:ascii="Symbol,Italic" w:hAnsi="Symbol,Italic" w:cs="Symbol,Italic"/>
          <w:i/>
          <w:iCs/>
          <w:lang w:val="en-US" w:eastAsia="en-US"/>
        </w:rPr>
        <w:t>D</w:t>
      </w:r>
      <w:r>
        <w:rPr>
          <w:i/>
          <w:iCs/>
          <w:lang w:val="en-US" w:eastAsia="en-US"/>
        </w:rPr>
        <w:t>CA</w:t>
      </w:r>
      <w:r>
        <w:rPr>
          <w:i/>
          <w:iCs/>
          <w:sz w:val="16"/>
          <w:szCs w:val="16"/>
          <w:lang w:val="en-US" w:eastAsia="en-US"/>
        </w:rPr>
        <w:t xml:space="preserve">t </w:t>
      </w:r>
      <w:r>
        <w:rPr>
          <w:i/>
          <w:iCs/>
          <w:lang w:val="en-US" w:eastAsia="en-US"/>
        </w:rPr>
        <w:t xml:space="preserve">- </w:t>
      </w:r>
      <w:r>
        <w:rPr>
          <w:rFonts w:ascii="Symbol,Italic" w:hAnsi="Symbol,Italic" w:cs="Symbol,Italic"/>
          <w:i/>
          <w:iCs/>
          <w:lang w:val="en-US" w:eastAsia="en-US"/>
        </w:rPr>
        <w:t>D</w:t>
      </w:r>
      <w:r>
        <w:rPr>
          <w:i/>
          <w:iCs/>
          <w:lang w:val="en-US" w:eastAsia="en-US"/>
        </w:rPr>
        <w:t>CL</w:t>
      </w:r>
      <w:r>
        <w:rPr>
          <w:i/>
          <w:iCs/>
          <w:sz w:val="16"/>
          <w:szCs w:val="16"/>
          <w:lang w:val="en-US" w:eastAsia="en-US"/>
        </w:rPr>
        <w:t xml:space="preserve">t </w:t>
      </w:r>
      <w:r>
        <w:rPr>
          <w:i/>
          <w:iCs/>
          <w:lang w:val="en-US" w:eastAsia="en-US"/>
        </w:rPr>
        <w:t xml:space="preserve">- </w:t>
      </w:r>
      <w:r>
        <w:rPr>
          <w:rFonts w:ascii="Symbol,Italic" w:hAnsi="Symbol,Italic" w:cs="Symbol,Italic"/>
          <w:i/>
          <w:iCs/>
          <w:lang w:val="en-US" w:eastAsia="en-US"/>
        </w:rPr>
        <w:t>D</w:t>
      </w:r>
      <w:r>
        <w:rPr>
          <w:i/>
          <w:iCs/>
          <w:lang w:val="en-US" w:eastAsia="en-US"/>
        </w:rPr>
        <w:t>Cash</w:t>
      </w:r>
      <w:r>
        <w:rPr>
          <w:i/>
          <w:iCs/>
          <w:sz w:val="16"/>
          <w:szCs w:val="16"/>
          <w:lang w:val="en-US" w:eastAsia="en-US"/>
        </w:rPr>
        <w:t xml:space="preserve">t </w:t>
      </w:r>
      <w:r>
        <w:rPr>
          <w:i/>
          <w:iCs/>
          <w:lang w:val="en-US" w:eastAsia="en-US"/>
        </w:rPr>
        <w:t xml:space="preserve">+ </w:t>
      </w:r>
      <w:r>
        <w:rPr>
          <w:rFonts w:ascii="Symbol,Italic" w:hAnsi="Symbol,Italic" w:cs="Symbol,Italic"/>
          <w:i/>
          <w:iCs/>
          <w:lang w:val="en-US" w:eastAsia="en-US"/>
        </w:rPr>
        <w:t>D</w:t>
      </w:r>
      <w:r>
        <w:rPr>
          <w:i/>
          <w:iCs/>
          <w:lang w:val="en-US" w:eastAsia="en-US"/>
        </w:rPr>
        <w:t>STDEBT</w:t>
      </w:r>
      <w:r>
        <w:rPr>
          <w:i/>
          <w:iCs/>
          <w:sz w:val="16"/>
          <w:szCs w:val="16"/>
          <w:lang w:val="en-US" w:eastAsia="en-US"/>
        </w:rPr>
        <w:t xml:space="preserve">t </w:t>
      </w:r>
      <w:r>
        <w:rPr>
          <w:i/>
          <w:iCs/>
          <w:lang w:val="en-US" w:eastAsia="en-US"/>
        </w:rPr>
        <w:t>– DEPTN</w:t>
      </w:r>
      <w:r>
        <w:rPr>
          <w:i/>
          <w:iCs/>
          <w:sz w:val="16"/>
          <w:szCs w:val="16"/>
          <w:lang w:val="en-US" w:eastAsia="en-US"/>
        </w:rPr>
        <w:t>t</w:t>
      </w:r>
      <w:r>
        <w:rPr>
          <w:i/>
          <w:iCs/>
          <w:lang w:val="en-US" w:eastAsia="en-US"/>
        </w:rPr>
        <w:t xml:space="preserve">) </w:t>
      </w:r>
      <w:r>
        <w:rPr>
          <w:iCs/>
          <w:lang w:val="en-US" w:eastAsia="en-US"/>
        </w:rPr>
        <w:t xml:space="preserve">where: TACC=Total accruals, DCA=change in current assets, DCL=change in current liabilities, DCash=change in cash and cash equivalents, DSTDEBT=the current maturities of long term debt and other short term debt included in current liablilities, and DEPTN=depreciation and amortization expense. </w:t>
      </w:r>
    </w:p>
  </w:footnote>
  <w:footnote w:id="25">
    <w:p w:rsidR="00334F38" w:rsidRDefault="00334F38">
      <w:pPr>
        <w:pStyle w:val="FootnoteText"/>
      </w:pPr>
      <w:r>
        <w:rPr>
          <w:rStyle w:val="FootnoteReference"/>
        </w:rPr>
        <w:footnoteRef/>
      </w:r>
      <w:r w:rsidRPr="00E024E5">
        <w:rPr>
          <w:lang w:val="en-US"/>
        </w:rPr>
        <w:t xml:space="preserve"> </w:t>
      </w:r>
      <w:r>
        <w:rPr>
          <w:lang w:val="en-US"/>
        </w:rPr>
        <w:t>Total Market Value is defined as the market capitalization plus the market value of debt</w:t>
      </w:r>
    </w:p>
  </w:footnote>
  <w:footnote w:id="26">
    <w:p w:rsidR="00334F38" w:rsidRDefault="00334F38">
      <w:pPr>
        <w:pStyle w:val="FootnoteText"/>
      </w:pPr>
      <w:r>
        <w:rPr>
          <w:rStyle w:val="FootnoteReference"/>
        </w:rPr>
        <w:footnoteRef/>
      </w:r>
      <w:r w:rsidRPr="00B365C7">
        <w:rPr>
          <w:lang w:val="en-US"/>
        </w:rPr>
        <w:t xml:space="preserve"> </w:t>
      </w:r>
      <w:r>
        <w:rPr>
          <w:lang w:val="en-US"/>
        </w:rPr>
        <w:t>Goncharov and Zimmerman (2006)</w:t>
      </w:r>
    </w:p>
  </w:footnote>
  <w:footnote w:id="27">
    <w:p w:rsidR="00334F38" w:rsidRDefault="00334F38">
      <w:pPr>
        <w:pStyle w:val="FootnoteText"/>
      </w:pPr>
      <w:r>
        <w:rPr>
          <w:rStyle w:val="FootnoteReference"/>
        </w:rPr>
        <w:footnoteRef/>
      </w:r>
      <w:r w:rsidRPr="00470A2B">
        <w:rPr>
          <w:lang w:val="en-US"/>
        </w:rPr>
        <w:t xml:space="preserve"> </w:t>
      </w:r>
      <w:r>
        <w:rPr>
          <w:lang w:val="en-US"/>
        </w:rPr>
        <w:t>The direct method is chosen above its balance sheet counterpart as motivated in section 5.5</w:t>
      </w:r>
    </w:p>
  </w:footnote>
  <w:footnote w:id="28">
    <w:p w:rsidR="00334F38" w:rsidRDefault="00334F38">
      <w:pPr>
        <w:pStyle w:val="FootnoteText"/>
      </w:pPr>
      <w:r>
        <w:rPr>
          <w:rStyle w:val="FootnoteReference"/>
        </w:rPr>
        <w:footnoteRef/>
      </w:r>
      <w:r w:rsidRPr="005D6AB9">
        <w:rPr>
          <w:lang w:val="en-US"/>
        </w:rPr>
        <w:t xml:space="preserve"> </w:t>
      </w:r>
      <w:r>
        <w:rPr>
          <w:lang w:val="en-US"/>
        </w:rPr>
        <w:t>ProPublica:</w:t>
      </w:r>
      <w:r w:rsidRPr="005D6AB9">
        <w:rPr>
          <w:lang w:val="en-US"/>
        </w:rPr>
        <w:t xml:space="preserve"> an independent, non-profit newsroom that produces investigative journalism in the public interest</w:t>
      </w:r>
      <w:r>
        <w:rPr>
          <w:lang w:val="en-US"/>
        </w:rPr>
        <w:t>;</w:t>
      </w:r>
      <w:r w:rsidRPr="005D6AB9">
        <w:rPr>
          <w:lang w:val="en-US"/>
        </w:rPr>
        <w:t xml:space="preserve"> </w:t>
      </w:r>
      <w:r w:rsidRPr="005D6AB9">
        <w:rPr>
          <w:i/>
          <w:lang w:val="en-US"/>
        </w:rPr>
        <w:t>http://www.propublica.org/special/government-bailouts</w:t>
      </w:r>
      <w:r>
        <w:rPr>
          <w:i/>
          <w:lang w:val="en-US"/>
        </w:rPr>
        <w:t>:</w:t>
      </w:r>
      <w:r>
        <w:rPr>
          <w:lang w:val="en-US"/>
        </w:rPr>
        <w:t xml:space="preserve"> 01/04/2010, 2:49 PM</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BE667D"/>
    <w:multiLevelType w:val="hybridMultilevel"/>
    <w:tmpl w:val="572A4EA6"/>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
    <w:nsid w:val="0AEE7329"/>
    <w:multiLevelType w:val="hybridMultilevel"/>
    <w:tmpl w:val="7456731C"/>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2">
    <w:nsid w:val="14942BD1"/>
    <w:multiLevelType w:val="hybridMultilevel"/>
    <w:tmpl w:val="65E0B9E4"/>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3">
    <w:nsid w:val="1A0F5B3E"/>
    <w:multiLevelType w:val="hybridMultilevel"/>
    <w:tmpl w:val="266E99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C0938BF"/>
    <w:multiLevelType w:val="hybridMultilevel"/>
    <w:tmpl w:val="28D011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1C377C0"/>
    <w:multiLevelType w:val="hybridMultilevel"/>
    <w:tmpl w:val="99C0F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2EFC3797"/>
    <w:multiLevelType w:val="hybridMultilevel"/>
    <w:tmpl w:val="B0F8BBD2"/>
    <w:lvl w:ilvl="0" w:tplc="0413000F">
      <w:start w:val="1"/>
      <w:numFmt w:val="decimal"/>
      <w:lvlText w:val="%1."/>
      <w:lvlJc w:val="left"/>
      <w:pPr>
        <w:tabs>
          <w:tab w:val="num" w:pos="720"/>
        </w:tabs>
        <w:ind w:left="720" w:hanging="360"/>
      </w:pPr>
      <w:rPr>
        <w:rFonts w:cs="Times New Roman" w:hint="default"/>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7">
    <w:nsid w:val="370E4F8C"/>
    <w:multiLevelType w:val="hybridMultilevel"/>
    <w:tmpl w:val="04DA93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39943486"/>
    <w:multiLevelType w:val="hybridMultilevel"/>
    <w:tmpl w:val="63123C46"/>
    <w:lvl w:ilvl="0" w:tplc="0409000F">
      <w:start w:val="1"/>
      <w:numFmt w:val="decimal"/>
      <w:lvlText w:val="%1."/>
      <w:lvlJc w:val="left"/>
      <w:pPr>
        <w:ind w:left="720" w:hanging="360"/>
      </w:pPr>
      <w:rPr>
        <w:rFonts w:cs="Times New Roman"/>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nsid w:val="491E52C2"/>
    <w:multiLevelType w:val="hybridMultilevel"/>
    <w:tmpl w:val="C824CA02"/>
    <w:lvl w:ilvl="0" w:tplc="04130001">
      <w:start w:val="1"/>
      <w:numFmt w:val="bullet"/>
      <w:lvlText w:val=""/>
      <w:lvlJc w:val="left"/>
      <w:pPr>
        <w:tabs>
          <w:tab w:val="num" w:pos="720"/>
        </w:tabs>
        <w:ind w:left="720" w:hanging="360"/>
      </w:pPr>
      <w:rPr>
        <w:rFonts w:ascii="Symbol" w:hAnsi="Symbol" w:hint="default"/>
      </w:rPr>
    </w:lvl>
    <w:lvl w:ilvl="1" w:tplc="0413000F">
      <w:start w:val="1"/>
      <w:numFmt w:val="decimal"/>
      <w:lvlText w:val="%2."/>
      <w:lvlJc w:val="left"/>
      <w:pPr>
        <w:tabs>
          <w:tab w:val="num" w:pos="1440"/>
        </w:tabs>
        <w:ind w:left="1440" w:hanging="360"/>
      </w:pPr>
      <w:rPr>
        <w:rFonts w:cs="Times New Roman"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0">
    <w:nsid w:val="55223E69"/>
    <w:multiLevelType w:val="multilevel"/>
    <w:tmpl w:val="1E446A86"/>
    <w:lvl w:ilvl="0">
      <w:start w:val="1"/>
      <w:numFmt w:val="decimal"/>
      <w:lvlText w:val="%1"/>
      <w:lvlJc w:val="left"/>
      <w:pPr>
        <w:tabs>
          <w:tab w:val="num" w:pos="360"/>
        </w:tabs>
        <w:ind w:left="360" w:hanging="360"/>
      </w:pPr>
      <w:rPr>
        <w:rFonts w:cs="Times New Roman" w:hint="default"/>
      </w:rPr>
    </w:lvl>
    <w:lvl w:ilvl="1">
      <w:start w:val="2"/>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1">
    <w:nsid w:val="57AC234E"/>
    <w:multiLevelType w:val="hybridMultilevel"/>
    <w:tmpl w:val="0EF42BFA"/>
    <w:lvl w:ilvl="0" w:tplc="0413000F">
      <w:start w:val="1"/>
      <w:numFmt w:val="decimal"/>
      <w:lvlText w:val="%1."/>
      <w:lvlJc w:val="left"/>
      <w:pPr>
        <w:tabs>
          <w:tab w:val="num" w:pos="720"/>
        </w:tabs>
        <w:ind w:left="720" w:hanging="360"/>
      </w:pPr>
      <w:rPr>
        <w:rFonts w:cs="Times New Roman" w:hint="default"/>
      </w:rPr>
    </w:lvl>
    <w:lvl w:ilvl="1" w:tplc="04130019" w:tentative="1">
      <w:start w:val="1"/>
      <w:numFmt w:val="lowerLetter"/>
      <w:lvlText w:val="%2."/>
      <w:lvlJc w:val="left"/>
      <w:pPr>
        <w:tabs>
          <w:tab w:val="num" w:pos="1440"/>
        </w:tabs>
        <w:ind w:left="1440" w:hanging="360"/>
      </w:pPr>
      <w:rPr>
        <w:rFonts w:cs="Times New Roman"/>
      </w:rPr>
    </w:lvl>
    <w:lvl w:ilvl="2" w:tplc="0413001B" w:tentative="1">
      <w:start w:val="1"/>
      <w:numFmt w:val="lowerRoman"/>
      <w:lvlText w:val="%3."/>
      <w:lvlJc w:val="right"/>
      <w:pPr>
        <w:tabs>
          <w:tab w:val="num" w:pos="2160"/>
        </w:tabs>
        <w:ind w:left="2160" w:hanging="180"/>
      </w:pPr>
      <w:rPr>
        <w:rFonts w:cs="Times New Roman"/>
      </w:rPr>
    </w:lvl>
    <w:lvl w:ilvl="3" w:tplc="0413000F" w:tentative="1">
      <w:start w:val="1"/>
      <w:numFmt w:val="decimal"/>
      <w:lvlText w:val="%4."/>
      <w:lvlJc w:val="left"/>
      <w:pPr>
        <w:tabs>
          <w:tab w:val="num" w:pos="2880"/>
        </w:tabs>
        <w:ind w:left="2880" w:hanging="360"/>
      </w:pPr>
      <w:rPr>
        <w:rFonts w:cs="Times New Roman"/>
      </w:rPr>
    </w:lvl>
    <w:lvl w:ilvl="4" w:tplc="04130019" w:tentative="1">
      <w:start w:val="1"/>
      <w:numFmt w:val="lowerLetter"/>
      <w:lvlText w:val="%5."/>
      <w:lvlJc w:val="left"/>
      <w:pPr>
        <w:tabs>
          <w:tab w:val="num" w:pos="3600"/>
        </w:tabs>
        <w:ind w:left="3600" w:hanging="360"/>
      </w:pPr>
      <w:rPr>
        <w:rFonts w:cs="Times New Roman"/>
      </w:rPr>
    </w:lvl>
    <w:lvl w:ilvl="5" w:tplc="0413001B" w:tentative="1">
      <w:start w:val="1"/>
      <w:numFmt w:val="lowerRoman"/>
      <w:lvlText w:val="%6."/>
      <w:lvlJc w:val="right"/>
      <w:pPr>
        <w:tabs>
          <w:tab w:val="num" w:pos="4320"/>
        </w:tabs>
        <w:ind w:left="4320" w:hanging="180"/>
      </w:pPr>
      <w:rPr>
        <w:rFonts w:cs="Times New Roman"/>
      </w:rPr>
    </w:lvl>
    <w:lvl w:ilvl="6" w:tplc="0413000F" w:tentative="1">
      <w:start w:val="1"/>
      <w:numFmt w:val="decimal"/>
      <w:lvlText w:val="%7."/>
      <w:lvlJc w:val="left"/>
      <w:pPr>
        <w:tabs>
          <w:tab w:val="num" w:pos="5040"/>
        </w:tabs>
        <w:ind w:left="5040" w:hanging="360"/>
      </w:pPr>
      <w:rPr>
        <w:rFonts w:cs="Times New Roman"/>
      </w:rPr>
    </w:lvl>
    <w:lvl w:ilvl="7" w:tplc="04130019" w:tentative="1">
      <w:start w:val="1"/>
      <w:numFmt w:val="lowerLetter"/>
      <w:lvlText w:val="%8."/>
      <w:lvlJc w:val="left"/>
      <w:pPr>
        <w:tabs>
          <w:tab w:val="num" w:pos="5760"/>
        </w:tabs>
        <w:ind w:left="5760" w:hanging="360"/>
      </w:pPr>
      <w:rPr>
        <w:rFonts w:cs="Times New Roman"/>
      </w:rPr>
    </w:lvl>
    <w:lvl w:ilvl="8" w:tplc="0413001B" w:tentative="1">
      <w:start w:val="1"/>
      <w:numFmt w:val="lowerRoman"/>
      <w:lvlText w:val="%9."/>
      <w:lvlJc w:val="right"/>
      <w:pPr>
        <w:tabs>
          <w:tab w:val="num" w:pos="6480"/>
        </w:tabs>
        <w:ind w:left="6480" w:hanging="180"/>
      </w:pPr>
      <w:rPr>
        <w:rFonts w:cs="Times New Roman"/>
      </w:rPr>
    </w:lvl>
  </w:abstractNum>
  <w:abstractNum w:abstractNumId="12">
    <w:nsid w:val="5DB52273"/>
    <w:multiLevelType w:val="multilevel"/>
    <w:tmpl w:val="B956D14E"/>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3">
    <w:nsid w:val="69441B8D"/>
    <w:multiLevelType w:val="hybridMultilevel"/>
    <w:tmpl w:val="5AF49AD2"/>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num w:numId="1">
    <w:abstractNumId w:val="12"/>
  </w:num>
  <w:num w:numId="2">
    <w:abstractNumId w:val="11"/>
  </w:num>
  <w:num w:numId="3">
    <w:abstractNumId w:val="6"/>
  </w:num>
  <w:num w:numId="4">
    <w:abstractNumId w:val="10"/>
  </w:num>
  <w:num w:numId="5">
    <w:abstractNumId w:val="2"/>
  </w:num>
  <w:num w:numId="6">
    <w:abstractNumId w:val="13"/>
  </w:num>
  <w:num w:numId="7">
    <w:abstractNumId w:val="1"/>
  </w:num>
  <w:num w:numId="8">
    <w:abstractNumId w:val="0"/>
  </w:num>
  <w:num w:numId="9">
    <w:abstractNumId w:val="9"/>
  </w:num>
  <w:num w:numId="10">
    <w:abstractNumId w:val="5"/>
  </w:num>
  <w:num w:numId="11">
    <w:abstractNumId w:val="3"/>
  </w:num>
  <w:num w:numId="12">
    <w:abstractNumId w:val="4"/>
  </w:num>
  <w:num w:numId="13">
    <w:abstractNumId w:val="8"/>
  </w:num>
  <w:num w:numId="14">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stylePaneFormatFilter w:val="3F01"/>
  <w:defaultTabStop w:val="708"/>
  <w:hyphenationZone w:val="425"/>
  <w:drawingGridHorizontalSpacing w:val="120"/>
  <w:displayHorizontalDrawingGridEvery w:val="2"/>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7F5DD0"/>
    <w:rsid w:val="000014E4"/>
    <w:rsid w:val="000018E1"/>
    <w:rsid w:val="000053F9"/>
    <w:rsid w:val="00011A1E"/>
    <w:rsid w:val="0001213D"/>
    <w:rsid w:val="00012321"/>
    <w:rsid w:val="000147FC"/>
    <w:rsid w:val="00014C6F"/>
    <w:rsid w:val="00016071"/>
    <w:rsid w:val="00020313"/>
    <w:rsid w:val="00020C33"/>
    <w:rsid w:val="00021E20"/>
    <w:rsid w:val="00023C94"/>
    <w:rsid w:val="00024A9F"/>
    <w:rsid w:val="00025075"/>
    <w:rsid w:val="00025481"/>
    <w:rsid w:val="000266AB"/>
    <w:rsid w:val="00030CCE"/>
    <w:rsid w:val="0003192E"/>
    <w:rsid w:val="00031DDF"/>
    <w:rsid w:val="000331BF"/>
    <w:rsid w:val="000335B0"/>
    <w:rsid w:val="00036B8B"/>
    <w:rsid w:val="000403A6"/>
    <w:rsid w:val="00042E5C"/>
    <w:rsid w:val="0005055D"/>
    <w:rsid w:val="00051611"/>
    <w:rsid w:val="000525E6"/>
    <w:rsid w:val="00053644"/>
    <w:rsid w:val="00054FDA"/>
    <w:rsid w:val="00057F10"/>
    <w:rsid w:val="00060850"/>
    <w:rsid w:val="00061B70"/>
    <w:rsid w:val="00062C37"/>
    <w:rsid w:val="00067315"/>
    <w:rsid w:val="000673B3"/>
    <w:rsid w:val="00067F68"/>
    <w:rsid w:val="00070450"/>
    <w:rsid w:val="000705B7"/>
    <w:rsid w:val="0007671B"/>
    <w:rsid w:val="00082795"/>
    <w:rsid w:val="00085AD1"/>
    <w:rsid w:val="000868D9"/>
    <w:rsid w:val="00087718"/>
    <w:rsid w:val="000A1526"/>
    <w:rsid w:val="000A15F2"/>
    <w:rsid w:val="000A1CA3"/>
    <w:rsid w:val="000A78A1"/>
    <w:rsid w:val="000B2045"/>
    <w:rsid w:val="000B3678"/>
    <w:rsid w:val="000B6509"/>
    <w:rsid w:val="000C08A8"/>
    <w:rsid w:val="000C324D"/>
    <w:rsid w:val="000C44EC"/>
    <w:rsid w:val="000C5C48"/>
    <w:rsid w:val="000D2C8B"/>
    <w:rsid w:val="000E0468"/>
    <w:rsid w:val="000E0A8C"/>
    <w:rsid w:val="000E215A"/>
    <w:rsid w:val="000E2276"/>
    <w:rsid w:val="000E7715"/>
    <w:rsid w:val="000F1DF6"/>
    <w:rsid w:val="000F31F9"/>
    <w:rsid w:val="001051B1"/>
    <w:rsid w:val="00111188"/>
    <w:rsid w:val="00113B5B"/>
    <w:rsid w:val="00114B8E"/>
    <w:rsid w:val="001231AE"/>
    <w:rsid w:val="00132828"/>
    <w:rsid w:val="001340D0"/>
    <w:rsid w:val="00134D5F"/>
    <w:rsid w:val="00140B95"/>
    <w:rsid w:val="00142CF2"/>
    <w:rsid w:val="001431CE"/>
    <w:rsid w:val="00144F88"/>
    <w:rsid w:val="00146309"/>
    <w:rsid w:val="001464E9"/>
    <w:rsid w:val="00147C5F"/>
    <w:rsid w:val="001544B3"/>
    <w:rsid w:val="00157029"/>
    <w:rsid w:val="00157D4E"/>
    <w:rsid w:val="00160CD0"/>
    <w:rsid w:val="00160D10"/>
    <w:rsid w:val="00162759"/>
    <w:rsid w:val="00162D86"/>
    <w:rsid w:val="00165AEF"/>
    <w:rsid w:val="00166157"/>
    <w:rsid w:val="00170557"/>
    <w:rsid w:val="00175DEB"/>
    <w:rsid w:val="001820C4"/>
    <w:rsid w:val="00182D6E"/>
    <w:rsid w:val="00184D4F"/>
    <w:rsid w:val="001868A9"/>
    <w:rsid w:val="00187EC1"/>
    <w:rsid w:val="0019163E"/>
    <w:rsid w:val="00193722"/>
    <w:rsid w:val="00197251"/>
    <w:rsid w:val="001A26F2"/>
    <w:rsid w:val="001A4430"/>
    <w:rsid w:val="001A4DA6"/>
    <w:rsid w:val="001A51CB"/>
    <w:rsid w:val="001B2519"/>
    <w:rsid w:val="001B3C89"/>
    <w:rsid w:val="001C16A6"/>
    <w:rsid w:val="001C60F1"/>
    <w:rsid w:val="001D10BD"/>
    <w:rsid w:val="001D348E"/>
    <w:rsid w:val="001D4D36"/>
    <w:rsid w:val="001D698B"/>
    <w:rsid w:val="001E2946"/>
    <w:rsid w:val="001E2E46"/>
    <w:rsid w:val="001E2EC6"/>
    <w:rsid w:val="001E3C91"/>
    <w:rsid w:val="00200B6A"/>
    <w:rsid w:val="00204ABE"/>
    <w:rsid w:val="00213F08"/>
    <w:rsid w:val="002174B7"/>
    <w:rsid w:val="00220FA9"/>
    <w:rsid w:val="002230CC"/>
    <w:rsid w:val="00223490"/>
    <w:rsid w:val="002242C7"/>
    <w:rsid w:val="00227497"/>
    <w:rsid w:val="00232944"/>
    <w:rsid w:val="00232A0A"/>
    <w:rsid w:val="002360B3"/>
    <w:rsid w:val="00236750"/>
    <w:rsid w:val="00237065"/>
    <w:rsid w:val="002372DA"/>
    <w:rsid w:val="00237A6E"/>
    <w:rsid w:val="00242E29"/>
    <w:rsid w:val="0024471C"/>
    <w:rsid w:val="002630BF"/>
    <w:rsid w:val="00264124"/>
    <w:rsid w:val="00266618"/>
    <w:rsid w:val="00266CDC"/>
    <w:rsid w:val="00267C5A"/>
    <w:rsid w:val="00273BAD"/>
    <w:rsid w:val="002765B2"/>
    <w:rsid w:val="00280CE7"/>
    <w:rsid w:val="00280E91"/>
    <w:rsid w:val="00281237"/>
    <w:rsid w:val="0028472B"/>
    <w:rsid w:val="00286205"/>
    <w:rsid w:val="00286357"/>
    <w:rsid w:val="0028689D"/>
    <w:rsid w:val="00286CE2"/>
    <w:rsid w:val="002A0752"/>
    <w:rsid w:val="002A15DF"/>
    <w:rsid w:val="002A2E87"/>
    <w:rsid w:val="002A3918"/>
    <w:rsid w:val="002A49A2"/>
    <w:rsid w:val="002A4B0D"/>
    <w:rsid w:val="002A4F1E"/>
    <w:rsid w:val="002A5877"/>
    <w:rsid w:val="002A637D"/>
    <w:rsid w:val="002A658B"/>
    <w:rsid w:val="002B025A"/>
    <w:rsid w:val="002B03E3"/>
    <w:rsid w:val="002B59E6"/>
    <w:rsid w:val="002B6E2A"/>
    <w:rsid w:val="002C0231"/>
    <w:rsid w:val="002C36A6"/>
    <w:rsid w:val="002C3940"/>
    <w:rsid w:val="002C3F4E"/>
    <w:rsid w:val="002C41FF"/>
    <w:rsid w:val="002C5064"/>
    <w:rsid w:val="002C5653"/>
    <w:rsid w:val="002C61F8"/>
    <w:rsid w:val="002C66BD"/>
    <w:rsid w:val="002C777F"/>
    <w:rsid w:val="002D45AB"/>
    <w:rsid w:val="002E455E"/>
    <w:rsid w:val="002E4624"/>
    <w:rsid w:val="002E566D"/>
    <w:rsid w:val="002E5796"/>
    <w:rsid w:val="002E6335"/>
    <w:rsid w:val="002E6ADC"/>
    <w:rsid w:val="002F0254"/>
    <w:rsid w:val="002F15DF"/>
    <w:rsid w:val="002F323E"/>
    <w:rsid w:val="002F3251"/>
    <w:rsid w:val="002F3433"/>
    <w:rsid w:val="002F550A"/>
    <w:rsid w:val="00303278"/>
    <w:rsid w:val="003034F9"/>
    <w:rsid w:val="00305A98"/>
    <w:rsid w:val="0030640D"/>
    <w:rsid w:val="00306C7C"/>
    <w:rsid w:val="00310A06"/>
    <w:rsid w:val="00320251"/>
    <w:rsid w:val="003219CC"/>
    <w:rsid w:val="00324FF5"/>
    <w:rsid w:val="00325790"/>
    <w:rsid w:val="003318F5"/>
    <w:rsid w:val="00331DE1"/>
    <w:rsid w:val="00334F38"/>
    <w:rsid w:val="0034099F"/>
    <w:rsid w:val="00351E94"/>
    <w:rsid w:val="00355674"/>
    <w:rsid w:val="00360E93"/>
    <w:rsid w:val="00362AEE"/>
    <w:rsid w:val="00365BEC"/>
    <w:rsid w:val="00366850"/>
    <w:rsid w:val="00374141"/>
    <w:rsid w:val="00374A13"/>
    <w:rsid w:val="00377073"/>
    <w:rsid w:val="0037721B"/>
    <w:rsid w:val="003777E7"/>
    <w:rsid w:val="00385206"/>
    <w:rsid w:val="00391E15"/>
    <w:rsid w:val="00395ABD"/>
    <w:rsid w:val="0039755E"/>
    <w:rsid w:val="003B095D"/>
    <w:rsid w:val="003B1507"/>
    <w:rsid w:val="003B3C6E"/>
    <w:rsid w:val="003B5673"/>
    <w:rsid w:val="003C4452"/>
    <w:rsid w:val="003C582E"/>
    <w:rsid w:val="003C6692"/>
    <w:rsid w:val="003C754F"/>
    <w:rsid w:val="003D16CB"/>
    <w:rsid w:val="003D722C"/>
    <w:rsid w:val="003E23BC"/>
    <w:rsid w:val="003E3F71"/>
    <w:rsid w:val="003E43CD"/>
    <w:rsid w:val="003E4E4B"/>
    <w:rsid w:val="003E6392"/>
    <w:rsid w:val="003E67BE"/>
    <w:rsid w:val="003E7C8B"/>
    <w:rsid w:val="003F053B"/>
    <w:rsid w:val="003F10C2"/>
    <w:rsid w:val="003F34CE"/>
    <w:rsid w:val="003F3D61"/>
    <w:rsid w:val="003F4A4B"/>
    <w:rsid w:val="003F71EF"/>
    <w:rsid w:val="0040123A"/>
    <w:rsid w:val="004036C4"/>
    <w:rsid w:val="004106B1"/>
    <w:rsid w:val="00413967"/>
    <w:rsid w:val="0041607A"/>
    <w:rsid w:val="004175D1"/>
    <w:rsid w:val="004205EF"/>
    <w:rsid w:val="00420D39"/>
    <w:rsid w:val="0042350A"/>
    <w:rsid w:val="00424A26"/>
    <w:rsid w:val="0042553F"/>
    <w:rsid w:val="00426640"/>
    <w:rsid w:val="004267EA"/>
    <w:rsid w:val="00426A55"/>
    <w:rsid w:val="004308D9"/>
    <w:rsid w:val="00432D9F"/>
    <w:rsid w:val="00434DB7"/>
    <w:rsid w:val="00436804"/>
    <w:rsid w:val="00440291"/>
    <w:rsid w:val="004451E5"/>
    <w:rsid w:val="004477B9"/>
    <w:rsid w:val="00447956"/>
    <w:rsid w:val="00457ED4"/>
    <w:rsid w:val="00460634"/>
    <w:rsid w:val="00461BEA"/>
    <w:rsid w:val="0046605E"/>
    <w:rsid w:val="00470A2B"/>
    <w:rsid w:val="00471DD6"/>
    <w:rsid w:val="00472948"/>
    <w:rsid w:val="00473257"/>
    <w:rsid w:val="00481065"/>
    <w:rsid w:val="00481177"/>
    <w:rsid w:val="00485950"/>
    <w:rsid w:val="004865EA"/>
    <w:rsid w:val="00487047"/>
    <w:rsid w:val="00495B70"/>
    <w:rsid w:val="00495BB5"/>
    <w:rsid w:val="00496E40"/>
    <w:rsid w:val="00497C90"/>
    <w:rsid w:val="00497E15"/>
    <w:rsid w:val="004A6576"/>
    <w:rsid w:val="004B1DBF"/>
    <w:rsid w:val="004B29E4"/>
    <w:rsid w:val="004B3FC8"/>
    <w:rsid w:val="004C144C"/>
    <w:rsid w:val="004C1A5C"/>
    <w:rsid w:val="004C2768"/>
    <w:rsid w:val="004C3954"/>
    <w:rsid w:val="004C62C1"/>
    <w:rsid w:val="004D323F"/>
    <w:rsid w:val="004E2540"/>
    <w:rsid w:val="004E587C"/>
    <w:rsid w:val="004E682D"/>
    <w:rsid w:val="004E6D4C"/>
    <w:rsid w:val="004E71FA"/>
    <w:rsid w:val="004F42C2"/>
    <w:rsid w:val="004F4E95"/>
    <w:rsid w:val="0050143B"/>
    <w:rsid w:val="005025A6"/>
    <w:rsid w:val="00505EF6"/>
    <w:rsid w:val="0051017D"/>
    <w:rsid w:val="005103F0"/>
    <w:rsid w:val="005217FE"/>
    <w:rsid w:val="00521EF9"/>
    <w:rsid w:val="00522785"/>
    <w:rsid w:val="00526201"/>
    <w:rsid w:val="00526B89"/>
    <w:rsid w:val="00532D4C"/>
    <w:rsid w:val="00534430"/>
    <w:rsid w:val="00536849"/>
    <w:rsid w:val="00537A2A"/>
    <w:rsid w:val="00540663"/>
    <w:rsid w:val="00554457"/>
    <w:rsid w:val="00557465"/>
    <w:rsid w:val="00557AF2"/>
    <w:rsid w:val="005628C9"/>
    <w:rsid w:val="00562B31"/>
    <w:rsid w:val="00564CA8"/>
    <w:rsid w:val="005660C0"/>
    <w:rsid w:val="00567B2B"/>
    <w:rsid w:val="005721F7"/>
    <w:rsid w:val="00577ED4"/>
    <w:rsid w:val="00583C88"/>
    <w:rsid w:val="0058483C"/>
    <w:rsid w:val="005851C7"/>
    <w:rsid w:val="0058560D"/>
    <w:rsid w:val="0058727F"/>
    <w:rsid w:val="005874DD"/>
    <w:rsid w:val="00593CC1"/>
    <w:rsid w:val="005A0550"/>
    <w:rsid w:val="005A10FB"/>
    <w:rsid w:val="005A1587"/>
    <w:rsid w:val="005A4C14"/>
    <w:rsid w:val="005A5E9B"/>
    <w:rsid w:val="005B1F24"/>
    <w:rsid w:val="005B3C82"/>
    <w:rsid w:val="005C01B5"/>
    <w:rsid w:val="005C1DC5"/>
    <w:rsid w:val="005C37A2"/>
    <w:rsid w:val="005C58B2"/>
    <w:rsid w:val="005D2E39"/>
    <w:rsid w:val="005D6AB9"/>
    <w:rsid w:val="005F077D"/>
    <w:rsid w:val="005F0B71"/>
    <w:rsid w:val="005F13B1"/>
    <w:rsid w:val="005F30D2"/>
    <w:rsid w:val="005F7775"/>
    <w:rsid w:val="006002CD"/>
    <w:rsid w:val="0060356A"/>
    <w:rsid w:val="006054D9"/>
    <w:rsid w:val="00607319"/>
    <w:rsid w:val="00610188"/>
    <w:rsid w:val="0061085C"/>
    <w:rsid w:val="00611188"/>
    <w:rsid w:val="006139FD"/>
    <w:rsid w:val="0061439D"/>
    <w:rsid w:val="0061481F"/>
    <w:rsid w:val="00614868"/>
    <w:rsid w:val="00616289"/>
    <w:rsid w:val="00622E0E"/>
    <w:rsid w:val="00624E04"/>
    <w:rsid w:val="00625289"/>
    <w:rsid w:val="00625657"/>
    <w:rsid w:val="006263CB"/>
    <w:rsid w:val="00632691"/>
    <w:rsid w:val="00633071"/>
    <w:rsid w:val="00633A34"/>
    <w:rsid w:val="0063448E"/>
    <w:rsid w:val="00635DA4"/>
    <w:rsid w:val="00637630"/>
    <w:rsid w:val="00640CF2"/>
    <w:rsid w:val="006445D6"/>
    <w:rsid w:val="00651D5B"/>
    <w:rsid w:val="00653FD9"/>
    <w:rsid w:val="00655194"/>
    <w:rsid w:val="006566E4"/>
    <w:rsid w:val="00657C80"/>
    <w:rsid w:val="00657DBB"/>
    <w:rsid w:val="006601DE"/>
    <w:rsid w:val="00661141"/>
    <w:rsid w:val="006618A3"/>
    <w:rsid w:val="006647DE"/>
    <w:rsid w:val="006657F7"/>
    <w:rsid w:val="006720A9"/>
    <w:rsid w:val="00675EF3"/>
    <w:rsid w:val="0067623D"/>
    <w:rsid w:val="00685DD5"/>
    <w:rsid w:val="00687CC7"/>
    <w:rsid w:val="00693183"/>
    <w:rsid w:val="0069371F"/>
    <w:rsid w:val="006A2A07"/>
    <w:rsid w:val="006A72F8"/>
    <w:rsid w:val="006A73DA"/>
    <w:rsid w:val="006B1C5F"/>
    <w:rsid w:val="006B50F6"/>
    <w:rsid w:val="006C1EAA"/>
    <w:rsid w:val="006C3E94"/>
    <w:rsid w:val="006C4EFF"/>
    <w:rsid w:val="006D001D"/>
    <w:rsid w:val="006D286F"/>
    <w:rsid w:val="006D4C4F"/>
    <w:rsid w:val="006D75F6"/>
    <w:rsid w:val="006E06F2"/>
    <w:rsid w:val="006E3182"/>
    <w:rsid w:val="006E6BA5"/>
    <w:rsid w:val="006F253C"/>
    <w:rsid w:val="006F4A61"/>
    <w:rsid w:val="00704A1F"/>
    <w:rsid w:val="00704CDC"/>
    <w:rsid w:val="00705DB0"/>
    <w:rsid w:val="0070797B"/>
    <w:rsid w:val="00710083"/>
    <w:rsid w:val="0071048A"/>
    <w:rsid w:val="007144E2"/>
    <w:rsid w:val="00724551"/>
    <w:rsid w:val="00724AF6"/>
    <w:rsid w:val="00725FDF"/>
    <w:rsid w:val="0072633F"/>
    <w:rsid w:val="00726909"/>
    <w:rsid w:val="00727419"/>
    <w:rsid w:val="0073336F"/>
    <w:rsid w:val="0073339A"/>
    <w:rsid w:val="00733638"/>
    <w:rsid w:val="007339CC"/>
    <w:rsid w:val="007400E2"/>
    <w:rsid w:val="00740A25"/>
    <w:rsid w:val="00744265"/>
    <w:rsid w:val="00744863"/>
    <w:rsid w:val="00744DFD"/>
    <w:rsid w:val="0075239B"/>
    <w:rsid w:val="00753640"/>
    <w:rsid w:val="00753878"/>
    <w:rsid w:val="00754866"/>
    <w:rsid w:val="00756712"/>
    <w:rsid w:val="00757F49"/>
    <w:rsid w:val="007608B1"/>
    <w:rsid w:val="00762848"/>
    <w:rsid w:val="007655CD"/>
    <w:rsid w:val="00765CAD"/>
    <w:rsid w:val="0076605E"/>
    <w:rsid w:val="007703E3"/>
    <w:rsid w:val="0077047C"/>
    <w:rsid w:val="00777902"/>
    <w:rsid w:val="00780140"/>
    <w:rsid w:val="0078071D"/>
    <w:rsid w:val="007843C8"/>
    <w:rsid w:val="0078535F"/>
    <w:rsid w:val="0078555C"/>
    <w:rsid w:val="00790455"/>
    <w:rsid w:val="007A24F8"/>
    <w:rsid w:val="007A410E"/>
    <w:rsid w:val="007A461D"/>
    <w:rsid w:val="007A6031"/>
    <w:rsid w:val="007A61FB"/>
    <w:rsid w:val="007B0144"/>
    <w:rsid w:val="007B12D8"/>
    <w:rsid w:val="007B230B"/>
    <w:rsid w:val="007B3288"/>
    <w:rsid w:val="007B5242"/>
    <w:rsid w:val="007C0566"/>
    <w:rsid w:val="007C2DE2"/>
    <w:rsid w:val="007D01FC"/>
    <w:rsid w:val="007D08A9"/>
    <w:rsid w:val="007F08BB"/>
    <w:rsid w:val="007F414E"/>
    <w:rsid w:val="007F5DD0"/>
    <w:rsid w:val="00803D7E"/>
    <w:rsid w:val="008118F4"/>
    <w:rsid w:val="00811FDF"/>
    <w:rsid w:val="0081294B"/>
    <w:rsid w:val="00812BE3"/>
    <w:rsid w:val="00820274"/>
    <w:rsid w:val="00820A32"/>
    <w:rsid w:val="00821013"/>
    <w:rsid w:val="008212A1"/>
    <w:rsid w:val="008214DB"/>
    <w:rsid w:val="008221F5"/>
    <w:rsid w:val="008225D7"/>
    <w:rsid w:val="00830B56"/>
    <w:rsid w:val="00835825"/>
    <w:rsid w:val="0083598E"/>
    <w:rsid w:val="00840E49"/>
    <w:rsid w:val="00842E99"/>
    <w:rsid w:val="00844985"/>
    <w:rsid w:val="00846B1A"/>
    <w:rsid w:val="0084745B"/>
    <w:rsid w:val="008506E5"/>
    <w:rsid w:val="0085104B"/>
    <w:rsid w:val="00851E97"/>
    <w:rsid w:val="00852009"/>
    <w:rsid w:val="008528F6"/>
    <w:rsid w:val="00854211"/>
    <w:rsid w:val="00854DA5"/>
    <w:rsid w:val="00856971"/>
    <w:rsid w:val="00863439"/>
    <w:rsid w:val="008704B6"/>
    <w:rsid w:val="00874213"/>
    <w:rsid w:val="0087568B"/>
    <w:rsid w:val="00883FF7"/>
    <w:rsid w:val="008850DB"/>
    <w:rsid w:val="00891DD5"/>
    <w:rsid w:val="00894DBA"/>
    <w:rsid w:val="00897DAE"/>
    <w:rsid w:val="008A1EE7"/>
    <w:rsid w:val="008A223C"/>
    <w:rsid w:val="008A2325"/>
    <w:rsid w:val="008A2B3E"/>
    <w:rsid w:val="008A48DC"/>
    <w:rsid w:val="008B2C4A"/>
    <w:rsid w:val="008B3B52"/>
    <w:rsid w:val="008B4A63"/>
    <w:rsid w:val="008B69D6"/>
    <w:rsid w:val="008C0731"/>
    <w:rsid w:val="008C3003"/>
    <w:rsid w:val="008C47B8"/>
    <w:rsid w:val="008C6230"/>
    <w:rsid w:val="008D4069"/>
    <w:rsid w:val="008D49B0"/>
    <w:rsid w:val="008E19EB"/>
    <w:rsid w:val="008E73C4"/>
    <w:rsid w:val="008E7AA3"/>
    <w:rsid w:val="008F65BD"/>
    <w:rsid w:val="00900BDC"/>
    <w:rsid w:val="00903002"/>
    <w:rsid w:val="00905D7F"/>
    <w:rsid w:val="00907F30"/>
    <w:rsid w:val="009122D4"/>
    <w:rsid w:val="00912AA7"/>
    <w:rsid w:val="009146EB"/>
    <w:rsid w:val="00924B68"/>
    <w:rsid w:val="0092566B"/>
    <w:rsid w:val="00925F6B"/>
    <w:rsid w:val="00933177"/>
    <w:rsid w:val="0093337C"/>
    <w:rsid w:val="009420D0"/>
    <w:rsid w:val="00943BC6"/>
    <w:rsid w:val="00944404"/>
    <w:rsid w:val="00947405"/>
    <w:rsid w:val="00955F96"/>
    <w:rsid w:val="00965823"/>
    <w:rsid w:val="00970602"/>
    <w:rsid w:val="00970825"/>
    <w:rsid w:val="00970F09"/>
    <w:rsid w:val="00975F9E"/>
    <w:rsid w:val="00987D48"/>
    <w:rsid w:val="00990C3D"/>
    <w:rsid w:val="0099206E"/>
    <w:rsid w:val="009925ED"/>
    <w:rsid w:val="00992A1A"/>
    <w:rsid w:val="00995247"/>
    <w:rsid w:val="00995D5D"/>
    <w:rsid w:val="00996AC6"/>
    <w:rsid w:val="009A0D63"/>
    <w:rsid w:val="009A1EE6"/>
    <w:rsid w:val="009A2A40"/>
    <w:rsid w:val="009A50C2"/>
    <w:rsid w:val="009B2BED"/>
    <w:rsid w:val="009B499F"/>
    <w:rsid w:val="009C01AD"/>
    <w:rsid w:val="009C71F7"/>
    <w:rsid w:val="009D684E"/>
    <w:rsid w:val="009D6CCF"/>
    <w:rsid w:val="009E1C81"/>
    <w:rsid w:val="009E3296"/>
    <w:rsid w:val="009E3701"/>
    <w:rsid w:val="009E50B9"/>
    <w:rsid w:val="009E6B90"/>
    <w:rsid w:val="009E73C8"/>
    <w:rsid w:val="009F0E10"/>
    <w:rsid w:val="009F7098"/>
    <w:rsid w:val="00A02B90"/>
    <w:rsid w:val="00A07659"/>
    <w:rsid w:val="00A119BE"/>
    <w:rsid w:val="00A11BA5"/>
    <w:rsid w:val="00A11F4A"/>
    <w:rsid w:val="00A13333"/>
    <w:rsid w:val="00A13A53"/>
    <w:rsid w:val="00A13BCD"/>
    <w:rsid w:val="00A14BD5"/>
    <w:rsid w:val="00A16F3E"/>
    <w:rsid w:val="00A1721D"/>
    <w:rsid w:val="00A22EE5"/>
    <w:rsid w:val="00A26A08"/>
    <w:rsid w:val="00A26C93"/>
    <w:rsid w:val="00A31DCC"/>
    <w:rsid w:val="00A36057"/>
    <w:rsid w:val="00A36754"/>
    <w:rsid w:val="00A40BAE"/>
    <w:rsid w:val="00A42CED"/>
    <w:rsid w:val="00A45050"/>
    <w:rsid w:val="00A4593E"/>
    <w:rsid w:val="00A45A81"/>
    <w:rsid w:val="00A5118F"/>
    <w:rsid w:val="00A511C2"/>
    <w:rsid w:val="00A516E8"/>
    <w:rsid w:val="00A54560"/>
    <w:rsid w:val="00A548B0"/>
    <w:rsid w:val="00A64A44"/>
    <w:rsid w:val="00A64FBD"/>
    <w:rsid w:val="00A708F8"/>
    <w:rsid w:val="00A72496"/>
    <w:rsid w:val="00A73D44"/>
    <w:rsid w:val="00A77186"/>
    <w:rsid w:val="00A823FC"/>
    <w:rsid w:val="00A833F1"/>
    <w:rsid w:val="00A83806"/>
    <w:rsid w:val="00A83D4E"/>
    <w:rsid w:val="00A8684F"/>
    <w:rsid w:val="00A87390"/>
    <w:rsid w:val="00A9372E"/>
    <w:rsid w:val="00A94445"/>
    <w:rsid w:val="00AA02C3"/>
    <w:rsid w:val="00AA1E93"/>
    <w:rsid w:val="00AA69E7"/>
    <w:rsid w:val="00AA7B10"/>
    <w:rsid w:val="00AB122C"/>
    <w:rsid w:val="00AB15B3"/>
    <w:rsid w:val="00AB417C"/>
    <w:rsid w:val="00AB470A"/>
    <w:rsid w:val="00AB6378"/>
    <w:rsid w:val="00AC2AEE"/>
    <w:rsid w:val="00AC6D5F"/>
    <w:rsid w:val="00AD1402"/>
    <w:rsid w:val="00AD449A"/>
    <w:rsid w:val="00AE14C6"/>
    <w:rsid w:val="00AE23B7"/>
    <w:rsid w:val="00AE6A0A"/>
    <w:rsid w:val="00AE6A7D"/>
    <w:rsid w:val="00AF7918"/>
    <w:rsid w:val="00B014C7"/>
    <w:rsid w:val="00B0209F"/>
    <w:rsid w:val="00B0474A"/>
    <w:rsid w:val="00B057BF"/>
    <w:rsid w:val="00B05D13"/>
    <w:rsid w:val="00B07207"/>
    <w:rsid w:val="00B157D8"/>
    <w:rsid w:val="00B16651"/>
    <w:rsid w:val="00B214A3"/>
    <w:rsid w:val="00B240DC"/>
    <w:rsid w:val="00B25421"/>
    <w:rsid w:val="00B32D59"/>
    <w:rsid w:val="00B338BD"/>
    <w:rsid w:val="00B34DC9"/>
    <w:rsid w:val="00B35AE8"/>
    <w:rsid w:val="00B365C7"/>
    <w:rsid w:val="00B3665D"/>
    <w:rsid w:val="00B37AFA"/>
    <w:rsid w:val="00B37BD7"/>
    <w:rsid w:val="00B42961"/>
    <w:rsid w:val="00B44DAF"/>
    <w:rsid w:val="00B50C90"/>
    <w:rsid w:val="00B53AD9"/>
    <w:rsid w:val="00B5565A"/>
    <w:rsid w:val="00B568C3"/>
    <w:rsid w:val="00B57007"/>
    <w:rsid w:val="00B65390"/>
    <w:rsid w:val="00B66DF3"/>
    <w:rsid w:val="00B71443"/>
    <w:rsid w:val="00B74842"/>
    <w:rsid w:val="00B77FB3"/>
    <w:rsid w:val="00B8010C"/>
    <w:rsid w:val="00B801B9"/>
    <w:rsid w:val="00B80340"/>
    <w:rsid w:val="00B809BB"/>
    <w:rsid w:val="00B81FBC"/>
    <w:rsid w:val="00B84FF5"/>
    <w:rsid w:val="00B865F5"/>
    <w:rsid w:val="00B87A0B"/>
    <w:rsid w:val="00B94AB4"/>
    <w:rsid w:val="00B95FF5"/>
    <w:rsid w:val="00BA3208"/>
    <w:rsid w:val="00BA3CDB"/>
    <w:rsid w:val="00BA4C92"/>
    <w:rsid w:val="00BA6CAC"/>
    <w:rsid w:val="00BB05B8"/>
    <w:rsid w:val="00BB1AE1"/>
    <w:rsid w:val="00BB2546"/>
    <w:rsid w:val="00BB2886"/>
    <w:rsid w:val="00BB39EC"/>
    <w:rsid w:val="00BB6038"/>
    <w:rsid w:val="00BB6C2C"/>
    <w:rsid w:val="00BC1B08"/>
    <w:rsid w:val="00BC3C2B"/>
    <w:rsid w:val="00BC3FCE"/>
    <w:rsid w:val="00BC4AA1"/>
    <w:rsid w:val="00BD48C6"/>
    <w:rsid w:val="00BE5221"/>
    <w:rsid w:val="00BF2F3B"/>
    <w:rsid w:val="00BF4F8F"/>
    <w:rsid w:val="00BF5384"/>
    <w:rsid w:val="00BF5CDF"/>
    <w:rsid w:val="00BF768E"/>
    <w:rsid w:val="00C00157"/>
    <w:rsid w:val="00C03CCC"/>
    <w:rsid w:val="00C0574F"/>
    <w:rsid w:val="00C05D5A"/>
    <w:rsid w:val="00C112B8"/>
    <w:rsid w:val="00C12C60"/>
    <w:rsid w:val="00C13963"/>
    <w:rsid w:val="00C152C3"/>
    <w:rsid w:val="00C154BA"/>
    <w:rsid w:val="00C1720C"/>
    <w:rsid w:val="00C213C8"/>
    <w:rsid w:val="00C21B38"/>
    <w:rsid w:val="00C27890"/>
    <w:rsid w:val="00C31865"/>
    <w:rsid w:val="00C32BA9"/>
    <w:rsid w:val="00C3324E"/>
    <w:rsid w:val="00C35C07"/>
    <w:rsid w:val="00C35FD9"/>
    <w:rsid w:val="00C37A2A"/>
    <w:rsid w:val="00C45E26"/>
    <w:rsid w:val="00C45ED4"/>
    <w:rsid w:val="00C45F28"/>
    <w:rsid w:val="00C473ED"/>
    <w:rsid w:val="00C533B6"/>
    <w:rsid w:val="00C5382E"/>
    <w:rsid w:val="00C54624"/>
    <w:rsid w:val="00C60C63"/>
    <w:rsid w:val="00C6300E"/>
    <w:rsid w:val="00C6418D"/>
    <w:rsid w:val="00C66C20"/>
    <w:rsid w:val="00C70896"/>
    <w:rsid w:val="00C70B9A"/>
    <w:rsid w:val="00C71228"/>
    <w:rsid w:val="00C71762"/>
    <w:rsid w:val="00C729F2"/>
    <w:rsid w:val="00C72C33"/>
    <w:rsid w:val="00C75139"/>
    <w:rsid w:val="00C872AB"/>
    <w:rsid w:val="00C879F3"/>
    <w:rsid w:val="00C93578"/>
    <w:rsid w:val="00C9452E"/>
    <w:rsid w:val="00C9531B"/>
    <w:rsid w:val="00C95772"/>
    <w:rsid w:val="00C96959"/>
    <w:rsid w:val="00CA1095"/>
    <w:rsid w:val="00CA588A"/>
    <w:rsid w:val="00CA62B4"/>
    <w:rsid w:val="00CB330E"/>
    <w:rsid w:val="00CB4A98"/>
    <w:rsid w:val="00CC05F2"/>
    <w:rsid w:val="00CC3FE4"/>
    <w:rsid w:val="00CC4121"/>
    <w:rsid w:val="00CC705D"/>
    <w:rsid w:val="00CD1D59"/>
    <w:rsid w:val="00CD4800"/>
    <w:rsid w:val="00CD5B28"/>
    <w:rsid w:val="00CD78CB"/>
    <w:rsid w:val="00CE334A"/>
    <w:rsid w:val="00CE3990"/>
    <w:rsid w:val="00CE5D28"/>
    <w:rsid w:val="00CE7464"/>
    <w:rsid w:val="00CF1DBE"/>
    <w:rsid w:val="00CF6450"/>
    <w:rsid w:val="00CF6E0D"/>
    <w:rsid w:val="00CF7ED9"/>
    <w:rsid w:val="00D01342"/>
    <w:rsid w:val="00D01A8D"/>
    <w:rsid w:val="00D06ACB"/>
    <w:rsid w:val="00D071C3"/>
    <w:rsid w:val="00D10B63"/>
    <w:rsid w:val="00D144E3"/>
    <w:rsid w:val="00D157B9"/>
    <w:rsid w:val="00D165D4"/>
    <w:rsid w:val="00D2166F"/>
    <w:rsid w:val="00D21FF2"/>
    <w:rsid w:val="00D26B78"/>
    <w:rsid w:val="00D27091"/>
    <w:rsid w:val="00D36F5F"/>
    <w:rsid w:val="00D42B52"/>
    <w:rsid w:val="00D43644"/>
    <w:rsid w:val="00D43C6D"/>
    <w:rsid w:val="00D44C25"/>
    <w:rsid w:val="00D564A2"/>
    <w:rsid w:val="00D60423"/>
    <w:rsid w:val="00D63651"/>
    <w:rsid w:val="00D659EC"/>
    <w:rsid w:val="00D67829"/>
    <w:rsid w:val="00D76F30"/>
    <w:rsid w:val="00D77813"/>
    <w:rsid w:val="00D77CC8"/>
    <w:rsid w:val="00D80104"/>
    <w:rsid w:val="00D824FB"/>
    <w:rsid w:val="00D87E5C"/>
    <w:rsid w:val="00D95117"/>
    <w:rsid w:val="00D96028"/>
    <w:rsid w:val="00D96713"/>
    <w:rsid w:val="00D971F7"/>
    <w:rsid w:val="00DA1DF4"/>
    <w:rsid w:val="00DA216D"/>
    <w:rsid w:val="00DA507A"/>
    <w:rsid w:val="00DA6257"/>
    <w:rsid w:val="00DA7353"/>
    <w:rsid w:val="00DB184C"/>
    <w:rsid w:val="00DC265F"/>
    <w:rsid w:val="00DC4E0A"/>
    <w:rsid w:val="00DC5705"/>
    <w:rsid w:val="00DC66C1"/>
    <w:rsid w:val="00DC6A94"/>
    <w:rsid w:val="00DC6F25"/>
    <w:rsid w:val="00DC71D4"/>
    <w:rsid w:val="00DE0A42"/>
    <w:rsid w:val="00DE31E8"/>
    <w:rsid w:val="00DE3503"/>
    <w:rsid w:val="00DE5BE3"/>
    <w:rsid w:val="00DE699F"/>
    <w:rsid w:val="00DE7C17"/>
    <w:rsid w:val="00DF067C"/>
    <w:rsid w:val="00DF0A0A"/>
    <w:rsid w:val="00DF1E0F"/>
    <w:rsid w:val="00DF233D"/>
    <w:rsid w:val="00DF3497"/>
    <w:rsid w:val="00DF4D3D"/>
    <w:rsid w:val="00E024E5"/>
    <w:rsid w:val="00E0262D"/>
    <w:rsid w:val="00E02EA1"/>
    <w:rsid w:val="00E04858"/>
    <w:rsid w:val="00E10A4A"/>
    <w:rsid w:val="00E12FAE"/>
    <w:rsid w:val="00E132A3"/>
    <w:rsid w:val="00E156BB"/>
    <w:rsid w:val="00E24644"/>
    <w:rsid w:val="00E2511A"/>
    <w:rsid w:val="00E26B1D"/>
    <w:rsid w:val="00E31771"/>
    <w:rsid w:val="00E33339"/>
    <w:rsid w:val="00E364DF"/>
    <w:rsid w:val="00E43159"/>
    <w:rsid w:val="00E43C0D"/>
    <w:rsid w:val="00E465FB"/>
    <w:rsid w:val="00E47B0F"/>
    <w:rsid w:val="00E52012"/>
    <w:rsid w:val="00E56291"/>
    <w:rsid w:val="00E56AD8"/>
    <w:rsid w:val="00E57BC3"/>
    <w:rsid w:val="00E60C5A"/>
    <w:rsid w:val="00E674C1"/>
    <w:rsid w:val="00E70577"/>
    <w:rsid w:val="00E70921"/>
    <w:rsid w:val="00E7180E"/>
    <w:rsid w:val="00E74881"/>
    <w:rsid w:val="00E7490E"/>
    <w:rsid w:val="00E906B4"/>
    <w:rsid w:val="00E909F5"/>
    <w:rsid w:val="00E92017"/>
    <w:rsid w:val="00E9350E"/>
    <w:rsid w:val="00E96939"/>
    <w:rsid w:val="00EA3B3F"/>
    <w:rsid w:val="00EA49CC"/>
    <w:rsid w:val="00EA5242"/>
    <w:rsid w:val="00EA75E7"/>
    <w:rsid w:val="00EB1148"/>
    <w:rsid w:val="00EC09C7"/>
    <w:rsid w:val="00EC7A27"/>
    <w:rsid w:val="00ED0D64"/>
    <w:rsid w:val="00ED12B9"/>
    <w:rsid w:val="00ED13C4"/>
    <w:rsid w:val="00ED1F03"/>
    <w:rsid w:val="00ED5A30"/>
    <w:rsid w:val="00ED66D9"/>
    <w:rsid w:val="00ED7416"/>
    <w:rsid w:val="00EE1DEA"/>
    <w:rsid w:val="00EF0CFA"/>
    <w:rsid w:val="00EF0EC1"/>
    <w:rsid w:val="00EF168F"/>
    <w:rsid w:val="00EF38A5"/>
    <w:rsid w:val="00EF3A86"/>
    <w:rsid w:val="00EF42BD"/>
    <w:rsid w:val="00EF4754"/>
    <w:rsid w:val="00EF4A28"/>
    <w:rsid w:val="00F0319D"/>
    <w:rsid w:val="00F05AC1"/>
    <w:rsid w:val="00F1456C"/>
    <w:rsid w:val="00F15768"/>
    <w:rsid w:val="00F16F50"/>
    <w:rsid w:val="00F24E2C"/>
    <w:rsid w:val="00F25185"/>
    <w:rsid w:val="00F25B27"/>
    <w:rsid w:val="00F25C03"/>
    <w:rsid w:val="00F264FD"/>
    <w:rsid w:val="00F26EB5"/>
    <w:rsid w:val="00F31A7B"/>
    <w:rsid w:val="00F43B91"/>
    <w:rsid w:val="00F45647"/>
    <w:rsid w:val="00F46DDF"/>
    <w:rsid w:val="00F50E4C"/>
    <w:rsid w:val="00F52EE8"/>
    <w:rsid w:val="00F531F2"/>
    <w:rsid w:val="00F55AE8"/>
    <w:rsid w:val="00F56B69"/>
    <w:rsid w:val="00F56C63"/>
    <w:rsid w:val="00F7242C"/>
    <w:rsid w:val="00F763DE"/>
    <w:rsid w:val="00F776E3"/>
    <w:rsid w:val="00F8204D"/>
    <w:rsid w:val="00F834C2"/>
    <w:rsid w:val="00F837FD"/>
    <w:rsid w:val="00F843E1"/>
    <w:rsid w:val="00F851FC"/>
    <w:rsid w:val="00F871C2"/>
    <w:rsid w:val="00F8759B"/>
    <w:rsid w:val="00F9230A"/>
    <w:rsid w:val="00FA1180"/>
    <w:rsid w:val="00FA12EF"/>
    <w:rsid w:val="00FA4408"/>
    <w:rsid w:val="00FA637B"/>
    <w:rsid w:val="00FA69E1"/>
    <w:rsid w:val="00FA7896"/>
    <w:rsid w:val="00FB0A04"/>
    <w:rsid w:val="00FB0B4A"/>
    <w:rsid w:val="00FC23AE"/>
    <w:rsid w:val="00FC2FBA"/>
    <w:rsid w:val="00FC3D3A"/>
    <w:rsid w:val="00FC5DFD"/>
    <w:rsid w:val="00FD120A"/>
    <w:rsid w:val="00FD1649"/>
    <w:rsid w:val="00FD3E59"/>
    <w:rsid w:val="00FD6CED"/>
    <w:rsid w:val="00FE7122"/>
    <w:rsid w:val="00FF18C1"/>
    <w:rsid w:val="00FF23D5"/>
    <w:rsid w:val="00FF54F1"/>
    <w:rsid w:val="00FF69DC"/>
    <w:rsid w:val="00FF792F"/>
  </w:rsids>
  <m:mathPr>
    <m:mathFont m:val="Cambria Math"/>
    <m:brkBin m:val="before"/>
    <m:brkBinSub m:val="--"/>
    <m:smallFrac m:val="off"/>
    <m:dispDef/>
    <m:lMargin m:val="0"/>
    <m:rMargin m:val="0"/>
    <m:defJc m:val="centerGroup"/>
    <m:wrapIndent m:val="1440"/>
    <m:intLim m:val="subSup"/>
    <m:naryLim m:val="undOvr"/>
  </m:mathPr>
  <w:uiCompat97To2003/>
  <w:attachedSchema w:val="urn:schemas-microsoft-com:office:smarttags"/>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uiPriority="39"/>
    <w:lsdException w:name="toc 5" w:uiPriority="39"/>
    <w:lsdException w:name="toc 6" w:uiPriority="39"/>
    <w:lsdException w:name="toc 7" w:uiPriority="39"/>
    <w:lsdException w:name="toc 8" w:uiPriority="39"/>
    <w:lsdException w:name="toc 9" w:uiPriority="39"/>
    <w:lsdException w:name="footer" w:locked="1" w:semiHidden="0" w:uiPriority="0" w:unhideWhenUsed="0"/>
    <w:lsdException w:name="caption" w:locked="1" w:uiPriority="0" w:qFormat="1"/>
    <w:lsdException w:name="Title" w:locked="1" w:semiHidden="0" w:uiPriority="0" w:unhideWhenUsed="0" w:qFormat="1"/>
    <w:lsdException w:name="Default Paragraph Font" w:uiPriority="1"/>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2C36A6"/>
    <w:rPr>
      <w:sz w:val="24"/>
      <w:szCs w:val="24"/>
      <w:lang w:val="nl-NL" w:eastAsia="nl-NL"/>
    </w:rPr>
  </w:style>
  <w:style w:type="paragraph" w:styleId="Heading1">
    <w:name w:val="heading 1"/>
    <w:basedOn w:val="Normal"/>
    <w:next w:val="Normal"/>
    <w:link w:val="Heading1Char"/>
    <w:uiPriority w:val="99"/>
    <w:qFormat/>
    <w:rsid w:val="003E7C8B"/>
    <w:pPr>
      <w:keepNext/>
      <w:spacing w:before="240" w:after="60"/>
      <w:outlineLvl w:val="0"/>
    </w:pPr>
    <w:rPr>
      <w:b/>
      <w:bCs/>
      <w:kern w:val="32"/>
      <w:sz w:val="28"/>
      <w:szCs w:val="32"/>
    </w:rPr>
  </w:style>
  <w:style w:type="paragraph" w:styleId="Heading2">
    <w:name w:val="heading 2"/>
    <w:basedOn w:val="Normal"/>
    <w:next w:val="Normal"/>
    <w:link w:val="Heading2Char"/>
    <w:uiPriority w:val="99"/>
    <w:qFormat/>
    <w:rsid w:val="003E7C8B"/>
    <w:pPr>
      <w:keepNext/>
      <w:spacing w:before="240" w:after="60"/>
      <w:outlineLvl w:val="1"/>
    </w:pPr>
    <w:rPr>
      <w:bCs/>
      <w:iCs/>
      <w:szCs w:val="28"/>
      <w:u w:val="single"/>
    </w:rPr>
  </w:style>
  <w:style w:type="paragraph" w:styleId="Heading3">
    <w:name w:val="heading 3"/>
    <w:basedOn w:val="Normal"/>
    <w:next w:val="Normal"/>
    <w:link w:val="Heading3Char"/>
    <w:uiPriority w:val="99"/>
    <w:qFormat/>
    <w:rsid w:val="006E6BA5"/>
    <w:pPr>
      <w:keepNext/>
      <w:keepLines/>
      <w:spacing w:line="360" w:lineRule="auto"/>
      <w:outlineLvl w:val="2"/>
    </w:pPr>
    <w:rPr>
      <w:bCs/>
      <w:i/>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3E7C8B"/>
    <w:rPr>
      <w:rFonts w:cs="Times New Roman"/>
      <w:b/>
      <w:bCs/>
      <w:kern w:val="32"/>
      <w:sz w:val="32"/>
      <w:szCs w:val="32"/>
      <w:lang w:val="nl-NL" w:eastAsia="nl-NL"/>
    </w:rPr>
  </w:style>
  <w:style w:type="character" w:customStyle="1" w:styleId="Heading2Char">
    <w:name w:val="Heading 2 Char"/>
    <w:basedOn w:val="DefaultParagraphFont"/>
    <w:link w:val="Heading2"/>
    <w:uiPriority w:val="99"/>
    <w:locked/>
    <w:rsid w:val="003E7C8B"/>
    <w:rPr>
      <w:rFonts w:cs="Times New Roman"/>
      <w:bCs/>
      <w:iCs/>
      <w:sz w:val="28"/>
      <w:szCs w:val="28"/>
      <w:u w:val="single"/>
      <w:lang w:val="nl-NL" w:eastAsia="nl-NL"/>
    </w:rPr>
  </w:style>
  <w:style w:type="character" w:customStyle="1" w:styleId="Heading3Char">
    <w:name w:val="Heading 3 Char"/>
    <w:basedOn w:val="DefaultParagraphFont"/>
    <w:link w:val="Heading3"/>
    <w:uiPriority w:val="99"/>
    <w:locked/>
    <w:rsid w:val="006E6BA5"/>
    <w:rPr>
      <w:rFonts w:cs="Times New Roman"/>
      <w:bCs/>
      <w:i/>
      <w:sz w:val="24"/>
      <w:szCs w:val="24"/>
      <w:lang w:val="nl-NL" w:eastAsia="nl-NL"/>
    </w:rPr>
  </w:style>
  <w:style w:type="paragraph" w:styleId="FootnoteText">
    <w:name w:val="footnote text"/>
    <w:basedOn w:val="Normal"/>
    <w:link w:val="FootnoteTextChar"/>
    <w:uiPriority w:val="99"/>
    <w:semiHidden/>
    <w:rsid w:val="00D76F30"/>
    <w:rPr>
      <w:sz w:val="20"/>
      <w:szCs w:val="20"/>
    </w:rPr>
  </w:style>
  <w:style w:type="character" w:customStyle="1" w:styleId="FootnoteTextChar">
    <w:name w:val="Footnote Text Char"/>
    <w:basedOn w:val="DefaultParagraphFont"/>
    <w:link w:val="FootnoteText"/>
    <w:uiPriority w:val="99"/>
    <w:semiHidden/>
    <w:rsid w:val="00B75FF0"/>
    <w:rPr>
      <w:sz w:val="20"/>
      <w:szCs w:val="20"/>
      <w:lang w:val="nl-NL" w:eastAsia="nl-NL"/>
    </w:rPr>
  </w:style>
  <w:style w:type="character" w:styleId="FootnoteReference">
    <w:name w:val="footnote reference"/>
    <w:basedOn w:val="DefaultParagraphFont"/>
    <w:uiPriority w:val="99"/>
    <w:semiHidden/>
    <w:rsid w:val="00D76F30"/>
    <w:rPr>
      <w:rFonts w:cs="Times New Roman"/>
      <w:vertAlign w:val="superscript"/>
    </w:rPr>
  </w:style>
  <w:style w:type="paragraph" w:customStyle="1" w:styleId="Style1">
    <w:name w:val="Style1"/>
    <w:basedOn w:val="FootnoteText"/>
    <w:uiPriority w:val="99"/>
    <w:rsid w:val="006657F7"/>
    <w:pPr>
      <w:autoSpaceDE w:val="0"/>
      <w:autoSpaceDN w:val="0"/>
      <w:adjustRightInd w:val="0"/>
    </w:pPr>
  </w:style>
  <w:style w:type="table" w:styleId="TableGrid">
    <w:name w:val="Table Grid"/>
    <w:basedOn w:val="TableNormal"/>
    <w:uiPriority w:val="99"/>
    <w:rsid w:val="002A5877"/>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OCHeading">
    <w:name w:val="TOC Heading"/>
    <w:basedOn w:val="Heading1"/>
    <w:next w:val="Normal"/>
    <w:uiPriority w:val="99"/>
    <w:qFormat/>
    <w:rsid w:val="009F0E10"/>
    <w:pPr>
      <w:keepLines/>
      <w:spacing w:before="480" w:after="0" w:line="276" w:lineRule="auto"/>
      <w:outlineLvl w:val="9"/>
    </w:pPr>
    <w:rPr>
      <w:color w:val="365F91"/>
      <w:kern w:val="0"/>
      <w:szCs w:val="28"/>
      <w:lang w:val="en-US" w:eastAsia="en-US"/>
    </w:rPr>
  </w:style>
  <w:style w:type="paragraph" w:styleId="TOC2">
    <w:name w:val="toc 2"/>
    <w:basedOn w:val="Normal"/>
    <w:next w:val="Normal"/>
    <w:autoRedefine/>
    <w:uiPriority w:val="99"/>
    <w:rsid w:val="009F0E10"/>
    <w:pPr>
      <w:spacing w:after="100" w:line="276" w:lineRule="auto"/>
      <w:ind w:left="220"/>
    </w:pPr>
    <w:rPr>
      <w:rFonts w:ascii="Calibri" w:hAnsi="Calibri"/>
      <w:sz w:val="22"/>
      <w:szCs w:val="22"/>
      <w:lang w:val="en-US" w:eastAsia="en-US"/>
    </w:rPr>
  </w:style>
  <w:style w:type="paragraph" w:styleId="TOC1">
    <w:name w:val="toc 1"/>
    <w:basedOn w:val="Normal"/>
    <w:next w:val="Normal"/>
    <w:autoRedefine/>
    <w:uiPriority w:val="99"/>
    <w:rsid w:val="001340D0"/>
    <w:pPr>
      <w:tabs>
        <w:tab w:val="right" w:leader="dot" w:pos="9062"/>
      </w:tabs>
      <w:spacing w:after="100" w:line="276" w:lineRule="auto"/>
    </w:pPr>
    <w:rPr>
      <w:rFonts w:ascii="Calibri" w:hAnsi="Calibri"/>
      <w:b/>
      <w:noProof/>
      <w:sz w:val="22"/>
      <w:szCs w:val="22"/>
      <w:lang w:val="en-US" w:eastAsia="en-US"/>
    </w:rPr>
  </w:style>
  <w:style w:type="paragraph" w:styleId="TOC3">
    <w:name w:val="toc 3"/>
    <w:basedOn w:val="Normal"/>
    <w:next w:val="Normal"/>
    <w:autoRedefine/>
    <w:uiPriority w:val="99"/>
    <w:rsid w:val="009F0E10"/>
    <w:pPr>
      <w:spacing w:after="100" w:line="276" w:lineRule="auto"/>
      <w:ind w:left="440"/>
    </w:pPr>
    <w:rPr>
      <w:rFonts w:ascii="Calibri" w:hAnsi="Calibri"/>
      <w:sz w:val="22"/>
      <w:szCs w:val="22"/>
      <w:lang w:val="en-US" w:eastAsia="en-US"/>
    </w:rPr>
  </w:style>
  <w:style w:type="paragraph" w:styleId="BalloonText">
    <w:name w:val="Balloon Text"/>
    <w:basedOn w:val="Normal"/>
    <w:link w:val="BalloonTextChar"/>
    <w:uiPriority w:val="99"/>
    <w:rsid w:val="009F0E10"/>
    <w:rPr>
      <w:rFonts w:ascii="Tahoma" w:hAnsi="Tahoma" w:cs="Tahoma"/>
      <w:sz w:val="16"/>
      <w:szCs w:val="16"/>
    </w:rPr>
  </w:style>
  <w:style w:type="character" w:customStyle="1" w:styleId="BalloonTextChar">
    <w:name w:val="Balloon Text Char"/>
    <w:basedOn w:val="DefaultParagraphFont"/>
    <w:link w:val="BalloonText"/>
    <w:uiPriority w:val="99"/>
    <w:locked/>
    <w:rsid w:val="009F0E10"/>
    <w:rPr>
      <w:rFonts w:ascii="Tahoma" w:hAnsi="Tahoma" w:cs="Tahoma"/>
      <w:sz w:val="16"/>
      <w:szCs w:val="16"/>
      <w:lang w:val="nl-NL" w:eastAsia="nl-NL"/>
    </w:rPr>
  </w:style>
  <w:style w:type="character" w:styleId="Hyperlink">
    <w:name w:val="Hyperlink"/>
    <w:basedOn w:val="DefaultParagraphFont"/>
    <w:uiPriority w:val="99"/>
    <w:rsid w:val="00237065"/>
    <w:rPr>
      <w:rFonts w:cs="Times New Roman"/>
      <w:color w:val="0000FF"/>
      <w:u w:val="single"/>
    </w:rPr>
  </w:style>
  <w:style w:type="paragraph" w:styleId="Header">
    <w:name w:val="header"/>
    <w:basedOn w:val="Normal"/>
    <w:link w:val="HeaderChar"/>
    <w:uiPriority w:val="99"/>
    <w:rsid w:val="000331BF"/>
    <w:pPr>
      <w:tabs>
        <w:tab w:val="center" w:pos="4680"/>
        <w:tab w:val="right" w:pos="9360"/>
      </w:tabs>
    </w:pPr>
  </w:style>
  <w:style w:type="character" w:customStyle="1" w:styleId="HeaderChar">
    <w:name w:val="Header Char"/>
    <w:basedOn w:val="DefaultParagraphFont"/>
    <w:link w:val="Header"/>
    <w:uiPriority w:val="99"/>
    <w:locked/>
    <w:rsid w:val="000331BF"/>
    <w:rPr>
      <w:rFonts w:cs="Times New Roman"/>
      <w:sz w:val="24"/>
      <w:szCs w:val="24"/>
      <w:lang w:val="nl-NL" w:eastAsia="nl-NL"/>
    </w:rPr>
  </w:style>
  <w:style w:type="paragraph" w:styleId="Footer">
    <w:name w:val="footer"/>
    <w:basedOn w:val="Normal"/>
    <w:link w:val="FooterChar"/>
    <w:uiPriority w:val="99"/>
    <w:rsid w:val="000331BF"/>
    <w:pPr>
      <w:tabs>
        <w:tab w:val="center" w:pos="4680"/>
        <w:tab w:val="right" w:pos="9360"/>
      </w:tabs>
    </w:pPr>
  </w:style>
  <w:style w:type="character" w:customStyle="1" w:styleId="FooterChar">
    <w:name w:val="Footer Char"/>
    <w:basedOn w:val="DefaultParagraphFont"/>
    <w:link w:val="Footer"/>
    <w:uiPriority w:val="99"/>
    <w:locked/>
    <w:rsid w:val="000331BF"/>
    <w:rPr>
      <w:rFonts w:cs="Times New Roman"/>
      <w:sz w:val="24"/>
      <w:szCs w:val="24"/>
      <w:lang w:val="nl-NL" w:eastAsia="nl-NL"/>
    </w:rPr>
  </w:style>
  <w:style w:type="character" w:customStyle="1" w:styleId="searchword">
    <w:name w:val="searchword"/>
    <w:basedOn w:val="DefaultParagraphFont"/>
    <w:uiPriority w:val="99"/>
    <w:rsid w:val="007339CC"/>
    <w:rPr>
      <w:rFonts w:cs="Times New Roman"/>
      <w:shd w:val="clear" w:color="auto" w:fill="FFFF00"/>
    </w:rPr>
  </w:style>
  <w:style w:type="character" w:customStyle="1" w:styleId="hlite1">
    <w:name w:val="hlite1"/>
    <w:basedOn w:val="DefaultParagraphFont"/>
    <w:uiPriority w:val="99"/>
    <w:rsid w:val="00B07207"/>
    <w:rPr>
      <w:rFonts w:cs="Times New Roman"/>
      <w:shd w:val="clear" w:color="auto" w:fill="FFFF99"/>
    </w:rPr>
  </w:style>
  <w:style w:type="character" w:customStyle="1" w:styleId="a">
    <w:name w:val="a"/>
    <w:basedOn w:val="DefaultParagraphFont"/>
    <w:uiPriority w:val="99"/>
    <w:rsid w:val="00C45ED4"/>
    <w:rPr>
      <w:rFonts w:cs="Times New Roman"/>
    </w:rPr>
  </w:style>
  <w:style w:type="paragraph" w:customStyle="1" w:styleId="inline">
    <w:name w:val="inline"/>
    <w:basedOn w:val="Normal"/>
    <w:uiPriority w:val="99"/>
    <w:rsid w:val="00E60C5A"/>
    <w:pPr>
      <w:spacing w:before="100" w:beforeAutospacing="1" w:after="100" w:afterAutospacing="1"/>
    </w:pPr>
  </w:style>
  <w:style w:type="character" w:customStyle="1" w:styleId="w1">
    <w:name w:val="w1"/>
    <w:basedOn w:val="DefaultParagraphFont"/>
    <w:uiPriority w:val="99"/>
    <w:rsid w:val="00E60C5A"/>
    <w:rPr>
      <w:rFonts w:cs="Times New Roman"/>
      <w:color w:val="0000CC"/>
    </w:rPr>
  </w:style>
  <w:style w:type="character" w:styleId="Emphasis">
    <w:name w:val="Emphasis"/>
    <w:basedOn w:val="DefaultParagraphFont"/>
    <w:uiPriority w:val="99"/>
    <w:qFormat/>
    <w:rsid w:val="009A0D63"/>
    <w:rPr>
      <w:rFonts w:cs="Times New Roman"/>
      <w:i/>
      <w:iCs/>
    </w:rPr>
  </w:style>
  <w:style w:type="paragraph" w:styleId="ListParagraph">
    <w:name w:val="List Paragraph"/>
    <w:basedOn w:val="Normal"/>
    <w:uiPriority w:val="99"/>
    <w:qFormat/>
    <w:rsid w:val="009E73C8"/>
    <w:pPr>
      <w:ind w:left="720"/>
      <w:contextualSpacing/>
    </w:pPr>
  </w:style>
  <w:style w:type="character" w:styleId="PlaceholderText">
    <w:name w:val="Placeholder Text"/>
    <w:basedOn w:val="DefaultParagraphFont"/>
    <w:uiPriority w:val="99"/>
    <w:semiHidden/>
    <w:rsid w:val="004308D9"/>
    <w:rPr>
      <w:rFonts w:cs="Times New Roman"/>
      <w:color w:val="808080"/>
    </w:rPr>
  </w:style>
  <w:style w:type="table" w:styleId="Table3Deffects3">
    <w:name w:val="Table 3D effects 3"/>
    <w:basedOn w:val="TableNormal"/>
    <w:uiPriority w:val="99"/>
    <w:rsid w:val="003E4E4B"/>
    <w:rPr>
      <w:sz w:val="20"/>
      <w:szCs w:val="20"/>
    </w:rPr>
    <w:tblPr>
      <w:tblStyleRowBandSize w:val="1"/>
      <w:tblStyleColBandSize w:val="1"/>
      <w:tblInd w:w="0" w:type="dxa"/>
      <w:tblCellMar>
        <w:top w:w="0" w:type="dxa"/>
        <w:left w:w="108" w:type="dxa"/>
        <w:bottom w:w="0" w:type="dxa"/>
        <w:right w:w="108" w:type="dxa"/>
      </w:tblCellMar>
    </w:tblPr>
    <w:tblStylePr w:type="firstRow">
      <w:rPr>
        <w:rFonts w:cs="Times New Roman"/>
        <w:b/>
        <w:bCs/>
      </w:rPr>
      <w:tblPr/>
      <w:tcPr>
        <w:tcBorders>
          <w:tl2br w:val="none" w:sz="0" w:space="0" w:color="auto"/>
          <w:tr2bl w:val="none" w:sz="0" w:space="0" w:color="auto"/>
        </w:tcBorders>
      </w:tcPr>
    </w:tblStylePr>
    <w:tblStylePr w:type="firstCol">
      <w:rPr>
        <w:rFonts w:cs="Times New Roman"/>
      </w:rPr>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rPr>
        <w:rFonts w:cs="Times New Roman"/>
      </w:rPr>
      <w:tblPr/>
      <w:tcPr>
        <w:tcBorders>
          <w:right w:val="single" w:sz="6" w:space="0" w:color="FFFFFF"/>
          <w:tl2br w:val="none" w:sz="0" w:space="0" w:color="auto"/>
          <w:tr2bl w:val="none" w:sz="0" w:space="0" w:color="auto"/>
        </w:tcBorders>
      </w:tcPr>
    </w:tblStylePr>
    <w:tblStylePr w:type="band1Vert">
      <w:rPr>
        <w:rFonts w:cs="Times New Roman"/>
        <w:color w:val="auto"/>
      </w:rPr>
      <w:tblPr/>
      <w:tcPr>
        <w:shd w:val="solid" w:color="C0C0C0" w:fill="FFFFFF"/>
      </w:tcPr>
    </w:tblStylePr>
    <w:tblStylePr w:type="band2Vert">
      <w:rPr>
        <w:rFonts w:cs="Times New Roman"/>
        <w:color w:val="auto"/>
      </w:rPr>
      <w:tblPr/>
      <w:tcPr>
        <w:shd w:val="pct50" w:color="C0C0C0" w:fill="FFFFFF"/>
      </w:tcPr>
    </w:tblStylePr>
    <w:tblStylePr w:type="band1Horz">
      <w:rPr>
        <w:rFonts w:cs="Times New Roman"/>
      </w:rPr>
      <w:tblPr/>
      <w:tcPr>
        <w:tcBorders>
          <w:top w:val="single" w:sz="6" w:space="0" w:color="808080"/>
          <w:bottom w:val="single" w:sz="6" w:space="0" w:color="FFFFFF"/>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 w:type="table" w:styleId="TableClassic1">
    <w:name w:val="Table Classic 1"/>
    <w:basedOn w:val="TableNormal"/>
    <w:uiPriority w:val="99"/>
    <w:rsid w:val="00DE5BE3"/>
    <w:rPr>
      <w:sz w:val="20"/>
      <w:szCs w:val="20"/>
    </w:rPr>
    <w:tblPr>
      <w:tblInd w:w="0" w:type="dxa"/>
      <w:tblBorders>
        <w:top w:val="single" w:sz="12" w:space="0" w:color="000000"/>
        <w:bottom w:val="single" w:sz="12" w:space="0" w:color="000000"/>
      </w:tblBorders>
      <w:tblCellMar>
        <w:top w:w="0" w:type="dxa"/>
        <w:left w:w="108" w:type="dxa"/>
        <w:bottom w:w="0" w:type="dxa"/>
        <w:right w:w="108" w:type="dxa"/>
      </w:tblCellMar>
    </w:tblPr>
    <w:tblStylePr w:type="firstRow">
      <w:rPr>
        <w:rFonts w:cs="Times New Roman"/>
        <w:i/>
        <w:iCs/>
      </w:rPr>
      <w:tblPr/>
      <w:tcPr>
        <w:tcBorders>
          <w:bottom w:val="single" w:sz="6" w:space="0" w:color="000000"/>
          <w:tl2br w:val="none" w:sz="0" w:space="0" w:color="auto"/>
          <w:tr2bl w:val="none" w:sz="0" w:space="0" w:color="auto"/>
        </w:tcBorders>
      </w:tcPr>
    </w:tblStylePr>
    <w:tblStylePr w:type="lastRow">
      <w:rPr>
        <w:rFonts w:cs="Times New Roman"/>
        <w:color w:val="auto"/>
      </w:rPr>
      <w:tblPr/>
      <w:tcPr>
        <w:tcBorders>
          <w:top w:val="single" w:sz="6" w:space="0" w:color="000000"/>
          <w:tl2br w:val="none" w:sz="0" w:space="0" w:color="auto"/>
          <w:tr2bl w:val="none" w:sz="0" w:space="0" w:color="auto"/>
        </w:tcBorders>
      </w:tcPr>
    </w:tblStylePr>
    <w:tblStylePr w:type="firstCol">
      <w:rPr>
        <w:rFonts w:cs="Times New Roman"/>
      </w:rPr>
      <w:tblPr/>
      <w:tcPr>
        <w:tcBorders>
          <w:right w:val="single" w:sz="6" w:space="0" w:color="000000"/>
          <w:tl2br w:val="none" w:sz="0" w:space="0" w:color="auto"/>
          <w:tr2bl w:val="none" w:sz="0" w:space="0" w:color="auto"/>
        </w:tcBorders>
      </w:tcPr>
    </w:tblStylePr>
    <w:tblStylePr w:type="neCell">
      <w:rPr>
        <w:rFonts w:cs="Times New Roman"/>
        <w:b/>
        <w:bCs/>
        <w:i w:val="0"/>
        <w:iCs w:val="0"/>
      </w:rPr>
      <w:tblPr/>
      <w:tcPr>
        <w:tcBorders>
          <w:tl2br w:val="none" w:sz="0" w:space="0" w:color="auto"/>
          <w:tr2bl w:val="none" w:sz="0" w:space="0" w:color="auto"/>
        </w:tcBorders>
      </w:tcPr>
    </w:tblStylePr>
    <w:tblStylePr w:type="swCell">
      <w:rPr>
        <w:rFonts w:cs="Times New Roman"/>
        <w:b/>
        <w:bCs/>
      </w:rPr>
      <w:tblPr/>
      <w:tcPr>
        <w:tcBorders>
          <w:tl2br w:val="none" w:sz="0" w:space="0" w:color="auto"/>
          <w:tr2bl w:val="none" w:sz="0" w:space="0" w:color="auto"/>
        </w:tcBorders>
      </w:tcPr>
    </w:tblStylePr>
  </w:style>
</w:styles>
</file>

<file path=word/webSettings.xml><?xml version="1.0" encoding="utf-8"?>
<w:webSettings xmlns:r="http://schemas.openxmlformats.org/officeDocument/2006/relationships" xmlns:w="http://schemas.openxmlformats.org/wordprocessingml/2006/main">
  <w:divs>
    <w:div w:id="1436443716">
      <w:marLeft w:val="0"/>
      <w:marRight w:val="0"/>
      <w:marTop w:val="0"/>
      <w:marBottom w:val="0"/>
      <w:divBdr>
        <w:top w:val="none" w:sz="0" w:space="0" w:color="auto"/>
        <w:left w:val="none" w:sz="0" w:space="0" w:color="auto"/>
        <w:bottom w:val="none" w:sz="0" w:space="0" w:color="auto"/>
        <w:right w:val="none" w:sz="0" w:space="0" w:color="auto"/>
      </w:divBdr>
      <w:divsChild>
        <w:div w:id="1436443722">
          <w:marLeft w:val="0"/>
          <w:marRight w:val="0"/>
          <w:marTop w:val="0"/>
          <w:marBottom w:val="0"/>
          <w:divBdr>
            <w:top w:val="none" w:sz="0" w:space="0" w:color="auto"/>
            <w:left w:val="none" w:sz="0" w:space="0" w:color="auto"/>
            <w:bottom w:val="none" w:sz="0" w:space="0" w:color="auto"/>
            <w:right w:val="none" w:sz="0" w:space="0" w:color="auto"/>
          </w:divBdr>
          <w:divsChild>
            <w:div w:id="1436443710">
              <w:marLeft w:val="0"/>
              <w:marRight w:val="0"/>
              <w:marTop w:val="0"/>
              <w:marBottom w:val="0"/>
              <w:divBdr>
                <w:top w:val="none" w:sz="0" w:space="0" w:color="auto"/>
                <w:left w:val="none" w:sz="0" w:space="0" w:color="auto"/>
                <w:bottom w:val="none" w:sz="0" w:space="0" w:color="auto"/>
                <w:right w:val="none" w:sz="0" w:space="0" w:color="auto"/>
              </w:divBdr>
              <w:divsChild>
                <w:div w:id="1436443731">
                  <w:marLeft w:val="0"/>
                  <w:marRight w:val="0"/>
                  <w:marTop w:val="150"/>
                  <w:marBottom w:val="0"/>
                  <w:divBdr>
                    <w:top w:val="none" w:sz="0" w:space="0" w:color="auto"/>
                    <w:left w:val="none" w:sz="0" w:space="0" w:color="auto"/>
                    <w:bottom w:val="none" w:sz="0" w:space="0" w:color="auto"/>
                    <w:right w:val="none" w:sz="0" w:space="0" w:color="auto"/>
                  </w:divBdr>
                  <w:divsChild>
                    <w:div w:id="1436443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6443718">
      <w:marLeft w:val="0"/>
      <w:marRight w:val="0"/>
      <w:marTop w:val="0"/>
      <w:marBottom w:val="0"/>
      <w:divBdr>
        <w:top w:val="none" w:sz="0" w:space="0" w:color="auto"/>
        <w:left w:val="none" w:sz="0" w:space="0" w:color="auto"/>
        <w:bottom w:val="none" w:sz="0" w:space="0" w:color="auto"/>
        <w:right w:val="none" w:sz="0" w:space="0" w:color="auto"/>
      </w:divBdr>
    </w:div>
    <w:div w:id="1436443719">
      <w:marLeft w:val="0"/>
      <w:marRight w:val="0"/>
      <w:marTop w:val="0"/>
      <w:marBottom w:val="0"/>
      <w:divBdr>
        <w:top w:val="none" w:sz="0" w:space="0" w:color="auto"/>
        <w:left w:val="none" w:sz="0" w:space="0" w:color="auto"/>
        <w:bottom w:val="none" w:sz="0" w:space="0" w:color="auto"/>
        <w:right w:val="none" w:sz="0" w:space="0" w:color="auto"/>
      </w:divBdr>
    </w:div>
    <w:div w:id="1436443720">
      <w:marLeft w:val="0"/>
      <w:marRight w:val="0"/>
      <w:marTop w:val="0"/>
      <w:marBottom w:val="0"/>
      <w:divBdr>
        <w:top w:val="none" w:sz="0" w:space="0" w:color="auto"/>
        <w:left w:val="none" w:sz="0" w:space="0" w:color="auto"/>
        <w:bottom w:val="none" w:sz="0" w:space="0" w:color="auto"/>
        <w:right w:val="none" w:sz="0" w:space="0" w:color="auto"/>
      </w:divBdr>
      <w:divsChild>
        <w:div w:id="1436443707">
          <w:marLeft w:val="120"/>
          <w:marRight w:val="75"/>
          <w:marTop w:val="0"/>
          <w:marBottom w:val="0"/>
          <w:divBdr>
            <w:top w:val="none" w:sz="0" w:space="0" w:color="auto"/>
            <w:left w:val="none" w:sz="0" w:space="0" w:color="auto"/>
            <w:bottom w:val="none" w:sz="0" w:space="0" w:color="auto"/>
            <w:right w:val="none" w:sz="0" w:space="0" w:color="auto"/>
          </w:divBdr>
          <w:divsChild>
            <w:div w:id="1436443712">
              <w:marLeft w:val="0"/>
              <w:marRight w:val="0"/>
              <w:marTop w:val="0"/>
              <w:marBottom w:val="0"/>
              <w:divBdr>
                <w:top w:val="none" w:sz="0" w:space="0" w:color="auto"/>
                <w:left w:val="none" w:sz="0" w:space="0" w:color="auto"/>
                <w:bottom w:val="none" w:sz="0" w:space="0" w:color="auto"/>
                <w:right w:val="none" w:sz="0" w:space="0" w:color="auto"/>
              </w:divBdr>
              <w:divsChild>
                <w:div w:id="1436443727">
                  <w:marLeft w:val="0"/>
                  <w:marRight w:val="0"/>
                  <w:marTop w:val="0"/>
                  <w:marBottom w:val="0"/>
                  <w:divBdr>
                    <w:top w:val="none" w:sz="0" w:space="0" w:color="auto"/>
                    <w:left w:val="none" w:sz="0" w:space="0" w:color="auto"/>
                    <w:bottom w:val="none" w:sz="0" w:space="0" w:color="auto"/>
                    <w:right w:val="none" w:sz="0" w:space="0" w:color="auto"/>
                  </w:divBdr>
                  <w:divsChild>
                    <w:div w:id="1436443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6443721">
      <w:marLeft w:val="0"/>
      <w:marRight w:val="0"/>
      <w:marTop w:val="0"/>
      <w:marBottom w:val="0"/>
      <w:divBdr>
        <w:top w:val="none" w:sz="0" w:space="0" w:color="auto"/>
        <w:left w:val="none" w:sz="0" w:space="0" w:color="auto"/>
        <w:bottom w:val="none" w:sz="0" w:space="0" w:color="auto"/>
        <w:right w:val="none" w:sz="0" w:space="0" w:color="auto"/>
      </w:divBdr>
    </w:div>
    <w:div w:id="1436443723">
      <w:marLeft w:val="0"/>
      <w:marRight w:val="0"/>
      <w:marTop w:val="0"/>
      <w:marBottom w:val="0"/>
      <w:divBdr>
        <w:top w:val="none" w:sz="0" w:space="0" w:color="auto"/>
        <w:left w:val="none" w:sz="0" w:space="0" w:color="auto"/>
        <w:bottom w:val="none" w:sz="0" w:space="0" w:color="auto"/>
        <w:right w:val="none" w:sz="0" w:space="0" w:color="auto"/>
      </w:divBdr>
    </w:div>
    <w:div w:id="1436443725">
      <w:marLeft w:val="0"/>
      <w:marRight w:val="0"/>
      <w:marTop w:val="0"/>
      <w:marBottom w:val="0"/>
      <w:divBdr>
        <w:top w:val="none" w:sz="0" w:space="0" w:color="auto"/>
        <w:left w:val="none" w:sz="0" w:space="0" w:color="auto"/>
        <w:bottom w:val="none" w:sz="0" w:space="0" w:color="auto"/>
        <w:right w:val="none" w:sz="0" w:space="0" w:color="auto"/>
      </w:divBdr>
    </w:div>
    <w:div w:id="1436443726">
      <w:marLeft w:val="0"/>
      <w:marRight w:val="0"/>
      <w:marTop w:val="0"/>
      <w:marBottom w:val="0"/>
      <w:divBdr>
        <w:top w:val="none" w:sz="0" w:space="0" w:color="auto"/>
        <w:left w:val="none" w:sz="0" w:space="0" w:color="auto"/>
        <w:bottom w:val="none" w:sz="0" w:space="0" w:color="auto"/>
        <w:right w:val="none" w:sz="0" w:space="0" w:color="auto"/>
      </w:divBdr>
      <w:divsChild>
        <w:div w:id="1436443715">
          <w:marLeft w:val="0"/>
          <w:marRight w:val="0"/>
          <w:marTop w:val="0"/>
          <w:marBottom w:val="0"/>
          <w:divBdr>
            <w:top w:val="none" w:sz="0" w:space="0" w:color="auto"/>
            <w:left w:val="none" w:sz="0" w:space="0" w:color="auto"/>
            <w:bottom w:val="none" w:sz="0" w:space="0" w:color="auto"/>
            <w:right w:val="none" w:sz="0" w:space="0" w:color="auto"/>
          </w:divBdr>
        </w:div>
      </w:divsChild>
    </w:div>
    <w:div w:id="1436443729">
      <w:marLeft w:val="0"/>
      <w:marRight w:val="0"/>
      <w:marTop w:val="0"/>
      <w:marBottom w:val="0"/>
      <w:divBdr>
        <w:top w:val="none" w:sz="0" w:space="0" w:color="auto"/>
        <w:left w:val="none" w:sz="0" w:space="0" w:color="auto"/>
        <w:bottom w:val="none" w:sz="0" w:space="0" w:color="auto"/>
        <w:right w:val="none" w:sz="0" w:space="0" w:color="auto"/>
      </w:divBdr>
    </w:div>
    <w:div w:id="1436443734">
      <w:marLeft w:val="3"/>
      <w:marRight w:val="3"/>
      <w:marTop w:val="0"/>
      <w:marBottom w:val="0"/>
      <w:divBdr>
        <w:top w:val="none" w:sz="0" w:space="0" w:color="auto"/>
        <w:left w:val="none" w:sz="0" w:space="0" w:color="auto"/>
        <w:bottom w:val="none" w:sz="0" w:space="0" w:color="auto"/>
        <w:right w:val="none" w:sz="0" w:space="0" w:color="auto"/>
      </w:divBdr>
      <w:divsChild>
        <w:div w:id="1436443728">
          <w:marLeft w:val="0"/>
          <w:marRight w:val="0"/>
          <w:marTop w:val="180"/>
          <w:marBottom w:val="0"/>
          <w:divBdr>
            <w:top w:val="none" w:sz="0" w:space="0" w:color="auto"/>
            <w:left w:val="none" w:sz="0" w:space="0" w:color="auto"/>
            <w:bottom w:val="none" w:sz="0" w:space="0" w:color="auto"/>
            <w:right w:val="none" w:sz="0" w:space="0" w:color="auto"/>
          </w:divBdr>
          <w:divsChild>
            <w:div w:id="1436443733">
              <w:marLeft w:val="0"/>
              <w:marRight w:val="0"/>
              <w:marTop w:val="0"/>
              <w:marBottom w:val="0"/>
              <w:divBdr>
                <w:top w:val="none" w:sz="0" w:space="0" w:color="auto"/>
                <w:left w:val="none" w:sz="0" w:space="0" w:color="auto"/>
                <w:bottom w:val="none" w:sz="0" w:space="0" w:color="auto"/>
                <w:right w:val="none" w:sz="0" w:space="0" w:color="auto"/>
              </w:divBdr>
              <w:divsChild>
                <w:div w:id="1436443737">
                  <w:marLeft w:val="0"/>
                  <w:marRight w:val="0"/>
                  <w:marTop w:val="0"/>
                  <w:marBottom w:val="0"/>
                  <w:divBdr>
                    <w:top w:val="none" w:sz="0" w:space="0" w:color="auto"/>
                    <w:left w:val="none" w:sz="0" w:space="0" w:color="auto"/>
                    <w:bottom w:val="none" w:sz="0" w:space="0" w:color="auto"/>
                    <w:right w:val="none" w:sz="0" w:space="0" w:color="auto"/>
                  </w:divBdr>
                  <w:divsChild>
                    <w:div w:id="1436443709">
                      <w:marLeft w:val="0"/>
                      <w:marRight w:val="0"/>
                      <w:marTop w:val="0"/>
                      <w:marBottom w:val="0"/>
                      <w:divBdr>
                        <w:top w:val="none" w:sz="0" w:space="0" w:color="auto"/>
                        <w:left w:val="none" w:sz="0" w:space="0" w:color="auto"/>
                        <w:bottom w:val="none" w:sz="0" w:space="0" w:color="auto"/>
                        <w:right w:val="none" w:sz="0" w:space="0" w:color="auto"/>
                      </w:divBdr>
                      <w:divsChild>
                        <w:div w:id="1436443739">
                          <w:marLeft w:val="0"/>
                          <w:marRight w:val="0"/>
                          <w:marTop w:val="0"/>
                          <w:marBottom w:val="0"/>
                          <w:divBdr>
                            <w:top w:val="none" w:sz="0" w:space="0" w:color="auto"/>
                            <w:left w:val="none" w:sz="0" w:space="0" w:color="auto"/>
                            <w:bottom w:val="none" w:sz="0" w:space="0" w:color="auto"/>
                            <w:right w:val="none" w:sz="0" w:space="0" w:color="auto"/>
                          </w:divBdr>
                          <w:divsChild>
                            <w:div w:id="1436443714">
                              <w:marLeft w:val="1650"/>
                              <w:marRight w:val="0"/>
                              <w:marTop w:val="0"/>
                              <w:marBottom w:val="0"/>
                              <w:divBdr>
                                <w:top w:val="none" w:sz="0" w:space="0" w:color="auto"/>
                                <w:left w:val="none" w:sz="0" w:space="0" w:color="auto"/>
                                <w:bottom w:val="none" w:sz="0" w:space="0" w:color="auto"/>
                                <w:right w:val="none" w:sz="0" w:space="0" w:color="auto"/>
                              </w:divBdr>
                              <w:divsChild>
                                <w:div w:id="1436443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36443735">
      <w:marLeft w:val="0"/>
      <w:marRight w:val="0"/>
      <w:marTop w:val="0"/>
      <w:marBottom w:val="0"/>
      <w:divBdr>
        <w:top w:val="none" w:sz="0" w:space="0" w:color="auto"/>
        <w:left w:val="none" w:sz="0" w:space="0" w:color="auto"/>
        <w:bottom w:val="none" w:sz="0" w:space="0" w:color="auto"/>
        <w:right w:val="none" w:sz="0" w:space="0" w:color="auto"/>
      </w:divBdr>
    </w:div>
    <w:div w:id="1436443736">
      <w:marLeft w:val="0"/>
      <w:marRight w:val="0"/>
      <w:marTop w:val="0"/>
      <w:marBottom w:val="0"/>
      <w:divBdr>
        <w:top w:val="none" w:sz="0" w:space="0" w:color="auto"/>
        <w:left w:val="none" w:sz="0" w:space="0" w:color="auto"/>
        <w:bottom w:val="none" w:sz="0" w:space="0" w:color="auto"/>
        <w:right w:val="none" w:sz="0" w:space="0" w:color="auto"/>
      </w:divBdr>
      <w:divsChild>
        <w:div w:id="1436443708">
          <w:marLeft w:val="120"/>
          <w:marRight w:val="75"/>
          <w:marTop w:val="0"/>
          <w:marBottom w:val="0"/>
          <w:divBdr>
            <w:top w:val="none" w:sz="0" w:space="0" w:color="auto"/>
            <w:left w:val="none" w:sz="0" w:space="0" w:color="auto"/>
            <w:bottom w:val="none" w:sz="0" w:space="0" w:color="auto"/>
            <w:right w:val="none" w:sz="0" w:space="0" w:color="auto"/>
          </w:divBdr>
          <w:divsChild>
            <w:div w:id="1436443724">
              <w:marLeft w:val="0"/>
              <w:marRight w:val="0"/>
              <w:marTop w:val="0"/>
              <w:marBottom w:val="0"/>
              <w:divBdr>
                <w:top w:val="none" w:sz="0" w:space="0" w:color="auto"/>
                <w:left w:val="none" w:sz="0" w:space="0" w:color="auto"/>
                <w:bottom w:val="none" w:sz="0" w:space="0" w:color="auto"/>
                <w:right w:val="none" w:sz="0" w:space="0" w:color="auto"/>
              </w:divBdr>
              <w:divsChild>
                <w:div w:id="1436443741">
                  <w:marLeft w:val="0"/>
                  <w:marRight w:val="0"/>
                  <w:marTop w:val="0"/>
                  <w:marBottom w:val="0"/>
                  <w:divBdr>
                    <w:top w:val="none" w:sz="0" w:space="0" w:color="auto"/>
                    <w:left w:val="none" w:sz="0" w:space="0" w:color="auto"/>
                    <w:bottom w:val="none" w:sz="0" w:space="0" w:color="auto"/>
                    <w:right w:val="none" w:sz="0" w:space="0" w:color="auto"/>
                  </w:divBdr>
                  <w:divsChild>
                    <w:div w:id="1436443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6443742">
      <w:marLeft w:val="0"/>
      <w:marRight w:val="0"/>
      <w:marTop w:val="0"/>
      <w:marBottom w:val="0"/>
      <w:divBdr>
        <w:top w:val="none" w:sz="0" w:space="0" w:color="auto"/>
        <w:left w:val="none" w:sz="0" w:space="0" w:color="auto"/>
        <w:bottom w:val="none" w:sz="0" w:space="0" w:color="auto"/>
        <w:right w:val="none" w:sz="0" w:space="0" w:color="auto"/>
      </w:divBdr>
      <w:divsChild>
        <w:div w:id="1436443730">
          <w:marLeft w:val="0"/>
          <w:marRight w:val="0"/>
          <w:marTop w:val="0"/>
          <w:marBottom w:val="0"/>
          <w:divBdr>
            <w:top w:val="none" w:sz="0" w:space="0" w:color="auto"/>
            <w:left w:val="none" w:sz="0" w:space="0" w:color="auto"/>
            <w:bottom w:val="none" w:sz="0" w:space="0" w:color="auto"/>
            <w:right w:val="none" w:sz="0" w:space="0" w:color="auto"/>
          </w:divBdr>
          <w:divsChild>
            <w:div w:id="1436443717">
              <w:marLeft w:val="0"/>
              <w:marRight w:val="0"/>
              <w:marTop w:val="0"/>
              <w:marBottom w:val="0"/>
              <w:divBdr>
                <w:top w:val="none" w:sz="0" w:space="0" w:color="auto"/>
                <w:left w:val="none" w:sz="0" w:space="0" w:color="auto"/>
                <w:bottom w:val="none" w:sz="0" w:space="0" w:color="auto"/>
                <w:right w:val="none" w:sz="0" w:space="0" w:color="auto"/>
              </w:divBdr>
              <w:divsChild>
                <w:div w:id="1436443713">
                  <w:marLeft w:val="0"/>
                  <w:marRight w:val="0"/>
                  <w:marTop w:val="150"/>
                  <w:marBottom w:val="0"/>
                  <w:divBdr>
                    <w:top w:val="none" w:sz="0" w:space="0" w:color="auto"/>
                    <w:left w:val="none" w:sz="0" w:space="0" w:color="auto"/>
                    <w:bottom w:val="none" w:sz="0" w:space="0" w:color="auto"/>
                    <w:right w:val="none" w:sz="0" w:space="0" w:color="auto"/>
                  </w:divBdr>
                  <w:divsChild>
                    <w:div w:id="1436443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image" Target="media/image33.png"/><Relationship Id="rId21" Type="http://schemas.openxmlformats.org/officeDocument/2006/relationships/image" Target="media/image15.png"/><Relationship Id="rId34" Type="http://schemas.openxmlformats.org/officeDocument/2006/relationships/image" Target="media/image28.png"/><Relationship Id="rId42" Type="http://schemas.openxmlformats.org/officeDocument/2006/relationships/image" Target="media/image36.png"/><Relationship Id="rId47" Type="http://schemas.openxmlformats.org/officeDocument/2006/relationships/hyperlink" Target="http://www.sciencedirect.com/science?_ob=PublicationURL&amp;_tockey=%23TOC%235863%231997%23999759998%2312238%23FLP%23&amp;_cdi=5863&amp;_pubType=J&amp;view=c&amp;_auth=y&amp;_acct=C000024499&amp;_version=1&amp;_urlVersion=0&amp;_userid=499884&amp;md5=e54ee91163be20006e2be8282a123911" TargetMode="External"/><Relationship Id="rId50" Type="http://schemas.openxmlformats.org/officeDocument/2006/relationships/hyperlink" Target="http://www.refworks.com/Refworks/~0~" TargetMode="External"/><Relationship Id="rId55"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png"/><Relationship Id="rId46" Type="http://schemas.openxmlformats.org/officeDocument/2006/relationships/footer" Target="footer1.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41" Type="http://schemas.openxmlformats.org/officeDocument/2006/relationships/image" Target="media/image35.png"/><Relationship Id="rId54" Type="http://schemas.openxmlformats.org/officeDocument/2006/relationships/hyperlink" Target="http://www.sciencedirect.com/science?_ob=PublicationURL&amp;_tockey=%23TOC%235938%231997%23999539997%23223309%23FLP%23&amp;_cdi=5938&amp;_pubType=J&amp;view=c&amp;_auth=y&amp;_acct=C000024499&amp;_version=1&amp;_urlVersion=0&amp;_userid=499884&amp;md5=15ee0c66a1f40c2ea3788afd62bef4de"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image" Target="media/image34.png"/><Relationship Id="rId45" Type="http://schemas.openxmlformats.org/officeDocument/2006/relationships/image" Target="media/image39.png"/><Relationship Id="rId53" Type="http://schemas.openxmlformats.org/officeDocument/2006/relationships/hyperlink" Target="http://www.sciencedirect.com/science/journal/0304405X" TargetMode="Externa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49" Type="http://schemas.openxmlformats.org/officeDocument/2006/relationships/hyperlink" Target="http://www.refworks.com/Refworks/~0~" TargetMode="External"/><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4" Type="http://schemas.openxmlformats.org/officeDocument/2006/relationships/image" Target="media/image38.png"/><Relationship Id="rId52" Type="http://schemas.openxmlformats.org/officeDocument/2006/relationships/hyperlink" Target="http://www.sciencedirect.com/science?_ob=PublicationURL&amp;_tockey=%23TOC%235938%232003%23999309996%23449275%23FLA%23&amp;_cdi=5938&amp;_pubType=J&amp;view=c&amp;_auth=y&amp;_acct=C000024499&amp;_version=1&amp;_urlVersion=0&amp;_userid=499884&amp;md5=0560e5ad2c323459697d73c45e75336e"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43" Type="http://schemas.openxmlformats.org/officeDocument/2006/relationships/image" Target="media/image37.png"/><Relationship Id="rId48" Type="http://schemas.openxmlformats.org/officeDocument/2006/relationships/hyperlink" Target="http://www.fin.ntu.edu.tw/~tzeng/course/Gilson%20and%20Vetsuypens(1993)-JF.pdf" TargetMode="External"/><Relationship Id="rId56" Type="http://schemas.openxmlformats.org/officeDocument/2006/relationships/theme" Target="theme/theme1.xml"/><Relationship Id="rId8" Type="http://schemas.openxmlformats.org/officeDocument/2006/relationships/image" Target="media/image2.png"/><Relationship Id="rId51" Type="http://schemas.openxmlformats.org/officeDocument/2006/relationships/hyperlink" Target="http://www.sciencedirect.com/science/journal/0304405X" TargetMode="External"/><Relationship Id="rId3" Type="http://schemas.openxmlformats.org/officeDocument/2006/relationships/settings" Target="settings.xml"/></Relationships>
</file>

<file path=word/_rels/footnotes.xml.rels><?xml version="1.0" encoding="UTF-8" standalone="yes"?>
<Relationships xmlns="http://schemas.openxmlformats.org/package/2006/relationships"><Relationship Id="rId2" Type="http://schemas.openxmlformats.org/officeDocument/2006/relationships/hyperlink" Target="http://www.coventry.ac.uk/ec/%7Enhunt/meths/strati.html" TargetMode="External"/><Relationship Id="rId1" Type="http://schemas.openxmlformats.org/officeDocument/2006/relationships/hyperlink" Target="http://www.refworks.com/Refworks/~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TotalTime>
  <Pages>82</Pages>
  <Words>19292</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Chapter 1 Literature Review</dc:title>
  <dc:subject/>
  <dc:creator>Rafat Denaoui</dc:creator>
  <cp:keywords/>
  <dc:description/>
  <cp:lastModifiedBy>Kim Steenbeek</cp:lastModifiedBy>
  <cp:revision>2</cp:revision>
  <cp:lastPrinted>2009-02-11T23:53:00Z</cp:lastPrinted>
  <dcterms:created xsi:type="dcterms:W3CDTF">2010-05-03T13:49:00Z</dcterms:created>
  <dcterms:modified xsi:type="dcterms:W3CDTF">2010-05-03T13:49:00Z</dcterms:modified>
</cp:coreProperties>
</file>