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72C" w:rsidRPr="007F0BAC" w:rsidRDefault="00A8672C" w:rsidP="007F0BAC">
      <w:pPr>
        <w:jc w:val="both"/>
        <w:rPr>
          <w:lang w:val="nl-NL"/>
        </w:rPr>
      </w:pPr>
      <w:r w:rsidRPr="007F0BAC">
        <w:rPr>
          <w:lang w:val="nl-NL"/>
        </w:rPr>
        <w:t>ERASMUS UNIVERSITEIT ROTTERDAM</w:t>
      </w:r>
      <w:r w:rsidRPr="007F0BAC">
        <w:rPr>
          <w:lang w:val="nl-NL"/>
        </w:rPr>
        <w:tab/>
      </w:r>
      <w:r w:rsidRPr="007F0BAC">
        <w:rPr>
          <w:lang w:val="nl-NL"/>
        </w:rPr>
        <w:tab/>
      </w:r>
      <w:r w:rsidRPr="007F0BAC">
        <w:rPr>
          <w:lang w:val="nl-NL"/>
        </w:rPr>
        <w:tab/>
      </w:r>
      <w:r w:rsidRPr="007F0BAC">
        <w:rPr>
          <w:lang w:val="nl-NL"/>
        </w:rPr>
        <w:tab/>
        <w:t>Nadruk verboden</w:t>
      </w:r>
    </w:p>
    <w:p w:rsidR="00A8672C" w:rsidRPr="007F0BAC" w:rsidRDefault="00A8672C" w:rsidP="007F0BAC">
      <w:pPr>
        <w:jc w:val="both"/>
        <w:rPr>
          <w:lang w:val="nl-NL"/>
        </w:rPr>
      </w:pPr>
      <w:r w:rsidRPr="007F0BAC">
        <w:rPr>
          <w:lang w:val="nl-NL"/>
        </w:rPr>
        <w:t>Faculteit der Economische Wetenschappen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p>
    <w:p w:rsidR="00A8672C" w:rsidRPr="00C74A9A" w:rsidRDefault="00A8672C" w:rsidP="00D4603A">
      <w:pPr>
        <w:pStyle w:val="TOC1"/>
        <w:spacing w:before="0" w:after="0" w:line="360" w:lineRule="auto"/>
        <w:jc w:val="both"/>
      </w:pPr>
    </w:p>
    <w:p w:rsidR="00A8672C" w:rsidRPr="00C74A9A" w:rsidRDefault="00A8672C" w:rsidP="00D4603A">
      <w:pPr>
        <w:pStyle w:val="TOC1"/>
        <w:spacing w:before="0" w:after="0" w:line="360" w:lineRule="auto"/>
        <w:jc w:val="both"/>
      </w:pPr>
    </w:p>
    <w:p w:rsidR="00A8672C" w:rsidRPr="00C74A9A" w:rsidRDefault="00A8672C" w:rsidP="00D4603A">
      <w:pPr>
        <w:pStyle w:val="TOC1"/>
        <w:spacing w:before="0" w:after="0" w:line="360" w:lineRule="auto"/>
        <w:jc w:val="both"/>
      </w:pPr>
    </w:p>
    <w:p w:rsidR="00A8672C" w:rsidRPr="00C74A9A" w:rsidRDefault="00A8672C" w:rsidP="00D4603A">
      <w:pPr>
        <w:pStyle w:val="TOC1"/>
        <w:spacing w:before="0" w:after="0" w:line="360" w:lineRule="auto"/>
        <w:jc w:val="both"/>
      </w:pPr>
    </w:p>
    <w:p w:rsidR="00A8672C" w:rsidRPr="00C74A9A" w:rsidRDefault="00A8672C" w:rsidP="00D4603A">
      <w:pPr>
        <w:pStyle w:val="TOC1"/>
        <w:spacing w:before="0" w:after="0" w:line="360" w:lineRule="auto"/>
        <w:jc w:val="both"/>
      </w:pPr>
    </w:p>
    <w:p w:rsidR="00A8672C" w:rsidRPr="00C74A9A" w:rsidRDefault="00A8672C" w:rsidP="00D4603A">
      <w:pPr>
        <w:spacing w:line="360" w:lineRule="auto"/>
        <w:jc w:val="both"/>
        <w:rPr>
          <w:lang w:val="nl-NL" w:eastAsia="nl-NL"/>
        </w:rPr>
      </w:pPr>
    </w:p>
    <w:p w:rsidR="00A8672C" w:rsidRPr="00C74A9A" w:rsidRDefault="00A8672C" w:rsidP="00D4603A">
      <w:pPr>
        <w:pStyle w:val="TOC1"/>
        <w:spacing w:before="0" w:after="0" w:line="360" w:lineRule="auto"/>
        <w:jc w:val="both"/>
      </w:pPr>
    </w:p>
    <w:p w:rsidR="00A8672C" w:rsidRPr="00C74A9A" w:rsidRDefault="00A8672C" w:rsidP="00D4603A">
      <w:pPr>
        <w:spacing w:line="360" w:lineRule="auto"/>
        <w:jc w:val="both"/>
        <w:rPr>
          <w:lang w:val="nl-NL" w:eastAsia="nl-NL"/>
        </w:rPr>
      </w:pPr>
    </w:p>
    <w:p w:rsidR="00A8672C" w:rsidRPr="00C04B30" w:rsidRDefault="00A8672C" w:rsidP="00692487">
      <w:pPr>
        <w:spacing w:line="276" w:lineRule="auto"/>
        <w:jc w:val="center"/>
        <w:rPr>
          <w:sz w:val="120"/>
          <w:szCs w:val="120"/>
          <w:lang w:val="nl-NL"/>
        </w:rPr>
      </w:pPr>
      <w:r w:rsidRPr="00C04B30">
        <w:rPr>
          <w:sz w:val="120"/>
          <w:szCs w:val="120"/>
          <w:lang w:val="nl-NL"/>
        </w:rPr>
        <w:t>Plaats van dienst</w:t>
      </w:r>
    </w:p>
    <w:p w:rsidR="00A8672C" w:rsidRPr="00692487" w:rsidRDefault="00A8672C" w:rsidP="00692487">
      <w:pPr>
        <w:spacing w:line="360" w:lineRule="auto"/>
        <w:jc w:val="center"/>
        <w:rPr>
          <w:sz w:val="32"/>
          <w:szCs w:val="32"/>
          <w:lang w:val="nl-NL"/>
        </w:rPr>
      </w:pPr>
      <w:r w:rsidRPr="00692487">
        <w:rPr>
          <w:sz w:val="32"/>
          <w:szCs w:val="32"/>
          <w:lang w:val="nl-NL"/>
        </w:rPr>
        <w:t>De implementatie van de BTW richtlijn in de nationale wet</w:t>
      </w:r>
    </w:p>
    <w:p w:rsidR="00A8672C" w:rsidRPr="00C74A9A" w:rsidRDefault="00A8672C" w:rsidP="00D4603A">
      <w:pPr>
        <w:spacing w:line="360" w:lineRule="auto"/>
        <w:jc w:val="both"/>
        <w:rPr>
          <w:lang w:val="nl-NL"/>
        </w:rPr>
      </w:pPr>
    </w:p>
    <w:p w:rsidR="00A8672C" w:rsidRPr="00C74A9A" w:rsidRDefault="00A8672C" w:rsidP="00D4603A">
      <w:pPr>
        <w:pStyle w:val="TOC1"/>
        <w:spacing w:before="0" w:after="0" w:line="360" w:lineRule="auto"/>
        <w:jc w:val="both"/>
      </w:pPr>
    </w:p>
    <w:p w:rsidR="00A8672C" w:rsidRPr="00C74A9A" w:rsidRDefault="00A8672C" w:rsidP="00D4603A">
      <w:pPr>
        <w:pStyle w:val="TOC1"/>
        <w:spacing w:before="0" w:after="0" w:line="360" w:lineRule="auto"/>
        <w:jc w:val="both"/>
      </w:pPr>
    </w:p>
    <w:p w:rsidR="00A8672C" w:rsidRPr="00C74A9A" w:rsidRDefault="00A8672C" w:rsidP="00D4603A">
      <w:pPr>
        <w:spacing w:line="360" w:lineRule="auto"/>
        <w:jc w:val="both"/>
        <w:rPr>
          <w:lang w:val="nl-NL" w:eastAsia="nl-NL"/>
        </w:rPr>
      </w:pPr>
    </w:p>
    <w:p w:rsidR="00A8672C" w:rsidRPr="00C74A9A" w:rsidRDefault="00A8672C" w:rsidP="00D4603A">
      <w:pPr>
        <w:spacing w:line="360" w:lineRule="auto"/>
        <w:jc w:val="both"/>
        <w:rPr>
          <w:lang w:val="nl-NL" w:eastAsia="nl-NL"/>
        </w:rPr>
      </w:pPr>
    </w:p>
    <w:p w:rsidR="00A8672C" w:rsidRPr="00C74A9A" w:rsidRDefault="00A8672C" w:rsidP="00D4603A">
      <w:pPr>
        <w:spacing w:line="360" w:lineRule="auto"/>
        <w:jc w:val="both"/>
        <w:rPr>
          <w:lang w:val="nl-NL" w:eastAsia="nl-NL"/>
        </w:rPr>
      </w:pPr>
    </w:p>
    <w:p w:rsidR="00A8672C" w:rsidRDefault="00A8672C" w:rsidP="00D4603A">
      <w:pPr>
        <w:pStyle w:val="TOC1"/>
        <w:spacing w:before="0" w:after="0" w:line="360" w:lineRule="auto"/>
        <w:jc w:val="both"/>
      </w:pPr>
    </w:p>
    <w:p w:rsidR="00A8672C" w:rsidRDefault="00A8672C" w:rsidP="00D4603A">
      <w:pPr>
        <w:rPr>
          <w:lang w:val="nl-NL" w:eastAsia="nl-NL"/>
        </w:rPr>
      </w:pPr>
    </w:p>
    <w:p w:rsidR="00A8672C" w:rsidRDefault="00A8672C" w:rsidP="00D4603A">
      <w:pPr>
        <w:rPr>
          <w:lang w:val="nl-NL" w:eastAsia="nl-NL"/>
        </w:rPr>
      </w:pPr>
    </w:p>
    <w:p w:rsidR="00A8672C" w:rsidRDefault="00A8672C" w:rsidP="00D4603A">
      <w:pPr>
        <w:rPr>
          <w:lang w:val="nl-NL" w:eastAsia="nl-NL"/>
        </w:rPr>
      </w:pPr>
    </w:p>
    <w:p w:rsidR="00A8672C" w:rsidRDefault="00A8672C" w:rsidP="00D4603A">
      <w:pPr>
        <w:rPr>
          <w:lang w:val="nl-NL" w:eastAsia="nl-NL"/>
        </w:rPr>
      </w:pPr>
    </w:p>
    <w:p w:rsidR="00A8672C" w:rsidRDefault="00A8672C" w:rsidP="00D4603A">
      <w:pPr>
        <w:rPr>
          <w:lang w:val="nl-NL" w:eastAsia="nl-NL"/>
        </w:rPr>
      </w:pPr>
    </w:p>
    <w:p w:rsidR="00A8672C" w:rsidRDefault="00A8672C" w:rsidP="00D4603A">
      <w:pPr>
        <w:rPr>
          <w:lang w:val="nl-NL" w:eastAsia="nl-NL"/>
        </w:rPr>
      </w:pPr>
    </w:p>
    <w:p w:rsidR="00A8672C" w:rsidRDefault="00A8672C" w:rsidP="00D4603A">
      <w:pPr>
        <w:rPr>
          <w:lang w:val="nl-NL" w:eastAsia="nl-NL"/>
        </w:rPr>
      </w:pPr>
    </w:p>
    <w:p w:rsidR="00A8672C" w:rsidRPr="00D4603A" w:rsidRDefault="00A8672C" w:rsidP="00D4603A">
      <w:pPr>
        <w:rPr>
          <w:lang w:val="nl-NL" w:eastAsia="nl-NL"/>
        </w:rPr>
      </w:pPr>
    </w:p>
    <w:p w:rsidR="00A8672C" w:rsidRPr="00D4603A" w:rsidRDefault="00A8672C" w:rsidP="00D4603A">
      <w:pPr>
        <w:rPr>
          <w:lang w:val="nl-NL" w:eastAsia="nl-NL"/>
        </w:rPr>
      </w:pPr>
    </w:p>
    <w:p w:rsidR="00A8672C" w:rsidRPr="00D4603A" w:rsidRDefault="00A8672C" w:rsidP="00D4603A">
      <w:pPr>
        <w:spacing w:line="360" w:lineRule="auto"/>
        <w:jc w:val="both"/>
        <w:rPr>
          <w:lang w:val="nl-NL" w:eastAsia="nl-NL"/>
        </w:rPr>
      </w:pPr>
    </w:p>
    <w:p w:rsidR="00A8672C" w:rsidRPr="00D4603A" w:rsidRDefault="00A8672C" w:rsidP="00D4603A">
      <w:pPr>
        <w:jc w:val="both"/>
        <w:rPr>
          <w:lang w:val="nl-NL"/>
        </w:rPr>
      </w:pPr>
      <w:r w:rsidRPr="00D4603A">
        <w:rPr>
          <w:lang w:val="nl-NL"/>
        </w:rPr>
        <w:t xml:space="preserve">Begeleider: </w:t>
      </w:r>
      <w:r w:rsidRPr="00D4603A">
        <w:rPr>
          <w:lang w:val="nl-NL"/>
        </w:rPr>
        <w:tab/>
      </w:r>
      <w:r w:rsidRPr="00D4603A">
        <w:rPr>
          <w:lang w:val="nl-NL"/>
        </w:rPr>
        <w:tab/>
        <w:t>P.C.J. Oerlemans</w:t>
      </w:r>
    </w:p>
    <w:p w:rsidR="00A8672C" w:rsidRPr="00D4603A" w:rsidRDefault="00A8672C" w:rsidP="00D4603A">
      <w:pPr>
        <w:jc w:val="both"/>
        <w:rPr>
          <w:lang w:val="nl-NL"/>
        </w:rPr>
      </w:pPr>
      <w:r w:rsidRPr="00D4603A">
        <w:rPr>
          <w:lang w:val="nl-NL"/>
        </w:rPr>
        <w:t xml:space="preserve">Naam: </w:t>
      </w:r>
      <w:r w:rsidRPr="00D4603A">
        <w:rPr>
          <w:lang w:val="nl-NL"/>
        </w:rPr>
        <w:tab/>
      </w:r>
      <w:r w:rsidRPr="00D4603A">
        <w:rPr>
          <w:lang w:val="nl-NL"/>
        </w:rPr>
        <w:tab/>
      </w:r>
      <w:r w:rsidRPr="00D4603A">
        <w:rPr>
          <w:lang w:val="nl-NL"/>
        </w:rPr>
        <w:tab/>
        <w:t>Irene Mooijman</w:t>
      </w:r>
    </w:p>
    <w:p w:rsidR="00A8672C" w:rsidRPr="00D4603A" w:rsidRDefault="00A8672C" w:rsidP="00D4603A">
      <w:pPr>
        <w:jc w:val="both"/>
        <w:rPr>
          <w:lang w:val="nl-NL"/>
        </w:rPr>
      </w:pPr>
      <w:r w:rsidRPr="00D4603A">
        <w:rPr>
          <w:lang w:val="nl-NL"/>
        </w:rPr>
        <w:t xml:space="preserve">Studentnummer: </w:t>
      </w:r>
      <w:r w:rsidRPr="00D4603A">
        <w:rPr>
          <w:lang w:val="nl-NL"/>
        </w:rPr>
        <w:tab/>
        <w:t>277101</w:t>
      </w:r>
      <w:r w:rsidRPr="00D4603A">
        <w:rPr>
          <w:lang w:val="nl-NL"/>
        </w:rPr>
        <w:tab/>
      </w:r>
    </w:p>
    <w:p w:rsidR="00A8672C" w:rsidRPr="00D4603A" w:rsidRDefault="00A8672C" w:rsidP="00D4603A">
      <w:pPr>
        <w:jc w:val="both"/>
        <w:rPr>
          <w:lang w:val="nl-NL"/>
        </w:rPr>
      </w:pPr>
      <w:r w:rsidRPr="00D4603A">
        <w:rPr>
          <w:lang w:val="nl-NL"/>
        </w:rPr>
        <w:t>Email adres:</w:t>
      </w:r>
      <w:r w:rsidRPr="00D4603A">
        <w:rPr>
          <w:lang w:val="nl-NL"/>
        </w:rPr>
        <w:tab/>
      </w:r>
      <w:r w:rsidRPr="00D4603A">
        <w:rPr>
          <w:lang w:val="nl-NL"/>
        </w:rPr>
        <w:tab/>
        <w:t>irenemooijman@hotmail.com</w:t>
      </w:r>
    </w:p>
    <w:p w:rsidR="00A8672C" w:rsidRDefault="00A8672C" w:rsidP="00D4603A">
      <w:pPr>
        <w:jc w:val="both"/>
        <w:rPr>
          <w:lang w:val="nl-NL"/>
        </w:rPr>
      </w:pPr>
      <w:r>
        <w:rPr>
          <w:lang w:val="nl-NL"/>
        </w:rPr>
        <w:t>Scriptie:</w:t>
      </w:r>
      <w:r>
        <w:rPr>
          <w:lang w:val="nl-NL"/>
        </w:rPr>
        <w:tab/>
      </w:r>
      <w:r>
        <w:rPr>
          <w:lang w:val="nl-NL"/>
        </w:rPr>
        <w:tab/>
        <w:t>Masterscriptie</w:t>
      </w:r>
    </w:p>
    <w:p w:rsidR="00A8672C" w:rsidRDefault="00A8672C" w:rsidP="00D4603A">
      <w:pPr>
        <w:jc w:val="both"/>
        <w:rPr>
          <w:lang w:val="nl-NL"/>
        </w:rPr>
      </w:pPr>
      <w:r w:rsidRPr="00D4603A">
        <w:rPr>
          <w:lang w:val="nl-NL"/>
        </w:rPr>
        <w:t>Datum:</w:t>
      </w:r>
      <w:r w:rsidRPr="00D4603A">
        <w:rPr>
          <w:lang w:val="nl-NL"/>
        </w:rPr>
        <w:tab/>
      </w:r>
      <w:r w:rsidRPr="00D4603A">
        <w:rPr>
          <w:lang w:val="nl-NL"/>
        </w:rPr>
        <w:tab/>
        <w:t>6 mei 2010</w:t>
      </w:r>
    </w:p>
    <w:p w:rsidR="00A8672C" w:rsidRPr="0095106E" w:rsidRDefault="00A8672C" w:rsidP="00D4603A">
      <w:pPr>
        <w:pStyle w:val="TOCHeading"/>
        <w:jc w:val="both"/>
        <w:rPr>
          <w:b w:val="0"/>
        </w:rPr>
      </w:pPr>
      <w:r w:rsidRPr="0095106E">
        <w:rPr>
          <w:b w:val="0"/>
        </w:rPr>
        <w:t>Inhoudsopgave</w:t>
      </w:r>
    </w:p>
    <w:p w:rsidR="00A8672C" w:rsidRPr="0095106E" w:rsidRDefault="00A8672C" w:rsidP="00D4603A">
      <w:pPr>
        <w:pStyle w:val="TOC1"/>
        <w:spacing w:before="0"/>
        <w:rPr>
          <w:b w:val="0"/>
          <w:bCs w:val="0"/>
          <w:caps w:val="0"/>
          <w:noProof/>
          <w:sz w:val="24"/>
          <w:szCs w:val="22"/>
        </w:rPr>
      </w:pPr>
      <w:r w:rsidRPr="0095106E">
        <w:rPr>
          <w:b w:val="0"/>
          <w:sz w:val="24"/>
        </w:rPr>
        <w:fldChar w:fldCharType="begin"/>
      </w:r>
      <w:r w:rsidRPr="0095106E">
        <w:rPr>
          <w:b w:val="0"/>
          <w:sz w:val="24"/>
        </w:rPr>
        <w:instrText xml:space="preserve"> TOC \o "1-3" \h \z \u </w:instrText>
      </w:r>
      <w:r w:rsidRPr="0095106E">
        <w:rPr>
          <w:b w:val="0"/>
          <w:sz w:val="24"/>
        </w:rPr>
        <w:fldChar w:fldCharType="separate"/>
      </w:r>
      <w:hyperlink w:anchor="_Toc260928078" w:history="1">
        <w:r w:rsidRPr="0095106E">
          <w:rPr>
            <w:rStyle w:val="Hyperlink"/>
            <w:b w:val="0"/>
            <w:noProof/>
            <w:sz w:val="24"/>
          </w:rPr>
          <w:t>Inleiding</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_Toc260928078 \h </w:instrText>
        </w:r>
        <w:r w:rsidRPr="0095106E">
          <w:rPr>
            <w:b w:val="0"/>
            <w:noProof/>
            <w:webHidden/>
            <w:sz w:val="24"/>
          </w:rPr>
        </w:r>
        <w:r w:rsidRPr="0095106E">
          <w:rPr>
            <w:b w:val="0"/>
            <w:noProof/>
            <w:webHidden/>
            <w:sz w:val="24"/>
          </w:rPr>
          <w:fldChar w:fldCharType="separate"/>
        </w:r>
        <w:r>
          <w:rPr>
            <w:b w:val="0"/>
            <w:noProof/>
            <w:webHidden/>
            <w:sz w:val="24"/>
          </w:rPr>
          <w:t>3</w:t>
        </w:r>
        <w:r w:rsidRPr="0095106E">
          <w:rPr>
            <w:b w:val="0"/>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079" w:history="1">
        <w:r w:rsidRPr="0095106E">
          <w:rPr>
            <w:rStyle w:val="Hyperlink"/>
            <w:b w:val="0"/>
            <w:noProof/>
            <w:sz w:val="24"/>
          </w:rPr>
          <w:t>Hoofdstuk 1: Theoretisch raamwerk</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_Toc260928079 \h </w:instrText>
        </w:r>
        <w:r w:rsidRPr="0095106E">
          <w:rPr>
            <w:b w:val="0"/>
            <w:noProof/>
            <w:webHidden/>
            <w:sz w:val="24"/>
          </w:rPr>
        </w:r>
        <w:r w:rsidRPr="0095106E">
          <w:rPr>
            <w:b w:val="0"/>
            <w:noProof/>
            <w:webHidden/>
            <w:sz w:val="24"/>
          </w:rPr>
          <w:fldChar w:fldCharType="separate"/>
        </w:r>
        <w:r>
          <w:rPr>
            <w:b w:val="0"/>
            <w:noProof/>
            <w:webHidden/>
            <w:sz w:val="24"/>
          </w:rPr>
          <w:t>5</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0" w:history="1">
        <w:r w:rsidRPr="0095106E">
          <w:rPr>
            <w:rStyle w:val="Hyperlink"/>
            <w:rFonts w:ascii="Times New Roman" w:hAnsi="Times New Roman"/>
            <w:noProof/>
            <w:sz w:val="24"/>
          </w:rPr>
          <w:t>1.1  Bestemmingsbeginsel</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_Toc260928080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6</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1" w:history="1">
        <w:r w:rsidRPr="0095106E">
          <w:rPr>
            <w:rStyle w:val="Hyperlink"/>
            <w:rFonts w:ascii="Times New Roman" w:hAnsi="Times New Roman"/>
            <w:noProof/>
            <w:sz w:val="24"/>
          </w:rPr>
          <w:t>1.2  Neutraliteitsbeginsel</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_Toc260928081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7</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2" w:history="1">
        <w:r w:rsidRPr="0095106E">
          <w:rPr>
            <w:rStyle w:val="Hyperlink"/>
            <w:rFonts w:ascii="Times New Roman" w:hAnsi="Times New Roman"/>
            <w:noProof/>
            <w:sz w:val="24"/>
          </w:rPr>
          <w:t>1.3 Evenredigheidsbeginsel</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_Toc260928082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14</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3" w:history="1">
        <w:r w:rsidRPr="0095106E">
          <w:rPr>
            <w:rStyle w:val="Hyperlink"/>
            <w:rFonts w:ascii="Times New Roman" w:hAnsi="Times New Roman"/>
            <w:noProof/>
            <w:sz w:val="24"/>
          </w:rPr>
          <w:t>1.4 Definitie diensten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_Toc260928083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17</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4" w:history="1">
        <w:r w:rsidRPr="0095106E">
          <w:rPr>
            <w:rStyle w:val="Hyperlink"/>
            <w:rFonts w:ascii="Times New Roman" w:hAnsi="Times New Roman"/>
            <w:noProof/>
            <w:sz w:val="24"/>
          </w:rPr>
          <w:t>1.5 Het vestigingsbegrip</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_Toc260928084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19</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085" w:history="1">
        <w:r w:rsidRPr="0095106E">
          <w:rPr>
            <w:rStyle w:val="Hyperlink"/>
            <w:b w:val="0"/>
            <w:noProof/>
            <w:sz w:val="24"/>
          </w:rPr>
          <w:t>Hoofdstuk 2: Parlementaire geschiedenis</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_Toc260928085 \h </w:instrText>
        </w:r>
        <w:r w:rsidRPr="0095106E">
          <w:rPr>
            <w:b w:val="0"/>
            <w:noProof/>
            <w:webHidden/>
            <w:sz w:val="24"/>
          </w:rPr>
        </w:r>
        <w:r w:rsidRPr="0095106E">
          <w:rPr>
            <w:b w:val="0"/>
            <w:noProof/>
            <w:webHidden/>
            <w:sz w:val="24"/>
          </w:rPr>
          <w:fldChar w:fldCharType="separate"/>
        </w:r>
        <w:r>
          <w:rPr>
            <w:b w:val="0"/>
            <w:noProof/>
            <w:webHidden/>
            <w:sz w:val="24"/>
          </w:rPr>
          <w:t>21</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6" w:history="1">
        <w:r w:rsidRPr="0095106E">
          <w:rPr>
            <w:rStyle w:val="Hyperlink"/>
            <w:rFonts w:ascii="Times New Roman" w:hAnsi="Times New Roman"/>
            <w:noProof/>
            <w:sz w:val="24"/>
          </w:rPr>
          <w:t>2.1 Ingevoerde richtlijnvoorstellen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_Toc260928086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21</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7" w:history="1">
        <w:r w:rsidRPr="0095106E">
          <w:rPr>
            <w:rStyle w:val="Hyperlink"/>
            <w:rFonts w:ascii="Times New Roman" w:hAnsi="Times New Roman"/>
            <w:noProof/>
            <w:sz w:val="24"/>
          </w:rPr>
          <w:t>2.2 Niet ingevoerde richtlijnvoorstellen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_Toc260928087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24</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88" w:history="1">
        <w:r w:rsidRPr="0095106E">
          <w:rPr>
            <w:rStyle w:val="Hyperlink"/>
            <w:rFonts w:ascii="Times New Roman" w:hAnsi="Times New Roman"/>
            <w:noProof/>
            <w:sz w:val="24"/>
          </w:rPr>
          <w:t>2.3 Overeenkomsten tussen deze richtlijnvoorstellen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_Toc260928088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29</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089" w:history="1">
        <w:r w:rsidRPr="0095106E">
          <w:rPr>
            <w:rStyle w:val="Hyperlink"/>
            <w:b w:val="0"/>
            <w:noProof/>
            <w:sz w:val="24"/>
          </w:rPr>
          <w:t>Hoofdstuk 3: Gewenste situatie</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_Toc260928089 \h </w:instrText>
        </w:r>
        <w:r w:rsidRPr="0095106E">
          <w:rPr>
            <w:b w:val="0"/>
            <w:noProof/>
            <w:webHidden/>
            <w:sz w:val="24"/>
          </w:rPr>
        </w:r>
        <w:r w:rsidRPr="0095106E">
          <w:rPr>
            <w:b w:val="0"/>
            <w:noProof/>
            <w:webHidden/>
            <w:sz w:val="24"/>
          </w:rPr>
          <w:fldChar w:fldCharType="separate"/>
        </w:r>
        <w:r>
          <w:rPr>
            <w:b w:val="0"/>
            <w:noProof/>
            <w:webHidden/>
            <w:sz w:val="24"/>
          </w:rPr>
          <w:t>31</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0" w:history="1">
        <w:r w:rsidRPr="0095106E">
          <w:rPr>
            <w:rStyle w:val="Hyperlink"/>
            <w:rFonts w:ascii="Times New Roman" w:hAnsi="Times New Roman"/>
            <w:noProof/>
            <w:sz w:val="24"/>
          </w:rPr>
          <w:t>3.1 Wat moet er belast worden?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_Toc260928090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31</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1" w:history="1">
        <w:r w:rsidRPr="0095106E">
          <w:rPr>
            <w:rStyle w:val="Hyperlink"/>
            <w:rFonts w:ascii="Times New Roman" w:hAnsi="Times New Roman"/>
            <w:noProof/>
            <w:sz w:val="24"/>
          </w:rPr>
          <w:t>3.2 Waar moet er belast worden?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_Toc260928091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32</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2" w:history="1">
        <w:r w:rsidRPr="0095106E">
          <w:rPr>
            <w:rStyle w:val="Hyperlink"/>
            <w:rFonts w:ascii="Times New Roman" w:hAnsi="Times New Roman"/>
            <w:noProof/>
            <w:sz w:val="24"/>
          </w:rPr>
          <w:t>3.3 Hoe moet er belast worden?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_Toc260928092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35</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3" w:history="1">
        <w:r w:rsidRPr="0095106E">
          <w:rPr>
            <w:rStyle w:val="Hyperlink"/>
            <w:rFonts w:ascii="Times New Roman" w:hAnsi="Times New Roman"/>
            <w:noProof/>
            <w:sz w:val="24"/>
          </w:rPr>
          <w:t>3.4 Gewenste situatie</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_Toc260928093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38</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094" w:history="1">
        <w:r w:rsidRPr="0095106E">
          <w:rPr>
            <w:rStyle w:val="Hyperlink"/>
            <w:b w:val="0"/>
            <w:noProof/>
            <w:sz w:val="24"/>
          </w:rPr>
          <w:t>Hoofdstuk 4: Situatie tot 1 januari 2010</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_Toc260928094 \h </w:instrText>
        </w:r>
        <w:r w:rsidRPr="0095106E">
          <w:rPr>
            <w:b w:val="0"/>
            <w:noProof/>
            <w:webHidden/>
            <w:sz w:val="24"/>
          </w:rPr>
        </w:r>
        <w:r w:rsidRPr="0095106E">
          <w:rPr>
            <w:b w:val="0"/>
            <w:noProof/>
            <w:webHidden/>
            <w:sz w:val="24"/>
          </w:rPr>
          <w:fldChar w:fldCharType="separate"/>
        </w:r>
        <w:r>
          <w:rPr>
            <w:b w:val="0"/>
            <w:noProof/>
            <w:webHidden/>
            <w:sz w:val="24"/>
          </w:rPr>
          <w:t>41</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5" w:history="1">
        <w:r w:rsidRPr="0095106E">
          <w:rPr>
            <w:rStyle w:val="Hyperlink"/>
            <w:rFonts w:ascii="Times New Roman" w:hAnsi="Times New Roman"/>
            <w:noProof/>
            <w:sz w:val="24"/>
          </w:rPr>
          <w:t>4.1 Wat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_Toc260928095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41</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6" w:history="1">
        <w:r w:rsidRPr="0095106E">
          <w:rPr>
            <w:rStyle w:val="Hyperlink"/>
            <w:rFonts w:ascii="Times New Roman" w:hAnsi="Times New Roman"/>
            <w:noProof/>
            <w:sz w:val="24"/>
          </w:rPr>
          <w:t>4.2 Waar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_Toc260928096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42</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7" w:history="1">
        <w:r w:rsidRPr="0095106E">
          <w:rPr>
            <w:rStyle w:val="Hyperlink"/>
            <w:rFonts w:ascii="Times New Roman" w:hAnsi="Times New Roman"/>
            <w:noProof/>
            <w:sz w:val="24"/>
          </w:rPr>
          <w:t>4.3  Hoe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_Toc260928097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45</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098" w:history="1">
        <w:r w:rsidRPr="0095106E">
          <w:rPr>
            <w:rStyle w:val="Hyperlink"/>
            <w:b w:val="0"/>
            <w:noProof/>
            <w:sz w:val="24"/>
          </w:rPr>
          <w:t>Hoofdstuk 5: Huidige situatie (vanaf 1 januari 2010)</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_Toc260928098 \h </w:instrText>
        </w:r>
        <w:r w:rsidRPr="0095106E">
          <w:rPr>
            <w:b w:val="0"/>
            <w:noProof/>
            <w:webHidden/>
            <w:sz w:val="24"/>
          </w:rPr>
        </w:r>
        <w:r w:rsidRPr="0095106E">
          <w:rPr>
            <w:b w:val="0"/>
            <w:noProof/>
            <w:webHidden/>
            <w:sz w:val="24"/>
          </w:rPr>
          <w:fldChar w:fldCharType="separate"/>
        </w:r>
        <w:r>
          <w:rPr>
            <w:b w:val="0"/>
            <w:noProof/>
            <w:webHidden/>
            <w:sz w:val="24"/>
          </w:rPr>
          <w:t>49</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099" w:history="1">
        <w:r w:rsidRPr="0095106E">
          <w:rPr>
            <w:rStyle w:val="Hyperlink"/>
            <w:rFonts w:ascii="Times New Roman" w:hAnsi="Times New Roman"/>
            <w:noProof/>
            <w:sz w:val="24"/>
          </w:rPr>
          <w:t>5.1 Wat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_Toc260928099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49</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0" w:history="1">
        <w:r w:rsidRPr="0095106E">
          <w:rPr>
            <w:rStyle w:val="Hyperlink"/>
            <w:rFonts w:ascii="Times New Roman" w:hAnsi="Times New Roman"/>
            <w:noProof/>
            <w:sz w:val="24"/>
          </w:rPr>
          <w:t>5.2 Waar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_Toc260928100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49</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1" w:history="1">
        <w:r w:rsidRPr="0095106E">
          <w:rPr>
            <w:rStyle w:val="Hyperlink"/>
            <w:rFonts w:ascii="Times New Roman" w:hAnsi="Times New Roman"/>
            <w:noProof/>
            <w:sz w:val="24"/>
          </w:rPr>
          <w:t>5.3 Hoe wordt er belast?</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_Toc260928101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52</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2" w:history="1">
        <w:r w:rsidRPr="0095106E">
          <w:rPr>
            <w:rStyle w:val="Hyperlink"/>
            <w:rFonts w:ascii="Times New Roman" w:hAnsi="Times New Roman"/>
            <w:noProof/>
            <w:sz w:val="24"/>
          </w:rPr>
          <w:t>5.4 Doel van de wijzigingen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_Toc260928102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53</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3" w:history="1">
        <w:r w:rsidRPr="0095106E">
          <w:rPr>
            <w:rStyle w:val="Hyperlink"/>
            <w:rFonts w:ascii="Times New Roman" w:hAnsi="Times New Roman"/>
            <w:noProof/>
            <w:sz w:val="24"/>
          </w:rPr>
          <w:t>5.5 Verwachte aanpassingen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_Toc260928103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53</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104" w:history="1">
        <w:r w:rsidRPr="0095106E">
          <w:rPr>
            <w:rStyle w:val="Hyperlink"/>
            <w:b w:val="0"/>
            <w:noProof/>
            <w:sz w:val="24"/>
          </w:rPr>
          <w:t>Hoofdstuk 6: Knelpunten huidige wetgeving</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_Toc260928104 \h </w:instrText>
        </w:r>
        <w:r w:rsidRPr="0095106E">
          <w:rPr>
            <w:b w:val="0"/>
            <w:noProof/>
            <w:webHidden/>
            <w:sz w:val="24"/>
          </w:rPr>
        </w:r>
        <w:r w:rsidRPr="0095106E">
          <w:rPr>
            <w:b w:val="0"/>
            <w:noProof/>
            <w:webHidden/>
            <w:sz w:val="24"/>
          </w:rPr>
          <w:fldChar w:fldCharType="separate"/>
        </w:r>
        <w:r>
          <w:rPr>
            <w:b w:val="0"/>
            <w:noProof/>
            <w:webHidden/>
            <w:sz w:val="24"/>
          </w:rPr>
          <w:t>55</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5" w:history="1">
        <w:r w:rsidRPr="0095106E">
          <w:rPr>
            <w:rStyle w:val="Hyperlink"/>
            <w:rFonts w:ascii="Times New Roman" w:hAnsi="Times New Roman"/>
            <w:noProof/>
            <w:sz w:val="24"/>
          </w:rPr>
          <w:t>6.1 Privé gebruik</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_Toc260928105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55</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6" w:history="1">
        <w:r w:rsidRPr="0095106E">
          <w:rPr>
            <w:rStyle w:val="Hyperlink"/>
            <w:rFonts w:ascii="Times New Roman" w:hAnsi="Times New Roman"/>
            <w:noProof/>
            <w:sz w:val="24"/>
          </w:rPr>
          <w:t>6.2 Vestigingsplaats afnemer</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_Toc260928106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57</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7" w:history="1">
        <w:r w:rsidRPr="0095106E">
          <w:rPr>
            <w:rStyle w:val="Hyperlink"/>
            <w:rFonts w:ascii="Times New Roman" w:hAnsi="Times New Roman"/>
            <w:noProof/>
            <w:sz w:val="24"/>
          </w:rPr>
          <w:t>6.3 Vaste inrichting</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_Toc260928107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58</w:t>
        </w:r>
        <w:r w:rsidRPr="0095106E">
          <w:rPr>
            <w:rFonts w:ascii="Times New Roman" w:hAnsi="Times New Roman"/>
            <w:noProof/>
            <w:webHidden/>
            <w:sz w:val="24"/>
          </w:rPr>
          <w:fldChar w:fldCharType="end"/>
        </w:r>
      </w:hyperlink>
    </w:p>
    <w:p w:rsidR="00A8672C" w:rsidRDefault="00A8672C" w:rsidP="00D4603A">
      <w:pPr>
        <w:pStyle w:val="TOC1"/>
        <w:spacing w:before="0"/>
      </w:pPr>
    </w:p>
    <w:p w:rsidR="00A8672C" w:rsidRDefault="00A8672C" w:rsidP="00D4603A">
      <w:pPr>
        <w:pStyle w:val="TOC1"/>
        <w:spacing w:before="0"/>
      </w:pPr>
    </w:p>
    <w:p w:rsidR="00A8672C" w:rsidRPr="0095106E" w:rsidRDefault="00A8672C" w:rsidP="00D4603A">
      <w:pPr>
        <w:pStyle w:val="TOC1"/>
        <w:spacing w:before="0"/>
        <w:rPr>
          <w:b w:val="0"/>
          <w:bCs w:val="0"/>
          <w:caps w:val="0"/>
          <w:noProof/>
          <w:sz w:val="24"/>
          <w:szCs w:val="22"/>
        </w:rPr>
      </w:pPr>
      <w:hyperlink w:anchor="_Toc260928108" w:history="1">
        <w:r w:rsidRPr="0095106E">
          <w:rPr>
            <w:rStyle w:val="Hyperlink"/>
            <w:b w:val="0"/>
            <w:noProof/>
            <w:sz w:val="24"/>
          </w:rPr>
          <w:t>Hoofdstuk 7: Toepasbaarheid</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_Toc260928108 \h </w:instrText>
        </w:r>
        <w:r w:rsidRPr="0095106E">
          <w:rPr>
            <w:b w:val="0"/>
            <w:noProof/>
            <w:webHidden/>
            <w:sz w:val="24"/>
          </w:rPr>
        </w:r>
        <w:r w:rsidRPr="0095106E">
          <w:rPr>
            <w:b w:val="0"/>
            <w:noProof/>
            <w:webHidden/>
            <w:sz w:val="24"/>
          </w:rPr>
          <w:fldChar w:fldCharType="separate"/>
        </w:r>
        <w:r>
          <w:rPr>
            <w:b w:val="0"/>
            <w:noProof/>
            <w:webHidden/>
            <w:sz w:val="24"/>
          </w:rPr>
          <w:t>64</w:t>
        </w:r>
        <w:r w:rsidRPr="0095106E">
          <w:rPr>
            <w:b w:val="0"/>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09" w:history="1">
        <w:r w:rsidRPr="0095106E">
          <w:rPr>
            <w:rStyle w:val="Hyperlink"/>
            <w:rFonts w:ascii="Times New Roman" w:hAnsi="Times New Roman"/>
            <w:noProof/>
            <w:sz w:val="24"/>
          </w:rPr>
          <w:t>7.1 Situatie tot 1 januari 2010</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_Toc260928109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64</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10" w:history="1">
        <w:r w:rsidRPr="0095106E">
          <w:rPr>
            <w:rStyle w:val="Hyperlink"/>
            <w:rFonts w:ascii="Times New Roman" w:hAnsi="Times New Roman"/>
            <w:noProof/>
            <w:sz w:val="24"/>
          </w:rPr>
          <w:t>7.2 Huidige situatie (vanaf  1 januari 2010)</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_Toc260928110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64</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11" w:history="1">
        <w:r w:rsidRPr="0095106E">
          <w:rPr>
            <w:rStyle w:val="Hyperlink"/>
            <w:rFonts w:ascii="Times New Roman" w:hAnsi="Times New Roman"/>
            <w:noProof/>
            <w:sz w:val="24"/>
          </w:rPr>
          <w:t>7.3 Gewenste situatie</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_Toc260928111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66</w:t>
        </w:r>
        <w:r w:rsidRPr="0095106E">
          <w:rPr>
            <w:rFonts w:ascii="Times New Roman" w:hAnsi="Times New Roman"/>
            <w:noProof/>
            <w:webHidden/>
            <w:sz w:val="24"/>
          </w:rPr>
          <w:fldChar w:fldCharType="end"/>
        </w:r>
      </w:hyperlink>
    </w:p>
    <w:p w:rsidR="00A8672C" w:rsidRPr="0095106E" w:rsidRDefault="00A8672C" w:rsidP="00D4603A">
      <w:pPr>
        <w:pStyle w:val="TOC2"/>
        <w:tabs>
          <w:tab w:val="right" w:leader="dot" w:pos="9062"/>
        </w:tabs>
        <w:rPr>
          <w:rFonts w:ascii="Times New Roman" w:hAnsi="Times New Roman"/>
          <w:noProof/>
          <w:sz w:val="24"/>
          <w:lang w:eastAsia="nl-NL"/>
        </w:rPr>
      </w:pPr>
      <w:hyperlink w:anchor="_Toc260928112" w:history="1">
        <w:r w:rsidRPr="0095106E">
          <w:rPr>
            <w:rStyle w:val="Hyperlink"/>
            <w:rFonts w:ascii="Times New Roman" w:hAnsi="Times New Roman"/>
            <w:noProof/>
            <w:sz w:val="24"/>
          </w:rPr>
          <w:t>7.4 Voorwaarden om aan de gewenste situatie te voldoen</w:t>
        </w:r>
        <w:r w:rsidRPr="0095106E">
          <w:rPr>
            <w:rFonts w:ascii="Times New Roman" w:hAnsi="Times New Roman"/>
            <w:noProof/>
            <w:webHidden/>
            <w:sz w:val="24"/>
          </w:rPr>
          <w:tab/>
        </w:r>
        <w:r w:rsidRPr="0095106E">
          <w:rPr>
            <w:rFonts w:ascii="Times New Roman" w:hAnsi="Times New Roman"/>
            <w:noProof/>
            <w:webHidden/>
            <w:sz w:val="24"/>
          </w:rPr>
          <w:fldChar w:fldCharType="begin"/>
        </w:r>
        <w:r w:rsidRPr="0095106E">
          <w:rPr>
            <w:rFonts w:ascii="Times New Roman" w:hAnsi="Times New Roman"/>
            <w:noProof/>
            <w:webHidden/>
            <w:sz w:val="24"/>
          </w:rPr>
          <w:instrText xml:space="preserve"> PAGEREF _Toc260928112 \h </w:instrText>
        </w:r>
        <w:r w:rsidRPr="0095106E">
          <w:rPr>
            <w:rFonts w:ascii="Times New Roman" w:hAnsi="Times New Roman"/>
            <w:noProof/>
            <w:webHidden/>
            <w:sz w:val="24"/>
          </w:rPr>
        </w:r>
        <w:r w:rsidRPr="0095106E">
          <w:rPr>
            <w:rFonts w:ascii="Times New Roman" w:hAnsi="Times New Roman"/>
            <w:noProof/>
            <w:webHidden/>
            <w:sz w:val="24"/>
          </w:rPr>
          <w:fldChar w:fldCharType="separate"/>
        </w:r>
        <w:r>
          <w:rPr>
            <w:rFonts w:ascii="Times New Roman" w:hAnsi="Times New Roman"/>
            <w:noProof/>
            <w:webHidden/>
            <w:sz w:val="24"/>
          </w:rPr>
          <w:t>68</w:t>
        </w:r>
        <w:r w:rsidRPr="0095106E">
          <w:rPr>
            <w:rFonts w:ascii="Times New Roman" w:hAnsi="Times New Roman"/>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113" w:history="1">
        <w:r w:rsidRPr="0095106E">
          <w:rPr>
            <w:rStyle w:val="Hyperlink"/>
            <w:b w:val="0"/>
            <w:noProof/>
            <w:sz w:val="24"/>
          </w:rPr>
          <w:t>Conclusie</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_Toc260928113 \h </w:instrText>
        </w:r>
        <w:r w:rsidRPr="0095106E">
          <w:rPr>
            <w:b w:val="0"/>
            <w:noProof/>
            <w:webHidden/>
            <w:sz w:val="24"/>
          </w:rPr>
        </w:r>
        <w:r w:rsidRPr="0095106E">
          <w:rPr>
            <w:b w:val="0"/>
            <w:noProof/>
            <w:webHidden/>
            <w:sz w:val="24"/>
          </w:rPr>
          <w:fldChar w:fldCharType="separate"/>
        </w:r>
        <w:r>
          <w:rPr>
            <w:b w:val="0"/>
            <w:noProof/>
            <w:webHidden/>
            <w:sz w:val="24"/>
          </w:rPr>
          <w:t>70</w:t>
        </w:r>
        <w:r w:rsidRPr="0095106E">
          <w:rPr>
            <w:b w:val="0"/>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114" w:history="1">
        <w:r w:rsidRPr="0095106E">
          <w:rPr>
            <w:rStyle w:val="Hyperlink"/>
            <w:b w:val="0"/>
            <w:noProof/>
            <w:sz w:val="24"/>
          </w:rPr>
          <w:t>Nawoord</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_Toc260928114 \h </w:instrText>
        </w:r>
        <w:r w:rsidRPr="0095106E">
          <w:rPr>
            <w:b w:val="0"/>
            <w:noProof/>
            <w:webHidden/>
            <w:sz w:val="24"/>
          </w:rPr>
        </w:r>
        <w:r w:rsidRPr="0095106E">
          <w:rPr>
            <w:b w:val="0"/>
            <w:noProof/>
            <w:webHidden/>
            <w:sz w:val="24"/>
          </w:rPr>
          <w:fldChar w:fldCharType="separate"/>
        </w:r>
        <w:r>
          <w:rPr>
            <w:b w:val="0"/>
            <w:noProof/>
            <w:webHidden/>
            <w:sz w:val="24"/>
          </w:rPr>
          <w:t>72</w:t>
        </w:r>
        <w:r w:rsidRPr="0095106E">
          <w:rPr>
            <w:b w:val="0"/>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115" w:history="1">
        <w:r w:rsidRPr="0095106E">
          <w:rPr>
            <w:rStyle w:val="Hyperlink"/>
            <w:b w:val="0"/>
            <w:noProof/>
            <w:sz w:val="24"/>
          </w:rPr>
          <w:t>Literatuurlijst</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_Toc260928115 \h </w:instrText>
        </w:r>
        <w:r w:rsidRPr="0095106E">
          <w:rPr>
            <w:b w:val="0"/>
            <w:noProof/>
            <w:webHidden/>
            <w:sz w:val="24"/>
          </w:rPr>
        </w:r>
        <w:r w:rsidRPr="0095106E">
          <w:rPr>
            <w:b w:val="0"/>
            <w:noProof/>
            <w:webHidden/>
            <w:sz w:val="24"/>
          </w:rPr>
          <w:fldChar w:fldCharType="separate"/>
        </w:r>
        <w:r>
          <w:rPr>
            <w:b w:val="0"/>
            <w:noProof/>
            <w:webHidden/>
            <w:sz w:val="24"/>
          </w:rPr>
          <w:t>73</w:t>
        </w:r>
        <w:r w:rsidRPr="0095106E">
          <w:rPr>
            <w:b w:val="0"/>
            <w:noProof/>
            <w:webHidden/>
            <w:sz w:val="24"/>
          </w:rPr>
          <w:fldChar w:fldCharType="end"/>
        </w:r>
      </w:hyperlink>
    </w:p>
    <w:p w:rsidR="00A8672C" w:rsidRPr="0095106E" w:rsidRDefault="00A8672C" w:rsidP="00D4603A">
      <w:pPr>
        <w:pStyle w:val="TOC1"/>
        <w:spacing w:before="0"/>
        <w:rPr>
          <w:b w:val="0"/>
          <w:bCs w:val="0"/>
          <w:caps w:val="0"/>
          <w:noProof/>
          <w:sz w:val="24"/>
          <w:szCs w:val="22"/>
        </w:rPr>
      </w:pPr>
      <w:hyperlink w:anchor="_Toc260928116" w:history="1">
        <w:r w:rsidRPr="0095106E">
          <w:rPr>
            <w:rStyle w:val="Hyperlink"/>
            <w:b w:val="0"/>
            <w:noProof/>
            <w:sz w:val="24"/>
          </w:rPr>
          <w:t>Bijlage 1</w:t>
        </w:r>
        <w:r w:rsidRPr="0095106E">
          <w:rPr>
            <w:b w:val="0"/>
            <w:noProof/>
            <w:webHidden/>
            <w:sz w:val="24"/>
          </w:rPr>
          <w:tab/>
        </w:r>
        <w:r w:rsidRPr="0095106E">
          <w:rPr>
            <w:b w:val="0"/>
            <w:noProof/>
            <w:webHidden/>
            <w:sz w:val="24"/>
          </w:rPr>
          <w:fldChar w:fldCharType="begin"/>
        </w:r>
        <w:r w:rsidRPr="0095106E">
          <w:rPr>
            <w:b w:val="0"/>
            <w:noProof/>
            <w:webHidden/>
            <w:sz w:val="24"/>
          </w:rPr>
          <w:instrText xml:space="preserve"> PAGEREF _Toc260928116 \h </w:instrText>
        </w:r>
        <w:r w:rsidRPr="0095106E">
          <w:rPr>
            <w:b w:val="0"/>
            <w:noProof/>
            <w:webHidden/>
            <w:sz w:val="24"/>
          </w:rPr>
        </w:r>
        <w:r w:rsidRPr="0095106E">
          <w:rPr>
            <w:b w:val="0"/>
            <w:noProof/>
            <w:webHidden/>
            <w:sz w:val="24"/>
          </w:rPr>
          <w:fldChar w:fldCharType="separate"/>
        </w:r>
        <w:r>
          <w:rPr>
            <w:b w:val="0"/>
            <w:noProof/>
            <w:webHidden/>
            <w:sz w:val="24"/>
          </w:rPr>
          <w:t>76</w:t>
        </w:r>
        <w:r w:rsidRPr="0095106E">
          <w:rPr>
            <w:b w:val="0"/>
            <w:noProof/>
            <w:webHidden/>
            <w:sz w:val="24"/>
          </w:rPr>
          <w:fldChar w:fldCharType="end"/>
        </w:r>
      </w:hyperlink>
    </w:p>
    <w:p w:rsidR="00A8672C" w:rsidRPr="00C74A9A" w:rsidRDefault="00A8672C" w:rsidP="00D4603A">
      <w:pPr>
        <w:spacing w:line="360" w:lineRule="auto"/>
        <w:jc w:val="both"/>
        <w:rPr>
          <w:lang w:val="nl-NL"/>
        </w:rPr>
      </w:pPr>
      <w:r w:rsidRPr="0095106E">
        <w:rPr>
          <w:b/>
        </w:rPr>
        <w:fldChar w:fldCharType="end"/>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p>
    <w:p w:rsidR="00A8672C" w:rsidRPr="00C74A9A" w:rsidRDefault="00A8672C" w:rsidP="00D4603A">
      <w:pPr>
        <w:pStyle w:val="Heading1"/>
        <w:jc w:val="both"/>
        <w:rPr>
          <w:szCs w:val="24"/>
        </w:rPr>
      </w:pPr>
    </w:p>
    <w:p w:rsidR="00A8672C" w:rsidRDefault="00A8672C" w:rsidP="00D4603A">
      <w:pPr>
        <w:pStyle w:val="Heading1"/>
        <w:jc w:val="both"/>
        <w:rPr>
          <w:szCs w:val="24"/>
        </w:rPr>
      </w:pPr>
      <w:r w:rsidRPr="00C74A9A">
        <w:rPr>
          <w:szCs w:val="24"/>
        </w:rPr>
        <w:br w:type="page"/>
      </w:r>
    </w:p>
    <w:p w:rsidR="00A8672C" w:rsidRPr="00D4603A" w:rsidRDefault="00A8672C" w:rsidP="00D4603A">
      <w:pPr>
        <w:pStyle w:val="Heading1"/>
      </w:pPr>
      <w:bookmarkStart w:id="0" w:name="_Toc260928078"/>
      <w:r w:rsidRPr="00D4603A">
        <w:t>Inleiding</w:t>
      </w:r>
      <w:bookmarkEnd w:id="0"/>
    </w:p>
    <w:p w:rsidR="00A8672C" w:rsidRPr="00C74A9A" w:rsidRDefault="00A8672C" w:rsidP="00D4603A">
      <w:pPr>
        <w:spacing w:line="360" w:lineRule="auto"/>
        <w:jc w:val="both"/>
        <w:rPr>
          <w:lang w:val="nl-NL"/>
        </w:rPr>
      </w:pPr>
    </w:p>
    <w:p w:rsidR="00A8672C" w:rsidRDefault="00A8672C" w:rsidP="00D4603A">
      <w:pPr>
        <w:spacing w:line="360" w:lineRule="auto"/>
        <w:jc w:val="both"/>
        <w:rPr>
          <w:lang w:val="nl-NL"/>
        </w:rPr>
      </w:pPr>
      <w:r w:rsidRPr="00C74A9A">
        <w:rPr>
          <w:lang w:val="nl-NL"/>
        </w:rPr>
        <w:t>De plaatsbepaling van di</w:t>
      </w:r>
      <w:r>
        <w:rPr>
          <w:lang w:val="nl-NL"/>
        </w:rPr>
        <w:t>ensten in de omzetbelasting is per 1 januari 2010 veranderd. Per 1 januari 2010 dient de</w:t>
      </w:r>
      <w:r w:rsidRPr="00C74A9A">
        <w:rPr>
          <w:lang w:val="nl-NL"/>
        </w:rPr>
        <w:t xml:space="preserve"> BTW richtlijn geïmplementeerd te </w:t>
      </w:r>
      <w:r>
        <w:rPr>
          <w:lang w:val="nl-NL"/>
        </w:rPr>
        <w:t>zijn</w:t>
      </w:r>
      <w:r w:rsidRPr="00C74A9A">
        <w:rPr>
          <w:lang w:val="nl-NL"/>
        </w:rPr>
        <w:t xml:space="preserve"> in de nationale wetgeving. In de memorie van toelichting staat dat: ‘Het doel van de wijzigingen is dat de belasting in principe wordt geheven op de plaats van het verbruik, tenzij dit leidt tot extra verplichtingen voor ondernemers en belastingdiensten die als onevenredig, omslachtig of onpraktisch worden beschouwd.’</w:t>
      </w:r>
      <w:r w:rsidRPr="00C74A9A">
        <w:rPr>
          <w:rStyle w:val="FootnoteReference"/>
          <w:lang w:val="nl-NL"/>
        </w:rPr>
        <w:footnoteReference w:id="1"/>
      </w:r>
    </w:p>
    <w:p w:rsidR="00A8672C" w:rsidRPr="00C74A9A" w:rsidRDefault="00A8672C" w:rsidP="00D4603A">
      <w:pPr>
        <w:spacing w:line="360" w:lineRule="auto"/>
        <w:jc w:val="both"/>
        <w:rPr>
          <w:lang w:val="nl-NL"/>
        </w:rPr>
      </w:pPr>
    </w:p>
    <w:p w:rsidR="00A8672C" w:rsidRDefault="00A8672C" w:rsidP="00D4603A">
      <w:pPr>
        <w:spacing w:line="360" w:lineRule="auto"/>
        <w:jc w:val="both"/>
        <w:rPr>
          <w:lang w:val="nl-NL"/>
        </w:rPr>
      </w:pPr>
      <w:r w:rsidRPr="00C74A9A">
        <w:rPr>
          <w:lang w:val="nl-NL"/>
        </w:rPr>
        <w:t xml:space="preserve">In het verleden zijn al vele wetsvoorstellen over de plaats van dienst in de omzetbelasting aan de orde gekomen. Deze wetsvoorstellen zijn echter niet allemaal ingevoerd.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 xml:space="preserve">De doelstelling van mijn scriptie is het analyseren of </w:t>
      </w:r>
      <w:r>
        <w:rPr>
          <w:lang w:val="nl-NL"/>
        </w:rPr>
        <w:t>de aanpassing van de wettekst per 1 januari 2010</w:t>
      </w:r>
      <w:r w:rsidRPr="00C74A9A">
        <w:rPr>
          <w:lang w:val="nl-NL"/>
        </w:rPr>
        <w:t xml:space="preserve"> een stap richting de gewenste situatie is. Aan de hand van de literatuur schets ik de gewenste situatie. Tevens analyseer ik de eerder</w:t>
      </w:r>
      <w:r>
        <w:rPr>
          <w:lang w:val="nl-NL"/>
        </w:rPr>
        <w:t xml:space="preserve">e ingevoerde en </w:t>
      </w:r>
      <w:r w:rsidRPr="00C74A9A">
        <w:rPr>
          <w:lang w:val="nl-NL"/>
        </w:rPr>
        <w:t>niet inge</w:t>
      </w:r>
      <w:r>
        <w:rPr>
          <w:lang w:val="nl-NL"/>
        </w:rPr>
        <w:t>voerde wetsvoorstellen. De eerdere</w:t>
      </w:r>
      <w:r w:rsidRPr="00C74A9A">
        <w:rPr>
          <w:lang w:val="nl-NL"/>
        </w:rPr>
        <w:t xml:space="preserve"> wetsvoorstellen en het huidige wetsvoorstel zal ik toetsen aan de gewenste situatie. Aan de hand van dit res</w:t>
      </w:r>
      <w:r>
        <w:rPr>
          <w:lang w:val="nl-NL"/>
        </w:rPr>
        <w:t>ultaat kan ik beoordelen of de w</w:t>
      </w:r>
      <w:r w:rsidRPr="00C74A9A">
        <w:rPr>
          <w:lang w:val="nl-NL"/>
        </w:rPr>
        <w:t>et</w:t>
      </w:r>
      <w:r>
        <w:rPr>
          <w:lang w:val="nl-NL"/>
        </w:rPr>
        <w:t>swijziging</w:t>
      </w:r>
      <w:r w:rsidRPr="00C74A9A">
        <w:rPr>
          <w:lang w:val="nl-NL"/>
        </w:rPr>
        <w:t xml:space="preserve"> </w:t>
      </w:r>
      <w:r>
        <w:rPr>
          <w:lang w:val="nl-NL"/>
        </w:rPr>
        <w:t xml:space="preserve">vanaf 1 januari 2010 </w:t>
      </w:r>
      <w:r w:rsidRPr="00C74A9A">
        <w:rPr>
          <w:lang w:val="nl-NL"/>
        </w:rPr>
        <w:t xml:space="preserve">een verbetering </w:t>
      </w:r>
      <w:r>
        <w:rPr>
          <w:lang w:val="nl-NL"/>
        </w:rPr>
        <w:t>of slechts een wijziging is ten opzichte van de wet</w:t>
      </w:r>
      <w:r w:rsidRPr="00C74A9A">
        <w:rPr>
          <w:lang w:val="nl-NL"/>
        </w:rPr>
        <w:t xml:space="preserve"> </w:t>
      </w:r>
      <w:r>
        <w:rPr>
          <w:lang w:val="nl-NL"/>
        </w:rPr>
        <w:t xml:space="preserve">tot 1 januari 2010. </w:t>
      </w:r>
      <w:r w:rsidRPr="00C74A9A">
        <w:rPr>
          <w:lang w:val="nl-NL"/>
        </w:rPr>
        <w:t xml:space="preserve">In mijn scriptie </w:t>
      </w:r>
      <w:r>
        <w:rPr>
          <w:lang w:val="nl-NL"/>
        </w:rPr>
        <w:t>ga</w:t>
      </w:r>
      <w:r w:rsidRPr="00C74A9A">
        <w:rPr>
          <w:lang w:val="nl-NL"/>
        </w:rPr>
        <w:t xml:space="preserve"> ik uitsluitend </w:t>
      </w:r>
      <w:r>
        <w:rPr>
          <w:lang w:val="nl-NL"/>
        </w:rPr>
        <w:t xml:space="preserve">in op </w:t>
      </w:r>
      <w:r w:rsidRPr="00C74A9A">
        <w:rPr>
          <w:lang w:val="nl-NL"/>
        </w:rPr>
        <w:t>de plaats van dienst in de Wet op de omzetbelasting 1968.</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De probleemstelling van mijn scriptie is:</w:t>
      </w:r>
    </w:p>
    <w:p w:rsidR="00A8672C" w:rsidRPr="00C74A9A" w:rsidRDefault="00A8672C" w:rsidP="00D4603A">
      <w:pPr>
        <w:spacing w:line="360" w:lineRule="auto"/>
        <w:jc w:val="both"/>
        <w:rPr>
          <w:i/>
          <w:lang w:val="nl-NL"/>
        </w:rPr>
      </w:pPr>
      <w:r w:rsidRPr="00C74A9A">
        <w:rPr>
          <w:i/>
          <w:lang w:val="nl-NL"/>
        </w:rPr>
        <w:t xml:space="preserve">Is de </w:t>
      </w:r>
      <w:r>
        <w:rPr>
          <w:i/>
          <w:lang w:val="nl-NL"/>
        </w:rPr>
        <w:t>huidige wetsbepaling</w:t>
      </w:r>
      <w:r w:rsidRPr="00C74A9A">
        <w:rPr>
          <w:i/>
          <w:lang w:val="nl-NL"/>
        </w:rPr>
        <w:t xml:space="preserve"> betreffende de plaats van dienst een verbetering </w:t>
      </w:r>
      <w:r>
        <w:rPr>
          <w:i/>
          <w:lang w:val="nl-NL"/>
        </w:rPr>
        <w:t xml:space="preserve">of slechts een verandering </w:t>
      </w:r>
      <w:r w:rsidRPr="00C74A9A">
        <w:rPr>
          <w:i/>
          <w:lang w:val="nl-NL"/>
        </w:rPr>
        <w:t xml:space="preserve">ten opzichte van de </w:t>
      </w:r>
      <w:r>
        <w:rPr>
          <w:i/>
          <w:lang w:val="nl-NL"/>
        </w:rPr>
        <w:t>situatie tot 1 januari 2010</w:t>
      </w:r>
      <w:r w:rsidRPr="00C74A9A">
        <w:rPr>
          <w:i/>
          <w:lang w:val="nl-NL"/>
        </w:rPr>
        <w:t xml:space="preserve">? </w:t>
      </w:r>
      <w:r>
        <w:rPr>
          <w:i/>
          <w:lang w:val="nl-NL"/>
        </w:rPr>
        <w:t>Wat is de gewenste situatie en hoe kan deze worden bereikt?</w:t>
      </w:r>
    </w:p>
    <w:p w:rsidR="00A8672C" w:rsidRPr="00C74A9A" w:rsidRDefault="00A8672C" w:rsidP="00D4603A">
      <w:pPr>
        <w:spacing w:line="360" w:lineRule="auto"/>
        <w:jc w:val="both"/>
        <w:rPr>
          <w:lang w:val="nl-NL"/>
        </w:rPr>
      </w:pPr>
    </w:p>
    <w:p w:rsidR="00A8672C" w:rsidRDefault="00A8672C" w:rsidP="00DA5F8B">
      <w:pPr>
        <w:spacing w:line="360" w:lineRule="auto"/>
        <w:jc w:val="both"/>
        <w:rPr>
          <w:lang w:val="nl-NL"/>
        </w:rPr>
      </w:pPr>
      <w:r w:rsidRPr="00C74A9A">
        <w:rPr>
          <w:lang w:val="nl-NL"/>
        </w:rPr>
        <w:t xml:space="preserve">In het eerste hoofdstuk van mijn scriptie werk ik het theoretisch raamwerk uit, hierbij ga ik in op de belangrijkste begrippen voor de bepaling van de plaats van dienst in de omzetbelasting. Aan </w:t>
      </w:r>
      <w:r>
        <w:rPr>
          <w:lang w:val="nl-NL"/>
        </w:rPr>
        <w:t>de hand van jurisprudentie geef</w:t>
      </w:r>
      <w:r w:rsidRPr="00C74A9A">
        <w:rPr>
          <w:lang w:val="nl-NL"/>
        </w:rPr>
        <w:t xml:space="preserve"> ik een analyse van het neutraliteitsbeginsel en het evenredigheidsbeginsel. </w:t>
      </w:r>
      <w:r>
        <w:rPr>
          <w:lang w:val="nl-NL"/>
        </w:rPr>
        <w:t>Deze beginselen vormen de basis voor de belastingheffing. Het neutraliteitsbeginsel geeft aan dat gelijke transacties niet ongelijk behandeld mogen worden en dat er niet meer belasting op de belastingplichtige mag drukken dan de bedoeling is. Het evenredigheidsbeginsel geeft aan dat maatregelen niet verder mogen gaan dan nodig is. Hoofdstuk 2</w:t>
      </w:r>
      <w:r w:rsidRPr="00C74A9A">
        <w:rPr>
          <w:lang w:val="nl-NL"/>
        </w:rPr>
        <w:t xml:space="preserve"> betreft de parlementaire geschiede</w:t>
      </w:r>
      <w:r>
        <w:rPr>
          <w:lang w:val="nl-NL"/>
        </w:rPr>
        <w:t>nis, hierin analyseer ik de richtlijn</w:t>
      </w:r>
      <w:r w:rsidRPr="00C74A9A">
        <w:rPr>
          <w:lang w:val="nl-NL"/>
        </w:rPr>
        <w:t>voorstellen uit het verleden. Met behulp van dit theoretisch raamwerk</w:t>
      </w:r>
      <w:r>
        <w:rPr>
          <w:lang w:val="nl-NL"/>
        </w:rPr>
        <w:t xml:space="preserve"> en de parlementaire geschiedenis</w:t>
      </w:r>
      <w:r w:rsidRPr="00C74A9A">
        <w:rPr>
          <w:lang w:val="nl-NL"/>
        </w:rPr>
        <w:t xml:space="preserve"> zet ik in hoofdstuk </w:t>
      </w:r>
      <w:r>
        <w:rPr>
          <w:lang w:val="nl-NL"/>
        </w:rPr>
        <w:t>3</w:t>
      </w:r>
      <w:r w:rsidRPr="00C74A9A">
        <w:rPr>
          <w:lang w:val="nl-NL"/>
        </w:rPr>
        <w:t xml:space="preserve"> de gewenste</w:t>
      </w:r>
      <w:r>
        <w:rPr>
          <w:lang w:val="nl-NL"/>
        </w:rPr>
        <w:t xml:space="preserve"> situatie uiteen. In hoofdstuk 4</w:t>
      </w:r>
      <w:r w:rsidRPr="00C74A9A">
        <w:rPr>
          <w:lang w:val="nl-NL"/>
        </w:rPr>
        <w:t xml:space="preserve"> behandel ik </w:t>
      </w:r>
      <w:r>
        <w:rPr>
          <w:lang w:val="nl-NL"/>
        </w:rPr>
        <w:t>situatie tot 1 januari 2010</w:t>
      </w:r>
      <w:r w:rsidRPr="00C74A9A">
        <w:rPr>
          <w:lang w:val="nl-NL"/>
        </w:rPr>
        <w:t xml:space="preserve">. Tevens toets ik </w:t>
      </w:r>
      <w:r>
        <w:rPr>
          <w:lang w:val="nl-NL"/>
        </w:rPr>
        <w:t>de situatie tot 1 januari 2010</w:t>
      </w:r>
      <w:r w:rsidRPr="00C74A9A">
        <w:rPr>
          <w:lang w:val="nl-NL"/>
        </w:rPr>
        <w:t xml:space="preserve"> aan de gewenste situatie. In hoofdstuk 5 komt de </w:t>
      </w:r>
      <w:r>
        <w:rPr>
          <w:lang w:val="nl-NL"/>
        </w:rPr>
        <w:t>huidige situatie</w:t>
      </w:r>
      <w:r w:rsidRPr="00C74A9A">
        <w:rPr>
          <w:lang w:val="nl-NL"/>
        </w:rPr>
        <w:t xml:space="preserve"> aan bod. Ook </w:t>
      </w:r>
      <w:r>
        <w:rPr>
          <w:lang w:val="nl-NL"/>
        </w:rPr>
        <w:t>de huidige situatie</w:t>
      </w:r>
      <w:r w:rsidRPr="00C74A9A">
        <w:rPr>
          <w:lang w:val="nl-NL"/>
        </w:rPr>
        <w:t xml:space="preserve"> toets ik aan de gewenste situatie. </w:t>
      </w:r>
      <w:r>
        <w:rPr>
          <w:lang w:val="nl-NL"/>
        </w:rPr>
        <w:t xml:space="preserve">In hoofdstuk 6 behandel ik drie knelpunten in de huidige situatie, namelijk het privé gebruik, de vestigingsplaats van de afnemer en de vaste inrichting. </w:t>
      </w:r>
      <w:r w:rsidRPr="00C74A9A">
        <w:rPr>
          <w:lang w:val="nl-NL"/>
        </w:rPr>
        <w:t>De toepasbaarheid van de</w:t>
      </w:r>
      <w:r>
        <w:rPr>
          <w:lang w:val="nl-NL"/>
        </w:rPr>
        <w:t xml:space="preserve"> situatie tot 1 januari 2010 en de huidige situatie vanaf 1 januari 2010</w:t>
      </w:r>
      <w:r w:rsidRPr="00C74A9A">
        <w:rPr>
          <w:lang w:val="nl-NL"/>
        </w:rPr>
        <w:t xml:space="preserve"> </w:t>
      </w:r>
      <w:r>
        <w:rPr>
          <w:lang w:val="nl-NL"/>
        </w:rPr>
        <w:t>analyseer ik in hoofdstuk 7</w:t>
      </w:r>
      <w:r w:rsidRPr="00C74A9A">
        <w:rPr>
          <w:lang w:val="nl-NL"/>
        </w:rPr>
        <w:t>, ook beschrijf ik hierbij de toepasbaar</w:t>
      </w:r>
      <w:r>
        <w:rPr>
          <w:lang w:val="nl-NL"/>
        </w:rPr>
        <w:t>heid</w:t>
      </w:r>
      <w:r w:rsidRPr="00C74A9A">
        <w:rPr>
          <w:lang w:val="nl-NL"/>
        </w:rPr>
        <w:t xml:space="preserve"> </w:t>
      </w:r>
      <w:r>
        <w:rPr>
          <w:lang w:val="nl-NL"/>
        </w:rPr>
        <w:t xml:space="preserve">en haalbaarheid </w:t>
      </w:r>
      <w:r w:rsidRPr="00C74A9A">
        <w:rPr>
          <w:lang w:val="nl-NL"/>
        </w:rPr>
        <w:t>van de gewenste situatie. Tenslotte eindig ik met een conclusie waarbij ik antwoord geef op mijn probleemstelling.</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br w:type="page"/>
      </w:r>
    </w:p>
    <w:p w:rsidR="00A8672C" w:rsidRDefault="00A8672C" w:rsidP="00D4603A">
      <w:pPr>
        <w:pStyle w:val="Heading1"/>
        <w:jc w:val="both"/>
        <w:rPr>
          <w:szCs w:val="24"/>
        </w:rPr>
      </w:pPr>
      <w:bookmarkStart w:id="1" w:name="_Toc231111837"/>
      <w:bookmarkStart w:id="2" w:name="_Toc260928079"/>
      <w:r w:rsidRPr="00C74A9A">
        <w:rPr>
          <w:szCs w:val="24"/>
        </w:rPr>
        <w:t xml:space="preserve">Hoofdstuk 1: </w:t>
      </w:r>
      <w:bookmarkEnd w:id="1"/>
      <w:r w:rsidRPr="00C74A9A">
        <w:rPr>
          <w:szCs w:val="24"/>
        </w:rPr>
        <w:t>Theoretisch raamwerk</w:t>
      </w:r>
      <w:bookmarkEnd w:id="2"/>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omzetbelasting is een verbruiksbelasting. Een verbruiksbelasting beoogt het verbruik van een bepaalde dienst of goed te belasten</w:t>
      </w:r>
      <w:r>
        <w:rPr>
          <w:rStyle w:val="FootnoteReference"/>
          <w:lang w:val="nl-NL"/>
        </w:rPr>
        <w:footnoteReference w:id="2"/>
      </w:r>
      <w:r>
        <w:rPr>
          <w:lang w:val="nl-NL"/>
        </w:rPr>
        <w:t>. Ondernemers verbruiken de goederen of diensten niet, slechts de consumenten verbruiken de goederen of diensten. Omdat ondernemers niet verbruiken, mag geen omzetbelasting op de dienst aan of het goed geleverd aan een ondernemer drukken.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heffing van de omzetbelasting zijn twee verschillende stelsels van heffing mogelijk</w:t>
      </w:r>
      <w:r>
        <w:rPr>
          <w:rStyle w:val="FootnoteReference"/>
          <w:lang w:val="nl-NL"/>
        </w:rPr>
        <w:footnoteReference w:id="3"/>
      </w:r>
      <w:r>
        <w:rPr>
          <w:lang w:val="nl-NL"/>
        </w:rPr>
        <w:t>. Ten eerste kan gebruik worden gemaakt van een eenmalige heffing. Hierbij wordt er over een bepaalde dienst slechts op een meetpunt belasting geheven. Bijvoorbeeld uitsluitend bij de kleinhandel. Diensten verleend door een groothandelaar aan een kleinhandelaar worden in dit geval niet belast. Alleen de dienst van een kleinhandelaar aan de consument wordt belast.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Ten tweede kan gebruik worden gemaakt van een meermalige heffing. De meermalige heffing is de heffing van omzetbelasting zoals wij deze in Nederland kennen. In elke schakel van de productie- en distributieketen wordt omzetbelasting geheven. Om cumulatie van omzetbelasting te voorkomen mag de ondernemer de voorbelasting op de afgenomen diensten of goederen aftrekken. Op deze manier wordt slechts omzetbelasting betaald over het eindproduct. Het doel van de heffing van omzetbelasting is dan ook het belasten van het verbruik van de toegevoegde waarde over het eindproduct.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In dit hoofdstuk wordt het theoretisch raamwerk uiteengezet. In de eerste paragraaf wordt ingegaan op het bestemmingsbeginsel. Het doel van de heffing van omzetbelasting is conform het bestemmingsbeginsel, namelijk het belasten van het verbruik daar waar het verbruik plaatsvindt.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Vervolgens wordt ingegaan op het neutraliteitsbeginsel en het evenredigheidsbeginsel. Deze beginselen vormen de basis voor de belastingheffing. Het neutraliteitsbeginsel geeft aan dat gelijke transacties niet ongelijk behandeld mogen worden en dat er niet meer belasting op de belastingplichtige mag drukken dan dat de bedoeling is. Het evenredigheidsbeginsel geeft aan dat maatregelen niet verder mogen gaan dan nodig is. Aan de hand van een analyse van jurisprudentie wordt getracht een duidelijke omschrijving van deze begrippen te geven, zodat uiteindelijk aan de hand van deze beginselen een gewenste situatie kan worden beschreven die aansluit bij het doel van de belastingheffing.</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Tevens wordt het begrip ‘diensten’ uitgelegd, omdat dit een essentieel begrip is in mijn scriptie. Om te kunnen beoordelen waar de plaats van een dienst is, is het belangrijk te weten wanneer er sprake is van een dienst. Het laatste begrip dat in het theoretisch raamwerk naar voren komt, is het vestigingsbegrip. De plaats van dienst kan de plaats zijn waar de ondernemer of de afnemer is gevestigd. Om de plaats van dienst te kunnen bepalen is het vestigingsbegrip van groot belang.</w:t>
      </w:r>
    </w:p>
    <w:p w:rsidR="00A8672C" w:rsidRDefault="00A8672C" w:rsidP="00D4603A">
      <w:pPr>
        <w:pStyle w:val="Heading2"/>
        <w:jc w:val="both"/>
        <w:rPr>
          <w:bCs w:val="0"/>
          <w:i w:val="0"/>
          <w:szCs w:val="24"/>
        </w:rPr>
      </w:pPr>
    </w:p>
    <w:p w:rsidR="00A8672C" w:rsidRPr="00277DC7" w:rsidRDefault="00A8672C" w:rsidP="00D4603A">
      <w:pPr>
        <w:pStyle w:val="Heading2"/>
        <w:jc w:val="both"/>
      </w:pPr>
      <w:bookmarkStart w:id="3" w:name="_Toc260928080"/>
      <w:r>
        <w:t xml:space="preserve">1.1 </w:t>
      </w:r>
      <w:r w:rsidRPr="00277DC7">
        <w:t xml:space="preserve"> </w:t>
      </w:r>
      <w:r>
        <w:t>Bestemming</w:t>
      </w:r>
      <w:r w:rsidRPr="00277DC7">
        <w:t>sbeginsel</w:t>
      </w:r>
      <w:bookmarkEnd w:id="3"/>
    </w:p>
    <w:p w:rsidR="00A8672C" w:rsidRDefault="00A8672C" w:rsidP="00D4603A">
      <w:pPr>
        <w:spacing w:line="360" w:lineRule="auto"/>
        <w:jc w:val="both"/>
        <w:rPr>
          <w:lang w:val="nl-NL"/>
        </w:rPr>
      </w:pPr>
      <w:r>
        <w:rPr>
          <w:lang w:val="nl-NL"/>
        </w:rPr>
        <w:t>Het doel van de heffing van de omzetbelasting is heffen daar waar het verbruik plaatsvindt. Dit doel is conform het bestemmingsbeginsel. De heffing van BTW kan op twee beginselen zijn gebaseerd, namelijk het bestemmingsbeginsel of het oorsprongbeginsel. Het bestemmingsbeginsel houdt in dat de dienst belast is daar waar de dienst verbruikt wordt. Het oorsprongbeginsel houdt in dat de dienst belast is daar waar de dienst is afgenomen. Een derde mogelijkheid waar de dienst belast kan zijn is daar waar gepresteerd wordt.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toepassen van het oorsprongbeginsel voor de heffing van BTW kan cross-border shopping stimuleren. De afnemer van een bepaalde dienst neemt deze dienst af van de ondernemer gevestigd in het land met het meest gunstige BTW tarief. Door het bestemmingsbeginsel toe te passen op de heffing van BTW zal cross-border shopping vanwege een eventueel omzetbelastingvoordeel afnemen. Het bestemmingsbeginsel houdt namelijk in dat de dienst belast is waar de dienst daadwerkelijk wordt verbruikt.</w:t>
      </w:r>
    </w:p>
    <w:p w:rsidR="00A8672C" w:rsidRDefault="00A8672C" w:rsidP="00D4603A">
      <w:pPr>
        <w:spacing w:line="360" w:lineRule="auto"/>
        <w:jc w:val="both"/>
        <w:rPr>
          <w:lang w:val="nl-NL"/>
        </w:rPr>
      </w:pPr>
    </w:p>
    <w:p w:rsidR="00A8672C" w:rsidRPr="00277DC7" w:rsidRDefault="00A8672C" w:rsidP="00D4603A">
      <w:pPr>
        <w:spacing w:line="360" w:lineRule="auto"/>
        <w:jc w:val="both"/>
        <w:rPr>
          <w:lang w:val="nl-NL"/>
        </w:rPr>
      </w:pPr>
      <w:r>
        <w:rPr>
          <w:lang w:val="nl-NL"/>
        </w:rPr>
        <w:t xml:space="preserve">In de wetgeving tot 1 januari 2010 was het oorsprongbeginsel het uitgangspunten voor de heffing van omzetbelasting over diensten. In de wetgeving vanaf 1 januari 2010 is een splitsing gemaakt tussen B2B-diensten en B2C-diensten. Voor de heffing over B2B-diensten is het bestemmingsbeginsel het uitgangspunt. Voor de heffing over B2C-diensten is het oorsprongbeginsel nog steeds het uitgangspunt. Een uitzondering op de hoofdregel is de plaats van culturele, wetenschappelijke diensten e.d. De plaats van dienst voor deze uitzondering is de plaats waar de activiteiten daadwerkelijk plaatsvinden. </w:t>
      </w:r>
    </w:p>
    <w:p w:rsidR="00A8672C" w:rsidRDefault="00A8672C" w:rsidP="00D4603A">
      <w:pPr>
        <w:pStyle w:val="Heading2"/>
        <w:jc w:val="both"/>
      </w:pPr>
    </w:p>
    <w:p w:rsidR="00A8672C" w:rsidRPr="00277DC7" w:rsidRDefault="00A8672C" w:rsidP="00D4603A">
      <w:pPr>
        <w:pStyle w:val="Heading2"/>
        <w:jc w:val="both"/>
      </w:pPr>
      <w:bookmarkStart w:id="4" w:name="_Toc260928081"/>
      <w:r>
        <w:t xml:space="preserve">1.2 </w:t>
      </w:r>
      <w:r w:rsidRPr="00277DC7">
        <w:t xml:space="preserve"> Neutraliteitsbeginsel</w:t>
      </w:r>
      <w:bookmarkEnd w:id="4"/>
    </w:p>
    <w:p w:rsidR="00A8672C" w:rsidRDefault="00A8672C" w:rsidP="00D4603A">
      <w:pPr>
        <w:spacing w:line="360" w:lineRule="auto"/>
        <w:jc w:val="both"/>
        <w:rPr>
          <w:lang w:val="nl-NL"/>
        </w:rPr>
      </w:pPr>
      <w:r w:rsidRPr="00C74A9A">
        <w:rPr>
          <w:lang w:val="nl-NL"/>
        </w:rPr>
        <w:t>Het neutraliteitsbeginsel is een belangrijk beginsel binnen de BTW. De BTW dient namelijk op de eindgebruiker te drukken</w:t>
      </w:r>
      <w:r>
        <w:rPr>
          <w:lang w:val="nl-NL"/>
        </w:rPr>
        <w:t>, ongeacht hoe het goed de uiteindelijke consument bereikt</w:t>
      </w:r>
      <w:r w:rsidRPr="00C74A9A">
        <w:rPr>
          <w:lang w:val="nl-NL"/>
        </w:rPr>
        <w:t>. Op h</w:t>
      </w:r>
      <w:r>
        <w:rPr>
          <w:lang w:val="nl-NL"/>
        </w:rPr>
        <w:t xml:space="preserve">andel tussen ondernemers mag </w:t>
      </w:r>
      <w:r w:rsidRPr="00C74A9A">
        <w:rPr>
          <w:lang w:val="nl-NL"/>
        </w:rPr>
        <w:t>geen BTW drukken. Een ondernemer die een goed verkoopt</w:t>
      </w:r>
      <w:r>
        <w:rPr>
          <w:lang w:val="nl-NL"/>
        </w:rPr>
        <w:t xml:space="preserve"> en levert</w:t>
      </w:r>
      <w:r w:rsidRPr="00C74A9A">
        <w:rPr>
          <w:lang w:val="nl-NL"/>
        </w:rPr>
        <w:t xml:space="preserve"> dient BTW in rekening te brengen. Een </w:t>
      </w:r>
      <w:r>
        <w:rPr>
          <w:lang w:val="nl-NL"/>
        </w:rPr>
        <w:t>ondernemer die een goed inkoopt</w:t>
      </w:r>
      <w:r w:rsidRPr="00C74A9A">
        <w:rPr>
          <w:lang w:val="nl-NL"/>
        </w:rPr>
        <w:t xml:space="preserve"> en dit goed gebruikt voor belastbare handelingen, mag de</w:t>
      </w:r>
      <w:r>
        <w:rPr>
          <w:lang w:val="nl-NL"/>
        </w:rPr>
        <w:t>ze</w:t>
      </w:r>
      <w:r w:rsidRPr="00C74A9A">
        <w:rPr>
          <w:lang w:val="nl-NL"/>
        </w:rPr>
        <w:t xml:space="preserve"> BTW aftrekken. </w:t>
      </w:r>
      <w:r>
        <w:rPr>
          <w:lang w:val="nl-NL"/>
        </w:rPr>
        <w:t xml:space="preserve">Deze aftrek zorgt er voor dat de belasting op een goed niet cumuleert. </w:t>
      </w:r>
      <w:r w:rsidRPr="00C74A9A">
        <w:rPr>
          <w:lang w:val="nl-NL"/>
        </w:rPr>
        <w:t>Een consument is de eindgebruiker van een goed en kan de BTW hierop niet aftrekken.</w:t>
      </w:r>
      <w:r>
        <w:rPr>
          <w:lang w:val="nl-NL"/>
        </w:rPr>
        <w:t xml:space="preserve"> </w:t>
      </w:r>
    </w:p>
    <w:p w:rsidR="00A8672C" w:rsidRDefault="00A8672C" w:rsidP="00D4603A">
      <w:pPr>
        <w:spacing w:line="360" w:lineRule="auto"/>
        <w:jc w:val="both"/>
        <w:rPr>
          <w:lang w:val="nl-NL"/>
        </w:rPr>
      </w:pPr>
    </w:p>
    <w:p w:rsidR="00A8672C" w:rsidRPr="00C74A9A" w:rsidRDefault="00A8672C" w:rsidP="00D4603A">
      <w:pPr>
        <w:spacing w:line="360" w:lineRule="auto"/>
        <w:jc w:val="both"/>
        <w:rPr>
          <w:lang w:val="nl-NL"/>
        </w:rPr>
      </w:pPr>
      <w:r>
        <w:rPr>
          <w:lang w:val="nl-NL"/>
        </w:rPr>
        <w:t>Ook een ondernemer die vrijgesteld presteert, mag de BTW niet aftrekken. Indien de “vrijgestelde” ondernemer de BTW wel kan aftrekken, zal bij levering van dit goed door de “vrijgestelde” ondernemer aan de eindgebruiker geen BTW op dit goed drukken.</w:t>
      </w:r>
      <w:r w:rsidRPr="00C74A9A">
        <w:rPr>
          <w:lang w:val="nl-NL"/>
        </w:rPr>
        <w:t xml:space="preserve"> In de jurisprudentie komt het neutraliteitsbeginsel regelmatig aan bod. Aan de hand van de belangrijkste jurisprudentie geef ik een analyse van het neutraliteitsbeginsel.</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Coffeeshop Siberië</w:t>
      </w:r>
      <w:r w:rsidRPr="00C74A9A">
        <w:rPr>
          <w:rStyle w:val="FootnoteReference"/>
          <w:i/>
          <w:lang w:val="nl-NL"/>
        </w:rPr>
        <w:footnoteReference w:id="4"/>
      </w:r>
    </w:p>
    <w:p w:rsidR="00A8672C" w:rsidRDefault="00A8672C" w:rsidP="00D4603A">
      <w:pPr>
        <w:spacing w:line="360" w:lineRule="auto"/>
        <w:jc w:val="both"/>
        <w:rPr>
          <w:lang w:val="nl-NL"/>
        </w:rPr>
      </w:pPr>
      <w:r w:rsidRPr="00C74A9A">
        <w:rPr>
          <w:lang w:val="nl-NL"/>
        </w:rPr>
        <w:t>Belanghebbende, v.o.f. Coffeeshop “Siberië”, exploiteert een coffeeshop. Belanghebbende verkoopt aan de bar frisdrank, koffie en thee. Tevens verhuurt belanghebbende een tafel in de coffeeshop aan een cannabishandelaar. Over de verkopen aan de bar brengt belanghebbende BTW in rekening. Over de verhuur van de tafel brengt belanghebbende geen BTW in rekening. Dit roept de vraag op of bij het gelegenheid bieden van handel in cannabisproducten een BTW schuld ontstaat. Hierbij wordt ingegaan op de fiscale neutraliteit. Het Hof heeft in het Happy Family arrest</w:t>
      </w:r>
      <w:r w:rsidRPr="00C74A9A">
        <w:rPr>
          <w:rStyle w:val="FootnoteReference"/>
          <w:lang w:val="nl-NL"/>
        </w:rPr>
        <w:footnoteReference w:id="5"/>
      </w:r>
      <w:r w:rsidRPr="00C74A9A">
        <w:rPr>
          <w:lang w:val="nl-NL"/>
        </w:rPr>
        <w:t xml:space="preserve"> geoordeeld dat het beginsel van fiscale neutraliteit zich verzet tegen een algemeen onderscheid tussen legale en illegale transacties.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tegen vergoeding beschikbaar stellen van een tafel</w:t>
      </w:r>
      <w:r>
        <w:rPr>
          <w:lang w:val="nl-NL"/>
        </w:rPr>
        <w:t xml:space="preserve"> is een economische activiteit, o</w:t>
      </w:r>
      <w:r w:rsidRPr="00C74A9A">
        <w:rPr>
          <w:lang w:val="nl-NL"/>
        </w:rPr>
        <w:t xml:space="preserve">ndanks dat er een illegale activiteit plaatsvindt op de gehuurde tafel. Dezelfde tafel zou namelijk ook tegen vergoeding beschikbaar gesteld kunnen worden aan iemand die geen illegale activiteiten verricht. Indien de tafel beschikbaar </w:t>
      </w:r>
      <w:r>
        <w:rPr>
          <w:lang w:val="nl-NL"/>
        </w:rPr>
        <w:t xml:space="preserve">wordt </w:t>
      </w:r>
      <w:r w:rsidRPr="00C74A9A">
        <w:rPr>
          <w:lang w:val="nl-NL"/>
        </w:rPr>
        <w:t>gesteld aan iemand die geen illegale activiteiten verricht</w:t>
      </w:r>
      <w:r>
        <w:rPr>
          <w:lang w:val="nl-NL"/>
        </w:rPr>
        <w:t xml:space="preserve">, dient </w:t>
      </w:r>
      <w:r w:rsidRPr="00C74A9A">
        <w:rPr>
          <w:lang w:val="nl-NL"/>
        </w:rPr>
        <w:t>wel BTW in rekening te worden</w:t>
      </w:r>
      <w:r>
        <w:rPr>
          <w:lang w:val="nl-NL"/>
        </w:rPr>
        <w:t xml:space="preserve"> gebracht. Dit betekent</w:t>
      </w:r>
      <w:r w:rsidRPr="00C74A9A">
        <w:rPr>
          <w:lang w:val="nl-NL"/>
        </w:rPr>
        <w:t xml:space="preserve"> dat er wat betreft het beschikbaar stellen van de tafel een onderscheid gemaakt wordt tussen legale en illegale activiteiten. Aangezien dit in strijd is met de fiscale neutrali</w:t>
      </w:r>
      <w:r>
        <w:rPr>
          <w:lang w:val="nl-NL"/>
        </w:rPr>
        <w:t>teit dient belanghebbende BTW te voldoen</w:t>
      </w:r>
      <w:r w:rsidRPr="00C74A9A">
        <w:rPr>
          <w:lang w:val="nl-NL"/>
        </w:rPr>
        <w:t xml:space="preserve"> in verband met de verhuur van de tafel.</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 xml:space="preserve">Voor de invulling van </w:t>
      </w:r>
      <w:r>
        <w:rPr>
          <w:lang w:val="nl-NL"/>
        </w:rPr>
        <w:t>het neutraliteitsbeginsel mag</w:t>
      </w:r>
      <w:r w:rsidRPr="00C74A9A">
        <w:rPr>
          <w:lang w:val="nl-NL"/>
        </w:rPr>
        <w:t xml:space="preserve"> geen</w:t>
      </w:r>
      <w:r>
        <w:rPr>
          <w:lang w:val="nl-NL"/>
        </w:rPr>
        <w:t xml:space="preserve"> algemeen onderscheid</w:t>
      </w:r>
      <w:r w:rsidRPr="00C74A9A">
        <w:rPr>
          <w:lang w:val="nl-NL"/>
        </w:rPr>
        <w:t xml:space="preserve"> gemaakt worden tussen legale en illegale transacties. Indien een activiteit in alle lidstaten illegaal is, is deze activiteit niet belast met BTW. In alle andere gevallen </w:t>
      </w:r>
      <w:r>
        <w:rPr>
          <w:lang w:val="nl-NL"/>
        </w:rPr>
        <w:t>is</w:t>
      </w:r>
      <w:r w:rsidRPr="00C74A9A">
        <w:rPr>
          <w:lang w:val="nl-NL"/>
        </w:rPr>
        <w:t xml:space="preserve"> wel sprake van een BTW belaste activiteit.</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Schmeink &amp; Strobel</w:t>
      </w:r>
      <w:r w:rsidRPr="00C74A9A">
        <w:rPr>
          <w:rStyle w:val="FootnoteReference"/>
          <w:i/>
          <w:lang w:val="nl-NL"/>
        </w:rPr>
        <w:footnoteReference w:id="6"/>
      </w:r>
    </w:p>
    <w:p w:rsidR="00A8672C" w:rsidRPr="00C74A9A" w:rsidRDefault="00A8672C" w:rsidP="00D4603A">
      <w:pPr>
        <w:spacing w:line="360" w:lineRule="auto"/>
        <w:jc w:val="both"/>
        <w:rPr>
          <w:lang w:val="nl-NL"/>
        </w:rPr>
      </w:pPr>
      <w:r w:rsidRPr="00C74A9A">
        <w:rPr>
          <w:lang w:val="nl-NL"/>
        </w:rPr>
        <w:t>Schmeink verwierf 50% van de aandelen in een GmbH. Tevens stuurde Schmeink een factuur in verband met adviezen voor hetzelfde bedrag als de aankoopprijs van de aandelen naar de GmbH.</w:t>
      </w:r>
      <w:r>
        <w:rPr>
          <w:lang w:val="nl-NL"/>
        </w:rPr>
        <w:t xml:space="preserve"> Deze adviezen zijn in werkelijkheid niet verricht.</w:t>
      </w:r>
      <w:r w:rsidRPr="00C74A9A">
        <w:rPr>
          <w:lang w:val="nl-NL"/>
        </w:rPr>
        <w:t xml:space="preserve"> De GmbH heeft de voorbelasting op de factuur nooit afgetrokken, maar heeft voor het gehele bedrag verzocht om een fiscale investerin</w:t>
      </w:r>
      <w:r>
        <w:rPr>
          <w:lang w:val="nl-NL"/>
        </w:rPr>
        <w:t xml:space="preserve">gspremie. Na een controle </w:t>
      </w:r>
      <w:r w:rsidRPr="00C74A9A">
        <w:rPr>
          <w:lang w:val="nl-NL"/>
        </w:rPr>
        <w:t xml:space="preserve">werd aan Schmeink een aanslag opgelegd </w:t>
      </w:r>
      <w:r>
        <w:rPr>
          <w:lang w:val="nl-NL"/>
        </w:rPr>
        <w:t>voor de</w:t>
      </w:r>
      <w:r w:rsidRPr="00C74A9A">
        <w:rPr>
          <w:lang w:val="nl-NL"/>
        </w:rPr>
        <w:t xml:space="preserve"> BTW die op de factuur vermeld was. </w:t>
      </w:r>
    </w:p>
    <w:p w:rsidR="00A8672C" w:rsidRPr="00C74A9A" w:rsidRDefault="00A8672C" w:rsidP="00D4603A">
      <w:pPr>
        <w:spacing w:line="360" w:lineRule="auto"/>
        <w:jc w:val="both"/>
        <w:rPr>
          <w:lang w:val="nl-NL"/>
        </w:rPr>
      </w:pPr>
      <w:r w:rsidRPr="00C74A9A">
        <w:rPr>
          <w:lang w:val="nl-NL"/>
        </w:rPr>
        <w:br/>
        <w:t>Strobel handelde in kantoormachines en stuurde verschillende leasingondernemingen facturen voor leveringen die hij nooit verrichtte om zo verliezen van een van zijn dochtermaatsc</w:t>
      </w:r>
      <w:r>
        <w:rPr>
          <w:lang w:val="nl-NL"/>
        </w:rPr>
        <w:t>happijen te verhullen. De lease</w:t>
      </w:r>
      <w:r w:rsidRPr="00C74A9A">
        <w:rPr>
          <w:lang w:val="nl-NL"/>
        </w:rPr>
        <w:t xml:space="preserve">maatschappijen betaalden deze facturen en Strobel betaalde deze bedragen weer terug. Strobel berekende BTW over deze bedragen, en </w:t>
      </w:r>
      <w:r>
        <w:rPr>
          <w:lang w:val="nl-NL"/>
        </w:rPr>
        <w:t>de lease</w:t>
      </w:r>
      <w:r w:rsidRPr="00C74A9A">
        <w:rPr>
          <w:lang w:val="nl-NL"/>
        </w:rPr>
        <w:t>maatschappijen trokken deze BTW af. In 1994 heeft Strobel zichzelf aangegeven</w:t>
      </w:r>
      <w:r>
        <w:rPr>
          <w:lang w:val="nl-NL"/>
        </w:rPr>
        <w:t xml:space="preserve"> bij het Openbaar Ministerie en het Finanzamt Esslingen</w:t>
      </w:r>
      <w:r w:rsidRPr="00C74A9A">
        <w:rPr>
          <w:lang w:val="nl-NL"/>
        </w:rPr>
        <w:t xml:space="preserve">.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 xml:space="preserve">De Duitse regering stelt: ‘Wanneer de opsteller van de factuur de BTW niet </w:t>
      </w:r>
      <w:r>
        <w:rPr>
          <w:lang w:val="nl-NL"/>
        </w:rPr>
        <w:t>te goeder trouw</w:t>
      </w:r>
      <w:r w:rsidRPr="00C74A9A">
        <w:rPr>
          <w:lang w:val="nl-NL"/>
        </w:rPr>
        <w:t>, doch frauduleus ten onrech</w:t>
      </w:r>
      <w:r>
        <w:rPr>
          <w:lang w:val="nl-NL"/>
        </w:rPr>
        <w:t>te heeft vermeld, omdat hij weet</w:t>
      </w:r>
      <w:r w:rsidRPr="00C74A9A">
        <w:rPr>
          <w:lang w:val="nl-NL"/>
        </w:rPr>
        <w:t xml:space="preserve"> dat hij geen belastingplichtige is dan wel dat de levering van goederen of diensten waarop de factuur betrekking heeft, niet is verricht, verlangt het beginsel van fiscale neutraliteit van de BTW niet, dat de ten onrechte gefactureerde BTW kan worden herzien.’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 xml:space="preserve">Het Hof van Justitie EG oordeelt dat: ‘Wanneer de opsteller van de factuur het gevaar voor verlies van belastinginkomsten tijdig en volledig heeft uitgeschakeld, het beginsel van fiscale neutraliteit van de BTW verlangt, dat de ten onrechte gefactureerde belasting kan worden herzien zonder dat deze herziening afhankelijk kan worden gesteld van de goede trouw van de opsteller van de factuur.’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De Duitse regering en het Hof van Justitie EG geven beiden een iets andere invulling aan het begrip fiscale neutraliteit. Voor het geven van een invulling van het neutraliteitsbeginsel dient hierbij uit gegaan te worden van de interpretatie van het Hof van Justitie EG.</w:t>
      </w:r>
      <w:r>
        <w:rPr>
          <w:lang w:val="nl-NL"/>
        </w:rPr>
        <w:t xml:space="preserve"> Hieruit is af te leiden dat indien de neutraliteit gewaarborgd is, de te goeder trouw niet meer van belang is.</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Zita Modes</w:t>
      </w:r>
      <w:r w:rsidRPr="00C74A9A">
        <w:rPr>
          <w:rStyle w:val="FootnoteReference"/>
          <w:i/>
          <w:lang w:val="nl-NL"/>
        </w:rPr>
        <w:footnoteReference w:id="7"/>
      </w:r>
    </w:p>
    <w:p w:rsidR="00A8672C" w:rsidRPr="00C74A9A" w:rsidRDefault="00A8672C" w:rsidP="00D4603A">
      <w:pPr>
        <w:spacing w:line="360" w:lineRule="auto"/>
        <w:jc w:val="both"/>
        <w:rPr>
          <w:lang w:val="nl-NL"/>
        </w:rPr>
      </w:pPr>
      <w:r w:rsidRPr="00C74A9A">
        <w:rPr>
          <w:lang w:val="nl-NL"/>
        </w:rPr>
        <w:t>Op 29 augustus 1996 verkoopt Zita Modes haar kledingzaak aan Milady die hier een parfumerie zal exploiteren. Op de verkoopnota was geen BTW in rekening gebracht. Zita Modes wa</w:t>
      </w:r>
      <w:r>
        <w:rPr>
          <w:lang w:val="nl-NL"/>
        </w:rPr>
        <w:t>s van mening dat de regeling</w:t>
      </w:r>
      <w:r w:rsidRPr="00C74A9A">
        <w:rPr>
          <w:lang w:val="nl-NL"/>
        </w:rPr>
        <w:t xml:space="preserve"> voor overdracht van algemeenheid van goederen van toepassing was. </w:t>
      </w:r>
      <w:r>
        <w:rPr>
          <w:lang w:val="nl-NL"/>
        </w:rPr>
        <w:t xml:space="preserve">Deze regeling houdt in dat de overdracht van algemeenheid van goederen niet wordt aangemerkt als een levering, waardoor geen BTW is verschuldigd. </w:t>
      </w:r>
      <w:r w:rsidRPr="00C74A9A">
        <w:rPr>
          <w:lang w:val="nl-NL"/>
        </w:rPr>
        <w:t xml:space="preserve">Administration de </w:t>
      </w:r>
      <w:r>
        <w:rPr>
          <w:lang w:val="nl-NL"/>
        </w:rPr>
        <w:t>l’enregistrement stelde dat de regeling</w:t>
      </w:r>
      <w:r w:rsidRPr="00C74A9A">
        <w:rPr>
          <w:lang w:val="nl-NL"/>
        </w:rPr>
        <w:t xml:space="preserve"> niet van toepassing was omdat de activiteit van de overdrager niet werd voortgezet. Zita Modes was het hier niet mee eens.</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Administration de l’enregistrement stelde dat ‘de overdracht van algemeenheid van goederen ertoe bijdraagt het beginsel van neutraliteit van deze belasting te waarborgen, aangezien de verkrijger de rechten en plichten inzake BTW van de overdrager overneemt, met name deze met betrekking tot de eventuele regu</w:t>
      </w:r>
      <w:r>
        <w:rPr>
          <w:lang w:val="nl-NL"/>
        </w:rPr>
        <w:t>larisatie van verrich</w:t>
      </w:r>
      <w:r w:rsidRPr="00C74A9A">
        <w:rPr>
          <w:lang w:val="nl-NL"/>
        </w:rPr>
        <w:t>te aftrekken voor investeringsgoederen. De voorwaarde dat de verkrijger de activiteit van de overdrager moet voortzetten</w:t>
      </w:r>
      <w:r>
        <w:rPr>
          <w:lang w:val="nl-NL"/>
        </w:rPr>
        <w:t>,</w:t>
      </w:r>
      <w:r w:rsidRPr="00C74A9A">
        <w:rPr>
          <w:lang w:val="nl-NL"/>
        </w:rPr>
        <w:t xml:space="preserve"> vloeit volgens haar impliciet voort uit de wet.’</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De Commissie van de Europese Gem</w:t>
      </w:r>
      <w:r>
        <w:rPr>
          <w:lang w:val="nl-NL"/>
        </w:rPr>
        <w:t>eenschappen merkte hierbij op:</w:t>
      </w:r>
      <w:r w:rsidRPr="00C74A9A">
        <w:rPr>
          <w:lang w:val="nl-NL"/>
        </w:rPr>
        <w:t xml:space="preserve"> ‘het beginsel van neutraliteit van de BTW vereist derhalve dat de aan de belastingplichtige verkrijger overgedragen algemeenheid van goederen wordt gebruikt voor diens belaste handelingen.’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Pr>
          <w:lang w:val="nl-NL"/>
        </w:rPr>
        <w:t>Het Hof heeft het volgende geoordeeld:</w:t>
      </w:r>
      <w:r w:rsidRPr="00C74A9A">
        <w:rPr>
          <w:lang w:val="nl-NL"/>
        </w:rPr>
        <w:t xml:space="preserve"> ‘het gemeenschappelijke BTW-stelsel waarborgt derhalve de neutraliteit van de belastingdruk op alle economische activiteiten, ongeacht het oogmerk of het resultaat van die activiteiten, mits die activiteiten in beginsel zelf aan de heffing van BTW zijn onderworpen.’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In tegenstelling tot Administration de l’enregistrement en de Commissie van de Europese Gemeenschappen vind</w:t>
      </w:r>
      <w:r>
        <w:rPr>
          <w:lang w:val="nl-NL"/>
        </w:rPr>
        <w:t>t</w:t>
      </w:r>
      <w:r w:rsidRPr="00C74A9A">
        <w:rPr>
          <w:lang w:val="nl-NL"/>
        </w:rPr>
        <w:t xml:space="preserve"> het Hof dat voor de toepassing van de </w:t>
      </w:r>
      <w:r>
        <w:rPr>
          <w:lang w:val="nl-NL"/>
        </w:rPr>
        <w:t>regeling</w:t>
      </w:r>
      <w:r w:rsidRPr="00C74A9A">
        <w:rPr>
          <w:lang w:val="nl-NL"/>
        </w:rPr>
        <w:t xml:space="preserve"> voor de levering van een algemeenheid van goederen de verkrijger niet de activiteit van de overdrager hoeft voort te zetten. Het beginsel van neutraliteit dient niet toegepast te worden per activiteit, maar in het algemeen voor alle belaste activiteiten. </w:t>
      </w:r>
      <w:r>
        <w:rPr>
          <w:lang w:val="nl-NL"/>
        </w:rPr>
        <w:t xml:space="preserve">Het voortzettingsvereiste betekent dus niet dat dezelfde activiteit van de overdrager dient te worden voorgezet, maar een soortgelijke belaste activiteit dient te worden voortgezet. </w:t>
      </w:r>
      <w:r w:rsidRPr="00C74A9A">
        <w:rPr>
          <w:lang w:val="nl-NL"/>
        </w:rPr>
        <w:t>Indien verkrijger geen belaste activiteiten verricht</w:t>
      </w:r>
      <w:r>
        <w:rPr>
          <w:lang w:val="nl-NL"/>
        </w:rPr>
        <w:t>,</w:t>
      </w:r>
      <w:r w:rsidRPr="00C74A9A">
        <w:rPr>
          <w:lang w:val="nl-NL"/>
        </w:rPr>
        <w:t xml:space="preserve"> komt de neutraliteit pas in gevaar.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Solleveld</w:t>
      </w:r>
      <w:r w:rsidRPr="00C74A9A">
        <w:rPr>
          <w:rStyle w:val="FootnoteReference"/>
          <w:i/>
          <w:lang w:val="nl-NL"/>
        </w:rPr>
        <w:footnoteReference w:id="8"/>
      </w:r>
      <w:r w:rsidRPr="00C74A9A">
        <w:rPr>
          <w:i/>
          <w:lang w:val="nl-NL"/>
        </w:rPr>
        <w:t xml:space="preserve"> en Van den Hout-Van Eijnsbergen</w:t>
      </w:r>
      <w:r w:rsidRPr="00C74A9A">
        <w:rPr>
          <w:rStyle w:val="FootnoteReference"/>
          <w:i/>
          <w:lang w:val="nl-NL"/>
        </w:rPr>
        <w:footnoteReference w:id="9"/>
      </w:r>
    </w:p>
    <w:p w:rsidR="00A8672C" w:rsidRPr="00C74A9A" w:rsidRDefault="00A8672C" w:rsidP="00D4603A">
      <w:pPr>
        <w:spacing w:line="360" w:lineRule="auto"/>
        <w:jc w:val="both"/>
        <w:rPr>
          <w:lang w:val="nl-NL"/>
        </w:rPr>
      </w:pPr>
      <w:r w:rsidRPr="00C74A9A">
        <w:rPr>
          <w:lang w:val="nl-NL"/>
        </w:rPr>
        <w:t xml:space="preserve">Solleveld is fysiotherapeut en is tevens ingeschreven in het in Wet BIG bedoelde register. Buiten zijn werkzaamheden als fysiotherapeut verricht hij werkzaamheden met betrekking tot stoorvelddiagnostiek. Hiervoor heeft hij een speciale opleiding gevolgd. Over de diensten met betrekking tot stoorvelddiagnostiek heeft Solleveld geen BTW in rekening gebracht. De inspecteur heeft naheffingsaanslagen opgelegd omdat stoorvelddiagnostiek niet behoort tot de deskundigheid van een fysiotherapeut in de zin van artikel 29 van de Wet BIG en van artikel </w:t>
      </w:r>
      <w:r>
        <w:rPr>
          <w:lang w:val="nl-NL"/>
        </w:rPr>
        <w:t xml:space="preserve">5 </w:t>
      </w:r>
      <w:r w:rsidRPr="00C74A9A">
        <w:rPr>
          <w:lang w:val="nl-NL"/>
        </w:rPr>
        <w:t>van het besluit van 1997.</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 xml:space="preserve">Van den Hout-Van Eijnsbergen is werkzaam als psychotherapeute en heeft een pedagogiediploma. Tevens is zij als psychotherapeute ingeschreven in het daarvoor bedoelde register. Over haar werkzaamheden bracht ze geen BTW in rekening. De inspecteur heeft naheffingsaanslagen opgelegd, omdat het beroep psychotherapeute niet viel onder de beroepsgroepen die gebruik konden maken van de vrijstelling.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De Nederlandse regering stelt dat ‘een juiste en eenvoudige toepassing van de BTW vrijstelling wordt verzekerd wanneer de vrijstelling enkel wordt voorbehouden aan zorgverleners die over de beroepskwalificaties beschikken die in de nationale regeling inzake de paramedische beroepen worden genoemd en uitsluitend voor de specifieke werkzaamheden op het gebied van de gezondheidskundige verzorging van de mens waarvoor zij die kwalificaties hebben verkregen, zoals die werkzaamheden worden omschreven.’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Pr>
          <w:lang w:val="nl-NL"/>
        </w:rPr>
        <w:t>Het Hof oordeelde als volgt:</w:t>
      </w:r>
      <w:r w:rsidRPr="00C74A9A">
        <w:rPr>
          <w:lang w:val="nl-NL"/>
        </w:rPr>
        <w:t xml:space="preserve"> ‘in de uitoefening van die beoordelingsvrijheid moeten de lidstaten echter het door die bepaling nagestreefde doel, namelijk te garanderen dat de vrijstelling uitsluitend geldt voor diensten verleend door personen die de vereiste beroepskwalificaties bezitten, alsmede het beginsel van fiscale neutraliteit in acht nemen.’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Hof oordeelt hier dat het beginsel van fisc</w:t>
      </w:r>
      <w:r>
        <w:rPr>
          <w:lang w:val="nl-NL"/>
        </w:rPr>
        <w:t>ale neutraliteit in acht</w:t>
      </w:r>
      <w:r w:rsidRPr="00C74A9A">
        <w:rPr>
          <w:lang w:val="nl-NL"/>
        </w:rPr>
        <w:t xml:space="preserve"> moet worden </w:t>
      </w:r>
      <w:r>
        <w:rPr>
          <w:lang w:val="nl-NL"/>
        </w:rPr>
        <w:t xml:space="preserve">genomen </w:t>
      </w:r>
      <w:r w:rsidRPr="00C74A9A">
        <w:rPr>
          <w:lang w:val="nl-NL"/>
        </w:rPr>
        <w:t xml:space="preserve">voor de kwalificatie of de vrijstelling van toepassing is. Er mag dus geen ongelijke behandeling zijn voor soortgelijke activiteiten.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Reemtsma</w:t>
      </w:r>
      <w:r w:rsidRPr="00C74A9A">
        <w:rPr>
          <w:rStyle w:val="FootnoteReference"/>
          <w:i/>
          <w:lang w:val="nl-NL"/>
        </w:rPr>
        <w:footnoteReference w:id="10"/>
      </w:r>
    </w:p>
    <w:p w:rsidR="00A8672C" w:rsidRPr="00C74A9A" w:rsidRDefault="00A8672C" w:rsidP="00D4603A">
      <w:pPr>
        <w:spacing w:line="360" w:lineRule="auto"/>
        <w:jc w:val="both"/>
        <w:rPr>
          <w:lang w:val="nl-NL"/>
        </w:rPr>
      </w:pPr>
      <w:r w:rsidRPr="00C74A9A">
        <w:rPr>
          <w:lang w:val="nl-NL"/>
        </w:rPr>
        <w:t>Reemtsma is een in Duitsland gevestigde ondernemer zonder vaste inrichting in Italië. Een Italiaanse onderneme</w:t>
      </w:r>
      <w:r>
        <w:rPr>
          <w:lang w:val="nl-NL"/>
        </w:rPr>
        <w:t>r</w:t>
      </w:r>
      <w:r w:rsidRPr="00C74A9A">
        <w:rPr>
          <w:lang w:val="nl-NL"/>
        </w:rPr>
        <w:t xml:space="preserve"> heeft 1994 reclame- en marketingdiensten geleverd aan Reemtsma. Over deze diensten is </w:t>
      </w:r>
      <w:r>
        <w:rPr>
          <w:lang w:val="nl-NL"/>
        </w:rPr>
        <w:t xml:space="preserve">Italiaanse </w:t>
      </w:r>
      <w:r w:rsidRPr="00C74A9A">
        <w:rPr>
          <w:lang w:val="nl-NL"/>
        </w:rPr>
        <w:t xml:space="preserve">BTW in rekening gebracht </w:t>
      </w:r>
      <w:r>
        <w:rPr>
          <w:lang w:val="nl-NL"/>
        </w:rPr>
        <w:t>aan</w:t>
      </w:r>
      <w:r w:rsidRPr="00C74A9A">
        <w:rPr>
          <w:lang w:val="nl-NL"/>
        </w:rPr>
        <w:t xml:space="preserve"> Reemtsma, en deze BTW is aan de Italiaanse schatkist afgedragen. Reemtsma verzocht vervolgens om teruggaaf van de Italiaanse BTW, omdat de BTW volgens Reemtsma in Duitsland verschuldigd was. De Italiaanse belastingdienst weigerde de teruggaaf te verlenen.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Hof heeft geoordeeld dat het neutraliteitsbeginsel deze Italiaanse regelgeving niet in de weg staat. Het is dus niet in strijd met de neutraliteit dat Reemtsma de Italiaanse BTW niet kon terugvorderen. Het Hof heeft tevens geoordeeld dat: ‘Indien terugbetaling van de belasting over de toegevoegde waarde echter onmogelijk of buitengewoon moeilijk wordt, moeten de lidstaten de middelen bieden waarmee de dienstenontvanger de ten onrechte gefactureerde belasting kan terugvorderen, zodat aan het doeltreffendheidbeginsel wordt voldaan.’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Ecotrade</w:t>
      </w:r>
      <w:r w:rsidRPr="00C74A9A">
        <w:rPr>
          <w:rStyle w:val="FootnoteReference"/>
          <w:i/>
          <w:lang w:val="nl-NL"/>
        </w:rPr>
        <w:footnoteReference w:id="11"/>
      </w:r>
    </w:p>
    <w:p w:rsidR="00A8672C" w:rsidRPr="00C74A9A" w:rsidRDefault="00A8672C" w:rsidP="00D4603A">
      <w:pPr>
        <w:spacing w:line="360" w:lineRule="auto"/>
        <w:jc w:val="both"/>
        <w:rPr>
          <w:lang w:val="nl-NL"/>
        </w:rPr>
      </w:pPr>
      <w:r w:rsidRPr="00C74A9A">
        <w:rPr>
          <w:lang w:val="nl-NL"/>
        </w:rPr>
        <w:t>Ecotrade is een in Italië gevestigde vennootschap. Ecotrade nam bevrachtingsdiensten af van in het buitenland gevestigde ondernemers. Deze ondernemers brachten geen BTW in rekening op hun factuur aan Ecotrade. Ecotrade ging er van uit dat deze diensten vrijgesteld van BTW waren. Later bleek echter dat de diensten niet vrijgesteld waren, maar dat de verleggingsregeling</w:t>
      </w:r>
      <w:r>
        <w:rPr>
          <w:lang w:val="nl-NL"/>
        </w:rPr>
        <w:t xml:space="preserve"> had moeten worden</w:t>
      </w:r>
      <w:r w:rsidRPr="00C74A9A">
        <w:rPr>
          <w:lang w:val="nl-NL"/>
        </w:rPr>
        <w:t xml:space="preserve"> toegepast. Ecotrade had de diensten in Italië moeten aangeven. Ecotrade was de BTW over de factuur in Italië verschuldigd en kon tevens de BTW weer terugvragen op de factuur. Per saldo maakt dit geen verschil met een vrijstelling.</w:t>
      </w:r>
    </w:p>
    <w:p w:rsidR="00A8672C" w:rsidRPr="00C74A9A" w:rsidRDefault="00A8672C" w:rsidP="00D4603A">
      <w:pPr>
        <w:spacing w:line="360" w:lineRule="auto"/>
        <w:jc w:val="both"/>
        <w:rPr>
          <w:lang w:val="nl-NL"/>
        </w:rPr>
      </w:pPr>
      <w:r w:rsidRPr="00C74A9A">
        <w:rPr>
          <w:lang w:val="nl-NL"/>
        </w:rPr>
        <w:t>Toen de belastingadministratie de fout ontdekte</w:t>
      </w:r>
      <w:r>
        <w:rPr>
          <w:lang w:val="nl-NL"/>
        </w:rPr>
        <w:t>, legde</w:t>
      </w:r>
      <w:r w:rsidRPr="00C74A9A">
        <w:rPr>
          <w:lang w:val="nl-NL"/>
        </w:rPr>
        <w:t xml:space="preserve"> zij </w:t>
      </w:r>
      <w:r>
        <w:rPr>
          <w:lang w:val="nl-NL"/>
        </w:rPr>
        <w:t xml:space="preserve">naheffingsaanslagen op over </w:t>
      </w:r>
      <w:r w:rsidRPr="00C74A9A">
        <w:rPr>
          <w:lang w:val="nl-NL"/>
        </w:rPr>
        <w:t>de niet aange</w:t>
      </w:r>
      <w:r>
        <w:rPr>
          <w:lang w:val="nl-NL"/>
        </w:rPr>
        <w:t xml:space="preserve">geven belasting op de facturen </w:t>
      </w:r>
      <w:r w:rsidRPr="00C74A9A">
        <w:rPr>
          <w:lang w:val="nl-NL"/>
        </w:rPr>
        <w:t>van 4 jaren, en weigerde vervolgens de aftrek van voorbelasting omdat het verzoek niet tijdig was gedaan.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Hof heeft in deze zaak overwogen dat de toepassing van de Italiaanse regels door de belastingadministratie er voor zorgt dat er een aanzienlijke belastingheffing plaats vindt. Terwijl het de bedoeling was dat er geen BTW op Ecotrade zou drukken. In een normale situatie zou Ecotrade deze BTW namelijk weer kunnen terugvorderen. Door de Italiaanse regelgeving is de belastingheffing niet meer in overeenstemming met het neutraliteitsbeginsel.</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De Italiaanse en Cypriotische regering hebben aangevoerd dat de Italiaanse regelgeving er voor zorgt dat ze een juiste, tijdige en nauwkeurige aangifte bevorderen en tevens fraude kunnen voorkomen.</w:t>
      </w:r>
      <w:r>
        <w:rPr>
          <w:lang w:val="nl-NL"/>
        </w:rPr>
        <w:t xml:space="preserve"> </w:t>
      </w:r>
      <w:r w:rsidRPr="00C74A9A">
        <w:rPr>
          <w:lang w:val="nl-NL"/>
        </w:rPr>
        <w:t>Het Hof acht deze argumenten geen rechtvaardiging voor een schending van het neutraliteitsbeginsel.</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Ahold</w:t>
      </w:r>
      <w:r w:rsidRPr="00C74A9A">
        <w:rPr>
          <w:rStyle w:val="FootnoteReference"/>
          <w:i/>
          <w:lang w:val="nl-NL"/>
        </w:rPr>
        <w:footnoteReference w:id="12"/>
      </w:r>
    </w:p>
    <w:p w:rsidR="00A8672C" w:rsidRDefault="00A8672C" w:rsidP="00D4603A">
      <w:pPr>
        <w:spacing w:line="360" w:lineRule="auto"/>
        <w:jc w:val="both"/>
        <w:rPr>
          <w:lang w:val="nl-NL"/>
        </w:rPr>
      </w:pPr>
      <w:r w:rsidRPr="00C74A9A">
        <w:rPr>
          <w:lang w:val="nl-NL"/>
        </w:rPr>
        <w:t>Albert Heijn B.V. is een Nederlandse vennootschap die supermarkten exploiteert. Voor de BTW behoort zij tot de fiscale eenheid Koninklijke Ahold N.V.. De gebruikelijke methode van Albert Heijn B.V. om de BTW te berekenen is afronden volgens de rekenkundige methode per kassabon. Voor twee filialen heeft zij gedurende één tijdvak de BTW berekend per product waarbij het bedrag werd afgerond naar het naastgelegen lagere eurocent. Voor deze twee filialen was de te betalen BTW aanzienlijk lager.</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Albert Heijn B.V. heeft verzocht om teruggaaf van de teveel betaalde BTW voor deze twee filialen. De inspecteur ging hier niet mee akkoord en is van mening dat de BTW afgerond dient te worden per kassabon.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H</w:t>
      </w:r>
      <w:r>
        <w:rPr>
          <w:lang w:val="nl-NL"/>
        </w:rPr>
        <w:t>of heeft hierover als volgt geoordeeld</w:t>
      </w:r>
      <w:r w:rsidRPr="00C74A9A">
        <w:rPr>
          <w:lang w:val="nl-NL"/>
        </w:rPr>
        <w:t xml:space="preserve">: ‘Het beginsel van fiscale neutraliteit, dat de uitdrukking vormt van het beginsel van gelijke behandeling op het gebied van de btw, heeft met name tot gevolg dat belastingplichtigen, wat de bij de berekening van de btw gehanteerde afrondingsmethode betreft, niet verschillend mogen worden behandeld voor gelijksoortige diensten die met elkaar concurreren.’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lang w:val="nl-NL"/>
        </w:rPr>
      </w:pPr>
      <w:r w:rsidRPr="00C74A9A">
        <w:rPr>
          <w:lang w:val="nl-NL"/>
        </w:rPr>
        <w:t>Het neutraliteitsbeginsel beteken</w:t>
      </w:r>
      <w:r>
        <w:rPr>
          <w:lang w:val="nl-NL"/>
        </w:rPr>
        <w:t>t</w:t>
      </w:r>
      <w:r w:rsidRPr="00C74A9A">
        <w:rPr>
          <w:lang w:val="nl-NL"/>
        </w:rPr>
        <w:t xml:space="preserve"> dus gelijke bel</w:t>
      </w:r>
      <w:r>
        <w:rPr>
          <w:lang w:val="nl-NL"/>
        </w:rPr>
        <w:t xml:space="preserve">astingplichtigen niet ongelijk </w:t>
      </w:r>
      <w:r w:rsidRPr="00C74A9A">
        <w:rPr>
          <w:lang w:val="nl-NL"/>
        </w:rPr>
        <w:t>mogen worden</w:t>
      </w:r>
      <w:r>
        <w:rPr>
          <w:lang w:val="nl-NL"/>
        </w:rPr>
        <w:t xml:space="preserve"> behandeld</w:t>
      </w:r>
      <w:r w:rsidRPr="00C74A9A">
        <w:rPr>
          <w:lang w:val="nl-NL"/>
        </w:rPr>
        <w:t xml:space="preserve">. Beide afrondingsmethoden kunnen </w:t>
      </w:r>
      <w:r>
        <w:rPr>
          <w:lang w:val="nl-NL"/>
        </w:rPr>
        <w:t>worden gebruikt</w:t>
      </w:r>
      <w:r w:rsidRPr="00C74A9A">
        <w:rPr>
          <w:lang w:val="nl-NL"/>
        </w:rPr>
        <w:t xml:space="preserve">. Maar er dient wel een één methode gekozen die in de lidstaat </w:t>
      </w:r>
      <w:r>
        <w:rPr>
          <w:lang w:val="nl-NL"/>
        </w:rPr>
        <w:t>wordt gehanteerd</w:t>
      </w:r>
      <w:r w:rsidRPr="00C74A9A">
        <w:rPr>
          <w:lang w:val="nl-NL"/>
        </w:rPr>
        <w:t xml:space="preserve">. </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Pr>
          <w:i/>
          <w:lang w:val="nl-NL"/>
        </w:rPr>
        <w:t>N</w:t>
      </w:r>
      <w:r w:rsidRPr="00C74A9A">
        <w:rPr>
          <w:i/>
          <w:lang w:val="nl-NL"/>
        </w:rPr>
        <w:t>eutraliteitsbeginsel</w:t>
      </w:r>
    </w:p>
    <w:p w:rsidR="00A8672C" w:rsidRDefault="00A8672C" w:rsidP="00D4603A">
      <w:pPr>
        <w:spacing w:line="360" w:lineRule="auto"/>
        <w:jc w:val="both"/>
        <w:rPr>
          <w:lang w:val="nl-NL"/>
        </w:rPr>
      </w:pPr>
      <w:r>
        <w:rPr>
          <w:lang w:val="nl-NL"/>
        </w:rPr>
        <w:t>Aan de hand van de hiervoor besproken jurisprudentie geef ik de kernpunten van het neutraliteitsbeginsel weer.</w:t>
      </w:r>
    </w:p>
    <w:p w:rsidR="00A8672C" w:rsidRPr="00C74A9A" w:rsidRDefault="00A8672C" w:rsidP="00D4603A">
      <w:pPr>
        <w:numPr>
          <w:ilvl w:val="0"/>
          <w:numId w:val="16"/>
        </w:numPr>
        <w:spacing w:line="360" w:lineRule="auto"/>
        <w:jc w:val="both"/>
        <w:rPr>
          <w:i/>
          <w:lang w:val="nl-NL"/>
        </w:rPr>
      </w:pPr>
      <w:r w:rsidRPr="00C74A9A">
        <w:rPr>
          <w:lang w:val="nl-NL"/>
        </w:rPr>
        <w:t xml:space="preserve">Voor de invulling van het neutraliteitsbeginsel </w:t>
      </w:r>
      <w:r>
        <w:rPr>
          <w:lang w:val="nl-NL"/>
        </w:rPr>
        <w:t>mag geen algemeen onderscheid</w:t>
      </w:r>
      <w:r w:rsidRPr="00C74A9A">
        <w:rPr>
          <w:lang w:val="nl-NL"/>
        </w:rPr>
        <w:t xml:space="preserve"> </w:t>
      </w:r>
      <w:r>
        <w:rPr>
          <w:lang w:val="nl-NL"/>
        </w:rPr>
        <w:t>worden gemaakt</w:t>
      </w:r>
      <w:r w:rsidRPr="00C74A9A">
        <w:rPr>
          <w:lang w:val="nl-NL"/>
        </w:rPr>
        <w:t xml:space="preserve"> tussen legale en illegale transacties.</w:t>
      </w:r>
    </w:p>
    <w:p w:rsidR="00A8672C" w:rsidRDefault="00A8672C" w:rsidP="00D4603A">
      <w:pPr>
        <w:numPr>
          <w:ilvl w:val="0"/>
          <w:numId w:val="16"/>
        </w:numPr>
        <w:spacing w:line="360" w:lineRule="auto"/>
        <w:jc w:val="both"/>
        <w:rPr>
          <w:lang w:val="nl-NL"/>
        </w:rPr>
      </w:pPr>
      <w:r>
        <w:rPr>
          <w:lang w:val="nl-NL"/>
        </w:rPr>
        <w:t>Indien het gevaar voor verlies van belastinginkomsten tijdig en volledig is uitgeschakeld, kan de ten onrechte gefactureerde belasting worden herzien.</w:t>
      </w:r>
    </w:p>
    <w:p w:rsidR="00A8672C" w:rsidRDefault="00A8672C" w:rsidP="00D4603A">
      <w:pPr>
        <w:numPr>
          <w:ilvl w:val="0"/>
          <w:numId w:val="16"/>
        </w:numPr>
        <w:spacing w:line="360" w:lineRule="auto"/>
        <w:jc w:val="both"/>
        <w:rPr>
          <w:lang w:val="nl-NL"/>
        </w:rPr>
      </w:pPr>
      <w:r>
        <w:rPr>
          <w:lang w:val="nl-NL"/>
        </w:rPr>
        <w:t>Voor de toepassing van de overdracht van algemeenheid van goederen mag geen onderscheid gemaakt worden tussen verschillende met BTW belaste economische activiteiten.</w:t>
      </w:r>
    </w:p>
    <w:p w:rsidR="00A8672C" w:rsidRPr="00C74A9A" w:rsidRDefault="00A8672C" w:rsidP="00D4603A">
      <w:pPr>
        <w:numPr>
          <w:ilvl w:val="0"/>
          <w:numId w:val="16"/>
        </w:numPr>
        <w:spacing w:line="360" w:lineRule="auto"/>
        <w:jc w:val="both"/>
        <w:rPr>
          <w:lang w:val="nl-NL"/>
        </w:rPr>
      </w:pPr>
      <w:r>
        <w:rPr>
          <w:lang w:val="nl-NL"/>
        </w:rPr>
        <w:t>Voor de toepassing van een vrijstelling mag geen onderscheid worden gemaakt tussen soortgelijke activiteiten.</w:t>
      </w:r>
    </w:p>
    <w:p w:rsidR="00A8672C" w:rsidRDefault="00A8672C" w:rsidP="00D4603A">
      <w:pPr>
        <w:numPr>
          <w:ilvl w:val="0"/>
          <w:numId w:val="16"/>
        </w:numPr>
        <w:spacing w:line="360" w:lineRule="auto"/>
        <w:jc w:val="both"/>
        <w:rPr>
          <w:lang w:val="nl-NL"/>
        </w:rPr>
      </w:pPr>
      <w:r>
        <w:rPr>
          <w:lang w:val="nl-NL"/>
        </w:rPr>
        <w:t>Het niet kunnen terugvragen van ten onrechte betaalde BTW in een lidstaat waar je niet gevestigd bent, is niet in strijd met het neutraliteitsbeginsel.</w:t>
      </w:r>
    </w:p>
    <w:p w:rsidR="00A8672C" w:rsidRDefault="00A8672C" w:rsidP="00D4603A">
      <w:pPr>
        <w:numPr>
          <w:ilvl w:val="0"/>
          <w:numId w:val="16"/>
        </w:numPr>
        <w:spacing w:line="360" w:lineRule="auto"/>
        <w:jc w:val="both"/>
        <w:rPr>
          <w:lang w:val="nl-NL"/>
        </w:rPr>
      </w:pPr>
      <w:r>
        <w:rPr>
          <w:lang w:val="nl-NL"/>
        </w:rPr>
        <w:t>Regelgeving waardoor er meer belasting op belastingplichtige drukt dan wat de bedoeling is, is in strijd met het neutraliteitsbeginsel.</w:t>
      </w:r>
    </w:p>
    <w:p w:rsidR="00A8672C" w:rsidRPr="00C74A9A" w:rsidRDefault="00A8672C" w:rsidP="00D4603A">
      <w:pPr>
        <w:numPr>
          <w:ilvl w:val="0"/>
          <w:numId w:val="16"/>
        </w:numPr>
        <w:spacing w:line="360" w:lineRule="auto"/>
        <w:jc w:val="both"/>
        <w:rPr>
          <w:lang w:val="nl-NL"/>
        </w:rPr>
      </w:pPr>
      <w:r>
        <w:rPr>
          <w:lang w:val="nl-NL"/>
        </w:rPr>
        <w:t>Het neutraliteitsbeginsel betekent</w:t>
      </w:r>
      <w:r w:rsidRPr="00C74A9A">
        <w:rPr>
          <w:lang w:val="nl-NL"/>
        </w:rPr>
        <w:t xml:space="preserve"> </w:t>
      </w:r>
      <w:r>
        <w:rPr>
          <w:lang w:val="nl-NL"/>
        </w:rPr>
        <w:t xml:space="preserve">dat </w:t>
      </w:r>
      <w:r w:rsidRPr="00C74A9A">
        <w:rPr>
          <w:lang w:val="nl-NL"/>
        </w:rPr>
        <w:t xml:space="preserve">gelijke </w:t>
      </w:r>
      <w:r>
        <w:rPr>
          <w:lang w:val="nl-NL"/>
        </w:rPr>
        <w:t>prestaties niet ongelijk m</w:t>
      </w:r>
      <w:r w:rsidRPr="00C74A9A">
        <w:rPr>
          <w:lang w:val="nl-NL"/>
        </w:rPr>
        <w:t>ogen worden</w:t>
      </w:r>
      <w:r>
        <w:rPr>
          <w:lang w:val="nl-NL"/>
        </w:rPr>
        <w:t xml:space="preserve"> belast</w:t>
      </w:r>
      <w:r w:rsidRPr="00C74A9A">
        <w:rPr>
          <w:lang w:val="nl-NL"/>
        </w:rPr>
        <w:t xml:space="preserv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p>
    <w:p w:rsidR="00A8672C" w:rsidRPr="00C74A9A" w:rsidRDefault="00A8672C" w:rsidP="00D4603A">
      <w:pPr>
        <w:spacing w:line="360" w:lineRule="auto"/>
        <w:jc w:val="both"/>
        <w:rPr>
          <w:lang w:val="nl-NL"/>
        </w:rPr>
      </w:pPr>
    </w:p>
    <w:p w:rsidR="00A8672C" w:rsidRPr="00C74A9A" w:rsidRDefault="00A8672C" w:rsidP="00D4603A">
      <w:pPr>
        <w:pStyle w:val="Heading2"/>
        <w:jc w:val="both"/>
        <w:rPr>
          <w:szCs w:val="24"/>
        </w:rPr>
      </w:pPr>
      <w:bookmarkStart w:id="5" w:name="_Toc260928082"/>
      <w:r w:rsidRPr="00C74A9A">
        <w:rPr>
          <w:szCs w:val="24"/>
        </w:rPr>
        <w:t>1.</w:t>
      </w:r>
      <w:r>
        <w:rPr>
          <w:szCs w:val="24"/>
        </w:rPr>
        <w:t>3</w:t>
      </w:r>
      <w:r w:rsidRPr="00C74A9A">
        <w:rPr>
          <w:szCs w:val="24"/>
        </w:rPr>
        <w:t xml:space="preserve"> Evenredigheidsbeginsel</w:t>
      </w:r>
      <w:bookmarkEnd w:id="5"/>
    </w:p>
    <w:p w:rsidR="00A8672C" w:rsidRPr="00C74A9A" w:rsidRDefault="00A8672C" w:rsidP="00D4603A">
      <w:pPr>
        <w:spacing w:line="360" w:lineRule="auto"/>
        <w:jc w:val="both"/>
        <w:rPr>
          <w:lang w:val="nl-NL"/>
        </w:rPr>
      </w:pPr>
      <w:r w:rsidRPr="00C74A9A">
        <w:rPr>
          <w:lang w:val="nl-NL"/>
        </w:rPr>
        <w:t>Net als het neutraliteitsbeginsel is het evenredigheidsbeginsel een belangrijk beginsel binnen de BTW. Het evenredigheidsbeginsel impliceert dat een maatregel geschikt en noodzakelijk moet zijn om het beoogde doel te bereiken.</w:t>
      </w:r>
      <w:r w:rsidRPr="00C74A9A">
        <w:rPr>
          <w:rStyle w:val="FootnoteReference"/>
          <w:lang w:val="nl-NL"/>
        </w:rPr>
        <w:footnoteReference w:id="13"/>
      </w:r>
      <w:r w:rsidRPr="00C74A9A">
        <w:rPr>
          <w:lang w:val="nl-NL"/>
        </w:rPr>
        <w:t xml:space="preserve"> Het is een lastig beginsel omdat er geen vaste norm bestaat voor evenredigheid. In de jurisprudentie worden regelmatig pogingen gedaan dit evenredigheidsbeginsel uit te leggen. Door middel van een analyse van de jurisprudentie geef ik een definitie van het evenredigheidsbeginsel.</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Molenheide</w:t>
      </w:r>
      <w:r w:rsidRPr="00C74A9A">
        <w:rPr>
          <w:rStyle w:val="FootnoteReference"/>
          <w:i/>
          <w:lang w:val="nl-NL"/>
        </w:rPr>
        <w:footnoteReference w:id="14"/>
      </w:r>
    </w:p>
    <w:p w:rsidR="00A8672C" w:rsidRDefault="00A8672C" w:rsidP="00D4603A">
      <w:pPr>
        <w:spacing w:line="360" w:lineRule="auto"/>
        <w:jc w:val="both"/>
        <w:rPr>
          <w:lang w:val="nl-NL"/>
        </w:rPr>
      </w:pPr>
      <w:r w:rsidRPr="00C74A9A">
        <w:rPr>
          <w:lang w:val="nl-NL"/>
        </w:rPr>
        <w:t xml:space="preserve">Molenheide exploiteert een </w:t>
      </w:r>
      <w:r>
        <w:rPr>
          <w:lang w:val="nl-NL"/>
        </w:rPr>
        <w:t>garagebedrijf in België en diende haar BTW-aangifte in. Bij een controle werden feiten vastgesteld die vermoedens wekte dat de aangifte onjuist en onvolledig was. De teruggaaf die voortvloeide uit de ingediende foutieve aangifte werd niet aan Molenheide uitbetaald. Vervolgens werden prejudiciële vragen gesteld of dit soort maatregelen mogen worden genomen.</w:t>
      </w:r>
    </w:p>
    <w:p w:rsidR="00A8672C" w:rsidRDefault="00A8672C" w:rsidP="00D4603A">
      <w:pPr>
        <w:spacing w:line="360" w:lineRule="auto"/>
        <w:jc w:val="both"/>
        <w:rPr>
          <w:lang w:val="nl-NL"/>
        </w:rPr>
      </w:pPr>
    </w:p>
    <w:p w:rsidR="00A8672C" w:rsidRPr="00C74A9A" w:rsidRDefault="00A8672C" w:rsidP="00D4603A">
      <w:pPr>
        <w:spacing w:line="360" w:lineRule="auto"/>
        <w:jc w:val="both"/>
        <w:rPr>
          <w:lang w:val="nl-NL"/>
        </w:rPr>
      </w:pPr>
      <w:r>
        <w:rPr>
          <w:lang w:val="nl-NL"/>
        </w:rPr>
        <w:t xml:space="preserve">Het Hof antwoordde dat lidstaten middelen moeten aanwenden die in overeenstemming zijn met het evenredigheidsbeginsel. De maatregelen mogen niet verder gaan dan nodig is voor het bereiken van het beoogde doel. </w:t>
      </w:r>
    </w:p>
    <w:p w:rsidR="00A8672C" w:rsidRPr="00C74A9A" w:rsidRDefault="00A8672C" w:rsidP="00D4603A">
      <w:pPr>
        <w:spacing w:line="360" w:lineRule="auto"/>
        <w:jc w:val="both"/>
        <w:rPr>
          <w:lang w:val="nl-NL"/>
        </w:rPr>
      </w:pPr>
    </w:p>
    <w:p w:rsidR="00A8672C" w:rsidRDefault="00A8672C" w:rsidP="00D4603A">
      <w:pPr>
        <w:spacing w:line="360" w:lineRule="auto"/>
        <w:jc w:val="both"/>
        <w:rPr>
          <w:i/>
          <w:lang w:val="nl-NL"/>
        </w:rPr>
      </w:pPr>
      <w:r w:rsidRPr="00C74A9A">
        <w:rPr>
          <w:i/>
          <w:lang w:val="nl-NL"/>
        </w:rPr>
        <w:t>FTI</w:t>
      </w:r>
      <w:r w:rsidRPr="00C74A9A">
        <w:rPr>
          <w:rStyle w:val="FootnoteReference"/>
          <w:i/>
          <w:lang w:val="nl-NL"/>
        </w:rPr>
        <w:footnoteReference w:id="15"/>
      </w:r>
    </w:p>
    <w:p w:rsidR="00A8672C" w:rsidRDefault="00A8672C" w:rsidP="00D4603A">
      <w:pPr>
        <w:spacing w:line="360" w:lineRule="auto"/>
        <w:jc w:val="both"/>
        <w:rPr>
          <w:lang w:val="nl-NL"/>
        </w:rPr>
      </w:pPr>
      <w:r>
        <w:rPr>
          <w:lang w:val="nl-NL"/>
        </w:rPr>
        <w:t xml:space="preserve">FTI is een beroepsvereniging voor handelaren in mobiele telefoons en computerprocessoren en heeft een verzoek ingediend om een prejudiciële beslissing inzake diverse fraudebestrijdingsregelingen. </w:t>
      </w:r>
    </w:p>
    <w:p w:rsidR="00A8672C" w:rsidRDefault="00A8672C" w:rsidP="00D4603A">
      <w:pPr>
        <w:spacing w:line="360" w:lineRule="auto"/>
        <w:jc w:val="both"/>
        <w:rPr>
          <w:lang w:val="nl-NL"/>
        </w:rPr>
      </w:pPr>
    </w:p>
    <w:p w:rsidR="00A8672C" w:rsidRPr="00A915B8" w:rsidRDefault="00A8672C" w:rsidP="00D4603A">
      <w:pPr>
        <w:spacing w:line="360" w:lineRule="auto"/>
        <w:jc w:val="both"/>
        <w:rPr>
          <w:lang w:val="nl-NL"/>
        </w:rPr>
      </w:pPr>
      <w:r>
        <w:rPr>
          <w:lang w:val="nl-NL"/>
        </w:rPr>
        <w:t>Het Hof heeft hierop geantwoord dat maatregelen om de schatkist te beschermen zo doelmatig mogelijk moeten zijn en niet verder mogen gaan dan voor dit doel noodzakelijk is. Dit is in overeenstemming met de uitspraak in het Molenheide arrest.</w:t>
      </w:r>
    </w:p>
    <w:p w:rsidR="00A8672C" w:rsidRDefault="00A8672C" w:rsidP="00D4603A">
      <w:pPr>
        <w:spacing w:line="360" w:lineRule="auto"/>
        <w:jc w:val="both"/>
        <w:rPr>
          <w:lang w:val="nl-NL"/>
        </w:rPr>
      </w:pPr>
    </w:p>
    <w:p w:rsidR="00A8672C" w:rsidRDefault="00A8672C">
      <w:pPr>
        <w:rPr>
          <w:lang w:val="nl-NL"/>
        </w:rPr>
      </w:pPr>
      <w:r>
        <w:rPr>
          <w:lang w:val="nl-NL"/>
        </w:rPr>
        <w:br w:type="page"/>
      </w:r>
    </w:p>
    <w:p w:rsidR="00A8672C" w:rsidRDefault="00A8672C" w:rsidP="00D4603A">
      <w:pPr>
        <w:spacing w:line="360" w:lineRule="auto"/>
        <w:jc w:val="both"/>
        <w:rPr>
          <w:i/>
          <w:lang w:val="nl-NL"/>
        </w:rPr>
      </w:pPr>
      <w:r w:rsidRPr="00C74A9A">
        <w:rPr>
          <w:i/>
          <w:lang w:val="nl-NL"/>
        </w:rPr>
        <w:t>Teleos</w:t>
      </w:r>
      <w:r>
        <w:rPr>
          <w:i/>
          <w:lang w:val="nl-NL"/>
        </w:rPr>
        <w:t xml:space="preserve"> e.a.</w:t>
      </w:r>
      <w:r w:rsidRPr="00C74A9A">
        <w:rPr>
          <w:rStyle w:val="FootnoteReference"/>
          <w:i/>
          <w:lang w:val="nl-NL"/>
        </w:rPr>
        <w:footnoteReference w:id="16"/>
      </w:r>
    </w:p>
    <w:p w:rsidR="00A8672C" w:rsidRDefault="00A8672C" w:rsidP="00D4603A">
      <w:pPr>
        <w:spacing w:line="360" w:lineRule="auto"/>
        <w:jc w:val="both"/>
        <w:rPr>
          <w:lang w:val="nl-NL"/>
        </w:rPr>
      </w:pPr>
      <w:r>
        <w:rPr>
          <w:lang w:val="nl-NL"/>
        </w:rPr>
        <w:t xml:space="preserve">Dit arrest betreft 14 Engelse telefoonhandelaren. Bij transacties naar Spanje hadden deze handelaren het nulprocentstarief voor intracommunautaire leveringen toegepast. De Engelse belastingdienst heeft hier een klein onderzoek op uitgevoerd en was akkoord gegaan met het nulprocentstarief. Later bleek dat de transportdocumenten vals waren. De mobiele telefoons hebben Engeland waarschijnlijk nooit verlaten en het nulprocentstarief is onterecht toegepast. De Engelse belastingdienst legde voor deze transacties naheffingsaanslagen op. </w:t>
      </w:r>
    </w:p>
    <w:p w:rsidR="00A8672C" w:rsidRDefault="00A8672C" w:rsidP="00D4603A">
      <w:pPr>
        <w:spacing w:line="360" w:lineRule="auto"/>
        <w:jc w:val="both"/>
        <w:rPr>
          <w:lang w:val="nl-NL"/>
        </w:rPr>
      </w:pPr>
    </w:p>
    <w:p w:rsidR="00A8672C" w:rsidRPr="00507D16" w:rsidRDefault="00A8672C" w:rsidP="00D4603A">
      <w:pPr>
        <w:spacing w:line="360" w:lineRule="auto"/>
        <w:jc w:val="both"/>
        <w:rPr>
          <w:lang w:val="nl-NL"/>
        </w:rPr>
      </w:pPr>
      <w:r>
        <w:rPr>
          <w:lang w:val="nl-NL"/>
        </w:rPr>
        <w:t>Het Hof heeft de maatregel getoetst aan het evenredigheidsbeginsel. Het Hof stelde vast dat het volledig toerekenen van de BTW-last aan de leverancier het BTW-stelsel niet noodzakelijkerwijze (beter) tegen fraude of misbruik van de afnemer zou beschermen.</w:t>
      </w:r>
      <w:r>
        <w:rPr>
          <w:rStyle w:val="FootnoteReference"/>
          <w:lang w:val="nl-NL"/>
        </w:rPr>
        <w:footnoteReference w:id="17"/>
      </w:r>
      <w:r>
        <w:rPr>
          <w:lang w:val="nl-NL"/>
        </w:rPr>
        <w:t xml:space="preserve"> De maatregel voldoet dus niet aan het evenredigheidsbeginsel.</w:t>
      </w:r>
    </w:p>
    <w:p w:rsidR="00A8672C" w:rsidRPr="00C74A9A" w:rsidRDefault="00A8672C" w:rsidP="00D4603A">
      <w:pPr>
        <w:spacing w:line="360" w:lineRule="auto"/>
        <w:jc w:val="both"/>
        <w:rPr>
          <w:i/>
          <w:lang w:val="nl-NL"/>
        </w:rPr>
      </w:pPr>
    </w:p>
    <w:p w:rsidR="00A8672C" w:rsidRPr="00C74A9A" w:rsidRDefault="00A8672C" w:rsidP="00D4603A">
      <w:pPr>
        <w:spacing w:line="360" w:lineRule="auto"/>
        <w:jc w:val="both"/>
        <w:rPr>
          <w:i/>
          <w:lang w:val="nl-NL"/>
        </w:rPr>
      </w:pPr>
      <w:r w:rsidRPr="00C74A9A">
        <w:rPr>
          <w:i/>
          <w:lang w:val="nl-NL"/>
        </w:rPr>
        <w:t>Collée</w:t>
      </w:r>
      <w:r w:rsidRPr="00C74A9A">
        <w:rPr>
          <w:rStyle w:val="FootnoteReference"/>
          <w:i/>
          <w:lang w:val="nl-NL"/>
        </w:rPr>
        <w:footnoteReference w:id="18"/>
      </w:r>
    </w:p>
    <w:p w:rsidR="00A8672C" w:rsidRDefault="00A8672C" w:rsidP="00D4603A">
      <w:pPr>
        <w:spacing w:line="360" w:lineRule="auto"/>
        <w:jc w:val="both"/>
        <w:rPr>
          <w:lang w:val="nl-NL"/>
        </w:rPr>
      </w:pPr>
      <w:r>
        <w:rPr>
          <w:lang w:val="nl-NL"/>
        </w:rPr>
        <w:t>Collée was een autodealer in Duitsland. Hij ontving alleen een provisie bij verkopen aan een afnemer in Duitsland. Hij heeft 20 auto’s aan een Belgische afnemer verkocht. Om toch een provisie te kunnen ontvangen heeft hij de auto’s op papier geleverd aan een Duitse afnemer die de auto’s vervolgens aan de Belgische afnemer heeft geleverd. Na een controle corrigeerde Collée de fictieve verkoop aan de Duitse afnemer en deed alsnog aangifte van de intracommunautaire levering. De Duitse fiscus weigerde de vrijstelling, omdat de boeking als intracommunautaire levering niet direct na de levering als zodanig geboekt was. Het direct opnemen in de boeken is onderdeel van het boekhoudkundige bewijs.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prejudiciële vraag luidt: </w:t>
      </w:r>
      <w:r>
        <w:rPr>
          <w:rStyle w:val="FootnoteReference"/>
          <w:lang w:val="nl-NL"/>
        </w:rPr>
        <w:footnoteReference w:id="19"/>
      </w:r>
      <w:r>
        <w:rPr>
          <w:lang w:val="nl-NL"/>
        </w:rPr>
        <w:t xml:space="preserve"> ‘Mag de belastingdienst weigeren een intracommunautaire levering, waarvan zonder twijfel sprake is, vrij te stellen van belasting, enkel omdat de belastingplichtige het daarvoor vereiste boekhoudkundige bewijs niet tijdig heeft geleverd?’</w:t>
      </w:r>
    </w:p>
    <w:p w:rsidR="00A8672C" w:rsidRDefault="00A8672C" w:rsidP="00D4603A">
      <w:pPr>
        <w:spacing w:line="360" w:lineRule="auto"/>
        <w:jc w:val="both"/>
        <w:rPr>
          <w:lang w:val="nl-NL"/>
        </w:rPr>
      </w:pPr>
      <w:r>
        <w:rPr>
          <w:lang w:val="nl-NL"/>
        </w:rPr>
        <w:t>Het Hof heeft de maatregel getoetst aan het evenredigheidsbeginsel. De vrijstelling is gekoppeld aan de naleving van formele verplichtingen, zonder rekening te houden met de materiële vereisten en zonder na te gaan of deze voorwaarden waren vervuld.</w:t>
      </w:r>
      <w:r>
        <w:rPr>
          <w:rStyle w:val="FootnoteReference"/>
          <w:lang w:val="nl-NL"/>
        </w:rPr>
        <w:footnoteReference w:id="20"/>
      </w:r>
      <w:r>
        <w:rPr>
          <w:lang w:val="nl-NL"/>
        </w:rPr>
        <w:t xml:space="preserve"> Het Hof heeft geoordeeld dat de maatregel voorbij gaat aan het evenredigheidsbeginsel, omdat de regeling verder gaat dan nodig is voor een juiste belastingheffing. Het toepassen van de vrijstelling zorgt namelijk niet voor een onjuiste belastingheffing.</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 xml:space="preserve">Twoh </w:t>
      </w:r>
      <w:r w:rsidRPr="00C74A9A">
        <w:rPr>
          <w:rStyle w:val="FootnoteReference"/>
          <w:i/>
          <w:lang w:val="nl-NL"/>
        </w:rPr>
        <w:footnoteReference w:id="21"/>
      </w:r>
    </w:p>
    <w:p w:rsidR="00A8672C" w:rsidRDefault="00A8672C" w:rsidP="00D4603A">
      <w:pPr>
        <w:spacing w:line="360" w:lineRule="auto"/>
        <w:jc w:val="both"/>
        <w:rPr>
          <w:lang w:val="nl-NL"/>
        </w:rPr>
      </w:pPr>
      <w:r>
        <w:rPr>
          <w:lang w:val="nl-NL"/>
        </w:rPr>
        <w:t>Twoh is een Nederlandse groothandel in onder meer computeronderdelen. Twoh had onderdelen geleverd aan een afnemer in Italië. Een door de Italiaanse afnemer ingeschakelde transporteur heeft de onderdelen in Nederland opgehaald en zou de benodigde vervoersdocumenten naar Twoh opsturen. De afnemer had de documenten echter niet opgestuurd. Aan Twoh werd een naheffingsaanslag opgelegd. De afnemer was inmiddels failliet. De Italiaanse belastingdienst beschikte wellicht nog over informatie betreffende de ontvangst van de goederen, maar de inspecteur wilde deze informatie niet opvragen. De richtlijn verplichtte namelijk niet tot informatie-uitwisseling van de lidstaten.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In de verordening inzake administratieve samenwerking staat dat verzoeken om inlichtingen een autoriteit niet administratief onevenredig zwaar mogen belasten. De Nederlandse belastingdienst is niet verplicht bewijs op te vragen bij de Italiaanse belastingdienst, omdat de belastingplichtige dit bewijs zelf niet kan aanvoeren. Het evenredigheidsbeginsel voorkomt dat de Nederlandse belastingdienst verplicht wordt het bewijs bij de Italiaanse belastingdienst op te vragen.</w:t>
      </w:r>
    </w:p>
    <w:p w:rsidR="00A8672C" w:rsidRPr="00C74A9A"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Netto Supermarkt</w:t>
      </w:r>
      <w:r w:rsidRPr="00C74A9A">
        <w:rPr>
          <w:rStyle w:val="FootnoteReference"/>
          <w:i/>
          <w:lang w:val="nl-NL"/>
        </w:rPr>
        <w:footnoteReference w:id="22"/>
      </w:r>
    </w:p>
    <w:p w:rsidR="00A8672C" w:rsidRDefault="00A8672C" w:rsidP="00D4603A">
      <w:pPr>
        <w:spacing w:line="360" w:lineRule="auto"/>
        <w:jc w:val="both"/>
        <w:rPr>
          <w:lang w:val="nl-NL"/>
        </w:rPr>
      </w:pPr>
      <w:r>
        <w:rPr>
          <w:lang w:val="nl-NL"/>
        </w:rPr>
        <w:t>Netto Supermarkt is een Duitse ondernemer die verschillende discount supermarkten exploiteert. Indien afnemers bewijs van uitvoer buiten de Gemeenschap kunnen leveren, door middel van een douanestempel op de bon en douanepapieren en door vertoon van het paspoort, betaalt Netto Supermarkt de BTW terug aan de afnemer. Netto Supermarkt heeft verzocht of een bepaalde douanestempel en douaneformulier vals was. Vervolgens heeft de fiscale opsporingsdienst ontdekt dat een groot aantal douaneformulieren van Poolse afnemers vals waren. Netto Supermarkt heeft bezwaar gemaakt tegen de naheffingsaanslagen.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Hof heeft geoordeeld dat een verdeling van het risico, van fraude door een derde, tussen leverancier en belastingautoriteit in overeenstemming moet zijn met het evenredigheidsbeginsel. Indien de leverancier het volledige risico draagt, terwijl hij er alles aan doet wat redelijkerwijs van hem kan worden verwacht om fraude tegen te gaan, is dit in strijd met het evenredigheidsbeginsel.</w:t>
      </w:r>
    </w:p>
    <w:p w:rsidR="00A8672C" w:rsidRDefault="00A8672C" w:rsidP="00D4603A">
      <w:pPr>
        <w:spacing w:line="360" w:lineRule="auto"/>
        <w:jc w:val="both"/>
        <w:rPr>
          <w:lang w:val="nl-NL"/>
        </w:rPr>
      </w:pPr>
    </w:p>
    <w:p w:rsidR="00A8672C" w:rsidRPr="00C74A9A" w:rsidRDefault="00A8672C" w:rsidP="00D4603A">
      <w:pPr>
        <w:spacing w:line="360" w:lineRule="auto"/>
        <w:jc w:val="both"/>
        <w:rPr>
          <w:i/>
          <w:lang w:val="nl-NL"/>
        </w:rPr>
      </w:pPr>
      <w:r w:rsidRPr="00C74A9A">
        <w:rPr>
          <w:i/>
          <w:lang w:val="nl-NL"/>
        </w:rPr>
        <w:t>Ahold</w:t>
      </w:r>
      <w:r w:rsidRPr="00C74A9A">
        <w:rPr>
          <w:rStyle w:val="FootnoteReference"/>
          <w:i/>
          <w:lang w:val="nl-NL"/>
        </w:rPr>
        <w:footnoteReference w:id="23"/>
      </w:r>
    </w:p>
    <w:p w:rsidR="00A8672C" w:rsidRPr="00C74A9A" w:rsidRDefault="00A8672C" w:rsidP="00D4603A">
      <w:pPr>
        <w:spacing w:line="360" w:lineRule="auto"/>
        <w:jc w:val="both"/>
        <w:rPr>
          <w:lang w:val="nl-NL"/>
        </w:rPr>
      </w:pPr>
      <w:r>
        <w:rPr>
          <w:lang w:val="nl-NL"/>
        </w:rPr>
        <w:t>Voor de feiten verwijs ik naar de omschrijving van Ahold in de vorige paragraaf. Uit de casus blijkt dat h</w:t>
      </w:r>
      <w:r w:rsidRPr="00C74A9A">
        <w:rPr>
          <w:lang w:val="nl-NL"/>
        </w:rPr>
        <w:t>et evenredigheidsbeginsel vereist dat wanneer afronding noodzakelijk is, het afgeronde BTW-bedrag zo dicht mogelijk in de buurt komt van het BTW-bedrag dat verschuldigd zou zijn indien er geen afronding zou plaatsvinden. In het kader van eenvoud en praktisch belang kan er een afrondingsmethode gebruikt worden die iets minder nauwkeurig is.</w:t>
      </w:r>
      <w:r>
        <w:rPr>
          <w:lang w:val="nl-NL"/>
        </w:rPr>
        <w:t xml:space="preserve"> </w:t>
      </w:r>
      <w:r w:rsidRPr="00C74A9A">
        <w:rPr>
          <w:lang w:val="nl-NL"/>
        </w:rPr>
        <w:t xml:space="preserve">Door toepassing van het evenredigheidsbeginsel kan geen uitsluitsel gegevens worden welke afrondingsmethode het beste is, beide methoden kunnen aan het </w:t>
      </w:r>
      <w:r>
        <w:rPr>
          <w:lang w:val="nl-NL"/>
        </w:rPr>
        <w:t>evenredigheidsbeginsel voldoen.</w:t>
      </w:r>
    </w:p>
    <w:p w:rsidR="00A8672C" w:rsidRPr="00C74A9A"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E</w:t>
      </w:r>
      <w:r w:rsidRPr="00C74A9A">
        <w:rPr>
          <w:i/>
          <w:lang w:val="nl-NL"/>
        </w:rPr>
        <w:t>venredigheidsbeginsel</w:t>
      </w:r>
    </w:p>
    <w:p w:rsidR="00A8672C" w:rsidRDefault="00A8672C" w:rsidP="00D4603A">
      <w:pPr>
        <w:spacing w:line="360" w:lineRule="auto"/>
        <w:jc w:val="both"/>
        <w:rPr>
          <w:lang w:val="nl-NL"/>
        </w:rPr>
      </w:pPr>
      <w:r>
        <w:rPr>
          <w:lang w:val="nl-NL"/>
        </w:rPr>
        <w:t>Aan de hand van de hiervoor besproken jurisprudentie geef ik de kernpunten van het evenredigheidsbeginsel weer:</w:t>
      </w:r>
    </w:p>
    <w:p w:rsidR="00A8672C" w:rsidRDefault="00A8672C" w:rsidP="00D4603A">
      <w:pPr>
        <w:numPr>
          <w:ilvl w:val="0"/>
          <w:numId w:val="17"/>
        </w:numPr>
        <w:spacing w:line="360" w:lineRule="auto"/>
        <w:jc w:val="both"/>
        <w:rPr>
          <w:lang w:val="nl-NL"/>
        </w:rPr>
      </w:pPr>
      <w:r>
        <w:rPr>
          <w:lang w:val="nl-NL"/>
        </w:rPr>
        <w:t>Maatregelen mogen niet verder gaan dan nodig is voor het bereiken van het beoogde doel.</w:t>
      </w:r>
    </w:p>
    <w:p w:rsidR="00A8672C" w:rsidRDefault="00A8672C" w:rsidP="00D4603A">
      <w:pPr>
        <w:numPr>
          <w:ilvl w:val="0"/>
          <w:numId w:val="17"/>
        </w:numPr>
        <w:spacing w:line="360" w:lineRule="auto"/>
        <w:jc w:val="both"/>
        <w:rPr>
          <w:lang w:val="nl-NL"/>
        </w:rPr>
      </w:pPr>
      <w:r>
        <w:rPr>
          <w:lang w:val="nl-NL"/>
        </w:rPr>
        <w:t>Verdeling van het risico, van fraude door een derde, tussen leverancier en belastingautoriteit moet in verhouding zijn.</w:t>
      </w:r>
    </w:p>
    <w:p w:rsidR="00A8672C" w:rsidRPr="00B86D85" w:rsidRDefault="00A8672C" w:rsidP="00D4603A">
      <w:pPr>
        <w:numPr>
          <w:ilvl w:val="0"/>
          <w:numId w:val="17"/>
        </w:numPr>
        <w:spacing w:line="360" w:lineRule="auto"/>
        <w:jc w:val="both"/>
        <w:rPr>
          <w:lang w:val="nl-NL"/>
        </w:rPr>
      </w:pPr>
      <w:r>
        <w:rPr>
          <w:lang w:val="nl-NL"/>
        </w:rPr>
        <w:t>Het evenredigheidsbeginsel is geen eenduidig begrip.</w:t>
      </w:r>
    </w:p>
    <w:p w:rsidR="00A8672C" w:rsidRPr="00B86D85" w:rsidRDefault="00A8672C" w:rsidP="00D4603A">
      <w:pPr>
        <w:spacing w:line="360" w:lineRule="auto"/>
        <w:jc w:val="both"/>
        <w:rPr>
          <w:i/>
          <w:lang w:val="nl-NL"/>
        </w:rPr>
      </w:pPr>
    </w:p>
    <w:p w:rsidR="00A8672C" w:rsidRPr="00C74A9A" w:rsidRDefault="00A8672C" w:rsidP="00D4603A">
      <w:pPr>
        <w:pStyle w:val="Heading2"/>
        <w:jc w:val="both"/>
        <w:rPr>
          <w:szCs w:val="24"/>
        </w:rPr>
      </w:pPr>
      <w:bookmarkStart w:id="6" w:name="_Toc260928083"/>
      <w:r w:rsidRPr="00C74A9A">
        <w:rPr>
          <w:szCs w:val="24"/>
        </w:rPr>
        <w:t>1.</w:t>
      </w:r>
      <w:r>
        <w:rPr>
          <w:szCs w:val="24"/>
        </w:rPr>
        <w:t>4</w:t>
      </w:r>
      <w:r w:rsidRPr="00C74A9A">
        <w:rPr>
          <w:szCs w:val="24"/>
        </w:rPr>
        <w:t xml:space="preserve"> Definitie diensten</w:t>
      </w:r>
      <w:bookmarkEnd w:id="6"/>
    </w:p>
    <w:p w:rsidR="00A8672C" w:rsidRDefault="00A8672C" w:rsidP="00D4603A">
      <w:pPr>
        <w:pStyle w:val="ListParagraph"/>
        <w:spacing w:after="0" w:line="360" w:lineRule="auto"/>
        <w:ind w:left="0"/>
        <w:jc w:val="both"/>
        <w:rPr>
          <w:rFonts w:ascii="Times New Roman" w:hAnsi="Times New Roman"/>
          <w:sz w:val="24"/>
          <w:szCs w:val="24"/>
        </w:rPr>
      </w:pPr>
      <w:r w:rsidRPr="00D856FC">
        <w:rPr>
          <w:rFonts w:ascii="Times New Roman" w:hAnsi="Times New Roman"/>
          <w:sz w:val="24"/>
          <w:szCs w:val="24"/>
        </w:rPr>
        <w:t xml:space="preserve">In </w:t>
      </w:r>
      <w:r>
        <w:rPr>
          <w:rFonts w:ascii="Times New Roman" w:hAnsi="Times New Roman"/>
          <w:sz w:val="24"/>
          <w:szCs w:val="24"/>
        </w:rPr>
        <w:t>artikel 4 lid 1 Wet OB 1968 staat dat het begrip diensten alle prestaties, niet zijnde leveringen van goederen in de zin van art 3 Wet OB 1968, omvat. Maar ook niet-prestaties kunnen een dienst zijn. Bij het nalaten van een handeling tegen betaling is er ook sprake van een dienst.</w:t>
      </w:r>
      <w:r>
        <w:rPr>
          <w:rStyle w:val="FootnoteReference"/>
          <w:rFonts w:ascii="Times New Roman" w:hAnsi="Times New Roman"/>
          <w:sz w:val="24"/>
          <w:szCs w:val="24"/>
        </w:rPr>
        <w:footnoteReference w:id="24"/>
      </w:r>
      <w:r>
        <w:rPr>
          <w:rFonts w:ascii="Times New Roman" w:hAnsi="Times New Roman"/>
          <w:sz w:val="24"/>
          <w:szCs w:val="24"/>
        </w:rPr>
        <w:t xml:space="preserve">  In de BTW-richtlijn staat in artikel 24 de definitie van diensten: ‘als dienst wordt beschouwd elke handeling die geen levering van goederen is.’ In artikel 25 van de BTW-richtlijn staan drie voorbeelden van een dienst genoemd, namelijk:</w:t>
      </w:r>
    </w:p>
    <w:p w:rsidR="00A8672C" w:rsidRDefault="00A8672C" w:rsidP="00D4603A">
      <w:pPr>
        <w:pStyle w:val="ListParagraph"/>
        <w:numPr>
          <w:ilvl w:val="0"/>
          <w:numId w:val="18"/>
        </w:numPr>
        <w:spacing w:after="0" w:line="360" w:lineRule="auto"/>
        <w:jc w:val="both"/>
        <w:rPr>
          <w:rFonts w:ascii="Times New Roman" w:hAnsi="Times New Roman"/>
          <w:sz w:val="24"/>
          <w:szCs w:val="24"/>
        </w:rPr>
      </w:pPr>
      <w:r>
        <w:rPr>
          <w:rFonts w:ascii="Times New Roman" w:hAnsi="Times New Roman"/>
          <w:sz w:val="24"/>
          <w:szCs w:val="24"/>
        </w:rPr>
        <w:t>‘De overdracht van een onlichamelijke zaak, ongeacht of deze al dan niet in een titel is belichaamd;</w:t>
      </w:r>
    </w:p>
    <w:p w:rsidR="00A8672C" w:rsidRDefault="00A8672C" w:rsidP="00D4603A">
      <w:pPr>
        <w:pStyle w:val="ListParagraph"/>
        <w:numPr>
          <w:ilvl w:val="0"/>
          <w:numId w:val="18"/>
        </w:numPr>
        <w:spacing w:after="0" w:line="360" w:lineRule="auto"/>
        <w:jc w:val="both"/>
        <w:rPr>
          <w:rFonts w:ascii="Times New Roman" w:hAnsi="Times New Roman"/>
          <w:sz w:val="24"/>
          <w:szCs w:val="24"/>
        </w:rPr>
      </w:pPr>
      <w:r>
        <w:rPr>
          <w:rFonts w:ascii="Times New Roman" w:hAnsi="Times New Roman"/>
          <w:sz w:val="24"/>
          <w:szCs w:val="24"/>
        </w:rPr>
        <w:t>De verplichting om een daad na te laten of om een daad of situatie te dulden;</w:t>
      </w:r>
    </w:p>
    <w:p w:rsidR="00A8672C" w:rsidRDefault="00A8672C" w:rsidP="00D4603A">
      <w:pPr>
        <w:pStyle w:val="ListParagraph"/>
        <w:numPr>
          <w:ilvl w:val="0"/>
          <w:numId w:val="18"/>
        </w:numPr>
        <w:spacing w:after="0" w:line="360" w:lineRule="auto"/>
        <w:jc w:val="both"/>
        <w:rPr>
          <w:rFonts w:ascii="Times New Roman" w:hAnsi="Times New Roman"/>
          <w:sz w:val="24"/>
          <w:szCs w:val="24"/>
        </w:rPr>
      </w:pPr>
      <w:r>
        <w:rPr>
          <w:rFonts w:ascii="Times New Roman" w:hAnsi="Times New Roman"/>
          <w:sz w:val="24"/>
          <w:szCs w:val="24"/>
        </w:rPr>
        <w:t>Het verrichten van een dienst op grond van een vordering door of namens de overheid, dan wel krachtens de wet.’</w:t>
      </w:r>
    </w:p>
    <w:p w:rsidR="00A8672C" w:rsidRDefault="00A8672C" w:rsidP="00D4603A">
      <w:pPr>
        <w:pStyle w:val="ListParagraph"/>
        <w:spacing w:after="0" w:line="360" w:lineRule="auto"/>
        <w:ind w:left="0"/>
        <w:jc w:val="both"/>
        <w:rPr>
          <w:rFonts w:ascii="Times New Roman" w:hAnsi="Times New Roman"/>
          <w:sz w:val="24"/>
          <w:szCs w:val="24"/>
        </w:rPr>
      </w:pPr>
    </w:p>
    <w:p w:rsidR="00A8672C" w:rsidRDefault="00A8672C" w:rsidP="00D4603A">
      <w:pPr>
        <w:pStyle w:val="ListParagraph"/>
        <w:spacing w:after="0" w:line="360" w:lineRule="auto"/>
        <w:ind w:left="0"/>
        <w:jc w:val="both"/>
        <w:rPr>
          <w:rFonts w:ascii="Times New Roman" w:hAnsi="Times New Roman"/>
          <w:sz w:val="24"/>
          <w:szCs w:val="24"/>
        </w:rPr>
      </w:pPr>
      <w:r>
        <w:rPr>
          <w:rFonts w:ascii="Times New Roman" w:hAnsi="Times New Roman"/>
          <w:sz w:val="24"/>
          <w:szCs w:val="24"/>
        </w:rPr>
        <w:t>Artikel 26 van de BTW-richtlijn bepaalt dat met een dienst verricht onder bezwarende titel worden gelijkgesteld:</w:t>
      </w:r>
    </w:p>
    <w:p w:rsidR="00A8672C" w:rsidRDefault="00A8672C" w:rsidP="00D4603A">
      <w:pPr>
        <w:pStyle w:val="ListParagraph"/>
        <w:numPr>
          <w:ilvl w:val="0"/>
          <w:numId w:val="19"/>
        </w:numPr>
        <w:spacing w:after="0" w:line="360" w:lineRule="auto"/>
        <w:jc w:val="both"/>
        <w:rPr>
          <w:rFonts w:ascii="Times New Roman" w:hAnsi="Times New Roman"/>
          <w:sz w:val="24"/>
          <w:szCs w:val="24"/>
        </w:rPr>
      </w:pPr>
      <w:r>
        <w:rPr>
          <w:rFonts w:ascii="Times New Roman" w:hAnsi="Times New Roman"/>
          <w:sz w:val="24"/>
          <w:szCs w:val="24"/>
        </w:rPr>
        <w:t>‘het gebruiken van een tot het bedrijf behorend goed voor privédoeleinden van de belastingplichtige of van zijn personeel, of, meer in het algemeen, voor andere dan bedrijfsdoeleinden, wanneer voor dit goed recht op volledige of gedeeltelijke aftrek van BTW is ontstaan;</w:t>
      </w:r>
    </w:p>
    <w:p w:rsidR="00A8672C" w:rsidRDefault="00A8672C" w:rsidP="00D4603A">
      <w:pPr>
        <w:pStyle w:val="ListParagraph"/>
        <w:numPr>
          <w:ilvl w:val="0"/>
          <w:numId w:val="19"/>
        </w:numPr>
        <w:spacing w:after="0" w:line="360" w:lineRule="auto"/>
        <w:jc w:val="both"/>
        <w:rPr>
          <w:rFonts w:ascii="Times New Roman" w:hAnsi="Times New Roman"/>
          <w:sz w:val="24"/>
          <w:szCs w:val="24"/>
        </w:rPr>
      </w:pPr>
      <w:r>
        <w:rPr>
          <w:rFonts w:ascii="Times New Roman" w:hAnsi="Times New Roman"/>
          <w:sz w:val="24"/>
          <w:szCs w:val="24"/>
        </w:rPr>
        <w:t>Het om niet verrichten van diensten door de belastingplichtige voor eigen privédoeleinden of voor privédoeleinden van zijn personeel, of, meer in het algemeen, voor andere dan bedrijfsdoeleinden.’</w:t>
      </w:r>
    </w:p>
    <w:p w:rsidR="00A8672C" w:rsidRDefault="00A8672C" w:rsidP="00D4603A">
      <w:pPr>
        <w:pStyle w:val="ListParagraph"/>
        <w:spacing w:after="0" w:line="360" w:lineRule="auto"/>
        <w:ind w:left="0"/>
        <w:jc w:val="both"/>
        <w:rPr>
          <w:rFonts w:ascii="Times New Roman" w:hAnsi="Times New Roman"/>
          <w:sz w:val="24"/>
          <w:szCs w:val="24"/>
        </w:rPr>
      </w:pPr>
    </w:p>
    <w:p w:rsidR="00A8672C" w:rsidRDefault="00A8672C" w:rsidP="00D4603A">
      <w:pPr>
        <w:pStyle w:val="ListParagraph"/>
        <w:spacing w:after="0" w:line="360" w:lineRule="auto"/>
        <w:ind w:left="0"/>
        <w:jc w:val="both"/>
        <w:rPr>
          <w:rFonts w:ascii="Times New Roman" w:hAnsi="Times New Roman"/>
          <w:sz w:val="24"/>
          <w:szCs w:val="24"/>
        </w:rPr>
      </w:pPr>
      <w:r>
        <w:rPr>
          <w:rFonts w:ascii="Times New Roman" w:hAnsi="Times New Roman"/>
          <w:sz w:val="24"/>
          <w:szCs w:val="24"/>
        </w:rPr>
        <w:t>Tevens wordt in dit artikel bepaald dat lidstaten van bovenstaande gelijkstellingen kunnen afwijken, mits deze afwijking niet tot een verstoring van de mededinging leidt.</w:t>
      </w:r>
    </w:p>
    <w:p w:rsidR="00A8672C" w:rsidRDefault="00A8672C" w:rsidP="00D4603A">
      <w:pPr>
        <w:pStyle w:val="ListParagraph"/>
        <w:spacing w:after="0" w:line="360" w:lineRule="auto"/>
        <w:ind w:left="0"/>
        <w:jc w:val="both"/>
        <w:rPr>
          <w:rFonts w:ascii="Times New Roman" w:hAnsi="Times New Roman"/>
          <w:sz w:val="24"/>
          <w:szCs w:val="24"/>
        </w:rPr>
      </w:pPr>
      <w:r>
        <w:rPr>
          <w:rFonts w:ascii="Times New Roman" w:hAnsi="Times New Roman"/>
          <w:sz w:val="24"/>
          <w:szCs w:val="24"/>
        </w:rPr>
        <w:t>In artikel 4 lid 2 Wet OB 1968 is art 26 van de BTW-richtlijn geheel overgenomen. In artikel 4 lid 3 Wet OB 1968 is nog een extra aanvulling opgenomen voor de gelijkstellingen, namelijk: de bij ministeriële regeling aan te wijzen verrichtingen door ondernemers binnen hun bedrijf, in gevallen waarin die ondernemers, indien zij die verrichtingen door andere ondernemers zouden laten doen, de belasting niet of niet geheel in aftrek zouden kunnen brengen.</w:t>
      </w:r>
    </w:p>
    <w:p w:rsidR="00A8672C" w:rsidRDefault="00A8672C" w:rsidP="00D4603A">
      <w:pPr>
        <w:pStyle w:val="ListParagraph"/>
        <w:spacing w:after="0" w:line="360" w:lineRule="auto"/>
        <w:ind w:left="0"/>
        <w:jc w:val="both"/>
        <w:rPr>
          <w:rFonts w:ascii="Times New Roman" w:hAnsi="Times New Roman"/>
          <w:sz w:val="24"/>
          <w:szCs w:val="24"/>
        </w:rPr>
      </w:pPr>
    </w:p>
    <w:p w:rsidR="00A8672C" w:rsidRDefault="00A8672C" w:rsidP="00D4603A">
      <w:pPr>
        <w:pStyle w:val="ListParagraph"/>
        <w:spacing w:after="0" w:line="360" w:lineRule="auto"/>
        <w:ind w:left="0"/>
        <w:jc w:val="both"/>
        <w:rPr>
          <w:rFonts w:ascii="Times New Roman" w:hAnsi="Times New Roman"/>
          <w:sz w:val="24"/>
          <w:szCs w:val="24"/>
        </w:rPr>
      </w:pPr>
      <w:r>
        <w:rPr>
          <w:rFonts w:ascii="Times New Roman" w:hAnsi="Times New Roman"/>
          <w:sz w:val="24"/>
          <w:szCs w:val="24"/>
        </w:rPr>
        <w:t xml:space="preserve">Het probleem dat ontstaat bij het belasten van diensten is dat diensten onzichtbaar zijn. Vooral bij grensoverschrijdende diensten kan dit een lastige situatie opleveren. Bij een levering van een goed zal er altijd een goed met een bepaalde waarde worden verhandeld. Het goed kan je volgen over de grenzen heen, omdat een goed tastbaar is. Bij een dienst is het volgen niet mogelijk. </w:t>
      </w:r>
    </w:p>
    <w:p w:rsidR="00A8672C" w:rsidRDefault="00A8672C" w:rsidP="00D4603A">
      <w:pPr>
        <w:pStyle w:val="ListParagraph"/>
        <w:spacing w:after="0" w:line="360" w:lineRule="auto"/>
        <w:ind w:left="0"/>
        <w:jc w:val="both"/>
        <w:rPr>
          <w:rFonts w:ascii="Times New Roman" w:hAnsi="Times New Roman"/>
          <w:sz w:val="24"/>
          <w:szCs w:val="24"/>
        </w:rPr>
      </w:pPr>
    </w:p>
    <w:p w:rsidR="00A8672C" w:rsidRDefault="00A8672C" w:rsidP="00D4603A">
      <w:pPr>
        <w:pStyle w:val="ListParagraph"/>
        <w:spacing w:after="0" w:line="360" w:lineRule="auto"/>
        <w:ind w:left="0"/>
        <w:jc w:val="both"/>
        <w:rPr>
          <w:rFonts w:ascii="Times New Roman" w:hAnsi="Times New Roman"/>
          <w:sz w:val="24"/>
          <w:szCs w:val="24"/>
        </w:rPr>
      </w:pPr>
      <w:r>
        <w:rPr>
          <w:rFonts w:ascii="Times New Roman" w:hAnsi="Times New Roman"/>
          <w:sz w:val="24"/>
          <w:szCs w:val="24"/>
        </w:rPr>
        <w:t>Daarom moeten er ook duidelijke regels in de wet worden vastgelegd voor het belasten van diensten. Vooral de regels voor de plaats van dienst zijn belangrijk, omdat hierin wordt bepaald welk land belasting mag heffen over de dienst. Het uitgangspunt in de belastingheffing over diensten is dat de dienst belast moeten worden daar waar het verbruik van de dienst plaatsvindt.</w:t>
      </w:r>
    </w:p>
    <w:p w:rsidR="00A8672C" w:rsidRPr="00CA651E" w:rsidRDefault="00A8672C" w:rsidP="00D4603A">
      <w:pPr>
        <w:pStyle w:val="ListParagraph"/>
        <w:spacing w:after="0" w:line="360" w:lineRule="auto"/>
        <w:ind w:left="0"/>
        <w:jc w:val="both"/>
        <w:rPr>
          <w:rFonts w:ascii="Times New Roman" w:hAnsi="Times New Roman"/>
          <w:sz w:val="24"/>
          <w:szCs w:val="24"/>
        </w:rPr>
      </w:pPr>
    </w:p>
    <w:p w:rsidR="00A8672C" w:rsidRPr="00C74A9A" w:rsidRDefault="00A8672C" w:rsidP="00D4603A">
      <w:pPr>
        <w:pStyle w:val="Heading2"/>
        <w:jc w:val="both"/>
        <w:rPr>
          <w:szCs w:val="24"/>
        </w:rPr>
      </w:pPr>
      <w:bookmarkStart w:id="7" w:name="_Toc260928084"/>
      <w:r w:rsidRPr="00C74A9A">
        <w:rPr>
          <w:szCs w:val="24"/>
        </w:rPr>
        <w:t>1.</w:t>
      </w:r>
      <w:r>
        <w:rPr>
          <w:szCs w:val="24"/>
        </w:rPr>
        <w:t>5</w:t>
      </w:r>
      <w:r w:rsidRPr="00C74A9A">
        <w:rPr>
          <w:szCs w:val="24"/>
        </w:rPr>
        <w:t xml:space="preserve"> Het vestigingsbegrip</w:t>
      </w:r>
      <w:bookmarkEnd w:id="7"/>
      <w:r w:rsidRPr="00C74A9A">
        <w:rPr>
          <w:szCs w:val="24"/>
        </w:rPr>
        <w:t xml:space="preserve"> </w:t>
      </w:r>
    </w:p>
    <w:p w:rsidR="00A8672C" w:rsidRDefault="00A8672C" w:rsidP="00D4603A">
      <w:pPr>
        <w:spacing w:line="360" w:lineRule="auto"/>
        <w:jc w:val="both"/>
        <w:rPr>
          <w:lang w:val="nl-NL"/>
        </w:rPr>
      </w:pPr>
      <w:r>
        <w:rPr>
          <w:lang w:val="nl-NL"/>
        </w:rPr>
        <w:t>Om de plaats van dienst te kunnen bepalen, is het vestigingsbegrip van groot belang. Per 1 januari 2010 is de hoofdregel gesplitst in B2B-diensten en B2C-diensten. Voor B2B-diensten luidt de hoofdregel: ‘de plaats waar de dienst verricht wordt is de plaats waar de afnemer woont of is gevestigd dan wel een vaste inrichting heeft’. Er vindt altijd een verlegging van de BTW-heffing plaats van de dienstverlener naar de afnemer. Voor B2C-diensten blijft de hoofdregel die gold tot 1 januari 2010 intact: ‘de plaats waar de dienst verricht wordt is de plaats waar de dienstverlener woont of is gevestigd dan wel een vaste inrichting heeft. Op beide hoofdregels zijn ook uitzonderingsregels van toepassing. De uitzonderingsregels gaan voor op de hoofdregel.</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nieuwe BTW regels betreffende de plaats van dienst is de vestigingsplaats van de dienstverlener van groot belang voor de B2C-diensten en de vestigingsplaats van de afnemer voor de B2B-diensten. Indien de dienst onder een uitzonderingsregeling valt is de vestigingsplaats van de afnemer van groot belang voor de B2C-diensten en de vestigingsplaats van de dienstverlener voor de B2B-diensten. Voor B2C-diensten en voor B2B-diensten is de vestigingsplaats van dienstverlener en afnemer van groot belang, omdat de dienstverlener of de afnemer de BTW dient te voldoen in de plaats van vestiging.</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sidRPr="001A7475">
        <w:rPr>
          <w:lang w:val="nl-NL"/>
        </w:rPr>
        <w:t>Voor het vestigingsbegrip is het Planzer-arrest</w:t>
      </w:r>
      <w:r w:rsidRPr="001A7475">
        <w:rPr>
          <w:rStyle w:val="FootnoteReference"/>
          <w:lang w:val="nl-NL"/>
        </w:rPr>
        <w:footnoteReference w:id="25"/>
      </w:r>
      <w:r w:rsidRPr="001A7475">
        <w:rPr>
          <w:lang w:val="nl-NL"/>
        </w:rPr>
        <w:t xml:space="preserve"> van groot belang.</w:t>
      </w:r>
      <w:r w:rsidRPr="001A7475">
        <w:rPr>
          <w:rStyle w:val="FootnoteReference"/>
          <w:lang w:val="nl-NL"/>
        </w:rPr>
        <w:footnoteReference w:id="26"/>
      </w:r>
      <w:r>
        <w:rPr>
          <w:lang w:val="nl-NL"/>
        </w:rPr>
        <w:t xml:space="preserve">  Belanghebbende, Planzer Luxembourg Sarl (hierna: Planzer), exploiteert een transportonderneming en is gevestigd in Luxemburg. Haar enige vennoot is de in Zwitserland gevestigde vennootschap Planzer Transport AG. Planzer heeft bij de Duitse belastingdienst een verzoek ingediend om teruggaaf van BTW over brandstofleveringen. Bij dit verzoek had Planzer een verklaring gevoegd van de Luxemburgse belastingdienst dat Planzer in Luxemburg onderworpen is aan de BTW. Volgens de Duitse belastingdienst heeft Planzer door middel van deze verklaring niet aangetoond daadwerkelijk gevestigd te zijn in Luxemburg en kan de teruggaaf niet plaatsvinden. Tevens heeft Planzer geen telefoonnummer op het vestigingsadres dat in de verklaring van de belastingdienst is aangegeven. Planzer heeft bezwaar ingediend tegen de afwijzing van de teruggaaf. Dit bezwaar is door de Duitse belastingdienst afgewezen en belanghebbende is hiertegen in beroep gegaan. Het Finanzgericht Köln heeft dit beroep toegewezen. Het Bundesfinanzhof heeft deze toewijzing vervolgens weer vernietigd en de zaak terugverwezen naar het Finanzgericht Köln.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Finanzgericht Köln heeft de volgende prejudiciële vragen gesteld</w:t>
      </w:r>
      <w:r>
        <w:rPr>
          <w:rStyle w:val="FootnoteReference"/>
          <w:lang w:val="nl-NL"/>
        </w:rPr>
        <w:footnoteReference w:id="27"/>
      </w:r>
      <w:r>
        <w:rPr>
          <w:lang w:val="nl-NL"/>
        </w:rPr>
        <w:t>:</w:t>
      </w:r>
    </w:p>
    <w:p w:rsidR="00A8672C" w:rsidRDefault="00A8672C" w:rsidP="00D4603A">
      <w:pPr>
        <w:spacing w:line="360" w:lineRule="auto"/>
        <w:jc w:val="both"/>
        <w:rPr>
          <w:i/>
          <w:lang w:val="nl-NL" w:eastAsia="nl-NL"/>
        </w:rPr>
      </w:pPr>
      <w:r w:rsidRPr="0043508D">
        <w:rPr>
          <w:i/>
          <w:lang w:val="nl-NL"/>
        </w:rPr>
        <w:t>‘</w:t>
      </w:r>
      <w:r w:rsidRPr="00EB753E">
        <w:rPr>
          <w:i/>
          <w:lang w:val="nl-NL" w:eastAsia="nl-NL"/>
        </w:rPr>
        <w:t>1. Heeft een overeenkomstig het model van bijlage B bij de Achtste richtlijn opgestelde ondernemersverklaring bindende werking, respectievelijk vloeit daaruit een onweerlegbaar vermoeden voort dat de ondernemer is gevestigd in de lidstaat van afgifte van de verklaring?</w:t>
      </w:r>
      <w:r w:rsidRPr="00EB753E">
        <w:rPr>
          <w:i/>
          <w:lang w:val="nl-NL" w:eastAsia="nl-NL"/>
        </w:rPr>
        <w:br/>
        <w:t>2. Indien de eerste vraag ontkennend moet worden beantwoord:</w:t>
      </w:r>
    </w:p>
    <w:p w:rsidR="00A8672C" w:rsidRPr="00EB753E" w:rsidRDefault="00A8672C" w:rsidP="00D4603A">
      <w:pPr>
        <w:spacing w:line="360" w:lineRule="auto"/>
        <w:jc w:val="both"/>
        <w:rPr>
          <w:i/>
          <w:lang w:val="nl-NL" w:eastAsia="nl-NL"/>
        </w:rPr>
      </w:pPr>
      <w:r w:rsidRPr="00EB753E">
        <w:rPr>
          <w:i/>
          <w:lang w:val="nl-NL" w:eastAsia="nl-NL"/>
        </w:rPr>
        <w:t>Dient het begrip ‘‘zetel van de bedrijfsuitoefening'' in de zin van artikel 1, punt 1, van de Dertiende richtlijn aldus te worden uitgelegd dat daarmee de plaats wordt bedoeld waar zich de statutaire zetel van de vennootschap bevindt,</w:t>
      </w:r>
      <w:r>
        <w:rPr>
          <w:i/>
          <w:lang w:val="nl-NL" w:eastAsia="nl-NL"/>
        </w:rPr>
        <w:t xml:space="preserve"> </w:t>
      </w:r>
      <w:r w:rsidRPr="00EB753E">
        <w:rPr>
          <w:i/>
          <w:lang w:val="nl-NL" w:eastAsia="nl-NL"/>
        </w:rPr>
        <w:t>of moet worden uitgegaan van de plaats waar de beslissingen van dagelijks bestuur worden genomen,</w:t>
      </w:r>
      <w:r>
        <w:rPr>
          <w:i/>
          <w:lang w:val="nl-NL" w:eastAsia="nl-NL"/>
        </w:rPr>
        <w:t xml:space="preserve"> </w:t>
      </w:r>
      <w:r w:rsidRPr="00EB753E">
        <w:rPr>
          <w:i/>
          <w:lang w:val="nl-NL" w:eastAsia="nl-NL"/>
        </w:rPr>
        <w:t>of gaat het om de plaats waar de beslissingen worden genomen die van belang zijn voor de gebruikelijke operationele dagelijkse gang van zaken?'</w:t>
      </w:r>
    </w:p>
    <w:p w:rsidR="00A8672C" w:rsidRDefault="00A8672C" w:rsidP="00D4603A">
      <w:pPr>
        <w:spacing w:line="360" w:lineRule="auto"/>
        <w:jc w:val="both"/>
        <w:rPr>
          <w:lang w:val="nl-NL"/>
        </w:rPr>
      </w:pPr>
    </w:p>
    <w:p w:rsidR="00A8672C" w:rsidRPr="0043508D" w:rsidRDefault="00A8672C" w:rsidP="00D4603A">
      <w:pPr>
        <w:spacing w:line="360" w:lineRule="auto"/>
        <w:jc w:val="both"/>
        <w:rPr>
          <w:lang w:val="nl-NL"/>
        </w:rPr>
      </w:pPr>
      <w:r>
        <w:rPr>
          <w:lang w:val="nl-NL"/>
        </w:rPr>
        <w:t>Ter zake van de eerste vraag heeft het Hof van Justitie EG als volgt geoordeeld: er bestaal wel een vermoeden dat de ondernemer is gevestigd in de lidstaat waarvoor de verklaring is afgegeven, maar deze verklaring is niet bindend. Indien de belastingdienst van de lidstaat van teruggaaf twijfelt of het adres in de verklaring het daadwerkelijke vestigingsadres is, mag de belastingdienst gebruik maken van andere administratieve middelen om het vestigingsadres te achterhalen.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Ter zake van de tweede vraag heeft het Hof van Justitie </w:t>
      </w:r>
      <w:r w:rsidRPr="00FA0283">
        <w:rPr>
          <w:lang w:val="nl-NL"/>
        </w:rPr>
        <w:t xml:space="preserve">EG </w:t>
      </w:r>
      <w:r>
        <w:rPr>
          <w:lang w:val="nl-NL"/>
        </w:rPr>
        <w:t xml:space="preserve">beslist </w:t>
      </w:r>
      <w:r w:rsidRPr="00FA0283">
        <w:rPr>
          <w:lang w:val="nl-NL"/>
        </w:rPr>
        <w:t>dat de zetel van de bedrijfsuitoefening van een vennootschap de plaats is waar de voornaamste beslissingen betreffende het algemene beheer van de vennootschap worden genomen en waar de centrale bestuurstaken ervan worden uitgeoefend.</w:t>
      </w:r>
    </w:p>
    <w:p w:rsidR="00A8672C" w:rsidRDefault="00A8672C">
      <w:pPr>
        <w:rPr>
          <w:lang w:val="nl-NL"/>
        </w:rPr>
      </w:pPr>
      <w:r>
        <w:rPr>
          <w:lang w:val="nl-NL"/>
        </w:rPr>
        <w:br w:type="page"/>
      </w:r>
    </w:p>
    <w:p w:rsidR="00A8672C" w:rsidRPr="00110F71" w:rsidRDefault="00A8672C" w:rsidP="00D4603A">
      <w:pPr>
        <w:pStyle w:val="Heading1"/>
        <w:jc w:val="both"/>
        <w:rPr>
          <w:szCs w:val="24"/>
        </w:rPr>
      </w:pPr>
      <w:bookmarkStart w:id="8" w:name="_Toc260928085"/>
      <w:r>
        <w:rPr>
          <w:szCs w:val="24"/>
        </w:rPr>
        <w:t>Hoofdstuk 2</w:t>
      </w:r>
      <w:r w:rsidRPr="00110F71">
        <w:rPr>
          <w:szCs w:val="24"/>
        </w:rPr>
        <w:t>: Parlementaire geschiedenis</w:t>
      </w:r>
      <w:bookmarkEnd w:id="8"/>
    </w:p>
    <w:p w:rsidR="00A8672C" w:rsidRPr="00110F71" w:rsidRDefault="00A8672C" w:rsidP="00D4603A">
      <w:pPr>
        <w:spacing w:line="360" w:lineRule="auto"/>
        <w:jc w:val="both"/>
        <w:rPr>
          <w:lang w:val="nl-NL"/>
        </w:rPr>
      </w:pPr>
    </w:p>
    <w:p w:rsidR="00A8672C" w:rsidRPr="00110F71" w:rsidRDefault="00A8672C" w:rsidP="00D4603A">
      <w:pPr>
        <w:spacing w:line="360" w:lineRule="auto"/>
        <w:jc w:val="both"/>
        <w:rPr>
          <w:lang w:val="nl-NL"/>
        </w:rPr>
      </w:pPr>
      <w:r w:rsidRPr="00110F71">
        <w:rPr>
          <w:lang w:val="nl-NL"/>
        </w:rPr>
        <w:t>In de eerste paragraaf van dit hoofdstuk zet ik</w:t>
      </w:r>
      <w:r>
        <w:rPr>
          <w:lang w:val="nl-NL"/>
        </w:rPr>
        <w:t xml:space="preserve"> de belangrijkste richtlijnvoorstellen</w:t>
      </w:r>
      <w:r w:rsidRPr="00110F71">
        <w:rPr>
          <w:lang w:val="nl-NL"/>
        </w:rPr>
        <w:t xml:space="preserve"> uiteen welke met b</w:t>
      </w:r>
      <w:r>
        <w:rPr>
          <w:lang w:val="nl-NL"/>
        </w:rPr>
        <w:t>etrekking tot de heffing van omzetbelasting zijn</w:t>
      </w:r>
      <w:r w:rsidRPr="00110F71">
        <w:rPr>
          <w:lang w:val="nl-NL"/>
        </w:rPr>
        <w:t xml:space="preserve"> ingevoerd. In de tweede paragraaf zet ik </w:t>
      </w:r>
      <w:r>
        <w:rPr>
          <w:lang w:val="nl-NL"/>
        </w:rPr>
        <w:t xml:space="preserve">de belangrijkste richtlijnvoorstellen </w:t>
      </w:r>
      <w:r w:rsidRPr="00110F71">
        <w:rPr>
          <w:lang w:val="nl-NL"/>
        </w:rPr>
        <w:t xml:space="preserve">uiteen welke </w:t>
      </w:r>
      <w:r>
        <w:rPr>
          <w:lang w:val="nl-NL"/>
        </w:rPr>
        <w:t xml:space="preserve">aan de orde zijn </w:t>
      </w:r>
      <w:r w:rsidRPr="00110F71">
        <w:rPr>
          <w:lang w:val="nl-NL"/>
        </w:rPr>
        <w:t>geweest</w:t>
      </w:r>
      <w:r>
        <w:rPr>
          <w:lang w:val="nl-NL"/>
        </w:rPr>
        <w:t>, maar</w:t>
      </w:r>
      <w:r w:rsidRPr="00110F71">
        <w:rPr>
          <w:lang w:val="nl-NL"/>
        </w:rPr>
        <w:t xml:space="preserve"> niet zijn ingevoerd. </w:t>
      </w:r>
      <w:r>
        <w:rPr>
          <w:lang w:val="nl-NL"/>
        </w:rPr>
        <w:t>In de derde paragraaf vergelijk ik deze richtlijnvoorstellen met elkaar en geef ik de samenhang tussen de richtlijnvoorstellen weer.</w:t>
      </w:r>
    </w:p>
    <w:p w:rsidR="00A8672C" w:rsidRPr="00110F71" w:rsidRDefault="00A8672C" w:rsidP="00D4603A">
      <w:pPr>
        <w:spacing w:line="360" w:lineRule="auto"/>
        <w:jc w:val="both"/>
        <w:rPr>
          <w:lang w:val="nl-NL"/>
        </w:rPr>
      </w:pPr>
    </w:p>
    <w:p w:rsidR="00A8672C" w:rsidRDefault="00A8672C" w:rsidP="00D4603A">
      <w:pPr>
        <w:pStyle w:val="Heading2"/>
        <w:jc w:val="both"/>
        <w:rPr>
          <w:szCs w:val="24"/>
        </w:rPr>
      </w:pPr>
      <w:bookmarkStart w:id="9" w:name="_Toc260928086"/>
      <w:r>
        <w:rPr>
          <w:szCs w:val="24"/>
        </w:rPr>
        <w:t>2.1 Ingevoerde richtlijn</w:t>
      </w:r>
      <w:r w:rsidRPr="00110F71">
        <w:rPr>
          <w:szCs w:val="24"/>
        </w:rPr>
        <w:t>voorstellen</w:t>
      </w:r>
      <w:bookmarkEnd w:id="9"/>
    </w:p>
    <w:p w:rsidR="00A8672C" w:rsidRPr="005726C4" w:rsidRDefault="00A8672C" w:rsidP="00D4603A">
      <w:pPr>
        <w:spacing w:line="360" w:lineRule="auto"/>
        <w:jc w:val="both"/>
        <w:rPr>
          <w:i/>
          <w:lang w:val="nl-NL"/>
        </w:rPr>
      </w:pPr>
      <w:r w:rsidRPr="005726C4">
        <w:rPr>
          <w:i/>
          <w:lang w:val="nl-NL"/>
        </w:rPr>
        <w:t>Richtlijn van 16 december 1991.</w:t>
      </w:r>
      <w:r w:rsidRPr="005726C4">
        <w:rPr>
          <w:rStyle w:val="FootnoteReference"/>
          <w:i/>
          <w:lang w:val="nl-NL"/>
        </w:rPr>
        <w:footnoteReference w:id="28"/>
      </w:r>
    </w:p>
    <w:p w:rsidR="00A8672C" w:rsidRDefault="00A8672C" w:rsidP="00D4603A">
      <w:pPr>
        <w:spacing w:line="360" w:lineRule="auto"/>
        <w:jc w:val="both"/>
        <w:rPr>
          <w:lang w:val="nl-NL"/>
        </w:rPr>
      </w:pPr>
      <w:r>
        <w:rPr>
          <w:lang w:val="nl-NL"/>
        </w:rPr>
        <w:t>Door middel van deze richtlijn zijn de fiscale grenzen per 1 januari 1993 binnen de EU afgeschaft. Het doel van de richtlijn is het nastreven van vrij verkeer van goederen, personen, diensten en kapitaal.</w:t>
      </w:r>
      <w:r>
        <w:rPr>
          <w:rStyle w:val="FootnoteReference"/>
          <w:lang w:val="nl-NL"/>
        </w:rPr>
        <w:footnoteReference w:id="29"/>
      </w:r>
      <w:r>
        <w:rPr>
          <w:lang w:val="nl-NL"/>
        </w:rPr>
        <w:t xml:space="preserve"> Particulieren zijn de omzetbelasting verschuldigd in het land waar het goed of de dienst wordt gekocht. Dit sluit aan bij het oorspronglandbeginsel en niet bij het doel van de heffing van omzetbelasting, namelijk het belasten van het goed of de dienst in het land waar het goed of de dienst verbruikt wordt. Deze regeling geldt niet voor ondernemers.</w:t>
      </w:r>
    </w:p>
    <w:p w:rsidR="00A8672C" w:rsidRPr="00FA57EA" w:rsidRDefault="00A8672C" w:rsidP="00D4603A">
      <w:pPr>
        <w:spacing w:line="360" w:lineRule="auto"/>
        <w:jc w:val="both"/>
        <w:rPr>
          <w:lang w:val="nl-NL"/>
        </w:rPr>
      </w:pPr>
    </w:p>
    <w:p w:rsidR="00A8672C" w:rsidRDefault="00A8672C" w:rsidP="00D4603A">
      <w:pPr>
        <w:spacing w:line="360" w:lineRule="auto"/>
        <w:jc w:val="both"/>
        <w:rPr>
          <w:lang w:val="nl-NL"/>
        </w:rPr>
      </w:pPr>
      <w:r w:rsidRPr="004C2724">
        <w:rPr>
          <w:i/>
          <w:lang w:val="nl-NL"/>
        </w:rPr>
        <w:t>Richtlijn van 10 april 1995</w:t>
      </w:r>
      <w:r w:rsidRPr="00FA57EA">
        <w:rPr>
          <w:rStyle w:val="FootnoteReference"/>
          <w:lang w:val="nl-NL"/>
        </w:rPr>
        <w:footnoteReference w:id="30"/>
      </w:r>
    </w:p>
    <w:p w:rsidR="00A8672C" w:rsidRDefault="00A8672C" w:rsidP="00D4603A">
      <w:pPr>
        <w:spacing w:line="360" w:lineRule="auto"/>
        <w:jc w:val="both"/>
        <w:rPr>
          <w:lang w:val="nl-NL"/>
        </w:rPr>
      </w:pPr>
      <w:r>
        <w:rPr>
          <w:lang w:val="nl-NL"/>
        </w:rPr>
        <w:t>Deze richtlijn is de tweede vereenvoudigingsrichtlijn voor de BTW en gaat verder door op de richtlijn van 14 december 1992. Deze richtlijn is bedoeld om knelpunten weg te nemen die zijn ontstaan door het afschaffen van de fiscale grenzen op 1 januari 1993.</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Het eerste knelpunt betreft de veredelingsdiensten. Bij veredelingsdiensten gaat het om bewerkingen die een ondernemer aan goederen laat verrichten. Tot 1 januari 1993 waren deze veredelingsdiensten vrijgesteld op grond van de douanevrijstelling. Door de afschaffing van de fiscale grenzen is deze vrijstelling niet langer van toepassing en dient de ondernemer die de bewerkingen verricht omzetbelasting af te dragen in zijn lidstaat. De ondernemer voor wie de dienst verricht wordt kan deze omzetbelasting terugvragen, maar moet dit terugvragen in de lidstaat van de ondernemer die de bewerking verricht. Per 1 januari 1993 is een voorlopige oplossing bedacht. Ondernemers die in Nederland werkzaamheden met betrekking tot onroerende zaken verrichten voor ondernemers uit een andere lidstaat mogen onder voorwaarden het nultarief toepassen. Door middel van deze richtlijn moet een definitieve oplossing komen met betrekking tot veredelingdiensten. Deze definitieve regeling houdt in dat wanneer een veredelingsdienst wordt verricht ten behoeve van een ondernemer die voor de omzetbelasting is geregistreerd in een andere lidstaat, de dienst wordt geacht te zijn verricht in de lidstaat waar de ontvanger van de dienst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aansluiting bij het doel van de heffing van omzetbelasting maakt het niet uit waar de plaats van dienst is met betrekking tot B2B diensten. Ondernemers verbruiken de geleverde diensten niet. Het doel van de heffing van omzetbelasting is het belasten van diensten daar waar deze worden verbruikt. In het kader van de eenvoud van de belasting heffing is de wijziging van regeling voor de plaats van dienst met betrekking tot veredelingdiensten verricht ten behoeve van een ondernemer wel van belang. De afnemer die in een andere lidstaat is gevestigd dan de ondernemer hoeft zich dankzij de gewijzigde regeling niet meer in de lidstaat van de ondernemer te registreren om de voorbelasting op de dienst terug te krijgen. De ondernemer moet de omzetbelasting dan in de lidstaat van de afnemer afdragen. Om de lasten van de ondernemer niet te laten stijgen kan gebruik worden gemaakt van de verleggingsregeling. De ondernemer geeft op zijn factuur aan dat de BTW verlegd is naar de afnemer. De afnemer moet de voorbelasting in zijn eigen lidstaat aangeven en kan deze direct weer terugvragen.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Het tweede knelpunt betreft de oplevering van roerende zaken. Bij de afschaffing van de fiscale grenzen is een regeling betreffende de intracommunautaire oplevering van roerende zaken geïntroduceerd. Naast de gebruikelijke administratieve verplichtingen voor intracommunautaire transacties zijn er voor de intracommunautaire opleveringen aanvullende voorwaarden gesteld. Zowel opdrachtgever als opdrachtnemer moeten voor een intracommunautaire oplevering in hun administratie afzonderlijk vastleggen welke goederen zijn verzonden of ontvangen als grondstoffen en materialen voor een op te leveren goed. In de praktijk is het vaak niet duidelijk of het een oplevering of een levering betreft. Om dit probleem te verhelpen is in deze richtlijn besloten de regeling voor intracommunautaire oplevering te laten vervallen. Deze leveringen dienen vanaf de invoering van deze richtlijn per 1 januari 1996 niet meer als levering aangemerkt te worden, maar als dienst. In veel gevallen valt de oplevering onder de nieuwe regeling van veredelingsdiensten.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Het derde knelpunt betreft kop-staart vervoer. Kop-staart vervoer is het vervoer dat begint en eindigt in dezelfde lidstaat en dat onmiddellijk voorafgaat dan wel onmiddellijk volgt op een intracommunautair vervoer van goederen. Het kop-staart vervoer is belast in de lidstaat waar het vervoer daadwerkelijk plaatsvindt. Dit kan een probleem opleveren indien het vervoer plaatsvindt in opdracht van een ondernemer die in een andere lidstaat is gevestigd. Indien de ondernemer niet beschikt over een btw-identificatienummer in de lidstaat waar het vervoer plaatsvindt krijgt hij te maken met extra lasten om de omzetbelasting terug te kunnen vragen. Ondernemers die in een andere lidstaat zijn gevestigd zullen dit kop-staart vervoer zo veel mogelijk proberen te vermijden. Dit is echter een verstoring van de concurrentieneutraliteit. Een ondernemer die wel in de lidstaat is gevestigd waar het kop-staart vervoer plaatsvindt heeft niet te maken met de extra lasten. Wanneer alleen sprake is van intracommunautair goederen vervoer heeft een ondernemer ook niet te maken met deze extra lasten. Per 1 januari 1993 is een voorlopige regeling ingevoerd. Deze regeling houdt in dat wanneer een Nederlandse ondernemer het kop-staart vervoer verricht voor een ondernemer in een andere lidstaat, de Nederlandse ondernemer het nultarief mag toepassen voor zijn vervoersprestatie. Door middel van deze richtlijn dient er een definitieve oplossing te komen. De definitieve regeling in deze richtlijn houdt in dat de heffing van omzetbelasting bij kop-staart vervoer op dezelfde wijze wordt geheven als bij intracommunautair goederenvervoer. De hoofdregel is dat de plaats van dienst de plaats van vertrek is. Indien de dienst wordt verleend aan een afnemer aan wie een Btw-identificatienummer is toegekend in een andere lidstaat is de plaats van dienst deze andere lidstaat. Indien de afnemer een Btw-identificatienummer heeft is de plaats van de prestatie is de plaats waar de afnemer is gevestigd. </w:t>
      </w:r>
    </w:p>
    <w:p w:rsidR="00A8672C" w:rsidRPr="00110F71" w:rsidRDefault="00A8672C" w:rsidP="00D4603A">
      <w:pPr>
        <w:spacing w:line="360" w:lineRule="auto"/>
        <w:jc w:val="both"/>
        <w:rPr>
          <w:b/>
          <w:bCs/>
          <w:lang w:val="nl-NL"/>
        </w:rPr>
      </w:pPr>
    </w:p>
    <w:p w:rsidR="00A8672C" w:rsidRDefault="00A8672C" w:rsidP="00D4603A">
      <w:pPr>
        <w:spacing w:line="360" w:lineRule="auto"/>
        <w:jc w:val="both"/>
        <w:rPr>
          <w:lang w:val="nl-NL"/>
        </w:rPr>
      </w:pPr>
      <w:r w:rsidRPr="004C2724">
        <w:rPr>
          <w:i/>
          <w:lang w:val="nl-NL"/>
        </w:rPr>
        <w:t>Richtlijn van 17 juni 1999</w:t>
      </w:r>
      <w:r w:rsidRPr="00FA57EA">
        <w:rPr>
          <w:rStyle w:val="FootnoteReference"/>
          <w:lang w:val="nl-NL"/>
        </w:rPr>
        <w:footnoteReference w:id="31"/>
      </w:r>
    </w:p>
    <w:p w:rsidR="00A8672C" w:rsidRPr="00110F71" w:rsidRDefault="00A8672C" w:rsidP="00D4603A">
      <w:pPr>
        <w:spacing w:line="360" w:lineRule="auto"/>
        <w:jc w:val="both"/>
        <w:rPr>
          <w:lang w:val="nl-NL"/>
        </w:rPr>
      </w:pPr>
      <w:r>
        <w:rPr>
          <w:lang w:val="nl-NL"/>
        </w:rPr>
        <w:t xml:space="preserve">Deze richtlijn bepaalt de plaats van dienst </w:t>
      </w:r>
      <w:r w:rsidRPr="00110F71">
        <w:rPr>
          <w:lang w:val="nl-NL"/>
        </w:rPr>
        <w:t>die van toepassing</w:t>
      </w:r>
      <w:r>
        <w:rPr>
          <w:lang w:val="nl-NL"/>
        </w:rPr>
        <w:t xml:space="preserve"> is op telecommunicatiediensten die verricht worden aan een ondernemer voor de BTW. Door middel van deze richtlijn is de plaats van dienst voor telecommunicatiediensten de plaats waar de afnemer is gevestigd. Het wijzigen van de plaats van dienst komt overeen met het doel van de heffing van omzetbelasting, belastingheffing over het verbruik.</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p>
    <w:p w:rsidR="00A8672C" w:rsidRPr="00707545" w:rsidRDefault="00A8672C" w:rsidP="00D4603A">
      <w:pPr>
        <w:spacing w:line="360" w:lineRule="auto"/>
        <w:jc w:val="both"/>
        <w:rPr>
          <w:lang w:val="nl-NL"/>
        </w:rPr>
      </w:pPr>
    </w:p>
    <w:p w:rsidR="00A8672C" w:rsidRPr="00707545" w:rsidRDefault="00A8672C" w:rsidP="00D4603A">
      <w:pPr>
        <w:spacing w:line="360" w:lineRule="auto"/>
        <w:jc w:val="both"/>
        <w:rPr>
          <w:i/>
          <w:lang w:val="nl-NL"/>
        </w:rPr>
      </w:pPr>
      <w:r w:rsidRPr="00707545">
        <w:rPr>
          <w:i/>
          <w:lang w:val="nl-NL"/>
        </w:rPr>
        <w:t>Richtlijn van 7 mei 2002</w:t>
      </w:r>
      <w:r w:rsidRPr="00707545">
        <w:rPr>
          <w:rStyle w:val="FootnoteReference"/>
          <w:i/>
          <w:lang w:val="nl-NL"/>
        </w:rPr>
        <w:footnoteReference w:id="32"/>
      </w:r>
    </w:p>
    <w:p w:rsidR="00A8672C" w:rsidRPr="00110F71" w:rsidRDefault="00A8672C" w:rsidP="00D4603A">
      <w:pPr>
        <w:spacing w:line="360" w:lineRule="auto"/>
        <w:jc w:val="both"/>
        <w:rPr>
          <w:lang w:val="nl-NL"/>
        </w:rPr>
      </w:pPr>
      <w:r>
        <w:rPr>
          <w:lang w:val="nl-NL"/>
        </w:rPr>
        <w:t>Deze richtlijn betreft een wijziging in de wijze van heffing van omzetbelasting</w:t>
      </w:r>
      <w:r w:rsidRPr="00110F71">
        <w:rPr>
          <w:lang w:val="nl-NL"/>
        </w:rPr>
        <w:t xml:space="preserve"> ten aanzien van bepaalde diensten die langs elektronische weg (bijvoorbeeld via het internet) worden verleend en van ra</w:t>
      </w:r>
      <w:r>
        <w:rPr>
          <w:lang w:val="nl-NL"/>
        </w:rPr>
        <w:t xml:space="preserve">dio- en televisieomroepdiensten. Voor een goede werking van de interne markt moeten verstoringen worden opgelost. Dit kan door middel van geharmoniseerde regels voor diensten langs de elektronische weg. Deze richtlijn geldt voor alle lidstaten en daarmee is de regeling geharmoniseerd. In de richtlijn is opgenomen dat de </w:t>
      </w:r>
      <w:r w:rsidRPr="00110F71">
        <w:rPr>
          <w:lang w:val="nl-NL"/>
        </w:rPr>
        <w:t xml:space="preserve">lidstaten </w:t>
      </w:r>
      <w:r>
        <w:rPr>
          <w:lang w:val="nl-NL"/>
        </w:rPr>
        <w:t>u</w:t>
      </w:r>
      <w:r w:rsidRPr="00110F71">
        <w:rPr>
          <w:lang w:val="nl-NL"/>
        </w:rPr>
        <w:t xml:space="preserve">iterlijk 1 juli 2003 aan deze richtlijn </w:t>
      </w:r>
      <w:r>
        <w:rPr>
          <w:lang w:val="nl-NL"/>
        </w:rPr>
        <w:t xml:space="preserve">moeten </w:t>
      </w:r>
      <w:r w:rsidRPr="00110F71">
        <w:rPr>
          <w:lang w:val="nl-NL"/>
        </w:rPr>
        <w:t>voldoen.</w:t>
      </w:r>
    </w:p>
    <w:p w:rsidR="00A8672C" w:rsidRPr="00110F71" w:rsidRDefault="00A8672C" w:rsidP="00D4603A">
      <w:pPr>
        <w:spacing w:line="360" w:lineRule="auto"/>
        <w:jc w:val="both"/>
        <w:rPr>
          <w:lang w:val="nl-NL"/>
        </w:rPr>
      </w:pPr>
    </w:p>
    <w:p w:rsidR="00A8672C" w:rsidRPr="00110F71" w:rsidRDefault="00A8672C" w:rsidP="00D4603A">
      <w:pPr>
        <w:pStyle w:val="Heading2"/>
        <w:jc w:val="both"/>
        <w:rPr>
          <w:szCs w:val="24"/>
        </w:rPr>
      </w:pPr>
      <w:bookmarkStart w:id="10" w:name="_Toc260928087"/>
      <w:r>
        <w:rPr>
          <w:szCs w:val="24"/>
        </w:rPr>
        <w:t>2.2 Niet ingevoerde richtlijn</w:t>
      </w:r>
      <w:r w:rsidRPr="00110F71">
        <w:rPr>
          <w:szCs w:val="24"/>
        </w:rPr>
        <w:t>voorstellen</w:t>
      </w:r>
      <w:bookmarkEnd w:id="10"/>
    </w:p>
    <w:p w:rsidR="00A8672C" w:rsidRPr="002F7D41" w:rsidRDefault="00A8672C" w:rsidP="00D4603A">
      <w:pPr>
        <w:spacing w:line="360" w:lineRule="auto"/>
        <w:jc w:val="both"/>
        <w:rPr>
          <w:i/>
          <w:lang w:val="nl-NL"/>
        </w:rPr>
      </w:pPr>
      <w:r w:rsidRPr="002F7D41">
        <w:rPr>
          <w:i/>
          <w:lang w:val="nl-NL"/>
        </w:rPr>
        <w:t>Voorstel van 17 juni 1998</w:t>
      </w:r>
      <w:bookmarkStart w:id="11" w:name="VN-N297"/>
      <w:bookmarkEnd w:id="11"/>
      <w:r w:rsidRPr="002F7D41">
        <w:rPr>
          <w:rStyle w:val="FootnoteReference"/>
          <w:i/>
          <w:lang w:val="nl-NL"/>
        </w:rPr>
        <w:footnoteReference w:id="33"/>
      </w:r>
    </w:p>
    <w:p w:rsidR="00A8672C" w:rsidRPr="0072662E" w:rsidRDefault="00A8672C" w:rsidP="00D4603A">
      <w:pPr>
        <w:spacing w:line="360" w:lineRule="auto"/>
        <w:jc w:val="both"/>
        <w:rPr>
          <w:lang w:val="nl-NL"/>
        </w:rPr>
      </w:pPr>
      <w:r w:rsidRPr="0072662E">
        <w:rPr>
          <w:lang w:val="nl-NL"/>
        </w:rPr>
        <w:t>Het voorstel bevat een regeling op grond waarvan ondernemers de in een andere lidstaat betaalde BTW op hun eigen national</w:t>
      </w:r>
      <w:r>
        <w:rPr>
          <w:lang w:val="nl-NL"/>
        </w:rPr>
        <w:t>e aangifte</w:t>
      </w:r>
      <w:r w:rsidRPr="0072662E">
        <w:rPr>
          <w:lang w:val="nl-NL"/>
        </w:rPr>
        <w:t xml:space="preserve"> in aftrek kunnen brengen</w:t>
      </w:r>
      <w:r>
        <w:rPr>
          <w:lang w:val="nl-NL"/>
        </w:rPr>
        <w:t>. Door middel van een specificatie in de nationale aangifte kunnen lidstaten de omzetbelasting onderling verrekenen.</w:t>
      </w:r>
    </w:p>
    <w:p w:rsidR="00A8672C" w:rsidRDefault="00A8672C" w:rsidP="00D4603A">
      <w:pPr>
        <w:spacing w:line="360" w:lineRule="auto"/>
        <w:jc w:val="both"/>
        <w:rPr>
          <w:lang w:val="nl-NL"/>
        </w:rPr>
      </w:pPr>
      <w:r>
        <w:rPr>
          <w:lang w:val="nl-NL"/>
        </w:rPr>
        <w:t>Voor ondernemers is dit een positief voorstel. Het terugvragen van de buitenlandse omzetbelasting op de zelfde manier als het terugvragen van binnenlandse omzetbelasting zorgt voor de ondernemer voor de minste lasten. Er waren echter ook tegenargumenten. De ondernemer die de buitenlandse omzetbelasting terug vraagt, doet dit op basis van de nationale wetgeving. Het huidige systeem voorziet in een teruggaaf volgens de aftrekmethodiek van de lidstaat waar de omzetbelasting is voldaan. Ondernemers gevestigd in een lidstaat die een streng aftrekregime hanteert, zijn hier in het nadeel.</w:t>
      </w:r>
    </w:p>
    <w:p w:rsidR="00A8672C" w:rsidRDefault="00A8672C" w:rsidP="00D4603A">
      <w:pPr>
        <w:spacing w:line="360" w:lineRule="auto"/>
        <w:jc w:val="both"/>
        <w:rPr>
          <w:lang w:val="nl-NL"/>
        </w:rPr>
      </w:pPr>
    </w:p>
    <w:p w:rsidR="00A8672C" w:rsidRPr="00110F71" w:rsidRDefault="00A8672C" w:rsidP="00D4603A">
      <w:pPr>
        <w:spacing w:line="360" w:lineRule="auto"/>
        <w:jc w:val="both"/>
        <w:rPr>
          <w:lang w:val="nl-NL"/>
        </w:rPr>
      </w:pPr>
      <w:r>
        <w:rPr>
          <w:lang w:val="nl-NL"/>
        </w:rPr>
        <w:t>Er is dan ook tot op heden geen overeenstemming over dit voorstel. Inmiddels is een nieuw voorstel met betrekking tot de aftrek van voorbelasting, het éénloketsysteem. Later in deze paragraaf ga ik verder in op dit voorstel.</w:t>
      </w:r>
    </w:p>
    <w:p w:rsidR="00A8672C" w:rsidRPr="00110F71" w:rsidRDefault="00A8672C" w:rsidP="00D4603A">
      <w:pPr>
        <w:pStyle w:val="Heading2"/>
        <w:jc w:val="both"/>
        <w:rPr>
          <w:szCs w:val="24"/>
        </w:rPr>
      </w:pPr>
    </w:p>
    <w:p w:rsidR="00A8672C" w:rsidRDefault="00A8672C" w:rsidP="00D4603A">
      <w:pPr>
        <w:spacing w:line="360" w:lineRule="auto"/>
        <w:jc w:val="both"/>
        <w:rPr>
          <w:i/>
          <w:lang w:val="nl-NL"/>
        </w:rPr>
      </w:pPr>
      <w:r w:rsidRPr="00E8232B">
        <w:rPr>
          <w:i/>
          <w:lang w:val="nl-NL"/>
        </w:rPr>
        <w:t>Voorstel van 23 december 2003</w:t>
      </w:r>
      <w:r w:rsidRPr="00E8232B">
        <w:rPr>
          <w:rStyle w:val="FootnoteReference"/>
          <w:i/>
          <w:lang w:val="nl-NL"/>
        </w:rPr>
        <w:footnoteReference w:id="34"/>
      </w:r>
      <w:r w:rsidRPr="00E8232B">
        <w:rPr>
          <w:i/>
          <w:lang w:val="nl-NL"/>
        </w:rPr>
        <w:t xml:space="preserve"> </w:t>
      </w:r>
    </w:p>
    <w:p w:rsidR="00A8672C" w:rsidRDefault="00A8672C" w:rsidP="00D4603A">
      <w:pPr>
        <w:spacing w:line="360" w:lineRule="auto"/>
        <w:jc w:val="both"/>
        <w:rPr>
          <w:lang w:val="nl-NL"/>
        </w:rPr>
      </w:pPr>
      <w:r>
        <w:rPr>
          <w:lang w:val="nl-NL"/>
        </w:rPr>
        <w:t xml:space="preserve">Het voorstel van 23 december 2003 betreft een voorstel over de plaats van levering van B2B diensten. In juli 2000 heeft de Europese Commissie haar voornemen om de regels inzake de plaats van levering van diensten te moderniseren bekend gemaakt. Al sinds de jaren ’60 wordt uitgegaan van het standpunt dat diensten belast moeten worden in het land van verbruik. Hier kunnen echter problemen ontstaan. Ten tijde van de invoering van de Zesde richtlijn werd gekozen voor de basisregel dat diensten belast worden in het land waar de dienstverlener zich bevindt.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In het voorstel komt een herziening van de regels inzake de plaats van dienst aan de orde. Door middel van deze herziening ontstaan er twee effecten met betrekking tot de heffing van omzetbelasting. Ten eerste zorgt de herziening er voor dat ondernemers die een dienst leveren aan een afnemer in een andere lidstaat zij zich voor BTW doeleinden zich slechts in beperkte gevallen moeten registreren in de andere lidstaat. Ten tweede zal meer gebruik worden gemaakt van de verleggingsregeling. Deze beide effecten zijn te kenmerken als belangrijke vereenvoudigingen.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reikwijdte van dit voorstel is echter beperkt, het betreft alleen een herziening voor B2B diensten. De hoofdregel voor B2B diensten wordt de plaats waar de afnemer is gevestigd. Op deze hoofdregel dient echter een aantal uitzonderingen te worden gemaakt. De eerste uitzondering betreft de diensten die betrekking hebben op onroerend goed. De belastingheffing dient in dat geval plaats te vinden in het land waar het onroerend goed is gevestigd. Deze regeling is duidelijk en sluit aan bij het uitgangspunt dat belastingheffing plaats vindt waar de dienst wordt verbruikt. De tweede uitzondering betreft personenvervoersdiensten. Dit is een gecompliceerde kwestie en de Europese Commissie wil deze problematiek later, maar tegelijk met de behandeling van personenvervoersdiensten voor B2C diensten, behandelen. De derde uitzondering betreft culturele, artistieke, sportieve, vermakelijkheids- of soortgelijke diensten. De huidige regeling leidt tot belastingheffing op de plaats waar het verbruik plaatsvindt. Deze regeling hoeft dus niet te worden aangepast. Uit redenen van vereenvoudiging van belastingheffing worden wetenschappelijke en onderwijsdiensten hiervan uitgesloten. De vierde en laatste uitzondering betreft diensten die materieel van aard zijn, zoals bijvoorbeeld restaurantdiensten. Deze diensten worden direct verbruikt en de belastingheffing vindt dan ook plaats op de plaats waar de dienstverlener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p>
    <w:p w:rsidR="00A8672C" w:rsidRPr="00110F71" w:rsidRDefault="00A8672C" w:rsidP="00D4603A">
      <w:pPr>
        <w:spacing w:line="360" w:lineRule="auto"/>
        <w:jc w:val="both"/>
        <w:rPr>
          <w:lang w:val="nl-NL"/>
        </w:rPr>
      </w:pPr>
    </w:p>
    <w:p w:rsidR="00A8672C" w:rsidRDefault="00A8672C" w:rsidP="00D4603A">
      <w:pPr>
        <w:spacing w:line="360" w:lineRule="auto"/>
        <w:jc w:val="both"/>
        <w:rPr>
          <w:lang w:val="nl-NL"/>
        </w:rPr>
      </w:pPr>
      <w:r w:rsidRPr="00A26E97">
        <w:rPr>
          <w:i/>
          <w:lang w:val="nl-NL"/>
        </w:rPr>
        <w:t>Voorstel van 29 oktober 2004</w:t>
      </w:r>
      <w:r w:rsidRPr="007E6F7A">
        <w:rPr>
          <w:rStyle w:val="FootnoteReference"/>
          <w:lang w:val="nl-NL"/>
        </w:rPr>
        <w:footnoteReference w:id="35"/>
      </w:r>
    </w:p>
    <w:p w:rsidR="00A8672C" w:rsidRDefault="00A8672C" w:rsidP="00D4603A">
      <w:pPr>
        <w:spacing w:line="360" w:lineRule="auto"/>
        <w:jc w:val="both"/>
        <w:rPr>
          <w:lang w:val="nl-NL"/>
        </w:rPr>
      </w:pPr>
      <w:r>
        <w:rPr>
          <w:lang w:val="nl-NL"/>
        </w:rPr>
        <w:t>In dit voorstel gaat het om een vereenvoudiging van de BTW-verplichtingen door middel van een éénloketsysteem. De ondernemers kunnen dan de buitenlandse omzetbelasting in hun eigen lidstaat afdragen en/of aftrekken. In de nationale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 Voor ondernemers is dit een afname van de administratieve lasten. Wel is aan het éénloketsysteem een listingverplichting verbonden. Om een éénloketsysteem te kunnen realiseren moet er een informatie-uitwisselingsysteem worden opgezet voor de belastingdiensten in de verschillende lidstaten.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Ik ben van mening dat dit een zeer belangrijk richtlijnvoorstel is. Door invoering van dit voorstel nemen lasten met betrekking tot de afdracht en aftrek van de omzetbelasting af. Voor sommige ondernemers kunnen de lasten toenemen door de aan het éénloketsysteem verbonden listingverplichting. Echter de toename van de lasten zal voor een geringe groep ondernemers gelden en de afname van de lasten zal voor een grote groep ondernemers gelden. Per saldo nemen de lasten af door de invoering van het éénloketsysteem. Ook kunnen de lidstaten onderling controle uitvoeren op belastingfraude en of belastingontwijking. De lidstaten moeten namelijk onderling de omzetbelasting met elkaar verrekenen. Indien dit in een bepaalde periode niet overeenkomt, kan direct een onderzoek worden gestart naar eventuele fraude.</w:t>
      </w:r>
    </w:p>
    <w:p w:rsidR="00A8672C" w:rsidRPr="00110F71" w:rsidRDefault="00A8672C" w:rsidP="00D4603A">
      <w:pPr>
        <w:spacing w:line="360" w:lineRule="auto"/>
        <w:jc w:val="both"/>
        <w:rPr>
          <w:b/>
          <w:bCs/>
          <w:lang w:val="nl-NL"/>
        </w:rPr>
      </w:pPr>
    </w:p>
    <w:p w:rsidR="00A8672C" w:rsidRDefault="00A8672C" w:rsidP="00D4603A">
      <w:pPr>
        <w:spacing w:line="360" w:lineRule="auto"/>
        <w:jc w:val="both"/>
        <w:rPr>
          <w:lang w:val="nl-NL"/>
        </w:rPr>
      </w:pPr>
      <w:r>
        <w:rPr>
          <w:i/>
          <w:lang w:val="nl-NL"/>
        </w:rPr>
        <w:t>V</w:t>
      </w:r>
      <w:r w:rsidRPr="00D34389">
        <w:rPr>
          <w:i/>
          <w:lang w:val="nl-NL"/>
        </w:rPr>
        <w:t>oorstel van 16 maart 2005</w:t>
      </w:r>
      <w:r w:rsidRPr="002A6C49">
        <w:rPr>
          <w:rStyle w:val="FootnoteReference"/>
          <w:lang w:val="nl-NL"/>
        </w:rPr>
        <w:footnoteReference w:id="36"/>
      </w:r>
    </w:p>
    <w:p w:rsidR="00A8672C" w:rsidRDefault="00A8672C" w:rsidP="00D4603A">
      <w:pPr>
        <w:spacing w:line="360" w:lineRule="auto"/>
        <w:jc w:val="both"/>
        <w:rPr>
          <w:lang w:val="nl-NL"/>
        </w:rPr>
      </w:pPr>
      <w:r>
        <w:rPr>
          <w:lang w:val="nl-NL"/>
        </w:rPr>
        <w:t xml:space="preserve">Dit voorstel voor een richtlijn betreft een aantal maatregelen ter vereenvoudiging van de BTW-heffing en ter bestrijding van belastingfraude en ontwijking. Het doel van dit voorstel is om lidstaten de mogelijkheid te bieden snel maatregelen te treffen om belastingfraude en ontwijking op specifieke gebieden te bestrijden. Dit is niet alleen voordelig voor de nationale schatkist, maar het bevordert ook de eerlijke concurrentie. Bedrijven die geen constructies opzetten om belasting te ontgaan of te ontwijken hebben hierdoor minder last van oneerlijke concurrentie. De lidstaten hoeven een maatregel niet verplicht in te voeren, maar kunnen gebruik maken van een alternatieve regel. Op deze manier kunnen lidstaten maatregelen treffen die aansluiten op de nationale behoeften. </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V</w:t>
      </w:r>
      <w:r w:rsidRPr="00E8232B">
        <w:rPr>
          <w:i/>
          <w:lang w:val="nl-NL"/>
        </w:rPr>
        <w:t>oorstel van 20 juli 2005</w:t>
      </w:r>
      <w:bookmarkStart w:id="12" w:name="VN-N386"/>
      <w:bookmarkEnd w:id="12"/>
      <w:r w:rsidRPr="00E8232B">
        <w:rPr>
          <w:rStyle w:val="FootnoteReference"/>
          <w:i/>
          <w:lang w:val="nl-NL"/>
        </w:rPr>
        <w:footnoteReference w:id="37"/>
      </w:r>
    </w:p>
    <w:p w:rsidR="00A8672C" w:rsidRDefault="00A8672C" w:rsidP="00D4603A">
      <w:pPr>
        <w:spacing w:line="360" w:lineRule="auto"/>
        <w:jc w:val="both"/>
        <w:rPr>
          <w:lang w:val="nl-NL"/>
        </w:rPr>
      </w:pPr>
      <w:r>
        <w:rPr>
          <w:lang w:val="nl-NL"/>
        </w:rPr>
        <w:t>Dit voorstel betreft een wijziging voor de regels van de plaats van dienst voor B2C diensten.</w:t>
      </w:r>
    </w:p>
    <w:p w:rsidR="00A8672C" w:rsidRDefault="00A8672C" w:rsidP="00D4603A">
      <w:pPr>
        <w:spacing w:line="360" w:lineRule="auto"/>
        <w:jc w:val="both"/>
        <w:rPr>
          <w:lang w:val="nl-NL"/>
        </w:rPr>
      </w:pPr>
      <w:r>
        <w:rPr>
          <w:lang w:val="nl-NL"/>
        </w:rPr>
        <w:t xml:space="preserve">Indien de hoofdregel van B2C diensten gelijk is aan de hoofdregel van B2B diensten voorziet de Commissie problemen. De administratieve lasten voor ondernemers die diensten verlenen aan niet-ondernemers in een andere lidstaat zullen toenemen. De ondernemer dient zich dan te registreren in de lidstaat van de afnemer. Om deze problemen te kunnen vermijden, dient de huidige hoofdregel te worden gehandhaafd. Voor B2C diensten geldt als plaats van dienst de plaats waar de dienstverlener is gevestigd. Op deze hoofdregel dienen een aantal uitzonderingen te worden gemaakt.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eerste uitzondering betreft diensten met betrekking tot onroerend goed. De huidige regeling is duidelijk en resulteert in een belastingheffing op de plaats waar de dienst wordt verbruikt.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tweede uitzondering betreft de personenvervoerdiensten. Bij het voorstel betreffende de B2B diensten is deze uitzondering niet aan bod gekomen. Er werd doorverwezen naar het voorstel betreffende de B2C diensten. De huidige regeling geeft aan dat de belasting geheven moet worden naar verhouding van de afgelegde afstand. In dit voorstel is beslist dat de huidige regeling volgens de Commissie de beste optie is. De regels met betrekking tot personenvervoerdiensten worden dan ook niet gewijzigd.</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derde uitzondering betreft de intracommunautaire goederenvervoerdiensten. Volgens de huidige regeling is de plaats van dienst de plaats van waar uit het vervoer vertrekt. Een vervoersbedrijf met veel internationale klanten zal zich in alle landen van waaruit hij opdrachten verkrijgt moeten registreren. Maar om deze regeling aan te passen en belastingheffing te berekenen op basis van de verhouding van de afgelegde afstanden is nog omslachtiger. De huidige regeling is met betrekking tot de intracommunautaire goederenvervoersdiensten de beste optie.</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vierde uitzondering betreft de restaurant en cateringdiensten. Net als bij de B2B diensten kan hier goed aangesloten worden bij de huidige regeling, omdat het verbruik direct plaats zal vinden bij de dienstverlener. De plaats van dienst is dan ook de plaats waar de dienstverlener is gevestigd. De regel geldt echter niet voor restaurant- en cateringdiensten tijdens personenvervoer.</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vijfde uitzondering betreft de verhuur van vervoermiddelen. Met een vervoermiddel kan je gemakkelijk de grens oversteken. Aansluiten bij het belasten waar het vervoermiddel wordt gebruikt is dan ook geen optie. Bepalen waar het vervoermiddel wordt gebruikt, is moeilijk vast te stellen. Ter vereenvoudiging is steeds aangesloten bij de hoofdregel, belasten waar de dienstverlener is gevestigd. In deze richtlijn wordt de verhuur van vervoermiddelen gesplitst in de verhuur op korte termijn en de verhuur op lange termijn. Voor de verhuur op korte termijn blijft de oude regeling gelden, de verhuur is belast op de plaats waar de dienstverlener is gevestigd. Voor verhuur op de lange termijn is de plaats van dienst de plaats waar de afnemer is gevestigd. Voor de verhuur op de lange termijn aan niet-belastingplichtigen brengt dit een extra last mee. De verhuurder dient de omzetbelasting te voldoen in de lidstaat van de afnemer.</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zesde uitzondering gaat over tentoonstellingen, beurzen, culturele evenementen, expertises en werkzaamheden met betrekking tot roerende lichamelijke zaken. Volgens de huidige regeling worden deze werkzaamheden belast op de plaats waar zij daadwerkelijk worden verricht. Deze regeling sluit goed aan bij het doel van de heffing van omzetbelasting en de huidige regel wordt niet aangepast. Wel wordt de verlening van onderwijs zonder fysieke aanwezigheid van deze regel uitgezonderd. Hierbij kan gedacht worden aan het geven van onderwijs via het internet.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zevende uitzondering betreft de diensten die op afstand kunnen worden verricht. Indien deze diensten worden verricht aan een ondernemer is de plaats van dienst de plaats waar de afnemer is gevestigd. Indien de dienst wordt verricht aan een niet-ondernemer is de plaats van dienst de plaats waar de dienstverlener is gevestigd. Ook voor diensten verricht aan niet-ondernemers zou als plaats van dienst de plaats van de afnemer moeten gelden. Dit brengt echter veel administratieve lasten met zich mee voor ondernemers die aan niet-ondernemers in andere lidstaten presteren. Deze ondernemers moeten de omzetbelasting in de andere lidstaat voldoen. Hiervoor dienen zij zich te registreren in de lidstaten waar de afnemers gevestigd zijn.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achtste en laatste uitzondering betreft de door tussenpersonen verrichte diensten. Alle diensten door tussenpersonen aan niet-belastingplichtige afnemers worden geacht te zijn verricht op de plaats waar de hoofdtransactie wordt verricht. Deze regel is niet altijd makkelijk toe te passen, maar een andere regeling zou voor nog meer problemen zorgen. De huidige regeling is het beste alternatief voor de heffing van omzetbelasting over de door tussenpersonen verrichte diensten.</w:t>
      </w:r>
    </w:p>
    <w:p w:rsidR="00A8672C" w:rsidRPr="00104517" w:rsidRDefault="00A8672C" w:rsidP="00D4603A">
      <w:pPr>
        <w:spacing w:line="360" w:lineRule="auto"/>
        <w:jc w:val="both"/>
        <w:rPr>
          <w:b/>
          <w:bCs/>
          <w:lang w:val="nl-NL"/>
        </w:rPr>
      </w:pPr>
    </w:p>
    <w:p w:rsidR="00A8672C" w:rsidRPr="00C74A9A" w:rsidRDefault="00A8672C" w:rsidP="00D4603A">
      <w:pPr>
        <w:pStyle w:val="Heading2"/>
        <w:jc w:val="both"/>
      </w:pPr>
      <w:bookmarkStart w:id="13" w:name="_Toc260928088"/>
      <w:r>
        <w:t>2.3 Overeenkomsten tussen deze richtlijn</w:t>
      </w:r>
      <w:r w:rsidRPr="00C74A9A">
        <w:t>voorstel</w:t>
      </w:r>
      <w:r>
        <w:t>len</w:t>
      </w:r>
      <w:bookmarkEnd w:id="13"/>
    </w:p>
    <w:p w:rsidR="00A8672C" w:rsidRDefault="00A8672C" w:rsidP="00D4603A">
      <w:pPr>
        <w:spacing w:line="360" w:lineRule="auto"/>
        <w:jc w:val="both"/>
        <w:rPr>
          <w:lang w:val="nl-NL"/>
        </w:rPr>
      </w:pPr>
      <w:r>
        <w:rPr>
          <w:lang w:val="nl-NL"/>
        </w:rPr>
        <w:t>Over het algemeen is een duidelijke lijn te herkennen in de ingevoerde en niet-ingevoerde richtlijnvoorstellen. Alle inhoudelijke wijzigingen in deze richtlijnvoorstellen beogen meer aan te sluiten bij de eenvoud van de heffing van omzetbelasting. De hoofdregel in de huidige wetgeving is dat de plaats van dienst is de plaats waar de dienstverlener is gevestigd. Veel richtlijnvoorstellen betreffen een specifieke dienst of een levering van een specifiek goed waarbij de plaats van dienst of de plaats van levering gewijzigd wordt in de plaats waar de afnemer is gevestigd. Ook komt er een duidelijk onderscheid naar voren tussen B2C diensten en B2B diensten. Heffen op de plaats waar de dienst verbruikt wordt, is lastig indien het gaat om B2C diensten. Niet-ondernemers hebben geen btw-identificatienummer en kunnen de omzetbelasting niet voldoen op grond van een verleggingsregeling. Indien een ondernemer presteert aan een niet-ondernemer in een andere lidstaat dient de presterende ondernemer zich te registreren in desbetreffende lidstaat. Indien deze afnemer veel in verschillende lidstaten gevestigde niet-ondernemers als afnemers heeft, vormt dit een aanzienlijke administratieve last. Dit probleem zou opgelost kunnen worden door het éénloketsysteem. Hierbij kan de presterende ondernemer alle omzetbelasting op zijn eigen nationale aangifte aangeven. De lidstaten dienen de ontvangen omzetbelasting vervolgens onderling te verrekenen.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B2B diensten is het geen probleem als de plaats van dienst de plaats is waar de afnemer is gevestigd indien dit gepaard gaat met een verplichte verleggingsregeling. De presterende ondernemer dient op zijn factuur aan te geven dat hij de BTW heeft verlegd. De afnemer kan dan ook geen voorbelasting claimen. De afnemer dient in zijn lidstaat de omzetbelasting over de dienst aan te geven. Vervolgens kan hij deze omzetbelasting als voorbelasting weer aftrekken in zijn aangifte. De heffing van omzetbelasting vindt dan plaats waar de afnemer is gevestigd. Voor de heffing over B2B diensten op de plaats waar de afnemer is gevestigd is het niet noodzakelijk om een éénloketsysteem in te voeren. Bij een éénloketsysteem moeten lidstaten nauw met elkaar samenwerken om de omzetbelasting onderling te verrekenen. Doordat lidstaten nauw met elkaar samenwerken, hebben lidstaten meer zicht op eventuele fraude.</w:t>
      </w:r>
    </w:p>
    <w:p w:rsidR="00A8672C" w:rsidRPr="008D42DB"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Om aansluiting te vinden bij het doel van de heffing van omzetbelasting, het belasten van het verbruik daar waar het verbruik plaats vindt, maakt het voor B2B diensten niet uit waar de plaats van dienst is. Een ondernemer verbruikt de dienst niet, slechts de uiteindelijke consument verbruikt de dienst. Echter voor de eenvoud van het heffingssysteem is het voor de heffing van omzetbelasting over B2B diensten van belang dat de plaats van dienst de plaats van de afnemer is. De presterende ondernemer kan de omzetbelasting verleggen naar de afnemer. De afnemer moet de omzetbelasting over de geleverde dienst in zijn lidstaat afdragen. Vervolgens kan de afnemer deze voorbelasting op zijn eigen omzetbelastingaangifte weer in mindering brengen. </w:t>
      </w:r>
    </w:p>
    <w:p w:rsidR="00A8672C" w:rsidRPr="009C438A" w:rsidRDefault="00A8672C" w:rsidP="00D4603A">
      <w:pPr>
        <w:spacing w:line="360" w:lineRule="auto"/>
        <w:jc w:val="both"/>
        <w:rPr>
          <w:lang w:val="nl-NL"/>
        </w:rPr>
      </w:pPr>
    </w:p>
    <w:p w:rsidR="00A8672C" w:rsidRDefault="00A8672C" w:rsidP="00D4603A">
      <w:pPr>
        <w:spacing w:line="360" w:lineRule="auto"/>
        <w:jc w:val="both"/>
        <w:rPr>
          <w:b/>
          <w:bCs/>
          <w:lang w:val="nl-NL"/>
        </w:rPr>
      </w:pPr>
      <w:r w:rsidRPr="00CF4AFF">
        <w:rPr>
          <w:lang w:val="nl-NL"/>
        </w:rPr>
        <w:br w:type="page"/>
      </w:r>
    </w:p>
    <w:p w:rsidR="00A8672C" w:rsidRDefault="00A8672C" w:rsidP="00D4603A">
      <w:pPr>
        <w:pStyle w:val="Heading1"/>
        <w:jc w:val="both"/>
        <w:rPr>
          <w:szCs w:val="24"/>
        </w:rPr>
      </w:pPr>
      <w:bookmarkStart w:id="14" w:name="_Toc260928089"/>
      <w:r w:rsidRPr="00C74A9A">
        <w:rPr>
          <w:szCs w:val="24"/>
        </w:rPr>
        <w:t xml:space="preserve">Hoofdstuk </w:t>
      </w:r>
      <w:r>
        <w:rPr>
          <w:szCs w:val="24"/>
        </w:rPr>
        <w:t>3</w:t>
      </w:r>
      <w:r w:rsidRPr="00C74A9A">
        <w:rPr>
          <w:szCs w:val="24"/>
        </w:rPr>
        <w:t>: Gewenste situatie</w:t>
      </w:r>
      <w:bookmarkEnd w:id="14"/>
    </w:p>
    <w:p w:rsidR="00A8672C" w:rsidRPr="00935521" w:rsidRDefault="00A8672C" w:rsidP="00D4603A">
      <w:pPr>
        <w:spacing w:line="360" w:lineRule="auto"/>
        <w:jc w:val="both"/>
        <w:rPr>
          <w:lang w:val="nl-NL"/>
        </w:rPr>
      </w:pPr>
    </w:p>
    <w:p w:rsidR="00A8672C" w:rsidRPr="00C74A9A" w:rsidRDefault="00A8672C" w:rsidP="00D4603A">
      <w:pPr>
        <w:pStyle w:val="Heading2"/>
        <w:jc w:val="both"/>
        <w:rPr>
          <w:szCs w:val="24"/>
        </w:rPr>
      </w:pPr>
      <w:bookmarkStart w:id="15" w:name="_Toc260928090"/>
      <w:r>
        <w:rPr>
          <w:szCs w:val="24"/>
        </w:rPr>
        <w:t>3</w:t>
      </w:r>
      <w:r w:rsidRPr="00C74A9A">
        <w:rPr>
          <w:szCs w:val="24"/>
        </w:rPr>
        <w:t>.1 Wat moet er belast worden?</w:t>
      </w:r>
      <w:bookmarkEnd w:id="15"/>
    </w:p>
    <w:p w:rsidR="00A8672C" w:rsidRDefault="00A8672C" w:rsidP="00D4603A">
      <w:pPr>
        <w:spacing w:line="360" w:lineRule="auto"/>
        <w:jc w:val="both"/>
        <w:rPr>
          <w:lang w:val="nl-NL"/>
        </w:rPr>
      </w:pPr>
      <w:r>
        <w:rPr>
          <w:lang w:val="nl-NL"/>
        </w:rPr>
        <w:t>Uit het in het eerste hoofdstuk uiteengezette theoretische kader blijkt dat diensten moeten worden belast. Het verrichten van een dienst door een ondernemer dient belast te worden, ongeacht aan wie de ondernemer de dienst verricht. Voor het begrip ‘dienst’ verwijs ik terug naar paragraaf 1.4, hierin is het begrip ‘dienst’ uitgewerkt.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doel van de omzetbelasting is heffen over de uiteindelijke consumptie. Op grond van artikel 73 BTW-richtlijn geldt een subjectieve maatstaf van heffing. De maatstaf van heffing is datgene wat wordt verkregen als tegenprestatie en niet de waarde in het economisch verkeer. Voor de in artikel 26 BTW-richtlijn genoemde diensten geldt als maatstaf van heffing de waarde van de gemaakte kosten. Gelet op het karakter van de omzetbelasting ligt een subjectieve maatstaf van heffing voor de hand.</w:t>
      </w:r>
      <w:r>
        <w:rPr>
          <w:rStyle w:val="FootnoteReference"/>
          <w:lang w:val="nl-NL"/>
        </w:rPr>
        <w:footnoteReference w:id="38"/>
      </w:r>
      <w:r>
        <w:rPr>
          <w:lang w:val="nl-NL"/>
        </w:rPr>
        <w:t xml:space="preserve"> Het doel van de omzetbelasting is om het consumptieve verbruik te belasten. Hetgeen de afnemer betaalt voor de dienst, sluit dan ook goed aan bij de waarde van het verbruik van de dienst.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Er dient een rechtstreeks verband te bestaan tussen de bedragen die de ondernemer ontvangt en de prestatie die hij levert</w:t>
      </w:r>
      <w:r>
        <w:rPr>
          <w:rStyle w:val="FootnoteReference"/>
          <w:lang w:val="nl-NL"/>
        </w:rPr>
        <w:footnoteReference w:id="39"/>
      </w:r>
      <w:r>
        <w:rPr>
          <w:lang w:val="nl-NL"/>
        </w:rPr>
        <w:t>. In het arrest Coöperatieve Aardappelbewaarplaats</w:t>
      </w:r>
      <w:r>
        <w:rPr>
          <w:rStyle w:val="FootnoteReference"/>
          <w:lang w:val="nl-NL"/>
        </w:rPr>
        <w:footnoteReference w:id="40"/>
      </w:r>
      <w:r>
        <w:rPr>
          <w:lang w:val="nl-NL"/>
        </w:rPr>
        <w:t xml:space="preserve"> heeft het Hof van Justitie geoordeeld dat geen heffing van omzetbelasting kan plaatsvinden indien er geen prestatie heeft plaatsgevonden. Er is alleen sprake van een prestatie indien er ook een tegenprestatie is. De tegenprestatie dient een rechtstreeks verband te hebben met de prestatie. In het arrest van de Coöperatieve Aardappelbewaarplaats was geen sprake van een rechtstreeks verband tussen de prestatie en de tegenprestatie. Ook in het arrest Mohr</w:t>
      </w:r>
      <w:r>
        <w:rPr>
          <w:rStyle w:val="FootnoteReference"/>
          <w:lang w:val="nl-NL"/>
        </w:rPr>
        <w:footnoteReference w:id="41"/>
      </w:r>
      <w:r>
        <w:rPr>
          <w:lang w:val="nl-NL"/>
        </w:rPr>
        <w:t xml:space="preserve"> kon geen heffing van omzetbelasting plaatsvinden. Hier ging het om een landbouwer die een bedrag ontving om zijn melkproductie te beëindigen om zo de overproductie van melk in de hand te houden. Het beëindigen van de melkproductie was in het algemeen belang, namelijk het bevorderen van de goede werking van de communautaire melkmarkt. Er kon niet worden aangegeven wie de dienst verbruikte en zodoende is geen sprake van een rechtstreeks verband tussen de vergoeding en de prestatie.</w:t>
      </w:r>
    </w:p>
    <w:p w:rsidR="00A8672C" w:rsidRDefault="00A8672C" w:rsidP="00D4603A">
      <w:pPr>
        <w:spacing w:line="360" w:lineRule="auto"/>
        <w:jc w:val="both"/>
        <w:rPr>
          <w:lang w:val="nl-NL"/>
        </w:rPr>
      </w:pPr>
      <w:r>
        <w:rPr>
          <w:lang w:val="nl-NL"/>
        </w:rPr>
        <w:t xml:space="preserve">Uit artikel 73 BTW-richtlijn blijkt dat de tegenprestatie niet slechts bestaat uit een betaling van een geldsom. Ook de vergoeding in natura dient als tegenprestatie voor de heffing van omzetbelasting in aanmerking te worden genomen. </w:t>
      </w:r>
    </w:p>
    <w:p w:rsidR="00A8672C" w:rsidRPr="00C74A9A" w:rsidRDefault="00A8672C" w:rsidP="00D4603A">
      <w:pPr>
        <w:spacing w:line="360" w:lineRule="auto"/>
        <w:jc w:val="both"/>
        <w:rPr>
          <w:lang w:val="nl-NL"/>
        </w:rPr>
      </w:pPr>
    </w:p>
    <w:p w:rsidR="00A8672C" w:rsidRDefault="00A8672C" w:rsidP="00D4603A">
      <w:pPr>
        <w:pStyle w:val="Heading2"/>
        <w:jc w:val="both"/>
        <w:rPr>
          <w:szCs w:val="24"/>
        </w:rPr>
      </w:pPr>
      <w:bookmarkStart w:id="16" w:name="_Toc260928091"/>
      <w:bookmarkStart w:id="17" w:name="_Toc231111842"/>
      <w:r>
        <w:rPr>
          <w:szCs w:val="24"/>
        </w:rPr>
        <w:t>3</w:t>
      </w:r>
      <w:r w:rsidRPr="00C74A9A">
        <w:rPr>
          <w:szCs w:val="24"/>
        </w:rPr>
        <w:t>.</w:t>
      </w:r>
      <w:r>
        <w:rPr>
          <w:szCs w:val="24"/>
        </w:rPr>
        <w:t>2</w:t>
      </w:r>
      <w:r w:rsidRPr="00C74A9A">
        <w:rPr>
          <w:szCs w:val="24"/>
        </w:rPr>
        <w:t xml:space="preserve"> Waar moet er belast worden?</w:t>
      </w:r>
      <w:bookmarkEnd w:id="16"/>
    </w:p>
    <w:p w:rsidR="00A8672C" w:rsidRDefault="00A8672C" w:rsidP="00D4603A">
      <w:pPr>
        <w:spacing w:line="360" w:lineRule="auto"/>
        <w:jc w:val="both"/>
        <w:rPr>
          <w:lang w:val="nl-NL"/>
        </w:rPr>
      </w:pPr>
      <w:r>
        <w:rPr>
          <w:lang w:val="nl-NL"/>
        </w:rPr>
        <w:t>De BTW is een verbruiksbelasting. De belasting dient geheven te worden waar die dienst daadwerkelijk wordt verbruikt. Het belasten waar de afnemer is gevestigd, sluit niet altijd aan bij het uitgangspunt daar wordt geheven daar waar verbruik plaats vindt. De afnemer kan de dienst ook in een andere lidstaat verbruiken. De lidstaat waar de dienst wordt verbruikt, zou moeten heffen. Indien de presterende ondernemer een dienst levert aan een afnemer die tevens ondernemer is, is er geen sprake van verbruik. Slechts de uiteindelijke consument verbruikt de dienst. In de gewenste situatie is de dienst geleverd aan een uiteindelijke consument belast in de lidstaat waar de uiteindelijke consument de dienst verbruikt.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Vooral bij diensten is het erg moeilijk om vast te stellen waar de dienst wordt verbruikt, omdat diensten onzichtbaar zijn. Tevens kan een dienst, bijvoorbeeld een adviesdienst, ook telefonisch worden gegeven. De dienst kan dan ook worden verbruikt tijdens een tijdelijk verblijf in het buitenland, of tijdens een autorit van de ene lidstaat naar de andere lidstaat. Hierdoor is het bijna onmogelijk om aan te tonen waar de dienst wordt verbruikt.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gewenste situatie is praktisch niet uitvoerbaar. Vanwege de praktische uitvoerbaarheid zal enigszins van de gewenste situatie moeten worden afgeweken. Er blijven drie opties open, namelijk het belasten van een dienst bij de dienstverlener, het belasten van de dienst bij de afnemer en het belasten van de dienst op de plaats waar de dienst wordt verricht. Op alle drie de opties wordt afzonderlijk ingegaan.</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Belasten van de dienst bij de dienstverstrekker</w:t>
      </w:r>
    </w:p>
    <w:p w:rsidR="00A8672C" w:rsidRDefault="00A8672C" w:rsidP="00D4603A">
      <w:pPr>
        <w:spacing w:line="360" w:lineRule="auto"/>
        <w:jc w:val="both"/>
        <w:rPr>
          <w:lang w:val="nl-NL"/>
        </w:rPr>
      </w:pPr>
      <w:r>
        <w:rPr>
          <w:lang w:val="nl-NL"/>
        </w:rPr>
        <w:t>Indien de dienstverlener de belasting over de dienst moet afdragen in het land waar hij is gevestigd, is dit voor de dienstverlener gemakkelijk. Het maakt dan niet uit aan wie hij presteert, hij moet te allen tijde de BTW berekenen over de verstrekte dienst en deze afdragen. Voor de in de andere lidstaat gevestigde particuliere afnemer kan deze systematiek er toe leiden dat hij diensten afneemt vanuit de lidstaat waar een gunstiger BTW tarief wordt gehanteerd. Dit is strijdig met het neutraliteitsbeginsel. Voor de particuliere afnemer bestaat onderscheid tussen in de eigen lidstaat gevestigde ondernemers en in een andere lidstaat gevestigde ondernemers.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in de andere lidstaat gevestigde zakelijke afnemer zullen de administratieve lasten flink toenemen. De afnemer kan, indien hij ondernemer is en belaste prestaties verricht, de voorbelasting aftrekken. De buitenlandse BTW kan niet in mindering gebracht worden op de in het binnenland verschuldigde BTW. Om de buitenlandse BTW terug te krijgen zal je een verzoek moeten indienen in de desbetreffende lidstaat. Iedere keer als de ondernemer een dienst afneemt van een in een andere lidstaat gevestigde ondernemer zal hij vervolgens een verzoek moeten indienen voor de teruggaaf van de buitenlandse BTW. Per 1 januari 2010 kan de Nederlandse ondernemer de in een andere lidstaat betaalde voorbelasting terugvragen via de Nederlandse belastingdienst. De ondernemer hoeft zich hiervoor niet meer te registreren in de andere lidstaat. Echte, de Nederlandse ondernemer moet wel een apart verzoek indien bij de Nederlandse belastingdienst om de in een andere lidstaat betaalde voorbelasting terug te vragen. Door deze regeling is de administratieve last afgenomen, maar niet verdwenen.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Tevens sluit het belasten van de dienst bij de dienstverlener niet aan bij het doel van de omzetbelasting, namelijk het belasten van het verbruik daar waar het verbruik plaatsvindt. De plaats van het verbruik is vaak de plaats waar de afnemer is gevestigd, en niet de plaats waar de dienstverlener is gevestigd. </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Belasten van de dienst bij de afnemer</w:t>
      </w:r>
    </w:p>
    <w:p w:rsidR="00A8672C" w:rsidRDefault="00A8672C" w:rsidP="00D4603A">
      <w:pPr>
        <w:spacing w:line="360" w:lineRule="auto"/>
        <w:jc w:val="both"/>
        <w:rPr>
          <w:lang w:val="nl-NL"/>
        </w:rPr>
      </w:pPr>
      <w:r>
        <w:rPr>
          <w:lang w:val="nl-NL"/>
        </w:rPr>
        <w:t>Indien de afnemer in een andere lidstaat is gevestigd, wordt de dienst belast bij de afnemer in de andere lidstaat. De dienstverlener dient goed bij te houden aan wie hij de dienst verstrekt. Op basis van het huidige systeem kan de heffing van de omzetbelasting bij een prestatie aan een andere ondernemer (B2B) worden verlegd. De ondernemer in de andere lidstaat dient de omzetbelasting in zijn lidstaat af te dragen. Voor de afdracht van de omzetbelasting bij prestaties aan niet-ondernemers dient de Nederlandse ondernemer zich te registreren in de andere lidstaat en de omzetbelasting in die lidstaat af te dragen. Onder niet-ondernemers wordt verstaan particulieren en/of rechtspersonen die geen ondernemer voor de BTW zijn. Voor een Nederlandse ondernemer die veel prestaties levert aan niet-ondernemers in verschillende lidstaten is dit een omslachtige regeling. Door middel van een éénloketsysteem zou deze regeling kunnen worden vereenvoudigd.</w:t>
      </w:r>
      <w:r>
        <w:rPr>
          <w:rStyle w:val="FootnoteReference"/>
          <w:lang w:val="nl-NL"/>
        </w:rPr>
        <w:footnoteReference w:id="42"/>
      </w:r>
      <w:r>
        <w:rPr>
          <w:lang w:val="nl-NL"/>
        </w:rPr>
        <w:t xml:space="preserve"> Voor de Nederlandse ondernemer geldt dan wel de listingverplichting. Maar vervolgens dient de overheid de afgedragen omzetbelasting te verrekenen met de andere lidstaten door middel van de door de Nederlandse ondernemer ingediende lijst met afnemers.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gevaar van verlies van belastinginkomsten is hier zeer klein. De presterende ondernemer draagt de omzetbelasting af over al zijn diensten. De lidstaten verrekenen deze omzetbelasting met elkaar. Indien de dienstverlener diensten verricht voor een afnemer die tevens ondernemer is kan gebruik worden gemaakt van de verleggingsregeling.</w:t>
      </w:r>
    </w:p>
    <w:p w:rsidR="00A8672C" w:rsidRDefault="00A8672C" w:rsidP="00D4603A">
      <w:pPr>
        <w:spacing w:line="360" w:lineRule="auto"/>
        <w:jc w:val="both"/>
        <w:rPr>
          <w:lang w:val="nl-NL"/>
        </w:rPr>
      </w:pPr>
    </w:p>
    <w:p w:rsidR="00A8672C" w:rsidRPr="00F53F71" w:rsidRDefault="00A8672C" w:rsidP="00D4603A">
      <w:pPr>
        <w:spacing w:line="360" w:lineRule="auto"/>
        <w:jc w:val="both"/>
        <w:rPr>
          <w:i/>
          <w:lang w:val="nl-NL"/>
        </w:rPr>
      </w:pPr>
      <w:r>
        <w:rPr>
          <w:i/>
          <w:lang w:val="nl-NL"/>
        </w:rPr>
        <w:t>Belasten van de dienst op de plaats waar de dienst verricht wordt</w:t>
      </w:r>
    </w:p>
    <w:p w:rsidR="00A8672C" w:rsidRDefault="00A8672C" w:rsidP="00D4603A">
      <w:pPr>
        <w:spacing w:line="360" w:lineRule="auto"/>
        <w:jc w:val="both"/>
        <w:rPr>
          <w:lang w:val="nl-NL"/>
        </w:rPr>
      </w:pPr>
      <w:r>
        <w:rPr>
          <w:lang w:val="nl-NL"/>
        </w:rPr>
        <w:t>In eerste instantie lijkt deze regeling zeer omslachtig. Het kan namelijk voorkomen dat de plaats waar de dienst wordt verricht, niet overeenkomt met de plaats waar de dienstverlener en/of de afnemer is gevestigd. Op basis van het huidige systeem dienen de dienstverlener en de afnemer zich te registreren om de omzetbelasting te kunnen afdragen en te kunnen aftrekken.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éénloketsysteem kan hier ook een oplossing bieden.</w:t>
      </w:r>
      <w:r>
        <w:rPr>
          <w:rStyle w:val="FootnoteReference"/>
          <w:lang w:val="nl-NL"/>
        </w:rPr>
        <w:footnoteReference w:id="43"/>
      </w:r>
      <w:r>
        <w:rPr>
          <w:lang w:val="nl-NL"/>
        </w:rPr>
        <w:t xml:space="preserve"> De Nederlandse ondernemer heeft dan te maken met de listingverplichting, maar hoeft zich niet in de andere lidstaat te registreren. De overheid kan de afgedragen omzetbelasting dan verrekenen met de andere lidstaten aan de hand van de door de Nederlandse ondernemer ingediende lijst met plaatsen waar de diensten zijn verbruik. Door deze listingverplichting nemen de administratieve lasten voor de presterende ondernemer toe. De presterende ondernemer dient vast te stellen waar de door hem geleverde dienst daadwerkelijk wordt verricht.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gevaar van verlies van belastinginkomsten is hier zeer klein. De presterende ondernemer draagt de omzetbelasting af over al zijn gepresteerde diensten. De lidstaten verrekenen deze omzetbelasting met elkaar. Indien de dienstverlener diensten verricht voor een afnemer die tevens ondernemer is kan gebruik worden gemaakt van de verleggingsregeling.</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Echter, het vaststellen wat de plaats is waar de dienst wordt verricht, kan problemen opleveren. Bijvoorbeeld indien het een adviesdienst betreft en er telefonisch een dienst geleverd wordt terwijl de afnemer op dat moment in zijn auto zit en de grens over gaat. Voor andere diensten zoals bijvoorbeeld het geven van een congres is het zeer eenvoudig om de plaats waar de dienst wordt verricht te bepalen.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plaats waar de dienst wordt verricht, zal vaak afwijken van de plaats waar de dienst wordt verbruikt. Een dienst kan van een afstand worden verricht. Bijvoorbeeld een adviesdienst aan een afnemer gevestigd in een andere lidstaat zal vaak telefonisch, per email of per post gebeuren. De dienst wordt dan verricht in de lidstaat van de presterende ondernemer en de dienst wordt verbruikt in de lidstaat van de afnemer. Mijns inziens is de heffing van omzetbelasting op basis van de plaats waar de dienst is verricht geen goede optie.</w:t>
      </w:r>
    </w:p>
    <w:p w:rsidR="00A8672C" w:rsidRDefault="00A8672C" w:rsidP="00D4603A">
      <w:pPr>
        <w:spacing w:line="360" w:lineRule="auto"/>
        <w:jc w:val="both"/>
        <w:rPr>
          <w:lang w:val="nl-NL"/>
        </w:rPr>
      </w:pPr>
    </w:p>
    <w:p w:rsidR="00A8672C" w:rsidRPr="00C74A9A" w:rsidRDefault="00A8672C" w:rsidP="00D4603A">
      <w:pPr>
        <w:pStyle w:val="Heading2"/>
        <w:jc w:val="both"/>
        <w:rPr>
          <w:szCs w:val="24"/>
        </w:rPr>
      </w:pPr>
      <w:bookmarkStart w:id="18" w:name="_Toc260928092"/>
      <w:r>
        <w:rPr>
          <w:szCs w:val="24"/>
        </w:rPr>
        <w:t>3</w:t>
      </w:r>
      <w:r w:rsidRPr="00C74A9A">
        <w:rPr>
          <w:szCs w:val="24"/>
        </w:rPr>
        <w:t>.</w:t>
      </w:r>
      <w:r>
        <w:rPr>
          <w:szCs w:val="24"/>
        </w:rPr>
        <w:t>3</w:t>
      </w:r>
      <w:r w:rsidRPr="00C74A9A">
        <w:rPr>
          <w:szCs w:val="24"/>
        </w:rPr>
        <w:t xml:space="preserve"> Hoe moet er belast worden?</w:t>
      </w:r>
      <w:bookmarkEnd w:id="18"/>
    </w:p>
    <w:p w:rsidR="00A8672C" w:rsidRDefault="00A8672C" w:rsidP="00D4603A">
      <w:pPr>
        <w:spacing w:line="360" w:lineRule="auto"/>
        <w:jc w:val="both"/>
        <w:rPr>
          <w:lang w:val="nl-NL"/>
        </w:rPr>
      </w:pPr>
      <w:r>
        <w:rPr>
          <w:lang w:val="nl-NL"/>
        </w:rPr>
        <w:t xml:space="preserve">Belastingheffing dient plaats te vinden met inachtneming van het neutraliteitsbeginsel en het evenredigheidsbeginsel. Voor deze begrippen verwijs ik terug naar paragraaf 1.2 en 1.3, waar de begrippen zijn uitgewerkt.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omzetbelasting is een verbruiksbelasting. Dit betekent dat de eindverbruiker de belasting moet betalen. Het belasten van de verbruiker is vaak erg moeilijk. De afnemer van een dienst is niet altijd de eindverbruiker van de dienst. Als voorbeeld kan worden aangehaald de adviseur die een vraag krijgt van een klant waarop hij zelf geen antwoord kan geven. Vervolgens wint hij advies in bij adviseur B. Adviseur B zal een rekening sturen naar adviseur A. Maar adviseur A is niet de eindverbruiker, de klant van adviseur A is de eindverbruiker. Adviseur A zal dan ook een factuur naar de klant sturen. Adviseur A is wel afnemer van een dienst, maar geen eindverbruiker van de dienst. De klant van adviseur A is de eindverbruiker en alleen de eindverbruiker dient de BTW te betalen. Om toch de eindgebruiker te belasten heeft adviseur A recht op aftrek van BTW en dient hij BTW in rekening te brengen aan zijn klant. Omdat het niet altijd duidelijk is wie de eindverbruiker is, is het voor de fiscus onmogelijk om slechts de eindverbruiker aan de belasting te onderwerpen. Zeker bij grensoverschrijdende diensten is het onmogelijk. De Nederlandse fiscus kan de buitenlandse eindverbruiker niet onderwerpen aan de belastingheffing. En de buitenlandse fiscus zal in veel gevallen niet weten dat de eindverbruiker een dienst heeft afgenomen uit een andere lidstaat en daarom onderworpen dient te worden aan de belastingheffing. Aansluiten bij het doel van de heffing van omzetbelasting door slechts de eindverbruiker te belasten is niet mogelijk. De heffing van omzetbelasting zal op een efficiënte wijze moeten worden geheven.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Indien niet de verbruiker maar de leverancier de belasting moet betalen, kan concurrentie ontstaan tussen de ondernemers in de verschillende lidstaten. Indien een inwoner van een bepaalde lidstaat een dienst in dezelfde lidstaat of in een andere lidstaat kan afnemen en er verschillende belastingtarieven in de verschillende lidstaten worden gehanteerd, zal de inwoner van de lidstaat de dienst afnemen in de lidstaat waar het laagste belastingtarief geldt. Om de BTW afdracht te vergemakkelijken is de verleggingsregeling van artikel 12 Wet OB 1968 (gebaseerd op art 194 BTW-richtlijn) in het leven geroepen. Deze verleggingsregeling kan echter alleen worden toegepast bij grensoverschrijdende B2B transacties. Indien een ondernemer een prestatie levert aan een ondernemer in een andere lidstaat, dient de ondernemer die de prestatie levert op zijn factuur te vermelden dat hij een de BTW heeft verlegd. Hij hoeft dan geen BTW te berekenen. De afnemer dient dan in zijn eigen lidstaat de BTW aan te geven en af te dragen. Vervolgens zal deze afnemer de BTW weer kunnen terugvragen omdat hij ondernemer is voor de BTW en belaste prestaties verricht. Per saldo komt dit voor de ondernemer uit op nul.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Indien de afnemer de BTW niet aangeeft en afdraagt zal hij ook geen BTW kunnen terugvragen, omdat er op de factuur ook geen BTW is berekend (zie hiervoor ook Ecotrade). </w:t>
      </w:r>
      <w:r w:rsidRPr="00BE0D38">
        <w:rPr>
          <w:lang w:val="nl-NL"/>
        </w:rPr>
        <w:t>Per saldo zal er geen verlies van belastinginkomsten optreden indien de afnemer de BTW niet aan geeft. Echter</w:t>
      </w:r>
      <w:r>
        <w:rPr>
          <w:lang w:val="nl-NL"/>
        </w:rPr>
        <w:t>,</w:t>
      </w:r>
      <w:r w:rsidRPr="00BE0D38">
        <w:rPr>
          <w:lang w:val="nl-NL"/>
        </w:rPr>
        <w:t xml:space="preserve"> de kans</w:t>
      </w:r>
      <w:r>
        <w:rPr>
          <w:lang w:val="nl-NL"/>
        </w:rPr>
        <w:t xml:space="preserve"> is</w:t>
      </w:r>
      <w:r w:rsidRPr="00BE0D38">
        <w:rPr>
          <w:lang w:val="nl-NL"/>
        </w:rPr>
        <w:t xml:space="preserve"> groot dat de ondernemer bij de levering aan een particulier ook geen omzetbelasting aangeeft. De andere lidstaat heeft dan wel een verlies van belastinginkomsten.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Om de concurrentie op grond van het belastingtarief tussen ondernemers uit verschillende lidstaten helemaal uit te schakelen zou de verleggingsregeling ook moeten gelden voor grensoverschrijdende B2C transacties. In alle gevallen betaalt de afnemer dan belasting in zijn eigen lidstaat. In principe is dit het tegenovergestelde van de huidige hoofdregel. De wetgever zou in dit geval de hoofdregel kunnen omdraaien.</w:t>
      </w:r>
      <w:r>
        <w:rPr>
          <w:rStyle w:val="FootnoteReference"/>
          <w:lang w:val="nl-NL"/>
        </w:rPr>
        <w:footnoteReference w:id="44"/>
      </w:r>
      <w:r>
        <w:rPr>
          <w:lang w:val="nl-NL"/>
        </w:rPr>
        <w:t xml:space="preserve"> De keuze om een dienst af te nemen van een ondernemer in een andere lidstaat zal dan niet afhankelijk zijn van een eventueel belastingvoordeel. Echter indien een afnemer die geen ondernemer is en de belasting niet aangeeft in zijn eigen lidstaat, treedt een verlies van belastinginkomsten op. In dit geval is de kans op belastingfraude erg groot. Er mag dus een maatregel worden getroffen om dit te voorkomen. Deze maatregel mag op basis van het evenredigheidsbeginsel niet verder gaan dan nodig is om het beoogde doel te bereiken. </w:t>
      </w:r>
      <w:r w:rsidRPr="00BE0D38">
        <w:rPr>
          <w:lang w:val="nl-NL"/>
        </w:rPr>
        <w:t>Indien de lidstaten gebruik maken van een éénloketsysteem</w:t>
      </w:r>
      <w:r>
        <w:rPr>
          <w:lang w:val="nl-NL"/>
        </w:rPr>
        <w:t>,</w:t>
      </w:r>
      <w:r w:rsidRPr="00BE0D38">
        <w:rPr>
          <w:lang w:val="nl-NL"/>
        </w:rPr>
        <w:t xml:space="preserve"> is het gevaar op verlies van belastinginkomsten uitgeschakeld.</w:t>
      </w:r>
      <w:r>
        <w:rPr>
          <w:lang w:val="nl-NL"/>
        </w:rPr>
        <w:t xml:space="preserve"> Een éénloketsysteem houdt in dat de Nederlandse ondernemer voor al zijn prestaties de BTW in Nederland aangeeft en afdraagt.</w:t>
      </w:r>
      <w:r>
        <w:rPr>
          <w:rStyle w:val="FootnoteReference"/>
          <w:lang w:val="nl-NL"/>
        </w:rPr>
        <w:footnoteReference w:id="45"/>
      </w:r>
      <w:r>
        <w:rPr>
          <w:lang w:val="nl-NL"/>
        </w:rPr>
        <w:t xml:space="preserve"> Bij de aangifte van de BTW in Nederland dient de ondernemer een lijst in te dienen met de diensten die hij heeft verricht ten behoeve van iemand in een andere lidstaat niet zijnde een ondernemer. Dit wordt de listingverplichting genoemd. Aan de hand van de ingediende lijsten moeten de lidstaten de afgedragen omzetbelasting onderling met elkaar verrekenen. Door het éénloketsysteem moet de presterende ondernemer de omzetbelasting voor alle prestaties afdragen. Voor de ondernemer zullen de administratieve lasten afnemen.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Een andere mogelijkheid is het aanpassen van het heffingsstelsel. In het huidige heffingsstelsel worden alle schakels in de keten belast. Het is ook mogelijk om een eenmalige heffing toe te passen. Bijvoorbeeld door middel van een kleinhandelsbelasting. Het doel van de heffing van omzetbelasting is namelijk het belasten van het verbruik daar waar het verbruik plaatsvindt. Een ondernemer verbruikt een dienst niet. Slecht de uiteindelijke consument verbruikt de dienst. Om aan te sluiten bij het doel van de heffing van omzetbelasting is het niet nodig om alle schakels in de keten te belasten. Slechts het belasten van de eindverbruiker is voldoende om aan te sluiten bij het doel van de heffing. In dit eenmalige heffingsstelsel is geen aftrek van voorbelasting mogelijk tenzij aangetoond kan worden dat de diensten voor zakelijk gebruik zijn afgenomen. Prof. dr. S. Cnossen geeft in zijn artikel aan dat uit ervaring blijkt dat een kleinhandelsbelasting moeite heeft om de diensten van kleine ondernemers te belasten.</w:t>
      </w:r>
      <w:r>
        <w:rPr>
          <w:rStyle w:val="FootnoteReference"/>
          <w:lang w:val="nl-NL"/>
        </w:rPr>
        <w:footnoteReference w:id="46"/>
      </w:r>
      <w:r>
        <w:rPr>
          <w:lang w:val="nl-NL"/>
        </w:rPr>
        <w:t xml:space="preserve"> Indien de levering van diensten door kleine ondernemers niet worden belast en de levering van goederen door kleine ondernemers wel worden belast levert dit een verstoring op. Als het afnemen van diensten niet belast wordt zullen consumenten meer diensten afnemen. Het neutraliteitsbeginsel geeft aan dat een belasting de allocatie niet mag verstoren.</w:t>
      </w:r>
      <w:r>
        <w:rPr>
          <w:rStyle w:val="FootnoteReference"/>
          <w:lang w:val="nl-NL"/>
        </w:rPr>
        <w:footnoteReference w:id="47"/>
      </w:r>
      <w:r>
        <w:rPr>
          <w:lang w:val="nl-NL"/>
        </w:rPr>
        <w:t xml:space="preserve"> Een kleinhandelsbelasting zal de allocatie van productiemiddelen verstoren en is dus strijdig met het neutraliteitsbeginsel. Mijns inziens zijn goederen en diensten geen substituten van elkaar. Indien diensten niet belast zijn en goederen zijn wel belast zal er ook geen verstoring van de allocatie plaatsvinden. Echter is het wel lastig om te bepalen welke ondernemers kleinhandelsbelasting moeten berekenen. Veel ondernemers leveren aan ondernemers en particulieren. Er zijn enkele groothandels waar slechts ondernemers toegang krijgen. Echter kunnen deze ondernemers tegelijkertijd goederen afnemen als particulier. Het invoeren van een kleinhandelsbelasting is mijns inziens wel een goede optie als de kleinhandel en de groothandel beter kunnen vaststellen of zij leveren aan een ondernemer of aan een particulier. In de huidige markt waarin de groothandelsmarkt en de kleinhandelsmarkt in elkaar overloopt is een kleinhandelsbelasting niet praktisch. In de regelgeving vanaf 1 januari 2010 dient een onderscheid gemaakt te worden tussen diensten verricht aan ondernemers (B2B) en diensten verricht aan particulieren (B2C). Voor afnemers die zowel ondernemers zijn als particulier is een bepaling in de wet opgenomen dat zij altijd als ondernemer aangemerkt moeten worden.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toepassing van een kleinhandelsbelasting is dit niet wenselijk. Aan ondernemers wordt geen omzetbelasting in rekening gebracht en aan particulieren wel. Afnemers die zowel ondernemer als particulier zijn betalen ten onrechte geen omzetbelasting over de als particulier afgenomen goederen en of diensten. De regeling zou dan omgedraaid moeten worden. Voor de kleinhandelsbelasting wordt een afnemer die zowel ondernemer als particulier is aangemerkt als particulier, tenzij de afnemer bewijst dat hij de dienst of het goed gebruikt in zijn onderneming.</w:t>
      </w:r>
    </w:p>
    <w:p w:rsidR="00A8672C" w:rsidRDefault="00A8672C" w:rsidP="00D4603A">
      <w:pPr>
        <w:spacing w:line="360" w:lineRule="auto"/>
        <w:jc w:val="both"/>
        <w:rPr>
          <w:lang w:val="nl-NL"/>
        </w:rPr>
      </w:pPr>
    </w:p>
    <w:p w:rsidR="00A8672C" w:rsidRDefault="00A8672C" w:rsidP="00D4603A">
      <w:pPr>
        <w:pStyle w:val="Heading2"/>
        <w:jc w:val="both"/>
      </w:pPr>
      <w:bookmarkStart w:id="19" w:name="_Toc260928093"/>
      <w:r>
        <w:t>3.4 Gewenste situatie</w:t>
      </w:r>
      <w:bookmarkEnd w:id="19"/>
    </w:p>
    <w:p w:rsidR="00A8672C" w:rsidRDefault="00A8672C" w:rsidP="00D4603A">
      <w:pPr>
        <w:spacing w:line="360" w:lineRule="auto"/>
        <w:jc w:val="both"/>
        <w:rPr>
          <w:lang w:val="nl-NL"/>
        </w:rPr>
      </w:pPr>
      <w:r>
        <w:rPr>
          <w:lang w:val="nl-NL"/>
        </w:rPr>
        <w:t xml:space="preserve">Het heffen van omzetbelasting op de plaats waar de afnemer woont of is gevestigd is mijns inziens de beste optie. Een afnemer niet-ondernemer zal de dienst vaak verbruiken in de lidstaat waar hij woont of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Mijns inziens is het éénloketsysteem de optimale variant om de gewenste situatie zo goed mogelijk te benaderen. Aan het éénloketsysteem zijn wel nadelen verbonden. Ten eerste heeft de ondernemer te maken met de listingverplichting. Dit is een toename van de administratieve lasten voor de ondernemer. In veel gevallen is de belastingheffing door middel van een éénloketsysteem ook eenvoudiger, omdat de dienstverlener zich dan niet in een andere lidstaat hoeft te registreren. In deze gevallen nemen de administratieve lasten af door het éénloketsysteem.</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Echter, de administratieve lasten voor de overheid nemen toe. De overheden van verschillende lidstaten moeten onderling de BTW met elkaar verrekenen. De overheid heeft hierdoor een incassorisico. Indien de lidstaten onderling afspraken maken met betrekking tot de verrekening van de omzetbelasting wordt dit incassorisico beperkt.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Ik ben dan ook van mening dat de Nederlandse ondernemer voor prestaties aan niet-ondernemers in andere lidstaten door middel van een zogenoemd éénloketsysteem de omzetbelasting zou moeten afdragen. De Nederlandse ondernemer dient dat wel goed bij te houden aan wie hij zijn prestaties levert en waar de plaats is waar de prestaties worden verricht. De overheid kan de afgedragen omzetbelasting dan verrekenen met de andere lidstaten door middel van een door de Nederlandse ondernemer ingediende lijst. De verrekening tussen de lidstaten dient dan aan te sluiten bij de plaats van dienst. Dit sluit namelijk het beste aan bij het doel van de heffing van omzetbelasting, namelijk belasten daar waar het verbruik plaatsvindt.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Bij de toepassing van een éénloketsysteem is het gevaar van verlies van belastinginkomsten zeer klein. De presterende ondernemer draagt de omzetbelasting af over al zijn geleverde diensten. De lidstaten verrekenen deze omzetbelasting met elkaar.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Voor de prestatie aan de afnemer/ondernemer maakt het voor de aansluiting bij het doel van de heffing van omzetbelasting niet uit waar de plaats van dienst is, omdat de ondernemer de dienst niet verbruikt. Voor de aansluiting bij de eenvoud van de heffing van omzetbelasting is de heffing op de plaats waar de afnemer is gevestigd de beste optie. Een belangrijk argument hiervoor is dat de presterende ondernemer de heffing van omzetbelasting kan verleggen naar de afnemer/ondernemer. Hierdoor hoeft de presterende ondernemer zich niet te registreren in de lidstaat van de afnemer om de omzetbelasting te voldoen. De afnemer/ondernemer hoeft zich niet te registeren in de lidstaat van de presterende ondernemer om de voorbelasting op de geleverde dienst terug te vragen. Een éénloketsysteem is voor de prestaties aan een afnemer/ondernemer dan ook niet noodzakelijk. </w:t>
      </w:r>
    </w:p>
    <w:p w:rsidR="00A8672C" w:rsidRDefault="00A8672C">
      <w:pPr>
        <w:rPr>
          <w:lang w:val="nl-NL"/>
        </w:rPr>
      </w:pPr>
      <w:r>
        <w:rPr>
          <w:lang w:val="nl-NL"/>
        </w:rPr>
        <w:br w:type="page"/>
      </w:r>
    </w:p>
    <w:p w:rsidR="00A8672C" w:rsidRDefault="00A8672C" w:rsidP="00D4603A">
      <w:pPr>
        <w:pStyle w:val="Heading1"/>
        <w:jc w:val="both"/>
        <w:rPr>
          <w:szCs w:val="24"/>
        </w:rPr>
      </w:pPr>
      <w:bookmarkStart w:id="20" w:name="_Toc260928094"/>
      <w:r w:rsidRPr="00C74A9A">
        <w:rPr>
          <w:szCs w:val="24"/>
        </w:rPr>
        <w:t xml:space="preserve">Hoofdstuk </w:t>
      </w:r>
      <w:r>
        <w:rPr>
          <w:szCs w:val="24"/>
        </w:rPr>
        <w:t>4</w:t>
      </w:r>
      <w:r w:rsidRPr="00C74A9A">
        <w:rPr>
          <w:szCs w:val="24"/>
        </w:rPr>
        <w:t xml:space="preserve">: </w:t>
      </w:r>
      <w:bookmarkEnd w:id="17"/>
      <w:r>
        <w:rPr>
          <w:szCs w:val="24"/>
        </w:rPr>
        <w:t>Situatie tot 1 januari 2010</w:t>
      </w:r>
      <w:bookmarkEnd w:id="20"/>
    </w:p>
    <w:p w:rsidR="00A8672C" w:rsidRPr="00BF7369" w:rsidRDefault="00A8672C" w:rsidP="00D4603A">
      <w:pPr>
        <w:spacing w:line="360" w:lineRule="auto"/>
        <w:jc w:val="both"/>
        <w:rPr>
          <w:lang w:val="nl-NL"/>
        </w:rPr>
      </w:pPr>
    </w:p>
    <w:p w:rsidR="00A8672C" w:rsidRPr="00C74A9A" w:rsidRDefault="00A8672C" w:rsidP="00D4603A">
      <w:pPr>
        <w:pStyle w:val="Heading2"/>
        <w:jc w:val="both"/>
        <w:rPr>
          <w:szCs w:val="24"/>
        </w:rPr>
      </w:pPr>
      <w:bookmarkStart w:id="21" w:name="_Toc231111843"/>
      <w:bookmarkStart w:id="22" w:name="_Toc260928095"/>
      <w:r>
        <w:rPr>
          <w:szCs w:val="24"/>
        </w:rPr>
        <w:t>4</w:t>
      </w:r>
      <w:r w:rsidRPr="00C74A9A">
        <w:rPr>
          <w:szCs w:val="24"/>
        </w:rPr>
        <w:t xml:space="preserve">.1 </w:t>
      </w:r>
      <w:bookmarkEnd w:id="21"/>
      <w:r>
        <w:rPr>
          <w:szCs w:val="24"/>
        </w:rPr>
        <w:t>Wat wordt er belast?</w:t>
      </w:r>
      <w:bookmarkEnd w:id="22"/>
    </w:p>
    <w:p w:rsidR="00A8672C" w:rsidRDefault="00A8672C" w:rsidP="00D4603A">
      <w:pPr>
        <w:spacing w:line="360" w:lineRule="auto"/>
        <w:jc w:val="both"/>
        <w:rPr>
          <w:lang w:val="nl-NL"/>
        </w:rPr>
      </w:pPr>
      <w:r>
        <w:rPr>
          <w:lang w:val="nl-NL"/>
        </w:rPr>
        <w:t xml:space="preserve">In artikel 4 Wet OB 1968 worden diensten aangemerkt als belastbare prestaties. Tevens worden in artikel 4 Wet OB 1968 met diensten onder bezwarende titel gelijkgestelde prestaties als belastbaar feit aangemerkt. Hieronder valt tevens het privé gebruik.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Artikel 8 Wet OB 1968 bepaalt de maatstaf van heffing. De maatstaf van heffing van diensten wordt bepaald door de hoogte van de vergoeding voor de dienst. Indien de afnemer meer betaalt dan aan hem in rekening is gebracht is dit hogere bedrag bepalend voor de maatstaf van heffing. Indien er sprake is van een privé onttrekking geldt de kostprijs van de dienst als heffingsmaatstaf. Dit komt overeen met de maatstaf van heffing zoals bepaald in artikel 72 tot en met 92 van de BTW-richtlijn. Deze maatstaf van heffing is een subjectieve maatstaf. Dit sluit aan bij het doel van de heffing van omzetbelasting, namelijk het belasten van het consumptieve verbruik.</w:t>
      </w:r>
      <w:r>
        <w:rPr>
          <w:rStyle w:val="FootnoteReference"/>
          <w:lang w:val="nl-NL"/>
        </w:rPr>
        <w:footnoteReference w:id="48"/>
      </w:r>
      <w:r>
        <w:rPr>
          <w:lang w:val="nl-NL"/>
        </w:rPr>
        <w:t xml:space="preserv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heffing van de omzetbelasting dient een rechtstreeks verband te bestaan tussen de prestatie en de tegenprestatie.</w:t>
      </w:r>
      <w:r>
        <w:rPr>
          <w:rStyle w:val="FootnoteReference"/>
          <w:lang w:val="nl-NL"/>
        </w:rPr>
        <w:footnoteReference w:id="49"/>
      </w:r>
      <w:r>
        <w:rPr>
          <w:lang w:val="nl-NL"/>
        </w:rPr>
        <w:t xml:space="preserve"> Indien geen prestatie tegenover de vergoeding staat, dan is ook geen sprake van een verbruik.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Hof van Justitie heeft geoordeeld in het arrest Bally</w:t>
      </w:r>
      <w:r>
        <w:rPr>
          <w:rStyle w:val="FootnoteReference"/>
          <w:lang w:val="nl-NL"/>
        </w:rPr>
        <w:footnoteReference w:id="50"/>
      </w:r>
      <w:r>
        <w:rPr>
          <w:lang w:val="nl-NL"/>
        </w:rPr>
        <w:t xml:space="preserve"> dat indien er sprake is van een betaling aan een derde die dit bedrag vervolgens doorbetaalt aan de presterende ondernemer, eventueel met inhouding van een commissie, er wel een rechtstreeks verband bestaat tussen de vergoeding en de prestatie. Het gehele bedrag dat aan een derde wordt betaald, valt onder de maatstaf van heffing.</w:t>
      </w:r>
      <w:r>
        <w:rPr>
          <w:rStyle w:val="FootnoteReference"/>
          <w:lang w:val="nl-NL"/>
        </w:rPr>
        <w:footnoteReference w:id="51"/>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vergoeding die tegenover de prestatie staat is niet altijd een bedrag in geld. De tegenprestatie kan ook bestaan uit goederen of diensten. In artikel 73 BTW-richtlijn is bepaald dat alles wat ter zake van de prestatie wordt verkregen onder de maatstaf van heffing valt. Indien ondernemers diensten met elkaar ruilen, dient omzetbelasting afgedragen te worden over de waarde van de dienst die als tegenprestatie wordt verricht.</w:t>
      </w:r>
      <w:r>
        <w:rPr>
          <w:rStyle w:val="FootnoteReference"/>
          <w:lang w:val="nl-NL"/>
        </w:rPr>
        <w:footnoteReference w:id="52"/>
      </w:r>
      <w:r>
        <w:rPr>
          <w:lang w:val="nl-NL"/>
        </w:rPr>
        <w:t xml:space="preserv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vraag rest nu nog hoe</w:t>
      </w:r>
      <w:r w:rsidRPr="0005739B">
        <w:rPr>
          <w:lang w:val="nl-NL"/>
        </w:rPr>
        <w:t xml:space="preserve"> omgegaan moet worden met prestaties tegen een </w:t>
      </w:r>
      <w:r>
        <w:rPr>
          <w:lang w:val="nl-NL"/>
        </w:rPr>
        <w:t>symbolische vergoeding. Indien</w:t>
      </w:r>
      <w:r w:rsidRPr="0005739B">
        <w:rPr>
          <w:lang w:val="nl-NL"/>
        </w:rPr>
        <w:t xml:space="preserve"> aangesloten wordt bij de subjectieve heffingsmaatstaf, is slechts de symbolis</w:t>
      </w:r>
      <w:r>
        <w:rPr>
          <w:lang w:val="nl-NL"/>
        </w:rPr>
        <w:t>che vergoeding belast. Indien</w:t>
      </w:r>
      <w:r w:rsidRPr="0005739B">
        <w:rPr>
          <w:lang w:val="nl-NL"/>
        </w:rPr>
        <w:t xml:space="preserve"> bij een symbolische vergoeding een objectieve heffingsmaatstaf gehanteerd moet worden</w:t>
      </w:r>
      <w:r>
        <w:rPr>
          <w:lang w:val="nl-NL"/>
        </w:rPr>
        <w:t>,</w:t>
      </w:r>
      <w:r w:rsidRPr="0005739B">
        <w:rPr>
          <w:lang w:val="nl-NL"/>
        </w:rPr>
        <w:t xml:space="preserve"> kan aangesloten worden bij het ‘at arms length’ beginsel. Is er wel sprake van een economische activiteit indien de vergoeding slechts symbolisch is? Het Hof van Justitie en de Hoge Raad hebben zich over dit vraagstuk gebogen. Het Hof van Justitie heeft in het arrest Scandic</w:t>
      </w:r>
      <w:r w:rsidRPr="0005739B">
        <w:rPr>
          <w:rStyle w:val="FootnoteReference"/>
          <w:lang w:val="nl-NL"/>
        </w:rPr>
        <w:footnoteReference w:id="53"/>
      </w:r>
      <w:r>
        <w:rPr>
          <w:lang w:val="nl-NL"/>
        </w:rPr>
        <w:t xml:space="preserve"> geoordeeld dat indien er geen sprake is van een werkelijke tegenprestatie er in beginsel ook geen economische activiteit plaatsvindt.</w:t>
      </w:r>
    </w:p>
    <w:p w:rsidR="00A8672C" w:rsidRDefault="00A8672C" w:rsidP="00D4603A">
      <w:pPr>
        <w:spacing w:line="360" w:lineRule="auto"/>
        <w:jc w:val="both"/>
        <w:rPr>
          <w:lang w:val="nl-NL"/>
        </w:rPr>
      </w:pPr>
    </w:p>
    <w:p w:rsidR="00A8672C" w:rsidRPr="0005739B" w:rsidRDefault="00A8672C" w:rsidP="00D4603A">
      <w:pPr>
        <w:spacing w:line="360" w:lineRule="auto"/>
        <w:jc w:val="both"/>
        <w:rPr>
          <w:lang w:val="nl-NL"/>
        </w:rPr>
      </w:pPr>
      <w:r>
        <w:rPr>
          <w:lang w:val="nl-NL"/>
        </w:rPr>
        <w:t>De Hoge Raad heeft in een arrest</w:t>
      </w:r>
      <w:r>
        <w:rPr>
          <w:rStyle w:val="FootnoteReference"/>
          <w:lang w:val="nl-NL"/>
        </w:rPr>
        <w:footnoteReference w:id="54"/>
      </w:r>
      <w:r>
        <w:rPr>
          <w:lang w:val="nl-NL"/>
        </w:rPr>
        <w:t xml:space="preserve"> waarin een ideële stichting toegang verstrekte aan een tot haar toebehorend landgoed tegen een symbolische vergoeding geoordeeld dat er sprake is van vrijgevigheid. De verstrekking van toegang tot het landgoed is volgens de Hoge Raad een handeling van vrijgevigheid en dus geen economische activiteit. Omdat geen sprake is van een economische activiteit, hoeft de stichting ook geen omzetbelasting te berekenen over de toegangsprijs, maar heeft zij tevens geen recht op aftrek van voorbelasting</w:t>
      </w:r>
    </w:p>
    <w:p w:rsidR="00A8672C" w:rsidRDefault="00A8672C" w:rsidP="00D4603A">
      <w:pPr>
        <w:spacing w:line="360" w:lineRule="auto"/>
        <w:jc w:val="both"/>
        <w:rPr>
          <w:lang w:val="nl-NL"/>
        </w:rPr>
      </w:pPr>
    </w:p>
    <w:p w:rsidR="00A8672C" w:rsidRPr="00BF7369" w:rsidRDefault="00A8672C" w:rsidP="00D4603A">
      <w:pPr>
        <w:pStyle w:val="Heading2"/>
        <w:jc w:val="both"/>
      </w:pPr>
      <w:bookmarkStart w:id="23" w:name="_Toc260928096"/>
      <w:r>
        <w:t>4.2 Waar wordt er belast?</w:t>
      </w:r>
      <w:bookmarkEnd w:id="23"/>
    </w:p>
    <w:p w:rsidR="00A8672C" w:rsidRDefault="00A8672C" w:rsidP="00D4603A">
      <w:pPr>
        <w:spacing w:line="360" w:lineRule="auto"/>
        <w:jc w:val="both"/>
        <w:rPr>
          <w:lang w:val="nl-NL"/>
        </w:rPr>
      </w:pPr>
      <w:bookmarkStart w:id="24" w:name="_Toc231111851"/>
      <w:r>
        <w:rPr>
          <w:lang w:val="nl-NL"/>
        </w:rPr>
        <w:t xml:space="preserve">In artikel 6 Wet OB 1968 wordt de plaats van dienst bepaald. De hoofdregel is dat de belasting geheven wordt daar waar de dienstverlener woont of is gevestigd of een vaste inrichting heft van waaruit hij presteert.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In artikel 6 lid 2 Wet OB 1968 is een aantal uitzonderingen opgenomen. </w:t>
      </w:r>
    </w:p>
    <w:p w:rsidR="00A8672C" w:rsidRPr="00CE6C2B" w:rsidRDefault="00A8672C" w:rsidP="00D4603A">
      <w:pPr>
        <w:spacing w:line="360" w:lineRule="auto"/>
        <w:jc w:val="both"/>
        <w:rPr>
          <w:lang w:val="nl-NL"/>
        </w:rPr>
      </w:pPr>
      <w:r>
        <w:rPr>
          <w:lang w:val="nl-NL"/>
        </w:rPr>
        <w:t xml:space="preserve">Voor de volgende diensten is de plaats van dienst de plaats waar de activiteiten daadwerkelijk </w:t>
      </w:r>
      <w:r w:rsidRPr="00CE6C2B">
        <w:rPr>
          <w:lang w:val="nl-NL"/>
        </w:rPr>
        <w:t>plaatsvinden:</w:t>
      </w:r>
    </w:p>
    <w:p w:rsidR="00A8672C" w:rsidRPr="00CE6C2B" w:rsidRDefault="00A8672C" w:rsidP="00D4603A">
      <w:pPr>
        <w:pStyle w:val="ListParagraph"/>
        <w:numPr>
          <w:ilvl w:val="0"/>
          <w:numId w:val="31"/>
        </w:numPr>
        <w:spacing w:line="360" w:lineRule="auto"/>
        <w:jc w:val="both"/>
        <w:rPr>
          <w:rFonts w:ascii="Times New Roman" w:hAnsi="Times New Roman"/>
          <w:sz w:val="24"/>
          <w:szCs w:val="24"/>
        </w:rPr>
      </w:pPr>
      <w:r w:rsidRPr="00CE6C2B">
        <w:rPr>
          <w:rFonts w:ascii="Times New Roman" w:hAnsi="Times New Roman"/>
          <w:sz w:val="24"/>
          <w:szCs w:val="24"/>
        </w:rPr>
        <w:t>Diensten met betrekking tot een onroerende zaak</w:t>
      </w:r>
      <w:r>
        <w:rPr>
          <w:rFonts w:ascii="Times New Roman" w:hAnsi="Times New Roman"/>
          <w:sz w:val="24"/>
          <w:szCs w:val="24"/>
        </w:rPr>
        <w:t>;</w:t>
      </w:r>
    </w:p>
    <w:p w:rsidR="00A8672C" w:rsidRDefault="00A8672C" w:rsidP="00D4603A">
      <w:pPr>
        <w:pStyle w:val="ListParagraph"/>
        <w:numPr>
          <w:ilvl w:val="0"/>
          <w:numId w:val="31"/>
        </w:numPr>
        <w:spacing w:line="360" w:lineRule="auto"/>
        <w:jc w:val="both"/>
        <w:rPr>
          <w:rFonts w:ascii="Times New Roman" w:hAnsi="Times New Roman"/>
          <w:sz w:val="24"/>
          <w:szCs w:val="24"/>
        </w:rPr>
      </w:pPr>
      <w:r>
        <w:rPr>
          <w:rFonts w:ascii="Times New Roman" w:hAnsi="Times New Roman"/>
          <w:sz w:val="24"/>
          <w:szCs w:val="24"/>
        </w:rPr>
        <w:t>Vervoer van personen of goederen;</w:t>
      </w:r>
    </w:p>
    <w:p w:rsidR="00A8672C" w:rsidRDefault="00A8672C" w:rsidP="00D4603A">
      <w:pPr>
        <w:pStyle w:val="ListParagraph"/>
        <w:numPr>
          <w:ilvl w:val="0"/>
          <w:numId w:val="31"/>
        </w:numPr>
        <w:spacing w:line="360" w:lineRule="auto"/>
        <w:jc w:val="both"/>
        <w:rPr>
          <w:rFonts w:ascii="Times New Roman" w:hAnsi="Times New Roman"/>
          <w:sz w:val="24"/>
          <w:szCs w:val="24"/>
        </w:rPr>
      </w:pPr>
      <w:r>
        <w:rPr>
          <w:rFonts w:ascii="Times New Roman" w:hAnsi="Times New Roman"/>
          <w:sz w:val="24"/>
          <w:szCs w:val="24"/>
        </w:rPr>
        <w:t>Culturele, artistieke, sportieve, wetenschappelijke, onderwijs-, vermakelijkheids- of soortgelijke diensten;</w:t>
      </w:r>
    </w:p>
    <w:p w:rsidR="00A8672C" w:rsidRDefault="00A8672C" w:rsidP="00D4603A">
      <w:pPr>
        <w:pStyle w:val="ListParagraph"/>
        <w:numPr>
          <w:ilvl w:val="0"/>
          <w:numId w:val="31"/>
        </w:numPr>
        <w:spacing w:line="360" w:lineRule="auto"/>
        <w:jc w:val="both"/>
        <w:rPr>
          <w:rFonts w:ascii="Times New Roman" w:hAnsi="Times New Roman"/>
          <w:sz w:val="24"/>
          <w:szCs w:val="24"/>
        </w:rPr>
      </w:pPr>
      <w:r>
        <w:rPr>
          <w:rFonts w:ascii="Times New Roman" w:hAnsi="Times New Roman"/>
          <w:sz w:val="24"/>
          <w:szCs w:val="24"/>
        </w:rPr>
        <w:t>Laden, lossen of soortgelijke met vervoer samenhangende diensten;</w:t>
      </w:r>
    </w:p>
    <w:p w:rsidR="00A8672C" w:rsidRDefault="00A8672C" w:rsidP="00D4603A">
      <w:pPr>
        <w:pStyle w:val="ListParagraph"/>
        <w:numPr>
          <w:ilvl w:val="0"/>
          <w:numId w:val="31"/>
        </w:numPr>
        <w:spacing w:line="360" w:lineRule="auto"/>
        <w:jc w:val="both"/>
        <w:rPr>
          <w:rFonts w:ascii="Times New Roman" w:hAnsi="Times New Roman"/>
          <w:sz w:val="24"/>
          <w:szCs w:val="24"/>
        </w:rPr>
      </w:pPr>
      <w:r>
        <w:rPr>
          <w:rFonts w:ascii="Times New Roman" w:hAnsi="Times New Roman"/>
          <w:sz w:val="24"/>
          <w:szCs w:val="24"/>
        </w:rPr>
        <w:t>Werkzaamheden, deskundigenonderzoeken daaronder begrepen, met betrekking tot roerende zaken.</w:t>
      </w:r>
    </w:p>
    <w:p w:rsidR="00A8672C" w:rsidRDefault="00A8672C" w:rsidP="00D4603A">
      <w:pPr>
        <w:spacing w:line="360" w:lineRule="auto"/>
        <w:jc w:val="both"/>
        <w:rPr>
          <w:lang w:val="nl-NL"/>
        </w:rPr>
      </w:pPr>
      <w:r w:rsidRPr="00CE6C2B">
        <w:rPr>
          <w:lang w:val="nl-NL"/>
        </w:rPr>
        <w:t>Voor de volgende diensten, i</w:t>
      </w:r>
      <w:r>
        <w:rPr>
          <w:lang w:val="nl-NL"/>
        </w:rPr>
        <w:t xml:space="preserve">ndien deze worden verleend aan een ondernemer, of aan andere dan ondernemers voor zover zij buiten de Gemeenschap wonen of zijn gevestigd, is de plaats van dienst de plaats waar de afnemer woont of is gevestigd. </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Overdracht en verlenen van auteursrechten, octrooirechten, licentierechten, rechten op fabrieks- en handelsmerken en andere soortgelijke rechten;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Diensten op het gebied van reclame;</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Diensten, verricht door raadgevende personen, ingenieurs, adviesbureaus, advocaten, accountants, en soortgelijke diensten, alsmede informatieverwerking en -verschaffing;</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De verbintenis om een beroepsactiviteit of een auteursrecht e.d. geheel of gedeeltelijk niet uit te oefenen;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Bank-, financiële en verzekeringsverrichtingen, met uitzondering verhuur van safeloketten;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Beschikbaar stellen van personeel;</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Verhuur van roerende zaken, met uitzondering van vervoermiddelen;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Telecommunicatiediensten;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Radio- en televisieomroepdiensten;</w:t>
      </w:r>
    </w:p>
    <w:p w:rsidR="00A8672C" w:rsidRPr="00D028B0" w:rsidRDefault="00A8672C" w:rsidP="00D4603A">
      <w:pPr>
        <w:pStyle w:val="ListParagraph"/>
        <w:numPr>
          <w:ilvl w:val="0"/>
          <w:numId w:val="32"/>
        </w:numPr>
        <w:spacing w:line="360" w:lineRule="auto"/>
        <w:jc w:val="both"/>
      </w:pPr>
      <w:r>
        <w:rPr>
          <w:rFonts w:ascii="Times New Roman" w:hAnsi="Times New Roman"/>
          <w:sz w:val="24"/>
          <w:szCs w:val="24"/>
        </w:rPr>
        <w:t>Elektronische diensten;</w:t>
      </w:r>
    </w:p>
    <w:p w:rsidR="00A8672C" w:rsidRPr="006C2F1A" w:rsidRDefault="00A8672C" w:rsidP="00D4603A">
      <w:pPr>
        <w:pStyle w:val="ListParagraph"/>
        <w:numPr>
          <w:ilvl w:val="0"/>
          <w:numId w:val="32"/>
        </w:numPr>
        <w:spacing w:line="360" w:lineRule="auto"/>
        <w:jc w:val="both"/>
      </w:pPr>
      <w:r>
        <w:rPr>
          <w:rFonts w:ascii="Times New Roman" w:hAnsi="Times New Roman"/>
          <w:sz w:val="24"/>
          <w:szCs w:val="24"/>
        </w:rPr>
        <w:t>Bieden van toegang tot, en van transport of transmissie via, aardgas- en elektriciteitsdistributiesystemen en het verrichten van andere daarmee rechtstreeks verbonden diensten;</w:t>
      </w:r>
    </w:p>
    <w:p w:rsidR="00A8672C" w:rsidRPr="006C2F1A" w:rsidRDefault="00A8672C" w:rsidP="00D4603A">
      <w:pPr>
        <w:pStyle w:val="ListParagraph"/>
        <w:numPr>
          <w:ilvl w:val="0"/>
          <w:numId w:val="32"/>
        </w:numPr>
        <w:spacing w:line="360" w:lineRule="auto"/>
        <w:jc w:val="both"/>
      </w:pPr>
      <w:r>
        <w:rPr>
          <w:rFonts w:ascii="Times New Roman" w:hAnsi="Times New Roman"/>
          <w:sz w:val="24"/>
          <w:szCs w:val="24"/>
        </w:rPr>
        <w:t>Bemiddelen bij de verlening van diensten zoals hierboven beschreven, door tussenpersonen die handelen op naam en voor rekening van een ander.</w:t>
      </w:r>
    </w:p>
    <w:p w:rsidR="00A8672C" w:rsidRDefault="00A8672C" w:rsidP="00D4603A">
      <w:pPr>
        <w:spacing w:line="360" w:lineRule="auto"/>
        <w:jc w:val="both"/>
        <w:rPr>
          <w:lang w:val="nl-NL"/>
        </w:rPr>
      </w:pPr>
      <w:r>
        <w:rPr>
          <w:lang w:val="nl-NL"/>
        </w:rPr>
        <w:t>Met betrekking tot de volgende diensten wordt afgeweken van de uitzonderingen voor de plaats van dienst:</w:t>
      </w:r>
    </w:p>
    <w:p w:rsidR="00A8672C" w:rsidRPr="004C440B" w:rsidRDefault="00A8672C" w:rsidP="00D4603A">
      <w:pPr>
        <w:pStyle w:val="ListParagraph"/>
        <w:numPr>
          <w:ilvl w:val="0"/>
          <w:numId w:val="33"/>
        </w:numPr>
        <w:spacing w:line="360" w:lineRule="auto"/>
        <w:jc w:val="both"/>
      </w:pPr>
      <w:r>
        <w:rPr>
          <w:rFonts w:ascii="Times New Roman" w:hAnsi="Times New Roman"/>
          <w:sz w:val="24"/>
          <w:szCs w:val="24"/>
        </w:rPr>
        <w:t xml:space="preserve">Diensten in intracommunautair goederenvervoer </w:t>
      </w:r>
      <w:r w:rsidRPr="004C440B">
        <w:rPr>
          <w:rFonts w:ascii="Times New Roman" w:hAnsi="Times New Roman"/>
          <w:sz w:val="24"/>
          <w:szCs w:val="24"/>
        </w:rPr>
        <w:sym w:font="Wingdings" w:char="F0E0"/>
      </w:r>
      <w:r>
        <w:rPr>
          <w:rFonts w:ascii="Times New Roman" w:hAnsi="Times New Roman"/>
          <w:sz w:val="24"/>
          <w:szCs w:val="24"/>
        </w:rPr>
        <w:t xml:space="preserve"> plaats van vertrek;</w:t>
      </w:r>
    </w:p>
    <w:p w:rsidR="00A8672C" w:rsidRPr="004C440B" w:rsidRDefault="00A8672C" w:rsidP="00D4603A">
      <w:pPr>
        <w:pStyle w:val="ListParagraph"/>
        <w:numPr>
          <w:ilvl w:val="0"/>
          <w:numId w:val="33"/>
        </w:numPr>
        <w:spacing w:line="360" w:lineRule="auto"/>
        <w:jc w:val="both"/>
      </w:pPr>
      <w:r>
        <w:rPr>
          <w:rFonts w:ascii="Times New Roman" w:hAnsi="Times New Roman"/>
          <w:sz w:val="24"/>
          <w:szCs w:val="24"/>
        </w:rPr>
        <w:t xml:space="preserve">Laden, lossen en soortgelijke activiteiten die samenhangen met intracommunautair goederenvervoer </w:t>
      </w:r>
      <w:r w:rsidRPr="004C440B">
        <w:rPr>
          <w:rFonts w:ascii="Times New Roman" w:hAnsi="Times New Roman"/>
          <w:sz w:val="24"/>
          <w:szCs w:val="24"/>
        </w:rPr>
        <w:sym w:font="Wingdings" w:char="F0E0"/>
      </w:r>
      <w:r>
        <w:rPr>
          <w:rFonts w:ascii="Times New Roman" w:hAnsi="Times New Roman"/>
          <w:sz w:val="24"/>
          <w:szCs w:val="24"/>
        </w:rPr>
        <w:t xml:space="preserve"> lidstaat waar aan de afnemer een BTW-identificatienummer is toegekend; </w:t>
      </w:r>
    </w:p>
    <w:p w:rsidR="00A8672C" w:rsidRPr="006E3F08" w:rsidRDefault="00A8672C" w:rsidP="00D4603A">
      <w:pPr>
        <w:pStyle w:val="ListParagraph"/>
        <w:numPr>
          <w:ilvl w:val="0"/>
          <w:numId w:val="33"/>
        </w:numPr>
        <w:spacing w:line="360" w:lineRule="auto"/>
        <w:jc w:val="both"/>
        <w:rPr>
          <w:rFonts w:ascii="Times New Roman" w:hAnsi="Times New Roman"/>
          <w:sz w:val="24"/>
          <w:szCs w:val="24"/>
        </w:rPr>
      </w:pPr>
      <w:r w:rsidRPr="006E3F08">
        <w:rPr>
          <w:rFonts w:ascii="Times New Roman" w:hAnsi="Times New Roman"/>
          <w:sz w:val="24"/>
          <w:szCs w:val="24"/>
        </w:rPr>
        <w:t xml:space="preserve">Bemiddeling voor </w:t>
      </w:r>
      <w:r>
        <w:rPr>
          <w:rFonts w:ascii="Times New Roman" w:hAnsi="Times New Roman"/>
          <w:sz w:val="24"/>
          <w:szCs w:val="24"/>
        </w:rPr>
        <w:t xml:space="preserve">intracommunautair goederenvervoer </w:t>
      </w:r>
      <w:r w:rsidRPr="006E3F08">
        <w:rPr>
          <w:rFonts w:ascii="Times New Roman" w:hAnsi="Times New Roman"/>
          <w:sz w:val="24"/>
          <w:szCs w:val="24"/>
        </w:rPr>
        <w:sym w:font="Wingdings" w:char="F0E0"/>
      </w:r>
      <w:r>
        <w:rPr>
          <w:rFonts w:ascii="Times New Roman" w:hAnsi="Times New Roman"/>
          <w:sz w:val="24"/>
          <w:szCs w:val="24"/>
        </w:rPr>
        <w:t xml:space="preserve"> plaats van vertrek;</w:t>
      </w:r>
    </w:p>
    <w:p w:rsidR="00A8672C" w:rsidRPr="0059509A" w:rsidRDefault="00A8672C" w:rsidP="00D4603A">
      <w:pPr>
        <w:pStyle w:val="ListParagraph"/>
        <w:numPr>
          <w:ilvl w:val="0"/>
          <w:numId w:val="33"/>
        </w:numPr>
        <w:spacing w:line="360" w:lineRule="auto"/>
        <w:jc w:val="both"/>
      </w:pPr>
      <w:r>
        <w:rPr>
          <w:rFonts w:ascii="Times New Roman" w:hAnsi="Times New Roman"/>
          <w:sz w:val="24"/>
          <w:szCs w:val="24"/>
        </w:rPr>
        <w:t xml:space="preserve">Bemiddeling bij met intracommunautair goederenvervoer samenhangende diensten </w:t>
      </w:r>
      <w:r w:rsidRPr="0059509A">
        <w:rPr>
          <w:rFonts w:ascii="Times New Roman" w:hAnsi="Times New Roman"/>
          <w:sz w:val="24"/>
          <w:szCs w:val="24"/>
        </w:rPr>
        <w:sym w:font="Wingdings" w:char="F0E0"/>
      </w:r>
      <w:r>
        <w:rPr>
          <w:rFonts w:ascii="Times New Roman" w:hAnsi="Times New Roman"/>
          <w:sz w:val="24"/>
          <w:szCs w:val="24"/>
        </w:rPr>
        <w:t xml:space="preserve"> plaats van daadwerkelijke activiteit.</w:t>
      </w:r>
    </w:p>
    <w:p w:rsidR="00A8672C" w:rsidRPr="006E3F08" w:rsidRDefault="00A8672C" w:rsidP="00D4603A">
      <w:pPr>
        <w:spacing w:line="360" w:lineRule="auto"/>
        <w:jc w:val="both"/>
        <w:rPr>
          <w:lang w:val="nl-NL"/>
        </w:rPr>
      </w:pPr>
      <w:r w:rsidRPr="006E3F08">
        <w:rPr>
          <w:lang w:val="nl-NL"/>
        </w:rPr>
        <w:t>Indien voor deze diensten</w:t>
      </w:r>
      <w:r>
        <w:rPr>
          <w:lang w:val="nl-NL"/>
        </w:rPr>
        <w:t>, met uitzondering van laden, lossen en soortgelijke activiteiten,</w:t>
      </w:r>
      <w:r w:rsidRPr="006E3F08">
        <w:rPr>
          <w:lang w:val="nl-NL"/>
        </w:rPr>
        <w:t xml:space="preserve"> d</w:t>
      </w:r>
      <w:r>
        <w:rPr>
          <w:lang w:val="nl-NL"/>
        </w:rPr>
        <w:t>e plaats van dienst in een andere lidstaat is dan de lidstaat waar aan de afnemer een BTW-identificatienummer is toegekend, dan is de plaats van dienst de plaats waar de afnemer een BTW-identificatienummer heeft. Deze regeling geldt ook voor de veredelingsdiensten.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Indien in artikel 6 Wet OB 1968 is bepaald dat de plaats van de dienst is waar de afnemer is gevestigd, kan de omzetbelasting verlegd worden op grond van art 12 Wet OB 1968 indien de afnemer een ondernemer of rechtspersoon/niet-ondernemer is.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hoofdregel van de wetgeving tot 1 januari 2010 sluit niet aan bij het doel van de heffing van omzetbelasting, namelijk het belasten van het verbruik waar het verbruik plaatsvindt. Tevens sluit de wetgeving tot 1 januari 2010 niet aan bij de eenvoud van het belastingstelsel. Ondernemers hebben te maken met administratieve lasten die kunnen worden opgelost. </w:t>
      </w:r>
      <w:r w:rsidRPr="00BE0D38">
        <w:rPr>
          <w:lang w:val="nl-NL"/>
        </w:rPr>
        <w:t>Bij prestaties aan andere ondernemers waarvan de prestatie onder een uitzonderingsregeling valt van artikel 6 Wet OB 1968 is de plaats van dienst</w:t>
      </w:r>
      <w:r>
        <w:rPr>
          <w:lang w:val="nl-NL"/>
        </w:rPr>
        <w:t xml:space="preserve"> vaak</w:t>
      </w:r>
      <w:r w:rsidRPr="00BE0D38">
        <w:rPr>
          <w:lang w:val="nl-NL"/>
        </w:rPr>
        <w:t xml:space="preserve"> de plaats waar de afnemer </w:t>
      </w:r>
      <w:r>
        <w:rPr>
          <w:lang w:val="nl-NL"/>
        </w:rPr>
        <w:t>is gevestigd</w:t>
      </w:r>
      <w:r w:rsidRPr="00BE0D38">
        <w:rPr>
          <w:lang w:val="nl-NL"/>
        </w:rPr>
        <w:t xml:space="preserv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Uitzonderingen op de hoofdregel zijn elektronische diensten, diensten verricht aan onroerend goed of restaurant- en cateringdiensten aan boord van een schip, vliegtuig of trein tijdens passagiersvervoer. De uitzondering voor elektronische diensten ziet op de elektronische diensten verricht voor een andere dan ondernemer die in een lidstaat is gevestigd en verricht door een ondernemer die zijn zetel van bedrijfsuitoefening buiten de Gemeenschap heeft gevestigd. Voor deze diensten is de plaats van dienst de plaats waar de andere dan ondernemer is gevestigd. Diensten verricht aan onroerend goed zijn belast in de lidstaat waar het onroerend goed is gelegen. De plaats van dienst van restaurant- en cateringdiensten aan boord van een schip, vliegtuig of trein tijdens passagiersvervoer is de plaats van vertrek van het passagiersvervoer. Vaak sluit dit aan bij de plaats waar de dienst wordt verbruikt, maar het kan ook voorkomen dat de plaats waar de dienst verbruikt wordt niet gelijk is aan de plaats waar de afnemer is gevestigd. </w:t>
      </w:r>
      <w:bookmarkEnd w:id="24"/>
      <w:r>
        <w:rPr>
          <w:lang w:val="nl-NL"/>
        </w:rPr>
        <w:t>De belastingheffing zal slechts plaatsvinden op de plaats waar de afnemer gevestigd is indien de afnemer een ondernemer is. Een prestatie verricht aan een particulier in een andere lidstaat zal belast worden in het land waar de dienstverlener is gevestigd.</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Het lijkt er op dat de diensten die onder de uitzonderingsregels vallen en belast zijn in de lidstaat waar de afnemers zijn gevestigd aansluiten bij het doel van de belastingheffing. Echter, het doel van de heffing van omzetbelasting is het belasten van het verbruik daar waar het verbruik plaatsvindt. De ondernemers verbruiken de dienst niet. Slechts de uiteindelijke consument verbruik de dienst. Diensten verricht direct aan de uiteindelijke consument zijn belast in de lidstaat waar de dienstverlener is gevestigd. Dit sluit niet aan bij het doel van de heffing van omzetbelasting. </w:t>
      </w:r>
    </w:p>
    <w:p w:rsidR="00A8672C" w:rsidRDefault="00A8672C" w:rsidP="00D4603A">
      <w:pPr>
        <w:spacing w:line="360" w:lineRule="auto"/>
        <w:jc w:val="both"/>
        <w:rPr>
          <w:lang w:val="nl-NL"/>
        </w:rPr>
      </w:pPr>
    </w:p>
    <w:p w:rsidR="00A8672C" w:rsidRDefault="00A8672C" w:rsidP="00D4603A">
      <w:pPr>
        <w:spacing w:line="360" w:lineRule="auto"/>
        <w:jc w:val="both"/>
        <w:rPr>
          <w:b/>
          <w:bCs/>
          <w:lang w:val="nl-NL"/>
        </w:rPr>
      </w:pPr>
      <w:r>
        <w:rPr>
          <w:lang w:val="nl-NL"/>
        </w:rPr>
        <w:t>Niet alleen het doel van de heffing van omzetbelasting is van belang, maar ook de eenvoud van het systeem. De uitzonderingsregels sluiten wel beter aan bij de eenvoud van het systeem. Onder de uitzonderingsregels is de dienst belast in de lidstaat waar de afnemer is gevestigd. Vervolgens kan de dienstverlener de BTW verleggen naar de afnemer, indien de lidstaat van de afnemer een verleggingsregeling kent. De afnemer moet de BTW in zijn eigen lidstaat aangeven en kan de BTW in zijn eigen lidstaat weer terugvragen. De dienstverlener en de afnemer hoeven zich beide niet in een andere lidstaat te registreren om de BTW te kunnen afdragen en/of terugvragen. Dit zorgt voor een aanzienlijke lastenvermindering. Voor de aansluiting bij het doel van de heffing van omzetbelasting maakt het geen verschil. De ondernemer verbruikt de dienst niet. Het maakt geen verschil waar de dienst is belast. Tevens kan de ondernemer deze BTW weer terugvragen en komt de BTW per saldo uit op nihil.</w:t>
      </w:r>
    </w:p>
    <w:p w:rsidR="00A8672C" w:rsidRDefault="00A8672C" w:rsidP="00D4603A">
      <w:pPr>
        <w:spacing w:line="360" w:lineRule="auto"/>
        <w:jc w:val="both"/>
        <w:rPr>
          <w:lang w:val="nl-NL"/>
        </w:rPr>
      </w:pPr>
      <w:bookmarkStart w:id="25" w:name="_Toc231111856"/>
    </w:p>
    <w:p w:rsidR="00A8672C" w:rsidRDefault="00A8672C" w:rsidP="00D4603A">
      <w:pPr>
        <w:pStyle w:val="Heading2"/>
        <w:jc w:val="both"/>
        <w:rPr>
          <w:szCs w:val="24"/>
        </w:rPr>
      </w:pPr>
      <w:bookmarkStart w:id="26" w:name="_Toc260928097"/>
      <w:r>
        <w:rPr>
          <w:szCs w:val="24"/>
        </w:rPr>
        <w:t xml:space="preserve">4.3 </w:t>
      </w:r>
      <w:r w:rsidRPr="00C74A9A">
        <w:rPr>
          <w:szCs w:val="24"/>
        </w:rPr>
        <w:t xml:space="preserve"> </w:t>
      </w:r>
      <w:r>
        <w:rPr>
          <w:szCs w:val="24"/>
        </w:rPr>
        <w:t>Hoe wordt er belast?</w:t>
      </w:r>
      <w:bookmarkEnd w:id="26"/>
    </w:p>
    <w:p w:rsidR="00A8672C" w:rsidRDefault="00A8672C" w:rsidP="00D4603A">
      <w:pPr>
        <w:spacing w:line="360" w:lineRule="auto"/>
        <w:jc w:val="both"/>
        <w:rPr>
          <w:lang w:val="nl-NL"/>
        </w:rPr>
      </w:pPr>
      <w:r>
        <w:rPr>
          <w:lang w:val="nl-NL"/>
        </w:rPr>
        <w:t>In artikel 12 lid 1Wet OB 1968 is bepaald dat de dienstverlener de omzetbelasting dient af te dragen. De uitzondering hierop staat in artikel 12 lid 2, 3 en 4 Wet OB 1968. Hierin is de verleggingsregeling opgenomen. Deze verleggingsregeling kan alleen worden toegepast door dienstverleners die aan een ondernemer of een rechtspersoon/niet-ondernemer in een andere lidstaat presteren. De Nederlandse ondernemer dient op zijn factuur aan te geven dat de omzetbelasting is verlegd en het BTW identiteitsnummer van de afnemer te vermelden. De afnemer dient de omzetbelasting in zijn lidstaat aan te geven en af te dragen. Vervolgens kan de afnemer deze voorbelasting weer aftrekken indien hij belast presteert. De verleggingsregeling kan niet toegepast worden bij diensten verricht aan particulieren. Voor diensten verricht aan particulieren en rechtspersonen/niet-ondernemers dient de dienstverlener de omzetbelasting af te dragen in de lidstaat waar de dienstverlener is gevestigd. Dit sluit niet aan bij het doel van de heffing van omzetbelasting, namelijk het belasten van het verbruik waar het verbruik plaatsvindt. Wel sluit dit aan bij de eenvoud van het belastingsysteem. Indien de plaats van dienst van het verrichten van een dienst aan een particulier of een rechtspersoon/niet-ondernemer belast is in het land van de afnemer, moet de dienstverlener zich registreren in het land van de afnemer om de BTW te kunnen afdragen. Indien een ondernemer veel diensten verricht aan particulieren en/of rechtspersonen/niet-ondernemers in verschillende lidstaten, is dit een aanzienlijke administratieve last voor de dienstverlener. Nu hij de omzetbelasting in één aangifte in zijn eigen land kan aangeven is de administratieve last voor de dienstverlener aanzienlijk lager. De afnemer mag de voorbelasting op de dienst niet aftrekken, daarom zal er geen extra administratieve last ontstaan voor de afnemer.</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In de artikelen 28q tot en met 28 t Wet OB 1968 en de artikelen 359 tot en met 369 BTW-richtlijn is een regeling opgenomen met betrekking tot niet in de Gemeenschap gevestigde ondernemers die elektronische diensten verrichten aan anderen dan ondernemers die in de Gemeenschap zijn gevestigd. Deze ondernemers kunnen gebruik maken van een éénloketsysteem. In bijlage II van de BTW-richtlijn is een indicatieve lijst van langs de elektronische weg verrichtte diensten opgenomen. Als elektronische diensten worden aangemerkt:</w:t>
      </w:r>
    </w:p>
    <w:p w:rsidR="00A8672C" w:rsidRPr="00A0381A" w:rsidRDefault="00A8672C" w:rsidP="00A0381A">
      <w:pPr>
        <w:numPr>
          <w:ilvl w:val="0"/>
          <w:numId w:val="44"/>
        </w:numPr>
        <w:spacing w:line="360" w:lineRule="auto"/>
        <w:rPr>
          <w:lang w:val="nl-NL"/>
        </w:rPr>
      </w:pPr>
      <w:r>
        <w:rPr>
          <w:lang w:val="nl-NL"/>
        </w:rPr>
        <w:t>‘</w:t>
      </w:r>
      <w:r w:rsidRPr="00A0381A">
        <w:rPr>
          <w:lang w:val="nl-NL"/>
        </w:rPr>
        <w:t>het leveren en onderbrengen van websites, het onderhoud op afstand van programma's en uitrustingen;</w:t>
      </w:r>
    </w:p>
    <w:p w:rsidR="00A8672C" w:rsidRPr="00A0381A" w:rsidRDefault="00A8672C" w:rsidP="00A0381A">
      <w:pPr>
        <w:numPr>
          <w:ilvl w:val="0"/>
          <w:numId w:val="44"/>
        </w:numPr>
        <w:spacing w:line="360" w:lineRule="auto"/>
        <w:rPr>
          <w:lang w:val="nl-NL"/>
        </w:rPr>
      </w:pPr>
      <w:r w:rsidRPr="00A0381A">
        <w:rPr>
          <w:lang w:val="nl-NL"/>
        </w:rPr>
        <w:t>de levering van software en de bijwerking ervan;</w:t>
      </w:r>
    </w:p>
    <w:p w:rsidR="00A8672C" w:rsidRPr="00A0381A" w:rsidRDefault="00A8672C" w:rsidP="00A0381A">
      <w:pPr>
        <w:numPr>
          <w:ilvl w:val="0"/>
          <w:numId w:val="44"/>
        </w:numPr>
        <w:spacing w:line="360" w:lineRule="auto"/>
        <w:rPr>
          <w:lang w:val="nl-NL"/>
        </w:rPr>
      </w:pPr>
      <w:r w:rsidRPr="00A0381A">
        <w:rPr>
          <w:lang w:val="nl-NL"/>
        </w:rPr>
        <w:t>de levering van beelden, geschreven stukken en informatie en de terbeschikkingstelling van databanken;</w:t>
      </w:r>
    </w:p>
    <w:p w:rsidR="00A8672C" w:rsidRPr="00A0381A" w:rsidRDefault="00A8672C" w:rsidP="00A0381A">
      <w:pPr>
        <w:numPr>
          <w:ilvl w:val="0"/>
          <w:numId w:val="44"/>
        </w:numPr>
        <w:spacing w:line="360" w:lineRule="auto"/>
        <w:rPr>
          <w:lang w:val="nl-NL"/>
        </w:rPr>
      </w:pPr>
      <w:r w:rsidRPr="00A0381A">
        <w:rPr>
          <w:lang w:val="nl-NL"/>
        </w:rPr>
        <w:t>de levering van muziek of films, van spelen, met inbegrip van kans- of gokspelen, en van uitzendingen of manifestaties op het gebied van politiek, cultuur, kunst, sport, wetenschappen of ontspanning;</w:t>
      </w:r>
    </w:p>
    <w:p w:rsidR="00A8672C" w:rsidRDefault="00A8672C" w:rsidP="00A0381A">
      <w:pPr>
        <w:numPr>
          <w:ilvl w:val="0"/>
          <w:numId w:val="44"/>
        </w:numPr>
        <w:spacing w:line="360" w:lineRule="auto"/>
        <w:rPr>
          <w:lang w:val="nl-NL"/>
        </w:rPr>
      </w:pPr>
      <w:r w:rsidRPr="00A0381A">
        <w:rPr>
          <w:lang w:val="nl-NL"/>
        </w:rPr>
        <w:t>de levering van onderwijs op afstand.</w:t>
      </w:r>
      <w:r>
        <w:rPr>
          <w:lang w:val="nl-NL"/>
        </w:rPr>
        <w:t>’</w:t>
      </w:r>
    </w:p>
    <w:p w:rsidR="00A8672C" w:rsidRDefault="00A8672C" w:rsidP="00A0381A">
      <w:pPr>
        <w:spacing w:line="360" w:lineRule="auto"/>
        <w:rPr>
          <w:lang w:val="nl-NL"/>
        </w:rPr>
      </w:pPr>
    </w:p>
    <w:p w:rsidR="00A8672C" w:rsidRDefault="00A8672C" w:rsidP="00A0381A">
      <w:pPr>
        <w:spacing w:line="360" w:lineRule="auto"/>
        <w:rPr>
          <w:lang w:val="nl-NL"/>
        </w:rPr>
      </w:pPr>
      <w:r>
        <w:rPr>
          <w:lang w:val="nl-NL"/>
        </w:rPr>
        <w:t xml:space="preserve">Dit is een indicatieve lijst met betrekking tot de definitie van elektronische diensten. Derhalve is dit geen limitatieve opsomming. Er is ruimte voor de nationale rechter en eventueel het Hof van Justitie EG om het begrip nader in te vullen.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Om gebruik te maken van het éénloketsysteem kan de niet in de Gemeenschap gevestigde ondernemer een lidstaat kiezen om zich te laten registreren voor de heffing van alle in de Gemeenschap verschuldigde omzetbelasting.</w:t>
      </w:r>
      <w:r w:rsidRPr="00BA7994">
        <w:rPr>
          <w:lang w:val="nl-NL"/>
        </w:rPr>
        <w:t xml:space="preserve"> </w:t>
      </w:r>
      <w:r>
        <w:rPr>
          <w:lang w:val="nl-NL"/>
        </w:rPr>
        <w:t xml:space="preserve">Hierbij kan de presterende ondernemer alle omzetbelasting op één aangifte aangeven in de lidstaat waar hij geïdentificeerd is. In deze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 De lidstaten dienen deze omzetbelasting onderling met elkaar te verrekenen. De ondernemer kan bijvoorbeeld kiezen om zich te laten registreren in de lidstaat waarvan hij de taal spreekt.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Om zich te kunnen registreren dient de ondernemer de volgende gegevens te verstrekken:</w:t>
      </w:r>
    </w:p>
    <w:p w:rsidR="00A8672C" w:rsidRPr="00A1226D" w:rsidRDefault="00A8672C" w:rsidP="00D4603A">
      <w:pPr>
        <w:pStyle w:val="ListParagraph"/>
        <w:numPr>
          <w:ilvl w:val="0"/>
          <w:numId w:val="42"/>
        </w:numPr>
        <w:spacing w:line="360" w:lineRule="auto"/>
        <w:jc w:val="both"/>
        <w:rPr>
          <w:rFonts w:ascii="Times New Roman" w:hAnsi="Times New Roman"/>
          <w:sz w:val="24"/>
          <w:szCs w:val="24"/>
        </w:rPr>
      </w:pPr>
      <w:r w:rsidRPr="00A1226D">
        <w:rPr>
          <w:rFonts w:ascii="Times New Roman" w:hAnsi="Times New Roman"/>
          <w:sz w:val="24"/>
          <w:szCs w:val="24"/>
        </w:rPr>
        <w:t>Adresgegevens;</w:t>
      </w:r>
    </w:p>
    <w:p w:rsidR="00A8672C" w:rsidRPr="00A1226D" w:rsidRDefault="00A8672C" w:rsidP="00D4603A">
      <w:pPr>
        <w:pStyle w:val="ListParagraph"/>
        <w:numPr>
          <w:ilvl w:val="0"/>
          <w:numId w:val="42"/>
        </w:numPr>
        <w:spacing w:line="360" w:lineRule="auto"/>
        <w:jc w:val="both"/>
        <w:rPr>
          <w:rFonts w:ascii="Times New Roman" w:hAnsi="Times New Roman"/>
          <w:sz w:val="24"/>
          <w:szCs w:val="24"/>
        </w:rPr>
      </w:pPr>
      <w:r w:rsidRPr="00A1226D">
        <w:rPr>
          <w:rFonts w:ascii="Times New Roman" w:hAnsi="Times New Roman"/>
          <w:sz w:val="24"/>
          <w:szCs w:val="24"/>
        </w:rPr>
        <w:t>Belastingnummer dat door zijn nationale belastingautoriteit is toegekend; en</w:t>
      </w:r>
    </w:p>
    <w:p w:rsidR="00A8672C" w:rsidRPr="00A1226D" w:rsidRDefault="00A8672C" w:rsidP="00D4603A">
      <w:pPr>
        <w:pStyle w:val="ListParagraph"/>
        <w:numPr>
          <w:ilvl w:val="0"/>
          <w:numId w:val="42"/>
        </w:numPr>
        <w:spacing w:line="360" w:lineRule="auto"/>
        <w:jc w:val="both"/>
        <w:rPr>
          <w:rFonts w:ascii="Times New Roman" w:hAnsi="Times New Roman"/>
          <w:sz w:val="24"/>
          <w:szCs w:val="24"/>
        </w:rPr>
      </w:pPr>
      <w:r w:rsidRPr="00A1226D">
        <w:rPr>
          <w:rFonts w:ascii="Times New Roman" w:hAnsi="Times New Roman"/>
          <w:sz w:val="24"/>
          <w:szCs w:val="24"/>
        </w:rPr>
        <w:t>Verklaring dat hij niet reeds in een andere lidstaat is geïdentificeerd voor de belastingheffing op grond van de BTW-richtlijn.</w:t>
      </w:r>
    </w:p>
    <w:p w:rsidR="00A8672C" w:rsidRDefault="00A8672C" w:rsidP="00D4603A">
      <w:pPr>
        <w:spacing w:line="360" w:lineRule="auto"/>
        <w:jc w:val="both"/>
        <w:rPr>
          <w:lang w:val="nl-NL"/>
        </w:rPr>
      </w:pPr>
      <w:r>
        <w:rPr>
          <w:lang w:val="nl-NL"/>
        </w:rPr>
        <w:t xml:space="preserve">Indien de ondernemer niet voldoet aan zijn identificatievoorwaarden, kan de lidstaat de identificatie weigeren en/of beëindigen. Tevens is er een administratieplicht verbonden aan deze bijzondere regeling. De ondernemer dient gedurende 10 jaar na afloop van het jaar waarin de dienst is verricht zijn administratie te bewaren. Tevens bestaat de verplichting voor de ondernemer om deze administratie, indien gevraagd, elektronisch ter beschikking te stellen. De lidstaat van identificatie is verplicht de andere lidstaten te voorzien van de benodigde gegevens inzake de identificatie.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Indien de ondernemer zich laat identificeren in een van de lidstaten kan hij niet daarnaast nog gebruik maken van de normale regelgeving. Het éénloketsysteem geldt voor alle elektronische diensten verricht binnen de Gemeenschap. Op basis van deze bijzondere regeling dient de ondernemer per kwartaal een melding elektronische diensten te doen in de lidstaat waar hij geïdentificeerd is, ook indien hij in het betreffende kwartaal geen elektronische diensten binnen de Gemeenschap heeft verricht. Deze melding elektronische diensten dient uiterlijk 20 dagen na het einde van het tijdvak gedaan te worden.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de teruggaaf van voorbelasting door de ondernemer in de verschillende lidstaten binnen de Gemeenschap kan geen gebruik gemaakt worden van deze bijzondere regeling. De ondernemer dient de voorbelasting in de verschillende lidstaten afzonderlijk terug te vragen.</w:t>
      </w:r>
    </w:p>
    <w:p w:rsidR="00A8672C" w:rsidRDefault="00A8672C" w:rsidP="00D4603A">
      <w:pPr>
        <w:spacing w:line="360" w:lineRule="auto"/>
        <w:jc w:val="both"/>
        <w:rPr>
          <w:b/>
          <w:bCs/>
          <w:lang w:val="nl-NL"/>
        </w:rPr>
      </w:pPr>
      <w:r w:rsidRPr="001013B9">
        <w:rPr>
          <w:lang w:val="nl-NL"/>
        </w:rPr>
        <w:br w:type="page"/>
      </w:r>
    </w:p>
    <w:p w:rsidR="00A8672C" w:rsidRDefault="00A8672C" w:rsidP="00D4603A">
      <w:pPr>
        <w:pStyle w:val="Heading1"/>
        <w:jc w:val="both"/>
        <w:rPr>
          <w:szCs w:val="24"/>
        </w:rPr>
      </w:pPr>
      <w:bookmarkStart w:id="27" w:name="_Toc260928098"/>
      <w:r w:rsidRPr="00C74A9A">
        <w:rPr>
          <w:szCs w:val="24"/>
        </w:rPr>
        <w:t xml:space="preserve">Hoofdstuk 5: </w:t>
      </w:r>
      <w:bookmarkEnd w:id="25"/>
      <w:r>
        <w:rPr>
          <w:szCs w:val="24"/>
        </w:rPr>
        <w:t>Huidige situatie (vanaf 1 januari 2010)</w:t>
      </w:r>
      <w:bookmarkEnd w:id="27"/>
    </w:p>
    <w:p w:rsidR="00A8672C" w:rsidRPr="00CC27F5" w:rsidRDefault="00A8672C" w:rsidP="00D4603A">
      <w:pPr>
        <w:spacing w:line="360" w:lineRule="auto"/>
        <w:jc w:val="both"/>
        <w:rPr>
          <w:lang w:val="nl-NL"/>
        </w:rPr>
      </w:pPr>
    </w:p>
    <w:p w:rsidR="00A8672C" w:rsidRDefault="00A8672C" w:rsidP="00D4603A">
      <w:pPr>
        <w:pStyle w:val="Heading2"/>
        <w:jc w:val="both"/>
        <w:rPr>
          <w:szCs w:val="24"/>
        </w:rPr>
      </w:pPr>
      <w:bookmarkStart w:id="28" w:name="_Toc231111857"/>
      <w:bookmarkStart w:id="29" w:name="_Toc260928099"/>
      <w:r w:rsidRPr="00C74A9A">
        <w:rPr>
          <w:szCs w:val="24"/>
        </w:rPr>
        <w:t xml:space="preserve">5.1 </w:t>
      </w:r>
      <w:bookmarkEnd w:id="28"/>
      <w:r>
        <w:rPr>
          <w:szCs w:val="24"/>
        </w:rPr>
        <w:t>Wat wordt er belast?</w:t>
      </w:r>
      <w:bookmarkEnd w:id="29"/>
    </w:p>
    <w:p w:rsidR="00A8672C" w:rsidRDefault="00A8672C" w:rsidP="00D4603A">
      <w:pPr>
        <w:spacing w:line="360" w:lineRule="auto"/>
        <w:jc w:val="both"/>
        <w:rPr>
          <w:lang w:val="nl-NL"/>
        </w:rPr>
      </w:pPr>
      <w:r>
        <w:rPr>
          <w:lang w:val="nl-NL"/>
        </w:rPr>
        <w:t>Bij de implementatie van de BTW-richtlijn per 1 januari 2010 is geen verandering aangebracht van wat er wordt belast. In de situatie tot 1 januari 2010 worden de diensten belast. De maatstaf van heffing is de werkelijke vergoeding voor de dienst. Bij een privéonttrekking van een dienst wordt de kostprijs van de dienst als heffingsmaatstaf gehanteerd. Omdat er geen wijzingen in de maatstaf van heffing plaatsvinden verwijs ik voor de behandeling terug naar paragraaf 4.1.</w:t>
      </w:r>
    </w:p>
    <w:p w:rsidR="00A8672C" w:rsidRPr="008C6831" w:rsidRDefault="00A8672C" w:rsidP="00D4603A">
      <w:pPr>
        <w:spacing w:line="360" w:lineRule="auto"/>
        <w:jc w:val="both"/>
        <w:rPr>
          <w:lang w:val="nl-NL"/>
        </w:rPr>
      </w:pPr>
    </w:p>
    <w:p w:rsidR="00A8672C" w:rsidRPr="00CA44BC" w:rsidRDefault="00A8672C" w:rsidP="00D4603A">
      <w:pPr>
        <w:pStyle w:val="Heading2"/>
        <w:jc w:val="both"/>
      </w:pPr>
      <w:bookmarkStart w:id="30" w:name="_Toc260928100"/>
      <w:r>
        <w:t>5.2 Waar wordt er belast?</w:t>
      </w:r>
      <w:bookmarkEnd w:id="30"/>
    </w:p>
    <w:p w:rsidR="00A8672C" w:rsidRDefault="00A8672C" w:rsidP="00D4603A">
      <w:pPr>
        <w:spacing w:line="360" w:lineRule="auto"/>
        <w:jc w:val="both"/>
        <w:rPr>
          <w:lang w:val="nl-NL"/>
        </w:rPr>
      </w:pPr>
      <w:r>
        <w:rPr>
          <w:lang w:val="nl-NL"/>
        </w:rPr>
        <w:t xml:space="preserve">Per 1 januari 2010 zijn de nieuwe regels betreffende de plaats van dienst in werking getreden. Er dient nu een splitsing gemaakt te worden tussen B2C diensten en B2B diensten. De regelgeving met betrekking tot de B2C diensten blijft gelijk aan de tot 1 januari 2010 geldende regelgeving. De plaats van dienst is de plaats waar de dienstverlener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regelgeving met betrekking tot de B2B diensten verandert wel. De hoofdregel voor B2B diensten is vanaf 1 januari 2010 dat de plaats van dienst is de plaats waar de afnemer is gevestigd. Dit is het tegenovergestelde van de huidige regelgeving. Door de nieuwe hoofdregel lijkt het zo dat de nieuwe wetgeving beter aansluit bij het doel van de heffing van omzetbelasting, namelijk heffen over het verbruik daar waar het verbruik plaatsvindt. Deze nieuwe hoofdregel geldt echter alleen voor B2B transacties. Ondernemers verbruiken de dienst niet, slechts de uiteindelijke consument verbruikt de dienst. De wijziging van de plaats van dienst voor B2B transacties heeft geen effect op het doel van de heffing van omzetbelasting. Aangezien de hoofdregel met betrekking tot B2C diensten niet is gewijzigd kan gesteld worden dat de wetswijziging niet tot doel had om beter aan te sluiten bij het doel van de heffing van omzetbelasting. Deze nieuwe hoofdregel sluit wel beter aan bij de eenvoud van de heffing van omzetbelasting. Door de toepassing van de nieuwe hoofdregel is bij grensoverschrijdende diensten automatisch sprake van verlegging van de omzetbelasting naar de afnemer. In de situatie tot 1 januari 2010 bestond de mogelijkheid tot verlegging van omzetbelasting bij grensoverschrijdende diensten naar de afnemer/ondernemer reeds. De wetswijziging heeft tot doel de heffing van omzetbelasting te vereenvoudigen en de administratieve lasten te doen afnemen. Eenvoud en neutraliteit van het systeem zijn van groot belang, de wijzigingen per 1 januari 2010 hebben gezorgd voor een eenvoudiger systeem en de afname van de administratieve lasten.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Uitzonderingen op de hoofdregel zijn:</w:t>
      </w:r>
    </w:p>
    <w:tbl>
      <w:tblPr>
        <w:tblW w:w="9180" w:type="dxa"/>
        <w:tblInd w:w="55" w:type="dxa"/>
        <w:tblCellMar>
          <w:left w:w="70" w:type="dxa"/>
          <w:right w:w="70" w:type="dxa"/>
        </w:tblCellMar>
        <w:tblLook w:val="00A0"/>
      </w:tblPr>
      <w:tblGrid>
        <w:gridCol w:w="380"/>
        <w:gridCol w:w="4603"/>
        <w:gridCol w:w="358"/>
        <w:gridCol w:w="3839"/>
      </w:tblGrid>
      <w:tr w:rsidR="00A8672C" w:rsidRPr="00AD02F5" w:rsidTr="00CF6498">
        <w:trPr>
          <w:trHeight w:val="630"/>
        </w:trPr>
        <w:tc>
          <w:tcPr>
            <w:tcW w:w="340" w:type="dxa"/>
            <w:tcBorders>
              <w:top w:val="single" w:sz="4" w:space="0" w:color="auto"/>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single" w:sz="4" w:space="0" w:color="auto"/>
              <w:left w:val="nil"/>
              <w:bottom w:val="nil"/>
              <w:right w:val="nil"/>
            </w:tcBorders>
          </w:tcPr>
          <w:p w:rsidR="00A8672C" w:rsidRPr="00CF6498" w:rsidRDefault="00A8672C">
            <w:pPr>
              <w:rPr>
                <w:color w:val="000000"/>
                <w:lang w:val="nl-NL"/>
              </w:rPr>
            </w:pPr>
            <w:r w:rsidRPr="00CF6498">
              <w:rPr>
                <w:rFonts w:cs="Symbol"/>
                <w:color w:val="000000"/>
                <w:lang w:val="nl-NL"/>
              </w:rPr>
              <w:t xml:space="preserve">Diensten verricht voor andere dan ondernemer, door tussenpersonen </w:t>
            </w:r>
          </w:p>
        </w:tc>
        <w:tc>
          <w:tcPr>
            <w:tcW w:w="320" w:type="dxa"/>
            <w:tcBorders>
              <w:top w:val="single" w:sz="4" w:space="0" w:color="auto"/>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single" w:sz="4" w:space="0" w:color="auto"/>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van de onderliggende handeling;</w:t>
            </w:r>
          </w:p>
        </w:tc>
      </w:tr>
      <w:tr w:rsidR="00A8672C" w:rsidRPr="00AD02F5" w:rsidTr="00CF6498">
        <w:trPr>
          <w:trHeight w:val="630"/>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Diensten met betrekking tot onroerende zaken</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het onroerend goed gelegen is;</w:t>
            </w:r>
          </w:p>
        </w:tc>
      </w:tr>
      <w:tr w:rsidR="00A8672C" w:rsidRPr="00AD02F5" w:rsidTr="00CF6498">
        <w:trPr>
          <w:trHeight w:val="630"/>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 xml:space="preserve">Diensten met betrekking tot personenvervoer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het vervoer daadwerkelijk plaatsvindt;</w:t>
            </w:r>
          </w:p>
        </w:tc>
      </w:tr>
      <w:tr w:rsidR="00A8672C" w:rsidRPr="00AD02F5" w:rsidTr="00CF6498">
        <w:trPr>
          <w:trHeight w:val="945"/>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 xml:space="preserve">Diensten met betrekking tot goederenvervoer voor andere dan ondernemers dan intracommunautair goederenvervoer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het vervoer daadwerkelijk plaatsvindt;</w:t>
            </w:r>
          </w:p>
        </w:tc>
      </w:tr>
      <w:tr w:rsidR="00A8672C" w:rsidTr="00BE607E">
        <w:trPr>
          <w:trHeight w:val="1023"/>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 xml:space="preserve">Diensten met betrekking tot intracommunautair goederenvervoer voor andere dan ondernemers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Default="00A8672C">
            <w:pPr>
              <w:rPr>
                <w:color w:val="000000"/>
              </w:rPr>
            </w:pPr>
            <w:r>
              <w:rPr>
                <w:color w:val="000000"/>
              </w:rPr>
              <w:t>plaats van vertrek;</w:t>
            </w:r>
          </w:p>
        </w:tc>
      </w:tr>
      <w:tr w:rsidR="00A8672C" w:rsidRPr="00AD02F5" w:rsidTr="00BE607E">
        <w:trPr>
          <w:trHeight w:val="1006"/>
        </w:trPr>
        <w:tc>
          <w:tcPr>
            <w:tcW w:w="340" w:type="dxa"/>
            <w:tcBorders>
              <w:top w:val="nil"/>
              <w:left w:val="single" w:sz="4" w:space="0" w:color="auto"/>
              <w:bottom w:val="nil"/>
              <w:right w:val="nil"/>
            </w:tcBorders>
          </w:tcPr>
          <w:p w:rsidR="00A8672C" w:rsidRDefault="00A8672C">
            <w:pPr>
              <w:rPr>
                <w:color w:val="000000"/>
              </w:rPr>
            </w:pPr>
            <w:r>
              <w:rPr>
                <w:color w:val="000000"/>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Culturele, artistieke, sportieve, wetenschappelijke, educatieve en vermakelijkheids-diensten</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 xml:space="preserve">plaats waar de activiteiten daadwerkelijk plaatsvinden; </w:t>
            </w:r>
          </w:p>
        </w:tc>
      </w:tr>
      <w:tr w:rsidR="00A8672C" w:rsidRPr="00AD02F5" w:rsidTr="00CF6498">
        <w:trPr>
          <w:trHeight w:val="1260"/>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 xml:space="preserve">Met vervoer samenhangende diensten, deskundigenonderzoeken en werkzaamheden met betrekking tot roerende zaken voor andere dan ondernemers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de activiteiten daadwerkelijk plaatsvinden;</w:t>
            </w:r>
          </w:p>
        </w:tc>
      </w:tr>
      <w:tr w:rsidR="00A8672C" w:rsidRPr="00AD02F5" w:rsidTr="00CF6498">
        <w:trPr>
          <w:trHeight w:val="630"/>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Default="00A8672C">
            <w:pPr>
              <w:rPr>
                <w:color w:val="000000"/>
              </w:rPr>
            </w:pPr>
            <w:r>
              <w:rPr>
                <w:rFonts w:cs="Symbol"/>
                <w:color w:val="000000"/>
              </w:rPr>
              <w:t xml:space="preserve">Restaurant- en cateringdiensten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de dienst daadwerkelijk wordt verricht;</w:t>
            </w:r>
          </w:p>
        </w:tc>
      </w:tr>
      <w:tr w:rsidR="00A8672C" w:rsidTr="00BE607E">
        <w:trPr>
          <w:trHeight w:val="937"/>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Restaurant- en cateringdiensten aan boord van een schip, vliegtuig of trein binnen de Gemeenschap</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Default="00A8672C">
            <w:pPr>
              <w:rPr>
                <w:color w:val="000000"/>
              </w:rPr>
            </w:pPr>
            <w:r>
              <w:rPr>
                <w:color w:val="000000"/>
              </w:rPr>
              <w:t>plaats van vertrek;</w:t>
            </w:r>
          </w:p>
        </w:tc>
      </w:tr>
      <w:tr w:rsidR="00A8672C" w:rsidRPr="00AD02F5" w:rsidTr="00CF6498">
        <w:trPr>
          <w:trHeight w:val="630"/>
        </w:trPr>
        <w:tc>
          <w:tcPr>
            <w:tcW w:w="340" w:type="dxa"/>
            <w:tcBorders>
              <w:top w:val="nil"/>
              <w:left w:val="single" w:sz="4" w:space="0" w:color="auto"/>
              <w:bottom w:val="nil"/>
              <w:right w:val="nil"/>
            </w:tcBorders>
          </w:tcPr>
          <w:p w:rsidR="00A8672C" w:rsidRDefault="00A8672C">
            <w:pPr>
              <w:rPr>
                <w:color w:val="000000"/>
              </w:rPr>
            </w:pPr>
            <w:r>
              <w:rPr>
                <w:color w:val="000000"/>
              </w:rPr>
              <w:t>  </w:t>
            </w:r>
            <w:r>
              <w:rPr>
                <w:rFonts w:ascii="Calibri" w:hAnsi="Calibri"/>
                <w:color w:val="000000"/>
              </w:rPr>
              <w:t>•</w:t>
            </w:r>
          </w:p>
        </w:tc>
        <w:tc>
          <w:tcPr>
            <w:tcW w:w="4640" w:type="dxa"/>
            <w:tcBorders>
              <w:top w:val="nil"/>
              <w:left w:val="nil"/>
              <w:bottom w:val="nil"/>
              <w:right w:val="nil"/>
            </w:tcBorders>
          </w:tcPr>
          <w:p w:rsidR="00A8672C" w:rsidRDefault="00A8672C">
            <w:pPr>
              <w:rPr>
                <w:color w:val="000000"/>
              </w:rPr>
            </w:pPr>
            <w:r>
              <w:rPr>
                <w:rFonts w:cs="Symbol"/>
                <w:color w:val="000000"/>
              </w:rPr>
              <w:t>Kortdurende verhuur van vervoermiddelen</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het vervoermiddel ter beschikking wordt gesteld;</w:t>
            </w:r>
          </w:p>
        </w:tc>
      </w:tr>
      <w:tr w:rsidR="00A8672C" w:rsidRPr="00AD02F5" w:rsidTr="00BE607E">
        <w:trPr>
          <w:trHeight w:val="1215"/>
        </w:trPr>
        <w:tc>
          <w:tcPr>
            <w:tcW w:w="340" w:type="dxa"/>
            <w:tcBorders>
              <w:top w:val="nil"/>
              <w:left w:val="single" w:sz="4" w:space="0" w:color="auto"/>
              <w:bottom w:val="nil"/>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nil"/>
              <w:right w:val="nil"/>
            </w:tcBorders>
          </w:tcPr>
          <w:p w:rsidR="00A8672C" w:rsidRPr="00CF6498" w:rsidRDefault="00A8672C">
            <w:pPr>
              <w:rPr>
                <w:color w:val="000000"/>
                <w:lang w:val="nl-NL"/>
              </w:rPr>
            </w:pPr>
            <w:r w:rsidRPr="00CF6498">
              <w:rPr>
                <w:rFonts w:cs="Symbol"/>
                <w:color w:val="000000"/>
                <w:lang w:val="nl-NL"/>
              </w:rPr>
              <w:t xml:space="preserve">Elektronische diensten verricht voor een andere dan ondernemer binnen de Gemeenschap verricht door een ondernemer van buiten de Gemeenschap </w:t>
            </w:r>
          </w:p>
        </w:tc>
        <w:tc>
          <w:tcPr>
            <w:tcW w:w="320" w:type="dxa"/>
            <w:tcBorders>
              <w:top w:val="nil"/>
              <w:left w:val="nil"/>
              <w:bottom w:val="nil"/>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nil"/>
              <w:right w:val="single" w:sz="4" w:space="0" w:color="auto"/>
            </w:tcBorders>
            <w:vAlign w:val="center"/>
          </w:tcPr>
          <w:p w:rsidR="00A8672C" w:rsidRPr="00CF6498" w:rsidRDefault="00A8672C">
            <w:pPr>
              <w:rPr>
                <w:color w:val="000000"/>
                <w:lang w:val="nl-NL"/>
              </w:rPr>
            </w:pPr>
            <w:r w:rsidRPr="00CF6498">
              <w:rPr>
                <w:color w:val="000000"/>
                <w:lang w:val="nl-NL"/>
              </w:rPr>
              <w:t>plaats waar de afnemer woont of is gevestigd;</w:t>
            </w:r>
          </w:p>
        </w:tc>
      </w:tr>
      <w:tr w:rsidR="00A8672C" w:rsidRPr="00AD02F5" w:rsidTr="00CF6498">
        <w:trPr>
          <w:trHeight w:val="630"/>
        </w:trPr>
        <w:tc>
          <w:tcPr>
            <w:tcW w:w="340" w:type="dxa"/>
            <w:tcBorders>
              <w:top w:val="nil"/>
              <w:left w:val="single" w:sz="4" w:space="0" w:color="auto"/>
              <w:bottom w:val="single" w:sz="4" w:space="0" w:color="auto"/>
              <w:right w:val="nil"/>
            </w:tcBorders>
          </w:tcPr>
          <w:p w:rsidR="00A8672C" w:rsidRDefault="00A8672C">
            <w:pPr>
              <w:rPr>
                <w:color w:val="000000"/>
              </w:rPr>
            </w:pPr>
            <w:r w:rsidRPr="00CF6498">
              <w:rPr>
                <w:color w:val="000000"/>
                <w:lang w:val="nl-NL"/>
              </w:rPr>
              <w:t>  </w:t>
            </w:r>
            <w:r>
              <w:rPr>
                <w:rFonts w:ascii="Calibri" w:hAnsi="Calibri"/>
                <w:color w:val="000000"/>
              </w:rPr>
              <w:t>•</w:t>
            </w:r>
          </w:p>
        </w:tc>
        <w:tc>
          <w:tcPr>
            <w:tcW w:w="4640" w:type="dxa"/>
            <w:tcBorders>
              <w:top w:val="nil"/>
              <w:left w:val="nil"/>
              <w:bottom w:val="single" w:sz="4" w:space="0" w:color="auto"/>
              <w:right w:val="nil"/>
            </w:tcBorders>
          </w:tcPr>
          <w:p w:rsidR="00A8672C" w:rsidRPr="00CF6498" w:rsidRDefault="00A8672C">
            <w:pPr>
              <w:rPr>
                <w:color w:val="000000"/>
                <w:lang w:val="nl-NL"/>
              </w:rPr>
            </w:pPr>
            <w:r w:rsidRPr="00CF6498">
              <w:rPr>
                <w:rFonts w:cs="Symbol"/>
                <w:color w:val="000000"/>
                <w:lang w:val="nl-NL"/>
              </w:rPr>
              <w:t xml:space="preserve">Diensten verricht voor een andere dan ondernemer buiten de Gemeenschap </w:t>
            </w:r>
          </w:p>
        </w:tc>
        <w:tc>
          <w:tcPr>
            <w:tcW w:w="320" w:type="dxa"/>
            <w:tcBorders>
              <w:top w:val="nil"/>
              <w:left w:val="nil"/>
              <w:bottom w:val="single" w:sz="4" w:space="0" w:color="auto"/>
              <w:right w:val="nil"/>
            </w:tcBorders>
            <w:vAlign w:val="center"/>
          </w:tcPr>
          <w:p w:rsidR="00A8672C" w:rsidRDefault="00A8672C">
            <w:pPr>
              <w:rPr>
                <w:rFonts w:ascii="Calibri" w:hAnsi="Calibri"/>
                <w:b/>
                <w:bCs/>
                <w:color w:val="000000"/>
              </w:rPr>
            </w:pPr>
            <w:r>
              <w:rPr>
                <w:rFonts w:ascii="Calibri" w:hAnsi="Calibri"/>
                <w:b/>
                <w:bCs/>
                <w:color w:val="000000"/>
              </w:rPr>
              <w:t>→</w:t>
            </w:r>
          </w:p>
        </w:tc>
        <w:tc>
          <w:tcPr>
            <w:tcW w:w="3880" w:type="dxa"/>
            <w:tcBorders>
              <w:top w:val="nil"/>
              <w:left w:val="nil"/>
              <w:bottom w:val="single" w:sz="4" w:space="0" w:color="auto"/>
              <w:right w:val="single" w:sz="4" w:space="0" w:color="auto"/>
            </w:tcBorders>
            <w:vAlign w:val="center"/>
          </w:tcPr>
          <w:p w:rsidR="00A8672C" w:rsidRPr="00CF6498" w:rsidRDefault="00A8672C">
            <w:pPr>
              <w:rPr>
                <w:color w:val="000000"/>
                <w:lang w:val="nl-NL"/>
              </w:rPr>
            </w:pPr>
            <w:r w:rsidRPr="00CF6498">
              <w:rPr>
                <w:color w:val="000000"/>
                <w:lang w:val="nl-NL"/>
              </w:rPr>
              <w:t>plaats waar de afnemer woont of is gevestigd.</w:t>
            </w:r>
          </w:p>
        </w:tc>
      </w:tr>
    </w:tbl>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diensten verricht voor een andere dan ondernemer buiten de Gemeenschap waarvoor de plaats van dienst de plaats waar de afnemer woont of is gevestigd zijn: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r w:rsidRPr="00D06EE8">
        <w:rPr>
          <w:rFonts w:ascii="Times New Roman" w:hAnsi="Times New Roman"/>
          <w:sz w:val="24"/>
          <w:szCs w:val="24"/>
        </w:rPr>
        <w:t>de overdracht en het verlenen van auteursrechten, octrooien, licentierechten, handelsmerken en soortgelijke rechten;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1" w:name="b."/>
      <w:bookmarkEnd w:id="31"/>
      <w:r w:rsidRPr="00D06EE8">
        <w:rPr>
          <w:rFonts w:ascii="Times New Roman" w:hAnsi="Times New Roman"/>
          <w:sz w:val="24"/>
          <w:szCs w:val="24"/>
        </w:rPr>
        <w:t>diensten op het gebied van de reclame;</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2" w:name="c."/>
      <w:bookmarkEnd w:id="32"/>
      <w:r w:rsidRPr="00D06EE8">
        <w:rPr>
          <w:rFonts w:ascii="Times New Roman" w:hAnsi="Times New Roman"/>
          <w:sz w:val="24"/>
          <w:szCs w:val="24"/>
        </w:rPr>
        <w:t>diensten verricht door raadgevende personen, ingenieurs, adviesbureaus, advocaten, accountants en andere soortgelijke diensten, alsmede gegevensverwerking en informatieverschaffing;</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3" w:name="d."/>
      <w:bookmarkEnd w:id="33"/>
      <w:r w:rsidRPr="00D06EE8">
        <w:rPr>
          <w:rFonts w:ascii="Times New Roman" w:hAnsi="Times New Roman"/>
          <w:sz w:val="24"/>
          <w:szCs w:val="24"/>
        </w:rPr>
        <w:t>de verplichting om een beroepsactiviteit of een in dit artikel vermeld recht geheel of gedeeltelijk niet uit te oefenen;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4" w:name="e."/>
      <w:bookmarkEnd w:id="34"/>
      <w:r w:rsidRPr="00D06EE8">
        <w:rPr>
          <w:rFonts w:ascii="Times New Roman" w:hAnsi="Times New Roman"/>
          <w:sz w:val="24"/>
          <w:szCs w:val="24"/>
        </w:rPr>
        <w:t>bank-, financiële en verzekeringsverrichtingen met inbegrip van herverzekerings</w:t>
      </w:r>
      <w:r>
        <w:rPr>
          <w:rFonts w:ascii="Times New Roman" w:hAnsi="Times New Roman"/>
          <w:sz w:val="24"/>
          <w:szCs w:val="24"/>
        </w:rPr>
        <w:t>-</w:t>
      </w:r>
      <w:r w:rsidRPr="00D06EE8">
        <w:rPr>
          <w:rFonts w:ascii="Times New Roman" w:hAnsi="Times New Roman"/>
          <w:sz w:val="24"/>
          <w:szCs w:val="24"/>
        </w:rPr>
        <w:t>verrichtingen en met uitzondering van de verhuur van safeloketten;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5" w:name="f."/>
      <w:bookmarkEnd w:id="35"/>
      <w:r w:rsidRPr="00D06EE8">
        <w:rPr>
          <w:rFonts w:ascii="Times New Roman" w:hAnsi="Times New Roman"/>
          <w:sz w:val="24"/>
          <w:szCs w:val="24"/>
        </w:rPr>
        <w:t>het beschikbaar stellen van personeel;</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6" w:name="g."/>
      <w:bookmarkEnd w:id="36"/>
      <w:r w:rsidRPr="00D06EE8">
        <w:rPr>
          <w:rFonts w:ascii="Times New Roman" w:hAnsi="Times New Roman"/>
          <w:sz w:val="24"/>
          <w:szCs w:val="24"/>
        </w:rPr>
        <w:t>de verhuur van roerende lichamelijke zaken, met uitzondering van alle vervoermiddelen;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7" w:name="h."/>
      <w:bookmarkEnd w:id="37"/>
      <w:r w:rsidRPr="00D06EE8">
        <w:rPr>
          <w:rFonts w:ascii="Times New Roman" w:hAnsi="Times New Roman"/>
          <w:sz w:val="24"/>
          <w:szCs w:val="24"/>
        </w:rPr>
        <w:t>het bieden van toegang tot aardgas- en elektriciteitsdistributiesystemen alsmede het verrichten van transport- en transmissiediensten via deze systemen en het verrichten van andere daarmee rechtstreeks verbonden diensten;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8" w:name="i."/>
      <w:bookmarkEnd w:id="38"/>
      <w:r w:rsidRPr="00D06EE8">
        <w:rPr>
          <w:rFonts w:ascii="Times New Roman" w:hAnsi="Times New Roman"/>
          <w:sz w:val="24"/>
          <w:szCs w:val="24"/>
        </w:rPr>
        <w:t>telecommunicatiediensten;</w:t>
      </w:r>
    </w:p>
    <w:p w:rsidR="00A8672C" w:rsidRPr="00D06EE8" w:rsidRDefault="00A8672C" w:rsidP="00860467">
      <w:pPr>
        <w:pStyle w:val="ListParagraph"/>
        <w:numPr>
          <w:ilvl w:val="0"/>
          <w:numId w:val="34"/>
        </w:numPr>
        <w:spacing w:line="360" w:lineRule="auto"/>
        <w:ind w:left="426"/>
        <w:jc w:val="both"/>
        <w:rPr>
          <w:rFonts w:ascii="Times New Roman" w:hAnsi="Times New Roman"/>
          <w:sz w:val="24"/>
          <w:szCs w:val="24"/>
        </w:rPr>
      </w:pPr>
      <w:bookmarkStart w:id="39" w:name="j."/>
      <w:bookmarkEnd w:id="39"/>
      <w:r w:rsidRPr="00D06EE8">
        <w:rPr>
          <w:rFonts w:ascii="Times New Roman" w:hAnsi="Times New Roman"/>
          <w:sz w:val="24"/>
          <w:szCs w:val="24"/>
        </w:rPr>
        <w:t>radio- en televisieomroepdiensten;</w:t>
      </w:r>
    </w:p>
    <w:p w:rsidR="00A8672C" w:rsidRPr="00D06EE8" w:rsidRDefault="00A8672C" w:rsidP="00860467">
      <w:pPr>
        <w:pStyle w:val="ListParagraph"/>
        <w:numPr>
          <w:ilvl w:val="0"/>
          <w:numId w:val="34"/>
        </w:numPr>
        <w:spacing w:line="240" w:lineRule="auto"/>
        <w:ind w:left="426"/>
        <w:jc w:val="both"/>
        <w:rPr>
          <w:rFonts w:ascii="Times New Roman" w:hAnsi="Times New Roman"/>
          <w:sz w:val="24"/>
          <w:szCs w:val="24"/>
        </w:rPr>
      </w:pPr>
      <w:bookmarkStart w:id="40" w:name="k."/>
      <w:bookmarkEnd w:id="40"/>
      <w:r w:rsidRPr="00D06EE8">
        <w:rPr>
          <w:rFonts w:ascii="Times New Roman" w:hAnsi="Times New Roman"/>
          <w:sz w:val="24"/>
          <w:szCs w:val="24"/>
        </w:rPr>
        <w:t>elektronische diensten.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Onder de huidige wetgeving vanaf 1 januari 2010 zijn de uitzonderingen in te delen in drie categorieën:</w:t>
      </w:r>
    </w:p>
    <w:p w:rsidR="00A8672C" w:rsidRPr="00D06EE8" w:rsidRDefault="00A8672C" w:rsidP="00D4603A">
      <w:pPr>
        <w:pStyle w:val="ListParagraph"/>
        <w:numPr>
          <w:ilvl w:val="0"/>
          <w:numId w:val="38"/>
        </w:numPr>
        <w:spacing w:line="360" w:lineRule="auto"/>
        <w:jc w:val="both"/>
        <w:rPr>
          <w:rFonts w:ascii="Times New Roman" w:hAnsi="Times New Roman"/>
          <w:sz w:val="24"/>
          <w:szCs w:val="24"/>
        </w:rPr>
      </w:pPr>
      <w:r w:rsidRPr="00D06EE8">
        <w:rPr>
          <w:rFonts w:ascii="Times New Roman" w:hAnsi="Times New Roman"/>
          <w:sz w:val="24"/>
          <w:szCs w:val="24"/>
        </w:rPr>
        <w:t xml:space="preserve">Diensten belast waar </w:t>
      </w:r>
      <w:r>
        <w:rPr>
          <w:rFonts w:ascii="Times New Roman" w:hAnsi="Times New Roman"/>
          <w:sz w:val="24"/>
          <w:szCs w:val="24"/>
        </w:rPr>
        <w:t>de</w:t>
      </w:r>
      <w:r w:rsidRPr="00D06EE8">
        <w:rPr>
          <w:rFonts w:ascii="Times New Roman" w:hAnsi="Times New Roman"/>
          <w:sz w:val="24"/>
          <w:szCs w:val="24"/>
        </w:rPr>
        <w:t xml:space="preserve"> daadwerkelijke </w:t>
      </w:r>
      <w:r>
        <w:rPr>
          <w:rFonts w:ascii="Times New Roman" w:hAnsi="Times New Roman"/>
          <w:sz w:val="24"/>
          <w:szCs w:val="24"/>
        </w:rPr>
        <w:t>activiteit plaats</w:t>
      </w:r>
      <w:r w:rsidRPr="00D06EE8">
        <w:rPr>
          <w:rFonts w:ascii="Times New Roman" w:hAnsi="Times New Roman"/>
          <w:sz w:val="24"/>
          <w:szCs w:val="24"/>
        </w:rPr>
        <w:t>vindt;</w:t>
      </w:r>
    </w:p>
    <w:p w:rsidR="00A8672C" w:rsidRPr="00D06EE8" w:rsidRDefault="00A8672C" w:rsidP="00D4603A">
      <w:pPr>
        <w:pStyle w:val="ListParagraph"/>
        <w:numPr>
          <w:ilvl w:val="0"/>
          <w:numId w:val="38"/>
        </w:numPr>
        <w:spacing w:line="360" w:lineRule="auto"/>
        <w:jc w:val="both"/>
        <w:rPr>
          <w:rFonts w:ascii="Times New Roman" w:hAnsi="Times New Roman"/>
          <w:sz w:val="24"/>
          <w:szCs w:val="24"/>
        </w:rPr>
      </w:pPr>
      <w:r w:rsidRPr="00D06EE8">
        <w:rPr>
          <w:rFonts w:ascii="Times New Roman" w:hAnsi="Times New Roman"/>
          <w:sz w:val="24"/>
          <w:szCs w:val="24"/>
        </w:rPr>
        <w:t>Diensten belast daar waar het vervoer aanvangt;</w:t>
      </w:r>
    </w:p>
    <w:p w:rsidR="00A8672C" w:rsidRDefault="00A8672C" w:rsidP="00D4603A">
      <w:pPr>
        <w:pStyle w:val="ListParagraph"/>
        <w:numPr>
          <w:ilvl w:val="0"/>
          <w:numId w:val="38"/>
        </w:numPr>
        <w:spacing w:line="360" w:lineRule="auto"/>
        <w:jc w:val="both"/>
        <w:rPr>
          <w:rFonts w:ascii="Times New Roman" w:hAnsi="Times New Roman"/>
          <w:sz w:val="24"/>
          <w:szCs w:val="24"/>
        </w:rPr>
      </w:pPr>
      <w:r w:rsidRPr="00D06EE8">
        <w:rPr>
          <w:rFonts w:ascii="Times New Roman" w:hAnsi="Times New Roman"/>
          <w:sz w:val="24"/>
          <w:szCs w:val="24"/>
        </w:rPr>
        <w:t>Diensten belast daar waar de afnemer woont of is gevestigd</w:t>
      </w:r>
      <w:r>
        <w:rPr>
          <w:rFonts w:ascii="Times New Roman" w:hAnsi="Times New Roman"/>
          <w:sz w:val="24"/>
          <w:szCs w:val="24"/>
        </w:rPr>
        <w:t xml:space="preserve"> in geval de afnemer geen ondernemer is en binnen de EU woont</w:t>
      </w:r>
      <w:r w:rsidRPr="00D06EE8">
        <w:rPr>
          <w:rFonts w:ascii="Times New Roman" w:hAnsi="Times New Roman"/>
          <w:sz w:val="24"/>
          <w:szCs w:val="24"/>
        </w:rPr>
        <w:t xml:space="preserve">. </w:t>
      </w:r>
    </w:p>
    <w:p w:rsidR="00A8672C" w:rsidRDefault="00A8672C" w:rsidP="00D4603A">
      <w:pPr>
        <w:spacing w:line="360" w:lineRule="auto"/>
        <w:jc w:val="both"/>
        <w:rPr>
          <w:lang w:val="nl-NL"/>
        </w:rPr>
      </w:pPr>
      <w:r w:rsidRPr="00DD2C11">
        <w:rPr>
          <w:lang w:val="nl-NL"/>
        </w:rPr>
        <w:t>D</w:t>
      </w:r>
      <w:r>
        <w:rPr>
          <w:lang w:val="nl-NL"/>
        </w:rPr>
        <w:t>e eerste categorie sluit goed aan bij het doel van de heffing van omzetbelasting, het belasten daar waar het verbruik plaats vindt. Deze diensten zullen door de afnemers direct verbruikt worden op de plaats waar de activiteit plaatsvindt. Hierdoor wordt de dienst belast op de plaats waar het verbruik plaatsvindt.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tweede categorie ziet vooral op de eenvoud van de heffing van omzetbelasting. Bij goederenvervoersdiensten worden de diensten in verschillende lidstaten verricht. Aansluiten bij de plaats waar de dienst wordt verricht is voor deze categorie dan ook te ingewikkeld.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derde categorie belast de diensten daar waar de afnemer woont of is gevestigd. Het betreft hier B2C diensten waarvoor het niet uitmaakt waar de ondernemer is gevestigd. Indien de hoofdregel van toepassing is kan de afnemer diensten afnemen van een ondernemer die in een land is gevestigd waar een laag omzetbelastingtarief van toepassing is. De hoofdregel zal voor deze diensten het cross-border shopping stimuleren. Door middel van deze uitzonderingsregel is er geen voordeel te behalen door middel van cross-border shopping.</w:t>
      </w:r>
    </w:p>
    <w:p w:rsidR="00A8672C" w:rsidRPr="00DD2C11" w:rsidRDefault="00A8672C" w:rsidP="00D4603A">
      <w:pPr>
        <w:spacing w:line="360" w:lineRule="auto"/>
        <w:jc w:val="both"/>
        <w:rPr>
          <w:lang w:val="nl-NL"/>
        </w:rPr>
      </w:pPr>
    </w:p>
    <w:p w:rsidR="00A8672C" w:rsidRDefault="00A8672C" w:rsidP="00D4603A">
      <w:pPr>
        <w:spacing w:line="360" w:lineRule="auto"/>
        <w:jc w:val="both"/>
        <w:rPr>
          <w:lang w:val="nl-NL"/>
        </w:rPr>
      </w:pPr>
      <w:r w:rsidRPr="009C78D8">
        <w:rPr>
          <w:lang w:val="nl-NL"/>
        </w:rPr>
        <w:t>I</w:t>
      </w:r>
      <w:r>
        <w:rPr>
          <w:lang w:val="nl-NL"/>
        </w:rPr>
        <w:t xml:space="preserve">n de bijlage is een stroomschema opgenomen om de plaats van dienst vanaf 1 januari 2010 te bepalen. </w:t>
      </w:r>
    </w:p>
    <w:p w:rsidR="00A8672C" w:rsidRPr="00E6200F" w:rsidRDefault="00A8672C" w:rsidP="00D4603A">
      <w:pPr>
        <w:spacing w:line="360" w:lineRule="auto"/>
        <w:jc w:val="both"/>
        <w:rPr>
          <w:lang w:val="nl-NL"/>
        </w:rPr>
      </w:pPr>
    </w:p>
    <w:p w:rsidR="00A8672C" w:rsidRDefault="00A8672C" w:rsidP="00D4603A">
      <w:pPr>
        <w:pStyle w:val="Heading2"/>
        <w:jc w:val="both"/>
        <w:rPr>
          <w:szCs w:val="24"/>
        </w:rPr>
      </w:pPr>
      <w:bookmarkStart w:id="41" w:name="_Toc260928101"/>
      <w:r w:rsidRPr="00C74A9A">
        <w:rPr>
          <w:szCs w:val="24"/>
        </w:rPr>
        <w:t>5.</w:t>
      </w:r>
      <w:r>
        <w:rPr>
          <w:szCs w:val="24"/>
        </w:rPr>
        <w:t>3</w:t>
      </w:r>
      <w:r w:rsidRPr="00C74A9A">
        <w:rPr>
          <w:szCs w:val="24"/>
        </w:rPr>
        <w:t xml:space="preserve"> </w:t>
      </w:r>
      <w:r>
        <w:rPr>
          <w:szCs w:val="24"/>
        </w:rPr>
        <w:t>Hoe wordt er belast?</w:t>
      </w:r>
      <w:bookmarkEnd w:id="41"/>
    </w:p>
    <w:p w:rsidR="00A8672C" w:rsidRDefault="00A8672C" w:rsidP="00D4603A">
      <w:pPr>
        <w:spacing w:line="360" w:lineRule="auto"/>
        <w:jc w:val="both"/>
        <w:rPr>
          <w:lang w:val="nl-NL"/>
        </w:rPr>
      </w:pPr>
      <w:r>
        <w:rPr>
          <w:lang w:val="nl-NL"/>
        </w:rPr>
        <w:t>In de situatie tot 1 januari 2010 is de dienstverlener de omzetbelasting verschuldigd. Indien de plaats van dienst in een andere lidstaat is en de afnemer tevens ondernemer voor de omzetbelasting is, kan de heffing van omzetbelasting worden verlegd naar de afnemer, indien de lidstaat van de afnemer een verleggingsregeling kent op grond van artikel 194 BTW-richtlijn. Per 1 januari 2010 dient een onderscheid te worden gemaakt tussen B2C diensten en B2B diensten. Voor B2C diensten is de dienstverlener de omzetbelasting verschuldigd. Deze heffing van omzetbelasting kan niet verlegd worden naar de afnemer, omdat deze niet beschikt over een btw-identificatienummer. Voor de B2B diensten vindt een automatische verlegging plaats bij grensoverschrijdende diensten. De huidige hoofdregel voor B2B diensten geeft aan dat de plaats van dienst is de plaats waar de afnemer is gevestigd. Op basis van de huidige regelgeving vindt bij grensoverschrijdende B2B diensten een automatische verlegging van de heffing naar de afnemer plaats.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Per 1 januari 2010 is het voor een ondernemer die een dienst afneemt van een ondernemer gevestigd in een andere lidstaat makkelijker om de voorbelasting terug te vragen. Tot 1 januari 2010 diende de ondernemer die de dienst heeft afgenomen zich te registreren in de lidstaat van de presterende ondernemer om daar een verzoek te doen tot teruggaaf van voorbelasting. Per 1 januari 2010 kan de ondernemer die de dienst afneemt dit verzoek in zijn eigen lidstaat doen. Hiervoor dient de ondernemer een apart verzoek in te dienen. De administratieve last is hierdoor afgenomen, maar niet verdwenen.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elektronische diensten verricht door een ondernemer die niet in de Gemeenschap is gevestigd aan andere dan ondernemers die in de Gemeenschap zijn gevestigd geldt een bijzondere regeling. Voor deze diensten kan de ondernemer gebruik maken van een éénloketsysteem. Voor de behandeling van deze bijzondere regeling verwijs ik terug naar paragraaf 4.3.</w:t>
      </w:r>
    </w:p>
    <w:p w:rsidR="00A8672C" w:rsidRPr="00FA6320" w:rsidRDefault="00A8672C" w:rsidP="00987113">
      <w:pPr>
        <w:jc w:val="both"/>
        <w:rPr>
          <w:lang w:val="nl-NL"/>
        </w:rPr>
      </w:pPr>
      <w:bookmarkStart w:id="42" w:name="_Toc231111866"/>
    </w:p>
    <w:p w:rsidR="00A8672C" w:rsidRDefault="00A8672C" w:rsidP="00D4603A">
      <w:pPr>
        <w:pStyle w:val="Heading2"/>
        <w:jc w:val="both"/>
      </w:pPr>
      <w:bookmarkStart w:id="43" w:name="_Toc260928102"/>
      <w:r>
        <w:t>5.4 Doel van de wijzigingen</w:t>
      </w:r>
      <w:bookmarkEnd w:id="43"/>
    </w:p>
    <w:p w:rsidR="00A8672C" w:rsidRDefault="00A8672C" w:rsidP="00D4603A">
      <w:pPr>
        <w:spacing w:line="360" w:lineRule="auto"/>
        <w:jc w:val="both"/>
        <w:rPr>
          <w:lang w:val="nl-NL"/>
        </w:rPr>
      </w:pPr>
      <w:r>
        <w:rPr>
          <w:lang w:val="nl-NL"/>
        </w:rPr>
        <w:t>De wijzigingen in de Wet OB 1968 zijn gebaseerd op de BTW-richtlijn. Voor de Nederlandse overheid is het van belang dat de Wet OB 1968 aansluit bij de BTW-richtlijn. De BTW-richtlijn wijzigt naar aanleiding van richtlijn 2006/112/EG</w:t>
      </w:r>
      <w:r>
        <w:rPr>
          <w:rStyle w:val="FootnoteReference"/>
          <w:lang w:val="nl-NL"/>
        </w:rPr>
        <w:footnoteReference w:id="55"/>
      </w:r>
      <w:r>
        <w:rPr>
          <w:lang w:val="nl-NL"/>
        </w:rPr>
        <w:t>. Het doel van richtlijn 2006/112/EG is om factoren die de mededingingsvoorwaarden op nationaal of communautair niveau kunnen vervalsen zoveel mogelijk uit te schakelen. Tevens is de eenvoud en neutraliteit van het systeem van belang.</w:t>
      </w:r>
      <w:r>
        <w:rPr>
          <w:rStyle w:val="FootnoteReference"/>
          <w:lang w:val="nl-NL"/>
        </w:rPr>
        <w:footnoteReference w:id="56"/>
      </w:r>
    </w:p>
    <w:p w:rsidR="00A8672C" w:rsidRDefault="00A8672C" w:rsidP="00987113">
      <w:pPr>
        <w:jc w:val="both"/>
        <w:rPr>
          <w:lang w:val="nl-NL"/>
        </w:rPr>
      </w:pPr>
    </w:p>
    <w:p w:rsidR="00A8672C" w:rsidRDefault="00A8672C" w:rsidP="00D4603A">
      <w:pPr>
        <w:pStyle w:val="Heading2"/>
        <w:jc w:val="both"/>
      </w:pPr>
      <w:bookmarkStart w:id="44" w:name="_Toc260928103"/>
      <w:r>
        <w:t>5.5 Verwachte aanpassingen</w:t>
      </w:r>
      <w:bookmarkEnd w:id="44"/>
    </w:p>
    <w:p w:rsidR="00A8672C" w:rsidRDefault="00A8672C" w:rsidP="00D4603A">
      <w:pPr>
        <w:spacing w:line="360" w:lineRule="auto"/>
        <w:jc w:val="both"/>
        <w:rPr>
          <w:i/>
          <w:lang w:val="nl-NL"/>
        </w:rPr>
      </w:pPr>
      <w:r>
        <w:rPr>
          <w:i/>
          <w:lang w:val="nl-NL"/>
        </w:rPr>
        <w:t>Wijzigingen per 1 januari 2011</w:t>
      </w:r>
      <w:r>
        <w:rPr>
          <w:rStyle w:val="FootnoteReference"/>
          <w:i/>
          <w:lang w:val="nl-NL"/>
        </w:rPr>
        <w:footnoteReference w:id="57"/>
      </w:r>
    </w:p>
    <w:p w:rsidR="00A8672C" w:rsidRDefault="00A8672C" w:rsidP="00D4603A">
      <w:pPr>
        <w:spacing w:line="360" w:lineRule="auto"/>
        <w:jc w:val="both"/>
        <w:rPr>
          <w:lang w:val="nl-NL"/>
        </w:rPr>
      </w:pPr>
      <w:r>
        <w:rPr>
          <w:lang w:val="nl-NL"/>
        </w:rPr>
        <w:t xml:space="preserve">Per 1 januari 2011 zullen de regels met betrekking tot culturele en soortgelijke diensten verricht voor belastingplichtigen gaan wijzigen. Diensten met betrekking tot het verlenen van toegang tot culturele en soortgelijke evenementen zijn belast op de plaats waar de evenementen feitelijk plaatsvinden. Voor de overige culturele en soortgelijke diensten geldt als hoofdregel dat deze diensten belast zijn in het land waar de afnemer is gevestigd. </w:t>
      </w:r>
    </w:p>
    <w:p w:rsidR="00A8672C" w:rsidRPr="00F02BA1" w:rsidRDefault="00A8672C" w:rsidP="00D4603A">
      <w:pPr>
        <w:spacing w:line="360" w:lineRule="auto"/>
        <w:jc w:val="both"/>
        <w:rPr>
          <w:lang w:val="nl-NL"/>
        </w:rPr>
      </w:pPr>
      <w:r>
        <w:rPr>
          <w:lang w:val="nl-NL"/>
        </w:rPr>
        <w:t xml:space="preserve">Deze wijziging sluit goed aan bij het doel van de heffing van omzetbelasting. </w:t>
      </w:r>
    </w:p>
    <w:p w:rsidR="00A8672C" w:rsidRDefault="00A8672C" w:rsidP="00987113">
      <w:pPr>
        <w:jc w:val="both"/>
        <w:rPr>
          <w:i/>
          <w:lang w:val="nl-NL"/>
        </w:rPr>
      </w:pPr>
    </w:p>
    <w:p w:rsidR="00A8672C" w:rsidRDefault="00A8672C" w:rsidP="00D4603A">
      <w:pPr>
        <w:spacing w:line="360" w:lineRule="auto"/>
        <w:jc w:val="both"/>
        <w:rPr>
          <w:i/>
          <w:lang w:val="nl-NL"/>
        </w:rPr>
      </w:pPr>
      <w:r>
        <w:rPr>
          <w:i/>
          <w:lang w:val="nl-NL"/>
        </w:rPr>
        <w:t>Wijzigingen per 1 januari 2013</w:t>
      </w:r>
      <w:r>
        <w:rPr>
          <w:rStyle w:val="FootnoteReference"/>
          <w:i/>
          <w:lang w:val="nl-NL"/>
        </w:rPr>
        <w:footnoteReference w:id="58"/>
      </w:r>
    </w:p>
    <w:p w:rsidR="00A8672C" w:rsidRDefault="00A8672C" w:rsidP="00D4603A">
      <w:pPr>
        <w:spacing w:line="360" w:lineRule="auto"/>
        <w:jc w:val="both"/>
        <w:rPr>
          <w:lang w:val="nl-NL"/>
        </w:rPr>
      </w:pPr>
      <w:r>
        <w:rPr>
          <w:lang w:val="nl-NL"/>
        </w:rPr>
        <w:t xml:space="preserve">Per 1 januari 2013 zullen de regels met betrekking tot langdurig verhuur van vervoermiddelen en plezierboten aan niet-belastingplichtigen wijzigen. De langdurige verhuur van vervoermiddelen zal belast worden in het land waar de afnemer is gevestigd. Onder langdurige verhuur wordt verstaan, verhuur voor meer dan 30 dagen. De heffing over de langdurige verhuur van plezierboten zal plaatsvinden in het land waar de plezierboot ter beschikking is gesteld aan de afnemer. </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Wijzigingen per 1 januari 2015</w:t>
      </w:r>
      <w:r>
        <w:rPr>
          <w:rStyle w:val="FootnoteReference"/>
          <w:i/>
          <w:lang w:val="nl-NL"/>
        </w:rPr>
        <w:footnoteReference w:id="59"/>
      </w:r>
    </w:p>
    <w:p w:rsidR="00A8672C" w:rsidRDefault="00A8672C" w:rsidP="00D4603A">
      <w:pPr>
        <w:spacing w:line="360" w:lineRule="auto"/>
        <w:jc w:val="both"/>
        <w:rPr>
          <w:lang w:val="nl-NL"/>
        </w:rPr>
      </w:pPr>
      <w:r>
        <w:rPr>
          <w:lang w:val="nl-NL"/>
        </w:rPr>
        <w:t>Per 1 januari 2015 worden de regels gewijzigd met betrekking tot telecommunicatiediensten en radio- en televisieomroepdiensten verricht door een ondernemer van buiten de Gemeenschap aan een afnemer/niet-belastingplichtige binnen de Gemeenschap. De plaats van dienst wijzigt voor deze diensten naar de plaats waar de afnemer is gevestigd. Omdat een niet-belastingplichtige de omzetbelasting niet in zijn eigen lidstaat kan aangeven, moet de dienstverlener deze omzetbelasting in de lidstaat van de afnemer aangeven. Dit zorgt voor een aanzienlijke administratieve last. Om deze last te verminderen zal er een éénloketsysteem worden geïntroduceerd specifiek voor deze diensten.</w:t>
      </w:r>
      <w:r>
        <w:rPr>
          <w:rStyle w:val="FootnoteReference"/>
          <w:lang w:val="nl-NL"/>
        </w:rPr>
        <w:footnoteReference w:id="60"/>
      </w:r>
      <w:r>
        <w:rPr>
          <w:lang w:val="nl-NL"/>
        </w:rPr>
        <w:t xml:space="preserve"> De artikelen 28q tot en met 28t zijn vanaf 1 januari 2015 ook van toepassing voor de telecommunicatiediensten en radio- en televisieomroepdiensten.</w:t>
      </w:r>
    </w:p>
    <w:p w:rsidR="00A8672C" w:rsidRDefault="00A8672C" w:rsidP="00D4603A">
      <w:pPr>
        <w:spacing w:line="360" w:lineRule="auto"/>
        <w:jc w:val="both"/>
        <w:rPr>
          <w:lang w:val="nl-NL"/>
        </w:rPr>
      </w:pPr>
    </w:p>
    <w:p w:rsidR="00A8672C" w:rsidRPr="00EC065D" w:rsidRDefault="00A8672C" w:rsidP="00D4603A">
      <w:pPr>
        <w:spacing w:line="360" w:lineRule="auto"/>
        <w:jc w:val="both"/>
        <w:rPr>
          <w:lang w:val="nl-NL"/>
        </w:rPr>
      </w:pPr>
      <w:r>
        <w:rPr>
          <w:lang w:val="nl-NL"/>
        </w:rPr>
        <w:t>Het verbaast mij dat het éénloketsysteem per 1 januari 2015 slechts voor deze specifieke diensten wordt ingevoerd. Het éénloketsysteem kan een groot aantal problemen in de heffing van omzetbelasting verminderen en/of oplossen. In de huidige wetgeving kennen we al een éénloketsysteem. Het éénloketsysteem kan in de huidige wetgeving slechts toegepast worden door ondernemers die niet in de Gemeenschap zijn gevestigd en elektronische diensten verrichten aan anderen dan ondernemers die in de Gemeenschap zijn gevestigd. Het éénloketsysteem hoeft niet nieuw geïntroduceerd te worden binnen de Gemeenschap, maar slechts uitgebreid. Indien het éénloketsysteem voor alle diensten kan worden toegepast, kan de huidige systematiek aangepast worden zodat de heffing van omzetbelasting nog beter bij het doel van de heffing van omzetbelasting aansluit. Beter aansluiten bij het doel van de heffing van omzetbelasting is ook het streven van de eerdere richtlijnvoorstellen en van de wijzigingen per 1 januari 2010.</w:t>
      </w:r>
      <w:r w:rsidRPr="00EC065D">
        <w:rPr>
          <w:lang w:val="nl-NL"/>
        </w:rPr>
        <w:br w:type="page"/>
      </w:r>
    </w:p>
    <w:p w:rsidR="00A8672C" w:rsidRDefault="00A8672C" w:rsidP="00D4603A">
      <w:pPr>
        <w:pStyle w:val="Heading1"/>
        <w:jc w:val="both"/>
      </w:pPr>
      <w:bookmarkStart w:id="45" w:name="_Toc260928104"/>
      <w:r>
        <w:t>Hoofdstuk 6: Knelpunten huidige wetgeving</w:t>
      </w:r>
      <w:bookmarkEnd w:id="45"/>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Uit de literatuur is gebleken dat er ook knelpunten zijn ontstaan in de situatie vanaf 1 januari 2010 bij grensoverschrijdende dienstverlening. Het eerste knelpunt betreft het afnemen van diensten door ondernemers voor privégebruik. Het tweede knelpunt dat besproken wordt betreft de vestigingsplaats van de afnemer van diensten. Het derde knelpunt betreft de vaste inrichting.</w:t>
      </w:r>
    </w:p>
    <w:p w:rsidR="00A8672C" w:rsidRPr="006F5804" w:rsidRDefault="00A8672C" w:rsidP="00D4603A">
      <w:pPr>
        <w:spacing w:line="360" w:lineRule="auto"/>
        <w:jc w:val="both"/>
        <w:rPr>
          <w:lang w:val="nl-NL"/>
        </w:rPr>
      </w:pPr>
    </w:p>
    <w:p w:rsidR="00A8672C" w:rsidRDefault="00A8672C" w:rsidP="00D4603A">
      <w:pPr>
        <w:pStyle w:val="Heading2"/>
        <w:jc w:val="both"/>
      </w:pPr>
      <w:bookmarkStart w:id="46" w:name="_Toc260928105"/>
      <w:r>
        <w:t>6.1 P</w:t>
      </w:r>
      <w:r w:rsidRPr="006F5804">
        <w:t>rivé gebruik</w:t>
      </w:r>
      <w:bookmarkEnd w:id="46"/>
    </w:p>
    <w:p w:rsidR="00A8672C" w:rsidRDefault="00A8672C" w:rsidP="00D4603A">
      <w:pPr>
        <w:spacing w:line="360" w:lineRule="auto"/>
        <w:jc w:val="both"/>
        <w:rPr>
          <w:lang w:val="nl-NL"/>
        </w:rPr>
      </w:pPr>
      <w:r>
        <w:rPr>
          <w:lang w:val="nl-NL"/>
        </w:rPr>
        <w:t>In de huidige wetgeving wordt een onderscheid gemaakt tussen B2B diensten en B2C diensten. De plaats van dienst bij B2B diensten is de plaats waar de afnemer is gevestigd. De plaats van dienst bij B2C diensten is de plaats waar de dienstverlener is gevestigd. De dienstverlener dient te onderzoeken aan wie hij de dienst verleent. Indien de ondernemer een dienst verleent aan een andere ondernemer is de BTW verschuldigd in de lidstaat waar de afnemer is gevestigd. De presterende ondernemer kan de BTW verleggen naar de afnemer. De afnemer dient in zijn eigen lidstaat de BTW aan te geven over de dienst. Vervolgens kan de afnemer de voorbelasting weer aftrekken. Indien de ondernemer een dienst verleent aan een niet-ondernemer, is de dienstverlener de BTW verschuldigd in de lidstaat waar hij zelf is gevestigd. In artikel 7 lid 7 Wet OB 1968 is een uitbreiding op het ondernemersbegrip opgenomen in verband met de nieuwe regel voor de plaats van dienst. Op basis van artikel 7 lid 7 Wet OB 1968 zijn ondernemers die ook niet belastbare goederenleveringen of diensten verrichten voor alle aan hen verrichte diensten ondernemer voor de BTW. Voor de dienstverlener is dit een aanzienlijke lastenverlichting. De dienstverlener hoeft geen splitsing te maken tussen B2B en B2C diensten geleverd aan één ondernemer. Uit de nota naar aanleiding van het verslag blijkt echter dat het privégebruik van diensten door een ondernemer niet onder dit wetsartikel valt, omdat een ondernemer een dienst niet deels als privépersoon en deels als ondernemer kan afnemen.</w:t>
      </w:r>
      <w:r>
        <w:rPr>
          <w:rStyle w:val="FootnoteReference"/>
          <w:lang w:val="nl-NL"/>
        </w:rPr>
        <w:footnoteReference w:id="61"/>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Ondernemers die als privépersoon een dienst afnemen mogen hun BTW-identificatienummer niet tonen zodat voor de dienstverlener duidelijk is dat er sprake is van een B2C dienst.</w:t>
      </w:r>
      <w:r>
        <w:rPr>
          <w:rStyle w:val="FootnoteReference"/>
          <w:lang w:val="nl-NL"/>
        </w:rPr>
        <w:footnoteReference w:id="62"/>
      </w:r>
      <w:r>
        <w:rPr>
          <w:lang w:val="nl-NL"/>
        </w:rPr>
        <w:t xml:space="preserve"> Indien een ondernemer regelmatig als ondernemer diensten afneemt bij de dienstverlener en eenmaal een dienst wenst af te nemen als privégebruik dient de afnemer dit duidelijk kenbaar te maken aan de dienstverlener. Dit lijkt tegenstrijdig met de wettekst. </w:t>
      </w:r>
    </w:p>
    <w:p w:rsidR="00A8672C" w:rsidRDefault="00A8672C" w:rsidP="00D4603A">
      <w:pPr>
        <w:spacing w:line="360" w:lineRule="auto"/>
        <w:jc w:val="both"/>
        <w:rPr>
          <w:lang w:val="nl-NL"/>
        </w:rPr>
      </w:pPr>
    </w:p>
    <w:p w:rsidR="00A8672C" w:rsidRPr="00BD0E3F" w:rsidRDefault="00A8672C" w:rsidP="00D4603A">
      <w:pPr>
        <w:spacing w:line="360" w:lineRule="auto"/>
        <w:jc w:val="both"/>
        <w:rPr>
          <w:lang w:val="nl-NL"/>
        </w:rPr>
      </w:pPr>
      <w:r>
        <w:rPr>
          <w:lang w:val="nl-NL"/>
        </w:rPr>
        <w:t>In artikel 7 lid 7 Wet op de Omzetbelasting 1968 staat dat een belastingplichtige die ook werkzaamheden of handelingen verricht</w:t>
      </w:r>
      <w:r w:rsidRPr="00BD0E3F">
        <w:rPr>
          <w:lang w:val="nl-NL"/>
        </w:rPr>
        <w:t xml:space="preserve"> welke niet als belastbare goederenleveringen of diensten in de zin van artikel 2, lid 1, worden beschouwd, met betrekking tot alle voor hem verrichte diensten als</w:t>
      </w:r>
      <w:r>
        <w:rPr>
          <w:lang w:val="nl-NL"/>
        </w:rPr>
        <w:t xml:space="preserve"> belastingplichtige wordt aangemerkt. Artikel 7 lid 7 Wet OB 1968 is gebaseerd op artikel 43 BTW-Richtlijn. In de considerans van Richtlijn 2008/8/EG staat een toelichting op dit artikel.</w:t>
      </w:r>
      <w:r>
        <w:rPr>
          <w:rStyle w:val="FootnoteReference"/>
          <w:lang w:val="nl-NL"/>
        </w:rPr>
        <w:footnoteReference w:id="63"/>
      </w:r>
      <w:r>
        <w:rPr>
          <w:lang w:val="nl-NL"/>
        </w:rPr>
        <w:t xml:space="preserve"> In de considerans staat vermeld dat: ‘</w:t>
      </w:r>
      <w:r w:rsidRPr="00BD0E3F">
        <w:rPr>
          <w:lang w:val="nl-NL"/>
        </w:rPr>
        <w:t>Volgens de gebruikelijke voorschriften moeten deze bepalingen niet gelden voor diensten die door een belastingplichtige worden afgenomen voor persoonlijk gebruik door hemzelf of door zijn personeel.'</w:t>
      </w:r>
      <w:r>
        <w:rPr>
          <w:lang w:val="nl-NL"/>
        </w:rPr>
        <w:t xml:space="preserve"> In de Memorie van Antwoord</w:t>
      </w:r>
      <w:r>
        <w:rPr>
          <w:rStyle w:val="FootnoteReference"/>
          <w:lang w:val="nl-NL"/>
        </w:rPr>
        <w:footnoteReference w:id="64"/>
      </w:r>
      <w:r>
        <w:rPr>
          <w:lang w:val="nl-NL"/>
        </w:rPr>
        <w:t xml:space="preserve"> naar aanleiding van vragen van de leden van de CDA-fractie licht de Staatssecretaris toe dat diensten die door een ondernemer worden afgenomen en gedeeltelijk zakelijk gebruikt worden en gedeeltelijk privé gebruikt worden onder de toepassing van artikel 7 lid 7 Wet OB 1968 vallen. Diensten die door een ondernemer worden afgenomen en geheel privé gebruikt worden vallen mijns inziens niet onder artikel 7 lid 7 Wet OB 1968.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bepaling van artikel 7 lid 7 Wet OB 1968 staat tevens in artikel 43 van de BTW-richtlijn. Alle lidstaten zijn verplicht deze wetgeving over te nemen in hun nationale wet. Andere lidstaten kunnen artikel 43 BTW-richtlijn echter ook anders interpreteren. Zoals blijkt uit het artikel van mr. M.W.C. Soltysik</w:t>
      </w:r>
      <w:r>
        <w:rPr>
          <w:rStyle w:val="FootnoteReference"/>
          <w:lang w:val="nl-NL"/>
        </w:rPr>
        <w:footnoteReference w:id="65"/>
      </w:r>
      <w:r>
        <w:rPr>
          <w:lang w:val="nl-NL"/>
        </w:rPr>
        <w:t xml:space="preserve"> kan er bij een verschillende interpretatie van artikel 43 BTW-richtlijn een kans op geen heffing of dubbele heffing ontstaan. Indien één lidstaat de afname van een dienst voor privé gebruik van een ondernemer aanmerkt als een B2B dienst en de andere lidstaat de dienst aanmerkt als een B2C dienst.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oplossing voor dit knelpunt ligt in de interpretatie van artikel 43 BTW-richtlijn. Indien alle lidstaten dit artikel op dezelfde wijze interpreteren is de kans op geen heffing of dubbele heffing uitgeschakeld. Het BTW-comité heeft een richtsnoer met betrekking tot de interpretatie van artikel 43 BTW-richtlijn opgesteld.</w:t>
      </w:r>
      <w:r>
        <w:rPr>
          <w:rStyle w:val="FootnoteReference"/>
          <w:lang w:val="nl-NL"/>
        </w:rPr>
        <w:footnoteReference w:id="66"/>
      </w:r>
      <w:r>
        <w:rPr>
          <w:lang w:val="nl-NL"/>
        </w:rPr>
        <w:t xml:space="preserve"> De Staatssecretaris heeft aangegeven dat Nederland de inhoud van het richtsnoer onderschrijft. Indien alle lidstaten de inhoud van deze richtsnoer onderschrijven, is het knelpunt met betrekking tot privé gebruik opgelost.</w:t>
      </w:r>
    </w:p>
    <w:p w:rsidR="00A8672C" w:rsidRPr="006F5804" w:rsidRDefault="00A8672C" w:rsidP="00D4603A">
      <w:pPr>
        <w:spacing w:line="360" w:lineRule="auto"/>
        <w:jc w:val="both"/>
        <w:rPr>
          <w:lang w:val="nl-NL"/>
        </w:rPr>
      </w:pPr>
    </w:p>
    <w:p w:rsidR="00A8672C" w:rsidRDefault="00A8672C" w:rsidP="00D4603A">
      <w:pPr>
        <w:pStyle w:val="Heading2"/>
        <w:jc w:val="both"/>
      </w:pPr>
      <w:bookmarkStart w:id="47" w:name="_Toc260928106"/>
      <w:r>
        <w:t>6.2 V</w:t>
      </w:r>
      <w:r w:rsidRPr="006F5804">
        <w:t>estigingsplaats afnemer</w:t>
      </w:r>
      <w:bookmarkEnd w:id="47"/>
    </w:p>
    <w:p w:rsidR="00A8672C" w:rsidRDefault="00A8672C" w:rsidP="00D4603A">
      <w:pPr>
        <w:spacing w:line="360" w:lineRule="auto"/>
        <w:jc w:val="both"/>
        <w:rPr>
          <w:lang w:val="nl-NL"/>
        </w:rPr>
      </w:pPr>
      <w:r w:rsidRPr="00A366E2">
        <w:rPr>
          <w:lang w:val="nl-NL"/>
        </w:rPr>
        <w:t xml:space="preserve">Onder de huidige wetgeving is de ondernemer die een dienst verricht aan een andere ondernemer belasting verschuldigd is de lidstaat waar de afnemer is gevestigd. De dienstverlener dient dus vast te stellen waar de ondernemer is gevestigd. </w:t>
      </w:r>
      <w:r w:rsidRPr="00E60436">
        <w:rPr>
          <w:lang w:val="nl-NL"/>
        </w:rPr>
        <w:t xml:space="preserve">Op basis van het in paragraaf 1.5 besproken Planzer arrest kan </w:t>
      </w:r>
      <w:r>
        <w:rPr>
          <w:lang w:val="nl-NL"/>
        </w:rPr>
        <w:t xml:space="preserve">gesteld worden </w:t>
      </w:r>
      <w:r w:rsidRPr="00FA0283">
        <w:rPr>
          <w:lang w:val="nl-NL"/>
        </w:rPr>
        <w:t>dat de zetel van de bedrijfsuitoefening van een vennootschap de plaats is waar de voornaamste beslissingen betreffende het algemene beheer van de vennootschap worden genomen en waar de centrale bestuurstaken ervan worden uitgeoefend.</w:t>
      </w:r>
      <w:r>
        <w:rPr>
          <w:lang w:val="nl-NL"/>
        </w:rPr>
        <w:t xml:space="preserve">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dienstverlener dient zelf na te gaan in welk land de afnemer zijn onderneming of vaste inrichting heeft gevestigd. De definitie van een vaste inrichting is niet in de wet opgenomen. De uitleg van het begrip vaste inrichting speelt binnen de bepaling van de plaats van dienst wel een grote rol. In de volgende paragraaf wordt aan de hand van jurisprudentie een indicatie gegeven van het begrip vaste inrichting. Indien de dienstverlener niet de juiste vestigingsplaats heeft vastgesteld, kan hij geconfronteerd worden met een naheffingsaanslag.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Bij het ontbreken van een zetel van bedrijfsuitoefening of vaste inrichting kan op basis van artikel 6 Wet OB 1968 de heffing plaatsvinden op basis van de woon- of gebruikelijke verblijfsplaats.</w:t>
      </w:r>
      <w:r>
        <w:rPr>
          <w:rStyle w:val="FootnoteReference"/>
          <w:lang w:val="nl-NL"/>
        </w:rPr>
        <w:footnoteReference w:id="67"/>
      </w:r>
      <w:r>
        <w:rPr>
          <w:lang w:val="nl-NL"/>
        </w:rPr>
        <w:t xml:space="preserve"> Echter blijft de vraag bestaan hoe ver de ondernemer moet gaan om te onderzoeken of daadwerkelijk een zetel van bedrijfsuitoefening of vaste inrichting ontbreekt.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Mevrouw mr. </w:t>
      </w:r>
      <w:r w:rsidRPr="00F31C41">
        <w:rPr>
          <w:lang w:val="nl-NL"/>
        </w:rPr>
        <w:t>M.M.W.D. Merkx hee</w:t>
      </w:r>
      <w:r>
        <w:rPr>
          <w:lang w:val="nl-NL"/>
        </w:rPr>
        <w:t>ft in haar artikel het te goeder trouw criterium toegevoegd aan de bepaling van de vestigingsplaats. Indien een zetel van bedrijfsuitoefening of vaste inrichting volgens de ondernemer ontbreekt kan de heffing plaatsvinden op basis van de woon- of gebruikelijke verblijfsplaats. De dienstverlener dient dan wel aannemelijk te maken dat hij te goeder trouw heeft kunnen menen dat hij presteerde aan een afnemer in een andere lidstaat</w:t>
      </w:r>
      <w:r>
        <w:rPr>
          <w:rStyle w:val="FootnoteReference"/>
          <w:lang w:val="nl-NL"/>
        </w:rPr>
        <w:footnoteReference w:id="68"/>
      </w:r>
      <w:r>
        <w:rPr>
          <w:lang w:val="nl-NL"/>
        </w:rPr>
        <w:t>.</w:t>
      </w:r>
    </w:p>
    <w:p w:rsidR="00A8672C" w:rsidRDefault="00A8672C" w:rsidP="00D4603A">
      <w:pPr>
        <w:spacing w:line="360" w:lineRule="auto"/>
        <w:jc w:val="both"/>
        <w:rPr>
          <w:lang w:val="nl-NL"/>
        </w:rPr>
      </w:pPr>
    </w:p>
    <w:p w:rsidR="00A8672C" w:rsidRDefault="00A8672C" w:rsidP="00D4603A">
      <w:pPr>
        <w:jc w:val="both"/>
        <w:rPr>
          <w:lang w:val="nl-NL"/>
        </w:rPr>
      </w:pPr>
      <w:r>
        <w:rPr>
          <w:lang w:val="nl-NL"/>
        </w:rPr>
        <w:t>Volgens mevrouw mr. M.M.W.D. Merkx is een belastingplichtige slechts te goeder trouw indien aan de volgende voorwaarden is voldaan</w:t>
      </w:r>
      <w:r>
        <w:rPr>
          <w:rStyle w:val="FootnoteReference"/>
          <w:lang w:val="nl-NL"/>
        </w:rPr>
        <w:footnoteReference w:id="69"/>
      </w:r>
      <w:r>
        <w:rPr>
          <w:lang w:val="nl-NL"/>
        </w:rPr>
        <w:t xml:space="preserve">: </w:t>
      </w:r>
    </w:p>
    <w:p w:rsidR="00A8672C" w:rsidRPr="001D1815" w:rsidRDefault="00A8672C" w:rsidP="00D4603A">
      <w:pPr>
        <w:jc w:val="both"/>
        <w:rPr>
          <w:lang w:val="nl-NL"/>
        </w:rPr>
      </w:pPr>
    </w:p>
    <w:p w:rsidR="00A8672C" w:rsidRPr="001D1815" w:rsidRDefault="00A8672C" w:rsidP="00D4603A">
      <w:pPr>
        <w:pStyle w:val="ListParagraph"/>
        <w:numPr>
          <w:ilvl w:val="0"/>
          <w:numId w:val="30"/>
        </w:numPr>
        <w:jc w:val="both"/>
        <w:rPr>
          <w:rFonts w:ascii="Times New Roman" w:hAnsi="Times New Roman"/>
          <w:i/>
          <w:sz w:val="24"/>
          <w:szCs w:val="24"/>
        </w:rPr>
      </w:pPr>
      <w:r w:rsidRPr="001D1815">
        <w:rPr>
          <w:rFonts w:ascii="Times New Roman" w:hAnsi="Times New Roman"/>
          <w:i/>
          <w:sz w:val="24"/>
          <w:szCs w:val="24"/>
        </w:rPr>
        <w:t>“De dienstverrichter heeft steeds contact met één of meerdere personen uit één bepaalde plaats van wie ook de opdracht tot dienstverlening afkomstig is en aan wie hij zijn dienst aflevert;</w:t>
      </w:r>
    </w:p>
    <w:p w:rsidR="00A8672C" w:rsidRPr="001D1815" w:rsidRDefault="00A8672C" w:rsidP="00D4603A">
      <w:pPr>
        <w:pStyle w:val="ListParagraph"/>
        <w:numPr>
          <w:ilvl w:val="0"/>
          <w:numId w:val="30"/>
        </w:numPr>
        <w:jc w:val="both"/>
        <w:rPr>
          <w:rFonts w:ascii="Times New Roman" w:hAnsi="Times New Roman"/>
          <w:i/>
          <w:sz w:val="24"/>
          <w:szCs w:val="24"/>
        </w:rPr>
      </w:pPr>
      <w:r w:rsidRPr="001D1815">
        <w:rPr>
          <w:rFonts w:ascii="Times New Roman" w:hAnsi="Times New Roman"/>
          <w:i/>
          <w:sz w:val="24"/>
          <w:szCs w:val="24"/>
        </w:rPr>
        <w:t>De dienstverrichter heeft bijvoorbeeld naar aanleiding van de aard van de gevraagde dienst, de omvang hiervan of het vermeende gebruik dat de afnemer van de prestatie gaat maken redelijkerwijs de indruk kunnen krijgen dat hij zijn dienst levert aan de zetel van bedrijfsuitoefening of vaste inrichting van deze ondernemer;</w:t>
      </w:r>
    </w:p>
    <w:p w:rsidR="00A8672C" w:rsidRDefault="00A8672C" w:rsidP="00D4603A">
      <w:pPr>
        <w:pStyle w:val="ListParagraph"/>
        <w:numPr>
          <w:ilvl w:val="0"/>
          <w:numId w:val="30"/>
        </w:numPr>
        <w:spacing w:after="0"/>
        <w:jc w:val="both"/>
        <w:rPr>
          <w:rFonts w:ascii="Times New Roman" w:hAnsi="Times New Roman"/>
          <w:i/>
          <w:sz w:val="24"/>
          <w:szCs w:val="24"/>
        </w:rPr>
      </w:pPr>
      <w:r w:rsidRPr="001D1815">
        <w:rPr>
          <w:rFonts w:ascii="Times New Roman" w:hAnsi="Times New Roman"/>
          <w:i/>
          <w:sz w:val="24"/>
          <w:szCs w:val="24"/>
        </w:rPr>
        <w:t>De dienstverrichter beschikt over een BTW-identificatienummer van de dienstontvanger dat is afgegeven door de autoriteiten van het land waar de vermeende zetel van bedrijfsuitoefening of vaste inrichting is gevestigd.”</w:t>
      </w:r>
    </w:p>
    <w:p w:rsidR="00A8672C" w:rsidRPr="001D1815" w:rsidRDefault="00A8672C" w:rsidP="00D4603A">
      <w:pPr>
        <w:pStyle w:val="ListParagraph"/>
        <w:spacing w:after="0"/>
        <w:jc w:val="both"/>
        <w:rPr>
          <w:rFonts w:ascii="Times New Roman" w:hAnsi="Times New Roman"/>
          <w:i/>
          <w:sz w:val="24"/>
          <w:szCs w:val="24"/>
        </w:rPr>
      </w:pPr>
    </w:p>
    <w:p w:rsidR="00A8672C" w:rsidRDefault="00A8672C" w:rsidP="00D4603A">
      <w:pPr>
        <w:spacing w:line="360" w:lineRule="auto"/>
        <w:jc w:val="both"/>
        <w:rPr>
          <w:b/>
          <w:lang w:val="nl-NL"/>
        </w:rPr>
      </w:pPr>
      <w:r w:rsidRPr="00F93920">
        <w:rPr>
          <w:lang w:val="nl-NL"/>
        </w:rPr>
        <w:t xml:space="preserve">De naheffingsaanslag kan niet worden opgelegd indien de dienstverstrekker </w:t>
      </w:r>
      <w:r>
        <w:rPr>
          <w:lang w:val="nl-NL"/>
        </w:rPr>
        <w:t>te goeder trouw</w:t>
      </w:r>
      <w:r w:rsidRPr="00F93920">
        <w:rPr>
          <w:lang w:val="nl-NL"/>
        </w:rPr>
        <w:t xml:space="preserve"> is. Mijns inziens is dit een juiste benadering. Indien aan de dienstverlener wel een naheffingsaanslag opgelegd kan worden, ondanks dat hij </w:t>
      </w:r>
      <w:r>
        <w:rPr>
          <w:lang w:val="nl-NL"/>
        </w:rPr>
        <w:t>te goeder trouw</w:t>
      </w:r>
      <w:r w:rsidRPr="00F93920">
        <w:rPr>
          <w:lang w:val="nl-NL"/>
        </w:rPr>
        <w:t xml:space="preserve"> is, zullen de administratieve lasten voor de dienstverlener toenemen. De dienstverlener zal altijd grondig onderzoek moeten verrichten bij het leveren van diensten aan ondernemers in een andere lidstaat. Voor kleine ondernemers kan dit</w:t>
      </w:r>
      <w:r>
        <w:rPr>
          <w:lang w:val="nl-NL"/>
        </w:rPr>
        <w:t xml:space="preserve"> wel</w:t>
      </w:r>
      <w:r w:rsidRPr="00F93920">
        <w:rPr>
          <w:lang w:val="nl-NL"/>
        </w:rPr>
        <w:t xml:space="preserve"> een belemmering opleveren om te presteren aan ondernemers in een andere lidstaat</w:t>
      </w:r>
      <w:r w:rsidRPr="00F93920">
        <w:rPr>
          <w:b/>
          <w:lang w:val="nl-NL"/>
        </w:rPr>
        <w:t>.</w:t>
      </w:r>
    </w:p>
    <w:p w:rsidR="00A8672C" w:rsidRDefault="00A8672C" w:rsidP="00D4603A">
      <w:pPr>
        <w:spacing w:line="360" w:lineRule="auto"/>
        <w:jc w:val="both"/>
        <w:rPr>
          <w:b/>
          <w:lang w:val="nl-NL"/>
        </w:rPr>
      </w:pPr>
    </w:p>
    <w:p w:rsidR="00A8672C" w:rsidRPr="00F31C41" w:rsidRDefault="00A8672C" w:rsidP="00D4603A">
      <w:pPr>
        <w:spacing w:line="360" w:lineRule="auto"/>
        <w:jc w:val="both"/>
        <w:rPr>
          <w:lang w:val="nl-NL"/>
        </w:rPr>
      </w:pPr>
      <w:r>
        <w:rPr>
          <w:lang w:val="nl-NL"/>
        </w:rPr>
        <w:t>Het te goeder trouw criterium vormt een oplossing omtrent het knelpunt inzake de plaatsbepaling waar de afnemer is gevestigd. Indien de ondernemer te goeder trouw van mening is dat een zetel van bedrijfsuitoefening of een vaste inrichting ontbreekt, kan hij de plaats van dienst bepalen op basis van de woonplaats of gebruikelijk verblijfsplaats van de afnemer. Indien op een later moment blijkt dat er wel een zetel van bedrijfsuitoefening of een vaste inrichting is, kan er geen naheffingsaanslag meer opgelegd worden aan de ondernemer die te goeder trouw is.</w:t>
      </w:r>
    </w:p>
    <w:p w:rsidR="00A8672C" w:rsidRPr="002F1F0C" w:rsidRDefault="00A8672C" w:rsidP="00D4603A">
      <w:pPr>
        <w:spacing w:line="360" w:lineRule="auto"/>
        <w:jc w:val="both"/>
        <w:rPr>
          <w:lang w:val="nl-NL"/>
        </w:rPr>
      </w:pPr>
    </w:p>
    <w:p w:rsidR="00A8672C" w:rsidRDefault="00A8672C" w:rsidP="00D4603A">
      <w:pPr>
        <w:pStyle w:val="Heading2"/>
        <w:jc w:val="both"/>
      </w:pPr>
      <w:bookmarkStart w:id="48" w:name="_Toc260928107"/>
      <w:r>
        <w:t>6.3 Vaste inrichting</w:t>
      </w:r>
      <w:bookmarkEnd w:id="48"/>
    </w:p>
    <w:p w:rsidR="00A8672C" w:rsidRDefault="00A8672C" w:rsidP="00D4603A">
      <w:pPr>
        <w:spacing w:line="360" w:lineRule="auto"/>
        <w:jc w:val="both"/>
        <w:rPr>
          <w:lang w:val="nl-NL"/>
        </w:rPr>
      </w:pPr>
      <w:r>
        <w:rPr>
          <w:lang w:val="nl-NL"/>
        </w:rPr>
        <w:t xml:space="preserve">In de huidige wettekst is geen definitie van het begrip vaste inrichting opgenomen. Het vaststellen wanneer er sprake is van een vast inrichting is daarom lastig. Aan de hand van een analyse van jurisprudentie beschrijf ik het begrip vaste inrichting. </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Berkholz</w:t>
      </w:r>
      <w:r>
        <w:rPr>
          <w:rStyle w:val="FootnoteReference"/>
          <w:i/>
          <w:lang w:val="nl-NL"/>
        </w:rPr>
        <w:footnoteReference w:id="70"/>
      </w:r>
      <w:r>
        <w:rPr>
          <w:i/>
          <w:lang w:val="nl-NL"/>
        </w:rPr>
        <w:t xml:space="preserve"> </w:t>
      </w:r>
    </w:p>
    <w:p w:rsidR="00A8672C" w:rsidRDefault="00A8672C" w:rsidP="00D4603A">
      <w:pPr>
        <w:spacing w:line="360" w:lineRule="auto"/>
        <w:jc w:val="both"/>
        <w:rPr>
          <w:lang w:val="nl-NL"/>
        </w:rPr>
      </w:pPr>
      <w:r>
        <w:rPr>
          <w:lang w:val="nl-NL"/>
        </w:rPr>
        <w:t xml:space="preserve">Berkholz is een ondernemer die speelautomaten, juke-boxen en soortgelijke apparaten exploiteert. De exploitatie van deze apparaten vindt vooral plaats in cafés. De ondernemer exploiteert echter ook speelautomaten aan boord van twee veerboten die een veerdienst onderhouden tussen Duitsland en Denemarken. De speelautomaten worden regelmatig onderhouden, hersteld en vervangen door personeel van belanghebbende. Het personeel van belanghebbende is niet permanent aan boord van de veerboten.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De Duitse belastingadministratie heeft geschat dat 10% van de omzet gerealiseerd is tijdens de ligtijd van de veerboten in de Duitse haven en 25% van de omzet gerealiseerd is tijdens de vaart in Duitse territoriale wateren. Het Finanzamt heeft de totale omzet behaald met de exploitatie op de veerboten onderworpen aan de Duitse omzetbelasting.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Belanghebbende is van mening dat de werkzaamheden zijn verricht vanuit een vaste inrichting. Derhalve is slechts 10% of maximaal nog eens 25% van de omzet belast in Duitsland.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algemene regel voor de bepaling van de plaats van dienst is de plaats waar de dienstverlener de zetel van zijn bedrijfsuitoefening of een vaste inrichting heeft gevestigd en van waaruit hij de dienst verricht, als plaats van dienst wordt aangemerkt.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Finanzgericht vraagt zich af bij een verschil in uitleg van deze begrippen moet worden aangesloten bij de zetel van bedrijfsuitoefening of bij de vaste inrichting. Het Finanzamt heeft vervolgens aan het Hof van Justitie EG gevraagd of de activiteit van belanghebbende als vaste inrichting aangemerkt kan worden en aan welke kenmerken een vaste inrichting moet voldoen.</w:t>
      </w:r>
    </w:p>
    <w:p w:rsidR="00A8672C" w:rsidRDefault="00A8672C" w:rsidP="00D4603A">
      <w:pPr>
        <w:spacing w:line="360" w:lineRule="auto"/>
        <w:jc w:val="both"/>
        <w:rPr>
          <w:lang w:val="nl-NL"/>
        </w:rPr>
      </w:pPr>
    </w:p>
    <w:p w:rsidR="00A8672C" w:rsidRDefault="00A8672C" w:rsidP="00D4603A">
      <w:pPr>
        <w:spacing w:line="360" w:lineRule="auto"/>
        <w:jc w:val="both"/>
        <w:rPr>
          <w:lang w:val="nl-NL" w:eastAsia="nl-NL"/>
        </w:rPr>
      </w:pPr>
      <w:r>
        <w:rPr>
          <w:lang w:val="nl-NL" w:eastAsia="nl-NL"/>
        </w:rPr>
        <w:t xml:space="preserve">Het Hof heeft geoordeeld dat een installatie voor commerciële activiteiten slechts als vaste inrichting kan worden aangemerkt </w:t>
      </w:r>
      <w:r w:rsidRPr="0054669E">
        <w:rPr>
          <w:lang w:val="nl-NL" w:eastAsia="nl-NL"/>
        </w:rPr>
        <w:t>indien die inrichting duurzaam over het personeel en de technische middelen beschikt die voor de betrokken dienstverrichtingen noodzakelijk zijn en het niet doelmatig is de plaats waar de dienstverrichter de zetel van zijn bedrijfsuitoefening heeft gevestigd, aan te merken als plaats waar deze diensten worden verricht.</w:t>
      </w:r>
      <w:r>
        <w:rPr>
          <w:lang w:val="nl-NL" w:eastAsia="nl-NL"/>
        </w:rPr>
        <w:t xml:space="preserve"> Belanghebbende voldoet niet aan de voorwaarden voor vaste inrichting. Derhalve mag Duitsland heffen over de gehele omzet.</w:t>
      </w:r>
    </w:p>
    <w:p w:rsidR="00A8672C" w:rsidRDefault="00A8672C" w:rsidP="00D4603A">
      <w:pPr>
        <w:spacing w:line="360" w:lineRule="auto"/>
        <w:jc w:val="both"/>
        <w:rPr>
          <w:lang w:val="nl-NL" w:eastAsia="nl-NL"/>
        </w:rPr>
      </w:pPr>
    </w:p>
    <w:p w:rsidR="00A8672C" w:rsidRPr="00783007" w:rsidRDefault="00A8672C" w:rsidP="00D4603A">
      <w:pPr>
        <w:spacing w:line="360" w:lineRule="auto"/>
        <w:jc w:val="both"/>
        <w:rPr>
          <w:lang w:val="nl-NL"/>
        </w:rPr>
      </w:pPr>
      <w:r>
        <w:rPr>
          <w:lang w:val="nl-NL" w:eastAsia="nl-NL"/>
        </w:rPr>
        <w:t>Op basis van deze uitspraak kan de plaats van de vaste inrichting, indien aan de voorwaarden is voldaan, slechts als plaats van dienst aangemerkt worden indien de plaats van de zetel van bedrijfsuitoefening niet tot een fiscaal rationele oplossing leidt.</w:t>
      </w:r>
    </w:p>
    <w:p w:rsidR="00A8672C" w:rsidRPr="00AF6A98"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Faaborg-Geltien Linien</w:t>
      </w:r>
      <w:r>
        <w:rPr>
          <w:rStyle w:val="FootnoteReference"/>
          <w:i/>
          <w:lang w:val="nl-NL"/>
        </w:rPr>
        <w:footnoteReference w:id="71"/>
      </w:r>
    </w:p>
    <w:p w:rsidR="00A8672C" w:rsidRDefault="00A8672C" w:rsidP="00D4603A">
      <w:pPr>
        <w:spacing w:line="360" w:lineRule="auto"/>
        <w:jc w:val="both"/>
        <w:rPr>
          <w:lang w:val="nl-NL"/>
        </w:rPr>
      </w:pPr>
      <w:r>
        <w:rPr>
          <w:lang w:val="nl-NL"/>
        </w:rPr>
        <w:t xml:space="preserve">Belanghebbende is een Deense ondernemer die maaltijden verstrekt aan passagiers op een veerdienst tussen Denemarken en Duitsland. Belanghebbende heeft zijn activiteiten aangemerkt als dienst verricht op de plaats van de zetel van bedrijfsuitoefening, namelijk Denemarken. Duitsland stelt dat de activiteiten van belanghebbende zijn aan te merken als levering van goederen. Duitsland legde een aanslag op aan belanghebbende voor de verstrekking van maaltijden die binnen de Duitse territoriale werkingssfeer op de veerboot hadden plaatsgevonden.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Hof heeft geoordeeld dat het verstrekken van maaltijden kwalificeert als de levering van een dienst. Het leveren van voedsel is ondergeschikt aan de restaurantdienst.</w:t>
      </w:r>
    </w:p>
    <w:p w:rsidR="00A8672C" w:rsidRDefault="00A8672C" w:rsidP="00D4603A">
      <w:pPr>
        <w:spacing w:line="360" w:lineRule="auto"/>
        <w:jc w:val="both"/>
        <w:rPr>
          <w:lang w:val="nl-NL"/>
        </w:rPr>
      </w:pPr>
    </w:p>
    <w:p w:rsidR="00A8672C" w:rsidRPr="00A0601F" w:rsidRDefault="00A8672C" w:rsidP="00D4603A">
      <w:pPr>
        <w:spacing w:line="360" w:lineRule="auto"/>
        <w:jc w:val="both"/>
        <w:rPr>
          <w:lang w:val="nl-NL"/>
        </w:rPr>
      </w:pPr>
      <w:r>
        <w:rPr>
          <w:lang w:val="nl-NL"/>
        </w:rPr>
        <w:t>Op basis van het arrest Berkholz (reeds besproken) is de plaats van dienst de plaats van de zetel van bedrijfsuitoefening. De zetel van bedrijfsuitoefening vormt een bruikbaar aanknopingspunt voor de heffing van omzetbelasting, derhalve wordt niet aangesloten bij het begrip vaste inrichting.</w:t>
      </w:r>
    </w:p>
    <w:p w:rsidR="00A8672C" w:rsidRDefault="00A8672C" w:rsidP="00D4603A">
      <w:pPr>
        <w:spacing w:line="360" w:lineRule="auto"/>
        <w:jc w:val="both"/>
        <w:rPr>
          <w:i/>
          <w:lang w:val="nl-NL"/>
        </w:rPr>
      </w:pPr>
    </w:p>
    <w:p w:rsidR="00A8672C" w:rsidRDefault="00A8672C" w:rsidP="00D4603A">
      <w:pPr>
        <w:spacing w:line="360" w:lineRule="auto"/>
        <w:jc w:val="both"/>
        <w:rPr>
          <w:i/>
          <w:lang w:val="nl-NL"/>
        </w:rPr>
      </w:pPr>
      <w:r>
        <w:rPr>
          <w:i/>
          <w:lang w:val="nl-NL"/>
        </w:rPr>
        <w:t>DFDS</w:t>
      </w:r>
      <w:r>
        <w:rPr>
          <w:rStyle w:val="FootnoteReference"/>
          <w:i/>
          <w:lang w:val="nl-NL"/>
        </w:rPr>
        <w:footnoteReference w:id="72"/>
      </w:r>
    </w:p>
    <w:p w:rsidR="00A8672C" w:rsidRDefault="00A8672C" w:rsidP="00D4603A">
      <w:pPr>
        <w:spacing w:line="360" w:lineRule="auto"/>
        <w:jc w:val="both"/>
        <w:rPr>
          <w:lang w:val="nl-NL"/>
        </w:rPr>
      </w:pPr>
      <w:r w:rsidRPr="0018072A">
        <w:rPr>
          <w:lang w:val="nl-NL"/>
        </w:rPr>
        <w:t xml:space="preserve">DFDS is een Deense </w:t>
      </w:r>
      <w:r>
        <w:rPr>
          <w:lang w:val="nl-NL"/>
        </w:rPr>
        <w:t xml:space="preserve">vennootschap met als doel scheepvaart, reizen en het vervoer in het algemeen. DFDS heeft een Engelse dochtermaatschappij. Met de Engelse dochtermaatschappij is een agentuurovereenkomst gesloten. De dochter treedt niet onafhankelijk op van de moeder en kan gezien worden als een assistent van de moeder.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Engelse fiscus stelde dat DFDS omzetbelasting in Engeland was verschuldigd met betrekking tot de door de Engelse dochtermaatschappij verrichte diensten. DFDS was het hier niet mee eens en stelde dat de plaats van de zetel van bedrijfsuitoefening als plaats van dienst moest worden aangemerkt. Derhalve is volgens DFDS de omzet met betrekking tot de diensten verricht door haar dochtermaatschappij belast in Denemarken.</w:t>
      </w:r>
    </w:p>
    <w:p w:rsidR="00A8672C" w:rsidRDefault="00A8672C" w:rsidP="00D4603A">
      <w:pPr>
        <w:spacing w:line="360" w:lineRule="auto"/>
        <w:jc w:val="both"/>
        <w:rPr>
          <w:lang w:val="nl-NL"/>
        </w:rPr>
      </w:pPr>
    </w:p>
    <w:p w:rsidR="00A8672C" w:rsidRPr="0018072A" w:rsidRDefault="00A8672C" w:rsidP="00D4603A">
      <w:pPr>
        <w:spacing w:line="360" w:lineRule="auto"/>
        <w:jc w:val="both"/>
        <w:rPr>
          <w:lang w:val="nl-NL"/>
        </w:rPr>
      </w:pPr>
      <w:r>
        <w:rPr>
          <w:lang w:val="nl-NL"/>
        </w:rPr>
        <w:t>Het Hof heeft hierover geoordeeld dat de aansluiting bij de zetel van bedrijfsuitoefening voor de bepaling van de plaats van dienst leidt tot een fiscaal niet-rationele uitkomst (zie Berkholz, reeds besproken). Derhalve moet worden voor de bepaling van de plaats van dienst worden aangesloten bij het begrip vaste inrichting. De Engelse dochtermaatschappij voldoet aan de voorwaarden voor de vaste inrichting. De diensten verricht door de Engelse dochtermaatschappij zijn belast in Engeland.</w:t>
      </w:r>
    </w:p>
    <w:p w:rsidR="00A8672C" w:rsidRPr="0018072A" w:rsidRDefault="00A8672C" w:rsidP="00D4603A">
      <w:pPr>
        <w:spacing w:line="360" w:lineRule="auto"/>
        <w:jc w:val="both"/>
        <w:rPr>
          <w:i/>
          <w:lang w:val="nl-NL"/>
        </w:rPr>
      </w:pPr>
    </w:p>
    <w:p w:rsidR="00A8672C" w:rsidRPr="006D74BD" w:rsidRDefault="00A8672C" w:rsidP="00D4603A">
      <w:pPr>
        <w:spacing w:line="360" w:lineRule="auto"/>
        <w:jc w:val="both"/>
        <w:rPr>
          <w:i/>
          <w:lang w:val="nl-NL"/>
        </w:rPr>
      </w:pPr>
      <w:r w:rsidRPr="006D74BD">
        <w:rPr>
          <w:i/>
          <w:lang w:val="nl-NL"/>
        </w:rPr>
        <w:t>ARO Lease</w:t>
      </w:r>
      <w:r>
        <w:rPr>
          <w:rStyle w:val="FootnoteReference"/>
          <w:i/>
          <w:lang w:val="nl-NL"/>
        </w:rPr>
        <w:footnoteReference w:id="73"/>
      </w:r>
    </w:p>
    <w:p w:rsidR="00A8672C" w:rsidRDefault="00A8672C" w:rsidP="00D4603A">
      <w:pPr>
        <w:spacing w:line="360" w:lineRule="auto"/>
        <w:jc w:val="both"/>
        <w:rPr>
          <w:lang w:val="nl-NL"/>
        </w:rPr>
      </w:pPr>
      <w:r w:rsidRPr="00C379EF">
        <w:rPr>
          <w:lang w:val="nl-NL"/>
        </w:rPr>
        <w:t>ARO Lease BV verhuur</w:t>
      </w:r>
      <w:r>
        <w:rPr>
          <w:lang w:val="nl-NL"/>
        </w:rPr>
        <w:t>t</w:t>
      </w:r>
      <w:r w:rsidRPr="00C379EF">
        <w:rPr>
          <w:lang w:val="nl-NL"/>
        </w:rPr>
        <w:t xml:space="preserve"> auto</w:t>
      </w:r>
      <w:r>
        <w:rPr>
          <w:lang w:val="nl-NL"/>
        </w:rPr>
        <w:t>’</w:t>
      </w:r>
      <w:r w:rsidRPr="00C379EF">
        <w:rPr>
          <w:lang w:val="nl-NL"/>
        </w:rPr>
        <w:t>s aan</w:t>
      </w:r>
      <w:r>
        <w:rPr>
          <w:lang w:val="nl-NL"/>
        </w:rPr>
        <w:t xml:space="preserve"> Belgische afnemers op basis van operational lease. ARO Lease BV sluit onder andere overkomsten af met Belgische afnemers via zelfstandige tussenpersonen. ARO Lease BV heeft in Nederland omzetbelasting betaald over de behaalde omzet.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Belgische fiscus stelt zich op het standpunt dat door de aanwezigheid van een vloot auto’s er sprake is van een vaste inrichting in België. Derhalve is in België omzetbelasting verschuldigd.</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Hof heeft geoordeeld dat ten aanzien van vervoermiddelen de hoofdregel, plaats van dienst is de plaats van de dienstverstrekker, geldt op basis van controletechnische redenen. Op basis van het Berkholz arrest (reeds behandeld) heeft de plaats van de zetel van bedrijfsuitoefening de voorkeur. Slechts indien de dit tot een fiscaal niet-rationele oplossing leidt kan de plaats van een vaste inrichting in aanmerking worden genomen. ARO Lease BV voldoet niet aan de voorwaarden voor een vaste inrichting zoals beschreven in het Berkholz arrest. De plaats van dienst de plaats van de zetel van bedrijfsuitoefening. Derhalve is belanghebbende omzetbelasting verschuldigd in Nederland.</w:t>
      </w:r>
    </w:p>
    <w:p w:rsidR="00A8672C" w:rsidRDefault="00A8672C" w:rsidP="00D4603A">
      <w:pPr>
        <w:spacing w:line="360" w:lineRule="auto"/>
        <w:jc w:val="both"/>
        <w:rPr>
          <w:i/>
          <w:lang w:val="nl-NL"/>
        </w:rPr>
      </w:pPr>
    </w:p>
    <w:p w:rsidR="00A8672C" w:rsidRDefault="00A8672C" w:rsidP="00D4603A">
      <w:pPr>
        <w:spacing w:line="360" w:lineRule="auto"/>
        <w:jc w:val="both"/>
        <w:rPr>
          <w:i/>
          <w:lang w:val="nl-NL"/>
        </w:rPr>
      </w:pPr>
    </w:p>
    <w:p w:rsidR="00A8672C" w:rsidRPr="00C379EF" w:rsidRDefault="00A8672C" w:rsidP="00D4603A">
      <w:pPr>
        <w:spacing w:line="360" w:lineRule="auto"/>
        <w:jc w:val="both"/>
        <w:rPr>
          <w:i/>
          <w:lang w:val="nl-NL"/>
        </w:rPr>
      </w:pPr>
    </w:p>
    <w:p w:rsidR="00A8672C" w:rsidRPr="006D74BD" w:rsidRDefault="00A8672C" w:rsidP="00D4603A">
      <w:pPr>
        <w:spacing w:line="360" w:lineRule="auto"/>
        <w:jc w:val="both"/>
        <w:rPr>
          <w:i/>
          <w:lang w:val="nl-NL"/>
        </w:rPr>
      </w:pPr>
      <w:r w:rsidRPr="006D74BD">
        <w:rPr>
          <w:i/>
          <w:lang w:val="nl-NL"/>
        </w:rPr>
        <w:t>Lease Plan</w:t>
      </w:r>
      <w:r>
        <w:rPr>
          <w:rStyle w:val="FootnoteReference"/>
          <w:i/>
          <w:lang w:val="nl-NL"/>
        </w:rPr>
        <w:footnoteReference w:id="74"/>
      </w:r>
    </w:p>
    <w:p w:rsidR="00A8672C" w:rsidRDefault="00A8672C" w:rsidP="00D4603A">
      <w:pPr>
        <w:spacing w:line="360" w:lineRule="auto"/>
        <w:jc w:val="both"/>
        <w:rPr>
          <w:lang w:val="nl-NL"/>
        </w:rPr>
      </w:pPr>
      <w:r w:rsidRPr="001A55EE">
        <w:rPr>
          <w:lang w:val="nl-NL"/>
        </w:rPr>
        <w:t>Lease Plan is een l</w:t>
      </w:r>
      <w:r>
        <w:rPr>
          <w:lang w:val="nl-NL"/>
        </w:rPr>
        <w:t xml:space="preserve">easebedrijf en heeft als voornaamste activiteit het verhuren van personenvoertuigen in het kader van leaseovereenkomsten. De meeste afnemers zijn in Luxemburg gevestigde afnemers. Deze auto’s zijn in Luxemburg gekocht, verzekerd bij Luxemburgse verzekeringsmaatschappijen. Voor deze auto’s worden globale contracten gesloten op grond waarvan de afnemer een globale vergoeding moet betalen voor de financiering alsmede de onderhouds-, verzekerings-, en reparatiekosten. De in Luxemburg gevestigde afnemers stellen de auto’s ter beschikking aan hun werknemers waarvan een aantal in België wonen. Lease Plan heeft tevens een aantal auto’s geleased aan in België gevestigde klanten. Deze auto’s zijn in België gekocht en hiervoor zijn geen globale contracten gesloten. Het onderhoud, de verzekering en reparaties blijven voor rekening van de klant.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Lease Plan vraagt vervolgens de BTW terug die zij had betaald bij de aankoop van de auto’s in België en over de onderhouds- en reparatiekosten door Belgische garagehouders voor auto’s die waren geleased door een Luxemburgse afnemer. De Belgische fiscus weigert de teruggaaf en stelt dat er in België sprake is van een vaste inrichting.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Hof heeft geoordeeld dat er geen sprake is van een vaste inrichting omdat zij niet beschikte over eigen personeel noch over een structuur met een voldoende mate van duurzaamheid. Deze uitspraak ligt geheel in lijn met het reeds besproken arrest ARO Lease BV.</w:t>
      </w:r>
    </w:p>
    <w:p w:rsidR="00A8672C" w:rsidRDefault="00A8672C" w:rsidP="00D4603A">
      <w:pPr>
        <w:spacing w:line="360" w:lineRule="auto"/>
        <w:jc w:val="both"/>
        <w:rPr>
          <w:lang w:val="nl-NL"/>
        </w:rPr>
      </w:pPr>
    </w:p>
    <w:p w:rsidR="00A8672C" w:rsidRDefault="00A8672C" w:rsidP="00D4603A">
      <w:pPr>
        <w:spacing w:line="360" w:lineRule="auto"/>
        <w:jc w:val="both"/>
        <w:rPr>
          <w:i/>
          <w:lang w:val="nl-NL"/>
        </w:rPr>
      </w:pPr>
      <w:r>
        <w:rPr>
          <w:i/>
          <w:lang w:val="nl-NL"/>
        </w:rPr>
        <w:t>Definitie vaste inrichting</w:t>
      </w:r>
    </w:p>
    <w:p w:rsidR="00A8672C" w:rsidRDefault="00A8672C" w:rsidP="00D4603A">
      <w:pPr>
        <w:spacing w:line="360" w:lineRule="auto"/>
        <w:jc w:val="both"/>
        <w:rPr>
          <w:lang w:val="nl-NL"/>
        </w:rPr>
      </w:pPr>
      <w:r>
        <w:rPr>
          <w:lang w:val="nl-NL"/>
        </w:rPr>
        <w:t>Op basis van de besproken jurisprudentie kan gesteld worden dat er sprake is van een vaste inrichting indien cumulatief aan de volgende voorwaarden is voldaan:</w:t>
      </w:r>
    </w:p>
    <w:p w:rsidR="00A8672C" w:rsidRPr="00A14EDE" w:rsidRDefault="00A8672C" w:rsidP="00D4603A">
      <w:pPr>
        <w:pStyle w:val="ListParagraph"/>
        <w:numPr>
          <w:ilvl w:val="0"/>
          <w:numId w:val="39"/>
        </w:numPr>
        <w:spacing w:line="360" w:lineRule="auto"/>
        <w:jc w:val="both"/>
        <w:rPr>
          <w:rFonts w:ascii="Times New Roman" w:hAnsi="Times New Roman"/>
          <w:sz w:val="24"/>
          <w:szCs w:val="24"/>
        </w:rPr>
      </w:pPr>
      <w:r w:rsidRPr="00A14EDE">
        <w:rPr>
          <w:rFonts w:ascii="Times New Roman" w:hAnsi="Times New Roman"/>
          <w:sz w:val="24"/>
          <w:szCs w:val="24"/>
        </w:rPr>
        <w:t>Duurzame beschikking over personeel;</w:t>
      </w:r>
    </w:p>
    <w:p w:rsidR="00A8672C" w:rsidRPr="00A14EDE" w:rsidRDefault="00A8672C" w:rsidP="00D4603A">
      <w:pPr>
        <w:pStyle w:val="ListParagraph"/>
        <w:numPr>
          <w:ilvl w:val="0"/>
          <w:numId w:val="39"/>
        </w:numPr>
        <w:spacing w:line="360" w:lineRule="auto"/>
        <w:jc w:val="both"/>
        <w:rPr>
          <w:rFonts w:ascii="Times New Roman" w:hAnsi="Times New Roman"/>
          <w:sz w:val="24"/>
          <w:szCs w:val="24"/>
        </w:rPr>
      </w:pPr>
      <w:r w:rsidRPr="00A14EDE">
        <w:rPr>
          <w:rFonts w:ascii="Times New Roman" w:hAnsi="Times New Roman"/>
          <w:sz w:val="24"/>
          <w:szCs w:val="24"/>
        </w:rPr>
        <w:t>Duurzame beschikk</w:t>
      </w:r>
      <w:r>
        <w:rPr>
          <w:rFonts w:ascii="Times New Roman" w:hAnsi="Times New Roman"/>
          <w:sz w:val="24"/>
          <w:szCs w:val="24"/>
        </w:rPr>
        <w:t xml:space="preserve">ing over technische middelen; </w:t>
      </w:r>
    </w:p>
    <w:p w:rsidR="00A8672C" w:rsidRDefault="00A8672C" w:rsidP="00D4603A">
      <w:pPr>
        <w:pStyle w:val="ListParagraph"/>
        <w:numPr>
          <w:ilvl w:val="0"/>
          <w:numId w:val="39"/>
        </w:numPr>
        <w:spacing w:line="360" w:lineRule="auto"/>
        <w:jc w:val="both"/>
        <w:rPr>
          <w:rFonts w:ascii="Times New Roman" w:hAnsi="Times New Roman"/>
          <w:sz w:val="24"/>
          <w:szCs w:val="24"/>
        </w:rPr>
      </w:pPr>
      <w:r w:rsidRPr="00A14EDE">
        <w:rPr>
          <w:rFonts w:ascii="Times New Roman" w:hAnsi="Times New Roman"/>
          <w:sz w:val="24"/>
          <w:szCs w:val="24"/>
        </w:rPr>
        <w:t>Deze middelen dienen voor de betrokken dienstverrichtingen noodzak</w:t>
      </w:r>
      <w:r>
        <w:rPr>
          <w:rFonts w:ascii="Times New Roman" w:hAnsi="Times New Roman"/>
          <w:sz w:val="24"/>
          <w:szCs w:val="24"/>
        </w:rPr>
        <w:t>elijk te zijn; en</w:t>
      </w:r>
    </w:p>
    <w:p w:rsidR="00A8672C" w:rsidRDefault="00A8672C" w:rsidP="00D4603A">
      <w:pPr>
        <w:pStyle w:val="ListParagraph"/>
        <w:numPr>
          <w:ilvl w:val="0"/>
          <w:numId w:val="39"/>
        </w:numPr>
        <w:spacing w:line="360" w:lineRule="auto"/>
        <w:jc w:val="both"/>
        <w:rPr>
          <w:rFonts w:ascii="Times New Roman" w:hAnsi="Times New Roman"/>
          <w:sz w:val="24"/>
          <w:szCs w:val="24"/>
        </w:rPr>
      </w:pPr>
      <w:r>
        <w:rPr>
          <w:rFonts w:ascii="Times New Roman" w:hAnsi="Times New Roman"/>
          <w:sz w:val="24"/>
          <w:szCs w:val="24"/>
        </w:rPr>
        <w:t>Belastingheffing op de plaats waar de ondernemer is gevestigd leidt tot een fiscaal niet-rationele oplossing.</w:t>
      </w:r>
    </w:p>
    <w:p w:rsidR="00A8672C" w:rsidRDefault="00A8672C" w:rsidP="00D4603A">
      <w:pPr>
        <w:spacing w:line="360" w:lineRule="auto"/>
        <w:jc w:val="both"/>
        <w:rPr>
          <w:lang w:val="nl-NL"/>
        </w:rPr>
      </w:pPr>
      <w:r>
        <w:rPr>
          <w:lang w:val="nl-NL"/>
        </w:rPr>
        <w:t xml:space="preserve">De plaats van vestiging is de plaats waar de ondernemer de zetel van zijn bedrijfsuitoefening heeft of een vaste inrichting heeft en van waaruit hij de dienst verricht. Indien de plaats van de zetel van bedrijfsuitoefening afwijkt van de plaats van de vaste inrichting gaat op basis van de in deze paragraaf beschreven jurisprudentie de zetel van bedrijfsuitoefening voor op de plaats van de vaste inrichting. In beginsel is de zetel van bedrijfsuitoefening de plaats waar de ondernemer is gevestigd. Indien dit leidt tot een fiscaal niet-rationele oplossing kan aangesloten worden bij de plaats van de vaste inrichting. </w:t>
      </w:r>
    </w:p>
    <w:p w:rsidR="00A8672C" w:rsidRDefault="00A8672C" w:rsidP="00D4603A">
      <w:pPr>
        <w:spacing w:line="360" w:lineRule="auto"/>
        <w:jc w:val="both"/>
        <w:rPr>
          <w:lang w:val="nl-NL"/>
        </w:rPr>
      </w:pPr>
    </w:p>
    <w:p w:rsidR="00A8672C" w:rsidRPr="00A14EDE" w:rsidRDefault="00A8672C" w:rsidP="00D4603A">
      <w:pPr>
        <w:spacing w:line="360" w:lineRule="auto"/>
        <w:jc w:val="both"/>
        <w:rPr>
          <w:lang w:val="nl-NL"/>
        </w:rPr>
      </w:pPr>
      <w:r>
        <w:rPr>
          <w:lang w:val="nl-NL"/>
        </w:rPr>
        <w:t xml:space="preserve">Mijns inziens kan dit knelpunt met betrekking tot de vaste inrichting grotendeels worden opgelost door de hierboven beschreven definitie op te nemen in de BTW-richtlijn. Deze definitie is gevormd op basis van de besproken jurisprudentie omtrent de vaste inrichting. Het opnemen van de definitie voor de vaste inrichting in de BTW-richtlijn heeft tot gevolg dat de inwoners van de lidstaten zich kunnen beroepen op deze definitie. De lidstaten zullen naar alle waarschijnlijkheid deze definitie overnemen in hun nationale wetgeving. Het opnemen van de definitie in de BTW-richtlijn is echter geen noodzaak aangezien de inwoners van een lidstaat zich reeds kunnen beroepen op de jurisprudentie. </w:t>
      </w:r>
    </w:p>
    <w:p w:rsidR="00A8672C" w:rsidRPr="001A55EE" w:rsidRDefault="00A8672C" w:rsidP="00D4603A">
      <w:pPr>
        <w:spacing w:line="360" w:lineRule="auto"/>
        <w:jc w:val="both"/>
        <w:rPr>
          <w:lang w:val="nl-NL"/>
        </w:rPr>
      </w:pPr>
      <w:r w:rsidRPr="001A55EE">
        <w:rPr>
          <w:lang w:val="nl-NL"/>
        </w:rPr>
        <w:br w:type="page"/>
      </w:r>
    </w:p>
    <w:p w:rsidR="00A8672C" w:rsidRDefault="00A8672C" w:rsidP="00D4603A">
      <w:pPr>
        <w:pStyle w:val="Heading1"/>
        <w:jc w:val="both"/>
        <w:rPr>
          <w:szCs w:val="24"/>
        </w:rPr>
      </w:pPr>
      <w:bookmarkStart w:id="49" w:name="_Toc260928108"/>
      <w:r w:rsidRPr="00C74A9A">
        <w:rPr>
          <w:szCs w:val="24"/>
        </w:rPr>
        <w:t xml:space="preserve">Hoofdstuk </w:t>
      </w:r>
      <w:r>
        <w:rPr>
          <w:szCs w:val="24"/>
        </w:rPr>
        <w:t>7</w:t>
      </w:r>
      <w:r w:rsidRPr="00C74A9A">
        <w:rPr>
          <w:szCs w:val="24"/>
        </w:rPr>
        <w:t xml:space="preserve">: </w:t>
      </w:r>
      <w:bookmarkEnd w:id="42"/>
      <w:r>
        <w:rPr>
          <w:szCs w:val="24"/>
        </w:rPr>
        <w:t>Toepasbaarheid</w:t>
      </w:r>
      <w:bookmarkEnd w:id="49"/>
    </w:p>
    <w:p w:rsidR="00A8672C" w:rsidRPr="00B363D5" w:rsidRDefault="00A8672C" w:rsidP="00D4603A">
      <w:pPr>
        <w:spacing w:line="360" w:lineRule="auto"/>
        <w:jc w:val="both"/>
        <w:rPr>
          <w:lang w:val="nl-NL"/>
        </w:rPr>
      </w:pPr>
    </w:p>
    <w:p w:rsidR="00A8672C" w:rsidRDefault="00A8672C" w:rsidP="00D4603A">
      <w:pPr>
        <w:pStyle w:val="Heading2"/>
        <w:jc w:val="both"/>
        <w:rPr>
          <w:szCs w:val="24"/>
        </w:rPr>
      </w:pPr>
      <w:bookmarkStart w:id="50" w:name="_Toc231111868"/>
      <w:bookmarkStart w:id="51" w:name="_Toc260928109"/>
      <w:r>
        <w:rPr>
          <w:szCs w:val="24"/>
        </w:rPr>
        <w:t>7</w:t>
      </w:r>
      <w:r w:rsidRPr="00C74A9A">
        <w:rPr>
          <w:szCs w:val="24"/>
        </w:rPr>
        <w:t>.</w:t>
      </w:r>
      <w:r>
        <w:rPr>
          <w:szCs w:val="24"/>
        </w:rPr>
        <w:t>1</w:t>
      </w:r>
      <w:r w:rsidRPr="00C74A9A">
        <w:rPr>
          <w:szCs w:val="24"/>
        </w:rPr>
        <w:t xml:space="preserve"> </w:t>
      </w:r>
      <w:bookmarkEnd w:id="50"/>
      <w:r>
        <w:rPr>
          <w:szCs w:val="24"/>
        </w:rPr>
        <w:t>Situatie tot 1 januari 2010</w:t>
      </w:r>
      <w:bookmarkEnd w:id="51"/>
    </w:p>
    <w:p w:rsidR="00A8672C" w:rsidRDefault="00A8672C" w:rsidP="00D4603A">
      <w:pPr>
        <w:spacing w:line="360" w:lineRule="auto"/>
        <w:jc w:val="both"/>
        <w:rPr>
          <w:lang w:val="nl-NL"/>
        </w:rPr>
      </w:pPr>
      <w:r>
        <w:rPr>
          <w:lang w:val="nl-NL"/>
        </w:rPr>
        <w:t>In de situatie tot 1 januari 2010 geldt als hoofdregel dat diensten belast zijn op de plaats waar de dienstverlener is gevestigd. Op deze hoofdregel bestaan diverse uitzonderingen.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Een van de uitzonderingen betreft diensten die verricht worden met betrekking tot onroerend goed. De plaats van dienst voor deze diensten is de plaats waar het onroerend goed is gelegen. Er ontstaat een probleem indien het onroerend goed gelegen is in lidstaat A, de afnemer van de dienst is gevestigd in lidstaat B en de dienstverlener is gevestigd in lidstaat C. De dienstverlener dient de omzetbelasting aan te geven in lidstaat A. Hiervoor dient de dienstverlener zich te registreren in lidstaat A. Dit is een extra administratieve last. De afnemer is gevestigd in lidstaat C. Ik ga er in dit voorbeeld vanuit dat de afnemer ook een ondernemer is. De afnemer mag dan de voorbelasting aftrekken onder de aanname dat hij de onroerende zaak gebruikt voor belaste prestaties. Echter om de voorbelasting op deze dienst terug te kunnen vragen dient hij zich te registreren in lidstaat A. Dit is ook voor de afnemer een extra administratieve last. Vooral als afnemer en dienstverlener de taal van lidstaat A niet spreken.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Een andere uitzondering op de hoofdregel betreft telecommunicatiediensten. In de huidige situatie geldt voor telecommunicatiediensten dat de dienst belast is op de plaats waar de afnemer is gevestigd. Er bestaat echter nog een uitzondering met betrekking tot telecommunicatiediensten. Indien deze diensten verstrekt worden aan een niet-ondernemer zijn deze belast in het land waar het werkelijke verbruik plaatsvindt. </w:t>
      </w:r>
    </w:p>
    <w:p w:rsidR="00A8672C" w:rsidRPr="00C74A9A" w:rsidRDefault="00A8672C" w:rsidP="00D4603A">
      <w:pPr>
        <w:spacing w:line="360" w:lineRule="auto"/>
        <w:jc w:val="both"/>
        <w:rPr>
          <w:lang w:val="nl-NL"/>
        </w:rPr>
      </w:pPr>
    </w:p>
    <w:p w:rsidR="00A8672C" w:rsidRDefault="00A8672C" w:rsidP="00D4603A">
      <w:pPr>
        <w:pStyle w:val="Heading2"/>
        <w:jc w:val="both"/>
        <w:rPr>
          <w:szCs w:val="24"/>
        </w:rPr>
      </w:pPr>
      <w:bookmarkStart w:id="52" w:name="_Toc260928110"/>
      <w:r>
        <w:rPr>
          <w:szCs w:val="24"/>
        </w:rPr>
        <w:t>7.2</w:t>
      </w:r>
      <w:r w:rsidRPr="00C74A9A">
        <w:rPr>
          <w:szCs w:val="24"/>
        </w:rPr>
        <w:t xml:space="preserve"> </w:t>
      </w:r>
      <w:r>
        <w:rPr>
          <w:szCs w:val="24"/>
        </w:rPr>
        <w:t>Huidige situatie (vanaf 1 januari 2010)</w:t>
      </w:r>
      <w:bookmarkEnd w:id="52"/>
    </w:p>
    <w:p w:rsidR="00A8672C" w:rsidRDefault="00A8672C" w:rsidP="00D4603A">
      <w:pPr>
        <w:spacing w:line="360" w:lineRule="auto"/>
        <w:jc w:val="both"/>
        <w:rPr>
          <w:lang w:val="nl-NL"/>
        </w:rPr>
      </w:pPr>
      <w:r>
        <w:rPr>
          <w:lang w:val="nl-NL"/>
        </w:rPr>
        <w:t>Na de wijzigingen per 1 januari 2010 blijft de plaats van dienst voor diensten met betrekking tot onroerend goed hetzelfde, namelijk de plaats waar het onroerend goed is gelegen. De hoge administratieve lasten zoals beschreven in de vorige paragraaf blijven bestaan.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telecommunicatiediensten is de plaats van dienst bij B2B diensten de plaats waar de afnemer is gevestigd. Voor B2C diensten is de plaats van dienst de plaats waar de dienstverlener is gevestigd. Voor B2C diensten aan een afnemer buiten de Gemeenschap is de plaats van dienst de plaats waar de afnemer woont of is gevestigd. Telecommunicatiediensten verricht door een ondernemer die niet in de Gemeenschap is gevestigd zijn belast daar waar het werkelijke gebruik of de werkelijke exploitatie plaatsvindt. Voor de bepaling van de plaats van dienst met betrekking tot telecommunicatiediensten bestaan er vier verschillende regels.</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wijzigingen leiden tot een over het algemeen eenvoudiger heffingsysteem. Na de wijzigingen luidt de hoofdregel voor de plaats van dienst van B2B diensten dat de plaats van dienst de plaats is waar de afnemer is gevestigd. De plaats van dienst voor B2B diensten is niet van een groot belang. De afnemer kan de voorbelasting namelijk weer terugvragen, onder de aanname dat hij belast presteert. Per saldo is er voor een B2B dienst geen omzetbelasting verschuldigd. Doordat de plaats van dienst voor B2B diensten gelijk is aan de plaats waar de afnemer is gevestigd nemen de administratieve lasten af. Bij grensoverschrijdende diensten vindt er een automatische verlegging van de omzetbelasting naar de afnemer plaats. De dienstverlener moet op zijn factuur aangeven dat de omzetbelasting is verlegd. De afnemer moet de verschuldigde BTW in zijn eigen lidstaat aangeven. Vervolgens kan de afnemer deze voorbelasting op de dienst weer terugvragen. Per saldo is er geen omzetbelasting verschuldigd.</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Door de wijzigingen per 1 januari 2010 sluit de regelgeving beter aan bij de eenvoud van het belastingsysteem. Voor de B2B diensten die onder de hoofdregel vallen zal de plaats van dienst veranderen.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Per 1 januari 2010 is het voor de Nederlandse ondernemers ook mogelijk geworden om de teruggaaf van de buitenlandse omzetbelasting via het Nederlandse systeem terug te vragen. </w:t>
      </w:r>
    </w:p>
    <w:p w:rsidR="00A8672C" w:rsidRDefault="00A8672C" w:rsidP="00D4603A">
      <w:pPr>
        <w:spacing w:line="360" w:lineRule="auto"/>
        <w:jc w:val="both"/>
        <w:rPr>
          <w:lang w:val="nl-NL"/>
        </w:rPr>
      </w:pPr>
      <w:r>
        <w:rPr>
          <w:lang w:val="nl-NL"/>
        </w:rPr>
        <w:t>Door middel van een elektronische portaalsite van de Belastingdienst kan een ondernemer in de eigen lidstaat de omzetbelasting terugvragen die in een andere lidstaat is betaald.</w:t>
      </w:r>
      <w:r>
        <w:rPr>
          <w:rStyle w:val="FootnoteReference"/>
          <w:lang w:val="nl-NL"/>
        </w:rPr>
        <w:footnoteReference w:id="75"/>
      </w:r>
      <w:r>
        <w:rPr>
          <w:lang w:val="nl-NL"/>
        </w:rPr>
        <w:t xml:space="preserve"> De Belastingdienst zal dit teruggaafverzoek doorsturen naar de desbetreffende lidstaat. De wijzigingen per 1 januari 2010 zorgen voor een vereenvoudiging van de teruggaaf van buitenlandse omzetbelasting hierdoor zullen de administratieve lasten iets dalen.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De administratieve lasten kunnen echter nog verder dalen, namelijk als het éénloketsysteem uitgebreid wordt en de Nederlandse ondernemer ook de buitenlandse omzetbelasting in zijn nationale aangifte kan aangeven voor de diensten die hij verricht en waarvoor de plaats van dienst niet in Nederland is gelegen. De wijzigingen per 1 januari 2010 zijn mijns inziens een stap in de goede richting.</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In het wetsvoorstel staan ook wijzigingen per 1 januari 2015 omschreven. Per 1 januari 2015 wil men een éénloketsysteem invoeren, maar alleen voor telecommunicatiediensten. Dit voorstel zorgt voor een aanzienlijke lastenvermindering. Voor mij blijft het dan ook onduidelijk waarom het éénloketsysteem alleen voor telecommunicatiediensten ingevoerd wordt. Voor alle grensoverschrijdende diensten waarbij de plaats van dienst is gelegen in een andere lidstaat zou dit een aanzienlijke lastenvermindering betekenen. </w:t>
      </w:r>
    </w:p>
    <w:p w:rsidR="00A8672C" w:rsidRDefault="00A8672C" w:rsidP="00D4603A">
      <w:pPr>
        <w:spacing w:line="360" w:lineRule="auto"/>
        <w:jc w:val="both"/>
        <w:rPr>
          <w:lang w:val="nl-NL"/>
        </w:rPr>
      </w:pPr>
    </w:p>
    <w:p w:rsidR="00A8672C" w:rsidRPr="00C74A9A" w:rsidRDefault="00A8672C" w:rsidP="00D4603A">
      <w:pPr>
        <w:pStyle w:val="Heading2"/>
        <w:jc w:val="both"/>
        <w:rPr>
          <w:szCs w:val="24"/>
        </w:rPr>
      </w:pPr>
      <w:bookmarkStart w:id="53" w:name="_Toc231111867"/>
      <w:bookmarkStart w:id="54" w:name="_Toc260928111"/>
      <w:bookmarkStart w:id="55" w:name="_Toc231111876"/>
      <w:r>
        <w:rPr>
          <w:szCs w:val="24"/>
        </w:rPr>
        <w:t>7</w:t>
      </w:r>
      <w:r w:rsidRPr="00C74A9A">
        <w:rPr>
          <w:szCs w:val="24"/>
        </w:rPr>
        <w:t>.</w:t>
      </w:r>
      <w:r>
        <w:rPr>
          <w:szCs w:val="24"/>
        </w:rPr>
        <w:t>3</w:t>
      </w:r>
      <w:r w:rsidRPr="00C74A9A">
        <w:rPr>
          <w:szCs w:val="24"/>
        </w:rPr>
        <w:t xml:space="preserve"> </w:t>
      </w:r>
      <w:bookmarkEnd w:id="53"/>
      <w:r w:rsidRPr="00C74A9A">
        <w:rPr>
          <w:szCs w:val="24"/>
        </w:rPr>
        <w:t>Gewenste situatie</w:t>
      </w:r>
      <w:bookmarkEnd w:id="54"/>
    </w:p>
    <w:p w:rsidR="00A8672C" w:rsidRDefault="00A8672C" w:rsidP="00D4603A">
      <w:pPr>
        <w:spacing w:line="360" w:lineRule="auto"/>
        <w:jc w:val="both"/>
        <w:rPr>
          <w:lang w:val="nl-NL"/>
        </w:rPr>
      </w:pPr>
      <w:r>
        <w:rPr>
          <w:lang w:val="nl-NL"/>
        </w:rPr>
        <w:t>De wijzigingen per 1 januari 2010 vormen de basis voor de gewenste situatie. Deze regelgeving sluit goed aan bij de eenvoud van het belastingsysteem. Deze regelgeving kan echter problemen veroorzaken. Bij bijvoorbeeld de diensten met betrekking tot onroerend goed en telecommunicatiediensten kunnen de administratieve lasten ook na de wijzigingen per 1 januari 2010 erg groot zijn.</w:t>
      </w:r>
      <w:r w:rsidRPr="009E54C4">
        <w:rPr>
          <w:lang w:val="nl-NL"/>
        </w:rPr>
        <w:t xml:space="preserve"> </w:t>
      </w:r>
      <w:r>
        <w:rPr>
          <w:lang w:val="nl-NL"/>
        </w:rPr>
        <w:t xml:space="preserve">Voor de heffing over diensten met betrekking tot onroerend goed is het éénloketsysteem een goede oplossing. Het is duidelijk in welke lidstaat belasting geheven moet worden, namelijk in de lidstaat waar het onroerend goed is gelegen. Door de toepassing van het éénloketsysteem nemen de administratieve lasten sterk af voor het voldoen van omzetbelasting in een andere lidstaat. Voor telecommunicatiediensten is dit anders. Het is vaak onduidelijk in welke lidstaat de dienst verricht is. En soms is de dienst in meerdere lidstaten verricht. Het éénloketsysteem zorgt er voor dat de administratieve lasten voor het voldoen van de omzetbelasting sterk afnemen. Hierbij kan de presterende ondernemer alle omzetbelasting op zijn eigen nationale aangifte aangeven. In de nationale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 Maar met betrekking tot de bepaling waar de dienst wordt verricht, is nog een probleempunt.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Door middel van de invoering van een éénloketsysteem voor alle diensten nemen de administratieve lasten sterk af. De ondernemers die diensten leveren aan afnemers in een andere lidstaat en ondernemers die diensten afnemen van ondernemers in een andere lidstaat hoeven zich niet meer in die andere lidstaat te registreren. De omzetbelasting kan op de eigen nationale aangifte omzetbelasting worden aangegeven en/of afgetrokken. In de nationale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w:t>
      </w:r>
    </w:p>
    <w:p w:rsidR="00A8672C" w:rsidRDefault="00A8672C" w:rsidP="00D4603A">
      <w:pPr>
        <w:spacing w:line="360" w:lineRule="auto"/>
        <w:jc w:val="both"/>
        <w:rPr>
          <w:lang w:val="nl-NL"/>
        </w:rPr>
      </w:pPr>
    </w:p>
    <w:p w:rsidR="00A8672C" w:rsidRPr="006C1D1B" w:rsidRDefault="00A8672C" w:rsidP="00D4603A">
      <w:pPr>
        <w:spacing w:line="360" w:lineRule="auto"/>
        <w:jc w:val="both"/>
        <w:rPr>
          <w:lang w:val="nl-NL"/>
        </w:rPr>
      </w:pPr>
      <w:r>
        <w:rPr>
          <w:lang w:val="nl-NL"/>
        </w:rPr>
        <w:t>Indien er een éénloketsysteem geldt voor alle grensoverschrijdende diensten komt dit ten goede van de eenvoud van het belastingsysteem. Er bestaat echter wel een incassorisico tussen de lidstaten. De lidstaten moeten de in hun lidstaat betaalde omzetbelasting verrekenen met de andere lidstaten. Om dit goed te laten verlopen moeten de lidstaten vertrouwen in elkaar hebben. Eventueel kunnen er regels opgesteld worden met betrekking tot de verrekening tussen de lidstaten.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Mijns inziens kan de gewenste en meest optimale en tevens praktische situatie bereikt worden indien de hoofdregel voor B2B diensten en B2C diensten gelijk zijn. Als algemene hoofdregel dient de plaats van dienst gelijk te zijn aan de plaats waar de afnemer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B2B diensten dient net als in de huidige wetgeving een automatische verlegging van omzetbelasting voor grensoverschrijdende diensten te worden opgenomen. Voor B2C diensten dient een éénloketsysteem te worden gehanteerd. De uitzonderingen op de hoofdregel zoals deze per 1 januari 2010 in de wet zijn opgenomen moeten blijven bestaan. Indien met betrekking tot de uitzonderingen de omzetbelasting niet in de eigen lidstaat betaald moet worden en de omzetbelasting niet kan worden verlegd, kan het éénloketsysteem hiervoor worden toegepast.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Het éénloketsysteem is van toepassing op alle B2C diensten verricht aan een afnemer in een andere lidstaat en de B2B diensten indien de plaats van dienst van deze B2B diensten niet in de lidstaat van de ondernemer is en de BTW niet  kan worden verlegd. Dit kan voorkomen bij de volgende B2B diensten:</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Diensten met betrekking tot onroerende zaken</w:t>
      </w:r>
      <w:r>
        <w:rPr>
          <w:rFonts w:ascii="Times New Roman" w:hAnsi="Times New Roman"/>
          <w:color w:val="000000"/>
          <w:sz w:val="24"/>
          <w:szCs w:val="24"/>
          <w:lang w:eastAsia="nl-NL"/>
        </w:rPr>
        <w:t>;</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Vervoersdiensten</w:t>
      </w:r>
      <w:r>
        <w:rPr>
          <w:rFonts w:ascii="Times New Roman" w:hAnsi="Times New Roman"/>
          <w:color w:val="000000"/>
          <w:sz w:val="24"/>
          <w:szCs w:val="24"/>
          <w:lang w:eastAsia="nl-NL"/>
        </w:rPr>
        <w:t>;</w:t>
      </w:r>
    </w:p>
    <w:p w:rsidR="00A8672C" w:rsidRPr="00C81B29" w:rsidRDefault="00A8672C" w:rsidP="00B83148">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Culturele, artistieke, sportieve, wetenschappelijke, educatieve en vermakelijkheids</w:t>
      </w:r>
      <w:r>
        <w:rPr>
          <w:rFonts w:ascii="Times New Roman" w:hAnsi="Times New Roman"/>
          <w:color w:val="000000"/>
          <w:sz w:val="24"/>
          <w:szCs w:val="24"/>
          <w:lang w:eastAsia="nl-NL"/>
        </w:rPr>
        <w:t>-</w:t>
      </w:r>
      <w:r w:rsidRPr="00C81B29">
        <w:rPr>
          <w:rFonts w:ascii="Times New Roman" w:hAnsi="Times New Roman"/>
          <w:color w:val="000000"/>
          <w:sz w:val="24"/>
          <w:szCs w:val="24"/>
          <w:lang w:eastAsia="nl-NL"/>
        </w:rPr>
        <w:t>diensten</w:t>
      </w:r>
      <w:r>
        <w:rPr>
          <w:rFonts w:ascii="Times New Roman" w:hAnsi="Times New Roman"/>
          <w:color w:val="000000"/>
          <w:sz w:val="24"/>
          <w:szCs w:val="24"/>
          <w:lang w:eastAsia="nl-NL"/>
        </w:rPr>
        <w:t>;</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Met vervoer samenhangende diensten, deskundigenonderzoeken en werkzaamheden met betrekking tot roerende zaken</w:t>
      </w:r>
      <w:r>
        <w:rPr>
          <w:rFonts w:ascii="Times New Roman" w:hAnsi="Times New Roman"/>
          <w:color w:val="000000"/>
          <w:sz w:val="24"/>
          <w:szCs w:val="24"/>
          <w:lang w:eastAsia="nl-NL"/>
        </w:rPr>
        <w:t>;</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Restaurant en cateringdiensten</w:t>
      </w:r>
      <w:r>
        <w:rPr>
          <w:rFonts w:ascii="Times New Roman" w:hAnsi="Times New Roman"/>
          <w:color w:val="000000"/>
          <w:sz w:val="24"/>
          <w:szCs w:val="24"/>
          <w:lang w:eastAsia="nl-NL"/>
        </w:rPr>
        <w:t>;</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Restaurant en cateringdiensten aan boord</w:t>
      </w:r>
      <w:r>
        <w:rPr>
          <w:rFonts w:ascii="Times New Roman" w:hAnsi="Times New Roman"/>
          <w:color w:val="000000"/>
          <w:sz w:val="24"/>
          <w:szCs w:val="24"/>
          <w:lang w:eastAsia="nl-NL"/>
        </w:rPr>
        <w:t>; en</w:t>
      </w:r>
    </w:p>
    <w:p w:rsidR="00A8672C" w:rsidRPr="00C81B29" w:rsidRDefault="00A8672C" w:rsidP="00D4603A">
      <w:pPr>
        <w:pStyle w:val="ListParagraph"/>
        <w:numPr>
          <w:ilvl w:val="0"/>
          <w:numId w:val="41"/>
        </w:numPr>
        <w:spacing w:after="0" w:line="360" w:lineRule="auto"/>
        <w:jc w:val="both"/>
        <w:rPr>
          <w:rFonts w:ascii="Times New Roman" w:hAnsi="Times New Roman"/>
          <w:color w:val="000000"/>
          <w:sz w:val="24"/>
          <w:szCs w:val="24"/>
          <w:lang w:eastAsia="nl-NL"/>
        </w:rPr>
      </w:pPr>
      <w:r w:rsidRPr="00C81B29">
        <w:rPr>
          <w:rFonts w:ascii="Times New Roman" w:hAnsi="Times New Roman"/>
          <w:color w:val="000000"/>
          <w:sz w:val="24"/>
          <w:szCs w:val="24"/>
          <w:lang w:eastAsia="nl-NL"/>
        </w:rPr>
        <w:t>Kortdurende verhuur vervoermiddelen</w:t>
      </w:r>
      <w:r>
        <w:rPr>
          <w:rFonts w:ascii="Times New Roman" w:hAnsi="Times New Roman"/>
          <w:color w:val="000000"/>
          <w:sz w:val="24"/>
          <w:szCs w:val="24"/>
          <w:lang w:eastAsia="nl-NL"/>
        </w:rPr>
        <w: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Doordat het éénloketsysteem alleen kan worden toegepast voor grensoverschrijdende B2C diensten en de grensoverschrijdende diensten die onder de uitzonderingen vallen waarvoor de omzetbelasting niet kan worden verlegd, is het incassorisico voor de overheden beperkt. </w:t>
      </w:r>
    </w:p>
    <w:p w:rsidR="00A8672C" w:rsidRDefault="00A8672C" w:rsidP="00D4603A">
      <w:pPr>
        <w:spacing w:line="360" w:lineRule="auto"/>
        <w:jc w:val="both"/>
        <w:rPr>
          <w:lang w:val="nl-NL"/>
        </w:rPr>
      </w:pPr>
    </w:p>
    <w:p w:rsidR="00A8672C" w:rsidRDefault="00A8672C" w:rsidP="00D4603A">
      <w:pPr>
        <w:pStyle w:val="Heading2"/>
        <w:jc w:val="both"/>
      </w:pPr>
      <w:bookmarkStart w:id="56" w:name="_Toc260928112"/>
      <w:r>
        <w:t>7.4 Voorwaarden om aan de gewenste situatie te voldoen</w:t>
      </w:r>
      <w:bookmarkEnd w:id="56"/>
    </w:p>
    <w:p w:rsidR="00A8672C" w:rsidRPr="00A366E2" w:rsidRDefault="00A8672C" w:rsidP="00D4603A">
      <w:pPr>
        <w:spacing w:line="360" w:lineRule="auto"/>
        <w:jc w:val="both"/>
        <w:rPr>
          <w:lang w:val="nl-NL"/>
        </w:rPr>
      </w:pPr>
      <w:r w:rsidRPr="00A366E2">
        <w:rPr>
          <w:lang w:val="nl-NL"/>
        </w:rPr>
        <w:t>Om aan de gewenste situatie te kunnen voldoen dienen alle lidstaten mee te werken aan een éénloketsysteem.</w:t>
      </w:r>
      <w:r w:rsidRPr="00627C0A">
        <w:rPr>
          <w:lang w:val="nl-NL"/>
        </w:rPr>
        <w:t xml:space="preserve"> </w:t>
      </w:r>
      <w:r>
        <w:rPr>
          <w:lang w:val="nl-NL"/>
        </w:rPr>
        <w:t>Hierbij kan de presterende ondernemer alle omzetbelasting op zijn eigen nationale aangifte aangeven. In de nationale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 De ondernemer kan alle omzetbelasting in zijn eigen lidstaat afdragen. De lidstaten dienen de ontvangen omzetbelasting vervolgens onderling te verrekenen.</w:t>
      </w:r>
      <w:r w:rsidRPr="00A366E2">
        <w:rPr>
          <w:lang w:val="nl-NL"/>
        </w:rPr>
        <w:t xml:space="preserve"> Er dienen afspraken </w:t>
      </w:r>
      <w:r>
        <w:rPr>
          <w:lang w:val="nl-NL"/>
        </w:rPr>
        <w:t xml:space="preserve">te worden </w:t>
      </w:r>
      <w:r w:rsidRPr="00A366E2">
        <w:rPr>
          <w:lang w:val="nl-NL"/>
        </w:rPr>
        <w:t>gemaakt tussen alle lidstaten met betrekking tot de verrekening van de omzetbelasting. De lidstaten moeten genoeg vertrouwen in elkaar hebben dat elk</w:t>
      </w:r>
      <w:r>
        <w:rPr>
          <w:lang w:val="nl-NL"/>
        </w:rPr>
        <w:t>e lidstaat de ontvangen BTW van de daar gevestigde ondernemers ook daadwerkelijk verrekent</w:t>
      </w:r>
      <w:r w:rsidRPr="00A366E2">
        <w:rPr>
          <w:lang w:val="nl-NL"/>
        </w:rPr>
        <w:t xml:space="preserve"> met de andere lidstaten. Landen zoals bijvoorbeeld Griekenland hebben een enorm staatstekort. Indien Griekenland de BTW ontvangt </w:t>
      </w:r>
      <w:r>
        <w:rPr>
          <w:lang w:val="nl-NL"/>
        </w:rPr>
        <w:t>van de daar gevestigde ondernemers,</w:t>
      </w:r>
      <w:r w:rsidRPr="00A366E2">
        <w:rPr>
          <w:lang w:val="nl-NL"/>
        </w:rPr>
        <w:t xml:space="preserve"> zullen </w:t>
      </w:r>
      <w:r>
        <w:rPr>
          <w:lang w:val="nl-NL"/>
        </w:rPr>
        <w:t xml:space="preserve">deze </w:t>
      </w:r>
      <w:r w:rsidRPr="00A366E2">
        <w:rPr>
          <w:lang w:val="nl-NL"/>
        </w:rPr>
        <w:t>ontvangsten direct gebruikt worden in de staatskas. De kan</w:t>
      </w:r>
      <w:r>
        <w:rPr>
          <w:lang w:val="nl-NL"/>
        </w:rPr>
        <w:t>s</w:t>
      </w:r>
      <w:r w:rsidRPr="00A366E2">
        <w:rPr>
          <w:lang w:val="nl-NL"/>
        </w:rPr>
        <w:t xml:space="preserve"> bestaat dat Griekenland vervolgens tegen de andere </w:t>
      </w:r>
      <w:r>
        <w:rPr>
          <w:lang w:val="nl-NL"/>
        </w:rPr>
        <w:t>lidstaten zegt dat er geen beschikking is over voldoende liquide middelen</w:t>
      </w:r>
      <w:r w:rsidRPr="00A366E2">
        <w:rPr>
          <w:lang w:val="nl-NL"/>
        </w:rPr>
        <w:t xml:space="preserve"> om te </w:t>
      </w:r>
      <w:r>
        <w:rPr>
          <w:lang w:val="nl-NL"/>
        </w:rPr>
        <w:t xml:space="preserve">kunnen </w:t>
      </w:r>
      <w:r w:rsidRPr="00A366E2">
        <w:rPr>
          <w:lang w:val="nl-NL"/>
        </w:rPr>
        <w:t>verrekenen. Indien er een verplichting met voorrangsregel wordt vastgesteld</w:t>
      </w:r>
      <w:r>
        <w:rPr>
          <w:lang w:val="nl-NL"/>
        </w:rPr>
        <w:t>,</w:t>
      </w:r>
      <w:r w:rsidRPr="00A366E2">
        <w:rPr>
          <w:lang w:val="nl-NL"/>
        </w:rPr>
        <w:t xml:space="preserve"> is de kans hierop kleiner. De lidstaten dienen de BTW na ontvangst direct te verrekenen met de andere lidstaten voordat de ontvangen bedragen voor andere doeleinden</w:t>
      </w:r>
      <w:r>
        <w:rPr>
          <w:lang w:val="nl-NL"/>
        </w:rPr>
        <w:t xml:space="preserve"> kunnen worden</w:t>
      </w:r>
      <w:r w:rsidRPr="00A366E2">
        <w:rPr>
          <w:lang w:val="nl-NL"/>
        </w:rPr>
        <w:t xml:space="preserve"> gebruikt.</w:t>
      </w:r>
      <w:r>
        <w:rPr>
          <w:lang w:val="nl-NL"/>
        </w:rPr>
        <w:t xml:space="preserve"> Er dient echter wel een commissie te worden aangesteld om toe te zien dat de regels worden nageleefd. Lidstaten moeten dan de mogelijkheid hebben een klacht in te dienen over de lidstaat die niet meewerkt aan de verrekening. Tevens moet de commissie een rechtsmiddel, zoals bijvoorbeeld een mogelijkheid tot opleggen van een dwangsom, verkrijgen om de verrekening tussen de lidstaten te kunnen afdwingen. </w:t>
      </w:r>
    </w:p>
    <w:p w:rsidR="00A8672C" w:rsidRPr="00E20A5C" w:rsidRDefault="00A8672C" w:rsidP="00D4603A">
      <w:pPr>
        <w:pStyle w:val="Heading1"/>
        <w:jc w:val="both"/>
        <w:rPr>
          <w:szCs w:val="26"/>
        </w:rPr>
      </w:pPr>
      <w:r w:rsidRPr="003D334F">
        <w:br w:type="page"/>
      </w:r>
      <w:bookmarkStart w:id="57" w:name="_Toc231111883"/>
      <w:bookmarkStart w:id="58" w:name="_Toc260928113"/>
      <w:bookmarkEnd w:id="55"/>
      <w:r w:rsidRPr="00C74A9A">
        <w:t>Conclusie</w:t>
      </w:r>
      <w:bookmarkEnd w:id="57"/>
      <w:bookmarkEnd w:id="58"/>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sidRPr="00304457">
        <w:rPr>
          <w:lang w:val="nl-NL"/>
        </w:rPr>
        <w:t xml:space="preserve">De conclusie vormt het antwoord op de probleemstelling. </w:t>
      </w:r>
      <w:r>
        <w:rPr>
          <w:lang w:val="nl-NL"/>
        </w:rPr>
        <w:t>De probleemstelling luidt:</w:t>
      </w:r>
    </w:p>
    <w:p w:rsidR="00A8672C" w:rsidRPr="00C74A9A" w:rsidRDefault="00A8672C" w:rsidP="00DD03C1">
      <w:pPr>
        <w:spacing w:line="360" w:lineRule="auto"/>
        <w:jc w:val="both"/>
        <w:rPr>
          <w:i/>
          <w:lang w:val="nl-NL"/>
        </w:rPr>
      </w:pPr>
      <w:r w:rsidRPr="00C74A9A">
        <w:rPr>
          <w:i/>
          <w:lang w:val="nl-NL"/>
        </w:rPr>
        <w:t xml:space="preserve">Is de </w:t>
      </w:r>
      <w:r>
        <w:rPr>
          <w:i/>
          <w:lang w:val="nl-NL"/>
        </w:rPr>
        <w:t>huidige wetsbepaling</w:t>
      </w:r>
      <w:r w:rsidRPr="00C74A9A">
        <w:rPr>
          <w:i/>
          <w:lang w:val="nl-NL"/>
        </w:rPr>
        <w:t xml:space="preserve"> betreffende de plaats van dienst een verbetering </w:t>
      </w:r>
      <w:r>
        <w:rPr>
          <w:i/>
          <w:lang w:val="nl-NL"/>
        </w:rPr>
        <w:t xml:space="preserve">of slechts een verandering </w:t>
      </w:r>
      <w:r w:rsidRPr="00C74A9A">
        <w:rPr>
          <w:i/>
          <w:lang w:val="nl-NL"/>
        </w:rPr>
        <w:t xml:space="preserve">ten opzichte van de </w:t>
      </w:r>
      <w:r>
        <w:rPr>
          <w:i/>
          <w:lang w:val="nl-NL"/>
        </w:rPr>
        <w:t>situatie tot 1 januari 2010</w:t>
      </w:r>
      <w:r w:rsidRPr="00C74A9A">
        <w:rPr>
          <w:i/>
          <w:lang w:val="nl-NL"/>
        </w:rPr>
        <w:t xml:space="preserve">? </w:t>
      </w:r>
      <w:r>
        <w:rPr>
          <w:i/>
          <w:lang w:val="nl-NL"/>
        </w:rPr>
        <w:t>Wat is de gewenste situatie en hoe kan deze worden bereikt?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Door de nieuwe hoofdregel lijkt het zo dat de nieuwe wetgeving beter aansluit bij het doel van de heffing van omzetbelasting, namelijk heffen over het verbruik daar waar het verbruik plaatsvindt. Deze nieuwe hoofdregel geldt echter alleen voor B2B transacties. Ondernemers verbruiken de dienst niet, slechts de uiteindelijke consument verbruikt de dienst. De wijziging van de plaats van dienst voor B2B transacties heeft geen effect op het doel van de heffing van omzetbelasting. Aangezien de hoofdregel met betrekking tot B2C diensten niet is gewijzigd kan gesteld worden dat de wetswijziging niet tot doel had om beter aan te sluiten bij het doel van de heffing van omzetbelasting. Deze nieuwe hoofdregel sluit wel beter aan bij de eenvoud van de heffing van omzetbelasting. Door de toepassing van de nieuwe hoofdregel is bij grensoverschrijdende diensten automatisch sprake van verlegging van de omzetbelasting naar de afnemer. In de situatie tot 1 januari 2010 bestond de mogelijkheid tot verlegging van omzetbelasting bij grensoverschrijdende diensten naar de afnemer/ondernemer reeds, maar bestond de verplichting daartoe niet. De wetswijziging heeft tot doel de heffing van omzetbelasting te vereenvoudigen en de administratieve lasten te doen afnemen. Eenvoud en neutraliteit van het systeem zijn van groot belang, de wijzigingen per 1 januari 2010 hebben gezorgd voor een eenvoudiger systeem en de afname van de administratieve lasten.</w:t>
      </w:r>
    </w:p>
    <w:p w:rsidR="00A8672C" w:rsidRDefault="00A8672C" w:rsidP="00D4603A">
      <w:pPr>
        <w:spacing w:line="360" w:lineRule="auto"/>
        <w:jc w:val="both"/>
        <w:rPr>
          <w:lang w:val="nl-NL"/>
        </w:rPr>
      </w:pPr>
    </w:p>
    <w:p w:rsidR="00A8672C" w:rsidRPr="00402818" w:rsidRDefault="00A8672C" w:rsidP="00D4603A">
      <w:pPr>
        <w:spacing w:line="360" w:lineRule="auto"/>
        <w:jc w:val="both"/>
        <w:rPr>
          <w:lang w:val="nl-NL"/>
        </w:rPr>
      </w:pPr>
      <w:r>
        <w:rPr>
          <w:lang w:val="nl-NL"/>
        </w:rPr>
        <w:t>De wijzigingen per 1 januari 2010 vormen de basis voor de gewenste situatie. Deze regelgeving sluit goed aan bij de eenvoud van het belastingsysteem. Deze regelgeving kan echter problemen veroorzaken. Bij, bijvoorbeeld, diensten met betrekking tot onroerend goed en telecommunicatiediensten kunnen de administratieve lasten ook na de wijzigingen per 1 januari 2010 erg groot zijn.</w:t>
      </w:r>
      <w:r w:rsidRPr="009E54C4">
        <w:rPr>
          <w:lang w:val="nl-NL"/>
        </w:rPr>
        <w:t xml:space="preserve"> </w:t>
      </w:r>
      <w:r>
        <w:rPr>
          <w:lang w:val="nl-NL"/>
        </w:rPr>
        <w:t>Voor de heffing over diensten met betrekking tot onroerend goed is het éénloketsysteem een betere oplossing. Het is duidelijk in welke lidstaat belasting geheven moet worden, namelijk in de lidstaat waar het onroerend goed is gelegen. Door de toepassing van het éénloketsysteem nemen de administratieve lasten sterk af voor het voldoen van omzetbelasting in een andere lidstaat. Voor telecommunicatiediensten is dit anders. Het is vaak onduidelijk in welke lidstaat de dienst is verricht. En soms is de dienst in meerdere lidstaten verricht. Het éénloketsysteem zorgt er voor dat de administratieve lasten voor het voldoen van de omzetbelasting sterk afnemen. Hierbij kan de presterende ondernemer alle omzetbelasting op zijn eigen nationale aangifte aangeven. In de nationale aangifte geeft de ondernemer aan waar hij heeft gepresteerd, tegen welke vergoeding hij heeft gepresteerd en het geldende tarief van de landen waar hij heeft gepresteerd. De verschuldigde omzetbelasting in zijn aangifte wordt berekend tegen de geldende tarieven van de landen waar hij heeft gepresteerd. De ondernemer kan alle omzetbelasting in zijn eigen lidstaat afdragen. De lidstaten dienen de ontvangen omzetbelasting vervolgens onderling te verrekenen.</w:t>
      </w:r>
      <w:r w:rsidRPr="00A366E2">
        <w:rPr>
          <w:lang w:val="nl-NL"/>
        </w:rPr>
        <w:t xml:space="preserve"> </w:t>
      </w:r>
      <w:r>
        <w:rPr>
          <w:lang w:val="nl-NL"/>
        </w:rPr>
        <w:t xml:space="preserve">Maar met betrekking tot de bepaling waar de dienst verricht wordt, is er nog een probleempunt.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Mijns inziens kan de gewenste, meest optimale en tevens praktische situatie bereikt worden indien de hoofdregel voor B2B diensten en B2C diensten gelijk zijn. Als algemene hoofdregel dient de plaats van dienst gelijk te zijn aan de plaats waar de afnemer is gevestigd.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Voor B2B diensten dient net als in de huidige wetgeving een automatische verlegging van omzetbelasting voor grensoverschrijdende diensten te worden opgenomen. Voor B2C diensten dient een éénloketsysteem te worden gehanteerd. De uitzonderingen op de hoofdregel zoals deze per 1 januari 2010 in de wet zijn opgenomen moeten blijven bestaan. Indien met betrekking tot de uitzonderingen de omzetbelasting niet in de eigen lidstaat betaald moet worden en de omzetbelasting niet kan worden verlegd, kan het éénloketsysteem hiervoor worden toegepast.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 xml:space="preserve">Doordat het éénloketsysteem alleen kan worden toegepast voor grensoverschrijdende B2C diensten en de grensoverschrijdende diensten die onder de uitzonderingen vallen waarvoor de omzetbelasting niet kan worden verlegd, is het incassorisico voor de overheden beperkt. </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sidRPr="00BD462B">
        <w:rPr>
          <w:lang w:val="nl-NL"/>
        </w:rPr>
        <w:t>Om aan de gewenste situatie te kunnen voldoen dienen alle lidstaten mee te werken aan een éénloketsyst</w:t>
      </w:r>
      <w:r>
        <w:rPr>
          <w:lang w:val="nl-NL"/>
        </w:rPr>
        <w:t>eem. Er dienen afspraken</w:t>
      </w:r>
      <w:r w:rsidRPr="00BD462B">
        <w:rPr>
          <w:lang w:val="nl-NL"/>
        </w:rPr>
        <w:t xml:space="preserve"> te worden </w:t>
      </w:r>
      <w:r>
        <w:rPr>
          <w:lang w:val="nl-NL"/>
        </w:rPr>
        <w:t xml:space="preserve">gemaakt </w:t>
      </w:r>
      <w:r w:rsidRPr="00BD462B">
        <w:rPr>
          <w:lang w:val="nl-NL"/>
        </w:rPr>
        <w:t xml:space="preserve">tussen alle lidstaten met betrekking tot de verrekening van de omzetbelasting. De lidstaten moeten genoeg vertrouwen in elkaar hebben dat elke lidstaat de ontvangen BTW van </w:t>
      </w:r>
      <w:r>
        <w:rPr>
          <w:lang w:val="nl-NL"/>
        </w:rPr>
        <w:t>de daar gevestigde ondernemers</w:t>
      </w:r>
      <w:r w:rsidRPr="00BD462B">
        <w:rPr>
          <w:lang w:val="nl-NL"/>
        </w:rPr>
        <w:t xml:space="preserve"> ook daadwerkelijk verrekend met de andere lidstaten.</w:t>
      </w:r>
    </w:p>
    <w:p w:rsidR="00A8672C" w:rsidRDefault="00A8672C" w:rsidP="00D4603A">
      <w:pPr>
        <w:spacing w:line="360" w:lineRule="auto"/>
        <w:jc w:val="both"/>
        <w:rPr>
          <w:b/>
          <w:bCs/>
          <w:szCs w:val="28"/>
          <w:lang w:val="nl-NL"/>
        </w:rPr>
      </w:pPr>
      <w:r w:rsidRPr="00255341">
        <w:rPr>
          <w:lang w:val="nl-NL"/>
        </w:rPr>
        <w:br w:type="page"/>
      </w:r>
    </w:p>
    <w:p w:rsidR="00A8672C" w:rsidRDefault="00A8672C" w:rsidP="00D4603A">
      <w:pPr>
        <w:pStyle w:val="Heading1"/>
        <w:jc w:val="both"/>
        <w:rPr>
          <w:szCs w:val="24"/>
        </w:rPr>
      </w:pPr>
      <w:bookmarkStart w:id="59" w:name="_Toc260928114"/>
      <w:r>
        <w:rPr>
          <w:szCs w:val="24"/>
        </w:rPr>
        <w:t>Nawoord</w:t>
      </w:r>
      <w:bookmarkEnd w:id="59"/>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Op het moment dat ik voor het eerst over de wijziging van de bepaling van de plaats van dienst hoorde dacht ik dit onderwerp wel eventjes te onderzoeken door middel van een scriptie. Mijn plan was om rond de jaarwisseling 2009 af te studeren en vervolgens mijn carrière te starten als junior belastingadviseur bij Berk.</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Dat laatste is me gelukt, maar het afstuderen liet nog even op zich wachten. Nu, inmiddels een half jaartje later, kan ik met trots zeggen dat ik voor de zomer van 2010 afstudeer en mij op mijn carrière kan gaan richten.</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Na meer dan een jaar hard werken is mijn scriptie eindelijk af.</w:t>
      </w:r>
      <w:r w:rsidRPr="00494169">
        <w:rPr>
          <w:lang w:val="nl-NL"/>
        </w:rPr>
        <w:t xml:space="preserve"> </w:t>
      </w:r>
      <w:r>
        <w:rPr>
          <w:lang w:val="nl-NL"/>
        </w:rPr>
        <w:t>Dit heb ik gelukkig niet helemaal alleen bereikt en daarvoor wil ik t</w:t>
      </w:r>
      <w:r w:rsidRPr="00494169">
        <w:rPr>
          <w:lang w:val="nl-NL"/>
        </w:rPr>
        <w:t xml:space="preserve">en eerste mijn scriptie begeleider, Piet Oerlemans, bedanken voor </w:t>
      </w:r>
      <w:r>
        <w:rPr>
          <w:lang w:val="nl-NL"/>
        </w:rPr>
        <w:t>zijn bege</w:t>
      </w:r>
      <w:r w:rsidRPr="00494169">
        <w:rPr>
          <w:lang w:val="nl-NL"/>
        </w:rPr>
        <w:t>l</w:t>
      </w:r>
      <w:r>
        <w:rPr>
          <w:lang w:val="nl-NL"/>
        </w:rPr>
        <w:t>eiding en het voorzien van het broodnodige</w:t>
      </w:r>
      <w:r w:rsidRPr="00494169">
        <w:rPr>
          <w:lang w:val="nl-NL"/>
        </w:rPr>
        <w:t xml:space="preserve"> commentaar. Da</w:t>
      </w:r>
      <w:r>
        <w:rPr>
          <w:lang w:val="nl-NL"/>
        </w:rPr>
        <w:t>arnaast wil</w:t>
      </w:r>
      <w:r w:rsidRPr="00494169">
        <w:rPr>
          <w:lang w:val="nl-NL"/>
        </w:rPr>
        <w:t xml:space="preserve"> ik mijn familie, vrienden</w:t>
      </w:r>
      <w:r>
        <w:rPr>
          <w:lang w:val="nl-NL"/>
        </w:rPr>
        <w:t xml:space="preserve"> en</w:t>
      </w:r>
      <w:r w:rsidRPr="00494169">
        <w:rPr>
          <w:lang w:val="nl-NL"/>
        </w:rPr>
        <w:t xml:space="preserve"> collega’s bedanken voor </w:t>
      </w:r>
      <w:r>
        <w:rPr>
          <w:lang w:val="nl-NL"/>
        </w:rPr>
        <w:t>hun</w:t>
      </w:r>
      <w:r w:rsidRPr="00494169">
        <w:rPr>
          <w:lang w:val="nl-NL"/>
        </w:rPr>
        <w:t xml:space="preserve"> steun en aanmoediging tijdens het schrijven van mijn scriptie.</w:t>
      </w:r>
      <w:r>
        <w:rPr>
          <w:lang w:val="nl-NL"/>
        </w:rPr>
        <w:t xml:space="preserve"> Als laatste wil ik Richard bedanken voor zijn vertrouwen in mij.</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Met vriendelijke groet,</w:t>
      </w:r>
    </w:p>
    <w:p w:rsidR="00A8672C" w:rsidRDefault="00A8672C" w:rsidP="00D4603A">
      <w:pPr>
        <w:spacing w:line="360" w:lineRule="auto"/>
        <w:jc w:val="both"/>
        <w:rPr>
          <w:lang w:val="nl-NL"/>
        </w:rPr>
      </w:pPr>
    </w:p>
    <w:p w:rsidR="00A8672C" w:rsidRDefault="00A8672C" w:rsidP="00D4603A">
      <w:pPr>
        <w:spacing w:line="360" w:lineRule="auto"/>
        <w:jc w:val="both"/>
        <w:rPr>
          <w:lang w:val="nl-NL"/>
        </w:rPr>
      </w:pPr>
      <w:r>
        <w:rPr>
          <w:lang w:val="nl-NL"/>
        </w:rPr>
        <w:t>Irene Mooijman</w:t>
      </w:r>
    </w:p>
    <w:p w:rsidR="00A8672C" w:rsidRDefault="00A8672C" w:rsidP="00D4603A">
      <w:pPr>
        <w:spacing w:line="360" w:lineRule="auto"/>
        <w:jc w:val="both"/>
        <w:rPr>
          <w:lang w:val="nl-NL"/>
        </w:rPr>
      </w:pPr>
    </w:p>
    <w:p w:rsidR="00A8672C" w:rsidRDefault="00A8672C" w:rsidP="00D4603A">
      <w:pPr>
        <w:spacing w:line="360" w:lineRule="auto"/>
        <w:rPr>
          <w:b/>
          <w:bCs/>
          <w:szCs w:val="28"/>
          <w:lang w:val="nl-NL"/>
        </w:rPr>
      </w:pPr>
      <w:r w:rsidRPr="00494169">
        <w:rPr>
          <w:lang w:val="nl-NL"/>
        </w:rPr>
        <w:br w:type="page"/>
      </w:r>
    </w:p>
    <w:p w:rsidR="00A8672C" w:rsidRDefault="00A8672C" w:rsidP="00D4603A">
      <w:pPr>
        <w:pStyle w:val="Heading1"/>
        <w:jc w:val="both"/>
      </w:pPr>
      <w:bookmarkStart w:id="60" w:name="_Toc260928115"/>
      <w:r>
        <w:t>Literatuurlijst</w:t>
      </w:r>
      <w:bookmarkEnd w:id="60"/>
    </w:p>
    <w:p w:rsidR="00A8672C" w:rsidRDefault="00A8672C" w:rsidP="00D4603A">
      <w:pPr>
        <w:spacing w:line="360" w:lineRule="auto"/>
        <w:jc w:val="both"/>
        <w:rPr>
          <w:lang w:val="nl-NL"/>
        </w:rPr>
      </w:pPr>
    </w:p>
    <w:p w:rsidR="00A8672C" w:rsidRPr="00415282" w:rsidRDefault="00A8672C" w:rsidP="00D4603A">
      <w:pPr>
        <w:spacing w:after="100" w:afterAutospacing="1" w:line="360" w:lineRule="auto"/>
        <w:jc w:val="both"/>
        <w:rPr>
          <w:b/>
          <w:lang w:val="nl-NL"/>
        </w:rPr>
      </w:pPr>
      <w:r w:rsidRPr="00415282">
        <w:rPr>
          <w:b/>
          <w:lang w:val="nl-NL"/>
        </w:rPr>
        <w:t>Jurisprudentie</w:t>
      </w:r>
    </w:p>
    <w:p w:rsidR="00A8672C"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w:t>
      </w:r>
      <w:r>
        <w:rPr>
          <w:sz w:val="24"/>
          <w:szCs w:val="24"/>
          <w:lang w:val="nl-NL"/>
        </w:rPr>
        <w:t>of van Justitie</w:t>
      </w:r>
      <w:r w:rsidRPr="00415282">
        <w:rPr>
          <w:sz w:val="24"/>
          <w:szCs w:val="24"/>
          <w:lang w:val="nl-NL"/>
        </w:rPr>
        <w:t xml:space="preserve"> EG 5 februari 1981, 154/80 Coöperatieve aardappelbewaarplaats</w:t>
      </w:r>
    </w:p>
    <w:p w:rsidR="00A8672C" w:rsidRPr="00D94071" w:rsidRDefault="00A8672C" w:rsidP="00D4603A">
      <w:pPr>
        <w:pStyle w:val="FootnoteText"/>
        <w:numPr>
          <w:ilvl w:val="0"/>
          <w:numId w:val="25"/>
        </w:numPr>
        <w:spacing w:after="100" w:afterAutospacing="1" w:line="360" w:lineRule="auto"/>
        <w:jc w:val="both"/>
        <w:rPr>
          <w:sz w:val="24"/>
          <w:szCs w:val="24"/>
          <w:lang w:val="nl-NL"/>
        </w:rPr>
      </w:pPr>
      <w:r w:rsidRPr="00D94071">
        <w:rPr>
          <w:sz w:val="24"/>
          <w:szCs w:val="24"/>
          <w:lang w:val="nl-NL"/>
        </w:rPr>
        <w:t>Hof van Justitie EG, 4 juli 1985, Berkholz, 168/94</w:t>
      </w:r>
    </w:p>
    <w:p w:rsidR="00A8672C" w:rsidRPr="00F93920" w:rsidRDefault="00A8672C" w:rsidP="00D4603A">
      <w:pPr>
        <w:pStyle w:val="ListParagraph"/>
        <w:numPr>
          <w:ilvl w:val="0"/>
          <w:numId w:val="25"/>
        </w:numPr>
        <w:spacing w:after="100" w:afterAutospacing="1" w:line="360" w:lineRule="auto"/>
        <w:jc w:val="both"/>
        <w:rPr>
          <w:rFonts w:ascii="Times New Roman" w:hAnsi="Times New Roman"/>
          <w:sz w:val="24"/>
          <w:szCs w:val="24"/>
          <w:lang w:val="en-US"/>
        </w:rPr>
      </w:pPr>
      <w:r w:rsidRPr="00415282">
        <w:rPr>
          <w:rFonts w:ascii="Times New Roman" w:hAnsi="Times New Roman"/>
          <w:sz w:val="24"/>
          <w:szCs w:val="24"/>
          <w:lang w:val="en-US"/>
        </w:rPr>
        <w:t>Hof van Justitie EG, 2 juli 1988, Happy Family C-289/86.</w:t>
      </w:r>
    </w:p>
    <w:p w:rsidR="00A8672C" w:rsidRPr="00415282"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Hof van Justitie EG 25 mei 1993, C18-92, Bally</w:t>
      </w:r>
    </w:p>
    <w:p w:rsidR="00A8672C"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29 februari 1996, C-215/94 Mohr</w:t>
      </w:r>
    </w:p>
    <w:p w:rsidR="00A8672C" w:rsidRPr="00D94071" w:rsidRDefault="00A8672C" w:rsidP="00D4603A">
      <w:pPr>
        <w:pStyle w:val="ListParagraph"/>
        <w:numPr>
          <w:ilvl w:val="0"/>
          <w:numId w:val="25"/>
        </w:numPr>
        <w:spacing w:line="360" w:lineRule="auto"/>
        <w:rPr>
          <w:rFonts w:ascii="Times New Roman" w:hAnsi="Times New Roman"/>
          <w:sz w:val="24"/>
          <w:szCs w:val="24"/>
        </w:rPr>
      </w:pPr>
      <w:r w:rsidRPr="00D94071">
        <w:rPr>
          <w:rFonts w:ascii="Times New Roman" w:hAnsi="Times New Roman"/>
          <w:sz w:val="24"/>
          <w:szCs w:val="24"/>
        </w:rPr>
        <w:t>Hof van Justitie EG, 2 mei 1996, Faaborg-Geltien Linien, C-231/94</w:t>
      </w:r>
    </w:p>
    <w:p w:rsidR="00A8672C" w:rsidRPr="00D94071" w:rsidRDefault="00A8672C" w:rsidP="00D4603A">
      <w:pPr>
        <w:pStyle w:val="ListParagraph"/>
        <w:numPr>
          <w:ilvl w:val="0"/>
          <w:numId w:val="25"/>
        </w:numPr>
        <w:spacing w:line="360" w:lineRule="auto"/>
        <w:rPr>
          <w:rFonts w:ascii="Times New Roman" w:hAnsi="Times New Roman"/>
          <w:sz w:val="24"/>
          <w:szCs w:val="24"/>
        </w:rPr>
      </w:pPr>
      <w:r w:rsidRPr="00D94071">
        <w:rPr>
          <w:rFonts w:ascii="Times New Roman" w:hAnsi="Times New Roman"/>
          <w:sz w:val="24"/>
          <w:szCs w:val="24"/>
        </w:rPr>
        <w:t>Hof van Justitie EG, 20 februari 1997, DFDS, C-260/95</w:t>
      </w:r>
    </w:p>
    <w:p w:rsidR="00A8672C" w:rsidRPr="00D94071" w:rsidRDefault="00A8672C" w:rsidP="00D4603A">
      <w:pPr>
        <w:pStyle w:val="ListParagraph"/>
        <w:numPr>
          <w:ilvl w:val="0"/>
          <w:numId w:val="25"/>
        </w:numPr>
        <w:spacing w:after="100" w:afterAutospacing="1" w:line="360" w:lineRule="auto"/>
        <w:jc w:val="both"/>
        <w:rPr>
          <w:sz w:val="24"/>
          <w:szCs w:val="24"/>
        </w:rPr>
      </w:pPr>
      <w:r w:rsidRPr="00D94071">
        <w:rPr>
          <w:rFonts w:ascii="Times New Roman" w:hAnsi="Times New Roman"/>
          <w:sz w:val="24"/>
          <w:szCs w:val="24"/>
        </w:rPr>
        <w:t>Hof van Justitie EG, 17 juli 1997, ARO Lease, C-190/95</w:t>
      </w:r>
    </w:p>
    <w:p w:rsidR="00A8672C" w:rsidRPr="00D94071"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D94071">
        <w:rPr>
          <w:rFonts w:ascii="Times New Roman" w:hAnsi="Times New Roman"/>
          <w:sz w:val="24"/>
          <w:szCs w:val="24"/>
        </w:rPr>
        <w:t>Hof van Justitie EG, 18 december 1997, Garage Molenheide, C-286/94.</w:t>
      </w:r>
    </w:p>
    <w:p w:rsidR="00A8672C" w:rsidRPr="00D94071" w:rsidRDefault="00A8672C" w:rsidP="00D4603A">
      <w:pPr>
        <w:pStyle w:val="ListParagraph"/>
        <w:numPr>
          <w:ilvl w:val="0"/>
          <w:numId w:val="25"/>
        </w:numPr>
        <w:spacing w:line="360" w:lineRule="auto"/>
        <w:rPr>
          <w:rFonts w:ascii="Times New Roman" w:hAnsi="Times New Roman"/>
          <w:sz w:val="24"/>
          <w:szCs w:val="24"/>
        </w:rPr>
      </w:pPr>
      <w:r w:rsidRPr="00D94071">
        <w:rPr>
          <w:rFonts w:ascii="Times New Roman" w:hAnsi="Times New Roman"/>
          <w:sz w:val="24"/>
          <w:szCs w:val="24"/>
        </w:rPr>
        <w:t>Hof van Justitie EG, 7 mei 1998, LeasePlan, C-390/960</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29 juni 1999, Coffeeshop Siberië, C-158/98</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19 september 2000, Schmeink &amp; Cofreth AG &amp; Co. KG en M. Strobel, C-454/98.</w:t>
      </w:r>
    </w:p>
    <w:p w:rsidR="00A8672C" w:rsidRPr="00415282" w:rsidRDefault="00A8672C" w:rsidP="00D4603A">
      <w:pPr>
        <w:pStyle w:val="ListParagraph"/>
        <w:numPr>
          <w:ilvl w:val="0"/>
          <w:numId w:val="25"/>
        </w:numPr>
        <w:spacing w:after="100" w:afterAutospacing="1" w:line="360" w:lineRule="auto"/>
        <w:ind w:left="714" w:hanging="357"/>
        <w:jc w:val="both"/>
        <w:rPr>
          <w:rFonts w:ascii="Times New Roman" w:hAnsi="Times New Roman"/>
          <w:sz w:val="24"/>
          <w:szCs w:val="24"/>
        </w:rPr>
      </w:pPr>
      <w:r w:rsidRPr="00415282">
        <w:rPr>
          <w:rFonts w:ascii="Times New Roman" w:hAnsi="Times New Roman"/>
          <w:sz w:val="24"/>
          <w:szCs w:val="24"/>
        </w:rPr>
        <w:t>Hof van Justitie EG, 27 november 2003, Zita Modes Sàrl, C-497/01.</w:t>
      </w:r>
    </w:p>
    <w:p w:rsidR="00A8672C" w:rsidRPr="00415282"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Hof van Justitie EG, 27 april 2006, Solleveld C-443/04.</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27 april 2006, Van den Hout-Van Eijnsbergen C-444/04.</w:t>
      </w:r>
    </w:p>
    <w:p w:rsidR="00A8672C" w:rsidRPr="00415282"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Hof van Justitie EG, 11 mei 2006, Federation of Technological Industries, C-384/04.</w:t>
      </w:r>
    </w:p>
    <w:p w:rsidR="00A8672C" w:rsidRPr="00415282" w:rsidRDefault="00A8672C" w:rsidP="00D4603A">
      <w:pPr>
        <w:pStyle w:val="FootnoteText"/>
        <w:numPr>
          <w:ilvl w:val="0"/>
          <w:numId w:val="25"/>
        </w:numPr>
        <w:spacing w:after="100" w:afterAutospacing="1" w:line="360" w:lineRule="auto"/>
        <w:jc w:val="both"/>
        <w:rPr>
          <w:sz w:val="24"/>
          <w:szCs w:val="24"/>
          <w:lang w:val="en-US"/>
        </w:rPr>
      </w:pPr>
      <w:r w:rsidRPr="00415282">
        <w:rPr>
          <w:sz w:val="24"/>
          <w:szCs w:val="24"/>
          <w:lang w:val="en-US"/>
        </w:rPr>
        <w:t>HvJ EG, 20 januari 2005, C-412/03, Hotel Scandic Gasabäck AB</w:t>
      </w:r>
    </w:p>
    <w:p w:rsidR="00A8672C"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Hof van Justitie EG, 15 maart 2007, Reemtsma Cigarettenfabriken GmbH, C-35/05.</w:t>
      </w:r>
    </w:p>
    <w:p w:rsidR="00A8672C" w:rsidRPr="00415282" w:rsidRDefault="00A8672C" w:rsidP="00D4603A">
      <w:pPr>
        <w:pStyle w:val="FootnoteText"/>
        <w:numPr>
          <w:ilvl w:val="0"/>
          <w:numId w:val="25"/>
        </w:numPr>
        <w:spacing w:after="100" w:afterAutospacing="1" w:line="360" w:lineRule="auto"/>
        <w:jc w:val="both"/>
        <w:rPr>
          <w:sz w:val="24"/>
          <w:szCs w:val="24"/>
          <w:lang w:val="nl-NL"/>
        </w:rPr>
      </w:pPr>
      <w:r>
        <w:rPr>
          <w:sz w:val="24"/>
          <w:szCs w:val="24"/>
          <w:lang w:val="nl-NL"/>
        </w:rPr>
        <w:t>Hof van Justitie EG, 28 juni 2007, Planzer Luxembourg, C-73/06</w:t>
      </w:r>
    </w:p>
    <w:p w:rsidR="00A8672C" w:rsidRPr="00415282" w:rsidRDefault="00A8672C" w:rsidP="00D4603A">
      <w:pPr>
        <w:pStyle w:val="FootnoteText"/>
        <w:numPr>
          <w:ilvl w:val="0"/>
          <w:numId w:val="25"/>
        </w:numPr>
        <w:spacing w:after="100" w:afterAutospacing="1" w:line="360" w:lineRule="auto"/>
        <w:jc w:val="both"/>
        <w:rPr>
          <w:sz w:val="24"/>
          <w:szCs w:val="24"/>
          <w:lang w:val="nl-NL"/>
        </w:rPr>
      </w:pPr>
      <w:r w:rsidRPr="00415282">
        <w:rPr>
          <w:sz w:val="24"/>
          <w:szCs w:val="24"/>
          <w:lang w:val="nl-NL"/>
        </w:rPr>
        <w:t>Hof van Justitie EG, 27 september 2007, Collée, C146/05.</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27 september 2007, Teleos e.a., C-409/04.</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27 september 2007, Twoh, C-184/05.</w:t>
      </w:r>
    </w:p>
    <w:p w:rsidR="00A8672C" w:rsidRPr="00415282" w:rsidRDefault="00A8672C" w:rsidP="00D4603A">
      <w:pPr>
        <w:pStyle w:val="FootnoteText"/>
        <w:numPr>
          <w:ilvl w:val="0"/>
          <w:numId w:val="25"/>
        </w:numPr>
        <w:spacing w:after="100" w:afterAutospacing="1" w:line="360" w:lineRule="auto"/>
        <w:jc w:val="both"/>
        <w:rPr>
          <w:sz w:val="24"/>
          <w:szCs w:val="24"/>
          <w:lang w:val="en-US"/>
        </w:rPr>
      </w:pPr>
      <w:r w:rsidRPr="00415282">
        <w:rPr>
          <w:sz w:val="24"/>
          <w:szCs w:val="24"/>
        </w:rPr>
        <w:t xml:space="preserve">Hof van Justitie EG, 21 februari 2008, Netto Supermarkt GmbH &amp; Co. </w:t>
      </w:r>
      <w:r w:rsidRPr="00415282">
        <w:rPr>
          <w:sz w:val="24"/>
          <w:szCs w:val="24"/>
          <w:lang w:val="en-US"/>
        </w:rPr>
        <w:t>OHG, C-271/06</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8 mei 2008, Ecotrade SpA, C-95/07 en C -96/07.</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Hof van Justitie EG, 10 juli 2008, Fiscale eenheid Koninklijke Ahold NV, C-484/06.</w:t>
      </w:r>
    </w:p>
    <w:p w:rsidR="00A8672C" w:rsidRPr="00415282" w:rsidRDefault="00A8672C" w:rsidP="00D4603A">
      <w:pPr>
        <w:spacing w:after="100" w:afterAutospacing="1" w:line="360" w:lineRule="auto"/>
        <w:jc w:val="both"/>
        <w:rPr>
          <w:b/>
          <w:lang w:val="nl-NL"/>
        </w:rPr>
      </w:pPr>
      <w:r w:rsidRPr="00415282">
        <w:rPr>
          <w:b/>
          <w:lang w:val="nl-NL"/>
        </w:rPr>
        <w:t>Internetbronnen</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hyperlink r:id="rId7" w:history="1">
        <w:r w:rsidRPr="00415282">
          <w:rPr>
            <w:rStyle w:val="Hyperlink"/>
            <w:rFonts w:ascii="Times New Roman" w:hAnsi="Times New Roman"/>
            <w:sz w:val="24"/>
            <w:szCs w:val="24"/>
          </w:rPr>
          <w:t>www.ndfr.nl</w:t>
        </w:r>
      </w:hyperlink>
      <w:r w:rsidRPr="00415282">
        <w:rPr>
          <w:rFonts w:ascii="Times New Roman" w:hAnsi="Times New Roman"/>
          <w:sz w:val="24"/>
          <w:szCs w:val="24"/>
        </w:rPr>
        <w:t>, algemene criteria maatstaf van heffing</w:t>
      </w:r>
    </w:p>
    <w:p w:rsidR="00A8672C" w:rsidRPr="00415282" w:rsidRDefault="00A8672C" w:rsidP="00D4603A">
      <w:pPr>
        <w:pStyle w:val="ListParagraph"/>
        <w:numPr>
          <w:ilvl w:val="0"/>
          <w:numId w:val="25"/>
        </w:numPr>
        <w:spacing w:after="100" w:afterAutospacing="1" w:line="360" w:lineRule="auto"/>
        <w:jc w:val="both"/>
        <w:rPr>
          <w:rFonts w:ascii="Times New Roman" w:hAnsi="Times New Roman"/>
          <w:sz w:val="24"/>
          <w:szCs w:val="24"/>
        </w:rPr>
      </w:pPr>
      <w:hyperlink r:id="rId8" w:history="1">
        <w:r w:rsidRPr="00415282">
          <w:rPr>
            <w:rStyle w:val="Hyperlink"/>
            <w:rFonts w:ascii="Times New Roman" w:hAnsi="Times New Roman"/>
            <w:sz w:val="24"/>
            <w:szCs w:val="24"/>
          </w:rPr>
          <w:t>www.ndfr.nl</w:t>
        </w:r>
      </w:hyperlink>
      <w:r w:rsidRPr="00415282">
        <w:rPr>
          <w:rFonts w:ascii="Times New Roman" w:hAnsi="Times New Roman"/>
          <w:sz w:val="24"/>
          <w:szCs w:val="24"/>
        </w:rPr>
        <w:t xml:space="preserve"> commentaar artikel 6.1 Wet OB 1968</w:t>
      </w:r>
    </w:p>
    <w:p w:rsidR="00A8672C" w:rsidRPr="00415282" w:rsidRDefault="00A8672C" w:rsidP="00D4603A">
      <w:pPr>
        <w:spacing w:after="100" w:afterAutospacing="1" w:line="360" w:lineRule="auto"/>
        <w:jc w:val="both"/>
        <w:rPr>
          <w:b/>
          <w:lang w:val="nl-NL"/>
        </w:rPr>
      </w:pPr>
      <w:r>
        <w:rPr>
          <w:b/>
          <w:lang w:val="nl-NL"/>
        </w:rPr>
        <w:t>Literatuur</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Cnossen,</w:t>
      </w:r>
      <w:r w:rsidRPr="00853132">
        <w:rPr>
          <w:sz w:val="24"/>
          <w:szCs w:val="24"/>
          <w:lang w:val="nl-NL"/>
        </w:rPr>
        <w:t xml:space="preserve"> </w:t>
      </w:r>
      <w:r w:rsidRPr="00415282">
        <w:rPr>
          <w:sz w:val="24"/>
          <w:szCs w:val="24"/>
          <w:lang w:val="nl-NL"/>
        </w:rPr>
        <w:t>Prof. dr. S.</w:t>
      </w:r>
      <w:r>
        <w:rPr>
          <w:sz w:val="24"/>
          <w:szCs w:val="24"/>
          <w:lang w:val="nl-NL"/>
        </w:rPr>
        <w:t>,</w:t>
      </w:r>
      <w:r w:rsidRPr="00415282">
        <w:rPr>
          <w:sz w:val="24"/>
          <w:szCs w:val="24"/>
          <w:lang w:val="nl-NL"/>
        </w:rPr>
        <w:t xml:space="preserve">  Hoe kan consumptie worden belast?</w:t>
      </w:r>
      <w:r>
        <w:rPr>
          <w:sz w:val="24"/>
          <w:szCs w:val="24"/>
          <w:lang w:val="nl-NL"/>
        </w:rPr>
        <w:t>,</w:t>
      </w:r>
      <w:r w:rsidRPr="006D0C7F">
        <w:rPr>
          <w:sz w:val="24"/>
          <w:szCs w:val="24"/>
          <w:lang w:val="nl-NL"/>
        </w:rPr>
        <w:t xml:space="preserve"> </w:t>
      </w:r>
      <w:r w:rsidRPr="00415282">
        <w:rPr>
          <w:sz w:val="24"/>
          <w:szCs w:val="24"/>
          <w:lang w:val="nl-NL"/>
        </w:rPr>
        <w:t>WFR 2000/680</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Cursus Belastingrecht Omzetbelasting, Hoofdstuk II, afdeling 1. 2.1.3. Diensten (art. 4)</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Cursus Belastingrecht, Europees Belastingrecht, Hoofdstuk 4 Algemene rechtsbeginselen, 4.0.7. Evenredigheidsbeginsel.</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Doesem, Van</w:t>
      </w:r>
      <w:r>
        <w:rPr>
          <w:sz w:val="24"/>
          <w:szCs w:val="24"/>
          <w:lang w:val="nl-NL"/>
        </w:rPr>
        <w:t xml:space="preserve">, Kesteren, Van, </w:t>
      </w:r>
      <w:r w:rsidRPr="00415282">
        <w:rPr>
          <w:sz w:val="24"/>
          <w:szCs w:val="24"/>
          <w:lang w:val="nl-NL"/>
        </w:rPr>
        <w:t>Norden</w:t>
      </w:r>
      <w:r>
        <w:rPr>
          <w:sz w:val="24"/>
          <w:szCs w:val="24"/>
          <w:lang w:val="nl-NL"/>
        </w:rPr>
        <w:t>, Van</w:t>
      </w:r>
      <w:r w:rsidRPr="00415282">
        <w:rPr>
          <w:sz w:val="24"/>
          <w:szCs w:val="24"/>
          <w:lang w:val="nl-NL"/>
        </w:rPr>
        <w:t xml:space="preserve"> en Reiniers,</w:t>
      </w:r>
      <w:r>
        <w:rPr>
          <w:sz w:val="24"/>
          <w:szCs w:val="24"/>
          <w:lang w:val="nl-NL"/>
        </w:rPr>
        <w:t xml:space="preserve"> </w:t>
      </w:r>
      <w:r w:rsidRPr="00415282">
        <w:rPr>
          <w:sz w:val="24"/>
          <w:szCs w:val="24"/>
          <w:lang w:val="nl-NL"/>
        </w:rPr>
        <w:t>De nieuwe regels voor de plaats van dienst</w:t>
      </w:r>
      <w:r>
        <w:rPr>
          <w:sz w:val="24"/>
          <w:szCs w:val="24"/>
          <w:lang w:val="nl-NL"/>
        </w:rPr>
        <w:t>,</w:t>
      </w:r>
      <w:r w:rsidRPr="006D0C7F">
        <w:rPr>
          <w:sz w:val="24"/>
          <w:szCs w:val="24"/>
          <w:lang w:val="nl-NL"/>
        </w:rPr>
        <w:t xml:space="preserve"> </w:t>
      </w:r>
      <w:r w:rsidRPr="00415282">
        <w:rPr>
          <w:sz w:val="24"/>
          <w:szCs w:val="24"/>
          <w:lang w:val="nl-NL"/>
        </w:rPr>
        <w:t>WFR 2008/279</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Pr>
          <w:sz w:val="24"/>
          <w:szCs w:val="24"/>
          <w:lang w:val="nl-NL"/>
        </w:rPr>
        <w:t xml:space="preserve">Hilten, mr. dr. M.E. van, Kesteren, prof. dr. H.W.M. van, </w:t>
      </w:r>
      <w:r w:rsidRPr="00415282">
        <w:rPr>
          <w:sz w:val="24"/>
          <w:szCs w:val="24"/>
          <w:lang w:val="nl-NL"/>
        </w:rPr>
        <w:t>FED Fiscale studieserie Omzetbelasting 11</w:t>
      </w:r>
      <w:r w:rsidRPr="00415282">
        <w:rPr>
          <w:sz w:val="24"/>
          <w:szCs w:val="24"/>
          <w:vertAlign w:val="superscript"/>
          <w:lang w:val="nl-NL"/>
        </w:rPr>
        <w:t>e</w:t>
      </w:r>
      <w:r w:rsidRPr="00415282">
        <w:rPr>
          <w:sz w:val="24"/>
          <w:szCs w:val="24"/>
          <w:lang w:val="nl-NL"/>
        </w:rPr>
        <w:t xml:space="preserve"> druk, paragraaf  1.6, 2.3 en 2.4.</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Hilten,</w:t>
      </w:r>
      <w:r w:rsidRPr="00853132">
        <w:rPr>
          <w:sz w:val="24"/>
          <w:szCs w:val="24"/>
          <w:lang w:val="nl-NL"/>
        </w:rPr>
        <w:t xml:space="preserve"> </w:t>
      </w:r>
      <w:r>
        <w:rPr>
          <w:sz w:val="24"/>
          <w:szCs w:val="24"/>
          <w:lang w:val="nl-NL"/>
        </w:rPr>
        <w:t>d</w:t>
      </w:r>
      <w:r w:rsidRPr="00415282">
        <w:rPr>
          <w:sz w:val="24"/>
          <w:szCs w:val="24"/>
          <w:lang w:val="nl-NL"/>
        </w:rPr>
        <w:t>r. Mariken E. van</w:t>
      </w:r>
      <w:r>
        <w:rPr>
          <w:sz w:val="24"/>
          <w:szCs w:val="24"/>
          <w:lang w:val="nl-NL"/>
        </w:rPr>
        <w:t>,</w:t>
      </w:r>
      <w:r w:rsidRPr="00415282">
        <w:rPr>
          <w:sz w:val="24"/>
          <w:szCs w:val="24"/>
          <w:lang w:val="nl-NL"/>
        </w:rPr>
        <w:t xml:space="preserve"> De maatstaf van BTW-heffing: hoe subjectief is subjectief?</w:t>
      </w:r>
      <w:r>
        <w:rPr>
          <w:sz w:val="24"/>
          <w:szCs w:val="24"/>
          <w:lang w:val="nl-NL"/>
        </w:rPr>
        <w:t>,</w:t>
      </w:r>
      <w:r w:rsidRPr="006D0C7F">
        <w:rPr>
          <w:sz w:val="24"/>
          <w:szCs w:val="24"/>
          <w:lang w:val="nl-NL"/>
        </w:rPr>
        <w:t xml:space="preserve"> </w:t>
      </w:r>
      <w:r w:rsidRPr="00415282">
        <w:rPr>
          <w:sz w:val="24"/>
          <w:szCs w:val="24"/>
          <w:lang w:val="nl-NL"/>
        </w:rPr>
        <w:t>WFR 1995/76</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Kamminga</w:t>
      </w:r>
      <w:r>
        <w:rPr>
          <w:rFonts w:ascii="Times New Roman" w:hAnsi="Times New Roman"/>
          <w:sz w:val="24"/>
          <w:szCs w:val="24"/>
        </w:rPr>
        <w:t>,</w:t>
      </w:r>
      <w:r w:rsidRPr="00415282">
        <w:rPr>
          <w:rFonts w:ascii="Times New Roman" w:hAnsi="Times New Roman"/>
          <w:sz w:val="24"/>
          <w:szCs w:val="24"/>
        </w:rPr>
        <w:t xml:space="preserve"> </w:t>
      </w:r>
      <w:r>
        <w:rPr>
          <w:rFonts w:ascii="Times New Roman" w:hAnsi="Times New Roman"/>
          <w:sz w:val="24"/>
          <w:szCs w:val="24"/>
        </w:rPr>
        <w:t>m</w:t>
      </w:r>
      <w:r w:rsidRPr="00415282">
        <w:rPr>
          <w:rFonts w:ascii="Times New Roman" w:hAnsi="Times New Roman"/>
          <w:sz w:val="24"/>
          <w:szCs w:val="24"/>
        </w:rPr>
        <w:t>r. J.A.</w:t>
      </w:r>
      <w:r>
        <w:rPr>
          <w:rFonts w:ascii="Times New Roman" w:hAnsi="Times New Roman"/>
          <w:sz w:val="24"/>
          <w:szCs w:val="24"/>
        </w:rPr>
        <w:t>,</w:t>
      </w:r>
      <w:r w:rsidRPr="00415282">
        <w:rPr>
          <w:rFonts w:ascii="Times New Roman" w:hAnsi="Times New Roman"/>
          <w:sz w:val="24"/>
          <w:szCs w:val="24"/>
        </w:rPr>
        <w:t xml:space="preserve"> Het actuele BTW-beleid van de Eur</w:t>
      </w:r>
      <w:r>
        <w:rPr>
          <w:rFonts w:ascii="Times New Roman" w:hAnsi="Times New Roman"/>
          <w:sz w:val="24"/>
          <w:szCs w:val="24"/>
        </w:rPr>
        <w:t xml:space="preserve">opese Commissie, in perspectief, </w:t>
      </w:r>
      <w:r w:rsidRPr="00415282">
        <w:rPr>
          <w:rFonts w:ascii="Times New Roman" w:hAnsi="Times New Roman"/>
          <w:sz w:val="24"/>
          <w:szCs w:val="24"/>
        </w:rPr>
        <w:t>WFR 2004/1103</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Kogels,</w:t>
      </w:r>
      <w:r w:rsidRPr="00853132">
        <w:rPr>
          <w:sz w:val="24"/>
          <w:szCs w:val="24"/>
          <w:lang w:val="nl-NL"/>
        </w:rPr>
        <w:t xml:space="preserve"> </w:t>
      </w:r>
      <w:r w:rsidRPr="00415282">
        <w:rPr>
          <w:sz w:val="24"/>
          <w:szCs w:val="24"/>
          <w:lang w:val="nl-NL"/>
        </w:rPr>
        <w:t>Prof. dr. H.A.</w:t>
      </w:r>
      <w:r>
        <w:rPr>
          <w:sz w:val="24"/>
          <w:szCs w:val="24"/>
          <w:lang w:val="nl-NL"/>
        </w:rPr>
        <w:t>,</w:t>
      </w:r>
      <w:r w:rsidRPr="00415282">
        <w:rPr>
          <w:sz w:val="24"/>
          <w:szCs w:val="24"/>
          <w:lang w:val="nl-NL"/>
        </w:rPr>
        <w:t xml:space="preserve"> De omzetbelasting- van tijdelijke crisismaatre</w:t>
      </w:r>
      <w:r>
        <w:rPr>
          <w:sz w:val="24"/>
          <w:szCs w:val="24"/>
          <w:lang w:val="nl-NL"/>
        </w:rPr>
        <w:t xml:space="preserve">gel tot structurele topscoorder, </w:t>
      </w:r>
      <w:r w:rsidRPr="00415282">
        <w:rPr>
          <w:sz w:val="24"/>
          <w:szCs w:val="24"/>
          <w:lang w:val="nl-NL"/>
        </w:rPr>
        <w:t>MBB 2006/207</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Kogels, Prof. dr. H.A.</w:t>
      </w:r>
      <w:r>
        <w:rPr>
          <w:rFonts w:ascii="Times New Roman" w:hAnsi="Times New Roman"/>
          <w:sz w:val="24"/>
          <w:szCs w:val="24"/>
        </w:rPr>
        <w:t>,</w:t>
      </w:r>
      <w:r w:rsidRPr="00415282">
        <w:rPr>
          <w:rFonts w:ascii="Times New Roman" w:hAnsi="Times New Roman"/>
          <w:sz w:val="24"/>
          <w:szCs w:val="24"/>
        </w:rPr>
        <w:t xml:space="preserve"> </w:t>
      </w:r>
      <w:r>
        <w:rPr>
          <w:rFonts w:ascii="Times New Roman" w:hAnsi="Times New Roman"/>
          <w:sz w:val="24"/>
          <w:szCs w:val="24"/>
        </w:rPr>
        <w:t>Modernisering van de btw, MBB 2008/99</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 xml:space="preserve">Merkx, </w:t>
      </w:r>
      <w:r>
        <w:rPr>
          <w:rFonts w:ascii="Times New Roman" w:hAnsi="Times New Roman"/>
          <w:sz w:val="24"/>
          <w:szCs w:val="24"/>
        </w:rPr>
        <w:t>m</w:t>
      </w:r>
      <w:r w:rsidRPr="00415282">
        <w:rPr>
          <w:rFonts w:ascii="Times New Roman" w:hAnsi="Times New Roman"/>
          <w:sz w:val="24"/>
          <w:szCs w:val="24"/>
        </w:rPr>
        <w:t xml:space="preserve">evr. mr. M.M.W.D., Enkele beschouwingen over de toepassing van de nieuwe hoofdregel voor de plaats van </w:t>
      </w:r>
      <w:r>
        <w:rPr>
          <w:rFonts w:ascii="Times New Roman" w:hAnsi="Times New Roman"/>
          <w:sz w:val="24"/>
          <w:szCs w:val="24"/>
        </w:rPr>
        <w:t xml:space="preserve">dienst voor belastingplichtigen, </w:t>
      </w:r>
      <w:r w:rsidRPr="00415282">
        <w:rPr>
          <w:rFonts w:ascii="Times New Roman" w:hAnsi="Times New Roman"/>
          <w:sz w:val="24"/>
          <w:szCs w:val="24"/>
        </w:rPr>
        <w:t>TFO 2009/126</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NTFR 2005/274</w:t>
      </w:r>
      <w:r>
        <w:rPr>
          <w:rFonts w:ascii="Times New Roman" w:hAnsi="Times New Roman"/>
          <w:sz w:val="24"/>
          <w:szCs w:val="24"/>
        </w:rPr>
        <w:t xml:space="preserve">, </w:t>
      </w:r>
      <w:r w:rsidRPr="00415282">
        <w:rPr>
          <w:rFonts w:ascii="Times New Roman" w:hAnsi="Times New Roman"/>
          <w:sz w:val="24"/>
          <w:szCs w:val="24"/>
        </w:rPr>
        <w:t xml:space="preserve">HR 11 februari 2005, nr. 38.022, </w:t>
      </w:r>
    </w:p>
    <w:p w:rsidR="00A8672C" w:rsidRPr="00415282" w:rsidRDefault="00A8672C" w:rsidP="00D4603A">
      <w:pPr>
        <w:pStyle w:val="ListParagraph"/>
        <w:numPr>
          <w:ilvl w:val="0"/>
          <w:numId w:val="27"/>
        </w:numPr>
        <w:spacing w:after="100" w:afterAutospacing="1" w:line="360" w:lineRule="auto"/>
        <w:jc w:val="both"/>
        <w:rPr>
          <w:rFonts w:ascii="Times New Roman" w:hAnsi="Times New Roman"/>
          <w:sz w:val="24"/>
          <w:szCs w:val="24"/>
        </w:rPr>
      </w:pPr>
      <w:r w:rsidRPr="00415282">
        <w:rPr>
          <w:rFonts w:ascii="Times New Roman" w:hAnsi="Times New Roman"/>
          <w:sz w:val="24"/>
          <w:szCs w:val="24"/>
        </w:rPr>
        <w:t>NTFR2007-1243, Hof van Justitie EG 28 juni 2007, nr. C-073/06</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 xml:space="preserve">Soltysik, </w:t>
      </w:r>
      <w:r>
        <w:rPr>
          <w:sz w:val="24"/>
          <w:szCs w:val="24"/>
          <w:lang w:val="nl-NL"/>
        </w:rPr>
        <w:t>m</w:t>
      </w:r>
      <w:r w:rsidRPr="00415282">
        <w:rPr>
          <w:sz w:val="24"/>
          <w:szCs w:val="24"/>
          <w:lang w:val="nl-NL"/>
        </w:rPr>
        <w:t xml:space="preserve">r. M.W.C. </w:t>
      </w:r>
      <w:r>
        <w:rPr>
          <w:sz w:val="24"/>
          <w:szCs w:val="24"/>
          <w:lang w:val="nl-NL"/>
        </w:rPr>
        <w:t>,</w:t>
      </w:r>
      <w:r w:rsidRPr="00415282">
        <w:rPr>
          <w:sz w:val="24"/>
          <w:szCs w:val="24"/>
          <w:lang w:val="nl-NL"/>
        </w:rPr>
        <w:t xml:space="preserve"> Uitbreiding btw-ondernemerschap in verbad met nieuwe regels plaats dienst en privé gebruik: het klopt niet!</w:t>
      </w:r>
      <w:r>
        <w:rPr>
          <w:sz w:val="24"/>
          <w:szCs w:val="24"/>
          <w:lang w:val="nl-NL"/>
        </w:rPr>
        <w:t>,</w:t>
      </w:r>
      <w:r w:rsidRPr="006D0C7F">
        <w:rPr>
          <w:sz w:val="24"/>
          <w:szCs w:val="24"/>
          <w:lang w:val="nl-NL"/>
        </w:rPr>
        <w:t xml:space="preserve"> </w:t>
      </w:r>
      <w:r w:rsidRPr="00415282">
        <w:rPr>
          <w:sz w:val="24"/>
          <w:szCs w:val="24"/>
          <w:lang w:val="nl-NL"/>
        </w:rPr>
        <w:t>WFR 2010/196</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VN 1992/2525</w:t>
      </w:r>
    </w:p>
    <w:p w:rsidR="00A8672C" w:rsidRPr="00415282"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VN 2007/36.23 Planzer-arrest HvJ EG nr C-73/06</w:t>
      </w:r>
    </w:p>
    <w:p w:rsidR="00A8672C" w:rsidRPr="006D0C7F" w:rsidRDefault="00A8672C" w:rsidP="00D4603A">
      <w:pPr>
        <w:pStyle w:val="FootnoteText"/>
        <w:numPr>
          <w:ilvl w:val="0"/>
          <w:numId w:val="27"/>
        </w:numPr>
        <w:spacing w:after="100" w:afterAutospacing="1" w:line="360" w:lineRule="auto"/>
        <w:jc w:val="both"/>
        <w:rPr>
          <w:sz w:val="24"/>
          <w:szCs w:val="24"/>
          <w:lang w:val="nl-NL"/>
        </w:rPr>
      </w:pPr>
      <w:r w:rsidRPr="00415282">
        <w:rPr>
          <w:sz w:val="24"/>
          <w:szCs w:val="24"/>
          <w:lang w:val="nl-NL"/>
        </w:rPr>
        <w:t xml:space="preserve">Wolf, </w:t>
      </w:r>
      <w:r>
        <w:rPr>
          <w:sz w:val="24"/>
          <w:szCs w:val="24"/>
          <w:lang w:val="nl-NL"/>
        </w:rPr>
        <w:t>m</w:t>
      </w:r>
      <w:r w:rsidRPr="00415282">
        <w:rPr>
          <w:sz w:val="24"/>
          <w:szCs w:val="24"/>
          <w:lang w:val="nl-NL"/>
        </w:rPr>
        <w:t>r. R.A. de</w:t>
      </w:r>
      <w:r>
        <w:rPr>
          <w:sz w:val="24"/>
          <w:szCs w:val="24"/>
          <w:lang w:val="nl-NL"/>
        </w:rPr>
        <w:t>,</w:t>
      </w:r>
      <w:r w:rsidRPr="00415282">
        <w:rPr>
          <w:sz w:val="24"/>
          <w:szCs w:val="24"/>
          <w:lang w:val="nl-NL"/>
        </w:rPr>
        <w:t xml:space="preserve"> Wie betaald de rekening? Het HvJ EG in Teleos, Collée en Twoh</w:t>
      </w:r>
      <w:r>
        <w:rPr>
          <w:sz w:val="24"/>
          <w:szCs w:val="24"/>
          <w:lang w:val="nl-NL"/>
        </w:rPr>
        <w:t>,</w:t>
      </w:r>
      <w:r w:rsidRPr="006D0C7F">
        <w:rPr>
          <w:sz w:val="24"/>
          <w:szCs w:val="24"/>
          <w:lang w:val="nl-NL"/>
        </w:rPr>
        <w:t xml:space="preserve"> </w:t>
      </w:r>
      <w:r w:rsidRPr="00415282">
        <w:rPr>
          <w:sz w:val="24"/>
          <w:szCs w:val="24"/>
          <w:lang w:val="nl-NL"/>
        </w:rPr>
        <w:t>WFR 2007/1225</w:t>
      </w:r>
    </w:p>
    <w:p w:rsidR="00A8672C" w:rsidRDefault="00A8672C" w:rsidP="002F1EE5">
      <w:pPr>
        <w:spacing w:after="100" w:afterAutospacing="1" w:line="360" w:lineRule="auto"/>
        <w:jc w:val="both"/>
        <w:rPr>
          <w:b/>
          <w:lang w:val="nl-NL"/>
        </w:rPr>
      </w:pPr>
      <w:r w:rsidRPr="00415282">
        <w:rPr>
          <w:b/>
          <w:lang w:val="nl-NL"/>
        </w:rPr>
        <w:t>Kamerstukken</w:t>
      </w:r>
    </w:p>
    <w:p w:rsidR="00A8672C" w:rsidRDefault="00A8672C" w:rsidP="00D4603A">
      <w:pPr>
        <w:pStyle w:val="ListParagraph"/>
        <w:numPr>
          <w:ilvl w:val="0"/>
          <w:numId w:val="29"/>
        </w:numPr>
        <w:spacing w:after="0" w:line="360" w:lineRule="auto"/>
        <w:rPr>
          <w:rFonts w:ascii="Times New Roman" w:hAnsi="Times New Roman"/>
          <w:sz w:val="24"/>
          <w:szCs w:val="24"/>
        </w:rPr>
      </w:pPr>
      <w:r w:rsidRPr="007226FB">
        <w:rPr>
          <w:rFonts w:ascii="Times New Roman" w:hAnsi="Times New Roman"/>
          <w:sz w:val="24"/>
          <w:szCs w:val="24"/>
        </w:rPr>
        <w:t>Kamerstukken I, 2009-2010, 31 907, nr. C</w:t>
      </w:r>
    </w:p>
    <w:p w:rsidR="00A8672C" w:rsidRPr="00003FA2" w:rsidRDefault="00A8672C" w:rsidP="00D4603A">
      <w:pPr>
        <w:pStyle w:val="ListParagraph"/>
        <w:numPr>
          <w:ilvl w:val="0"/>
          <w:numId w:val="29"/>
        </w:numPr>
        <w:spacing w:after="0" w:line="360" w:lineRule="auto"/>
        <w:rPr>
          <w:rFonts w:ascii="Times New Roman" w:hAnsi="Times New Roman"/>
          <w:sz w:val="24"/>
          <w:szCs w:val="24"/>
        </w:rPr>
      </w:pPr>
      <w:r w:rsidRPr="00003FA2">
        <w:rPr>
          <w:rFonts w:ascii="Times New Roman" w:hAnsi="Times New Roman"/>
          <w:sz w:val="24"/>
          <w:szCs w:val="24"/>
        </w:rPr>
        <w:t>Kamerstukken I, 2009-2010, 31 907, nr. 12</w:t>
      </w:r>
    </w:p>
    <w:p w:rsidR="00A8672C" w:rsidRPr="007226FB" w:rsidRDefault="00A8672C" w:rsidP="00D4603A">
      <w:pPr>
        <w:pStyle w:val="FootnoteText"/>
        <w:numPr>
          <w:ilvl w:val="0"/>
          <w:numId w:val="29"/>
        </w:numPr>
        <w:spacing w:line="360" w:lineRule="auto"/>
        <w:jc w:val="both"/>
        <w:rPr>
          <w:sz w:val="24"/>
          <w:szCs w:val="24"/>
          <w:lang w:val="nl-NL"/>
        </w:rPr>
      </w:pPr>
      <w:r w:rsidRPr="007226FB">
        <w:rPr>
          <w:sz w:val="24"/>
          <w:szCs w:val="24"/>
          <w:lang w:val="nl-NL"/>
        </w:rPr>
        <w:t>Kamerstukken II,  2008-2009, 31 907, nr 7</w:t>
      </w:r>
    </w:p>
    <w:p w:rsidR="00A8672C" w:rsidRPr="00032147" w:rsidRDefault="00A8672C" w:rsidP="00D4603A">
      <w:pPr>
        <w:pStyle w:val="ListParagraph"/>
        <w:numPr>
          <w:ilvl w:val="0"/>
          <w:numId w:val="29"/>
        </w:numPr>
        <w:spacing w:after="0" w:line="360" w:lineRule="auto"/>
        <w:jc w:val="both"/>
        <w:rPr>
          <w:rFonts w:ascii="Times New Roman" w:hAnsi="Times New Roman"/>
          <w:sz w:val="24"/>
          <w:szCs w:val="24"/>
        </w:rPr>
      </w:pPr>
      <w:r w:rsidRPr="00032147">
        <w:rPr>
          <w:rFonts w:ascii="Times New Roman" w:hAnsi="Times New Roman"/>
          <w:sz w:val="24"/>
          <w:szCs w:val="24"/>
        </w:rPr>
        <w:t>Kamerstukken II,  2008-2009, 31 907, nr 3</w:t>
      </w:r>
    </w:p>
    <w:p w:rsidR="00A8672C" w:rsidRPr="00415282" w:rsidRDefault="00A8672C" w:rsidP="00D4603A">
      <w:pPr>
        <w:pStyle w:val="ListParagraph"/>
        <w:numPr>
          <w:ilvl w:val="0"/>
          <w:numId w:val="29"/>
        </w:numPr>
        <w:spacing w:after="100" w:afterAutospacing="1" w:line="360" w:lineRule="auto"/>
        <w:jc w:val="both"/>
        <w:rPr>
          <w:rFonts w:ascii="Times New Roman" w:hAnsi="Times New Roman"/>
          <w:sz w:val="24"/>
          <w:szCs w:val="24"/>
        </w:rPr>
      </w:pPr>
      <w:r w:rsidRPr="00032147">
        <w:rPr>
          <w:rFonts w:ascii="Times New Roman" w:hAnsi="Times New Roman"/>
          <w:sz w:val="24"/>
          <w:szCs w:val="24"/>
        </w:rPr>
        <w:t>Kamerstukken II 2008-2009 31 907, nr 3 Memorie van Toelichting</w:t>
      </w:r>
    </w:p>
    <w:p w:rsidR="00A8672C" w:rsidRPr="00E15A2A"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 xml:space="preserve">Richtlijn van 16 december 1991, nr. 91/680/EEG, </w:t>
      </w:r>
      <w:r w:rsidRPr="00E15A2A">
        <w:rPr>
          <w:rStyle w:val="nadrukb"/>
          <w:sz w:val="24"/>
          <w:szCs w:val="24"/>
          <w:lang w:val="nl-NL"/>
        </w:rPr>
        <w:t>PbEG 1991 L 376</w:t>
      </w:r>
    </w:p>
    <w:p w:rsidR="00A8672C" w:rsidRPr="00E15A2A"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 xml:space="preserve">Richtlijn van 10 april 1995, nr. 95/7/EG, </w:t>
      </w:r>
      <w:r w:rsidRPr="00E15A2A">
        <w:rPr>
          <w:rStyle w:val="nadrukb"/>
          <w:sz w:val="24"/>
          <w:szCs w:val="24"/>
          <w:lang w:val="nl-NL"/>
        </w:rPr>
        <w:t>PbEG 1995 L 102</w:t>
      </w:r>
    </w:p>
    <w:p w:rsidR="00A8672C" w:rsidRPr="00E15A2A"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 xml:space="preserve">Richtlijn van 17 juni 1999, nr. 1999/59/EG, </w:t>
      </w:r>
      <w:r w:rsidRPr="00E15A2A">
        <w:rPr>
          <w:rStyle w:val="nadrukb"/>
          <w:sz w:val="24"/>
          <w:szCs w:val="24"/>
          <w:lang w:val="nl-NL"/>
        </w:rPr>
        <w:t>PbEG 1999 L 162</w:t>
      </w:r>
    </w:p>
    <w:p w:rsidR="00A8672C" w:rsidRPr="00415282" w:rsidRDefault="00A8672C" w:rsidP="00D4603A">
      <w:pPr>
        <w:pStyle w:val="FootnoteText"/>
        <w:numPr>
          <w:ilvl w:val="0"/>
          <w:numId w:val="29"/>
        </w:numPr>
        <w:spacing w:after="100" w:afterAutospacing="1" w:line="360" w:lineRule="auto"/>
        <w:jc w:val="both"/>
        <w:rPr>
          <w:rStyle w:val="nadrukb"/>
          <w:i w:val="0"/>
          <w:iCs w:val="0"/>
          <w:sz w:val="24"/>
          <w:szCs w:val="24"/>
          <w:lang w:val="nl-NL"/>
        </w:rPr>
      </w:pPr>
      <w:r w:rsidRPr="00E15A2A">
        <w:rPr>
          <w:sz w:val="24"/>
          <w:szCs w:val="24"/>
          <w:lang w:val="nl-NL"/>
        </w:rPr>
        <w:t xml:space="preserve">Richtlijn van 7 mei 2002, nr. 2002/38/EG, </w:t>
      </w:r>
      <w:r w:rsidRPr="00E15A2A">
        <w:rPr>
          <w:rStyle w:val="nadrukb"/>
          <w:sz w:val="24"/>
          <w:szCs w:val="24"/>
          <w:lang w:val="nl-NL"/>
        </w:rPr>
        <w:t>PbEG 2002 L 128</w:t>
      </w:r>
    </w:p>
    <w:p w:rsidR="00A8672C" w:rsidRPr="00415282"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Richtlijn 2006/112/EG van de Raad, 28 november 2006</w:t>
      </w:r>
    </w:p>
    <w:p w:rsidR="00A8672C" w:rsidRPr="00032147" w:rsidRDefault="00A8672C" w:rsidP="00D4603A">
      <w:pPr>
        <w:pStyle w:val="ListParagraph"/>
        <w:numPr>
          <w:ilvl w:val="0"/>
          <w:numId w:val="29"/>
        </w:numPr>
        <w:spacing w:after="100" w:afterAutospacing="1" w:line="360" w:lineRule="auto"/>
        <w:jc w:val="both"/>
        <w:rPr>
          <w:rStyle w:val="nadrukb"/>
          <w:rFonts w:ascii="Times New Roman" w:hAnsi="Times New Roman"/>
          <w:sz w:val="24"/>
          <w:szCs w:val="24"/>
        </w:rPr>
      </w:pPr>
      <w:r w:rsidRPr="00032147">
        <w:rPr>
          <w:rFonts w:ascii="Times New Roman" w:hAnsi="Times New Roman"/>
          <w:sz w:val="24"/>
          <w:szCs w:val="24"/>
        </w:rPr>
        <w:t xml:space="preserve">voorstel van 17 juni 1998, </w:t>
      </w:r>
      <w:r w:rsidRPr="00032147">
        <w:rPr>
          <w:rStyle w:val="nadrukb"/>
          <w:rFonts w:ascii="Times New Roman" w:hAnsi="Times New Roman"/>
          <w:sz w:val="24"/>
          <w:szCs w:val="24"/>
        </w:rPr>
        <w:t>PbEG 1998 C 219/11</w:t>
      </w:r>
    </w:p>
    <w:p w:rsidR="00A8672C" w:rsidRPr="00032147" w:rsidRDefault="00A8672C" w:rsidP="00D4603A">
      <w:pPr>
        <w:pStyle w:val="ListParagraph"/>
        <w:numPr>
          <w:ilvl w:val="0"/>
          <w:numId w:val="29"/>
        </w:numPr>
        <w:spacing w:after="100" w:afterAutospacing="1" w:line="360" w:lineRule="auto"/>
        <w:jc w:val="both"/>
        <w:rPr>
          <w:rFonts w:ascii="Times New Roman" w:hAnsi="Times New Roman"/>
          <w:sz w:val="24"/>
          <w:szCs w:val="24"/>
        </w:rPr>
      </w:pPr>
      <w:r w:rsidRPr="00032147">
        <w:rPr>
          <w:rFonts w:ascii="Times New Roman" w:hAnsi="Times New Roman"/>
          <w:sz w:val="24"/>
          <w:szCs w:val="24"/>
        </w:rPr>
        <w:t>voorstel van 23 december 2003, COM(2003)822</w:t>
      </w:r>
    </w:p>
    <w:p w:rsidR="00A8672C" w:rsidRPr="00E15A2A"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voorstel van 29 oktober 2004 COM(2004)728</w:t>
      </w:r>
    </w:p>
    <w:p w:rsidR="00A8672C" w:rsidRPr="00032147" w:rsidRDefault="00A8672C" w:rsidP="00D4603A">
      <w:pPr>
        <w:pStyle w:val="ListParagraph"/>
        <w:numPr>
          <w:ilvl w:val="0"/>
          <w:numId w:val="29"/>
        </w:numPr>
        <w:spacing w:after="100" w:afterAutospacing="1" w:line="360" w:lineRule="auto"/>
        <w:jc w:val="both"/>
        <w:rPr>
          <w:rFonts w:ascii="Times New Roman" w:hAnsi="Times New Roman"/>
          <w:sz w:val="24"/>
          <w:szCs w:val="24"/>
        </w:rPr>
      </w:pPr>
      <w:r w:rsidRPr="00032147">
        <w:rPr>
          <w:rFonts w:ascii="Times New Roman" w:hAnsi="Times New Roman"/>
          <w:sz w:val="24"/>
          <w:szCs w:val="24"/>
        </w:rPr>
        <w:t>voorstel van 16 maart 2005 COM(2005)89</w:t>
      </w:r>
    </w:p>
    <w:p w:rsidR="00A8672C" w:rsidRPr="00E15A2A" w:rsidRDefault="00A8672C" w:rsidP="00D4603A">
      <w:pPr>
        <w:pStyle w:val="FootnoteText"/>
        <w:numPr>
          <w:ilvl w:val="0"/>
          <w:numId w:val="29"/>
        </w:numPr>
        <w:spacing w:after="100" w:afterAutospacing="1" w:line="360" w:lineRule="auto"/>
        <w:jc w:val="both"/>
        <w:rPr>
          <w:sz w:val="24"/>
          <w:szCs w:val="24"/>
          <w:lang w:val="nl-NL"/>
        </w:rPr>
      </w:pPr>
      <w:r w:rsidRPr="00E15A2A">
        <w:rPr>
          <w:sz w:val="24"/>
          <w:szCs w:val="24"/>
          <w:lang w:val="nl-NL"/>
        </w:rPr>
        <w:t>voorstel van 20 juli 2005 COM(2005)334</w:t>
      </w: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ListParagraph"/>
        <w:spacing w:line="360" w:lineRule="auto"/>
        <w:jc w:val="both"/>
      </w:pPr>
    </w:p>
    <w:p w:rsidR="00A8672C" w:rsidRDefault="00A8672C" w:rsidP="00D4603A">
      <w:pPr>
        <w:pStyle w:val="Heading1"/>
        <w:jc w:val="both"/>
      </w:pPr>
      <w:bookmarkStart w:id="61" w:name="_Toc260928116"/>
      <w:r>
        <w:t>Bijlage 1</w:t>
      </w:r>
      <w:bookmarkEnd w:id="61"/>
    </w:p>
    <w:p w:rsidR="00A8672C" w:rsidRDefault="00A8672C" w:rsidP="00D4603A">
      <w:pPr>
        <w:jc w:val="both"/>
        <w:rPr>
          <w:lang w:val="nl-NL"/>
        </w:rPr>
      </w:pPr>
      <w:r>
        <w:rPr>
          <w:noProof/>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6" type="#_x0000_t75" style="position:absolute;left:0;text-align:left;margin-left:-34.1pt;margin-top:11.2pt;width:520.5pt;height:691.5pt;z-index:-251658240;visibility:visible">
            <v:imagedata r:id="rId9" o:title=""/>
          </v:shape>
        </w:pict>
      </w:r>
    </w:p>
    <w:p w:rsidR="00A8672C" w:rsidRPr="00500ABF" w:rsidRDefault="00A8672C" w:rsidP="00D4603A">
      <w:pPr>
        <w:jc w:val="both"/>
        <w:rPr>
          <w:lang w:val="nl-NL"/>
        </w:rPr>
      </w:pPr>
    </w:p>
    <w:sectPr w:rsidR="00A8672C" w:rsidRPr="00500ABF" w:rsidSect="00871488">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672C" w:rsidRDefault="00A8672C" w:rsidP="00014FC5">
      <w:r>
        <w:separator/>
      </w:r>
    </w:p>
  </w:endnote>
  <w:endnote w:type="continuationSeparator" w:id="0">
    <w:p w:rsidR="00A8672C" w:rsidRDefault="00A8672C" w:rsidP="00014F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72C" w:rsidRDefault="00A8672C">
    <w:pPr>
      <w:pStyle w:val="Footer"/>
      <w:jc w:val="center"/>
    </w:pPr>
  </w:p>
  <w:p w:rsidR="00A8672C" w:rsidRDefault="00A8672C" w:rsidP="001A373E">
    <w:pPr>
      <w:pStyle w:val="Footer"/>
      <w:jc w:val="right"/>
    </w:pPr>
    <w:fldSimple w:instr=" PAGE   \* MERGEFORMAT ">
      <w:r>
        <w:rPr>
          <w:noProof/>
        </w:rPr>
        <w:t>76</w:t>
      </w:r>
    </w:fldSimple>
  </w:p>
  <w:p w:rsidR="00A8672C" w:rsidRDefault="00A867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672C" w:rsidRDefault="00A8672C" w:rsidP="00014FC5">
      <w:r>
        <w:separator/>
      </w:r>
    </w:p>
  </w:footnote>
  <w:footnote w:type="continuationSeparator" w:id="0">
    <w:p w:rsidR="00A8672C" w:rsidRDefault="00A8672C" w:rsidP="00014FC5">
      <w:r>
        <w:continuationSeparator/>
      </w:r>
    </w:p>
  </w:footnote>
  <w:footnote w:id="1">
    <w:p w:rsidR="00A8672C" w:rsidRDefault="00A8672C" w:rsidP="007F0BAC">
      <w:pPr>
        <w:spacing w:before="100" w:beforeAutospacing="1" w:after="100" w:afterAutospacing="1" w:line="360" w:lineRule="auto"/>
      </w:pPr>
      <w:r w:rsidRPr="00415282">
        <w:rPr>
          <w:rStyle w:val="FootnoteReference"/>
          <w:sz w:val="20"/>
          <w:szCs w:val="20"/>
        </w:rPr>
        <w:footnoteRef/>
      </w:r>
      <w:r w:rsidRPr="00415282">
        <w:rPr>
          <w:sz w:val="20"/>
          <w:szCs w:val="20"/>
          <w:lang w:val="nl-NL"/>
        </w:rPr>
        <w:t xml:space="preserve"> Kamerstukken II 2008-2009 31 907, nr 3 Memorie van Toelichting</w:t>
      </w:r>
    </w:p>
  </w:footnote>
  <w:footnote w:id="2">
    <w:p w:rsidR="00A8672C" w:rsidRDefault="00A8672C">
      <w:pPr>
        <w:pStyle w:val="FootnoteText"/>
      </w:pPr>
      <w:r>
        <w:rPr>
          <w:rStyle w:val="FootnoteReference"/>
        </w:rPr>
        <w:footnoteRef/>
      </w:r>
      <w:r w:rsidRPr="009E755B">
        <w:rPr>
          <w:lang w:val="nl-NL"/>
        </w:rPr>
        <w:t xml:space="preserve"> </w:t>
      </w:r>
      <w:r>
        <w:rPr>
          <w:lang w:val="nl-NL"/>
        </w:rPr>
        <w:t>FED Fiscale studieserie Omzetbelasting 11</w:t>
      </w:r>
      <w:r w:rsidRPr="00244345">
        <w:rPr>
          <w:vertAlign w:val="superscript"/>
          <w:lang w:val="nl-NL"/>
        </w:rPr>
        <w:t>e</w:t>
      </w:r>
      <w:r>
        <w:rPr>
          <w:lang w:val="nl-NL"/>
        </w:rPr>
        <w:t xml:space="preserve"> druk, mr. dr. M.E. van Hilten en prof. dr. H.W.M. van Kesteren, paragraaf  1.6.</w:t>
      </w:r>
    </w:p>
  </w:footnote>
  <w:footnote w:id="3">
    <w:p w:rsidR="00A8672C" w:rsidRDefault="00A8672C">
      <w:pPr>
        <w:pStyle w:val="FootnoteText"/>
      </w:pPr>
      <w:r>
        <w:rPr>
          <w:rStyle w:val="FootnoteReference"/>
        </w:rPr>
        <w:footnoteRef/>
      </w:r>
      <w:r w:rsidRPr="00244345">
        <w:rPr>
          <w:lang w:val="nl-NL"/>
        </w:rPr>
        <w:t xml:space="preserve"> </w:t>
      </w:r>
      <w:r>
        <w:rPr>
          <w:lang w:val="nl-NL"/>
        </w:rPr>
        <w:t>FED Fiscale studieserie Omzetbelasting 11</w:t>
      </w:r>
      <w:r w:rsidRPr="00244345">
        <w:rPr>
          <w:vertAlign w:val="superscript"/>
          <w:lang w:val="nl-NL"/>
        </w:rPr>
        <w:t>e</w:t>
      </w:r>
      <w:r>
        <w:rPr>
          <w:lang w:val="nl-NL"/>
        </w:rPr>
        <w:t xml:space="preserve"> druk, mr. dr. M.E. van Hilten en prof. dr. H.W.M. van Kesteren, paragraaf  2.3 en 2.4.</w:t>
      </w:r>
    </w:p>
  </w:footnote>
  <w:footnote w:id="4">
    <w:p w:rsidR="00A8672C" w:rsidRDefault="00A8672C">
      <w:pPr>
        <w:pStyle w:val="FootnoteText"/>
      </w:pPr>
      <w:r>
        <w:rPr>
          <w:rStyle w:val="FootnoteReference"/>
        </w:rPr>
        <w:footnoteRef/>
      </w:r>
      <w:r w:rsidRPr="007C7BB5">
        <w:rPr>
          <w:lang w:val="nl-NL"/>
        </w:rPr>
        <w:t xml:space="preserve"> </w:t>
      </w:r>
      <w:r>
        <w:rPr>
          <w:lang w:val="nl-NL"/>
        </w:rPr>
        <w:t>Hof van Justitie EG, 29 juni 1999, Coffeeshop Siberië, C-158/98.</w:t>
      </w:r>
    </w:p>
  </w:footnote>
  <w:footnote w:id="5">
    <w:p w:rsidR="00A8672C" w:rsidRDefault="00A8672C">
      <w:pPr>
        <w:pStyle w:val="FootnoteText"/>
      </w:pPr>
      <w:r>
        <w:rPr>
          <w:rStyle w:val="FootnoteReference"/>
        </w:rPr>
        <w:footnoteRef/>
      </w:r>
      <w:r>
        <w:t xml:space="preserve"> </w:t>
      </w:r>
      <w:r w:rsidRPr="00AD3881">
        <w:t xml:space="preserve">Hof van </w:t>
      </w:r>
      <w:r w:rsidRPr="00B3644A">
        <w:rPr>
          <w:lang w:val="en-US"/>
        </w:rPr>
        <w:t>Justitie</w:t>
      </w:r>
      <w:r w:rsidRPr="00AD3881">
        <w:t xml:space="preserve"> EG, 2 </w:t>
      </w:r>
      <w:r w:rsidRPr="00B3644A">
        <w:rPr>
          <w:lang w:val="en-US"/>
        </w:rPr>
        <w:t>juli</w:t>
      </w:r>
      <w:r w:rsidRPr="00AD3881">
        <w:t xml:space="preserve"> 1988, Happy Family C-289/86</w:t>
      </w:r>
      <w:r>
        <w:t>.</w:t>
      </w:r>
    </w:p>
  </w:footnote>
  <w:footnote w:id="6">
    <w:p w:rsidR="00A8672C" w:rsidRDefault="00A8672C" w:rsidP="00E44594">
      <w:pPr>
        <w:pStyle w:val="FootnoteText"/>
      </w:pPr>
      <w:r>
        <w:rPr>
          <w:rStyle w:val="FootnoteReference"/>
        </w:rPr>
        <w:footnoteRef/>
      </w:r>
      <w:r w:rsidRPr="00E44594">
        <w:rPr>
          <w:lang w:val="nl-NL"/>
        </w:rPr>
        <w:t xml:space="preserve"> </w:t>
      </w:r>
      <w:r>
        <w:rPr>
          <w:lang w:val="nl-NL"/>
        </w:rPr>
        <w:t>Hof van Justitie EG, 19 september 2000, Schmeink &amp; Cofreth AG &amp; Co. KG en M. Strobel, C-454/98.</w:t>
      </w:r>
    </w:p>
  </w:footnote>
  <w:footnote w:id="7">
    <w:p w:rsidR="00A8672C" w:rsidRDefault="00A8672C" w:rsidP="00E44594">
      <w:pPr>
        <w:pStyle w:val="FootnoteText"/>
      </w:pPr>
      <w:r>
        <w:rPr>
          <w:rStyle w:val="FootnoteReference"/>
        </w:rPr>
        <w:footnoteRef/>
      </w:r>
      <w:r w:rsidRPr="00F805CA">
        <w:rPr>
          <w:lang w:val="nl-NL"/>
        </w:rPr>
        <w:t xml:space="preserve"> </w:t>
      </w:r>
      <w:r>
        <w:rPr>
          <w:lang w:val="nl-NL"/>
        </w:rPr>
        <w:t>Hof van Justitie EG, 27 november 2003, Zita Modes Sàrl, C-497/01.</w:t>
      </w:r>
    </w:p>
  </w:footnote>
  <w:footnote w:id="8">
    <w:p w:rsidR="00A8672C" w:rsidRDefault="00A8672C">
      <w:pPr>
        <w:pStyle w:val="FootnoteText"/>
      </w:pPr>
      <w:r>
        <w:rPr>
          <w:rStyle w:val="FootnoteReference"/>
        </w:rPr>
        <w:footnoteRef/>
      </w:r>
      <w:r w:rsidRPr="00E10E03">
        <w:rPr>
          <w:lang w:val="nl-NL"/>
        </w:rPr>
        <w:t xml:space="preserve"> </w:t>
      </w:r>
      <w:r>
        <w:rPr>
          <w:lang w:val="nl-NL"/>
        </w:rPr>
        <w:t>Hof van Justitie EG, 27 april 2006, Solleveld C-443/04.</w:t>
      </w:r>
    </w:p>
  </w:footnote>
  <w:footnote w:id="9">
    <w:p w:rsidR="00A8672C" w:rsidRDefault="00A8672C">
      <w:pPr>
        <w:pStyle w:val="FootnoteText"/>
      </w:pPr>
      <w:r>
        <w:rPr>
          <w:rStyle w:val="FootnoteReference"/>
        </w:rPr>
        <w:footnoteRef/>
      </w:r>
      <w:r w:rsidRPr="00E10E03">
        <w:rPr>
          <w:lang w:val="nl-NL"/>
        </w:rPr>
        <w:t xml:space="preserve"> </w:t>
      </w:r>
      <w:r>
        <w:rPr>
          <w:lang w:val="nl-NL"/>
        </w:rPr>
        <w:t>Hof van Justitie EG, 27 april 2006, Van den Hout-Van Eijnsbergen C-444/04.</w:t>
      </w:r>
    </w:p>
  </w:footnote>
  <w:footnote w:id="10">
    <w:p w:rsidR="00A8672C" w:rsidRDefault="00A8672C" w:rsidP="00E44594">
      <w:pPr>
        <w:pStyle w:val="FootnoteText"/>
      </w:pPr>
      <w:r>
        <w:rPr>
          <w:rStyle w:val="FootnoteReference"/>
        </w:rPr>
        <w:footnoteRef/>
      </w:r>
      <w:r w:rsidRPr="007C7BB5">
        <w:rPr>
          <w:lang w:val="nl-NL"/>
        </w:rPr>
        <w:t xml:space="preserve"> </w:t>
      </w:r>
      <w:r>
        <w:rPr>
          <w:lang w:val="nl-NL"/>
        </w:rPr>
        <w:t>Hof van Justitie EG, 15 maart 2007, Reemtsma Cigarettenfabriken GmbH, C-35/05.</w:t>
      </w:r>
    </w:p>
  </w:footnote>
  <w:footnote w:id="11">
    <w:p w:rsidR="00A8672C" w:rsidRDefault="00A8672C">
      <w:pPr>
        <w:pStyle w:val="FootnoteText"/>
      </w:pPr>
      <w:r>
        <w:rPr>
          <w:rStyle w:val="FootnoteReference"/>
        </w:rPr>
        <w:footnoteRef/>
      </w:r>
      <w:r w:rsidRPr="00F805CA">
        <w:rPr>
          <w:lang w:val="nl-NL"/>
        </w:rPr>
        <w:t xml:space="preserve"> </w:t>
      </w:r>
      <w:r>
        <w:rPr>
          <w:lang w:val="nl-NL"/>
        </w:rPr>
        <w:t>Hof van Justitie EG, 8 mei 2008, Ecotrade SpA, C-95/07 en C -96/07.</w:t>
      </w:r>
    </w:p>
  </w:footnote>
  <w:footnote w:id="12">
    <w:p w:rsidR="00A8672C" w:rsidRDefault="00A8672C" w:rsidP="00E44594">
      <w:pPr>
        <w:pStyle w:val="FootnoteText"/>
      </w:pPr>
      <w:r>
        <w:rPr>
          <w:rStyle w:val="FootnoteReference"/>
        </w:rPr>
        <w:footnoteRef/>
      </w:r>
      <w:r w:rsidRPr="007C7BB5">
        <w:rPr>
          <w:lang w:val="nl-NL"/>
        </w:rPr>
        <w:t xml:space="preserve"> </w:t>
      </w:r>
      <w:r>
        <w:rPr>
          <w:lang w:val="nl-NL"/>
        </w:rPr>
        <w:t>Hof van Justitie EG, 10 juli 2008, Fiscale eenheid Koninklijke Ahold NV, C-484/06.</w:t>
      </w:r>
    </w:p>
  </w:footnote>
  <w:footnote w:id="13">
    <w:p w:rsidR="00A8672C" w:rsidRDefault="00A8672C">
      <w:pPr>
        <w:pStyle w:val="FootnoteText"/>
      </w:pPr>
      <w:r>
        <w:rPr>
          <w:rStyle w:val="FootnoteReference"/>
        </w:rPr>
        <w:footnoteRef/>
      </w:r>
      <w:r w:rsidRPr="00091F5E">
        <w:rPr>
          <w:lang w:val="nl-NL"/>
        </w:rPr>
        <w:t xml:space="preserve"> </w:t>
      </w:r>
      <w:r>
        <w:rPr>
          <w:lang w:val="nl-NL"/>
        </w:rPr>
        <w:t>Cursus Belastingrecht, Europees Belastingrecht, Hoofdstuk 4 Algemene rechtsbeginselen, 4.0.7. Evenredigheidsbeginsel.</w:t>
      </w:r>
    </w:p>
  </w:footnote>
  <w:footnote w:id="14">
    <w:p w:rsidR="00A8672C" w:rsidRDefault="00A8672C">
      <w:pPr>
        <w:pStyle w:val="FootnoteText"/>
      </w:pPr>
      <w:r>
        <w:rPr>
          <w:rStyle w:val="FootnoteReference"/>
        </w:rPr>
        <w:footnoteRef/>
      </w:r>
      <w:r w:rsidRPr="002F48B0">
        <w:rPr>
          <w:lang w:val="nl-NL"/>
        </w:rPr>
        <w:t xml:space="preserve"> </w:t>
      </w:r>
      <w:r>
        <w:rPr>
          <w:lang w:val="nl-NL"/>
        </w:rPr>
        <w:t>Hof van Justitie EG, 18 december 1997, Garage Molenheide, C-286/94.</w:t>
      </w:r>
    </w:p>
  </w:footnote>
  <w:footnote w:id="15">
    <w:p w:rsidR="00A8672C" w:rsidRDefault="00A8672C">
      <w:pPr>
        <w:pStyle w:val="FootnoteText"/>
      </w:pPr>
      <w:r>
        <w:rPr>
          <w:rStyle w:val="FootnoteReference"/>
        </w:rPr>
        <w:footnoteRef/>
      </w:r>
      <w:r w:rsidRPr="00C74A9A">
        <w:rPr>
          <w:lang w:val="nl-NL"/>
        </w:rPr>
        <w:t xml:space="preserve"> </w:t>
      </w:r>
      <w:r>
        <w:rPr>
          <w:lang w:val="nl-NL"/>
        </w:rPr>
        <w:t>Hof van Justitie EG, 11 mei 2006, Federation of Technological Industries, C-384/04.</w:t>
      </w:r>
    </w:p>
  </w:footnote>
  <w:footnote w:id="16">
    <w:p w:rsidR="00A8672C" w:rsidRDefault="00A8672C" w:rsidP="00E44594">
      <w:pPr>
        <w:pStyle w:val="FootnoteText"/>
      </w:pPr>
      <w:r>
        <w:rPr>
          <w:rStyle w:val="FootnoteReference"/>
        </w:rPr>
        <w:footnoteRef/>
      </w:r>
      <w:r w:rsidRPr="00F805CA">
        <w:rPr>
          <w:lang w:val="nl-NL"/>
        </w:rPr>
        <w:t xml:space="preserve"> </w:t>
      </w:r>
      <w:r>
        <w:rPr>
          <w:lang w:val="nl-NL"/>
        </w:rPr>
        <w:t>Hof van Justitie EG, 27 september 2007, Teleos e.a., C-409/04.</w:t>
      </w:r>
    </w:p>
  </w:footnote>
  <w:footnote w:id="17">
    <w:p w:rsidR="00A8672C" w:rsidRDefault="00A8672C">
      <w:pPr>
        <w:pStyle w:val="FootnoteText"/>
      </w:pPr>
      <w:r>
        <w:rPr>
          <w:rStyle w:val="FootnoteReference"/>
        </w:rPr>
        <w:footnoteRef/>
      </w:r>
      <w:r w:rsidRPr="00942BF0">
        <w:rPr>
          <w:lang w:val="nl-NL"/>
        </w:rPr>
        <w:t xml:space="preserve"> </w:t>
      </w:r>
      <w:r>
        <w:rPr>
          <w:lang w:val="nl-NL"/>
        </w:rPr>
        <w:t>Mr. R.A. de Wolf, WFR 2007/1225, Wie betaald de rekening? Het HvJ EG in Teleos, Collée en Twoh.</w:t>
      </w:r>
    </w:p>
  </w:footnote>
  <w:footnote w:id="18">
    <w:p w:rsidR="00A8672C" w:rsidRDefault="00A8672C" w:rsidP="00C74A9A">
      <w:pPr>
        <w:pStyle w:val="FootnoteText"/>
      </w:pPr>
      <w:r>
        <w:rPr>
          <w:rStyle w:val="FootnoteReference"/>
        </w:rPr>
        <w:footnoteRef/>
      </w:r>
      <w:r w:rsidRPr="00C74A9A">
        <w:rPr>
          <w:lang w:val="nl-NL"/>
        </w:rPr>
        <w:t xml:space="preserve"> </w:t>
      </w:r>
      <w:r>
        <w:rPr>
          <w:lang w:val="nl-NL"/>
        </w:rPr>
        <w:t>Hof van Justitie EG, 27 september 2007, Collée, C146/05.</w:t>
      </w:r>
    </w:p>
  </w:footnote>
  <w:footnote w:id="19">
    <w:p w:rsidR="00A8672C" w:rsidRDefault="00A8672C">
      <w:pPr>
        <w:pStyle w:val="FootnoteText"/>
      </w:pPr>
      <w:r>
        <w:rPr>
          <w:rStyle w:val="FootnoteReference"/>
        </w:rPr>
        <w:footnoteRef/>
      </w:r>
      <w:r w:rsidRPr="00636668">
        <w:rPr>
          <w:lang w:val="nl-NL"/>
        </w:rPr>
        <w:t xml:space="preserve"> </w:t>
      </w:r>
      <w:r>
        <w:rPr>
          <w:lang w:val="nl-NL"/>
        </w:rPr>
        <w:t>Hof van Justitie EG, 27 september 2007, Collée, C146/05.</w:t>
      </w:r>
    </w:p>
  </w:footnote>
  <w:footnote w:id="20">
    <w:p w:rsidR="00A8672C" w:rsidRDefault="00A8672C">
      <w:pPr>
        <w:pStyle w:val="FootnoteText"/>
      </w:pPr>
      <w:r>
        <w:rPr>
          <w:rStyle w:val="FootnoteReference"/>
        </w:rPr>
        <w:footnoteRef/>
      </w:r>
      <w:r w:rsidRPr="00636668">
        <w:rPr>
          <w:lang w:val="nl-NL"/>
        </w:rPr>
        <w:t xml:space="preserve"> </w:t>
      </w:r>
      <w:r>
        <w:rPr>
          <w:lang w:val="nl-NL"/>
        </w:rPr>
        <w:t>Mr. R.A. de Wolf, WFR 2007/1225, Wie betaald de rekening? Het HvJ EG in Teleos, Collée en Twoh.</w:t>
      </w:r>
    </w:p>
  </w:footnote>
  <w:footnote w:id="21">
    <w:p w:rsidR="00A8672C" w:rsidRDefault="00A8672C" w:rsidP="00C74A9A">
      <w:pPr>
        <w:pStyle w:val="FootnoteText"/>
      </w:pPr>
      <w:r>
        <w:rPr>
          <w:rStyle w:val="FootnoteReference"/>
        </w:rPr>
        <w:footnoteRef/>
      </w:r>
      <w:r w:rsidRPr="00E44594">
        <w:rPr>
          <w:lang w:val="nl-NL"/>
        </w:rPr>
        <w:t xml:space="preserve"> </w:t>
      </w:r>
      <w:r>
        <w:rPr>
          <w:lang w:val="nl-NL"/>
        </w:rPr>
        <w:t>Hof van Justitie EG, 27 september 2007, Twoh, C-184/05.</w:t>
      </w:r>
    </w:p>
  </w:footnote>
  <w:footnote w:id="22">
    <w:p w:rsidR="00A8672C" w:rsidRDefault="00A8672C">
      <w:pPr>
        <w:pStyle w:val="FootnoteText"/>
      </w:pPr>
      <w:r>
        <w:rPr>
          <w:rStyle w:val="FootnoteReference"/>
        </w:rPr>
        <w:footnoteRef/>
      </w:r>
      <w:r w:rsidRPr="00D856FC">
        <w:t xml:space="preserve"> Hof van Justitie EG, 21 februari 2008, Netto Supermarkt GmbH &amp; Co. </w:t>
      </w:r>
      <w:r w:rsidRPr="000B695A">
        <w:rPr>
          <w:lang w:val="nl-NL"/>
        </w:rPr>
        <w:t>OHG, C-271/06</w:t>
      </w:r>
    </w:p>
  </w:footnote>
  <w:footnote w:id="23">
    <w:p w:rsidR="00A8672C" w:rsidRDefault="00A8672C">
      <w:pPr>
        <w:pStyle w:val="FootnoteText"/>
      </w:pPr>
      <w:r>
        <w:rPr>
          <w:rStyle w:val="FootnoteReference"/>
        </w:rPr>
        <w:footnoteRef/>
      </w:r>
      <w:r w:rsidRPr="00F805CA">
        <w:rPr>
          <w:lang w:val="nl-NL"/>
        </w:rPr>
        <w:t xml:space="preserve"> </w:t>
      </w:r>
      <w:r>
        <w:rPr>
          <w:lang w:val="nl-NL"/>
        </w:rPr>
        <w:t>Hof van Justitie EG, 10 juli 2008, Fiscale eenheid Koninklijke Ahold NV, C-484/06</w:t>
      </w:r>
    </w:p>
  </w:footnote>
  <w:footnote w:id="24">
    <w:p w:rsidR="00A8672C" w:rsidRDefault="00A8672C">
      <w:pPr>
        <w:pStyle w:val="FootnoteText"/>
      </w:pPr>
      <w:r>
        <w:rPr>
          <w:rStyle w:val="FootnoteReference"/>
        </w:rPr>
        <w:footnoteRef/>
      </w:r>
      <w:r w:rsidRPr="00FA0283">
        <w:rPr>
          <w:lang w:val="nl-NL"/>
        </w:rPr>
        <w:t xml:space="preserve"> </w:t>
      </w:r>
      <w:r>
        <w:rPr>
          <w:lang w:val="nl-NL"/>
        </w:rPr>
        <w:t>Cursus Belastingrecht Omzetbelasting, Hoofdstuk II, afdeling 1. 2.1.3. Diensten (art. 4)</w:t>
      </w:r>
    </w:p>
  </w:footnote>
  <w:footnote w:id="25">
    <w:p w:rsidR="00A8672C" w:rsidRDefault="00A8672C">
      <w:pPr>
        <w:pStyle w:val="FootnoteText"/>
      </w:pPr>
      <w:r>
        <w:rPr>
          <w:rStyle w:val="FootnoteReference"/>
        </w:rPr>
        <w:footnoteRef/>
      </w:r>
      <w:r w:rsidRPr="00EE2611">
        <w:rPr>
          <w:lang w:val="nl-NL"/>
        </w:rPr>
        <w:t xml:space="preserve"> </w:t>
      </w:r>
      <w:r>
        <w:rPr>
          <w:lang w:val="nl-NL"/>
        </w:rPr>
        <w:t>VN 2007/36.23 Planzer-arrest HvJ EG nr C-73/06</w:t>
      </w:r>
    </w:p>
  </w:footnote>
  <w:footnote w:id="26">
    <w:p w:rsidR="00A8672C" w:rsidRDefault="00A8672C">
      <w:pPr>
        <w:pStyle w:val="FootnoteText"/>
      </w:pPr>
      <w:r>
        <w:rPr>
          <w:rStyle w:val="FootnoteReference"/>
        </w:rPr>
        <w:footnoteRef/>
      </w:r>
      <w:r w:rsidRPr="00D84D20">
        <w:rPr>
          <w:lang w:val="nl-NL"/>
        </w:rPr>
        <w:t xml:space="preserve"> </w:t>
      </w:r>
      <w:r>
        <w:rPr>
          <w:lang w:val="nl-NL"/>
        </w:rPr>
        <w:t>WFR 2008/279, Van Doesem, Van Kesteren, Van Norden en Reiniers, De nieuwe regels voor de plaats van dienst</w:t>
      </w:r>
    </w:p>
  </w:footnote>
  <w:footnote w:id="27">
    <w:p w:rsidR="00A8672C" w:rsidRDefault="00A8672C">
      <w:pPr>
        <w:pStyle w:val="FootnoteText"/>
      </w:pPr>
      <w:r>
        <w:rPr>
          <w:rStyle w:val="FootnoteReference"/>
        </w:rPr>
        <w:footnoteRef/>
      </w:r>
      <w:r w:rsidRPr="0043508D">
        <w:rPr>
          <w:lang w:val="nl-NL"/>
        </w:rPr>
        <w:t xml:space="preserve"> </w:t>
      </w:r>
      <w:r>
        <w:rPr>
          <w:lang w:val="nl-NL"/>
        </w:rPr>
        <w:t>NTFR2007-1243, Hof van Justitie EG 28 juni 2007, nr. C-073/06</w:t>
      </w:r>
    </w:p>
  </w:footnote>
  <w:footnote w:id="28">
    <w:p w:rsidR="00A8672C" w:rsidRDefault="00A8672C" w:rsidP="008D42DB">
      <w:pPr>
        <w:pStyle w:val="FootnoteText"/>
      </w:pPr>
      <w:r>
        <w:rPr>
          <w:rStyle w:val="FootnoteReference"/>
        </w:rPr>
        <w:footnoteRef/>
      </w:r>
      <w:r w:rsidRPr="00FA57EA">
        <w:rPr>
          <w:lang w:val="nl-NL"/>
        </w:rPr>
        <w:t xml:space="preserve"> Richtlijn van 16 december 1991, nr. 91/680/EEG, </w:t>
      </w:r>
      <w:r w:rsidRPr="00FA57EA">
        <w:rPr>
          <w:rStyle w:val="nadrukb"/>
          <w:lang w:val="nl-NL"/>
        </w:rPr>
        <w:t>PbEG 1991 L 376</w:t>
      </w:r>
    </w:p>
  </w:footnote>
  <w:footnote w:id="29">
    <w:p w:rsidR="00A8672C" w:rsidRDefault="00A8672C" w:rsidP="008D42DB">
      <w:pPr>
        <w:pStyle w:val="FootnoteText"/>
      </w:pPr>
      <w:r>
        <w:rPr>
          <w:rStyle w:val="FootnoteReference"/>
        </w:rPr>
        <w:footnoteRef/>
      </w:r>
      <w:r w:rsidRPr="00A66DBD">
        <w:rPr>
          <w:lang w:val="nl-NL"/>
        </w:rPr>
        <w:t xml:space="preserve"> </w:t>
      </w:r>
      <w:r>
        <w:rPr>
          <w:lang w:val="nl-NL"/>
        </w:rPr>
        <w:t>VN 1992/2525</w:t>
      </w:r>
    </w:p>
  </w:footnote>
  <w:footnote w:id="30">
    <w:p w:rsidR="00A8672C" w:rsidRDefault="00A8672C" w:rsidP="008D42DB">
      <w:pPr>
        <w:pStyle w:val="FootnoteText"/>
      </w:pPr>
      <w:r>
        <w:rPr>
          <w:rStyle w:val="FootnoteReference"/>
        </w:rPr>
        <w:footnoteRef/>
      </w:r>
      <w:r w:rsidRPr="00FA57EA">
        <w:rPr>
          <w:lang w:val="nl-NL"/>
        </w:rPr>
        <w:t xml:space="preserve"> Richtlijn van 10 april 1995, nr. 95/7/EG, </w:t>
      </w:r>
      <w:r w:rsidRPr="00FA57EA">
        <w:rPr>
          <w:rStyle w:val="nadrukb"/>
          <w:lang w:val="nl-NL"/>
        </w:rPr>
        <w:t>PbEG 1995 L 102</w:t>
      </w:r>
    </w:p>
  </w:footnote>
  <w:footnote w:id="31">
    <w:p w:rsidR="00A8672C" w:rsidRDefault="00A8672C" w:rsidP="008D42DB">
      <w:pPr>
        <w:pStyle w:val="FootnoteText"/>
      </w:pPr>
      <w:r>
        <w:rPr>
          <w:rStyle w:val="FootnoteReference"/>
        </w:rPr>
        <w:footnoteRef/>
      </w:r>
      <w:r w:rsidRPr="00FA57EA">
        <w:rPr>
          <w:lang w:val="nl-NL"/>
        </w:rPr>
        <w:t xml:space="preserve"> Richtlijn van 17 juni 1999, nr. 1999/59/EG, </w:t>
      </w:r>
      <w:r w:rsidRPr="00FA57EA">
        <w:rPr>
          <w:rStyle w:val="nadrukb"/>
          <w:lang w:val="nl-NL"/>
        </w:rPr>
        <w:t>PbEG 1999 L 162</w:t>
      </w:r>
    </w:p>
  </w:footnote>
  <w:footnote w:id="32">
    <w:p w:rsidR="00A8672C" w:rsidRDefault="00A8672C" w:rsidP="008D42DB">
      <w:pPr>
        <w:pStyle w:val="FootnoteText"/>
      </w:pPr>
      <w:r>
        <w:rPr>
          <w:rStyle w:val="FootnoteReference"/>
        </w:rPr>
        <w:footnoteRef/>
      </w:r>
      <w:r w:rsidRPr="00FA57EA">
        <w:rPr>
          <w:lang w:val="nl-NL"/>
        </w:rPr>
        <w:t xml:space="preserve"> Richtlijn van 7 mei 2002, nr. 2002/38/EG, </w:t>
      </w:r>
      <w:r w:rsidRPr="00FA57EA">
        <w:rPr>
          <w:rStyle w:val="nadrukb"/>
          <w:lang w:val="nl-NL"/>
        </w:rPr>
        <w:t>PbEG 2002 L 128</w:t>
      </w:r>
    </w:p>
  </w:footnote>
  <w:footnote w:id="33">
    <w:p w:rsidR="00A8672C" w:rsidRDefault="00A8672C" w:rsidP="008D42DB">
      <w:pPr>
        <w:pStyle w:val="FootnoteText"/>
      </w:pPr>
      <w:r>
        <w:rPr>
          <w:rStyle w:val="FootnoteReference"/>
        </w:rPr>
        <w:footnoteRef/>
      </w:r>
      <w:r w:rsidRPr="00FA57EA">
        <w:rPr>
          <w:lang w:val="nl-NL"/>
        </w:rPr>
        <w:t xml:space="preserve"> voorstel van 17 juni 1998, </w:t>
      </w:r>
      <w:r w:rsidRPr="00FA57EA">
        <w:rPr>
          <w:rStyle w:val="nadrukb"/>
          <w:lang w:val="nl-NL"/>
        </w:rPr>
        <w:t>PbEG 1998 C 219/11</w:t>
      </w:r>
    </w:p>
  </w:footnote>
  <w:footnote w:id="34">
    <w:p w:rsidR="00A8672C" w:rsidRDefault="00A8672C" w:rsidP="008D42DB">
      <w:pPr>
        <w:pStyle w:val="FootnoteText"/>
      </w:pPr>
      <w:r>
        <w:rPr>
          <w:rStyle w:val="FootnoteReference"/>
        </w:rPr>
        <w:footnoteRef/>
      </w:r>
      <w:r w:rsidRPr="00D34389">
        <w:rPr>
          <w:lang w:val="nl-NL"/>
        </w:rPr>
        <w:t xml:space="preserve"> </w:t>
      </w:r>
      <w:r w:rsidRPr="00FA57EA">
        <w:rPr>
          <w:lang w:val="nl-NL"/>
        </w:rPr>
        <w:t>voorstel van 23 december 2003, COM(2003)822</w:t>
      </w:r>
    </w:p>
  </w:footnote>
  <w:footnote w:id="35">
    <w:p w:rsidR="00A8672C" w:rsidRDefault="00A8672C" w:rsidP="008D42DB">
      <w:pPr>
        <w:pStyle w:val="FootnoteText"/>
      </w:pPr>
      <w:r>
        <w:rPr>
          <w:rStyle w:val="FootnoteReference"/>
        </w:rPr>
        <w:footnoteRef/>
      </w:r>
      <w:r w:rsidRPr="00D34389">
        <w:rPr>
          <w:lang w:val="nl-NL"/>
        </w:rPr>
        <w:t xml:space="preserve"> voorstel van 29 oktober 2004 COM(2004)728</w:t>
      </w:r>
    </w:p>
  </w:footnote>
  <w:footnote w:id="36">
    <w:p w:rsidR="00A8672C" w:rsidRDefault="00A8672C" w:rsidP="008D42DB">
      <w:pPr>
        <w:pStyle w:val="FootnoteText"/>
      </w:pPr>
      <w:r>
        <w:rPr>
          <w:rStyle w:val="FootnoteReference"/>
        </w:rPr>
        <w:footnoteRef/>
      </w:r>
      <w:r w:rsidRPr="00BB2FE1">
        <w:rPr>
          <w:lang w:val="nl-NL"/>
        </w:rPr>
        <w:t xml:space="preserve"> voorstel van 16 maart 2005 COM(2005)89</w:t>
      </w:r>
    </w:p>
  </w:footnote>
  <w:footnote w:id="37">
    <w:p w:rsidR="00A8672C" w:rsidRDefault="00A8672C" w:rsidP="008D42DB">
      <w:pPr>
        <w:pStyle w:val="FootnoteText"/>
      </w:pPr>
      <w:r>
        <w:rPr>
          <w:rStyle w:val="FootnoteReference"/>
        </w:rPr>
        <w:footnoteRef/>
      </w:r>
      <w:r w:rsidRPr="00D34389">
        <w:rPr>
          <w:lang w:val="nl-NL"/>
        </w:rPr>
        <w:t xml:space="preserve"> voorstel van 20 juli 2005 COM(2005)334</w:t>
      </w:r>
    </w:p>
  </w:footnote>
  <w:footnote w:id="38">
    <w:p w:rsidR="00A8672C" w:rsidRDefault="00A8672C">
      <w:pPr>
        <w:pStyle w:val="FootnoteText"/>
      </w:pPr>
      <w:r>
        <w:rPr>
          <w:rStyle w:val="FootnoteReference"/>
        </w:rPr>
        <w:footnoteRef/>
      </w:r>
      <w:r w:rsidRPr="0051700F">
        <w:rPr>
          <w:lang w:val="nl-NL"/>
        </w:rPr>
        <w:t xml:space="preserve"> </w:t>
      </w:r>
      <w:r>
        <w:rPr>
          <w:lang w:val="nl-NL"/>
        </w:rPr>
        <w:t>Dr. Mariken E. van Hilten, WFR 1995/76, De maatstaf van BTW-heffing: hoe subjectief is subjectief?</w:t>
      </w:r>
    </w:p>
  </w:footnote>
  <w:footnote w:id="39">
    <w:p w:rsidR="00A8672C" w:rsidRDefault="00A8672C">
      <w:pPr>
        <w:pStyle w:val="FootnoteText"/>
      </w:pPr>
      <w:r>
        <w:rPr>
          <w:rStyle w:val="FootnoteReference"/>
        </w:rPr>
        <w:footnoteRef/>
      </w:r>
      <w:r w:rsidRPr="009243BF">
        <w:rPr>
          <w:lang w:val="nl-NL"/>
        </w:rPr>
        <w:t xml:space="preserve"> </w:t>
      </w:r>
      <w:hyperlink r:id="rId1" w:history="1">
        <w:r w:rsidRPr="00E41B3E">
          <w:rPr>
            <w:rStyle w:val="Hyperlink"/>
            <w:lang w:val="nl-NL"/>
          </w:rPr>
          <w:t>www.ndfr.nl</w:t>
        </w:r>
      </w:hyperlink>
      <w:r>
        <w:rPr>
          <w:lang w:val="nl-NL"/>
        </w:rPr>
        <w:t xml:space="preserve"> algemene criteria maatstaf van heffing</w:t>
      </w:r>
    </w:p>
  </w:footnote>
  <w:footnote w:id="40">
    <w:p w:rsidR="00A8672C" w:rsidRDefault="00A8672C">
      <w:pPr>
        <w:pStyle w:val="FootnoteText"/>
      </w:pPr>
      <w:r>
        <w:rPr>
          <w:rStyle w:val="FootnoteReference"/>
        </w:rPr>
        <w:footnoteRef/>
      </w:r>
      <w:r w:rsidRPr="009C438A">
        <w:rPr>
          <w:lang w:val="nl-NL"/>
        </w:rPr>
        <w:t xml:space="preserve"> </w:t>
      </w:r>
      <w:r>
        <w:rPr>
          <w:lang w:val="nl-NL"/>
        </w:rPr>
        <w:t>HvJ EG 5 februari 1981, 154/80 Coöperatieve aardappelbewaarplaats</w:t>
      </w:r>
    </w:p>
  </w:footnote>
  <w:footnote w:id="41">
    <w:p w:rsidR="00A8672C" w:rsidRDefault="00A8672C">
      <w:pPr>
        <w:pStyle w:val="FootnoteText"/>
      </w:pPr>
      <w:r>
        <w:rPr>
          <w:rStyle w:val="FootnoteReference"/>
        </w:rPr>
        <w:footnoteRef/>
      </w:r>
      <w:r w:rsidRPr="009C438A">
        <w:rPr>
          <w:lang w:val="nl-NL"/>
        </w:rPr>
        <w:t xml:space="preserve"> </w:t>
      </w:r>
      <w:r>
        <w:rPr>
          <w:lang w:val="nl-NL"/>
        </w:rPr>
        <w:t>HvJ EG, 29 februari 1996, C-215/94 Mohr</w:t>
      </w:r>
    </w:p>
  </w:footnote>
  <w:footnote w:id="42">
    <w:p w:rsidR="00A8672C" w:rsidRDefault="00A8672C">
      <w:pPr>
        <w:pStyle w:val="FootnoteText"/>
      </w:pPr>
      <w:r>
        <w:rPr>
          <w:rStyle w:val="FootnoteReference"/>
        </w:rPr>
        <w:footnoteRef/>
      </w:r>
      <w:r w:rsidRPr="00DA3CBA">
        <w:rPr>
          <w:lang w:val="nl-NL"/>
        </w:rPr>
        <w:t xml:space="preserve"> Mr. J.A. Kamminga WFR 2004/1103 Het actuele BTW-beleid van de Europese Commissie, in perspectief.</w:t>
      </w:r>
    </w:p>
  </w:footnote>
  <w:footnote w:id="43">
    <w:p w:rsidR="00A8672C" w:rsidRDefault="00A8672C">
      <w:pPr>
        <w:pStyle w:val="FootnoteText"/>
      </w:pPr>
      <w:r>
        <w:rPr>
          <w:rStyle w:val="FootnoteReference"/>
        </w:rPr>
        <w:footnoteRef/>
      </w:r>
      <w:r w:rsidRPr="00DA3CBA">
        <w:rPr>
          <w:lang w:val="nl-NL"/>
        </w:rPr>
        <w:t xml:space="preserve"> Mr. J.A. Kamminga WFR 2004/1103 Het actuele BTW-beleid van de Europese Commissie, in perspectief.</w:t>
      </w:r>
    </w:p>
  </w:footnote>
  <w:footnote w:id="44">
    <w:p w:rsidR="00A8672C" w:rsidRDefault="00A8672C" w:rsidP="00A205DA">
      <w:pPr>
        <w:pStyle w:val="FootnoteText"/>
      </w:pPr>
      <w:r>
        <w:rPr>
          <w:rStyle w:val="FootnoteReference"/>
        </w:rPr>
        <w:footnoteRef/>
      </w:r>
      <w:r w:rsidRPr="0051700F">
        <w:rPr>
          <w:lang w:val="nl-NL"/>
        </w:rPr>
        <w:t xml:space="preserve"> Prof. </w:t>
      </w:r>
      <w:r>
        <w:rPr>
          <w:lang w:val="nl-NL"/>
        </w:rPr>
        <w:t>d</w:t>
      </w:r>
      <w:r w:rsidRPr="0051700F">
        <w:rPr>
          <w:lang w:val="nl-NL"/>
        </w:rPr>
        <w:t xml:space="preserve">r. H.A. Kogels, MBB 2006/207, </w:t>
      </w:r>
      <w:r>
        <w:rPr>
          <w:lang w:val="nl-NL"/>
        </w:rPr>
        <w:t xml:space="preserve"> De omzetbelasting- van tijdelijke crisismaatregel tot structurele topscoorder.</w:t>
      </w:r>
    </w:p>
  </w:footnote>
  <w:footnote w:id="45">
    <w:p w:rsidR="00A8672C" w:rsidRDefault="00A8672C" w:rsidP="00A205DA">
      <w:pPr>
        <w:pStyle w:val="FootnoteText"/>
      </w:pPr>
      <w:r>
        <w:rPr>
          <w:rStyle w:val="FootnoteReference"/>
        </w:rPr>
        <w:footnoteRef/>
      </w:r>
      <w:r w:rsidRPr="00DA3CBA">
        <w:rPr>
          <w:lang w:val="nl-NL"/>
        </w:rPr>
        <w:t xml:space="preserve"> </w:t>
      </w:r>
      <w:r>
        <w:rPr>
          <w:lang w:val="nl-NL"/>
        </w:rPr>
        <w:t>Prof. dr. H.A. Kogels, MBB 2008/99, Modernisering van de btw.</w:t>
      </w:r>
    </w:p>
  </w:footnote>
  <w:footnote w:id="46">
    <w:p w:rsidR="00A8672C" w:rsidRDefault="00A8672C" w:rsidP="00A205DA">
      <w:pPr>
        <w:pStyle w:val="FootnoteText"/>
      </w:pPr>
      <w:r>
        <w:rPr>
          <w:rStyle w:val="FootnoteReference"/>
        </w:rPr>
        <w:footnoteRef/>
      </w:r>
      <w:r w:rsidRPr="00AA0052">
        <w:rPr>
          <w:lang w:val="nl-NL"/>
        </w:rPr>
        <w:t xml:space="preserve"> </w:t>
      </w:r>
      <w:r>
        <w:rPr>
          <w:lang w:val="nl-NL"/>
        </w:rPr>
        <w:t>Prof. dr. S. Cnossen, WFR 2000/680, Hoe kan consumptie worden belast?</w:t>
      </w:r>
    </w:p>
  </w:footnote>
  <w:footnote w:id="47">
    <w:p w:rsidR="00A8672C" w:rsidRDefault="00A8672C" w:rsidP="00A205DA">
      <w:pPr>
        <w:pStyle w:val="FootnoteText"/>
      </w:pPr>
      <w:r>
        <w:rPr>
          <w:rStyle w:val="FootnoteReference"/>
        </w:rPr>
        <w:footnoteRef/>
      </w:r>
      <w:r w:rsidRPr="008311A2">
        <w:rPr>
          <w:lang w:val="nl-NL"/>
        </w:rPr>
        <w:t xml:space="preserve"> </w:t>
      </w:r>
      <w:r>
        <w:rPr>
          <w:lang w:val="nl-NL"/>
        </w:rPr>
        <w:t>Prof. dr. S. Cnossen, WFR 2000/680, Hoe kan consumptie worden belast?</w:t>
      </w:r>
    </w:p>
  </w:footnote>
  <w:footnote w:id="48">
    <w:p w:rsidR="00A8672C" w:rsidRDefault="00A8672C">
      <w:pPr>
        <w:pStyle w:val="FootnoteText"/>
      </w:pPr>
      <w:r>
        <w:rPr>
          <w:rStyle w:val="FootnoteReference"/>
        </w:rPr>
        <w:footnoteRef/>
      </w:r>
      <w:r w:rsidRPr="00A4094A">
        <w:rPr>
          <w:lang w:val="nl-NL"/>
        </w:rPr>
        <w:t xml:space="preserve"> </w:t>
      </w:r>
      <w:r>
        <w:rPr>
          <w:lang w:val="nl-NL"/>
        </w:rPr>
        <w:t>Dr. Mariken E. van Hilten, WFR 1995/76, De maatstaf van BTW-heffing: hoe subjectief is subjectief?</w:t>
      </w:r>
    </w:p>
  </w:footnote>
  <w:footnote w:id="49">
    <w:p w:rsidR="00A8672C" w:rsidRDefault="00A8672C">
      <w:pPr>
        <w:pStyle w:val="FootnoteText"/>
      </w:pPr>
      <w:r>
        <w:rPr>
          <w:rStyle w:val="FootnoteReference"/>
        </w:rPr>
        <w:footnoteRef/>
      </w:r>
      <w:r w:rsidRPr="001A5CC6">
        <w:rPr>
          <w:lang w:val="nl-NL"/>
        </w:rPr>
        <w:t xml:space="preserve"> </w:t>
      </w:r>
      <w:hyperlink r:id="rId2" w:history="1">
        <w:r w:rsidRPr="00BD37A4">
          <w:rPr>
            <w:rStyle w:val="Hyperlink"/>
            <w:lang w:val="nl-NL"/>
          </w:rPr>
          <w:t>www.ndfr.nl</w:t>
        </w:r>
      </w:hyperlink>
      <w:r>
        <w:rPr>
          <w:lang w:val="nl-NL"/>
        </w:rPr>
        <w:t>, algemene criteria maatstaf van heffing</w:t>
      </w:r>
    </w:p>
  </w:footnote>
  <w:footnote w:id="50">
    <w:p w:rsidR="00A8672C" w:rsidRDefault="00A8672C">
      <w:pPr>
        <w:pStyle w:val="FootnoteText"/>
      </w:pPr>
      <w:r>
        <w:rPr>
          <w:rStyle w:val="FootnoteReference"/>
        </w:rPr>
        <w:footnoteRef/>
      </w:r>
      <w:r w:rsidRPr="00344E55">
        <w:rPr>
          <w:lang w:val="nl-NL"/>
        </w:rPr>
        <w:t xml:space="preserve"> </w:t>
      </w:r>
      <w:r>
        <w:rPr>
          <w:lang w:val="nl-NL"/>
        </w:rPr>
        <w:t>HvJ EG 25 mei 1993, C18-92, Bally</w:t>
      </w:r>
    </w:p>
  </w:footnote>
  <w:footnote w:id="51">
    <w:p w:rsidR="00A8672C" w:rsidRDefault="00A8672C">
      <w:pPr>
        <w:pStyle w:val="FootnoteText"/>
      </w:pPr>
      <w:r>
        <w:rPr>
          <w:rStyle w:val="FootnoteReference"/>
        </w:rPr>
        <w:footnoteRef/>
      </w:r>
      <w:r w:rsidRPr="00344E55">
        <w:rPr>
          <w:lang w:val="nl-NL"/>
        </w:rPr>
        <w:t xml:space="preserve"> </w:t>
      </w:r>
      <w:hyperlink r:id="rId3" w:history="1">
        <w:r w:rsidRPr="00BD37A4">
          <w:rPr>
            <w:rStyle w:val="Hyperlink"/>
            <w:lang w:val="nl-NL"/>
          </w:rPr>
          <w:t>www.ndfr.nl</w:t>
        </w:r>
      </w:hyperlink>
      <w:r>
        <w:rPr>
          <w:lang w:val="nl-NL"/>
        </w:rPr>
        <w:t>, algemene criteria maatstaf van heffing</w:t>
      </w:r>
    </w:p>
  </w:footnote>
  <w:footnote w:id="52">
    <w:p w:rsidR="00A8672C" w:rsidRDefault="00A8672C">
      <w:pPr>
        <w:pStyle w:val="FootnoteText"/>
      </w:pPr>
      <w:r>
        <w:rPr>
          <w:rStyle w:val="FootnoteReference"/>
        </w:rPr>
        <w:footnoteRef/>
      </w:r>
      <w:r w:rsidRPr="001A5CC6">
        <w:rPr>
          <w:lang w:val="nl-NL"/>
        </w:rPr>
        <w:t xml:space="preserve"> </w:t>
      </w:r>
      <w:hyperlink r:id="rId4" w:history="1">
        <w:r w:rsidRPr="00BD37A4">
          <w:rPr>
            <w:rStyle w:val="Hyperlink"/>
            <w:lang w:val="nl-NL"/>
          </w:rPr>
          <w:t>www.ndfr.nl</w:t>
        </w:r>
      </w:hyperlink>
      <w:r>
        <w:rPr>
          <w:lang w:val="nl-NL"/>
        </w:rPr>
        <w:t>, algemene criteria maatstaf van heffing</w:t>
      </w:r>
    </w:p>
  </w:footnote>
  <w:footnote w:id="53">
    <w:p w:rsidR="00A8672C" w:rsidRDefault="00A8672C">
      <w:pPr>
        <w:pStyle w:val="FootnoteText"/>
      </w:pPr>
      <w:r>
        <w:rPr>
          <w:rStyle w:val="FootnoteReference"/>
        </w:rPr>
        <w:footnoteRef/>
      </w:r>
      <w:r>
        <w:t xml:space="preserve"> </w:t>
      </w:r>
      <w:r w:rsidRPr="0005739B">
        <w:rPr>
          <w:lang w:val="en-US"/>
        </w:rPr>
        <w:t>HvJ EG, 20 januari 2005, C-412/03, Hotel Scandic Gasabäck AB</w:t>
      </w:r>
    </w:p>
  </w:footnote>
  <w:footnote w:id="54">
    <w:p w:rsidR="00A8672C" w:rsidRDefault="00A8672C">
      <w:pPr>
        <w:pStyle w:val="FootnoteText"/>
      </w:pPr>
      <w:r>
        <w:rPr>
          <w:rStyle w:val="FootnoteReference"/>
        </w:rPr>
        <w:footnoteRef/>
      </w:r>
      <w:r w:rsidRPr="00D34389">
        <w:rPr>
          <w:lang w:val="nl-NL"/>
        </w:rPr>
        <w:t xml:space="preserve"> </w:t>
      </w:r>
      <w:r>
        <w:rPr>
          <w:lang w:val="nl-NL"/>
        </w:rPr>
        <w:t>HR 11 februari 2005, nr. 38.022, NTFR 2005/274</w:t>
      </w:r>
    </w:p>
  </w:footnote>
  <w:footnote w:id="55">
    <w:p w:rsidR="00A8672C" w:rsidRDefault="00A8672C">
      <w:pPr>
        <w:pStyle w:val="FootnoteText"/>
      </w:pPr>
      <w:r>
        <w:rPr>
          <w:rStyle w:val="FootnoteReference"/>
        </w:rPr>
        <w:footnoteRef/>
      </w:r>
      <w:r w:rsidRPr="002756F1">
        <w:rPr>
          <w:lang w:val="nl-NL"/>
        </w:rPr>
        <w:t xml:space="preserve"> </w:t>
      </w:r>
      <w:r>
        <w:rPr>
          <w:lang w:val="nl-NL"/>
        </w:rPr>
        <w:t>Richtlijn 2006/112/EG van de Raad, 28 november 2006</w:t>
      </w:r>
    </w:p>
  </w:footnote>
  <w:footnote w:id="56">
    <w:p w:rsidR="00A8672C" w:rsidRDefault="00A8672C">
      <w:pPr>
        <w:pStyle w:val="FootnoteText"/>
      </w:pPr>
      <w:r>
        <w:rPr>
          <w:rStyle w:val="FootnoteReference"/>
        </w:rPr>
        <w:footnoteRef/>
      </w:r>
      <w:r w:rsidRPr="007D2B83">
        <w:rPr>
          <w:lang w:val="nl-NL"/>
        </w:rPr>
        <w:t xml:space="preserve"> </w:t>
      </w:r>
      <w:r>
        <w:rPr>
          <w:lang w:val="nl-NL"/>
        </w:rPr>
        <w:t>Richtlijn 2006/112/EG van de Raad, 28 november 2006</w:t>
      </w:r>
    </w:p>
  </w:footnote>
  <w:footnote w:id="57">
    <w:p w:rsidR="00A8672C" w:rsidRDefault="00A8672C">
      <w:pPr>
        <w:pStyle w:val="FootnoteText"/>
      </w:pPr>
      <w:r>
        <w:rPr>
          <w:rStyle w:val="FootnoteReference"/>
        </w:rPr>
        <w:footnoteRef/>
      </w:r>
      <w:r w:rsidRPr="00F02BA1">
        <w:rPr>
          <w:lang w:val="nl-NL"/>
        </w:rPr>
        <w:t xml:space="preserve"> </w:t>
      </w:r>
      <w:hyperlink r:id="rId5" w:history="1">
        <w:r w:rsidRPr="003C72BB">
          <w:rPr>
            <w:rStyle w:val="Hyperlink"/>
            <w:lang w:val="nl-NL"/>
          </w:rPr>
          <w:t>www.ndfr.nl</w:t>
        </w:r>
      </w:hyperlink>
      <w:r>
        <w:rPr>
          <w:lang w:val="nl-NL"/>
        </w:rPr>
        <w:t xml:space="preserve"> commentaar artikel 6.1 Wet OB 1968 &amp; Kamerstukken II 2008-2009 31 907, nr 3 Memorie van Toelichting</w:t>
      </w:r>
    </w:p>
  </w:footnote>
  <w:footnote w:id="58">
    <w:p w:rsidR="00A8672C" w:rsidRDefault="00A8672C">
      <w:pPr>
        <w:pStyle w:val="FootnoteText"/>
      </w:pPr>
      <w:r>
        <w:rPr>
          <w:rStyle w:val="FootnoteReference"/>
        </w:rPr>
        <w:footnoteRef/>
      </w:r>
      <w:r w:rsidRPr="00F02BA1">
        <w:rPr>
          <w:lang w:val="nl-NL"/>
        </w:rPr>
        <w:t xml:space="preserve"> </w:t>
      </w:r>
      <w:hyperlink r:id="rId6" w:history="1">
        <w:r w:rsidRPr="003C72BB">
          <w:rPr>
            <w:rStyle w:val="Hyperlink"/>
            <w:lang w:val="nl-NL"/>
          </w:rPr>
          <w:t>www.ndfr.nl</w:t>
        </w:r>
      </w:hyperlink>
      <w:r>
        <w:rPr>
          <w:lang w:val="nl-NL"/>
        </w:rPr>
        <w:t xml:space="preserve"> commentaar artikel 6.1 Wet OB 1968 &amp; Kamerstukken II 2008-2009 31 907, nr 3 Memorie van Toelichting</w:t>
      </w:r>
    </w:p>
  </w:footnote>
  <w:footnote w:id="59">
    <w:p w:rsidR="00A8672C" w:rsidRDefault="00A8672C">
      <w:pPr>
        <w:pStyle w:val="FootnoteText"/>
      </w:pPr>
      <w:r>
        <w:rPr>
          <w:rStyle w:val="FootnoteReference"/>
        </w:rPr>
        <w:footnoteRef/>
      </w:r>
      <w:r w:rsidRPr="00F02BA1">
        <w:rPr>
          <w:lang w:val="nl-NL"/>
        </w:rPr>
        <w:t xml:space="preserve"> </w:t>
      </w:r>
      <w:hyperlink r:id="rId7" w:history="1">
        <w:r w:rsidRPr="003C72BB">
          <w:rPr>
            <w:rStyle w:val="Hyperlink"/>
            <w:lang w:val="nl-NL"/>
          </w:rPr>
          <w:t>www.ndfr.nl</w:t>
        </w:r>
      </w:hyperlink>
      <w:r>
        <w:rPr>
          <w:lang w:val="nl-NL"/>
        </w:rPr>
        <w:t xml:space="preserve"> commentaar artikel 6.1 Wet OB 1968 &amp; Kamerstukken II 2008-2009 31 907, nr 3 Memorie van Toelichting</w:t>
      </w:r>
    </w:p>
  </w:footnote>
  <w:footnote w:id="60">
    <w:p w:rsidR="00A8672C" w:rsidRDefault="00A8672C">
      <w:pPr>
        <w:pStyle w:val="FootnoteText"/>
      </w:pPr>
      <w:r>
        <w:rPr>
          <w:rStyle w:val="FootnoteReference"/>
        </w:rPr>
        <w:footnoteRef/>
      </w:r>
      <w:r w:rsidRPr="002B35F1">
        <w:rPr>
          <w:lang w:val="nl-NL"/>
        </w:rPr>
        <w:t xml:space="preserve"> </w:t>
      </w:r>
      <w:r>
        <w:rPr>
          <w:lang w:val="nl-NL"/>
        </w:rPr>
        <w:t>Kamerstukken II 2008-2009 31 907, nr 3 Memorie van Toelichting</w:t>
      </w:r>
    </w:p>
  </w:footnote>
  <w:footnote w:id="61">
    <w:p w:rsidR="00A8672C" w:rsidRDefault="00A8672C">
      <w:pPr>
        <w:pStyle w:val="FootnoteText"/>
      </w:pPr>
      <w:r>
        <w:rPr>
          <w:rStyle w:val="FootnoteReference"/>
        </w:rPr>
        <w:footnoteRef/>
      </w:r>
      <w:r w:rsidRPr="000372F9">
        <w:rPr>
          <w:lang w:val="nl-NL"/>
        </w:rPr>
        <w:t xml:space="preserve"> </w:t>
      </w:r>
      <w:r>
        <w:rPr>
          <w:lang w:val="nl-NL"/>
        </w:rPr>
        <w:t>Kamerstukken II,  2008-2009, 31 907, nr 7</w:t>
      </w:r>
    </w:p>
  </w:footnote>
  <w:footnote w:id="62">
    <w:p w:rsidR="00A8672C" w:rsidRDefault="00A8672C">
      <w:pPr>
        <w:pStyle w:val="FootnoteText"/>
      </w:pPr>
      <w:r>
        <w:rPr>
          <w:rStyle w:val="FootnoteReference"/>
        </w:rPr>
        <w:footnoteRef/>
      </w:r>
      <w:r w:rsidRPr="0047688C">
        <w:rPr>
          <w:lang w:val="nl-NL"/>
        </w:rPr>
        <w:t xml:space="preserve"> </w:t>
      </w:r>
      <w:r>
        <w:rPr>
          <w:lang w:val="nl-NL"/>
        </w:rPr>
        <w:t>Kamerstukken II,  2008-2009, 31 907, nr 3</w:t>
      </w:r>
    </w:p>
  </w:footnote>
  <w:footnote w:id="63">
    <w:p w:rsidR="00A8672C" w:rsidRDefault="00A8672C">
      <w:pPr>
        <w:pStyle w:val="FootnoteText"/>
      </w:pPr>
      <w:r>
        <w:rPr>
          <w:rStyle w:val="FootnoteReference"/>
        </w:rPr>
        <w:footnoteRef/>
      </w:r>
      <w:r w:rsidRPr="00BD0E3F">
        <w:rPr>
          <w:lang w:val="nl-NL"/>
        </w:rPr>
        <w:t xml:space="preserve"> </w:t>
      </w:r>
      <w:hyperlink r:id="rId8" w:history="1">
        <w:r w:rsidRPr="0074148E">
          <w:rPr>
            <w:rStyle w:val="Hyperlink"/>
            <w:lang w:val="nl-NL"/>
          </w:rPr>
          <w:t>www.ndfr.nl</w:t>
        </w:r>
      </w:hyperlink>
      <w:r>
        <w:rPr>
          <w:lang w:val="nl-NL"/>
        </w:rPr>
        <w:t xml:space="preserve"> commentaar op artikel 7 lid 7 Wet op de Omzetbelasting 1968.</w:t>
      </w:r>
    </w:p>
  </w:footnote>
  <w:footnote w:id="64">
    <w:p w:rsidR="00A8672C" w:rsidRDefault="00A8672C">
      <w:pPr>
        <w:pStyle w:val="FootnoteText"/>
      </w:pPr>
      <w:r>
        <w:rPr>
          <w:rStyle w:val="FootnoteReference"/>
        </w:rPr>
        <w:footnoteRef/>
      </w:r>
      <w:r w:rsidRPr="00A11111">
        <w:rPr>
          <w:lang w:val="nl-NL"/>
        </w:rPr>
        <w:t xml:space="preserve"> </w:t>
      </w:r>
      <w:r>
        <w:rPr>
          <w:lang w:val="nl-NL"/>
        </w:rPr>
        <w:t>Kamerstukken I, 2009-2010, 31 907, nr. C</w:t>
      </w:r>
    </w:p>
  </w:footnote>
  <w:footnote w:id="65">
    <w:p w:rsidR="00A8672C" w:rsidRDefault="00A8672C">
      <w:pPr>
        <w:pStyle w:val="FootnoteText"/>
      </w:pPr>
      <w:r>
        <w:rPr>
          <w:rStyle w:val="FootnoteReference"/>
        </w:rPr>
        <w:footnoteRef/>
      </w:r>
      <w:r w:rsidRPr="00C81C5D">
        <w:rPr>
          <w:lang w:val="nl-NL"/>
        </w:rPr>
        <w:t xml:space="preserve"> Mr. M.W.C. Soltysik, WFR 2010/196, Uit</w:t>
      </w:r>
      <w:r>
        <w:rPr>
          <w:lang w:val="nl-NL"/>
        </w:rPr>
        <w:t>breiding btw-ondernemerschap in verbad met nieuwe regels plaats  dienst en privé gebruik: het klopt niet!</w:t>
      </w:r>
    </w:p>
  </w:footnote>
  <w:footnote w:id="66">
    <w:p w:rsidR="00A8672C" w:rsidRDefault="00A8672C">
      <w:pPr>
        <w:pStyle w:val="FootnoteText"/>
      </w:pPr>
      <w:r>
        <w:rPr>
          <w:rStyle w:val="FootnoteReference"/>
        </w:rPr>
        <w:footnoteRef/>
      </w:r>
      <w:r w:rsidRPr="0044735B">
        <w:rPr>
          <w:lang w:val="nl-NL"/>
        </w:rPr>
        <w:t xml:space="preserve"> </w:t>
      </w:r>
      <w:r>
        <w:rPr>
          <w:lang w:val="nl-NL"/>
        </w:rPr>
        <w:t>Kamerstukken I, 2009-2010, 31 907, nr. 12</w:t>
      </w:r>
    </w:p>
  </w:footnote>
  <w:footnote w:id="67">
    <w:p w:rsidR="00A8672C" w:rsidRDefault="00A8672C">
      <w:pPr>
        <w:pStyle w:val="FootnoteText"/>
      </w:pPr>
      <w:r>
        <w:rPr>
          <w:rStyle w:val="FootnoteReference"/>
        </w:rPr>
        <w:footnoteRef/>
      </w:r>
      <w:r w:rsidRPr="00943957">
        <w:rPr>
          <w:lang w:val="nl-NL"/>
        </w:rPr>
        <w:t xml:space="preserve"> </w:t>
      </w:r>
      <w:r>
        <w:rPr>
          <w:lang w:val="nl-NL"/>
        </w:rPr>
        <w:t>Artikel 44 BTW-richtlijn.</w:t>
      </w:r>
    </w:p>
  </w:footnote>
  <w:footnote w:id="68">
    <w:p w:rsidR="00A8672C" w:rsidRDefault="00A8672C">
      <w:pPr>
        <w:pStyle w:val="FootnoteText"/>
      </w:pPr>
      <w:r>
        <w:rPr>
          <w:rStyle w:val="FootnoteReference"/>
        </w:rPr>
        <w:footnoteRef/>
      </w:r>
      <w:r w:rsidRPr="008344AE">
        <w:rPr>
          <w:lang w:val="nl-NL"/>
        </w:rPr>
        <w:t xml:space="preserve"> </w:t>
      </w:r>
      <w:r w:rsidRPr="00F83C0A">
        <w:rPr>
          <w:lang w:val="nl-NL"/>
        </w:rPr>
        <w:t>Mevr. mr. M.M.W.D. Merkx, TFO 2009/126, Enk</w:t>
      </w:r>
      <w:r>
        <w:rPr>
          <w:lang w:val="nl-NL"/>
        </w:rPr>
        <w:t>ele beschouwingen over de toepassing van de nieuwe hoofdregel voor de plaats van dienst voor belastingplichtigen.</w:t>
      </w:r>
    </w:p>
  </w:footnote>
  <w:footnote w:id="69">
    <w:p w:rsidR="00A8672C" w:rsidRDefault="00A8672C" w:rsidP="00F83C0A">
      <w:pPr>
        <w:pStyle w:val="FootnoteText"/>
      </w:pPr>
      <w:r>
        <w:rPr>
          <w:rStyle w:val="FootnoteReference"/>
        </w:rPr>
        <w:footnoteRef/>
      </w:r>
      <w:r w:rsidRPr="00F83C0A">
        <w:rPr>
          <w:lang w:val="nl-NL"/>
        </w:rPr>
        <w:t xml:space="preserve"> Mevr. mr. M.M.W.D. Merkx, TFO 2009/126, Enk</w:t>
      </w:r>
      <w:r>
        <w:rPr>
          <w:lang w:val="nl-NL"/>
        </w:rPr>
        <w:t>ele beschouwingen over de toepassing van de nieuwe hoofdregel voor de plaats van dienst voor belastingplichtigen.</w:t>
      </w:r>
    </w:p>
  </w:footnote>
  <w:footnote w:id="70">
    <w:p w:rsidR="00A8672C" w:rsidRDefault="00A8672C">
      <w:pPr>
        <w:pStyle w:val="FootnoteText"/>
      </w:pPr>
      <w:r>
        <w:rPr>
          <w:rStyle w:val="FootnoteReference"/>
        </w:rPr>
        <w:footnoteRef/>
      </w:r>
      <w:r w:rsidRPr="00A56ECE">
        <w:rPr>
          <w:lang w:val="nl-NL"/>
        </w:rPr>
        <w:t xml:space="preserve"> </w:t>
      </w:r>
      <w:r>
        <w:rPr>
          <w:lang w:val="nl-NL"/>
        </w:rPr>
        <w:t>Hof van Justitie EG, 4 juli 1985, Berkholz, 168/94</w:t>
      </w:r>
    </w:p>
  </w:footnote>
  <w:footnote w:id="71">
    <w:p w:rsidR="00A8672C" w:rsidRDefault="00A8672C">
      <w:pPr>
        <w:pStyle w:val="FootnoteText"/>
      </w:pPr>
      <w:r>
        <w:rPr>
          <w:rStyle w:val="FootnoteReference"/>
        </w:rPr>
        <w:footnoteRef/>
      </w:r>
      <w:r w:rsidRPr="00A56ECE">
        <w:rPr>
          <w:lang w:val="nl-NL"/>
        </w:rPr>
        <w:t xml:space="preserve"> </w:t>
      </w:r>
      <w:r>
        <w:rPr>
          <w:lang w:val="nl-NL"/>
        </w:rPr>
        <w:t>Hof van Justitie EG, 2 mei 1996, Faaborg-Geltien Linien, C-231/94</w:t>
      </w:r>
    </w:p>
  </w:footnote>
  <w:footnote w:id="72">
    <w:p w:rsidR="00A8672C" w:rsidRDefault="00A8672C">
      <w:pPr>
        <w:pStyle w:val="FootnoteText"/>
      </w:pPr>
      <w:r>
        <w:rPr>
          <w:rStyle w:val="FootnoteReference"/>
        </w:rPr>
        <w:footnoteRef/>
      </w:r>
      <w:r w:rsidRPr="00A56ECE">
        <w:rPr>
          <w:lang w:val="nl-NL"/>
        </w:rPr>
        <w:t xml:space="preserve"> </w:t>
      </w:r>
      <w:r>
        <w:rPr>
          <w:lang w:val="nl-NL"/>
        </w:rPr>
        <w:t>Hof van Justitie EG, 20 februari 1997, DFDS, C-260/95</w:t>
      </w:r>
    </w:p>
  </w:footnote>
  <w:footnote w:id="73">
    <w:p w:rsidR="00A8672C" w:rsidRDefault="00A8672C">
      <w:pPr>
        <w:pStyle w:val="FootnoteText"/>
      </w:pPr>
      <w:r>
        <w:rPr>
          <w:rStyle w:val="FootnoteReference"/>
        </w:rPr>
        <w:footnoteRef/>
      </w:r>
      <w:r w:rsidRPr="00A56ECE">
        <w:rPr>
          <w:lang w:val="nl-NL"/>
        </w:rPr>
        <w:t xml:space="preserve"> </w:t>
      </w:r>
      <w:r>
        <w:rPr>
          <w:lang w:val="nl-NL"/>
        </w:rPr>
        <w:t>Hof van Justitie EG, 17 juli 1997, ARO Lease, C-190/95</w:t>
      </w:r>
    </w:p>
  </w:footnote>
  <w:footnote w:id="74">
    <w:p w:rsidR="00A8672C" w:rsidRDefault="00A8672C">
      <w:pPr>
        <w:pStyle w:val="FootnoteText"/>
      </w:pPr>
      <w:r>
        <w:rPr>
          <w:rStyle w:val="FootnoteReference"/>
        </w:rPr>
        <w:footnoteRef/>
      </w:r>
      <w:r w:rsidRPr="00D94071">
        <w:rPr>
          <w:lang w:val="nl-NL"/>
        </w:rPr>
        <w:t xml:space="preserve"> </w:t>
      </w:r>
      <w:r>
        <w:rPr>
          <w:lang w:val="nl-NL"/>
        </w:rPr>
        <w:t>Hof van Justitie EG, 7 mei 1998, LeasePlan, C-390/960</w:t>
      </w:r>
    </w:p>
  </w:footnote>
  <w:footnote w:id="75">
    <w:p w:rsidR="00A8672C" w:rsidRDefault="00A8672C">
      <w:pPr>
        <w:pStyle w:val="FootnoteText"/>
      </w:pPr>
      <w:r>
        <w:rPr>
          <w:rStyle w:val="FootnoteReference"/>
        </w:rPr>
        <w:footnoteRef/>
      </w:r>
      <w:r w:rsidRPr="000C5FB6">
        <w:rPr>
          <w:lang w:val="nl-NL"/>
        </w:rPr>
        <w:t xml:space="preserve"> </w:t>
      </w:r>
      <w:r>
        <w:rPr>
          <w:lang w:val="nl-NL"/>
        </w:rPr>
        <w:t>Kamerstukken II 2008-2009 31 907, nr 3 Memorie van Toelichting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AE649A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6106B1E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EAAE91B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82C8C82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91168FC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7A0FC8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7D22B8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DCC46E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BB059E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9649BC6"/>
    <w:lvl w:ilvl="0">
      <w:start w:val="1"/>
      <w:numFmt w:val="bullet"/>
      <w:lvlText w:val=""/>
      <w:lvlJc w:val="left"/>
      <w:pPr>
        <w:tabs>
          <w:tab w:val="num" w:pos="360"/>
        </w:tabs>
        <w:ind w:left="360" w:hanging="360"/>
      </w:pPr>
      <w:rPr>
        <w:rFonts w:ascii="Symbol" w:hAnsi="Symbol" w:hint="default"/>
      </w:rPr>
    </w:lvl>
  </w:abstractNum>
  <w:abstractNum w:abstractNumId="10">
    <w:nsid w:val="005A2549"/>
    <w:multiLevelType w:val="multilevel"/>
    <w:tmpl w:val="20C0A90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0BDC2BBA"/>
    <w:multiLevelType w:val="hybridMultilevel"/>
    <w:tmpl w:val="2AF07EBE"/>
    <w:lvl w:ilvl="0" w:tplc="04130017">
      <w:start w:val="1"/>
      <w:numFmt w:val="lowerLetter"/>
      <w:lvlText w:val="%1)"/>
      <w:lvlJc w:val="left"/>
      <w:pPr>
        <w:ind w:left="720" w:hanging="360"/>
      </w:pPr>
      <w:rPr>
        <w:rFonts w:cs="Times New Roman" w:hint="default"/>
      </w:rPr>
    </w:lvl>
    <w:lvl w:ilvl="1" w:tplc="A86A5F28">
      <w:start w:val="1"/>
      <w:numFmt w:val="lowerLetter"/>
      <w:lvlText w:val="%2."/>
      <w:lvlJc w:val="left"/>
      <w:pPr>
        <w:ind w:left="1440" w:hanging="360"/>
      </w:pPr>
      <w:rPr>
        <w:rFonts w:cs="Times New Roman" w:hint="default"/>
        <w:b/>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45D71B1"/>
    <w:multiLevelType w:val="multilevel"/>
    <w:tmpl w:val="E4AAED3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
    <w:nsid w:val="1786312D"/>
    <w:multiLevelType w:val="hybridMultilevel"/>
    <w:tmpl w:val="79EE16E6"/>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4">
    <w:nsid w:val="1B997DBE"/>
    <w:multiLevelType w:val="multilevel"/>
    <w:tmpl w:val="4740EA4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21BE3482"/>
    <w:multiLevelType w:val="hybridMultilevel"/>
    <w:tmpl w:val="B97E933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22EF5DE5"/>
    <w:multiLevelType w:val="multilevel"/>
    <w:tmpl w:val="E71CDC8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2A5116D2"/>
    <w:multiLevelType w:val="hybridMultilevel"/>
    <w:tmpl w:val="652476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2BF808F8"/>
    <w:multiLevelType w:val="hybridMultilevel"/>
    <w:tmpl w:val="90E661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2D3F0066"/>
    <w:multiLevelType w:val="hybridMultilevel"/>
    <w:tmpl w:val="E1A640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2DC052BD"/>
    <w:multiLevelType w:val="hybridMultilevel"/>
    <w:tmpl w:val="B6D46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2DDF7B00"/>
    <w:multiLevelType w:val="hybridMultilevel"/>
    <w:tmpl w:val="1C66D8C0"/>
    <w:lvl w:ilvl="0" w:tplc="4D5AD3E2">
      <w:start w:val="3"/>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FF161C8"/>
    <w:multiLevelType w:val="hybridMultilevel"/>
    <w:tmpl w:val="F03A6E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3A9C30EE"/>
    <w:multiLevelType w:val="hybridMultilevel"/>
    <w:tmpl w:val="9D72BAC0"/>
    <w:lvl w:ilvl="0" w:tplc="04130017">
      <w:start w:val="1"/>
      <w:numFmt w:val="lowerLetter"/>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nsid w:val="3A9C3181"/>
    <w:multiLevelType w:val="hybridMultilevel"/>
    <w:tmpl w:val="AECEAE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1D079D4"/>
    <w:multiLevelType w:val="multilevel"/>
    <w:tmpl w:val="0C36C06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42433CCB"/>
    <w:multiLevelType w:val="hybridMultilevel"/>
    <w:tmpl w:val="EF1A6C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455C1D6E"/>
    <w:multiLevelType w:val="hybridMultilevel"/>
    <w:tmpl w:val="6A0604D8"/>
    <w:lvl w:ilvl="0" w:tplc="04130017">
      <w:start w:val="1"/>
      <w:numFmt w:val="lowerLetter"/>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4CBE570C"/>
    <w:multiLevelType w:val="hybridMultilevel"/>
    <w:tmpl w:val="83BE764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9">
    <w:nsid w:val="50337911"/>
    <w:multiLevelType w:val="hybridMultilevel"/>
    <w:tmpl w:val="112AF0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550C6588"/>
    <w:multiLevelType w:val="multilevel"/>
    <w:tmpl w:val="C914AAB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1">
    <w:nsid w:val="554A3EDA"/>
    <w:multiLevelType w:val="hybridMultilevel"/>
    <w:tmpl w:val="C94E3A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643204B"/>
    <w:multiLevelType w:val="hybridMultilevel"/>
    <w:tmpl w:val="4FA4B4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7FA52F9"/>
    <w:multiLevelType w:val="hybridMultilevel"/>
    <w:tmpl w:val="EE12AD94"/>
    <w:lvl w:ilvl="0" w:tplc="C9F2C2C0">
      <w:start w:val="6"/>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59276F52"/>
    <w:multiLevelType w:val="hybridMultilevel"/>
    <w:tmpl w:val="D11232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15E23F5"/>
    <w:multiLevelType w:val="multilevel"/>
    <w:tmpl w:val="53BCE87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68EB55A2"/>
    <w:multiLevelType w:val="multilevel"/>
    <w:tmpl w:val="E6B6640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7">
    <w:nsid w:val="6C0A7FBF"/>
    <w:multiLevelType w:val="hybridMultilevel"/>
    <w:tmpl w:val="96966C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2B4246C"/>
    <w:multiLevelType w:val="multilevel"/>
    <w:tmpl w:val="E6B6640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9">
    <w:nsid w:val="72C54531"/>
    <w:multiLevelType w:val="hybridMultilevel"/>
    <w:tmpl w:val="4E6C0F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78D13F6D"/>
    <w:multiLevelType w:val="hybridMultilevel"/>
    <w:tmpl w:val="05FC073E"/>
    <w:lvl w:ilvl="0" w:tplc="04130017">
      <w:start w:val="1"/>
      <w:numFmt w:val="lowerLetter"/>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nsid w:val="797D13D0"/>
    <w:multiLevelType w:val="hybridMultilevel"/>
    <w:tmpl w:val="A762D9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nsid w:val="79FF079B"/>
    <w:multiLevelType w:val="multilevel"/>
    <w:tmpl w:val="E6B6640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3">
    <w:nsid w:val="7FF93BDE"/>
    <w:multiLevelType w:val="hybridMultilevel"/>
    <w:tmpl w:val="CCEAE28C"/>
    <w:lvl w:ilvl="0" w:tplc="04130011">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30"/>
  </w:num>
  <w:num w:numId="2">
    <w:abstractNumId w:val="25"/>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36"/>
  </w:num>
  <w:num w:numId="14">
    <w:abstractNumId w:val="38"/>
  </w:num>
  <w:num w:numId="15">
    <w:abstractNumId w:val="42"/>
  </w:num>
  <w:num w:numId="16">
    <w:abstractNumId w:val="37"/>
  </w:num>
  <w:num w:numId="17">
    <w:abstractNumId w:val="34"/>
  </w:num>
  <w:num w:numId="18">
    <w:abstractNumId w:val="11"/>
  </w:num>
  <w:num w:numId="19">
    <w:abstractNumId w:val="27"/>
  </w:num>
  <w:num w:numId="20">
    <w:abstractNumId w:val="14"/>
  </w:num>
  <w:num w:numId="21">
    <w:abstractNumId w:val="21"/>
  </w:num>
  <w:num w:numId="22">
    <w:abstractNumId w:val="12"/>
  </w:num>
  <w:num w:numId="23">
    <w:abstractNumId w:val="10"/>
  </w:num>
  <w:num w:numId="24">
    <w:abstractNumId w:val="33"/>
  </w:num>
  <w:num w:numId="25">
    <w:abstractNumId w:val="29"/>
  </w:num>
  <w:num w:numId="26">
    <w:abstractNumId w:val="28"/>
  </w:num>
  <w:num w:numId="27">
    <w:abstractNumId w:val="17"/>
  </w:num>
  <w:num w:numId="28">
    <w:abstractNumId w:val="20"/>
  </w:num>
  <w:num w:numId="29">
    <w:abstractNumId w:val="24"/>
  </w:num>
  <w:num w:numId="30">
    <w:abstractNumId w:val="26"/>
  </w:num>
  <w:num w:numId="31">
    <w:abstractNumId w:val="13"/>
  </w:num>
  <w:num w:numId="32">
    <w:abstractNumId w:val="32"/>
  </w:num>
  <w:num w:numId="33">
    <w:abstractNumId w:val="18"/>
  </w:num>
  <w:num w:numId="34">
    <w:abstractNumId w:val="15"/>
  </w:num>
  <w:num w:numId="35">
    <w:abstractNumId w:val="22"/>
  </w:num>
  <w:num w:numId="36">
    <w:abstractNumId w:val="40"/>
  </w:num>
  <w:num w:numId="37">
    <w:abstractNumId w:val="23"/>
  </w:num>
  <w:num w:numId="38">
    <w:abstractNumId w:val="43"/>
  </w:num>
  <w:num w:numId="39">
    <w:abstractNumId w:val="31"/>
  </w:num>
  <w:num w:numId="40">
    <w:abstractNumId w:val="39"/>
  </w:num>
  <w:num w:numId="41">
    <w:abstractNumId w:val="19"/>
  </w:num>
  <w:num w:numId="42">
    <w:abstractNumId w:val="41"/>
  </w:num>
  <w:num w:numId="43">
    <w:abstractNumId w:val="16"/>
  </w:num>
  <w:num w:numId="44">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306F"/>
    <w:rsid w:val="00003FA2"/>
    <w:rsid w:val="00005A2A"/>
    <w:rsid w:val="0000704C"/>
    <w:rsid w:val="0000792D"/>
    <w:rsid w:val="00012751"/>
    <w:rsid w:val="00012CFC"/>
    <w:rsid w:val="000133D1"/>
    <w:rsid w:val="00013CEE"/>
    <w:rsid w:val="00013D42"/>
    <w:rsid w:val="00014FC5"/>
    <w:rsid w:val="00017AC9"/>
    <w:rsid w:val="0002036E"/>
    <w:rsid w:val="00021C09"/>
    <w:rsid w:val="00022473"/>
    <w:rsid w:val="000269E4"/>
    <w:rsid w:val="00032147"/>
    <w:rsid w:val="0003224F"/>
    <w:rsid w:val="000372F9"/>
    <w:rsid w:val="00050277"/>
    <w:rsid w:val="00050F6A"/>
    <w:rsid w:val="00053A61"/>
    <w:rsid w:val="0005739B"/>
    <w:rsid w:val="0005749C"/>
    <w:rsid w:val="00061BB4"/>
    <w:rsid w:val="00062AEE"/>
    <w:rsid w:val="00070ED6"/>
    <w:rsid w:val="000738A1"/>
    <w:rsid w:val="00074F91"/>
    <w:rsid w:val="0007501D"/>
    <w:rsid w:val="00075BC2"/>
    <w:rsid w:val="000769B1"/>
    <w:rsid w:val="000805C7"/>
    <w:rsid w:val="0008328C"/>
    <w:rsid w:val="00083842"/>
    <w:rsid w:val="00087043"/>
    <w:rsid w:val="0009050D"/>
    <w:rsid w:val="00091F5E"/>
    <w:rsid w:val="000A1A7F"/>
    <w:rsid w:val="000A21B2"/>
    <w:rsid w:val="000B4E71"/>
    <w:rsid w:val="000B695A"/>
    <w:rsid w:val="000B6D97"/>
    <w:rsid w:val="000B7E52"/>
    <w:rsid w:val="000C4A8C"/>
    <w:rsid w:val="000C5FB6"/>
    <w:rsid w:val="000D04DC"/>
    <w:rsid w:val="000D7456"/>
    <w:rsid w:val="000E0109"/>
    <w:rsid w:val="000E1098"/>
    <w:rsid w:val="000E2A08"/>
    <w:rsid w:val="000F1AC8"/>
    <w:rsid w:val="001013B9"/>
    <w:rsid w:val="00103BC0"/>
    <w:rsid w:val="00104517"/>
    <w:rsid w:val="00104F6D"/>
    <w:rsid w:val="0010597A"/>
    <w:rsid w:val="00105CB9"/>
    <w:rsid w:val="00110F71"/>
    <w:rsid w:val="0011115F"/>
    <w:rsid w:val="00111AB7"/>
    <w:rsid w:val="00111B7D"/>
    <w:rsid w:val="00116069"/>
    <w:rsid w:val="001204B1"/>
    <w:rsid w:val="00121884"/>
    <w:rsid w:val="00122D2A"/>
    <w:rsid w:val="00125B9B"/>
    <w:rsid w:val="00126C62"/>
    <w:rsid w:val="001326B0"/>
    <w:rsid w:val="00141116"/>
    <w:rsid w:val="00146207"/>
    <w:rsid w:val="00146A07"/>
    <w:rsid w:val="00156348"/>
    <w:rsid w:val="001616B2"/>
    <w:rsid w:val="001623A4"/>
    <w:rsid w:val="00166054"/>
    <w:rsid w:val="00173207"/>
    <w:rsid w:val="001763FE"/>
    <w:rsid w:val="0018072A"/>
    <w:rsid w:val="00185387"/>
    <w:rsid w:val="00192C18"/>
    <w:rsid w:val="001A0CD2"/>
    <w:rsid w:val="001A373E"/>
    <w:rsid w:val="001A4158"/>
    <w:rsid w:val="001A55EE"/>
    <w:rsid w:val="001A5CC6"/>
    <w:rsid w:val="001A7475"/>
    <w:rsid w:val="001B3223"/>
    <w:rsid w:val="001B3C35"/>
    <w:rsid w:val="001B6108"/>
    <w:rsid w:val="001C2FEB"/>
    <w:rsid w:val="001C7DD4"/>
    <w:rsid w:val="001D07F0"/>
    <w:rsid w:val="001D1815"/>
    <w:rsid w:val="001D6E5B"/>
    <w:rsid w:val="001D71EB"/>
    <w:rsid w:val="001E0AAD"/>
    <w:rsid w:val="001E16F2"/>
    <w:rsid w:val="001E226A"/>
    <w:rsid w:val="001E3DB9"/>
    <w:rsid w:val="001E49D9"/>
    <w:rsid w:val="001E5771"/>
    <w:rsid w:val="001E5FA4"/>
    <w:rsid w:val="001F0478"/>
    <w:rsid w:val="001F3B8E"/>
    <w:rsid w:val="001F70E0"/>
    <w:rsid w:val="002015B2"/>
    <w:rsid w:val="00204AF9"/>
    <w:rsid w:val="002102D8"/>
    <w:rsid w:val="00212AB0"/>
    <w:rsid w:val="00220DE8"/>
    <w:rsid w:val="002234F8"/>
    <w:rsid w:val="00230C44"/>
    <w:rsid w:val="002347A4"/>
    <w:rsid w:val="00236E72"/>
    <w:rsid w:val="00241E56"/>
    <w:rsid w:val="00241E65"/>
    <w:rsid w:val="00243E07"/>
    <w:rsid w:val="00244217"/>
    <w:rsid w:val="00244345"/>
    <w:rsid w:val="002474D8"/>
    <w:rsid w:val="0025314B"/>
    <w:rsid w:val="002531F5"/>
    <w:rsid w:val="00254292"/>
    <w:rsid w:val="00255341"/>
    <w:rsid w:val="0025545E"/>
    <w:rsid w:val="002756F1"/>
    <w:rsid w:val="00276BD9"/>
    <w:rsid w:val="00277DC7"/>
    <w:rsid w:val="002806E2"/>
    <w:rsid w:val="00280749"/>
    <w:rsid w:val="00280DAC"/>
    <w:rsid w:val="00284947"/>
    <w:rsid w:val="002878D0"/>
    <w:rsid w:val="002902E7"/>
    <w:rsid w:val="00291980"/>
    <w:rsid w:val="00291ED4"/>
    <w:rsid w:val="0029450A"/>
    <w:rsid w:val="00295F43"/>
    <w:rsid w:val="002A1D3B"/>
    <w:rsid w:val="002A3BF9"/>
    <w:rsid w:val="002A4404"/>
    <w:rsid w:val="002A4933"/>
    <w:rsid w:val="002A6C49"/>
    <w:rsid w:val="002B031C"/>
    <w:rsid w:val="002B2C60"/>
    <w:rsid w:val="002B35F1"/>
    <w:rsid w:val="002C529D"/>
    <w:rsid w:val="002C6330"/>
    <w:rsid w:val="002D100F"/>
    <w:rsid w:val="002D67D1"/>
    <w:rsid w:val="002D6D4D"/>
    <w:rsid w:val="002E235F"/>
    <w:rsid w:val="002E2E2A"/>
    <w:rsid w:val="002E462D"/>
    <w:rsid w:val="002E690E"/>
    <w:rsid w:val="002F1EE5"/>
    <w:rsid w:val="002F1F0C"/>
    <w:rsid w:val="002F2237"/>
    <w:rsid w:val="002F48B0"/>
    <w:rsid w:val="002F71D7"/>
    <w:rsid w:val="002F7D41"/>
    <w:rsid w:val="00300C8F"/>
    <w:rsid w:val="00301E5F"/>
    <w:rsid w:val="00304457"/>
    <w:rsid w:val="0030470A"/>
    <w:rsid w:val="00305D46"/>
    <w:rsid w:val="00314381"/>
    <w:rsid w:val="0031744F"/>
    <w:rsid w:val="0032397E"/>
    <w:rsid w:val="00325442"/>
    <w:rsid w:val="003413F6"/>
    <w:rsid w:val="00344E55"/>
    <w:rsid w:val="003638EC"/>
    <w:rsid w:val="00364F96"/>
    <w:rsid w:val="00366291"/>
    <w:rsid w:val="00382761"/>
    <w:rsid w:val="00386104"/>
    <w:rsid w:val="00386D4A"/>
    <w:rsid w:val="00387625"/>
    <w:rsid w:val="0039193A"/>
    <w:rsid w:val="003A00AA"/>
    <w:rsid w:val="003A0684"/>
    <w:rsid w:val="003A10A3"/>
    <w:rsid w:val="003A2281"/>
    <w:rsid w:val="003A320D"/>
    <w:rsid w:val="003A6D40"/>
    <w:rsid w:val="003A7683"/>
    <w:rsid w:val="003B1BEF"/>
    <w:rsid w:val="003B6696"/>
    <w:rsid w:val="003C2511"/>
    <w:rsid w:val="003C4750"/>
    <w:rsid w:val="003C63A6"/>
    <w:rsid w:val="003C6BC9"/>
    <w:rsid w:val="003C72BB"/>
    <w:rsid w:val="003D334F"/>
    <w:rsid w:val="003D38D5"/>
    <w:rsid w:val="003D4833"/>
    <w:rsid w:val="003E0161"/>
    <w:rsid w:val="003E3BED"/>
    <w:rsid w:val="003E4528"/>
    <w:rsid w:val="003F03DA"/>
    <w:rsid w:val="00400D6C"/>
    <w:rsid w:val="00401977"/>
    <w:rsid w:val="00402357"/>
    <w:rsid w:val="00402818"/>
    <w:rsid w:val="00405C21"/>
    <w:rsid w:val="004073E8"/>
    <w:rsid w:val="00407EC0"/>
    <w:rsid w:val="00415282"/>
    <w:rsid w:val="00415A27"/>
    <w:rsid w:val="00422524"/>
    <w:rsid w:val="00427DC6"/>
    <w:rsid w:val="00433A44"/>
    <w:rsid w:val="00433BFF"/>
    <w:rsid w:val="0043508D"/>
    <w:rsid w:val="00436E88"/>
    <w:rsid w:val="00440C5A"/>
    <w:rsid w:val="00440DC5"/>
    <w:rsid w:val="004420CB"/>
    <w:rsid w:val="0044735B"/>
    <w:rsid w:val="004504AF"/>
    <w:rsid w:val="00451DDC"/>
    <w:rsid w:val="00457E58"/>
    <w:rsid w:val="00461FD8"/>
    <w:rsid w:val="00462331"/>
    <w:rsid w:val="00464115"/>
    <w:rsid w:val="00466628"/>
    <w:rsid w:val="004733A5"/>
    <w:rsid w:val="00474AD7"/>
    <w:rsid w:val="00476280"/>
    <w:rsid w:val="0047688C"/>
    <w:rsid w:val="0048322D"/>
    <w:rsid w:val="004908F6"/>
    <w:rsid w:val="00493442"/>
    <w:rsid w:val="00494169"/>
    <w:rsid w:val="00496117"/>
    <w:rsid w:val="004A0DDE"/>
    <w:rsid w:val="004A39FF"/>
    <w:rsid w:val="004A4B41"/>
    <w:rsid w:val="004A51B7"/>
    <w:rsid w:val="004A67FE"/>
    <w:rsid w:val="004B18B8"/>
    <w:rsid w:val="004B25E7"/>
    <w:rsid w:val="004B2C08"/>
    <w:rsid w:val="004B2DEF"/>
    <w:rsid w:val="004B393D"/>
    <w:rsid w:val="004B49B2"/>
    <w:rsid w:val="004B5931"/>
    <w:rsid w:val="004B6F81"/>
    <w:rsid w:val="004C0352"/>
    <w:rsid w:val="004C2724"/>
    <w:rsid w:val="004C440B"/>
    <w:rsid w:val="004C4D57"/>
    <w:rsid w:val="004C5A14"/>
    <w:rsid w:val="004E6C2F"/>
    <w:rsid w:val="004E7A8B"/>
    <w:rsid w:val="004F4B50"/>
    <w:rsid w:val="004F525F"/>
    <w:rsid w:val="00500ABF"/>
    <w:rsid w:val="00502E94"/>
    <w:rsid w:val="005073C6"/>
    <w:rsid w:val="00507D16"/>
    <w:rsid w:val="00510421"/>
    <w:rsid w:val="00513C90"/>
    <w:rsid w:val="00515B0B"/>
    <w:rsid w:val="0051641E"/>
    <w:rsid w:val="0051700F"/>
    <w:rsid w:val="00532191"/>
    <w:rsid w:val="005327E4"/>
    <w:rsid w:val="005351CB"/>
    <w:rsid w:val="00543873"/>
    <w:rsid w:val="005449FD"/>
    <w:rsid w:val="0054669E"/>
    <w:rsid w:val="00550314"/>
    <w:rsid w:val="00553060"/>
    <w:rsid w:val="0055306F"/>
    <w:rsid w:val="005552A9"/>
    <w:rsid w:val="00563473"/>
    <w:rsid w:val="005654C5"/>
    <w:rsid w:val="00566FC7"/>
    <w:rsid w:val="00567BAA"/>
    <w:rsid w:val="005700FF"/>
    <w:rsid w:val="00572608"/>
    <w:rsid w:val="005726C4"/>
    <w:rsid w:val="00575592"/>
    <w:rsid w:val="0057670C"/>
    <w:rsid w:val="00582179"/>
    <w:rsid w:val="00584A74"/>
    <w:rsid w:val="0059509A"/>
    <w:rsid w:val="00595A5F"/>
    <w:rsid w:val="005A3561"/>
    <w:rsid w:val="005A4043"/>
    <w:rsid w:val="005B21AB"/>
    <w:rsid w:val="005B3227"/>
    <w:rsid w:val="005B35A9"/>
    <w:rsid w:val="005B4949"/>
    <w:rsid w:val="005B5C6B"/>
    <w:rsid w:val="005B5FF6"/>
    <w:rsid w:val="005B653D"/>
    <w:rsid w:val="005B735F"/>
    <w:rsid w:val="005C0956"/>
    <w:rsid w:val="005C34C8"/>
    <w:rsid w:val="005C54A9"/>
    <w:rsid w:val="005C5507"/>
    <w:rsid w:val="005D0A2E"/>
    <w:rsid w:val="005D0E76"/>
    <w:rsid w:val="005D1DB4"/>
    <w:rsid w:val="005E2DF1"/>
    <w:rsid w:val="005E696F"/>
    <w:rsid w:val="005F19B5"/>
    <w:rsid w:val="005F2112"/>
    <w:rsid w:val="00605B2F"/>
    <w:rsid w:val="00613109"/>
    <w:rsid w:val="0061377F"/>
    <w:rsid w:val="00614D9F"/>
    <w:rsid w:val="0061787B"/>
    <w:rsid w:val="006208B5"/>
    <w:rsid w:val="00624ADA"/>
    <w:rsid w:val="00627C0A"/>
    <w:rsid w:val="00630A26"/>
    <w:rsid w:val="006317E2"/>
    <w:rsid w:val="00633558"/>
    <w:rsid w:val="00635B45"/>
    <w:rsid w:val="00636668"/>
    <w:rsid w:val="006436FD"/>
    <w:rsid w:val="00645A83"/>
    <w:rsid w:val="006469A3"/>
    <w:rsid w:val="00646B71"/>
    <w:rsid w:val="006514E0"/>
    <w:rsid w:val="00654418"/>
    <w:rsid w:val="006560B3"/>
    <w:rsid w:val="00661FEB"/>
    <w:rsid w:val="006657C8"/>
    <w:rsid w:val="00665B31"/>
    <w:rsid w:val="00666A0C"/>
    <w:rsid w:val="00685C3C"/>
    <w:rsid w:val="00685F19"/>
    <w:rsid w:val="00692487"/>
    <w:rsid w:val="00696F3E"/>
    <w:rsid w:val="006A0517"/>
    <w:rsid w:val="006A0584"/>
    <w:rsid w:val="006A3C3E"/>
    <w:rsid w:val="006B228F"/>
    <w:rsid w:val="006B4394"/>
    <w:rsid w:val="006B562D"/>
    <w:rsid w:val="006C1D1B"/>
    <w:rsid w:val="006C2F1A"/>
    <w:rsid w:val="006C5E5A"/>
    <w:rsid w:val="006D0C7F"/>
    <w:rsid w:val="006D1077"/>
    <w:rsid w:val="006D46C4"/>
    <w:rsid w:val="006D5704"/>
    <w:rsid w:val="006D74BD"/>
    <w:rsid w:val="006E1B27"/>
    <w:rsid w:val="006E3F08"/>
    <w:rsid w:val="006E5223"/>
    <w:rsid w:val="006F1539"/>
    <w:rsid w:val="006F1939"/>
    <w:rsid w:val="006F5804"/>
    <w:rsid w:val="006F6BBB"/>
    <w:rsid w:val="006F769F"/>
    <w:rsid w:val="00703D5B"/>
    <w:rsid w:val="00707545"/>
    <w:rsid w:val="007106FE"/>
    <w:rsid w:val="00714F0F"/>
    <w:rsid w:val="00721833"/>
    <w:rsid w:val="00721C63"/>
    <w:rsid w:val="007226FB"/>
    <w:rsid w:val="007250AF"/>
    <w:rsid w:val="0072662E"/>
    <w:rsid w:val="007357DA"/>
    <w:rsid w:val="0074148E"/>
    <w:rsid w:val="00755344"/>
    <w:rsid w:val="00755F15"/>
    <w:rsid w:val="0076605D"/>
    <w:rsid w:val="00767543"/>
    <w:rsid w:val="0077196D"/>
    <w:rsid w:val="00777918"/>
    <w:rsid w:val="00783007"/>
    <w:rsid w:val="00783A26"/>
    <w:rsid w:val="007849CC"/>
    <w:rsid w:val="00796889"/>
    <w:rsid w:val="007A3E68"/>
    <w:rsid w:val="007A5D91"/>
    <w:rsid w:val="007A7476"/>
    <w:rsid w:val="007B55AB"/>
    <w:rsid w:val="007C4430"/>
    <w:rsid w:val="007C7BB5"/>
    <w:rsid w:val="007D173F"/>
    <w:rsid w:val="007D1DC1"/>
    <w:rsid w:val="007D2B83"/>
    <w:rsid w:val="007D45F9"/>
    <w:rsid w:val="007D461B"/>
    <w:rsid w:val="007E1822"/>
    <w:rsid w:val="007E6F7A"/>
    <w:rsid w:val="007F0BAC"/>
    <w:rsid w:val="008028B1"/>
    <w:rsid w:val="00804CD8"/>
    <w:rsid w:val="008110F2"/>
    <w:rsid w:val="00811D02"/>
    <w:rsid w:val="0082363F"/>
    <w:rsid w:val="008276F8"/>
    <w:rsid w:val="008311A2"/>
    <w:rsid w:val="008344AE"/>
    <w:rsid w:val="00842BF4"/>
    <w:rsid w:val="00847231"/>
    <w:rsid w:val="00851F8C"/>
    <w:rsid w:val="00853132"/>
    <w:rsid w:val="0085615D"/>
    <w:rsid w:val="00860467"/>
    <w:rsid w:val="00860703"/>
    <w:rsid w:val="00860FD0"/>
    <w:rsid w:val="00867ED7"/>
    <w:rsid w:val="00871488"/>
    <w:rsid w:val="00875C55"/>
    <w:rsid w:val="008817BA"/>
    <w:rsid w:val="008853E3"/>
    <w:rsid w:val="00893AA0"/>
    <w:rsid w:val="0089575A"/>
    <w:rsid w:val="0089636A"/>
    <w:rsid w:val="00897DE7"/>
    <w:rsid w:val="008A0D42"/>
    <w:rsid w:val="008B046F"/>
    <w:rsid w:val="008B3667"/>
    <w:rsid w:val="008C1153"/>
    <w:rsid w:val="008C310E"/>
    <w:rsid w:val="008C37BE"/>
    <w:rsid w:val="008C59FC"/>
    <w:rsid w:val="008C62DF"/>
    <w:rsid w:val="008C6831"/>
    <w:rsid w:val="008C7B19"/>
    <w:rsid w:val="008D42DB"/>
    <w:rsid w:val="008D6895"/>
    <w:rsid w:val="008E189F"/>
    <w:rsid w:val="008F0EC6"/>
    <w:rsid w:val="008F199E"/>
    <w:rsid w:val="008F1D6B"/>
    <w:rsid w:val="008F2DDA"/>
    <w:rsid w:val="00903E2F"/>
    <w:rsid w:val="00906689"/>
    <w:rsid w:val="00906FC4"/>
    <w:rsid w:val="009072CB"/>
    <w:rsid w:val="00914206"/>
    <w:rsid w:val="009146BF"/>
    <w:rsid w:val="009156D6"/>
    <w:rsid w:val="00917476"/>
    <w:rsid w:val="009243BF"/>
    <w:rsid w:val="009246F3"/>
    <w:rsid w:val="00931D0D"/>
    <w:rsid w:val="00935521"/>
    <w:rsid w:val="009373EB"/>
    <w:rsid w:val="009420FE"/>
    <w:rsid w:val="00942498"/>
    <w:rsid w:val="00942BF0"/>
    <w:rsid w:val="00943957"/>
    <w:rsid w:val="00945710"/>
    <w:rsid w:val="00946867"/>
    <w:rsid w:val="009506EB"/>
    <w:rsid w:val="0095106E"/>
    <w:rsid w:val="009558F5"/>
    <w:rsid w:val="00965E8A"/>
    <w:rsid w:val="00965ED6"/>
    <w:rsid w:val="00966E5A"/>
    <w:rsid w:val="0097450D"/>
    <w:rsid w:val="009749CF"/>
    <w:rsid w:val="00987113"/>
    <w:rsid w:val="00994353"/>
    <w:rsid w:val="00997834"/>
    <w:rsid w:val="009A0300"/>
    <w:rsid w:val="009A3A31"/>
    <w:rsid w:val="009A4D2F"/>
    <w:rsid w:val="009B2958"/>
    <w:rsid w:val="009B3493"/>
    <w:rsid w:val="009C1E97"/>
    <w:rsid w:val="009C438A"/>
    <w:rsid w:val="009C5BA7"/>
    <w:rsid w:val="009C726F"/>
    <w:rsid w:val="009C78D8"/>
    <w:rsid w:val="009D5863"/>
    <w:rsid w:val="009D7ED3"/>
    <w:rsid w:val="009E54C4"/>
    <w:rsid w:val="009E5510"/>
    <w:rsid w:val="009E6A1A"/>
    <w:rsid w:val="009E6BD0"/>
    <w:rsid w:val="009E755B"/>
    <w:rsid w:val="009E7A65"/>
    <w:rsid w:val="009F1EE8"/>
    <w:rsid w:val="009F20FC"/>
    <w:rsid w:val="009F796A"/>
    <w:rsid w:val="00A00033"/>
    <w:rsid w:val="00A013D7"/>
    <w:rsid w:val="00A0381A"/>
    <w:rsid w:val="00A0601F"/>
    <w:rsid w:val="00A11111"/>
    <w:rsid w:val="00A1226D"/>
    <w:rsid w:val="00A14498"/>
    <w:rsid w:val="00A14EDE"/>
    <w:rsid w:val="00A15E5B"/>
    <w:rsid w:val="00A205DA"/>
    <w:rsid w:val="00A26E97"/>
    <w:rsid w:val="00A30B78"/>
    <w:rsid w:val="00A34414"/>
    <w:rsid w:val="00A35E1B"/>
    <w:rsid w:val="00A366E2"/>
    <w:rsid w:val="00A379E7"/>
    <w:rsid w:val="00A4094A"/>
    <w:rsid w:val="00A464CE"/>
    <w:rsid w:val="00A51082"/>
    <w:rsid w:val="00A52BBF"/>
    <w:rsid w:val="00A538BC"/>
    <w:rsid w:val="00A54C7B"/>
    <w:rsid w:val="00A5525B"/>
    <w:rsid w:val="00A56ECE"/>
    <w:rsid w:val="00A61107"/>
    <w:rsid w:val="00A66DBD"/>
    <w:rsid w:val="00A674C2"/>
    <w:rsid w:val="00A71A0B"/>
    <w:rsid w:val="00A8672C"/>
    <w:rsid w:val="00A86D22"/>
    <w:rsid w:val="00A915B8"/>
    <w:rsid w:val="00A91BD7"/>
    <w:rsid w:val="00A942ED"/>
    <w:rsid w:val="00A95C92"/>
    <w:rsid w:val="00A96496"/>
    <w:rsid w:val="00A966AA"/>
    <w:rsid w:val="00AA0052"/>
    <w:rsid w:val="00AA3A46"/>
    <w:rsid w:val="00AA60F4"/>
    <w:rsid w:val="00AA68F9"/>
    <w:rsid w:val="00AA7D93"/>
    <w:rsid w:val="00AB00B0"/>
    <w:rsid w:val="00AB0EA1"/>
    <w:rsid w:val="00AB443C"/>
    <w:rsid w:val="00AC17CE"/>
    <w:rsid w:val="00AC2BC4"/>
    <w:rsid w:val="00AC5002"/>
    <w:rsid w:val="00AC621F"/>
    <w:rsid w:val="00AD02F5"/>
    <w:rsid w:val="00AD0908"/>
    <w:rsid w:val="00AD3881"/>
    <w:rsid w:val="00AD5D8A"/>
    <w:rsid w:val="00AD7F00"/>
    <w:rsid w:val="00AE03D9"/>
    <w:rsid w:val="00AE0622"/>
    <w:rsid w:val="00AE1FE2"/>
    <w:rsid w:val="00AE7364"/>
    <w:rsid w:val="00AF2334"/>
    <w:rsid w:val="00AF545B"/>
    <w:rsid w:val="00AF6A98"/>
    <w:rsid w:val="00B04BB2"/>
    <w:rsid w:val="00B055FA"/>
    <w:rsid w:val="00B075D2"/>
    <w:rsid w:val="00B14CB9"/>
    <w:rsid w:val="00B15BA8"/>
    <w:rsid w:val="00B20671"/>
    <w:rsid w:val="00B22980"/>
    <w:rsid w:val="00B23512"/>
    <w:rsid w:val="00B363D5"/>
    <w:rsid w:val="00B3644A"/>
    <w:rsid w:val="00B42BDF"/>
    <w:rsid w:val="00B5194A"/>
    <w:rsid w:val="00B539B0"/>
    <w:rsid w:val="00B64DE8"/>
    <w:rsid w:val="00B72BCF"/>
    <w:rsid w:val="00B76976"/>
    <w:rsid w:val="00B77C46"/>
    <w:rsid w:val="00B81C03"/>
    <w:rsid w:val="00B82B5F"/>
    <w:rsid w:val="00B83148"/>
    <w:rsid w:val="00B86D85"/>
    <w:rsid w:val="00B9619C"/>
    <w:rsid w:val="00B96E30"/>
    <w:rsid w:val="00BA4C0B"/>
    <w:rsid w:val="00BA5CF9"/>
    <w:rsid w:val="00BA76FC"/>
    <w:rsid w:val="00BA7994"/>
    <w:rsid w:val="00BB047A"/>
    <w:rsid w:val="00BB2FE1"/>
    <w:rsid w:val="00BB5028"/>
    <w:rsid w:val="00BB6788"/>
    <w:rsid w:val="00BB7CAB"/>
    <w:rsid w:val="00BB7CB5"/>
    <w:rsid w:val="00BC2F46"/>
    <w:rsid w:val="00BC35A2"/>
    <w:rsid w:val="00BD0E3F"/>
    <w:rsid w:val="00BD27A1"/>
    <w:rsid w:val="00BD37A4"/>
    <w:rsid w:val="00BD3D20"/>
    <w:rsid w:val="00BD3D77"/>
    <w:rsid w:val="00BD3F3A"/>
    <w:rsid w:val="00BD462B"/>
    <w:rsid w:val="00BD5848"/>
    <w:rsid w:val="00BD59B0"/>
    <w:rsid w:val="00BE0D38"/>
    <w:rsid w:val="00BE100A"/>
    <w:rsid w:val="00BE607E"/>
    <w:rsid w:val="00BE646B"/>
    <w:rsid w:val="00BE7D7C"/>
    <w:rsid w:val="00BF44E0"/>
    <w:rsid w:val="00BF5D37"/>
    <w:rsid w:val="00BF7369"/>
    <w:rsid w:val="00C0256C"/>
    <w:rsid w:val="00C04755"/>
    <w:rsid w:val="00C04B30"/>
    <w:rsid w:val="00C06EB0"/>
    <w:rsid w:val="00C1085D"/>
    <w:rsid w:val="00C10D9D"/>
    <w:rsid w:val="00C13C6B"/>
    <w:rsid w:val="00C20641"/>
    <w:rsid w:val="00C252A9"/>
    <w:rsid w:val="00C25347"/>
    <w:rsid w:val="00C2559A"/>
    <w:rsid w:val="00C27299"/>
    <w:rsid w:val="00C379EF"/>
    <w:rsid w:val="00C43CB7"/>
    <w:rsid w:val="00C53F63"/>
    <w:rsid w:val="00C5723F"/>
    <w:rsid w:val="00C6280C"/>
    <w:rsid w:val="00C67961"/>
    <w:rsid w:val="00C746C6"/>
    <w:rsid w:val="00C74A9A"/>
    <w:rsid w:val="00C81B29"/>
    <w:rsid w:val="00C81C5D"/>
    <w:rsid w:val="00C82FA4"/>
    <w:rsid w:val="00C87979"/>
    <w:rsid w:val="00C9766E"/>
    <w:rsid w:val="00CA02CC"/>
    <w:rsid w:val="00CA03C0"/>
    <w:rsid w:val="00CA44BC"/>
    <w:rsid w:val="00CA651E"/>
    <w:rsid w:val="00CB0215"/>
    <w:rsid w:val="00CB11AF"/>
    <w:rsid w:val="00CB49D9"/>
    <w:rsid w:val="00CB658C"/>
    <w:rsid w:val="00CC1352"/>
    <w:rsid w:val="00CC1D58"/>
    <w:rsid w:val="00CC27F5"/>
    <w:rsid w:val="00CC33AA"/>
    <w:rsid w:val="00CC5357"/>
    <w:rsid w:val="00CC65A4"/>
    <w:rsid w:val="00CC7782"/>
    <w:rsid w:val="00CD5514"/>
    <w:rsid w:val="00CE2C21"/>
    <w:rsid w:val="00CE61E5"/>
    <w:rsid w:val="00CE6C2B"/>
    <w:rsid w:val="00CE7691"/>
    <w:rsid w:val="00CF060E"/>
    <w:rsid w:val="00CF09AA"/>
    <w:rsid w:val="00CF4AFF"/>
    <w:rsid w:val="00CF6498"/>
    <w:rsid w:val="00CF694B"/>
    <w:rsid w:val="00D00709"/>
    <w:rsid w:val="00D028B0"/>
    <w:rsid w:val="00D06291"/>
    <w:rsid w:val="00D06EE8"/>
    <w:rsid w:val="00D134F7"/>
    <w:rsid w:val="00D15A13"/>
    <w:rsid w:val="00D20E4B"/>
    <w:rsid w:val="00D23B9F"/>
    <w:rsid w:val="00D259D5"/>
    <w:rsid w:val="00D26EDE"/>
    <w:rsid w:val="00D34389"/>
    <w:rsid w:val="00D34CFF"/>
    <w:rsid w:val="00D4603A"/>
    <w:rsid w:val="00D4755E"/>
    <w:rsid w:val="00D520AC"/>
    <w:rsid w:val="00D540CE"/>
    <w:rsid w:val="00D6731F"/>
    <w:rsid w:val="00D728A5"/>
    <w:rsid w:val="00D830D4"/>
    <w:rsid w:val="00D84D20"/>
    <w:rsid w:val="00D856FC"/>
    <w:rsid w:val="00D857FC"/>
    <w:rsid w:val="00D85931"/>
    <w:rsid w:val="00D86FFC"/>
    <w:rsid w:val="00D93492"/>
    <w:rsid w:val="00D93A63"/>
    <w:rsid w:val="00D94071"/>
    <w:rsid w:val="00D96428"/>
    <w:rsid w:val="00DA3345"/>
    <w:rsid w:val="00DA3CBA"/>
    <w:rsid w:val="00DA5B45"/>
    <w:rsid w:val="00DA5EF4"/>
    <w:rsid w:val="00DA5F8B"/>
    <w:rsid w:val="00DA795A"/>
    <w:rsid w:val="00DB0773"/>
    <w:rsid w:val="00DB0B5A"/>
    <w:rsid w:val="00DB6F90"/>
    <w:rsid w:val="00DC0ACA"/>
    <w:rsid w:val="00DC1404"/>
    <w:rsid w:val="00DC38A7"/>
    <w:rsid w:val="00DC3C71"/>
    <w:rsid w:val="00DD03C1"/>
    <w:rsid w:val="00DD1C48"/>
    <w:rsid w:val="00DD2C11"/>
    <w:rsid w:val="00DD54E4"/>
    <w:rsid w:val="00DD770B"/>
    <w:rsid w:val="00DE15A0"/>
    <w:rsid w:val="00DE270E"/>
    <w:rsid w:val="00DE3E9C"/>
    <w:rsid w:val="00DE5B05"/>
    <w:rsid w:val="00DF06FD"/>
    <w:rsid w:val="00E038FA"/>
    <w:rsid w:val="00E078A1"/>
    <w:rsid w:val="00E10E03"/>
    <w:rsid w:val="00E15A2A"/>
    <w:rsid w:val="00E15F7F"/>
    <w:rsid w:val="00E16AF9"/>
    <w:rsid w:val="00E16E14"/>
    <w:rsid w:val="00E206A5"/>
    <w:rsid w:val="00E20A5C"/>
    <w:rsid w:val="00E26196"/>
    <w:rsid w:val="00E32304"/>
    <w:rsid w:val="00E32D39"/>
    <w:rsid w:val="00E33BB5"/>
    <w:rsid w:val="00E35BA5"/>
    <w:rsid w:val="00E41B3E"/>
    <w:rsid w:val="00E44594"/>
    <w:rsid w:val="00E447CB"/>
    <w:rsid w:val="00E464A5"/>
    <w:rsid w:val="00E527DA"/>
    <w:rsid w:val="00E54CA8"/>
    <w:rsid w:val="00E551C0"/>
    <w:rsid w:val="00E5548C"/>
    <w:rsid w:val="00E60436"/>
    <w:rsid w:val="00E61F5D"/>
    <w:rsid w:val="00E6200F"/>
    <w:rsid w:val="00E6508D"/>
    <w:rsid w:val="00E66313"/>
    <w:rsid w:val="00E71C7E"/>
    <w:rsid w:val="00E72897"/>
    <w:rsid w:val="00E74410"/>
    <w:rsid w:val="00E8232B"/>
    <w:rsid w:val="00E827E2"/>
    <w:rsid w:val="00E84C7E"/>
    <w:rsid w:val="00E903FB"/>
    <w:rsid w:val="00EA16CD"/>
    <w:rsid w:val="00EB457B"/>
    <w:rsid w:val="00EB753E"/>
    <w:rsid w:val="00EC065D"/>
    <w:rsid w:val="00EC094E"/>
    <w:rsid w:val="00EC2963"/>
    <w:rsid w:val="00EC2A65"/>
    <w:rsid w:val="00EC6D84"/>
    <w:rsid w:val="00ED3324"/>
    <w:rsid w:val="00ED3A4B"/>
    <w:rsid w:val="00ED508A"/>
    <w:rsid w:val="00ED67C9"/>
    <w:rsid w:val="00ED6F42"/>
    <w:rsid w:val="00EE2611"/>
    <w:rsid w:val="00EE46BA"/>
    <w:rsid w:val="00EE7C24"/>
    <w:rsid w:val="00EE7D56"/>
    <w:rsid w:val="00F0108D"/>
    <w:rsid w:val="00F029EC"/>
    <w:rsid w:val="00F02BA1"/>
    <w:rsid w:val="00F02C60"/>
    <w:rsid w:val="00F07184"/>
    <w:rsid w:val="00F10E16"/>
    <w:rsid w:val="00F12D23"/>
    <w:rsid w:val="00F13F70"/>
    <w:rsid w:val="00F2039B"/>
    <w:rsid w:val="00F22F01"/>
    <w:rsid w:val="00F232C2"/>
    <w:rsid w:val="00F2623C"/>
    <w:rsid w:val="00F31C41"/>
    <w:rsid w:val="00F379C0"/>
    <w:rsid w:val="00F41CF3"/>
    <w:rsid w:val="00F44F06"/>
    <w:rsid w:val="00F50B7E"/>
    <w:rsid w:val="00F5179F"/>
    <w:rsid w:val="00F53743"/>
    <w:rsid w:val="00F53F71"/>
    <w:rsid w:val="00F602C0"/>
    <w:rsid w:val="00F614B3"/>
    <w:rsid w:val="00F62843"/>
    <w:rsid w:val="00F64BCB"/>
    <w:rsid w:val="00F66CF4"/>
    <w:rsid w:val="00F7085D"/>
    <w:rsid w:val="00F737ED"/>
    <w:rsid w:val="00F805CA"/>
    <w:rsid w:val="00F83C0A"/>
    <w:rsid w:val="00F84253"/>
    <w:rsid w:val="00F91474"/>
    <w:rsid w:val="00F93920"/>
    <w:rsid w:val="00F944A8"/>
    <w:rsid w:val="00FA0283"/>
    <w:rsid w:val="00FA57EA"/>
    <w:rsid w:val="00FA6320"/>
    <w:rsid w:val="00FA743D"/>
    <w:rsid w:val="00FB05C8"/>
    <w:rsid w:val="00FB60B2"/>
    <w:rsid w:val="00FB63A3"/>
    <w:rsid w:val="00FB7466"/>
    <w:rsid w:val="00FC6818"/>
    <w:rsid w:val="00FD0EB5"/>
    <w:rsid w:val="00FE2F0C"/>
    <w:rsid w:val="00FE39CB"/>
    <w:rsid w:val="00FE3AAA"/>
    <w:rsid w:val="00FF00CA"/>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5306F"/>
    <w:rPr>
      <w:rFonts w:ascii="Times New Roman" w:eastAsia="Times New Roman" w:hAnsi="Times New Roman"/>
      <w:sz w:val="24"/>
      <w:szCs w:val="24"/>
      <w:lang w:val="en-GB" w:eastAsia="en-US"/>
    </w:rPr>
  </w:style>
  <w:style w:type="paragraph" w:styleId="Heading1">
    <w:name w:val="heading 1"/>
    <w:basedOn w:val="Normal"/>
    <w:next w:val="Normal"/>
    <w:link w:val="Heading1Char"/>
    <w:uiPriority w:val="99"/>
    <w:qFormat/>
    <w:rsid w:val="00D4603A"/>
    <w:pPr>
      <w:keepNext/>
      <w:keepLines/>
      <w:spacing w:line="360" w:lineRule="auto"/>
      <w:outlineLvl w:val="0"/>
    </w:pPr>
    <w:rPr>
      <w:b/>
      <w:bCs/>
      <w:sz w:val="36"/>
      <w:szCs w:val="28"/>
      <w:lang w:val="nl-NL"/>
    </w:rPr>
  </w:style>
  <w:style w:type="paragraph" w:styleId="Heading2">
    <w:name w:val="heading 2"/>
    <w:basedOn w:val="Normal"/>
    <w:next w:val="Normal"/>
    <w:link w:val="Heading2Char"/>
    <w:uiPriority w:val="99"/>
    <w:qFormat/>
    <w:rsid w:val="007849CC"/>
    <w:pPr>
      <w:keepNext/>
      <w:keepLines/>
      <w:spacing w:line="360" w:lineRule="auto"/>
      <w:outlineLvl w:val="1"/>
    </w:pPr>
    <w:rPr>
      <w:b/>
      <w:bCs/>
      <w:i/>
      <w:szCs w:val="26"/>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4603A"/>
    <w:rPr>
      <w:rFonts w:ascii="Times New Roman" w:hAnsi="Times New Roman" w:cs="Times New Roman"/>
      <w:b/>
      <w:bCs/>
      <w:sz w:val="28"/>
      <w:szCs w:val="28"/>
      <w:lang w:eastAsia="en-US"/>
    </w:rPr>
  </w:style>
  <w:style w:type="character" w:customStyle="1" w:styleId="Heading2Char">
    <w:name w:val="Heading 2 Char"/>
    <w:basedOn w:val="DefaultParagraphFont"/>
    <w:link w:val="Heading2"/>
    <w:uiPriority w:val="99"/>
    <w:locked/>
    <w:rsid w:val="007849CC"/>
    <w:rPr>
      <w:rFonts w:ascii="Times New Roman" w:hAnsi="Times New Roman" w:cs="Times New Roman"/>
      <w:b/>
      <w:bCs/>
      <w:i/>
      <w:sz w:val="26"/>
      <w:szCs w:val="26"/>
      <w:lang w:eastAsia="en-US"/>
    </w:rPr>
  </w:style>
  <w:style w:type="paragraph" w:styleId="ListParagraph">
    <w:name w:val="List Paragraph"/>
    <w:basedOn w:val="Normal"/>
    <w:uiPriority w:val="99"/>
    <w:qFormat/>
    <w:rsid w:val="00FE39CB"/>
    <w:pPr>
      <w:spacing w:after="200" w:line="276" w:lineRule="auto"/>
      <w:ind w:left="720"/>
      <w:contextualSpacing/>
    </w:pPr>
    <w:rPr>
      <w:rFonts w:ascii="Calibri" w:eastAsia="Calibri" w:hAnsi="Calibri"/>
      <w:sz w:val="22"/>
      <w:szCs w:val="22"/>
      <w:lang w:val="nl-NL"/>
    </w:rPr>
  </w:style>
  <w:style w:type="paragraph" w:styleId="TOC1">
    <w:name w:val="toc 1"/>
    <w:basedOn w:val="Normal"/>
    <w:next w:val="Normal"/>
    <w:autoRedefine/>
    <w:uiPriority w:val="99"/>
    <w:rsid w:val="00022473"/>
    <w:pPr>
      <w:tabs>
        <w:tab w:val="right" w:leader="dot" w:pos="9062"/>
      </w:tabs>
      <w:spacing w:before="120" w:after="120"/>
    </w:pPr>
    <w:rPr>
      <w:b/>
      <w:bCs/>
      <w:caps/>
      <w:sz w:val="20"/>
      <w:szCs w:val="20"/>
      <w:lang w:val="nl-NL" w:eastAsia="nl-NL"/>
    </w:rPr>
  </w:style>
  <w:style w:type="paragraph" w:styleId="TOCHeading">
    <w:name w:val="TOC Heading"/>
    <w:basedOn w:val="Heading1"/>
    <w:next w:val="Normal"/>
    <w:uiPriority w:val="99"/>
    <w:qFormat/>
    <w:rsid w:val="0055306F"/>
    <w:pPr>
      <w:outlineLvl w:val="9"/>
    </w:pPr>
  </w:style>
  <w:style w:type="paragraph" w:styleId="TOC2">
    <w:name w:val="toc 2"/>
    <w:basedOn w:val="Normal"/>
    <w:next w:val="Normal"/>
    <w:autoRedefine/>
    <w:uiPriority w:val="99"/>
    <w:rsid w:val="0055306F"/>
    <w:pPr>
      <w:spacing w:after="100" w:line="276" w:lineRule="auto"/>
      <w:ind w:left="220"/>
    </w:pPr>
    <w:rPr>
      <w:rFonts w:ascii="Calibri" w:eastAsia="Calibri" w:hAnsi="Calibri"/>
      <w:sz w:val="22"/>
      <w:szCs w:val="22"/>
      <w:lang w:val="nl-NL"/>
    </w:rPr>
  </w:style>
  <w:style w:type="character" w:styleId="Hyperlink">
    <w:name w:val="Hyperlink"/>
    <w:basedOn w:val="DefaultParagraphFont"/>
    <w:uiPriority w:val="99"/>
    <w:rsid w:val="0055306F"/>
    <w:rPr>
      <w:rFonts w:cs="Times New Roman"/>
      <w:color w:val="0000FF"/>
      <w:u w:val="single"/>
    </w:rPr>
  </w:style>
  <w:style w:type="paragraph" w:styleId="BalloonText">
    <w:name w:val="Balloon Text"/>
    <w:basedOn w:val="Normal"/>
    <w:link w:val="BalloonTextChar"/>
    <w:uiPriority w:val="99"/>
    <w:semiHidden/>
    <w:rsid w:val="0055306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5306F"/>
    <w:rPr>
      <w:rFonts w:ascii="Tahoma" w:hAnsi="Tahoma" w:cs="Tahoma"/>
      <w:sz w:val="16"/>
      <w:szCs w:val="16"/>
      <w:lang w:val="en-GB"/>
    </w:rPr>
  </w:style>
  <w:style w:type="paragraph" w:styleId="FootnoteText">
    <w:name w:val="footnote text"/>
    <w:basedOn w:val="Normal"/>
    <w:link w:val="FootnoteTextChar"/>
    <w:uiPriority w:val="99"/>
    <w:semiHidden/>
    <w:rsid w:val="00014FC5"/>
    <w:rPr>
      <w:sz w:val="20"/>
      <w:szCs w:val="20"/>
    </w:rPr>
  </w:style>
  <w:style w:type="character" w:customStyle="1" w:styleId="FootnoteTextChar">
    <w:name w:val="Footnote Text Char"/>
    <w:basedOn w:val="DefaultParagraphFont"/>
    <w:link w:val="FootnoteText"/>
    <w:uiPriority w:val="99"/>
    <w:semiHidden/>
    <w:locked/>
    <w:rsid w:val="00014FC5"/>
    <w:rPr>
      <w:rFonts w:ascii="Times New Roman" w:hAnsi="Times New Roman" w:cs="Times New Roman"/>
      <w:sz w:val="20"/>
      <w:szCs w:val="20"/>
      <w:lang w:val="en-GB"/>
    </w:rPr>
  </w:style>
  <w:style w:type="character" w:styleId="FootnoteReference">
    <w:name w:val="footnote reference"/>
    <w:basedOn w:val="DefaultParagraphFont"/>
    <w:uiPriority w:val="99"/>
    <w:semiHidden/>
    <w:rsid w:val="00014FC5"/>
    <w:rPr>
      <w:rFonts w:cs="Times New Roman"/>
      <w:vertAlign w:val="superscript"/>
    </w:rPr>
  </w:style>
  <w:style w:type="paragraph" w:styleId="TOC3">
    <w:name w:val="toc 3"/>
    <w:basedOn w:val="Normal"/>
    <w:next w:val="Normal"/>
    <w:autoRedefine/>
    <w:uiPriority w:val="99"/>
    <w:semiHidden/>
    <w:rsid w:val="00FD0EB5"/>
    <w:pPr>
      <w:spacing w:after="100" w:line="276" w:lineRule="auto"/>
      <w:ind w:left="440"/>
    </w:pPr>
    <w:rPr>
      <w:rFonts w:ascii="Calibri" w:hAnsi="Calibri"/>
      <w:sz w:val="22"/>
      <w:szCs w:val="22"/>
      <w:lang w:val="nl-NL"/>
    </w:rPr>
  </w:style>
  <w:style w:type="character" w:customStyle="1" w:styleId="voetnootnr">
    <w:name w:val="voetnootnr"/>
    <w:basedOn w:val="DefaultParagraphFont"/>
    <w:uiPriority w:val="99"/>
    <w:rsid w:val="00C746C6"/>
    <w:rPr>
      <w:rFonts w:cs="Times New Roman"/>
      <w:sz w:val="15"/>
      <w:szCs w:val="15"/>
      <w:u w:val="none"/>
      <w:effect w:val="none"/>
    </w:rPr>
  </w:style>
  <w:style w:type="character" w:customStyle="1" w:styleId="nadrukb">
    <w:name w:val="nadrukb"/>
    <w:basedOn w:val="DefaultParagraphFont"/>
    <w:uiPriority w:val="99"/>
    <w:rsid w:val="00C746C6"/>
    <w:rPr>
      <w:rFonts w:cs="Times New Roman"/>
      <w:i/>
      <w:iCs/>
    </w:rPr>
  </w:style>
  <w:style w:type="character" w:styleId="SubtleEmphasis">
    <w:name w:val="Subtle Emphasis"/>
    <w:basedOn w:val="DefaultParagraphFont"/>
    <w:uiPriority w:val="99"/>
    <w:qFormat/>
    <w:rsid w:val="002B2C60"/>
    <w:rPr>
      <w:rFonts w:cs="Times New Roman"/>
      <w:i/>
      <w:iCs/>
      <w:color w:val="808080"/>
    </w:rPr>
  </w:style>
  <w:style w:type="character" w:styleId="LineNumber">
    <w:name w:val="line number"/>
    <w:basedOn w:val="DefaultParagraphFont"/>
    <w:uiPriority w:val="99"/>
    <w:semiHidden/>
    <w:rsid w:val="000D7456"/>
    <w:rPr>
      <w:rFonts w:cs="Times New Roman"/>
    </w:rPr>
  </w:style>
  <w:style w:type="paragraph" w:styleId="Header">
    <w:name w:val="header"/>
    <w:basedOn w:val="Normal"/>
    <w:link w:val="HeaderChar"/>
    <w:uiPriority w:val="99"/>
    <w:semiHidden/>
    <w:rsid w:val="000D7456"/>
    <w:pPr>
      <w:tabs>
        <w:tab w:val="center" w:pos="4536"/>
        <w:tab w:val="right" w:pos="9072"/>
      </w:tabs>
    </w:pPr>
  </w:style>
  <w:style w:type="character" w:customStyle="1" w:styleId="HeaderChar">
    <w:name w:val="Header Char"/>
    <w:basedOn w:val="DefaultParagraphFont"/>
    <w:link w:val="Header"/>
    <w:uiPriority w:val="99"/>
    <w:semiHidden/>
    <w:locked/>
    <w:rsid w:val="000D7456"/>
    <w:rPr>
      <w:rFonts w:ascii="Times New Roman" w:hAnsi="Times New Roman" w:cs="Times New Roman"/>
      <w:sz w:val="24"/>
      <w:szCs w:val="24"/>
      <w:lang w:val="en-GB" w:eastAsia="en-US"/>
    </w:rPr>
  </w:style>
  <w:style w:type="paragraph" w:styleId="Footer">
    <w:name w:val="footer"/>
    <w:basedOn w:val="Normal"/>
    <w:link w:val="FooterChar"/>
    <w:uiPriority w:val="99"/>
    <w:rsid w:val="000D7456"/>
    <w:pPr>
      <w:tabs>
        <w:tab w:val="center" w:pos="4536"/>
        <w:tab w:val="right" w:pos="9072"/>
      </w:tabs>
    </w:pPr>
  </w:style>
  <w:style w:type="character" w:customStyle="1" w:styleId="FooterChar">
    <w:name w:val="Footer Char"/>
    <w:basedOn w:val="DefaultParagraphFont"/>
    <w:link w:val="Footer"/>
    <w:uiPriority w:val="99"/>
    <w:locked/>
    <w:rsid w:val="000D7456"/>
    <w:rPr>
      <w:rFonts w:ascii="Times New Roman" w:hAnsi="Times New Roman" w:cs="Times New Roman"/>
      <w:sz w:val="24"/>
      <w:szCs w:val="24"/>
      <w:lang w:val="en-GB" w:eastAsia="en-US"/>
    </w:rPr>
  </w:style>
</w:styles>
</file>

<file path=word/webSettings.xml><?xml version="1.0" encoding="utf-8"?>
<w:webSettings xmlns:r="http://schemas.openxmlformats.org/officeDocument/2006/relationships" xmlns:w="http://schemas.openxmlformats.org/wordprocessingml/2006/main">
  <w:divs>
    <w:div w:id="744106213">
      <w:marLeft w:val="0"/>
      <w:marRight w:val="0"/>
      <w:marTop w:val="0"/>
      <w:marBottom w:val="0"/>
      <w:divBdr>
        <w:top w:val="none" w:sz="0" w:space="0" w:color="auto"/>
        <w:left w:val="none" w:sz="0" w:space="0" w:color="auto"/>
        <w:bottom w:val="none" w:sz="0" w:space="0" w:color="auto"/>
        <w:right w:val="none" w:sz="0" w:space="0" w:color="auto"/>
      </w:divBdr>
    </w:div>
    <w:div w:id="744106214">
      <w:marLeft w:val="0"/>
      <w:marRight w:val="0"/>
      <w:marTop w:val="0"/>
      <w:marBottom w:val="0"/>
      <w:divBdr>
        <w:top w:val="none" w:sz="0" w:space="0" w:color="auto"/>
        <w:left w:val="none" w:sz="0" w:space="0" w:color="auto"/>
        <w:bottom w:val="none" w:sz="0" w:space="0" w:color="auto"/>
        <w:right w:val="none" w:sz="0" w:space="0" w:color="auto"/>
      </w:divBdr>
    </w:div>
    <w:div w:id="744106218">
      <w:marLeft w:val="0"/>
      <w:marRight w:val="0"/>
      <w:marTop w:val="0"/>
      <w:marBottom w:val="0"/>
      <w:divBdr>
        <w:top w:val="none" w:sz="0" w:space="0" w:color="auto"/>
        <w:left w:val="none" w:sz="0" w:space="0" w:color="auto"/>
        <w:bottom w:val="none" w:sz="0" w:space="0" w:color="auto"/>
        <w:right w:val="none" w:sz="0" w:space="0" w:color="auto"/>
      </w:divBdr>
    </w:div>
    <w:div w:id="744106221">
      <w:marLeft w:val="0"/>
      <w:marRight w:val="0"/>
      <w:marTop w:val="0"/>
      <w:marBottom w:val="0"/>
      <w:divBdr>
        <w:top w:val="none" w:sz="0" w:space="0" w:color="auto"/>
        <w:left w:val="none" w:sz="0" w:space="0" w:color="auto"/>
        <w:bottom w:val="none" w:sz="0" w:space="0" w:color="auto"/>
        <w:right w:val="none" w:sz="0" w:space="0" w:color="auto"/>
      </w:divBdr>
    </w:div>
    <w:div w:id="744106223">
      <w:marLeft w:val="0"/>
      <w:marRight w:val="0"/>
      <w:marTop w:val="0"/>
      <w:marBottom w:val="0"/>
      <w:divBdr>
        <w:top w:val="none" w:sz="0" w:space="0" w:color="auto"/>
        <w:left w:val="none" w:sz="0" w:space="0" w:color="auto"/>
        <w:bottom w:val="none" w:sz="0" w:space="0" w:color="auto"/>
        <w:right w:val="none" w:sz="0" w:space="0" w:color="auto"/>
      </w:divBdr>
    </w:div>
    <w:div w:id="744106224">
      <w:marLeft w:val="0"/>
      <w:marRight w:val="0"/>
      <w:marTop w:val="0"/>
      <w:marBottom w:val="0"/>
      <w:divBdr>
        <w:top w:val="none" w:sz="0" w:space="0" w:color="auto"/>
        <w:left w:val="none" w:sz="0" w:space="0" w:color="auto"/>
        <w:bottom w:val="none" w:sz="0" w:space="0" w:color="auto"/>
        <w:right w:val="none" w:sz="0" w:space="0" w:color="auto"/>
      </w:divBdr>
    </w:div>
    <w:div w:id="744106225">
      <w:marLeft w:val="0"/>
      <w:marRight w:val="0"/>
      <w:marTop w:val="0"/>
      <w:marBottom w:val="0"/>
      <w:divBdr>
        <w:top w:val="none" w:sz="0" w:space="0" w:color="auto"/>
        <w:left w:val="none" w:sz="0" w:space="0" w:color="auto"/>
        <w:bottom w:val="none" w:sz="0" w:space="0" w:color="auto"/>
        <w:right w:val="none" w:sz="0" w:space="0" w:color="auto"/>
      </w:divBdr>
    </w:div>
    <w:div w:id="744106229">
      <w:marLeft w:val="0"/>
      <w:marRight w:val="0"/>
      <w:marTop w:val="0"/>
      <w:marBottom w:val="0"/>
      <w:divBdr>
        <w:top w:val="none" w:sz="0" w:space="0" w:color="auto"/>
        <w:left w:val="none" w:sz="0" w:space="0" w:color="auto"/>
        <w:bottom w:val="none" w:sz="0" w:space="0" w:color="auto"/>
        <w:right w:val="none" w:sz="0" w:space="0" w:color="auto"/>
      </w:divBdr>
      <w:divsChild>
        <w:div w:id="744106210">
          <w:marLeft w:val="300"/>
          <w:marRight w:val="0"/>
          <w:marTop w:val="0"/>
          <w:marBottom w:val="0"/>
          <w:divBdr>
            <w:top w:val="none" w:sz="0" w:space="0" w:color="auto"/>
            <w:left w:val="none" w:sz="0" w:space="0" w:color="auto"/>
            <w:bottom w:val="none" w:sz="0" w:space="0" w:color="auto"/>
            <w:right w:val="none" w:sz="0" w:space="0" w:color="auto"/>
          </w:divBdr>
        </w:div>
        <w:div w:id="744106211">
          <w:marLeft w:val="300"/>
          <w:marRight w:val="0"/>
          <w:marTop w:val="0"/>
          <w:marBottom w:val="0"/>
          <w:divBdr>
            <w:top w:val="none" w:sz="0" w:space="0" w:color="auto"/>
            <w:left w:val="none" w:sz="0" w:space="0" w:color="auto"/>
            <w:bottom w:val="none" w:sz="0" w:space="0" w:color="auto"/>
            <w:right w:val="none" w:sz="0" w:space="0" w:color="auto"/>
          </w:divBdr>
        </w:div>
        <w:div w:id="744106212">
          <w:marLeft w:val="300"/>
          <w:marRight w:val="0"/>
          <w:marTop w:val="0"/>
          <w:marBottom w:val="0"/>
          <w:divBdr>
            <w:top w:val="none" w:sz="0" w:space="0" w:color="auto"/>
            <w:left w:val="none" w:sz="0" w:space="0" w:color="auto"/>
            <w:bottom w:val="none" w:sz="0" w:space="0" w:color="auto"/>
            <w:right w:val="none" w:sz="0" w:space="0" w:color="auto"/>
          </w:divBdr>
        </w:div>
        <w:div w:id="744106215">
          <w:marLeft w:val="300"/>
          <w:marRight w:val="0"/>
          <w:marTop w:val="0"/>
          <w:marBottom w:val="0"/>
          <w:divBdr>
            <w:top w:val="none" w:sz="0" w:space="0" w:color="auto"/>
            <w:left w:val="none" w:sz="0" w:space="0" w:color="auto"/>
            <w:bottom w:val="none" w:sz="0" w:space="0" w:color="auto"/>
            <w:right w:val="none" w:sz="0" w:space="0" w:color="auto"/>
          </w:divBdr>
        </w:div>
        <w:div w:id="744106219">
          <w:marLeft w:val="300"/>
          <w:marRight w:val="0"/>
          <w:marTop w:val="0"/>
          <w:marBottom w:val="0"/>
          <w:divBdr>
            <w:top w:val="none" w:sz="0" w:space="0" w:color="auto"/>
            <w:left w:val="none" w:sz="0" w:space="0" w:color="auto"/>
            <w:bottom w:val="none" w:sz="0" w:space="0" w:color="auto"/>
            <w:right w:val="none" w:sz="0" w:space="0" w:color="auto"/>
          </w:divBdr>
        </w:div>
        <w:div w:id="744106227">
          <w:marLeft w:val="300"/>
          <w:marRight w:val="0"/>
          <w:marTop w:val="0"/>
          <w:marBottom w:val="0"/>
          <w:divBdr>
            <w:top w:val="none" w:sz="0" w:space="0" w:color="auto"/>
            <w:left w:val="none" w:sz="0" w:space="0" w:color="auto"/>
            <w:bottom w:val="none" w:sz="0" w:space="0" w:color="auto"/>
            <w:right w:val="none" w:sz="0" w:space="0" w:color="auto"/>
          </w:divBdr>
        </w:div>
        <w:div w:id="744106232">
          <w:marLeft w:val="300"/>
          <w:marRight w:val="0"/>
          <w:marTop w:val="0"/>
          <w:marBottom w:val="0"/>
          <w:divBdr>
            <w:top w:val="none" w:sz="0" w:space="0" w:color="auto"/>
            <w:left w:val="none" w:sz="0" w:space="0" w:color="auto"/>
            <w:bottom w:val="none" w:sz="0" w:space="0" w:color="auto"/>
            <w:right w:val="none" w:sz="0" w:space="0" w:color="auto"/>
          </w:divBdr>
        </w:div>
        <w:div w:id="744106233">
          <w:marLeft w:val="300"/>
          <w:marRight w:val="0"/>
          <w:marTop w:val="0"/>
          <w:marBottom w:val="0"/>
          <w:divBdr>
            <w:top w:val="none" w:sz="0" w:space="0" w:color="auto"/>
            <w:left w:val="none" w:sz="0" w:space="0" w:color="auto"/>
            <w:bottom w:val="none" w:sz="0" w:space="0" w:color="auto"/>
            <w:right w:val="none" w:sz="0" w:space="0" w:color="auto"/>
          </w:divBdr>
        </w:div>
        <w:div w:id="744106238">
          <w:marLeft w:val="300"/>
          <w:marRight w:val="0"/>
          <w:marTop w:val="0"/>
          <w:marBottom w:val="0"/>
          <w:divBdr>
            <w:top w:val="none" w:sz="0" w:space="0" w:color="auto"/>
            <w:left w:val="none" w:sz="0" w:space="0" w:color="auto"/>
            <w:bottom w:val="none" w:sz="0" w:space="0" w:color="auto"/>
            <w:right w:val="none" w:sz="0" w:space="0" w:color="auto"/>
          </w:divBdr>
        </w:div>
        <w:div w:id="744106246">
          <w:marLeft w:val="300"/>
          <w:marRight w:val="0"/>
          <w:marTop w:val="0"/>
          <w:marBottom w:val="0"/>
          <w:divBdr>
            <w:top w:val="none" w:sz="0" w:space="0" w:color="auto"/>
            <w:left w:val="none" w:sz="0" w:space="0" w:color="auto"/>
            <w:bottom w:val="none" w:sz="0" w:space="0" w:color="auto"/>
            <w:right w:val="none" w:sz="0" w:space="0" w:color="auto"/>
          </w:divBdr>
        </w:div>
        <w:div w:id="744106248">
          <w:marLeft w:val="300"/>
          <w:marRight w:val="0"/>
          <w:marTop w:val="0"/>
          <w:marBottom w:val="0"/>
          <w:divBdr>
            <w:top w:val="none" w:sz="0" w:space="0" w:color="auto"/>
            <w:left w:val="none" w:sz="0" w:space="0" w:color="auto"/>
            <w:bottom w:val="none" w:sz="0" w:space="0" w:color="auto"/>
            <w:right w:val="none" w:sz="0" w:space="0" w:color="auto"/>
          </w:divBdr>
        </w:div>
      </w:divsChild>
    </w:div>
    <w:div w:id="744106231">
      <w:marLeft w:val="0"/>
      <w:marRight w:val="0"/>
      <w:marTop w:val="0"/>
      <w:marBottom w:val="0"/>
      <w:divBdr>
        <w:top w:val="none" w:sz="0" w:space="0" w:color="auto"/>
        <w:left w:val="none" w:sz="0" w:space="0" w:color="auto"/>
        <w:bottom w:val="none" w:sz="0" w:space="0" w:color="auto"/>
        <w:right w:val="none" w:sz="0" w:space="0" w:color="auto"/>
      </w:divBdr>
    </w:div>
    <w:div w:id="744106235">
      <w:marLeft w:val="0"/>
      <w:marRight w:val="0"/>
      <w:marTop w:val="0"/>
      <w:marBottom w:val="0"/>
      <w:divBdr>
        <w:top w:val="none" w:sz="0" w:space="0" w:color="auto"/>
        <w:left w:val="none" w:sz="0" w:space="0" w:color="auto"/>
        <w:bottom w:val="none" w:sz="0" w:space="0" w:color="auto"/>
        <w:right w:val="none" w:sz="0" w:space="0" w:color="auto"/>
      </w:divBdr>
    </w:div>
    <w:div w:id="744106236">
      <w:marLeft w:val="0"/>
      <w:marRight w:val="0"/>
      <w:marTop w:val="0"/>
      <w:marBottom w:val="0"/>
      <w:divBdr>
        <w:top w:val="none" w:sz="0" w:space="0" w:color="auto"/>
        <w:left w:val="none" w:sz="0" w:space="0" w:color="auto"/>
        <w:bottom w:val="none" w:sz="0" w:space="0" w:color="auto"/>
        <w:right w:val="none" w:sz="0" w:space="0" w:color="auto"/>
      </w:divBdr>
    </w:div>
    <w:div w:id="744106237">
      <w:marLeft w:val="0"/>
      <w:marRight w:val="0"/>
      <w:marTop w:val="0"/>
      <w:marBottom w:val="0"/>
      <w:divBdr>
        <w:top w:val="none" w:sz="0" w:space="0" w:color="auto"/>
        <w:left w:val="none" w:sz="0" w:space="0" w:color="auto"/>
        <w:bottom w:val="none" w:sz="0" w:space="0" w:color="auto"/>
        <w:right w:val="none" w:sz="0" w:space="0" w:color="auto"/>
      </w:divBdr>
    </w:div>
    <w:div w:id="744106239">
      <w:marLeft w:val="0"/>
      <w:marRight w:val="0"/>
      <w:marTop w:val="0"/>
      <w:marBottom w:val="0"/>
      <w:divBdr>
        <w:top w:val="none" w:sz="0" w:space="0" w:color="auto"/>
        <w:left w:val="none" w:sz="0" w:space="0" w:color="auto"/>
        <w:bottom w:val="none" w:sz="0" w:space="0" w:color="auto"/>
        <w:right w:val="none" w:sz="0" w:space="0" w:color="auto"/>
      </w:divBdr>
    </w:div>
    <w:div w:id="744106243">
      <w:marLeft w:val="0"/>
      <w:marRight w:val="0"/>
      <w:marTop w:val="0"/>
      <w:marBottom w:val="0"/>
      <w:divBdr>
        <w:top w:val="none" w:sz="0" w:space="0" w:color="auto"/>
        <w:left w:val="none" w:sz="0" w:space="0" w:color="auto"/>
        <w:bottom w:val="none" w:sz="0" w:space="0" w:color="auto"/>
        <w:right w:val="none" w:sz="0" w:space="0" w:color="auto"/>
      </w:divBdr>
      <w:divsChild>
        <w:div w:id="744106244">
          <w:marLeft w:val="300"/>
          <w:marRight w:val="0"/>
          <w:marTop w:val="0"/>
          <w:marBottom w:val="0"/>
          <w:divBdr>
            <w:top w:val="none" w:sz="0" w:space="0" w:color="auto"/>
            <w:left w:val="none" w:sz="0" w:space="0" w:color="auto"/>
            <w:bottom w:val="none" w:sz="0" w:space="0" w:color="auto"/>
            <w:right w:val="none" w:sz="0" w:space="0" w:color="auto"/>
          </w:divBdr>
          <w:divsChild>
            <w:div w:id="744106240">
              <w:marLeft w:val="300"/>
              <w:marRight w:val="0"/>
              <w:marTop w:val="0"/>
              <w:marBottom w:val="0"/>
              <w:divBdr>
                <w:top w:val="none" w:sz="0" w:space="0" w:color="auto"/>
                <w:left w:val="none" w:sz="0" w:space="0" w:color="auto"/>
                <w:bottom w:val="none" w:sz="0" w:space="0" w:color="auto"/>
                <w:right w:val="none" w:sz="0" w:space="0" w:color="auto"/>
              </w:divBdr>
            </w:div>
            <w:div w:id="744106241">
              <w:marLeft w:val="300"/>
              <w:marRight w:val="0"/>
              <w:marTop w:val="0"/>
              <w:marBottom w:val="0"/>
              <w:divBdr>
                <w:top w:val="none" w:sz="0" w:space="0" w:color="auto"/>
                <w:left w:val="none" w:sz="0" w:space="0" w:color="auto"/>
                <w:bottom w:val="none" w:sz="0" w:space="0" w:color="auto"/>
                <w:right w:val="none" w:sz="0" w:space="0" w:color="auto"/>
              </w:divBdr>
            </w:div>
            <w:div w:id="74410624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44106247">
      <w:marLeft w:val="0"/>
      <w:marRight w:val="0"/>
      <w:marTop w:val="0"/>
      <w:marBottom w:val="0"/>
      <w:divBdr>
        <w:top w:val="none" w:sz="0" w:space="0" w:color="auto"/>
        <w:left w:val="none" w:sz="0" w:space="0" w:color="auto"/>
        <w:bottom w:val="none" w:sz="0" w:space="0" w:color="auto"/>
        <w:right w:val="none" w:sz="0" w:space="0" w:color="auto"/>
      </w:divBdr>
      <w:divsChild>
        <w:div w:id="744106209">
          <w:marLeft w:val="300"/>
          <w:marRight w:val="0"/>
          <w:marTop w:val="0"/>
          <w:marBottom w:val="0"/>
          <w:divBdr>
            <w:top w:val="none" w:sz="0" w:space="0" w:color="auto"/>
            <w:left w:val="none" w:sz="0" w:space="0" w:color="auto"/>
            <w:bottom w:val="none" w:sz="0" w:space="0" w:color="auto"/>
            <w:right w:val="none" w:sz="0" w:space="0" w:color="auto"/>
          </w:divBdr>
        </w:div>
        <w:div w:id="744106216">
          <w:marLeft w:val="300"/>
          <w:marRight w:val="0"/>
          <w:marTop w:val="0"/>
          <w:marBottom w:val="0"/>
          <w:divBdr>
            <w:top w:val="none" w:sz="0" w:space="0" w:color="auto"/>
            <w:left w:val="none" w:sz="0" w:space="0" w:color="auto"/>
            <w:bottom w:val="none" w:sz="0" w:space="0" w:color="auto"/>
            <w:right w:val="none" w:sz="0" w:space="0" w:color="auto"/>
          </w:divBdr>
        </w:div>
        <w:div w:id="744106217">
          <w:marLeft w:val="300"/>
          <w:marRight w:val="0"/>
          <w:marTop w:val="0"/>
          <w:marBottom w:val="0"/>
          <w:divBdr>
            <w:top w:val="none" w:sz="0" w:space="0" w:color="auto"/>
            <w:left w:val="none" w:sz="0" w:space="0" w:color="auto"/>
            <w:bottom w:val="none" w:sz="0" w:space="0" w:color="auto"/>
            <w:right w:val="none" w:sz="0" w:space="0" w:color="auto"/>
          </w:divBdr>
        </w:div>
        <w:div w:id="744106220">
          <w:marLeft w:val="300"/>
          <w:marRight w:val="0"/>
          <w:marTop w:val="0"/>
          <w:marBottom w:val="0"/>
          <w:divBdr>
            <w:top w:val="none" w:sz="0" w:space="0" w:color="auto"/>
            <w:left w:val="none" w:sz="0" w:space="0" w:color="auto"/>
            <w:bottom w:val="none" w:sz="0" w:space="0" w:color="auto"/>
            <w:right w:val="none" w:sz="0" w:space="0" w:color="auto"/>
          </w:divBdr>
        </w:div>
        <w:div w:id="744106222">
          <w:marLeft w:val="300"/>
          <w:marRight w:val="0"/>
          <w:marTop w:val="0"/>
          <w:marBottom w:val="0"/>
          <w:divBdr>
            <w:top w:val="none" w:sz="0" w:space="0" w:color="auto"/>
            <w:left w:val="none" w:sz="0" w:space="0" w:color="auto"/>
            <w:bottom w:val="none" w:sz="0" w:space="0" w:color="auto"/>
            <w:right w:val="none" w:sz="0" w:space="0" w:color="auto"/>
          </w:divBdr>
        </w:div>
        <w:div w:id="744106226">
          <w:marLeft w:val="300"/>
          <w:marRight w:val="0"/>
          <w:marTop w:val="0"/>
          <w:marBottom w:val="0"/>
          <w:divBdr>
            <w:top w:val="none" w:sz="0" w:space="0" w:color="auto"/>
            <w:left w:val="none" w:sz="0" w:space="0" w:color="auto"/>
            <w:bottom w:val="none" w:sz="0" w:space="0" w:color="auto"/>
            <w:right w:val="none" w:sz="0" w:space="0" w:color="auto"/>
          </w:divBdr>
        </w:div>
        <w:div w:id="744106228">
          <w:marLeft w:val="300"/>
          <w:marRight w:val="0"/>
          <w:marTop w:val="0"/>
          <w:marBottom w:val="0"/>
          <w:divBdr>
            <w:top w:val="none" w:sz="0" w:space="0" w:color="auto"/>
            <w:left w:val="none" w:sz="0" w:space="0" w:color="auto"/>
            <w:bottom w:val="none" w:sz="0" w:space="0" w:color="auto"/>
            <w:right w:val="none" w:sz="0" w:space="0" w:color="auto"/>
          </w:divBdr>
        </w:div>
        <w:div w:id="744106230">
          <w:marLeft w:val="300"/>
          <w:marRight w:val="0"/>
          <w:marTop w:val="0"/>
          <w:marBottom w:val="0"/>
          <w:divBdr>
            <w:top w:val="none" w:sz="0" w:space="0" w:color="auto"/>
            <w:left w:val="none" w:sz="0" w:space="0" w:color="auto"/>
            <w:bottom w:val="none" w:sz="0" w:space="0" w:color="auto"/>
            <w:right w:val="none" w:sz="0" w:space="0" w:color="auto"/>
          </w:divBdr>
        </w:div>
        <w:div w:id="744106234">
          <w:marLeft w:val="300"/>
          <w:marRight w:val="0"/>
          <w:marTop w:val="0"/>
          <w:marBottom w:val="0"/>
          <w:divBdr>
            <w:top w:val="none" w:sz="0" w:space="0" w:color="auto"/>
            <w:left w:val="none" w:sz="0" w:space="0" w:color="auto"/>
            <w:bottom w:val="none" w:sz="0" w:space="0" w:color="auto"/>
            <w:right w:val="none" w:sz="0" w:space="0" w:color="auto"/>
          </w:divBdr>
        </w:div>
        <w:div w:id="744106245">
          <w:marLeft w:val="300"/>
          <w:marRight w:val="0"/>
          <w:marTop w:val="0"/>
          <w:marBottom w:val="0"/>
          <w:divBdr>
            <w:top w:val="none" w:sz="0" w:space="0" w:color="auto"/>
            <w:left w:val="none" w:sz="0" w:space="0" w:color="auto"/>
            <w:bottom w:val="none" w:sz="0" w:space="0" w:color="auto"/>
            <w:right w:val="none" w:sz="0" w:space="0" w:color="auto"/>
          </w:divBdr>
        </w:div>
        <w:div w:id="744106249">
          <w:marLeft w:val="30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dfr.nl" TargetMode="External"/><Relationship Id="rId3" Type="http://schemas.openxmlformats.org/officeDocument/2006/relationships/settings" Target="settings.xml"/><Relationship Id="rId7" Type="http://schemas.openxmlformats.org/officeDocument/2006/relationships/hyperlink" Target="http://www.ndfr.n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emf"/></Relationships>
</file>

<file path=word/_rels/footnotes.xml.rels><?xml version="1.0" encoding="UTF-8" standalone="yes"?>
<Relationships xmlns="http://schemas.openxmlformats.org/package/2006/relationships"><Relationship Id="rId8" Type="http://schemas.openxmlformats.org/officeDocument/2006/relationships/hyperlink" Target="http://www.ndfr.nl" TargetMode="External"/><Relationship Id="rId3" Type="http://schemas.openxmlformats.org/officeDocument/2006/relationships/hyperlink" Target="http://www.ndfr.nl" TargetMode="External"/><Relationship Id="rId7" Type="http://schemas.openxmlformats.org/officeDocument/2006/relationships/hyperlink" Target="http://www.ndfr.nl" TargetMode="External"/><Relationship Id="rId2" Type="http://schemas.openxmlformats.org/officeDocument/2006/relationships/hyperlink" Target="http://www.ndfr.nl" TargetMode="External"/><Relationship Id="rId1" Type="http://schemas.openxmlformats.org/officeDocument/2006/relationships/hyperlink" Target="http://www.ndfr.nl" TargetMode="External"/><Relationship Id="rId6" Type="http://schemas.openxmlformats.org/officeDocument/2006/relationships/hyperlink" Target="http://www.ndfr.nl" TargetMode="External"/><Relationship Id="rId5" Type="http://schemas.openxmlformats.org/officeDocument/2006/relationships/hyperlink" Target="http://www.ndfr.nl" TargetMode="External"/><Relationship Id="rId4" Type="http://schemas.openxmlformats.org/officeDocument/2006/relationships/hyperlink" Target="http://www.ndfr.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77</Pages>
  <Words>22845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richard en irene</dc:creator>
  <cp:keywords/>
  <dc:description/>
  <cp:lastModifiedBy>5838imoo</cp:lastModifiedBy>
  <cp:revision>2</cp:revision>
  <cp:lastPrinted>2010-05-17T15:31:00Z</cp:lastPrinted>
  <dcterms:created xsi:type="dcterms:W3CDTF">2010-05-18T12:07:00Z</dcterms:created>
  <dcterms:modified xsi:type="dcterms:W3CDTF">2010-05-18T12:07:00Z</dcterms:modified>
</cp:coreProperties>
</file>